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2920DD96A69C40BB9A76DF7F035B4516" style="width:450.5pt;height:293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1"/>
          <w:cols w:space="720"/>
          <w:docGrid w:linePitch="360"/>
        </w:sectPr>
      </w:pPr>
    </w:p>
    <w:p>
      <w:pPr>
        <w:spacing w:before="360" w:after="0" w:line="240" w:lineRule="auto"/>
        <w:jc w:val="center"/>
        <w:rPr>
          <w:rFonts w:ascii="Times New Roman" w:eastAsia="Times New Roman" w:hAnsi="Times New Roman"/>
          <w:b/>
          <w:noProof/>
          <w:sz w:val="24"/>
          <w:szCs w:val="24"/>
        </w:rPr>
      </w:pPr>
      <w:bookmarkStart w:id="1" w:name="_GoBack"/>
      <w:bookmarkEnd w:id="1"/>
      <w:r>
        <w:rPr>
          <w:rFonts w:ascii="Times New Roman" w:hAnsi="Times New Roman"/>
          <w:b/>
          <w:noProof/>
          <w:sz w:val="24"/>
        </w:rPr>
        <w:lastRenderedPageBreak/>
        <w:t>YHTEINEN KERTOMUS EUROOPAN PARLAMENTILLE JA NEUVOSTOLLE</w:t>
      </w:r>
    </w:p>
    <w:p>
      <w:pPr>
        <w:spacing w:before="360" w:after="360" w:line="240" w:lineRule="auto"/>
        <w:jc w:val="center"/>
        <w:rPr>
          <w:rFonts w:ascii="Times New Roman" w:eastAsia="Times New Roman" w:hAnsi="Times New Roman"/>
          <w:b/>
          <w:noProof/>
          <w:sz w:val="24"/>
          <w:szCs w:val="24"/>
        </w:rPr>
      </w:pPr>
      <w:r>
        <w:rPr>
          <w:rFonts w:ascii="Times New Roman" w:hAnsi="Times New Roman"/>
          <w:b/>
          <w:noProof/>
          <w:sz w:val="24"/>
        </w:rPr>
        <w:t>Macaon erityishallintoalue: vuosikertomus 2014</w:t>
      </w:r>
    </w:p>
    <w:p>
      <w:pPr>
        <w:keepNext/>
        <w:tabs>
          <w:tab w:val="left" w:pos="850"/>
        </w:tabs>
        <w:spacing w:before="360" w:after="120" w:line="240" w:lineRule="auto"/>
        <w:ind w:left="850" w:hanging="850"/>
        <w:jc w:val="both"/>
        <w:outlineLvl w:val="0"/>
        <w:rPr>
          <w:rFonts w:ascii="Times New Roman" w:eastAsia="Times New Roman" w:hAnsi="Times New Roman"/>
          <w:smallCaps/>
          <w:noProof/>
          <w:sz w:val="24"/>
          <w:szCs w:val="24"/>
        </w:rPr>
      </w:pPr>
      <w:r>
        <w:rPr>
          <w:rFonts w:ascii="Times New Roman" w:hAnsi="Times New Roman"/>
          <w:b/>
          <w:smallCaps/>
          <w:noProof/>
          <w:sz w:val="24"/>
        </w:rPr>
        <w:t>Tiivistelmä</w:t>
      </w:r>
    </w:p>
    <w:p>
      <w:pPr>
        <w:jc w:val="both"/>
        <w:rPr>
          <w:rFonts w:ascii="Times New Roman" w:hAnsi="Times New Roman"/>
          <w:noProof/>
          <w:sz w:val="24"/>
          <w:szCs w:val="24"/>
        </w:rPr>
      </w:pPr>
      <w:r>
        <w:rPr>
          <w:rFonts w:ascii="Times New Roman" w:hAnsi="Times New Roman"/>
          <w:noProof/>
          <w:sz w:val="24"/>
        </w:rPr>
        <w:t xml:space="preserve">Siitä lähtien kun Macao 15 vuotta sitten palautettiin Kiinalle, Euroopan unioni ja sen jäsenvaltiot ovat seuranneet tiiviisti Macaon erityishallintoalueen poliittista ja taloudellista kehitystä ”yksi maa, kaksi järjestelmää” -lähestymistavan puitteissa. Täyttääkseen Euroopan parlamentille vuonna 1999 antamansa sitoumuksen komissio antaa vuosittain kertomuksen Macaon kehityksestä. </w:t>
      </w:r>
    </w:p>
    <w:p>
      <w:pPr>
        <w:jc w:val="both"/>
        <w:rPr>
          <w:rFonts w:ascii="Times New Roman" w:hAnsi="Times New Roman"/>
          <w:noProof/>
          <w:sz w:val="24"/>
          <w:szCs w:val="24"/>
        </w:rPr>
      </w:pPr>
      <w:r>
        <w:rPr>
          <w:rFonts w:ascii="Times New Roman" w:hAnsi="Times New Roman"/>
          <w:noProof/>
          <w:sz w:val="24"/>
        </w:rPr>
        <w:t>Euroopan unioni pitää kiinni ”yhden Kiinan” politiikasta ja kunnioittaa ”yksi maa, kaksi järjestelmää” -periaatteen täytäntöönpanoa Macaossa.</w:t>
      </w:r>
    </w:p>
    <w:p>
      <w:pPr>
        <w:jc w:val="both"/>
        <w:rPr>
          <w:rFonts w:ascii="Times New Roman" w:hAnsi="Times New Roman"/>
          <w:noProof/>
          <w:sz w:val="24"/>
          <w:szCs w:val="24"/>
        </w:rPr>
      </w:pPr>
      <w:r>
        <w:rPr>
          <w:rFonts w:ascii="Times New Roman" w:hAnsi="Times New Roman"/>
          <w:noProof/>
          <w:sz w:val="24"/>
        </w:rPr>
        <w:t>Vuonna 2014 tuli kuluneeksi 15 vuotta siitä, kun Portugali palautti Macaon Kiinan kansantasavallalle. Juhlavuoden kunniaksi Kiinan presidentti Xi Jinping vieraili Macaossa ja osallistui virallisesti sen uuden hallituksen virkaanastujaisiin.</w:t>
      </w:r>
    </w:p>
    <w:p>
      <w:pPr>
        <w:jc w:val="both"/>
        <w:rPr>
          <w:rFonts w:ascii="Times New Roman" w:hAnsi="Times New Roman"/>
          <w:noProof/>
          <w:sz w:val="24"/>
          <w:szCs w:val="24"/>
        </w:rPr>
      </w:pPr>
      <w:r>
        <w:rPr>
          <w:rFonts w:ascii="Times New Roman" w:hAnsi="Times New Roman"/>
          <w:noProof/>
          <w:sz w:val="24"/>
        </w:rPr>
        <w:t>EU katsoo, että haasteista huolimatta ”yksi maa, kaksi järjestelmää” -periaate toimi vuonna 2014 hyvin, mikä hyödyttää Macaon erityishallintoaluetta, koko Kiinaa ja kansainvälistä yhteisöä. Hallintojohtaja Chui Sai On valittiin toiseksi toimikaudeksi. Vaalikampanja toteutettiin peruslain (Basic Law) säännösten mukaisesti niin, että äänensä antoivat vaalikomitean jäsenet. Vuosina 2009 ja 2004 pidettyjen hallintojohtajan vaalien tapaan ehdokkaita oli vain yksi. Vaikka Macaon peruslaissa ei säädetä yleisen äänioikeuden käyttöönotosta hallintojohtajan vaalissa, asiasta käydään yhä enemmän julkista keskustelua. Samoin keskustellaan siitä, olisiko viranomaisten harkittava järjestelyjä, joilla edistetään kansalaisten osallistumista vaaleihin ja varmistetaan, että virasta käydään kilpailua.</w:t>
      </w:r>
    </w:p>
    <w:p>
      <w:pPr>
        <w:jc w:val="both"/>
        <w:rPr>
          <w:rFonts w:ascii="Times New Roman" w:hAnsi="Times New Roman"/>
          <w:noProof/>
          <w:sz w:val="24"/>
          <w:szCs w:val="24"/>
        </w:rPr>
      </w:pPr>
      <w:r>
        <w:rPr>
          <w:rFonts w:ascii="Times New Roman" w:hAnsi="Times New Roman"/>
          <w:noProof/>
          <w:sz w:val="24"/>
        </w:rPr>
        <w:t>Macaon kansalaisten perusoikeuksia ja perusvapauksia kunnioitettiin edelleen. Siirtotyöläisten aseman parantamiseksi ja perheväkivallan ja ihmiskaupan torjumiseksi toteutettiin myönteisiä toimia. Macaon tiedotusvälineet voivat edelleen esittää monenlaisia näkemyksiä. Tiedotusvälineiden vapaus on kuitenkin vaarassa itsesensuurin, henkilöstöpolitiikan ja sellaisten esteiden kuin lehdistötilaisuuksiin pääsyn estämisen vuoksi. Akateeminen vapaus joutui kyseenalaiseksi, kun kahden suorasanaisia poliittisia näkemyksiä esittäneen professorin sopimuksia ei uusittu.</w:t>
      </w:r>
    </w:p>
    <w:p>
      <w:pPr>
        <w:jc w:val="both"/>
        <w:rPr>
          <w:rFonts w:ascii="Times New Roman" w:hAnsi="Times New Roman"/>
          <w:noProof/>
          <w:sz w:val="24"/>
          <w:szCs w:val="24"/>
        </w:rPr>
      </w:pPr>
      <w:r>
        <w:rPr>
          <w:rFonts w:ascii="Times New Roman" w:hAnsi="Times New Roman"/>
          <w:noProof/>
          <w:sz w:val="24"/>
        </w:rPr>
        <w:t>Macaon markkinaperusteinen talous toimi edelleen tehokkaasti, mutta talouskasvu kärsi pelitulojen huomattavasta laskusta, sillä Macaon erityishallintoalue on liiaksi riippuvainen pelituloista. Yksi keskeisistä tavoitteista on parantaa tavallisten kansalaisten elämää, sillä elin- ja asumiskustannukset nousevat jatkuvasti. Macaon taloudellinen yhteistyö ja yhdentyminen Manner-Kiinan ja erityisesti Guangdongin maakunnan kanssa etenee nopeasti, mikä helpottaa Macaon maa- ja henkilöresurssien puutetta. Macaon yliopiston siirtäminen Hengqinin saarelle oli tärkeä virstanpylväs tässä suhteessa. Hengqin on osa Manner-Kiinan aluetta, mutta yliopisto kuuluu Macaon lainkäyttövallan piiriin. Macaon hallituksen ja oikeuslaitoksen toimintaa on uudistettava ja tehostettava muun muassa parantamalla henkilöstöhallintoa.</w:t>
      </w:r>
    </w:p>
    <w:p>
      <w:pPr>
        <w:jc w:val="both"/>
        <w:rPr>
          <w:rFonts w:ascii="Times New Roman" w:hAnsi="Times New Roman"/>
          <w:noProof/>
          <w:sz w:val="24"/>
          <w:szCs w:val="24"/>
        </w:rPr>
      </w:pPr>
      <w:r>
        <w:rPr>
          <w:rFonts w:ascii="Times New Roman" w:hAnsi="Times New Roman"/>
          <w:noProof/>
          <w:sz w:val="24"/>
        </w:rPr>
        <w:lastRenderedPageBreak/>
        <w:t>EU:n ja Macaon väliset suhteet kukoistavat edelleen, kun otetaan huomioon nopeasti laajenevat kauppasuhteet ja lisääntyvä yhteistyö talouden, koulutuksen ja ympäristöpolitiikan aloilla. Vuoden 2015 painopisteitä ovat yhteistyö talouden monipuolistamiseen sekä oikeus- ja sääntelyasioihin liittyvissä kysymyksissä.</w:t>
      </w:r>
    </w:p>
    <w:p>
      <w:pPr>
        <w:spacing w:after="100" w:afterAutospacing="1" w:line="240" w:lineRule="auto"/>
        <w:jc w:val="both"/>
        <w:rPr>
          <w:rFonts w:ascii="Times New Roman" w:eastAsia="Times New Roman" w:hAnsi="Times New Roman"/>
          <w:b/>
          <w:noProof/>
          <w:sz w:val="24"/>
          <w:szCs w:val="24"/>
        </w:rPr>
      </w:pPr>
      <w:r>
        <w:rPr>
          <w:rFonts w:ascii="Times New Roman" w:hAnsi="Times New Roman"/>
          <w:b/>
          <w:noProof/>
          <w:sz w:val="24"/>
        </w:rPr>
        <w:t>Poliittinen kehitys</w:t>
      </w:r>
    </w:p>
    <w:p>
      <w:pPr>
        <w:jc w:val="both"/>
        <w:rPr>
          <w:rFonts w:ascii="Times New Roman" w:hAnsi="Times New Roman"/>
          <w:noProof/>
          <w:sz w:val="24"/>
          <w:szCs w:val="24"/>
        </w:rPr>
      </w:pPr>
      <w:r>
        <w:rPr>
          <w:rFonts w:ascii="Times New Roman" w:hAnsi="Times New Roman"/>
          <w:noProof/>
          <w:sz w:val="24"/>
        </w:rPr>
        <w:t>Macaon erityishallintoalueen hallintojohtajan Chui Sai Onin ensimmäinen viiden vuoden toimikausi päättyi vuonna 2014, ja hänet valittiin uudelleen seuraavaksi toimikaudeksi. Virkaanastujaisissa, jotka pidettiin 20. joulukuuta, oli läsnä Kiinan presidentti Xi Jinping.</w:t>
      </w:r>
    </w:p>
    <w:p>
      <w:pPr>
        <w:jc w:val="both"/>
        <w:rPr>
          <w:rFonts w:ascii="Times New Roman" w:hAnsi="Times New Roman"/>
          <w:noProof/>
          <w:sz w:val="24"/>
          <w:szCs w:val="24"/>
        </w:rPr>
      </w:pPr>
      <w:r>
        <w:rPr>
          <w:rFonts w:ascii="Times New Roman" w:hAnsi="Times New Roman"/>
          <w:noProof/>
          <w:sz w:val="24"/>
        </w:rPr>
        <w:t>Uudelleennimittäminen tapahtui peruslaissa säädetyn vaalimenettelyn mukaisesti. Menettelyyn kuuluva nimeämisprosessi tapahtui 400-jäsenisessä vaalikomiteassa, joka koostui lähinnä hallitusta lähellä olevista henkilöistä ja poliitikoista. Äänestäminen tapahtui samassa komiteassa. Koska virkaa hoitava Chui Sai On oli ainoa ehdokas, hänet valittiin uudelleen ilman vastustusta 95,96 prosentilla äänistä (380 ääntä 396:sta). Myös vuonna 2009 hänet valittiin ilman vastustusta, kuten tapahtui myös edellisen hallintojohtajan vaaleissa vuonna 2004. Macaon vaalilaki ei nykymuodossaan edistä kilpailuun perustuvaa nimeämismenettelyä. Tämän toteuttamiseksi Macaon erityishallintoalueen viranomaiset voisivat harkita joidenkin vaalijärjestelmää koskevien säännösten muuttamista.</w:t>
      </w:r>
    </w:p>
    <w:p>
      <w:pPr>
        <w:jc w:val="both"/>
        <w:rPr>
          <w:rFonts w:ascii="Times New Roman" w:hAnsi="Times New Roman"/>
          <w:noProof/>
          <w:sz w:val="24"/>
          <w:szCs w:val="24"/>
        </w:rPr>
      </w:pPr>
      <w:r>
        <w:rPr>
          <w:rFonts w:ascii="Times New Roman" w:hAnsi="Times New Roman"/>
          <w:noProof/>
          <w:sz w:val="24"/>
        </w:rPr>
        <w:t>Vaalimenettely käynnisti keskustelun yleisen äänioikeuden käyttöönottamisesta Macaossa. Vastauksena tähän Chui Sai On totesi vaalikampanjan aikana, että hän oli valmis antamaan Kiinan keskushallinnolle tietoja Macaon asukkaiden demokratianäkemyksistä. Demokratiaa tukevat ryhmät sanoivat, ettei Chui Sai On ollut mitenkään pyrkinyt sisällyttämään täyteen demokratiaan johtavaa etenemissuunnitelmaa vaaliohjelmaansa.</w:t>
      </w:r>
    </w:p>
    <w:p>
      <w:pPr>
        <w:jc w:val="both"/>
        <w:rPr>
          <w:rFonts w:ascii="Times New Roman" w:hAnsi="Times New Roman"/>
          <w:noProof/>
          <w:sz w:val="24"/>
          <w:szCs w:val="24"/>
        </w:rPr>
      </w:pPr>
      <w:r>
        <w:rPr>
          <w:rFonts w:ascii="Times New Roman" w:hAnsi="Times New Roman"/>
          <w:noProof/>
          <w:sz w:val="24"/>
        </w:rPr>
        <w:t>Kolme aktivistiryhmää järjesti 30. elokuuta epävirallisen äänestyksen, joka koski hallintojohtajan valintaa: 95 prosenttia yhteensä 8 688 vastaajasta kannatti yleistä äänioikeutta vuoden 2019 vaaleissa. Macaon erityishallintoalueen hallitus ja Kiinan keskushallinnon yhteystoimisto tuomitsivat kansanäänestyksen laittomaksi. Viranomaiset eivät sallineet järjestäjien tiedottavan äänestyksestä julkisilla paikoilla, ja valitustuomioistuin kieltäytyi ottamasta käsiteltäväksi viranomaisten päätöksestä tehtyä valitusta. Eräiden oikeusalan asiantuntijoiden mukaan epäviralliseen kansanäänestykseen osallistuminen ja sen edistäminen kuuluvat peruslaissa turvatun sananvapauden piiriin. Lakiasäätävän kokouksen täysistunnossa 18. marraskuuta lainsäätäjät hylkäsivät demokratiaa tukevien lainsäätäjien ehdotuksen järjestää keskustelu yleisen äänioikeuden käyttöönottamisesta Macaossa.</w:t>
      </w:r>
    </w:p>
    <w:p>
      <w:pPr>
        <w:jc w:val="both"/>
        <w:rPr>
          <w:rFonts w:ascii="Times New Roman" w:hAnsi="Times New Roman"/>
          <w:noProof/>
          <w:sz w:val="24"/>
          <w:szCs w:val="24"/>
        </w:rPr>
      </w:pPr>
      <w:r>
        <w:rPr>
          <w:rFonts w:ascii="Times New Roman" w:hAnsi="Times New Roman"/>
          <w:noProof/>
          <w:sz w:val="24"/>
        </w:rPr>
        <w:t>Macao poikkeaa Hongkongista siinä, että sen peruslaissa ja muissa säädöksissä ei säädetä yleisen äänioikeuden mahdollisuudesta. Kuitenkin maaliskuussa 2013 YK:n kansalaisoikeuksia ja poliittisia oikeuksia käsittelevä komitea pyysi Macaon erityishallintoalueen hallitusta esittämään suunnitelman siirtymisestä yleiseen ja yhtäläiseen äänioikeuteen. Vastauksessaan Macaon hallitus toisti varaumansa kansalaisoikeuksia ja poliittisia oikeuksia koskevan kansainvälisen yleissopimuksen 25 artiklan suhteen. Viranomaisten olisi silti pohdittava, miten edistetään kansalaisten suurempaa osallistumista hallintojohtajan valintaan ja lisätään näin kyseisen viran legitiimiyttä ja julkista tukea ja lujitetaan hyvää hallintotapaa.</w:t>
      </w:r>
    </w:p>
    <w:p>
      <w:pPr>
        <w:spacing w:after="100" w:afterAutospacing="1" w:line="240" w:lineRule="auto"/>
        <w:jc w:val="both"/>
        <w:rPr>
          <w:rFonts w:ascii="Times New Roman" w:eastAsia="Times New Roman" w:hAnsi="Times New Roman"/>
          <w:b/>
          <w:noProof/>
          <w:sz w:val="24"/>
          <w:szCs w:val="24"/>
        </w:rPr>
      </w:pPr>
      <w:r>
        <w:rPr>
          <w:rFonts w:ascii="Times New Roman" w:hAnsi="Times New Roman"/>
          <w:b/>
          <w:noProof/>
          <w:sz w:val="24"/>
        </w:rPr>
        <w:t>Politiikkatoimet</w:t>
      </w:r>
    </w:p>
    <w:p>
      <w:pPr>
        <w:jc w:val="both"/>
        <w:rPr>
          <w:rFonts w:ascii="Times New Roman" w:hAnsi="Times New Roman"/>
          <w:noProof/>
          <w:sz w:val="24"/>
          <w:szCs w:val="24"/>
        </w:rPr>
      </w:pPr>
      <w:r>
        <w:rPr>
          <w:rFonts w:ascii="Times New Roman" w:hAnsi="Times New Roman"/>
          <w:noProof/>
          <w:sz w:val="24"/>
        </w:rPr>
        <w:t>Ensimmäisen kautensa viimeisessä, 11. marraskuuta pitämässään toimintapolitiikkaa koskevassa puheessa hallintojohtaja Chui Sai On loi katsauksen hallituksen toimintaan vuonna 2014 ja esitteli vuodeksi 2015 suunniteltuja politiikkatoimia ja kyseisen vuoden talousarvion. Tarkastellessaan viittä edellistä vuotta hän huomautti, että hallitus oli ottanut käyttöön pitkän aikavälin mekanismit viidellä ihmisten jokapäiväiseen elämään läheisesti liittyvällä alalla, jotka ovat sosiaaliturva, terveydenhuolto, koulutus, asuminen ja kykyjen edistäminen. Näihin viiteen alaan sekä julkiseen turvallisuuteen ja taloudellisiin palveluihin liittyvät menot ovat kasvaneet joka vuosi, vuoden 2010 kokonaisbudjetin 53,9 prosentista 67,6 prosenttiin vuonna 2013.</w:t>
      </w:r>
    </w:p>
    <w:p>
      <w:pPr>
        <w:jc w:val="both"/>
        <w:rPr>
          <w:rFonts w:ascii="Times New Roman" w:hAnsi="Times New Roman"/>
          <w:noProof/>
          <w:sz w:val="24"/>
          <w:szCs w:val="24"/>
        </w:rPr>
      </w:pPr>
      <w:r>
        <w:rPr>
          <w:rFonts w:ascii="Times New Roman" w:hAnsi="Times New Roman"/>
          <w:noProof/>
          <w:sz w:val="24"/>
        </w:rPr>
        <w:t>Vaikka toimeentulokysymykset ovat aina olleet melko näkyvästi esillä hallituksen politiikassa, niistä tuli uudestaan kiireellisiä sen jälkeen kun toukokuussa oli järjestetty ennennäkemätön mielenosoitus, johon osallistui arviolta 20 000 ihmistä. Mielenosoituksen syynä oli lakiesitys, joka olisi antanut johtavassa asemassa oleville virkamiehille eläkepaketin ja seuraamusimmuniteetin viranhoitoon liittyvää toimintaa koskevilta rikossyytteiltä. Mielenosoittajat ottivat esille myös sellaisia asioita kuin elinkustannukset, terveydenhuolto, asuminen, julkinen liikenne ja ympäristön pilaantuminen. Mielenosoituksen jälkeen hallintojohtaja totesi, että hallituksen oli oltava avoimempi yhteiskuntaa kohtaan ja lisättävä kansalaisten kuulemista.</w:t>
      </w:r>
    </w:p>
    <w:p>
      <w:pPr>
        <w:jc w:val="both"/>
        <w:rPr>
          <w:rFonts w:ascii="Times New Roman" w:hAnsi="Times New Roman"/>
          <w:noProof/>
          <w:sz w:val="24"/>
          <w:szCs w:val="24"/>
        </w:rPr>
      </w:pPr>
      <w:r>
        <w:rPr>
          <w:rFonts w:ascii="Times New Roman" w:hAnsi="Times New Roman"/>
          <w:noProof/>
          <w:sz w:val="24"/>
        </w:rPr>
        <w:t xml:space="preserve">Presidentti Xi Jinping piti 20. joulukuuta puheen Macaon Kiinalle palauttamisen 15. vuosipäivän ja Macaon erityishallintoalueen uuden hallituksen virkaanastujaisten johdosta. Hän mainitsi, että näiden 15 vuoden aikana Macao on keskushallinnon tuella onnistunut panemaan täytäntöön ”yksi maa, kaksi järjestelmää” -periaatteen. Hän otti huomioon tarpeen vakauttaa Macaon taloudellinen ja sosiaalinen kehitys ja pyrkiä lisäämään edistymistä entisestään. Presidentti Xi asetti uudelle hallitukselle neljä ensisijaista tavoitetta: parantaa Macaon oikeuteen perustuvaa hallintoa, monipuolistaa taloutta sen kestävyyden parantamiseksi, ratkaista kansalaisten elintasoon liittyviä ongelmia ja vähentää sosiaalista eriarvoisuutta sekä kouluttaa nuoria niin, että he ymmärtävät ”yksi maa, kaksi järjestelmää” </w:t>
      </w:r>
      <w:r>
        <w:rPr>
          <w:rFonts w:ascii="Times New Roman" w:hAnsi="Times New Roman"/>
          <w:noProof/>
          <w:sz w:val="24"/>
        </w:rPr>
        <w:noBreakHyphen/>
        <w:t>periaatteen.</w:t>
      </w:r>
    </w:p>
    <w:p>
      <w:pPr>
        <w:jc w:val="both"/>
        <w:rPr>
          <w:rFonts w:ascii="Times New Roman" w:hAnsi="Times New Roman"/>
          <w:noProof/>
          <w:sz w:val="24"/>
          <w:szCs w:val="24"/>
        </w:rPr>
      </w:pPr>
      <w:r>
        <w:rPr>
          <w:rFonts w:ascii="Times New Roman" w:hAnsi="Times New Roman"/>
          <w:noProof/>
          <w:sz w:val="24"/>
        </w:rPr>
        <w:t>Macaon taloudellinen yhteistyö ja yhdentyminen Manner-Kiinan kanssa jatkui, ja siinä keskityttiin erityisesti Guangdongin maakuntaan alueiden välistä yhteistyötä koskevan puitesopimuksen perusteella. Sen lisäksi, että Macaon hallitus osallistui kehittämiseen ja rakentamiseen Hengqinin saarella ja Nanshassa Guangdongin maakunnassa, se osallistui Zhongshanin ja Cuihengin uusien alueiden kehittämiseen. Guangdong, Hongkong ja Macao järjestivät yhdessä 10. Helmijoen suistoalueen alueellisen yhteistyön ja kehityksen foorumin.</w:t>
      </w:r>
    </w:p>
    <w:p>
      <w:pPr>
        <w:jc w:val="both"/>
        <w:rPr>
          <w:rFonts w:ascii="Times New Roman" w:hAnsi="Times New Roman"/>
          <w:noProof/>
          <w:sz w:val="24"/>
          <w:szCs w:val="24"/>
        </w:rPr>
      </w:pPr>
      <w:r>
        <w:rPr>
          <w:rFonts w:ascii="Times New Roman" w:hAnsi="Times New Roman"/>
          <w:noProof/>
          <w:sz w:val="24"/>
        </w:rPr>
        <w:t>Merkittävä virstanpylväs oli Macaon yliopiston siirtyminen syyskuussa uudelle kampukselle, joka sijaitsee Hengqinin saarella Zhuhaissa, Guangdongin maakunnassa. Vaikka Hengqin on osa Manner-Kiinaa, yliopistokampus kuuluu Macaon erityishallintoalueen lainkäyttövallan ja hallinnon piiriin. Yliopiston rehtori Wei Zhao kuvasi kehitystä osoituksena ”yksi maa, kaksi järjestelmää” -periaatteen onnistuneesta täytäntöönpanosta.</w:t>
      </w:r>
    </w:p>
    <w:p>
      <w:pPr>
        <w:jc w:val="both"/>
        <w:rPr>
          <w:rFonts w:ascii="Times New Roman" w:hAnsi="Times New Roman"/>
          <w:noProof/>
          <w:sz w:val="24"/>
          <w:szCs w:val="24"/>
        </w:rPr>
      </w:pPr>
      <w:r>
        <w:rPr>
          <w:rFonts w:ascii="Times New Roman" w:hAnsi="Times New Roman"/>
          <w:noProof/>
          <w:sz w:val="24"/>
        </w:rPr>
        <w:t>Ulkopolitiikassa hallitus keskittyi vahvistamaan Macaon asemaa Kiinan ja portugalinkielisten maiden välisen kaupan ja taloudellisen yhteistyön palvelufoorumina. Se järjesti kaksi ministerikokousta, tuki kiinalais-portugalilaista yhteistyötä edistävän rahaston toimintaa ja edisti Macaon asemaa Kiinan ja portugalinkielisten maiden välisenä kaupan ja investointien siltana. Syyskuussa hallitus isännöi kahdeksatta matkailuun keskittyvää Aasian ja Tyynenmeren alueen taloudellisen yhteistyön foorumin (APEC) ministeritason kokousta, jossa perustettiin rahasto kulttuurialan ja luovien toimialojen kehittämiseksi.</w:t>
      </w:r>
    </w:p>
    <w:p>
      <w:pPr>
        <w:spacing w:after="100" w:afterAutospacing="1" w:line="240" w:lineRule="auto"/>
        <w:jc w:val="both"/>
        <w:rPr>
          <w:rFonts w:ascii="Times New Roman" w:eastAsia="Times New Roman" w:hAnsi="Times New Roman"/>
          <w:b/>
          <w:noProof/>
          <w:sz w:val="24"/>
          <w:szCs w:val="24"/>
        </w:rPr>
      </w:pPr>
      <w:r>
        <w:rPr>
          <w:rFonts w:ascii="Times New Roman" w:hAnsi="Times New Roman"/>
          <w:b/>
          <w:noProof/>
          <w:sz w:val="24"/>
        </w:rPr>
        <w:t>Yhtäläiset mahdollisuudet, oikeudet ja vapaudet</w:t>
      </w:r>
    </w:p>
    <w:p>
      <w:pPr>
        <w:jc w:val="both"/>
        <w:rPr>
          <w:rFonts w:ascii="Times New Roman" w:hAnsi="Times New Roman"/>
          <w:noProof/>
          <w:sz w:val="24"/>
          <w:szCs w:val="24"/>
        </w:rPr>
      </w:pPr>
      <w:r>
        <w:rPr>
          <w:rFonts w:ascii="Times New Roman" w:hAnsi="Times New Roman"/>
          <w:noProof/>
          <w:sz w:val="24"/>
        </w:rPr>
        <w:t>Macao totesi 8. toukokuuta 2014 järjestetyssä Yhdistyneiden kansakuntien taloudellisia, sosiaalisia ja sivistyksellisiä oikeuksia käsittelevän komitean kokouksessa, että se oli edistynyt merkittävästi komitean edellisen tarkastelun jälkeen. Macaoon tulevien siirtotyöläisten määrä on kasvussa (niistä lähes 80 000 eli 60 prosenttia kokonaismäärästä on peräisin Manner-Kiinasta). Näiden siirtotyöläisten tarpeisiin vastaamiseksi Macaon hallitus ja Kiinan keskushallinto allekirjoittivat yhteisen pöytäkirjan, jossa määrätään eläkkeistä ja muista seikoista, mukaan lukien saapuville siirtotyöläisille annettava tuki paikallisyhteisöihin integroitumisen helpottamiseksi. Macaon ulkopuolella asuvien työntekijöiden työskentelystä annetulla lailla taataan entistä paremmin työntekijöiden oikeudet.</w:t>
      </w:r>
    </w:p>
    <w:p>
      <w:pPr>
        <w:jc w:val="both"/>
        <w:rPr>
          <w:rFonts w:ascii="Times New Roman" w:hAnsi="Times New Roman"/>
          <w:noProof/>
          <w:sz w:val="24"/>
          <w:szCs w:val="24"/>
        </w:rPr>
      </w:pPr>
      <w:r>
        <w:rPr>
          <w:rFonts w:ascii="Times New Roman" w:hAnsi="Times New Roman"/>
          <w:noProof/>
          <w:sz w:val="24"/>
        </w:rPr>
        <w:t>Sosiaalisen hyvinvoinnin parantamiseen tähtääviin toimenpiteisiin sisältyi sosiaalisen suojelun perusjärjestelmä, julkisin varoin rahoitettujen asuntojen rakentaminen sekä 15 vuoden ilmainen koulutus ja tuki opiskelijoiden kannustamiseksi jatkamaan opintojaan. YK:n komitean suositukset ihmisoikeuskoulutuksesta ja ihmisoikeuksien suojelua koskevan tietoisuuden lisäämisestä yleisön, virkamiesten ja lainvalvontaviranomaisten keskuudessa on myös toteutettu.</w:t>
      </w:r>
    </w:p>
    <w:p>
      <w:pPr>
        <w:jc w:val="both"/>
        <w:rPr>
          <w:rFonts w:ascii="Times New Roman" w:hAnsi="Times New Roman"/>
          <w:noProof/>
          <w:sz w:val="24"/>
          <w:szCs w:val="24"/>
        </w:rPr>
      </w:pPr>
      <w:r>
        <w:rPr>
          <w:rFonts w:ascii="Times New Roman" w:hAnsi="Times New Roman"/>
          <w:noProof/>
          <w:sz w:val="24"/>
        </w:rPr>
        <w:t>Yhdistyneiden kansakuntien naisten syrjinnän poistamista käsittelevä komitea toisti 23. lokakuuta suosituksensa siitä, että Macaon olisi harkittava riippumattoman ihmisoikeusinstituution perustamista. Komitea oli tyytyväinen perheväkivallan ehkäisemistä ja perheväkivallasta rankaisemista koskevaan lakiesitykseen ja suositteli, että perheväkivalta katsottaisiin rangaistavaksi teoksi, josta asetetaan automaattisesti syytteeseen. Lakiasäätävä kokous hyväksyi 13. tammikuuta 2015 lain, jossa perheväkivallasta tehtiin rangaistava teko. Uhri voi kuitenkin lievemmissä tapauksissa päättää itse, haluaako hän nostaa syytteen. Macaon erityishallintoalueen hallituksen oikeudellisten asioiden toimisto ilmoitti marraskuussa 2014, että samaa sukupuolta olevien suhteet eivät kuulu tämän lain piiriin. Suhteiden sisällyttämistä lain piiriin kannattaneet muistuttivat, että Yhdistyneiden kansakuntien taloudellisia, sosiaalisia ja sivistyksellisiä oikeuksia käsittelevä komitea oli kehottanut Macaota hyväksymään kattavasti syrjinnän vastaista lainsäädäntöä homo- ja biseksuaalisten sekä transsukupuolisten henkilöiden osalta.</w:t>
      </w:r>
    </w:p>
    <w:p>
      <w:pPr>
        <w:jc w:val="both"/>
        <w:rPr>
          <w:rFonts w:ascii="Times New Roman" w:hAnsi="Times New Roman"/>
          <w:noProof/>
          <w:sz w:val="24"/>
          <w:szCs w:val="24"/>
        </w:rPr>
      </w:pPr>
      <w:r>
        <w:rPr>
          <w:rFonts w:ascii="Times New Roman" w:hAnsi="Times New Roman"/>
          <w:noProof/>
          <w:sz w:val="24"/>
        </w:rPr>
        <w:t>Macaon tiedotusvälineet toivat edelleen kuuluviin erilaisia näkemyksiä ja mielipiteitä. Kuitenkin itsesensuuria koskeneet ilmoitukset lisääntyivät. Maaliskuussa julkaistiin useita nimettömiä avoimia kirjeitä, jotka sisälsivät yksityiskohtaisia tietoja itsesensuurista. Saatujen tietojen mukaan joiltakin toimittajilta oli estetty pääsy lehdistötilaisuuksiin ja poliittiset näkökohdat näyttivät vaikuttavan tiedotusvälineiden palvelukseenottoon. Kansainvälisen journalistiliiton vuoden 2014 vuosikertomuksessa ilmaistiin huoli itsesensuurista, poliisin poliittisen neutraaliuden vähentymisestä ja poliittisiin syihin perustuvasta toimittajien epätasa-arvoisesta kohtelusta.</w:t>
      </w:r>
    </w:p>
    <w:p>
      <w:pPr>
        <w:jc w:val="both"/>
        <w:rPr>
          <w:rFonts w:ascii="Times New Roman" w:hAnsi="Times New Roman"/>
          <w:noProof/>
          <w:sz w:val="24"/>
          <w:szCs w:val="24"/>
        </w:rPr>
      </w:pPr>
      <w:r>
        <w:rPr>
          <w:rFonts w:ascii="Times New Roman" w:hAnsi="Times New Roman"/>
          <w:noProof/>
          <w:sz w:val="24"/>
        </w:rPr>
        <w:t>Muilta kuin paikallisilta toimittajilta evättiin pääsy lehdistötilaisuuksiin, joita pitivät korkean tason virkamiehet Macaosta ja Manner-Kiinasta. Elokuussa erään hongkongilaisen oppositiomedian toimittajien ei sallittu osallistua hallintojohtajan lehdistötilaisuuteen. Joulukuussa saman median toimittajilta evättiin pääsy seminaariin, jonka piti keskushallinnon korkean tason virkamies. Muut hongkongilaiset toimittajat saivat osallistua tapahtumaan. Neljältätoista Hongkongin opposition edustajalta ja neljältä oppositiosanomalehtien toimittajalta kiellettiin 19. joulukuuta pääsy Macaoon sillä perusteella, että he heikentäisivät yleistä järjestystä.</w:t>
      </w:r>
    </w:p>
    <w:p>
      <w:pPr>
        <w:jc w:val="both"/>
        <w:rPr>
          <w:rFonts w:ascii="Times New Roman" w:hAnsi="Times New Roman"/>
          <w:noProof/>
          <w:sz w:val="24"/>
          <w:szCs w:val="24"/>
        </w:rPr>
      </w:pPr>
      <w:r>
        <w:rPr>
          <w:rFonts w:ascii="Times New Roman" w:hAnsi="Times New Roman"/>
          <w:noProof/>
          <w:sz w:val="24"/>
        </w:rPr>
        <w:t>Kokoontumisvapauden osalta on todettava, että Forefront of Macau Gambling -ammattiliiton johtajia pidätettiin poliisin kanssa syntyneen pienehkön, mielenosoitusreittiä koskeneen yhteenoton yhteydessä. Heidät vapautettiin myöhemmin odottamaan oikeudenkäyntiä.</w:t>
      </w:r>
    </w:p>
    <w:p>
      <w:pPr>
        <w:jc w:val="both"/>
        <w:rPr>
          <w:rFonts w:ascii="Times New Roman" w:hAnsi="Times New Roman"/>
          <w:noProof/>
          <w:sz w:val="24"/>
          <w:szCs w:val="24"/>
        </w:rPr>
      </w:pPr>
      <w:r>
        <w:rPr>
          <w:rFonts w:ascii="Times New Roman" w:hAnsi="Times New Roman"/>
          <w:noProof/>
          <w:sz w:val="24"/>
        </w:rPr>
        <w:t>Akateeminen vapaus näyttää olleen vaarassa, kun kahden hyvin tunnetun, hallitusta kohtaan kriittisiä mielipiteitä esittäneen yliopistoprofessorin sopimuksia ei jatkettu. Kolmannen professorin asemaa alennettiin. Lisäksi raportoitiin, että yliopiston johto oli pyytänyt eräitä muita tutkijoita pidättäytymään kriittisistä poliittisista kannanotoista. EU pitää akateemista vapautta sellaisen elinvoimaisen akateemisen alan kulmakivenä, joka voi palvella taloutta ja koko yhteiskuntaa.</w:t>
      </w:r>
    </w:p>
    <w:p>
      <w:pPr>
        <w:jc w:val="both"/>
        <w:rPr>
          <w:rFonts w:ascii="Times New Roman" w:hAnsi="Times New Roman"/>
          <w:noProof/>
          <w:sz w:val="24"/>
          <w:szCs w:val="24"/>
        </w:rPr>
      </w:pPr>
      <w:r>
        <w:rPr>
          <w:rFonts w:ascii="Times New Roman" w:hAnsi="Times New Roman"/>
          <w:noProof/>
          <w:sz w:val="24"/>
        </w:rPr>
        <w:t>Macaon hallitus toteutti edelleen huomattavia toimia, joilla torjutaan rajatylittävää rikollisuutta, erityisesti ihmiskauppaa. Ihmiskaupan varoittavia toimenpiteitä käsittelevä komitea (</w:t>
      </w:r>
      <w:r>
        <w:rPr>
          <w:rFonts w:ascii="Times New Roman" w:hAnsi="Times New Roman"/>
          <w:i/>
          <w:noProof/>
          <w:sz w:val="24"/>
        </w:rPr>
        <w:t>Human Trafficking Deterrent Measures Concern Committee</w:t>
      </w:r>
      <w:r>
        <w:rPr>
          <w:rFonts w:ascii="Times New Roman" w:hAnsi="Times New Roman"/>
          <w:noProof/>
          <w:sz w:val="24"/>
        </w:rPr>
        <w:t>), joka on eri virastojen välinen elin ja koostuu hallinnon, lainvalvonnan, oikeusalan ja sosiaalialan edustajista, torjui edelleen ihmiskauppaa ja toteutti ennaltaehkäisyyn ja uhrien suojeluun liittyviä toimenpiteitä. Monista toteutetuista toimista mainittakoon tuomareiden, lakimiesten ja muiden oikeusalan ammattilaisten koulutus. Hallituksen sosiaalitoimisto järjesti lokakuussa kolme kurssia ihmiskaupan uhrien suojelemisesta, ja oikeudellisten asiain toimisto piti joulukuussa kolme seminaaria ihmiskaupan torjumisesta.</w:t>
      </w:r>
    </w:p>
    <w:p>
      <w:pPr>
        <w:jc w:val="both"/>
        <w:rPr>
          <w:rFonts w:ascii="Times New Roman" w:hAnsi="Times New Roman"/>
          <w:noProof/>
          <w:sz w:val="24"/>
          <w:szCs w:val="24"/>
        </w:rPr>
      </w:pPr>
      <w:r>
        <w:rPr>
          <w:rFonts w:ascii="Times New Roman" w:hAnsi="Times New Roman"/>
          <w:noProof/>
          <w:sz w:val="24"/>
        </w:rPr>
        <w:t>Macao ja Hongkong aloittivat neuvottelut sopimuksesta, joka koskee karkuteillä olevien rikollisten luovuttamista. Sopimuksen mukaan karkurit, jotka sijoittautuvat jommallekummalle erityishallintoalueelle välttääkseen rangaistuksen toisella, lähetetään takaisin. Tulevaa sopimusta voidaan soveltaa taannehtivasti.</w:t>
      </w:r>
    </w:p>
    <w:p>
      <w:pPr>
        <w:spacing w:after="100" w:afterAutospacing="1" w:line="240" w:lineRule="auto"/>
        <w:jc w:val="both"/>
        <w:rPr>
          <w:rFonts w:ascii="Times New Roman" w:eastAsia="Times New Roman" w:hAnsi="Times New Roman"/>
          <w:b/>
          <w:noProof/>
          <w:sz w:val="24"/>
          <w:szCs w:val="24"/>
        </w:rPr>
      </w:pPr>
      <w:r>
        <w:rPr>
          <w:rFonts w:ascii="Times New Roman" w:hAnsi="Times New Roman"/>
          <w:b/>
          <w:noProof/>
          <w:sz w:val="24"/>
        </w:rPr>
        <w:t>Korruption vastaiset toimet</w:t>
      </w:r>
    </w:p>
    <w:p>
      <w:pPr>
        <w:jc w:val="both"/>
        <w:rPr>
          <w:rFonts w:ascii="Times New Roman" w:hAnsi="Times New Roman"/>
          <w:noProof/>
          <w:sz w:val="24"/>
          <w:szCs w:val="24"/>
        </w:rPr>
      </w:pPr>
      <w:r>
        <w:rPr>
          <w:rFonts w:ascii="Times New Roman" w:hAnsi="Times New Roman"/>
          <w:noProof/>
          <w:sz w:val="24"/>
        </w:rPr>
        <w:t>Macaon korruptionvastainen komitea (CCAC) ilmoitti hallintojohtajalle maaliskuussa antamassaan vuosikertomuksessa, että vuosi 2013 oli ollut hyvin työntäyteinen. Tämä ei johtunut tapausten suuremmasta määrästä, vaan niiden monimutkaistumisesta. Macaon kansalaiset olivat edelleen sitä mieltä, että CCAC:n on toimittava tehokkaammin.</w:t>
      </w:r>
    </w:p>
    <w:p>
      <w:pPr>
        <w:jc w:val="both"/>
        <w:rPr>
          <w:rFonts w:ascii="Times New Roman" w:hAnsi="Times New Roman"/>
          <w:noProof/>
          <w:sz w:val="24"/>
          <w:szCs w:val="24"/>
        </w:rPr>
      </w:pPr>
      <w:r>
        <w:rPr>
          <w:rFonts w:ascii="Times New Roman" w:hAnsi="Times New Roman"/>
          <w:noProof/>
          <w:sz w:val="24"/>
        </w:rPr>
        <w:t>Julkisen sektorin korruptiosta vastaanotettujen ilmoitusten ja tutkittujen tapausten lukumäärä oli samalla tasolla kuin vuonna 2012. Julkistettujen tapausten perusteella pääasialliset rikkomukset liittyvät edelleen lahjusten vastaanottoon laittomista teoista, vallan väärinkäyttöön ja asiakirjojen väärentämiseen. Virkamiehille asetettujen velvoitteiden rikkominen ja julkista etua haittaava huono hallinto ovat myös melko yleisiä. CCAC:n päällikön mukaan tämä osoitti, että virkamiesten on edelleen parannettava lainkäyttöön liittyvää tietoisuuttaan, eettisiä normejaan ja puolueettomuuttaan.</w:t>
      </w:r>
    </w:p>
    <w:p>
      <w:pPr>
        <w:jc w:val="both"/>
        <w:rPr>
          <w:rFonts w:ascii="Times New Roman" w:hAnsi="Times New Roman"/>
          <w:noProof/>
          <w:sz w:val="24"/>
          <w:szCs w:val="24"/>
        </w:rPr>
      </w:pPr>
      <w:r>
        <w:rPr>
          <w:rFonts w:ascii="Times New Roman" w:hAnsi="Times New Roman"/>
          <w:noProof/>
          <w:sz w:val="24"/>
        </w:rPr>
        <w:t>Macaon hallintoneuvosto ilmoitti toukokuussa lakiesityksestä, joka koskee korruption torjuntaa ulkomaankaupassa ja jossa kielletään lahjusten tarjoaminen erityishallintoalueen ulkopuolella toimiville virkamiehille. Näin täytettäisiin Macaon sitoutuminen YK:n korruption vastaiseen yleissopimukseen.</w:t>
      </w:r>
    </w:p>
    <w:p>
      <w:pPr>
        <w:spacing w:after="100" w:afterAutospacing="1" w:line="240" w:lineRule="auto"/>
        <w:jc w:val="both"/>
        <w:rPr>
          <w:rFonts w:ascii="Times New Roman" w:eastAsia="Times New Roman" w:hAnsi="Times New Roman"/>
          <w:b/>
          <w:noProof/>
          <w:sz w:val="24"/>
          <w:szCs w:val="24"/>
        </w:rPr>
      </w:pPr>
      <w:r>
        <w:rPr>
          <w:rFonts w:ascii="Times New Roman" w:hAnsi="Times New Roman"/>
          <w:b/>
          <w:noProof/>
          <w:sz w:val="24"/>
        </w:rPr>
        <w:t>Taloudellinen kehitys</w:t>
      </w:r>
    </w:p>
    <w:p>
      <w:pPr>
        <w:jc w:val="both"/>
        <w:rPr>
          <w:rFonts w:ascii="Times New Roman" w:hAnsi="Times New Roman"/>
          <w:noProof/>
          <w:sz w:val="24"/>
          <w:szCs w:val="24"/>
        </w:rPr>
      </w:pPr>
      <w:r>
        <w:rPr>
          <w:rFonts w:ascii="Times New Roman" w:hAnsi="Times New Roman"/>
          <w:noProof/>
          <w:sz w:val="24"/>
        </w:rPr>
        <w:t>Pelialan nykyaikaistaminen ja vapauttaminen on vienyt Macaon maailman rikkaimpien talouksien joukkoon.</w:t>
      </w:r>
      <w:r>
        <w:rPr>
          <w:rFonts w:ascii="Times New Roman" w:hAnsi="Times New Roman"/>
          <w:noProof/>
          <w:sz w:val="24"/>
          <w:vertAlign w:val="superscript"/>
        </w:rPr>
        <w:footnoteReference w:id="1"/>
      </w:r>
      <w:r>
        <w:rPr>
          <w:rFonts w:ascii="Times New Roman" w:hAnsi="Times New Roman"/>
          <w:noProof/>
          <w:sz w:val="24"/>
        </w:rPr>
        <w:t xml:space="preserve"> Macao on muodostanut vuodesta 2006 alkaen maailman suurimmat pelialan markkinat. Peliala on Macaon talouden tukiranka, sillä sen osuus on 46 prosenttia suhteessa BKT:hen.</w:t>
      </w:r>
      <w:r>
        <w:rPr>
          <w:rFonts w:ascii="Times New Roman" w:hAnsi="Times New Roman"/>
          <w:noProof/>
          <w:sz w:val="24"/>
          <w:vertAlign w:val="superscript"/>
        </w:rPr>
        <w:footnoteReference w:id="2"/>
      </w:r>
      <w:r>
        <w:rPr>
          <w:rFonts w:ascii="Times New Roman" w:hAnsi="Times New Roman"/>
          <w:noProof/>
          <w:sz w:val="24"/>
        </w:rPr>
        <w:t xml:space="preserve"> Noin viidennes Macaon työvoimasta työskentelee pelialalla.</w:t>
      </w:r>
      <w:r>
        <w:rPr>
          <w:rFonts w:ascii="Times New Roman" w:hAnsi="Times New Roman"/>
          <w:noProof/>
          <w:sz w:val="24"/>
          <w:vertAlign w:val="superscript"/>
        </w:rPr>
        <w:footnoteReference w:id="3"/>
      </w:r>
      <w:r>
        <w:rPr>
          <w:rFonts w:ascii="Times New Roman" w:hAnsi="Times New Roman"/>
          <w:noProof/>
          <w:sz w:val="24"/>
        </w:rPr>
        <w:t xml:space="preserve"> Pelivero (35 prosenttia pelialan bruttotuloista) tuottaa 80 prosenttia</w:t>
      </w:r>
      <w:r>
        <w:rPr>
          <w:rFonts w:ascii="Times New Roman" w:hAnsi="Times New Roman"/>
          <w:noProof/>
          <w:sz w:val="24"/>
          <w:vertAlign w:val="superscript"/>
        </w:rPr>
        <w:footnoteReference w:id="4"/>
      </w:r>
      <w:r>
        <w:rPr>
          <w:rFonts w:ascii="Times New Roman" w:hAnsi="Times New Roman"/>
          <w:noProof/>
          <w:sz w:val="24"/>
        </w:rPr>
        <w:t xml:space="preserve"> erityishallintoalueen verotuloista. Pelimarkkinat menestyvät Manner-Kiinasta jatkuvasti tulevien vierailijoiden ansiosta. Nämä vierailijat muodostavat noin kaksi kolmasosaa Macaon matkailijoista.</w:t>
      </w:r>
    </w:p>
    <w:p>
      <w:pPr>
        <w:jc w:val="both"/>
        <w:rPr>
          <w:rFonts w:ascii="Times New Roman" w:hAnsi="Times New Roman"/>
          <w:noProof/>
          <w:sz w:val="24"/>
          <w:szCs w:val="24"/>
        </w:rPr>
      </w:pPr>
      <w:r>
        <w:rPr>
          <w:rFonts w:ascii="Times New Roman" w:hAnsi="Times New Roman"/>
          <w:noProof/>
          <w:sz w:val="24"/>
        </w:rPr>
        <w:t>Vuoden 2013 kaksinumeroisten kasvulukujen jälkeen Macaon talouden kehitys hidastui vuonna 2014 rahapelitulojen vähentymisen vuoksi, sillä alalla oli huonoin vuosi sen jälkeen kun se vapautettiin vuonna 2002. Pelitulot supistuivat 30 prosenttia vuoden 2014 joulukuussa, joka oli seitsemäs perättäinen kuukausi, jona tulot vähenivät. Vuoden aikana pelitulot vähenivät kuitenkin vain 2,6 prosenttia 351,5 miljardiin Macaon patacaan, sillä niiden kasvu oli nopeampaa vuoden ensimmäisten kuukausien aikana. Pelialan yrittäjillä oli vaikeuksia, kun keskushallinnon korruption vastaiset toimet pitivät varakkaat mannerkiinalaiset pelaajat poissa Macaosta (VIP-pelaajien osuus on jopa 70 prosenttia rahapelituloista). Talouskasvun hidastuminen vähensi myös massamarkkinapelaajien taholta tulevaa kysyntää.</w:t>
      </w:r>
    </w:p>
    <w:p>
      <w:pPr>
        <w:jc w:val="both"/>
        <w:rPr>
          <w:rFonts w:ascii="Times New Roman" w:hAnsi="Times New Roman"/>
          <w:noProof/>
          <w:sz w:val="24"/>
          <w:szCs w:val="24"/>
        </w:rPr>
      </w:pPr>
      <w:r>
        <w:rPr>
          <w:rFonts w:ascii="Times New Roman" w:hAnsi="Times New Roman"/>
          <w:noProof/>
          <w:sz w:val="24"/>
        </w:rPr>
        <w:t>Koska bruttomääräiset pelitulot vähenivät merkittävästi ja matkailijoiden käyttämä rahamäärä pieneni, vuoden 2014 BKT supistui reaalisesti 0,4 prosenttia</w:t>
      </w:r>
      <w:r>
        <w:rPr>
          <w:rFonts w:ascii="Times New Roman" w:hAnsi="Times New Roman"/>
          <w:noProof/>
          <w:sz w:val="24"/>
          <w:vertAlign w:val="superscript"/>
        </w:rPr>
        <w:footnoteReference w:id="5"/>
      </w:r>
      <w:r>
        <w:rPr>
          <w:rFonts w:ascii="Times New Roman" w:hAnsi="Times New Roman"/>
          <w:noProof/>
          <w:sz w:val="24"/>
        </w:rPr>
        <w:t>. Tähän oli syynä se, että vuoden ensimmäisellä puoliskolla kirjattu BKT:n vahva kasvu menetettiin vuoden jälkipuoliskolla pelitulojen vähenemisen myötä. Kotimainen kysyntä oli kuitenkin edelleen vahvaa. Yksityinen kulutus ja julkiset menot pysyivät hyvällä tasolla. Yksityisten investointien vahva kasvu jatkui edelleen, kun uusia hotelleja ja lomakeskuksia rakennettiin. Suunnitteilla on kuusi uutta suurta lomakeskusta. Inflaatio pysyi suhteellisen korkeana eli 6 prosentissa vuonna 2014 vahvan talouden toiminnan johdosta. Työttömyysaste on ollut kolmen viime vuoden aikana jatkuvasti 2 prosenttia tai sen alle (1,7 prosenttia vuonna 2014). Pelialan tilanteen heikkenemisestä huolimatta matkailuala menestyi hyvin: matkailijoiden määrä nousi 31,5 miljoonaan, mikä on 7,5 prosenttia enemmän edellisen vuoden vastaavaan ajanjaksoon verrattuna.</w:t>
      </w:r>
    </w:p>
    <w:p>
      <w:pPr>
        <w:jc w:val="both"/>
        <w:rPr>
          <w:rFonts w:ascii="Times New Roman" w:hAnsi="Times New Roman"/>
          <w:noProof/>
          <w:sz w:val="24"/>
          <w:szCs w:val="24"/>
        </w:rPr>
      </w:pPr>
      <w:r>
        <w:rPr>
          <w:rFonts w:ascii="Times New Roman" w:hAnsi="Times New Roman"/>
          <w:noProof/>
          <w:sz w:val="24"/>
        </w:rPr>
        <w:t>Macao kärsii edelleen akuutista työvoimapulasta, ja sen talous on erittäin riippuvainen muualta tulevista työntekijöistä ja ammatinharjoittajista. Macaon ulkopuolella asuvien työntekijöiden määrä kasvoi 24 prosenttia ja oli 170 346 vuonna 2014 eli 42 prosenttia työssäkäyvästä väestöstä. Yritykset ovat valittaneet, ettei niillä ole riittävästi ammattitaitoista henkilökuntaa laajentuviin toimintoihinsa.</w:t>
      </w:r>
    </w:p>
    <w:p>
      <w:pPr>
        <w:jc w:val="both"/>
        <w:rPr>
          <w:rFonts w:ascii="Times New Roman" w:hAnsi="Times New Roman"/>
          <w:noProof/>
          <w:sz w:val="24"/>
          <w:szCs w:val="24"/>
        </w:rPr>
      </w:pPr>
      <w:r>
        <w:rPr>
          <w:rFonts w:ascii="Times New Roman" w:hAnsi="Times New Roman"/>
          <w:noProof/>
          <w:sz w:val="24"/>
        </w:rPr>
        <w:t>Esitys lakisääteisestä vähimmäispalkasta oli lakiasäätävän kokouksen ensimmäisessä käsittelyssä heinäkuussa. Hallitus on ehdottanut, että kiinteistönhoitoyhtiöiden palveluksessa olevien vartijoiden ja talonmiesten lakisääteisen vähimmäistuntipalkan olisi oltava 30 patacaa.</w:t>
      </w:r>
    </w:p>
    <w:p>
      <w:pPr>
        <w:jc w:val="both"/>
        <w:rPr>
          <w:rFonts w:ascii="Times New Roman" w:hAnsi="Times New Roman"/>
          <w:noProof/>
          <w:sz w:val="24"/>
          <w:szCs w:val="24"/>
        </w:rPr>
      </w:pPr>
      <w:r>
        <w:rPr>
          <w:rFonts w:ascii="Times New Roman" w:hAnsi="Times New Roman"/>
          <w:noProof/>
          <w:sz w:val="24"/>
        </w:rPr>
        <w:t>Vaikka Macao on yksi maailman rikkaimmista talouksista asukasta kohden lasketuilla tuloilla mitattuna, tulot jakautuvat hyvin epätasaisesti. Hallitus pyrkii parantamaan hyvinvointia jakojärjestelmällä, joka otettiin käyttöön vuonna 2008. Jokainen vakituinen asukas sai 9 000 patacaa ja jokainen muu kuin vakituinen asukas 5 400 patacaa vuonna 2014. Hallintojohtaja Chui ilmoitti marraskuussa samansuuruisesta maksusta vuonna 2015 ja lisäavustuksista eläkerahastotilin haltijoille sekä erilaisista veroeduista yrityksille ja yksityishenkilöille. Hallituksen vuonna 2014 toteuttama kyselytutkimus osoitti, että hyvinvointikuilu on kaventumassa</w:t>
      </w:r>
      <w:r>
        <w:rPr>
          <w:rFonts w:ascii="Times New Roman" w:hAnsi="Times New Roman"/>
          <w:noProof/>
          <w:sz w:val="24"/>
          <w:vertAlign w:val="superscript"/>
        </w:rPr>
        <w:footnoteReference w:id="6"/>
      </w:r>
      <w:r>
        <w:rPr>
          <w:rFonts w:ascii="Times New Roman" w:hAnsi="Times New Roman"/>
          <w:noProof/>
          <w:sz w:val="24"/>
        </w:rPr>
        <w:t xml:space="preserve">. </w:t>
      </w:r>
    </w:p>
    <w:p>
      <w:pPr>
        <w:jc w:val="both"/>
        <w:rPr>
          <w:rFonts w:ascii="Times New Roman" w:hAnsi="Times New Roman"/>
          <w:noProof/>
          <w:sz w:val="24"/>
          <w:szCs w:val="24"/>
        </w:rPr>
      </w:pPr>
      <w:r>
        <w:rPr>
          <w:rFonts w:ascii="Times New Roman" w:hAnsi="Times New Roman"/>
          <w:noProof/>
          <w:sz w:val="24"/>
        </w:rPr>
        <w:t>Macaon pelialan suuruus tekee alueesta alttiin rahanpesulle, koska peliala tarjoaa laittomille rahavirroille kanavan pois Manner-Kiinasta. Viranomaiset yrittivät vuonna 2014 useaan otteeseen torjua rahanpesua muun muassa lisäämällä kasinomatkanjärjestäjien</w:t>
      </w:r>
      <w:r>
        <w:rPr>
          <w:rFonts w:ascii="Times New Roman" w:hAnsi="Times New Roman"/>
          <w:noProof/>
          <w:sz w:val="24"/>
          <w:vertAlign w:val="superscript"/>
        </w:rPr>
        <w:footnoteReference w:id="7"/>
      </w:r>
      <w:r>
        <w:rPr>
          <w:rFonts w:ascii="Times New Roman" w:hAnsi="Times New Roman"/>
          <w:noProof/>
          <w:sz w:val="24"/>
        </w:rPr>
        <w:t xml:space="preserve"> valvontaa. Useita kasinomatkanjärjestäjien edustajia on pidätetty tai tutkitaan parhaillaan. Macaon hallitus on myös rajoittanut maksukorttien käyttöä kasinoissa hillitäkseen valuuttarajoitusten kiertämistä. Vieraillessaan Macaossa joulukuussa presidentti Xi Jinping totesi, että Macaon kasinoperusteinen kasvu on johtanut ”syvään juurtuneisiin ongelmiin” ja ”kehitysriskeihin”. Macaon olisi parannettava pelialan sääntelyä ja valvontaa. Lisäksi sen pitäisi monipuolistaa talouttaan hyödyntämällä paremmin paikallisia resursseja, erityisesti Helmijoen suistoalueen kanssa tehtävän yhteistyön avulla. Samassa yhteydessä Li Fei, Macaon peruslakikomitean puheenjohtaja ja kansankongressin pysyvän komitean varapääsihteeri, totesi, että pelialan ”ylivoimaisen määräävä asema” oli sekä erityishallintoalueen että koko kansakunnan etujen vastainen.</w:t>
      </w:r>
    </w:p>
    <w:p>
      <w:pPr>
        <w:jc w:val="both"/>
        <w:rPr>
          <w:rFonts w:ascii="Times New Roman" w:hAnsi="Times New Roman"/>
          <w:noProof/>
          <w:sz w:val="24"/>
          <w:szCs w:val="24"/>
        </w:rPr>
      </w:pPr>
      <w:r>
        <w:rPr>
          <w:rFonts w:ascii="Times New Roman" w:hAnsi="Times New Roman"/>
          <w:noProof/>
          <w:sz w:val="24"/>
        </w:rPr>
        <w:t>Jotta Macao voisi monipuolistaa talouttaan Guangdongin maakunnan kanssa tehtävän rajatylittävän yhteistyön avulla, vuonna 2009 perustettiin Kiinan valtioneuvoston luvalla Hengqinin uusi alue</w:t>
      </w:r>
      <w:r>
        <w:rPr>
          <w:rFonts w:ascii="Times New Roman" w:hAnsi="Times New Roman"/>
          <w:noProof/>
          <w:sz w:val="24"/>
          <w:vertAlign w:val="superscript"/>
        </w:rPr>
        <w:footnoteReference w:id="8"/>
      </w:r>
      <w:r>
        <w:rPr>
          <w:rFonts w:ascii="Times New Roman" w:hAnsi="Times New Roman"/>
          <w:noProof/>
          <w:sz w:val="24"/>
        </w:rPr>
        <w:t>. Tavoitteena on kokeilla uudenlaista yhteistyötapaa Guangdongin, Hongkongin ja Macaon välillä. Macaon hallitus oli vuoteen 2014 mennessä saanut macaolaisilta yrityksiltä yhteensä 89 hakemusta Hengqiniin sijoittautumiseksi. Näistä 33 siirrettiin Hengqinin viranomaisten hyväksyttäväksi. Macaolaisten pienten ja keskisuurten yritysten edustajat sanoivat kuitenkin, että ehdot ovat pk-yrityksille liian tiukkoja ja että niillä on vain vähän mahdollisuuksia sijoittautua uudelle alueelle. Macao on alkanut tarkastella yhteistyötä Zhuhain naapurikaupungin Zhongshanin kanssa tarkoituksena mahdollisesti hankkia tai vuokrata toimipaikkoja Macaon teollisuuden kehittämiseksi. Tavaroiden ja ihmisten liikkumisen helpottamiseksi Macaon ja Hengqinin uuden alueen välillä Kiinan valtioneuvosto suostui pidentämään kolmen Macaon ja Zhuhain välisen rajatarkastuspisteen aukioloaikoja 18. joulukuuta alkaen. Tarkastuspisteet palvelevat nyt 24 tuntia vuorokaudessa, mikä helpottaa työmatkaliikennettä. Järjestely auttaa niitä, joilla ei ole varaa elää Macaossa ja jotka sen vuoksi joutuvat etsimään asunnon rajan toiselta puolen. Tämä vähentää Macaon asuntomarkkinoihin kohdistuvaa painetta.</w:t>
      </w:r>
    </w:p>
    <w:p>
      <w:pPr>
        <w:jc w:val="both"/>
        <w:rPr>
          <w:rFonts w:ascii="Times New Roman" w:hAnsi="Times New Roman"/>
          <w:noProof/>
          <w:sz w:val="24"/>
          <w:szCs w:val="24"/>
        </w:rPr>
      </w:pPr>
      <w:r>
        <w:rPr>
          <w:rFonts w:ascii="Times New Roman" w:hAnsi="Times New Roman"/>
          <w:noProof/>
          <w:sz w:val="24"/>
        </w:rPr>
        <w:t>Macaon, Zhuhain ja Hongkongin välisten liikenneyhteyksien kehittäminen on hyvässä vauhdissa. Hongkongin, Zhuhain ja Macaon yhdistävän sillan rakentaminen on tarkoitus saada päätökseen vuoden 2016 lopulla. Guangzhoun ja Zhuhain välisen suurnopeusradan laajennuksen odotetaan ulottuvan Macaoon vuoteen 2015 mennessä merenalaisen tunnelin kautta. Näiden infrastruktuurihankkeiden avulla Manner-Kiinan, Macaon ja Hongkongin väliset matkustusajat lyhenevät erittäin merkittävästi.</w:t>
      </w:r>
    </w:p>
    <w:p>
      <w:pPr>
        <w:jc w:val="both"/>
        <w:rPr>
          <w:rFonts w:ascii="Times New Roman" w:hAnsi="Times New Roman"/>
          <w:noProof/>
          <w:sz w:val="24"/>
          <w:szCs w:val="24"/>
        </w:rPr>
      </w:pPr>
      <w:r>
        <w:rPr>
          <w:rFonts w:ascii="Times New Roman" w:hAnsi="Times New Roman"/>
          <w:noProof/>
          <w:sz w:val="24"/>
        </w:rPr>
        <w:t>Manner-Kiina ja Macao allekirjoittivat joulukuussa täydentävän sopimuksen Guangdongin maakunnan palvelukaupan vapauttamisen perusperiaatteiden käyttöönotosta osana Manner-Kiinan ja Macaon erityishallintoalueen välistä tiiviimpää taloudellista kumppanuutta koskevaa järjestelyä (CEPA). Sopimus täydentää kymmentä tähän mennessä CEPA:n perusteella allekirjoitettua lisäystä. Sopimuksen on tarkoitus toimia mallina koko Kiinan palvelukaupan vapauttamisen perusperiaatteiden käyttöönotolle vuonna 2015. Kiina on sitoutunut ottamaan käyttöön kyseiset perusperiaatteet Macaon kanssa käytävässä palvelukaupassa siihen mennessä, kun 12. kansallisen viisivuotissuunnitelman voimassaolo päättyy vuonna 2015.</w:t>
      </w:r>
    </w:p>
    <w:p>
      <w:pPr>
        <w:jc w:val="both"/>
        <w:rPr>
          <w:rFonts w:ascii="Times New Roman" w:hAnsi="Times New Roman"/>
          <w:noProof/>
          <w:sz w:val="24"/>
          <w:szCs w:val="24"/>
        </w:rPr>
      </w:pPr>
      <w:r>
        <w:rPr>
          <w:rFonts w:ascii="Times New Roman" w:hAnsi="Times New Roman"/>
          <w:noProof/>
          <w:sz w:val="24"/>
        </w:rPr>
        <w:t>Macao läpäisi onnistuneesti I vaiheen vertaisarvioinnin vuonna 2011 ja II vaiheen vertaisarvioinnin vuonna 2013. Arvioinnit suoritti OECD:n verotusta koskevaa avoimuutta ja tietojenvaihtoa käsittelevä maailmanlaajuinen foorumi. Arvioinnit vahvistivat, että sekä Macaon oikeudellinen kehys että toiminnot, jotka liittyvät verotietojen vaihtoon pyynnöstä, täyttävät kansainvälisesti hyväksytyt standardit. Macao on vuodesta 2014 alkaen tehnyt verotusta koskevat sopimukset 20 lainkäyttöalueen kanssa. Näistä viisi sopimusta koskee kaksinkertaista verotusta ja loput viisitoista ovat verotietojen vaihtoa koskevia sopimuksia.</w:t>
      </w:r>
    </w:p>
    <w:p>
      <w:pPr>
        <w:jc w:val="both"/>
        <w:rPr>
          <w:rFonts w:ascii="Times New Roman" w:hAnsi="Times New Roman"/>
          <w:noProof/>
          <w:sz w:val="24"/>
          <w:szCs w:val="24"/>
        </w:rPr>
      </w:pPr>
      <w:r>
        <w:rPr>
          <w:rFonts w:ascii="Times New Roman" w:hAnsi="Times New Roman"/>
          <w:noProof/>
          <w:sz w:val="24"/>
        </w:rPr>
        <w:t xml:space="preserve">Macao on myös suhtautunut myönteisesti maailmanlaajuiseen veronkierron vastaiseen vetoomukseen. Macaon erityishallintoalueen hallitus ilmoitti syyskuussa 2014, että Macao hyväksyisi OECD:n kehittämän tilitietojen automaattista tietojenvaihtoa koskevan maailmanlaajuisen standardin, jota G20-maat tukevat. Viranomaiset totesivat, että Macao muuttaisi lainsäädäntöään, jotta voidaan varmistaa uuden standardin noudattaminen ajallaan. </w:t>
      </w:r>
    </w:p>
    <w:p>
      <w:pPr>
        <w:spacing w:after="100" w:afterAutospacing="1" w:line="240" w:lineRule="auto"/>
        <w:jc w:val="both"/>
        <w:rPr>
          <w:rFonts w:ascii="Times New Roman" w:eastAsia="Times New Roman" w:hAnsi="Times New Roman"/>
          <w:b/>
          <w:noProof/>
          <w:sz w:val="24"/>
          <w:szCs w:val="24"/>
        </w:rPr>
      </w:pPr>
      <w:r>
        <w:rPr>
          <w:rFonts w:ascii="Times New Roman" w:hAnsi="Times New Roman"/>
          <w:b/>
          <w:noProof/>
          <w:sz w:val="24"/>
        </w:rPr>
        <w:t>EU:n ja Macaon kahdenväliset suhteet</w:t>
      </w:r>
    </w:p>
    <w:p>
      <w:pPr>
        <w:jc w:val="both"/>
        <w:rPr>
          <w:rFonts w:ascii="Times New Roman" w:hAnsi="Times New Roman"/>
          <w:noProof/>
          <w:sz w:val="24"/>
          <w:szCs w:val="24"/>
        </w:rPr>
      </w:pPr>
      <w:r>
        <w:rPr>
          <w:rFonts w:ascii="Times New Roman" w:hAnsi="Times New Roman"/>
          <w:noProof/>
          <w:sz w:val="24"/>
        </w:rPr>
        <w:t>EU:n ja Macaon kahdenvälinen kauppa supistui 11 prosenttia ja oli arvoltaan 613 miljoonaa euroa vuonna 2014. EU:n vienti Macaoon väheni 5,9 prosenttia 540 miljoonaan euroon kun Macaon tuontikysyntä mukautui sen hidastuvaan talouskasvuun. EU:n tärkeimpiä vientituotteita olivat ylellisyystavarat, elintarvikkeet ja juomat sekä autot. EU:n tuonti Macaosta laski huomattavasti eli 37 prosenttia ja oli 72 miljoonaa euroa vuonna 2014 Macaon teollisuuspohjan supistuessa edelleen. EU:n kauppa Macaon kanssa oli näin ollen 468 miljoonaa euroa ylijäämäinen. EU oli 24 prosentin osuudellaan jälleen Macaon toiseksi suurin tuoja Kiinan jälkeen. EU ja sen yritykset ovat halukkaita tekemään yhteistyötä Macaon hallituksen kanssa sen pyrkiessä monipuolistamaan alueen taloutta, parantamaan talouskehityksen kestävyyttä ja edistämään kahdenvälistä kauppaa ja investointeja.</w:t>
      </w:r>
    </w:p>
    <w:p>
      <w:pPr>
        <w:jc w:val="both"/>
        <w:rPr>
          <w:rFonts w:ascii="Times New Roman" w:hAnsi="Times New Roman"/>
          <w:noProof/>
          <w:sz w:val="24"/>
          <w:szCs w:val="24"/>
        </w:rPr>
      </w:pPr>
      <w:r>
        <w:rPr>
          <w:rFonts w:ascii="Times New Roman" w:hAnsi="Times New Roman"/>
          <w:noProof/>
          <w:sz w:val="24"/>
        </w:rPr>
        <w:t>EU:n ja Macaon kahdenväliset suhteet kehittyivät edelleen myönteisesti. EU:n ja Macaon kauppa- ja yhteistyösopimuksella perustetun sekakomitean 19. kokous pidettiin Brysselissä 15. heinäkuuta. Kokouksessa tarkasteltiin myönteistä kehitystä talouteen, kauppaan ja koulutusalaan liittyvässä yhteistyössä. Erityistä huomiota kiinnitettiin taloudelliseen yhteistyöhön, jota Macao tekee Manner-Kiinan kanssa CEPA:n ja Helmijoen suistoalueen alueellista yhteistyötä koskevan puitesopimuksen perusteella, myös Hengqinin uudella alueella. Taloudellisten yhteyksien lujittamiseksi EU ja Macao päättivät aloittaa säännöllisen vuoropuhelun helpottaakseen Macaossa toimivien EU:n yritysten ja viranomaisten välistä suoraa yhteydenpitoa ja edistääkseen keskipitkän aikavälin tavoitteita, kuten talouden monipuolistamista.</w:t>
      </w:r>
    </w:p>
    <w:p>
      <w:pPr>
        <w:jc w:val="both"/>
        <w:rPr>
          <w:rFonts w:ascii="Times New Roman" w:hAnsi="Times New Roman"/>
          <w:noProof/>
          <w:sz w:val="24"/>
          <w:szCs w:val="24"/>
        </w:rPr>
      </w:pPr>
      <w:r>
        <w:rPr>
          <w:rFonts w:ascii="Times New Roman" w:hAnsi="Times New Roman"/>
          <w:noProof/>
          <w:sz w:val="24"/>
        </w:rPr>
        <w:t>Vuonna 2013 perustettu Macaon ja Euroopan yhteinen kauppakamari (MECC)</w:t>
      </w:r>
      <w:r>
        <w:rPr>
          <w:rFonts w:ascii="Times New Roman" w:hAnsi="Times New Roman"/>
          <w:noProof/>
          <w:sz w:val="24"/>
          <w:vertAlign w:val="superscript"/>
        </w:rPr>
        <w:footnoteReference w:id="9"/>
      </w:r>
      <w:r>
        <w:rPr>
          <w:rFonts w:ascii="Times New Roman" w:hAnsi="Times New Roman"/>
          <w:noProof/>
          <w:sz w:val="24"/>
        </w:rPr>
        <w:t xml:space="preserve"> sai lisävauhtia toimintojen laajentuessa. Yhteistyössä Hongkongissa sijaitsevan Euroopan kauppakamarin kanssa MECC koordinoi eurooppalaisten yritysten osallistumista maaliskuussa järjestettyyn Macaon kansainväliseen ympäristöalan yhteistyöfoorumiin ja näyttelyyn (38 eurooppalaista näytteilleasettajaa 12:sta EU:n jäsenvaltiosta) ja lokakuussa järjestetyille Macaon kansainvälisille kauppa- ja sijoitusmessuille (osallistujia 11 jäsenvaltiosta). MECC:n rooli kasvaa osana tulevaa EU:n ja Macaon välistä liike-elämän vuoropuhelua.</w:t>
      </w:r>
    </w:p>
    <w:p>
      <w:pPr>
        <w:jc w:val="both"/>
        <w:rPr>
          <w:rFonts w:ascii="Times New Roman" w:hAnsi="Times New Roman"/>
          <w:noProof/>
          <w:sz w:val="24"/>
          <w:szCs w:val="24"/>
        </w:rPr>
      </w:pPr>
      <w:r>
        <w:rPr>
          <w:rFonts w:ascii="Times New Roman" w:hAnsi="Times New Roman"/>
          <w:noProof/>
          <w:sz w:val="24"/>
        </w:rPr>
        <w:t>Macaossa järjestettiin monia uusia toimia Euroopan unionin akateemisen ohjelman (EUAP) puitteissa. Ohjelmaa hallinnoi Macaon yliopiston johtama yhteenliittymä. Sen puitteissa kuultiin vierailevia puhujia sekä järjestettiin seminaareja ja ensimmäinen EU:n ja Kiinan suhteita käsittelevä kansainvälinen konferenssi, johon osallistui 12 korkeakoulua seitsemästä maasta. Myös ohjelmaan liittyviä tiedotustoimia laajennettiin järjestämällä ensimmäinen EU:n kesäkurssi paikallisille nuorille opiskelijoille sekä EU:n ”lyhytelokuvahaaste”, jonka puitteissa tuotettiin yhdeksän EU:n ja Macaon suhteita käsittelevää lyhytelokuvaa. Lisäksi EUAP:n puitteissa järjestettiin toisen kerran suosittu simulaatio Eurooppa-neuvoston kokouksesta. Voittajat osallistuivat Brysseliin suuntautuneeseen opintomatkaan. Eurooppa-päivän juhlallisuuksia varten akateemisen ohjelman puitteissa toteutettiin EU-viikko, jonka aikana järjestettiin seminaareja ja toimintaa nuorille.</w:t>
      </w:r>
    </w:p>
    <w:p>
      <w:pPr>
        <w:jc w:val="both"/>
        <w:rPr>
          <w:rFonts w:ascii="Times New Roman" w:hAnsi="Times New Roman"/>
          <w:noProof/>
          <w:sz w:val="24"/>
          <w:szCs w:val="24"/>
        </w:rPr>
      </w:pPr>
      <w:r>
        <w:rPr>
          <w:rFonts w:ascii="Times New Roman" w:hAnsi="Times New Roman"/>
          <w:noProof/>
          <w:sz w:val="24"/>
        </w:rPr>
        <w:t>Euroopan komissio jatkoi yhteistyötä Macaon polyteknisen instituutin kanssa kääntäjien ja tulkkien (kiina–portugali) koulutuksen tiimoilta ja edisti näin Macaon asemaa Kiinan ja portugalinkielisten maiden välisenä foorumina.</w:t>
      </w:r>
    </w:p>
    <w:p>
      <w:pPr>
        <w:jc w:val="both"/>
        <w:rPr>
          <w:rFonts w:ascii="Times New Roman" w:hAnsi="Times New Roman"/>
          <w:noProof/>
          <w:sz w:val="24"/>
          <w:szCs w:val="24"/>
        </w:rPr>
      </w:pPr>
      <w:r>
        <w:rPr>
          <w:rFonts w:ascii="Times New Roman" w:hAnsi="Times New Roman"/>
          <w:noProof/>
          <w:sz w:val="24"/>
        </w:rPr>
        <w:t>Vuoden 2015 tärkeimpiä painopisteitä ovat yhteistyö Macaon talouden monipuolistamiseksi, CEPA:n mahdollisten hyötyjen maksimointi sekä paikallisten että Macaossa toimivien eurooppalaisten yritysten osalta ja sääntelyn lähentäminen sellaisilla aloilla kuin kilpailupolitiikka, julkiset hankinnat ja teollis- ja tekijänoikeudet.</w:t>
      </w:r>
    </w:p>
    <w:p>
      <w:pPr>
        <w:spacing w:after="0" w:line="240" w:lineRule="auto"/>
        <w:jc w:val="center"/>
        <w:rPr>
          <w:rFonts w:ascii="Times New Roman" w:eastAsia="Times New Roman" w:hAnsi="Times New Roman"/>
          <w:noProof/>
          <w:color w:val="7030A0"/>
          <w:sz w:val="24"/>
          <w:szCs w:val="24"/>
        </w:rPr>
      </w:pPr>
    </w:p>
    <w:p>
      <w:pPr>
        <w:rPr>
          <w:noProof/>
        </w:rPr>
      </w:pPr>
    </w:p>
    <w:sectPr>
      <w:headerReference w:type="even" r:id="rId16"/>
      <w:headerReference w:type="default" r:id="rId17"/>
      <w:footerReference w:type="even" r:id="rId18"/>
      <w:footerReference w:type="default" r:id="rId19"/>
      <w:headerReference w:type="first" r:id="rId20"/>
      <w:footerReference w:type="first" r:id="rId21"/>
      <w:pgSz w:w="11907" w:h="16839"/>
      <w:pgMar w:top="1134" w:right="1417" w:bottom="1134" w:left="1417" w:header="709" w:footer="120"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FI</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FI</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11</w:t>
    </w:r>
    <w:r>
      <w:rPr>
        <w:noProof/>
      </w:rPr>
      <w:fldChar w:fldCharType="end"/>
    </w:r>
  </w:p>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ind w:left="284" w:hanging="284"/>
        <w:rPr>
          <w:sz w:val="18"/>
        </w:rPr>
      </w:pPr>
      <w:r>
        <w:rPr>
          <w:rStyle w:val="FootnoteReference"/>
          <w:sz w:val="18"/>
        </w:rPr>
        <w:footnoteRef/>
      </w:r>
      <w:r>
        <w:rPr>
          <w:sz w:val="18"/>
        </w:rPr>
        <w:t xml:space="preserve"> </w:t>
      </w:r>
      <w:r>
        <w:tab/>
      </w:r>
      <w:r>
        <w:rPr>
          <w:sz w:val="18"/>
        </w:rPr>
        <w:t>Macaon BKT asukasta kohden oli nimellismääräisesti 697 502 Macaon patacaa (91 376 Yhdysvaltain dollaria) vuonna 2013, minkä ansiosta Macao kuului maailman kuuden rikkaimman talouden joukkoon (Maailmanpankin tiedot).</w:t>
      </w:r>
    </w:p>
  </w:footnote>
  <w:footnote w:id="2">
    <w:p>
      <w:pPr>
        <w:pStyle w:val="FootnoteText"/>
        <w:ind w:left="284" w:hanging="284"/>
        <w:rPr>
          <w:sz w:val="18"/>
        </w:rPr>
      </w:pPr>
      <w:r>
        <w:rPr>
          <w:rStyle w:val="FootnoteReference"/>
          <w:sz w:val="18"/>
        </w:rPr>
        <w:footnoteRef/>
      </w:r>
      <w:r>
        <w:rPr>
          <w:sz w:val="18"/>
        </w:rPr>
        <w:t xml:space="preserve"> </w:t>
      </w:r>
      <w:r>
        <w:tab/>
      </w:r>
      <w:r>
        <w:rPr>
          <w:sz w:val="18"/>
        </w:rPr>
        <w:t>Macaon teollisuusrakenne 2013, Macaon erityishallintoalueen hallituksen tilasto- ja väestönlaskentakeskus.</w:t>
      </w:r>
    </w:p>
  </w:footnote>
  <w:footnote w:id="3">
    <w:p>
      <w:pPr>
        <w:pStyle w:val="FootnoteText"/>
        <w:ind w:left="284" w:hanging="284"/>
        <w:rPr>
          <w:sz w:val="18"/>
        </w:rPr>
      </w:pPr>
      <w:r>
        <w:rPr>
          <w:rStyle w:val="FootnoteReference"/>
          <w:sz w:val="18"/>
        </w:rPr>
        <w:footnoteRef/>
      </w:r>
      <w:r>
        <w:rPr>
          <w:sz w:val="18"/>
        </w:rPr>
        <w:t xml:space="preserve"> </w:t>
      </w:r>
      <w:r>
        <w:tab/>
      </w:r>
      <w:r>
        <w:rPr>
          <w:sz w:val="18"/>
        </w:rPr>
        <w:t>Macaon erityishallintoalueen hallituksen tilasto- ja väestönlaskentakeskuksen tilastojen mukaan yhteensä 87 000 työntekijää eli 21,5 prosenttia koko työvoimasta oli pelialan palveluksessa vuoden 2014 viimeisellä neljänneksellä.</w:t>
      </w:r>
    </w:p>
  </w:footnote>
  <w:footnote w:id="4">
    <w:p>
      <w:pPr>
        <w:pStyle w:val="FootnoteText"/>
        <w:ind w:left="284" w:hanging="284"/>
        <w:rPr>
          <w:sz w:val="18"/>
        </w:rPr>
      </w:pPr>
      <w:r>
        <w:rPr>
          <w:rStyle w:val="FootnoteReference"/>
          <w:sz w:val="18"/>
        </w:rPr>
        <w:footnoteRef/>
      </w:r>
      <w:r>
        <w:rPr>
          <w:sz w:val="18"/>
        </w:rPr>
        <w:t xml:space="preserve"> </w:t>
      </w:r>
      <w:r>
        <w:tab/>
      </w:r>
      <w:r>
        <w:rPr>
          <w:sz w:val="18"/>
        </w:rPr>
        <w:t>Macaon erityishallintoalueen hallituksen rahoituspalvelutoimiston julkaisemien alustavien tietojen mukaan pelialan välittömät verot olivat 128,9 miljardia Macaon patacaa eli 82,5 prosenttia verotuloista vuonna 2014.</w:t>
      </w:r>
    </w:p>
  </w:footnote>
  <w:footnote w:id="5">
    <w:p>
      <w:pPr>
        <w:pStyle w:val="FootnoteText"/>
        <w:ind w:left="284" w:hanging="284"/>
        <w:rPr>
          <w:sz w:val="18"/>
        </w:rPr>
      </w:pPr>
      <w:r>
        <w:rPr>
          <w:rStyle w:val="FootnoteReference"/>
          <w:sz w:val="18"/>
        </w:rPr>
        <w:footnoteRef/>
      </w:r>
      <w:r>
        <w:rPr>
          <w:sz w:val="18"/>
        </w:rPr>
        <w:t xml:space="preserve"> </w:t>
      </w:r>
      <w:r>
        <w:tab/>
      </w:r>
      <w:r>
        <w:rPr>
          <w:sz w:val="18"/>
        </w:rPr>
        <w:t>Jollei toisin mainita, tässä käytetyt Macaon taloutta koskevat indikaattorit on saatu Macaon erityishallintoalueen hallituksen tilasto- ja väestönlaskentakeskukselta.</w:t>
      </w:r>
    </w:p>
  </w:footnote>
  <w:footnote w:id="6">
    <w:p>
      <w:pPr>
        <w:pStyle w:val="FootnoteText"/>
        <w:ind w:left="284" w:hanging="284"/>
        <w:rPr>
          <w:sz w:val="18"/>
          <w:szCs w:val="18"/>
        </w:rPr>
      </w:pPr>
      <w:r>
        <w:rPr>
          <w:rStyle w:val="FootnoteReference"/>
          <w:sz w:val="18"/>
        </w:rPr>
        <w:footnoteRef/>
      </w:r>
      <w:r>
        <w:rPr>
          <w:sz w:val="18"/>
        </w:rPr>
        <w:t xml:space="preserve"> </w:t>
      </w:r>
      <w:r>
        <w:tab/>
      </w:r>
      <w:r>
        <w:rPr>
          <w:sz w:val="18"/>
        </w:rPr>
        <w:t>Macaon erityishallintoalueen hallituksen tilasto- ja väestönlaskentakeskuksen huhtikuussa 2014 julkaiseman kotitalouksien varallisuuskyselyn (</w:t>
      </w:r>
      <w:r>
        <w:rPr>
          <w:i/>
          <w:sz w:val="18"/>
        </w:rPr>
        <w:t>Household Budget Survey)</w:t>
      </w:r>
      <w:r>
        <w:rPr>
          <w:sz w:val="18"/>
        </w:rPr>
        <w:t xml:space="preserve"> mukaan Macaon keskittyneisyyskerroin oli 0,35 asteikolla 0–1 vuosina 2012–2013 kun se vuosina 2007–2008 oli 0,38.</w:t>
      </w:r>
    </w:p>
  </w:footnote>
  <w:footnote w:id="7">
    <w:p>
      <w:pPr>
        <w:pStyle w:val="FootnoteText"/>
        <w:ind w:left="284" w:hanging="284"/>
        <w:rPr>
          <w:sz w:val="18"/>
          <w:szCs w:val="18"/>
        </w:rPr>
      </w:pPr>
      <w:r>
        <w:rPr>
          <w:rStyle w:val="FootnoteReference"/>
          <w:sz w:val="18"/>
        </w:rPr>
        <w:footnoteRef/>
      </w:r>
      <w:r>
        <w:rPr>
          <w:sz w:val="18"/>
        </w:rPr>
        <w:t xml:space="preserve"> </w:t>
      </w:r>
      <w:r>
        <w:tab/>
      </w:r>
      <w:r>
        <w:rPr>
          <w:sz w:val="18"/>
        </w:rPr>
        <w:t xml:space="preserve">Kasinomatkanjärjestäjät (engl. </w:t>
      </w:r>
      <w:r>
        <w:rPr>
          <w:i/>
          <w:sz w:val="18"/>
        </w:rPr>
        <w:t>junkets</w:t>
      </w:r>
      <w:r>
        <w:rPr>
          <w:sz w:val="18"/>
        </w:rPr>
        <w:t>) ovat välittäjiä, jotka tuovat paljon rahaa kuluttavia asiakkaita kasinolle, myöntävät heille luottoa ja keräävät velat palkkiota vastaan.</w:t>
      </w:r>
    </w:p>
  </w:footnote>
  <w:footnote w:id="8">
    <w:p>
      <w:pPr>
        <w:pStyle w:val="FootnoteText"/>
        <w:ind w:left="284" w:hanging="284"/>
        <w:rPr>
          <w:sz w:val="18"/>
          <w:lang w:val="en-GB"/>
        </w:rPr>
      </w:pPr>
      <w:r>
        <w:rPr>
          <w:rStyle w:val="FootnoteReference"/>
          <w:sz w:val="18"/>
        </w:rPr>
        <w:footnoteRef/>
      </w:r>
      <w:r>
        <w:rPr>
          <w:sz w:val="18"/>
        </w:rPr>
        <w:t xml:space="preserve"> </w:t>
      </w:r>
      <w:r>
        <w:tab/>
      </w:r>
      <w:r>
        <w:rPr>
          <w:sz w:val="18"/>
        </w:rPr>
        <w:t xml:space="preserve">Hengqinin uusi alue sijaitsee Hengqinin saarella Zhuhain kaupungin eteläpuolella Guangdongin maakunnassa. </w:t>
      </w:r>
      <w:r>
        <w:rPr>
          <w:sz w:val="18"/>
          <w:lang w:val="en-GB"/>
        </w:rPr>
        <w:t>Se on yhdistetty Macaoon sillalla.</w:t>
      </w:r>
    </w:p>
  </w:footnote>
  <w:footnote w:id="9">
    <w:p>
      <w:pPr>
        <w:pStyle w:val="FootnoteText"/>
        <w:spacing w:after="120"/>
        <w:ind w:left="284" w:hanging="284"/>
        <w:rPr>
          <w:sz w:val="18"/>
          <w:szCs w:val="18"/>
          <w:lang w:val="en-GB"/>
        </w:rPr>
      </w:pPr>
      <w:r>
        <w:rPr>
          <w:rStyle w:val="FootnoteReference"/>
        </w:rPr>
        <w:footnoteRef/>
      </w:r>
      <w:r>
        <w:rPr>
          <w:lang w:val="en-GB"/>
        </w:rPr>
        <w:t xml:space="preserve"> </w:t>
      </w:r>
      <w:r>
        <w:rPr>
          <w:lang w:val="en-GB"/>
        </w:rPr>
        <w:tab/>
      </w:r>
      <w:r>
        <w:rPr>
          <w:sz w:val="18"/>
          <w:lang w:val="en-GB"/>
        </w:rPr>
        <w:t>MECC on hybridikauppakamari, jonka jäseninä on sekä EU:n jäsenvaltioiden kauppakamareita (British Business Association of Macao, France</w:t>
      </w:r>
      <w:r>
        <w:rPr>
          <w:lang w:val="en-GB"/>
        </w:rPr>
        <w:noBreakHyphen/>
      </w:r>
      <w:r>
        <w:rPr>
          <w:sz w:val="18"/>
          <w:lang w:val="en-GB"/>
        </w:rPr>
        <w:t>Macau Business Association, German</w:t>
      </w:r>
      <w:r>
        <w:rPr>
          <w:lang w:val="en-GB"/>
        </w:rPr>
        <w:noBreakHyphen/>
      </w:r>
      <w:r>
        <w:rPr>
          <w:sz w:val="18"/>
          <w:lang w:val="en-GB"/>
        </w:rPr>
        <w:t>Macau Business Association, Irish Chamber of Commerce in Macau, Macao-Romania Chamber of Commerce ja Portuguese-Chinese Chamber of Commerce and Industry) että yksittäisiä yrityksiä.</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05028470"/>
    <w:lvl w:ilvl="0">
      <w:start w:val="1"/>
      <w:numFmt w:val="decimal"/>
      <w:pStyle w:val="ListNumber4"/>
      <w:lvlText w:val="%1."/>
      <w:lvlJc w:val="left"/>
      <w:pPr>
        <w:tabs>
          <w:tab w:val="num" w:pos="1209"/>
        </w:tabs>
        <w:ind w:left="1209" w:hanging="360"/>
      </w:pPr>
      <w:rPr>
        <w:rFonts w:cs="Times New Roman"/>
      </w:rPr>
    </w:lvl>
  </w:abstractNum>
  <w:abstractNum w:abstractNumId="1">
    <w:nsid w:val="FFFFFF7E"/>
    <w:multiLevelType w:val="singleLevel"/>
    <w:tmpl w:val="F754E60C"/>
    <w:lvl w:ilvl="0">
      <w:start w:val="1"/>
      <w:numFmt w:val="decimal"/>
      <w:pStyle w:val="ListNumber3"/>
      <w:lvlText w:val="%1."/>
      <w:lvlJc w:val="left"/>
      <w:pPr>
        <w:tabs>
          <w:tab w:val="num" w:pos="926"/>
        </w:tabs>
        <w:ind w:left="926" w:hanging="360"/>
      </w:pPr>
      <w:rPr>
        <w:rFonts w:cs="Times New Roman"/>
      </w:rPr>
    </w:lvl>
  </w:abstractNum>
  <w:abstractNum w:abstractNumId="2">
    <w:nsid w:val="FFFFFF7F"/>
    <w:multiLevelType w:val="singleLevel"/>
    <w:tmpl w:val="F5DEE64A"/>
    <w:lvl w:ilvl="0">
      <w:start w:val="1"/>
      <w:numFmt w:val="decimal"/>
      <w:pStyle w:val="ListNumber2"/>
      <w:lvlText w:val="%1."/>
      <w:lvlJc w:val="left"/>
      <w:pPr>
        <w:tabs>
          <w:tab w:val="num" w:pos="643"/>
        </w:tabs>
        <w:ind w:left="643" w:hanging="360"/>
      </w:pPr>
      <w:rPr>
        <w:rFonts w:cs="Times New Roman"/>
      </w:rPr>
    </w:lvl>
  </w:abstractNum>
  <w:abstractNum w:abstractNumId="3">
    <w:nsid w:val="FFFFFF81"/>
    <w:multiLevelType w:val="singleLevel"/>
    <w:tmpl w:val="7A42D546"/>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30C2D578"/>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DDC6936E"/>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2C58A5AE"/>
    <w:lvl w:ilvl="0">
      <w:start w:val="1"/>
      <w:numFmt w:val="decimal"/>
      <w:pStyle w:val="ListNumber"/>
      <w:lvlText w:val="%1."/>
      <w:lvlJc w:val="left"/>
      <w:pPr>
        <w:tabs>
          <w:tab w:val="num" w:pos="360"/>
        </w:tabs>
        <w:ind w:left="360" w:hanging="360"/>
      </w:pPr>
      <w:rPr>
        <w:rFonts w:cs="Times New Roman"/>
      </w:rPr>
    </w:lvl>
  </w:abstractNum>
  <w:abstractNum w:abstractNumId="7">
    <w:nsid w:val="FFFFFF89"/>
    <w:multiLevelType w:val="singleLevel"/>
    <w:tmpl w:val="C4AA5432"/>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rPr>
        <w:rFonts w:cs="Times New Roman"/>
      </w:rPr>
    </w:lvl>
    <w:lvl w:ilvl="1">
      <w:start w:val="1"/>
      <w:numFmt w:val="decimal"/>
      <w:pStyle w:val="Heading2"/>
      <w:lvlText w:val="%1.%2."/>
      <w:lvlJc w:val="left"/>
      <w:pPr>
        <w:tabs>
          <w:tab w:val="num" w:pos="850"/>
        </w:tabs>
        <w:ind w:left="850" w:hanging="850"/>
      </w:pPr>
      <w:rPr>
        <w:rFonts w:cs="Times New Roman"/>
      </w:rPr>
    </w:lvl>
    <w:lvl w:ilvl="2">
      <w:start w:val="1"/>
      <w:numFmt w:val="decimal"/>
      <w:pStyle w:val="Heading3"/>
      <w:lvlText w:val="%1.%2.%3."/>
      <w:lvlJc w:val="left"/>
      <w:pPr>
        <w:tabs>
          <w:tab w:val="num" w:pos="850"/>
        </w:tabs>
        <w:ind w:left="850" w:hanging="850"/>
      </w:pPr>
      <w:rPr>
        <w:rFonts w:cs="Times New Roman"/>
      </w:rPr>
    </w:lvl>
    <w:lvl w:ilvl="3">
      <w:start w:val="1"/>
      <w:numFmt w:val="decimal"/>
      <w:pStyle w:val="Heading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5C26F71"/>
    <w:multiLevelType w:val="multilevel"/>
    <w:tmpl w:val="A460784C"/>
    <w:lvl w:ilvl="0">
      <w:start w:val="1"/>
      <w:numFmt w:val="decimal"/>
      <w:lvlRestart w:val="0"/>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rPr>
        <w:rFonts w:cs="Times New Roman"/>
      </w:r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21"/>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revisionView w:markup="0"/>
  <w:doNotTrackMoves/>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VERPAGE_EXISTS" w:val="True"/>
    <w:docVar w:name="DocStatus" w:val="Green"/>
    <w:docVar w:name="LW_CONFIDENCE" w:val=" "/>
    <w:docVar w:name="LW_CONST_RESTREINT_UE" w:val="RESTREINT UE"/>
    <w:docVar w:name="LW_CORRIGENDUM" w:val="&lt;UNUSED&gt;"/>
    <w:docVar w:name="LW_COVERPAGE_GUID" w:val="2920DD96A69C40BB9A76DF7F035B4516"/>
    <w:docVar w:name="LW_CROSSREFERENCE" w:val="&lt;UNUSED&gt;"/>
    <w:docVar w:name="LW_DocType" w:val="NORMAL"/>
    <w:docVar w:name="LW_EMISSION" w:val="24.4.2015"/>
    <w:docVar w:name="LW_EMISSION_ISODATE" w:val="2015-04-24"/>
    <w:docVar w:name="LW_EMISSION_LOCATION" w:val="BRX"/>
    <w:docVar w:name="LW_EMISSION_PREFIX" w:val="Bryssel "/>
    <w:docVar w:name="LW_EMISSION_SUFFIX" w:val=" "/>
    <w:docVar w:name="LW_ID_DOCTYPE_NONLW" w:val="CP-018"/>
    <w:docVar w:name="LW_LANGUE" w:val="FI"/>
    <w:docVar w:name="LW_MARKING" w:val="&lt;UNUSED&gt;"/>
    <w:docVar w:name="LW_NOM.INST" w:val="EUROOPAN KOMISSIO"/>
    <w:docVar w:name="LW_NOM.INST_JOINTDOC" w:val="UNIONIN ULKOASIOIDEN_x000b_JA TURVALLISUUSPOLITIIKAN_x000b_KORKEA EDUSTAJA"/>
    <w:docVar w:name="LW_PART_NBR" w:val="1"/>
    <w:docVar w:name="LW_PART_NBR_TOTAL" w:val="1"/>
    <w:docVar w:name="LW_REF.INST.NEW" w:val="JOIN"/>
    <w:docVar w:name="LW_REF.INST.NEW_ADOPTED" w:val="final"/>
    <w:docVar w:name="LW_REF.INST.NEW_TEXT" w:val="(2015) 13"/>
    <w:docVar w:name="LW_REF.INTERNE" w:val="&lt;UNUSED&gt;"/>
    <w:docVar w:name="LW_SOUS.TITRE.OBJ.CP" w:val="&lt;UNUSED&gt;"/>
    <w:docVar w:name="LW_SUPERTITRE" w:val="&lt;UNUSED&gt;"/>
    <w:docVar w:name="LW_TITRE.OBJ.CP" w:val="Macaon erityishallintoalue: vuosikertomus 2014"/>
    <w:docVar w:name="LW_TYPE.DOC.CP" w:val="YHTEINEN KERTOMUS EUROOPAN PARLAMENTILLE JA NEUVOSTOLLE"/>
  </w:docVar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i-FI" w:eastAsia="fi-FI" w:bidi="fi-FI"/>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caption" w:uiPriority="0" w:qFormat="1"/>
    <w:lsdException w:name="table of figures" w:uiPriority="0"/>
    <w:lsdException w:name="footnote reference" w:uiPriority="0"/>
    <w:lsdException w:name="annotation reference" w:uiPriority="0"/>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Text1"/>
    <w:link w:val="Heading1Char"/>
    <w:qFormat/>
    <w:pPr>
      <w:keepNext/>
      <w:numPr>
        <w:numId w:val="16"/>
      </w:numPr>
      <w:spacing w:before="360" w:after="120" w:line="240" w:lineRule="auto"/>
      <w:jc w:val="both"/>
      <w:outlineLvl w:val="0"/>
    </w:pPr>
    <w:rPr>
      <w:rFonts w:ascii="Times New Roman" w:eastAsia="Times New Roman" w:hAnsi="Times New Roman"/>
      <w:b/>
      <w:bCs/>
      <w:smallCaps/>
      <w:sz w:val="24"/>
      <w:szCs w:val="32"/>
    </w:rPr>
  </w:style>
  <w:style w:type="paragraph" w:styleId="Heading2">
    <w:name w:val="heading 2"/>
    <w:basedOn w:val="Normal"/>
    <w:next w:val="Text1"/>
    <w:link w:val="Heading2Char"/>
    <w:qFormat/>
    <w:pPr>
      <w:keepNext/>
      <w:numPr>
        <w:ilvl w:val="1"/>
        <w:numId w:val="16"/>
      </w:numPr>
      <w:spacing w:before="120" w:after="120" w:line="240" w:lineRule="auto"/>
      <w:jc w:val="both"/>
      <w:outlineLvl w:val="1"/>
    </w:pPr>
    <w:rPr>
      <w:rFonts w:ascii="Times New Roman" w:eastAsia="Times New Roman" w:hAnsi="Times New Roman"/>
      <w:b/>
      <w:bCs/>
      <w:iCs/>
      <w:sz w:val="24"/>
      <w:szCs w:val="28"/>
    </w:rPr>
  </w:style>
  <w:style w:type="paragraph" w:styleId="Heading3">
    <w:name w:val="heading 3"/>
    <w:basedOn w:val="Normal"/>
    <w:next w:val="Text1"/>
    <w:link w:val="Heading3Char"/>
    <w:qFormat/>
    <w:pPr>
      <w:keepNext/>
      <w:numPr>
        <w:ilvl w:val="2"/>
        <w:numId w:val="16"/>
      </w:numPr>
      <w:spacing w:before="120" w:after="120" w:line="240" w:lineRule="auto"/>
      <w:jc w:val="both"/>
      <w:outlineLvl w:val="2"/>
    </w:pPr>
    <w:rPr>
      <w:rFonts w:ascii="Times New Roman" w:eastAsia="Times New Roman" w:hAnsi="Times New Roman"/>
      <w:bCs/>
      <w:i/>
      <w:sz w:val="24"/>
      <w:szCs w:val="26"/>
    </w:rPr>
  </w:style>
  <w:style w:type="paragraph" w:styleId="Heading4">
    <w:name w:val="heading 4"/>
    <w:basedOn w:val="Normal"/>
    <w:next w:val="Text1"/>
    <w:link w:val="Heading4Char"/>
    <w:qFormat/>
    <w:pPr>
      <w:keepNext/>
      <w:numPr>
        <w:ilvl w:val="3"/>
        <w:numId w:val="16"/>
      </w:numPr>
      <w:spacing w:before="120" w:after="120" w:line="240" w:lineRule="auto"/>
      <w:jc w:val="both"/>
      <w:outlineLvl w:val="3"/>
    </w:pPr>
    <w:rPr>
      <w:rFonts w:ascii="Times New Roman" w:eastAsia="Times New Roman" w:hAnsi="Times New Roman"/>
      <w:bCs/>
      <w:sz w:val="24"/>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b/>
      <w:bCs/>
      <w:smallCaps/>
      <w:sz w:val="24"/>
      <w:szCs w:val="32"/>
      <w:lang w:eastAsia="fi-FI"/>
    </w:rPr>
  </w:style>
  <w:style w:type="character" w:customStyle="1" w:styleId="Heading2Char">
    <w:name w:val="Heading 2 Char"/>
    <w:link w:val="Heading2"/>
    <w:rPr>
      <w:rFonts w:ascii="Times New Roman" w:eastAsia="Times New Roman" w:hAnsi="Times New Roman"/>
      <w:b/>
      <w:bCs/>
      <w:iCs/>
      <w:sz w:val="24"/>
      <w:szCs w:val="28"/>
      <w:lang w:eastAsia="fi-FI"/>
    </w:rPr>
  </w:style>
  <w:style w:type="character" w:customStyle="1" w:styleId="Heading3Char">
    <w:name w:val="Heading 3 Char"/>
    <w:link w:val="Heading3"/>
    <w:rPr>
      <w:rFonts w:ascii="Times New Roman" w:eastAsia="Times New Roman" w:hAnsi="Times New Roman"/>
      <w:bCs/>
      <w:i/>
      <w:sz w:val="24"/>
      <w:szCs w:val="26"/>
      <w:lang w:eastAsia="fi-FI"/>
    </w:rPr>
  </w:style>
  <w:style w:type="character" w:customStyle="1" w:styleId="Heading4Char">
    <w:name w:val="Heading 4 Char"/>
    <w:link w:val="Heading4"/>
    <w:rPr>
      <w:rFonts w:ascii="Times New Roman" w:eastAsia="Times New Roman" w:hAnsi="Times New Roman"/>
      <w:bCs/>
      <w:sz w:val="24"/>
      <w:szCs w:val="28"/>
      <w:lang w:eastAsia="fi-FI"/>
    </w:rPr>
  </w:style>
  <w:style w:type="numbering" w:customStyle="1" w:styleId="NoList1">
    <w:name w:val="No List1"/>
    <w:next w:val="NoList"/>
    <w:uiPriority w:val="99"/>
    <w:semiHidden/>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sz w:val="24"/>
    </w:rPr>
  </w:style>
  <w:style w:type="character" w:customStyle="1" w:styleId="HeaderChar">
    <w:name w:val="Header Char"/>
    <w:link w:val="Header"/>
    <w:uiPriority w:val="99"/>
    <w:rPr>
      <w:rFonts w:ascii="Times New Roman" w:hAnsi="Times New Roman"/>
      <w:sz w:val="24"/>
      <w:szCs w:val="22"/>
      <w:lang w:eastAsia="fi-FI"/>
    </w:rPr>
  </w:style>
  <w:style w:type="paragraph" w:styleId="Footer">
    <w:name w:val="footer"/>
    <w:basedOn w:val="Normal"/>
    <w:link w:val="FooterChar"/>
    <w:uiPriority w:val="99"/>
    <w:pPr>
      <w:tabs>
        <w:tab w:val="center" w:pos="4535"/>
        <w:tab w:val="right" w:pos="9071"/>
        <w:tab w:val="right" w:pos="9921"/>
      </w:tabs>
      <w:spacing w:before="360" w:after="0" w:line="240" w:lineRule="auto"/>
      <w:ind w:left="-850" w:right="-850"/>
    </w:pPr>
    <w:rPr>
      <w:rFonts w:ascii="Times New Roman" w:eastAsia="Times New Roman" w:hAnsi="Times New Roman"/>
      <w:sz w:val="24"/>
      <w:szCs w:val="24"/>
    </w:rPr>
  </w:style>
  <w:style w:type="character" w:customStyle="1" w:styleId="FooterChar">
    <w:name w:val="Footer Char"/>
    <w:link w:val="Footer"/>
    <w:uiPriority w:val="99"/>
    <w:rPr>
      <w:rFonts w:ascii="Times New Roman" w:eastAsia="Times New Roman" w:hAnsi="Times New Roman"/>
      <w:sz w:val="24"/>
      <w:szCs w:val="24"/>
      <w:lang w:eastAsia="fi-FI"/>
    </w:rPr>
  </w:style>
  <w:style w:type="paragraph" w:styleId="FootnoteText">
    <w:name w:val="footnote text"/>
    <w:basedOn w:val="Normal"/>
    <w:link w:val="FootnoteTextChar"/>
    <w:uiPriority w:val="99"/>
    <w:semiHidden/>
    <w:pPr>
      <w:spacing w:after="0" w:line="240" w:lineRule="auto"/>
      <w:ind w:left="720" w:hanging="720"/>
      <w:jc w:val="both"/>
    </w:pPr>
    <w:rPr>
      <w:rFonts w:ascii="Times New Roman" w:eastAsia="Times New Roman" w:hAnsi="Times New Roman"/>
      <w:sz w:val="20"/>
      <w:szCs w:val="20"/>
    </w:rPr>
  </w:style>
  <w:style w:type="character" w:customStyle="1" w:styleId="FootnoteTextChar">
    <w:name w:val="Footnote Text Char"/>
    <w:link w:val="FootnoteText"/>
    <w:uiPriority w:val="99"/>
    <w:semiHidden/>
    <w:rPr>
      <w:rFonts w:ascii="Times New Roman" w:eastAsia="Times New Roman" w:hAnsi="Times New Roman"/>
      <w:lang w:val="fi-FI" w:eastAsia="fi-FI"/>
    </w:rPr>
  </w:style>
  <w:style w:type="paragraph" w:styleId="TOC1">
    <w:name w:val="toc 1"/>
    <w:basedOn w:val="Normal"/>
    <w:next w:val="Normal"/>
    <w:semiHidden/>
    <w:pPr>
      <w:tabs>
        <w:tab w:val="right" w:leader="dot" w:pos="9071"/>
      </w:tabs>
      <w:spacing w:before="60" w:after="120" w:line="240" w:lineRule="auto"/>
      <w:ind w:left="850" w:hanging="850"/>
    </w:pPr>
    <w:rPr>
      <w:rFonts w:ascii="Times New Roman" w:eastAsia="Times New Roman" w:hAnsi="Times New Roman"/>
      <w:sz w:val="24"/>
      <w:szCs w:val="24"/>
    </w:rPr>
  </w:style>
  <w:style w:type="paragraph" w:styleId="TOC2">
    <w:name w:val="toc 2"/>
    <w:basedOn w:val="Normal"/>
    <w:next w:val="Normal"/>
    <w:semiHidden/>
    <w:pPr>
      <w:tabs>
        <w:tab w:val="right" w:leader="dot" w:pos="9071"/>
      </w:tabs>
      <w:spacing w:before="60" w:after="120" w:line="240" w:lineRule="auto"/>
      <w:ind w:left="850" w:hanging="850"/>
    </w:pPr>
    <w:rPr>
      <w:rFonts w:ascii="Times New Roman" w:eastAsia="Times New Roman" w:hAnsi="Times New Roman"/>
      <w:sz w:val="24"/>
      <w:szCs w:val="24"/>
    </w:rPr>
  </w:style>
  <w:style w:type="paragraph" w:styleId="TOC3">
    <w:name w:val="toc 3"/>
    <w:basedOn w:val="Normal"/>
    <w:next w:val="Normal"/>
    <w:semiHidden/>
    <w:pPr>
      <w:tabs>
        <w:tab w:val="right" w:leader="dot" w:pos="9071"/>
      </w:tabs>
      <w:spacing w:before="60" w:after="120" w:line="240" w:lineRule="auto"/>
      <w:ind w:left="850" w:hanging="850"/>
    </w:pPr>
    <w:rPr>
      <w:rFonts w:ascii="Times New Roman" w:eastAsia="Times New Roman" w:hAnsi="Times New Roman"/>
      <w:sz w:val="24"/>
      <w:szCs w:val="24"/>
    </w:rPr>
  </w:style>
  <w:style w:type="paragraph" w:styleId="TOC4">
    <w:name w:val="toc 4"/>
    <w:basedOn w:val="Normal"/>
    <w:next w:val="Normal"/>
    <w:semiHidden/>
    <w:pPr>
      <w:tabs>
        <w:tab w:val="right" w:leader="dot" w:pos="9071"/>
      </w:tabs>
      <w:spacing w:before="60" w:after="120" w:line="240" w:lineRule="auto"/>
      <w:ind w:left="850" w:hanging="850"/>
    </w:pPr>
    <w:rPr>
      <w:rFonts w:ascii="Times New Roman" w:eastAsia="Times New Roman" w:hAnsi="Times New Roman"/>
      <w:sz w:val="24"/>
      <w:szCs w:val="24"/>
    </w:rPr>
  </w:style>
  <w:style w:type="paragraph" w:styleId="TOC5">
    <w:name w:val="toc 5"/>
    <w:basedOn w:val="Normal"/>
    <w:next w:val="Normal"/>
    <w:semiHidden/>
    <w:pPr>
      <w:tabs>
        <w:tab w:val="right" w:leader="dot" w:pos="9071"/>
      </w:tabs>
      <w:spacing w:before="300" w:after="120" w:line="240" w:lineRule="auto"/>
    </w:pPr>
    <w:rPr>
      <w:rFonts w:ascii="Times New Roman" w:eastAsia="Times New Roman" w:hAnsi="Times New Roman"/>
      <w:sz w:val="24"/>
      <w:szCs w:val="24"/>
    </w:rPr>
  </w:style>
  <w:style w:type="paragraph" w:styleId="TOC6">
    <w:name w:val="toc 6"/>
    <w:basedOn w:val="Normal"/>
    <w:next w:val="Normal"/>
    <w:semiHidden/>
    <w:pPr>
      <w:tabs>
        <w:tab w:val="right" w:leader="dot" w:pos="9071"/>
      </w:tabs>
      <w:spacing w:before="240" w:after="120" w:line="240" w:lineRule="auto"/>
    </w:pPr>
    <w:rPr>
      <w:rFonts w:ascii="Times New Roman" w:eastAsia="Times New Roman" w:hAnsi="Times New Roman"/>
      <w:sz w:val="24"/>
      <w:szCs w:val="24"/>
    </w:rPr>
  </w:style>
  <w:style w:type="paragraph" w:styleId="TOC7">
    <w:name w:val="toc 7"/>
    <w:basedOn w:val="Normal"/>
    <w:next w:val="Normal"/>
    <w:semiHidden/>
    <w:pPr>
      <w:tabs>
        <w:tab w:val="right" w:leader="dot" w:pos="9071"/>
      </w:tabs>
      <w:spacing w:before="180" w:after="120" w:line="240" w:lineRule="auto"/>
    </w:pPr>
    <w:rPr>
      <w:rFonts w:ascii="Times New Roman" w:eastAsia="Times New Roman" w:hAnsi="Times New Roman"/>
      <w:sz w:val="24"/>
      <w:szCs w:val="24"/>
    </w:rPr>
  </w:style>
  <w:style w:type="paragraph" w:styleId="TOC8">
    <w:name w:val="toc 8"/>
    <w:basedOn w:val="Normal"/>
    <w:next w:val="Normal"/>
    <w:semiHidden/>
    <w:pPr>
      <w:tabs>
        <w:tab w:val="right" w:leader="dot" w:pos="9071"/>
      </w:tabs>
      <w:spacing w:before="120" w:after="120" w:line="240" w:lineRule="auto"/>
    </w:pPr>
    <w:rPr>
      <w:rFonts w:ascii="Times New Roman" w:eastAsia="Times New Roman" w:hAnsi="Times New Roman"/>
      <w:sz w:val="24"/>
      <w:szCs w:val="24"/>
    </w:rPr>
  </w:style>
  <w:style w:type="paragraph" w:styleId="TOC9">
    <w:name w:val="toc 9"/>
    <w:basedOn w:val="Normal"/>
    <w:next w:val="Normal"/>
    <w:semiHidden/>
    <w:pPr>
      <w:tabs>
        <w:tab w:val="right" w:leader="dot" w:pos="9071"/>
      </w:tabs>
      <w:spacing w:before="120" w:after="120" w:line="240" w:lineRule="auto"/>
      <w:jc w:val="both"/>
    </w:pPr>
    <w:rPr>
      <w:rFonts w:ascii="Times New Roman" w:eastAsia="Times New Roman" w:hAnsi="Times New Roman"/>
      <w:sz w:val="24"/>
      <w:szCs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sz w:val="24"/>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eastAsia="Times New Roman" w:hAnsi="Times New Roman"/>
      <w:sz w:val="24"/>
      <w:szCs w:val="24"/>
    </w:rPr>
  </w:style>
  <w:style w:type="character" w:styleId="FootnoteReference">
    <w:name w:val="footnote reference"/>
    <w:semiHidden/>
    <w:rPr>
      <w:shd w:val="clear" w:color="auto" w:fill="auto"/>
      <w:vertAlign w:val="superscript"/>
    </w:rPr>
  </w:style>
  <w:style w:type="paragraph" w:customStyle="1" w:styleId="Text1">
    <w:name w:val="Text 1"/>
    <w:basedOn w:val="Normal"/>
    <w:pPr>
      <w:spacing w:before="120" w:after="120" w:line="240" w:lineRule="auto"/>
      <w:ind w:left="850"/>
      <w:jc w:val="both"/>
    </w:pPr>
    <w:rPr>
      <w:rFonts w:ascii="Times New Roman" w:eastAsia="Times New Roman" w:hAnsi="Times New Roman"/>
      <w:sz w:val="24"/>
      <w:szCs w:val="24"/>
    </w:rPr>
  </w:style>
  <w:style w:type="paragraph" w:customStyle="1" w:styleId="Text2">
    <w:name w:val="Text 2"/>
    <w:basedOn w:val="Normal"/>
    <w:pPr>
      <w:spacing w:before="120" w:after="120" w:line="240" w:lineRule="auto"/>
      <w:ind w:left="1417"/>
      <w:jc w:val="both"/>
    </w:pPr>
    <w:rPr>
      <w:rFonts w:ascii="Times New Roman" w:eastAsia="Times New Roman" w:hAnsi="Times New Roman"/>
      <w:sz w:val="24"/>
      <w:szCs w:val="24"/>
    </w:rPr>
  </w:style>
  <w:style w:type="paragraph" w:customStyle="1" w:styleId="Text3">
    <w:name w:val="Text 3"/>
    <w:basedOn w:val="Normal"/>
    <w:pPr>
      <w:spacing w:before="120" w:after="120" w:line="240" w:lineRule="auto"/>
      <w:ind w:left="1984"/>
      <w:jc w:val="both"/>
    </w:pPr>
    <w:rPr>
      <w:rFonts w:ascii="Times New Roman" w:eastAsia="Times New Roman" w:hAnsi="Times New Roman"/>
      <w:sz w:val="24"/>
      <w:szCs w:val="24"/>
    </w:rPr>
  </w:style>
  <w:style w:type="paragraph" w:customStyle="1" w:styleId="Text4">
    <w:name w:val="Text 4"/>
    <w:basedOn w:val="Normal"/>
    <w:pPr>
      <w:spacing w:before="120" w:after="120" w:line="240" w:lineRule="auto"/>
      <w:ind w:left="2551"/>
      <w:jc w:val="both"/>
    </w:pPr>
    <w:rPr>
      <w:rFonts w:ascii="Times New Roman" w:eastAsia="Times New Roman" w:hAnsi="Times New Roman"/>
      <w:sz w:val="24"/>
      <w:szCs w:val="24"/>
    </w:rPr>
  </w:style>
  <w:style w:type="paragraph" w:customStyle="1" w:styleId="NormalCentered">
    <w:name w:val="Normal Centered"/>
    <w:basedOn w:val="Normal"/>
    <w:pPr>
      <w:spacing w:before="120" w:after="120" w:line="240" w:lineRule="auto"/>
      <w:jc w:val="center"/>
    </w:pPr>
    <w:rPr>
      <w:rFonts w:ascii="Times New Roman" w:eastAsia="Times New Roman" w:hAnsi="Times New Roman"/>
      <w:sz w:val="24"/>
      <w:szCs w:val="24"/>
    </w:rPr>
  </w:style>
  <w:style w:type="paragraph" w:customStyle="1" w:styleId="NormalLeft">
    <w:name w:val="Normal Left"/>
    <w:basedOn w:val="Normal"/>
    <w:pPr>
      <w:spacing w:before="120" w:after="120" w:line="240" w:lineRule="auto"/>
    </w:pPr>
    <w:rPr>
      <w:rFonts w:ascii="Times New Roman" w:eastAsia="Times New Roman" w:hAnsi="Times New Roman"/>
      <w:sz w:val="24"/>
      <w:szCs w:val="24"/>
    </w:rPr>
  </w:style>
  <w:style w:type="paragraph" w:customStyle="1" w:styleId="NormalRight">
    <w:name w:val="Normal Right"/>
    <w:basedOn w:val="Normal"/>
    <w:pPr>
      <w:spacing w:before="120" w:after="120" w:line="240" w:lineRule="auto"/>
      <w:jc w:val="right"/>
    </w:pPr>
    <w:rPr>
      <w:rFonts w:ascii="Times New Roman" w:eastAsia="Times New Roman" w:hAnsi="Times New Roman"/>
      <w:sz w:val="24"/>
      <w:szCs w:val="24"/>
    </w:rPr>
  </w:style>
  <w:style w:type="paragraph" w:customStyle="1" w:styleId="QuotedText">
    <w:name w:val="Quoted Text"/>
    <w:basedOn w:val="Normal"/>
    <w:pPr>
      <w:spacing w:before="120" w:after="120" w:line="240" w:lineRule="auto"/>
      <w:ind w:left="1417"/>
      <w:jc w:val="both"/>
    </w:pPr>
    <w:rPr>
      <w:rFonts w:ascii="Times New Roman" w:eastAsia="Times New Roman" w:hAnsi="Times New Roman"/>
      <w:sz w:val="24"/>
      <w:szCs w:val="24"/>
    </w:rPr>
  </w:style>
  <w:style w:type="paragraph" w:customStyle="1" w:styleId="Point0">
    <w:name w:val="Point 0"/>
    <w:basedOn w:val="Normal"/>
    <w:pPr>
      <w:spacing w:before="120" w:after="120" w:line="240" w:lineRule="auto"/>
      <w:ind w:left="850" w:hanging="850"/>
      <w:jc w:val="both"/>
    </w:pPr>
    <w:rPr>
      <w:rFonts w:ascii="Times New Roman" w:eastAsia="Times New Roman" w:hAnsi="Times New Roman"/>
      <w:sz w:val="24"/>
      <w:szCs w:val="24"/>
    </w:rPr>
  </w:style>
  <w:style w:type="paragraph" w:customStyle="1" w:styleId="Point1">
    <w:name w:val="Point 1"/>
    <w:basedOn w:val="Normal"/>
    <w:pPr>
      <w:spacing w:before="120" w:after="120" w:line="240" w:lineRule="auto"/>
      <w:ind w:left="1417" w:hanging="567"/>
      <w:jc w:val="both"/>
    </w:pPr>
    <w:rPr>
      <w:rFonts w:ascii="Times New Roman" w:eastAsia="Times New Roman" w:hAnsi="Times New Roman"/>
      <w:sz w:val="24"/>
      <w:szCs w:val="24"/>
    </w:rPr>
  </w:style>
  <w:style w:type="paragraph" w:customStyle="1" w:styleId="Point2">
    <w:name w:val="Point 2"/>
    <w:basedOn w:val="Normal"/>
    <w:pPr>
      <w:spacing w:before="120" w:after="120" w:line="240" w:lineRule="auto"/>
      <w:ind w:left="1984" w:hanging="567"/>
      <w:jc w:val="both"/>
    </w:pPr>
    <w:rPr>
      <w:rFonts w:ascii="Times New Roman" w:eastAsia="Times New Roman" w:hAnsi="Times New Roman"/>
      <w:sz w:val="24"/>
      <w:szCs w:val="24"/>
    </w:rPr>
  </w:style>
  <w:style w:type="paragraph" w:customStyle="1" w:styleId="Point3">
    <w:name w:val="Point 3"/>
    <w:basedOn w:val="Normal"/>
    <w:pPr>
      <w:spacing w:before="120" w:after="120" w:line="240" w:lineRule="auto"/>
      <w:ind w:left="2551" w:hanging="567"/>
      <w:jc w:val="both"/>
    </w:pPr>
    <w:rPr>
      <w:rFonts w:ascii="Times New Roman" w:eastAsia="Times New Roman" w:hAnsi="Times New Roman"/>
      <w:sz w:val="24"/>
      <w:szCs w:val="24"/>
    </w:rPr>
  </w:style>
  <w:style w:type="paragraph" w:customStyle="1" w:styleId="Point4">
    <w:name w:val="Point 4"/>
    <w:basedOn w:val="Normal"/>
    <w:pPr>
      <w:spacing w:before="120" w:after="120" w:line="240" w:lineRule="auto"/>
      <w:ind w:left="3118" w:hanging="567"/>
      <w:jc w:val="both"/>
    </w:pPr>
    <w:rPr>
      <w:rFonts w:ascii="Times New Roman" w:eastAsia="Times New Roman" w:hAnsi="Times New Roman"/>
      <w:sz w:val="24"/>
      <w:szCs w:val="24"/>
    </w:r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spacing w:before="120" w:after="120" w:line="240" w:lineRule="auto"/>
      <w:ind w:left="1417" w:hanging="1417"/>
      <w:jc w:val="both"/>
    </w:pPr>
    <w:rPr>
      <w:rFonts w:ascii="Times New Roman" w:eastAsia="Times New Roman" w:hAnsi="Times New Roman"/>
      <w:sz w:val="24"/>
      <w:szCs w:val="24"/>
    </w:rPr>
  </w:style>
  <w:style w:type="paragraph" w:customStyle="1" w:styleId="PointDouble1">
    <w:name w:val="PointDouble 1"/>
    <w:basedOn w:val="Normal"/>
    <w:pPr>
      <w:tabs>
        <w:tab w:val="left" w:pos="1417"/>
      </w:tabs>
      <w:spacing w:before="120" w:after="120" w:line="240" w:lineRule="auto"/>
      <w:ind w:left="1984" w:hanging="1134"/>
      <w:jc w:val="both"/>
    </w:pPr>
    <w:rPr>
      <w:rFonts w:ascii="Times New Roman" w:eastAsia="Times New Roman" w:hAnsi="Times New Roman"/>
      <w:sz w:val="24"/>
      <w:szCs w:val="24"/>
    </w:rPr>
  </w:style>
  <w:style w:type="paragraph" w:customStyle="1" w:styleId="PointDouble2">
    <w:name w:val="PointDouble 2"/>
    <w:basedOn w:val="Normal"/>
    <w:pPr>
      <w:tabs>
        <w:tab w:val="left" w:pos="1984"/>
      </w:tabs>
      <w:spacing w:before="120" w:after="120" w:line="240" w:lineRule="auto"/>
      <w:ind w:left="2551" w:hanging="1134"/>
      <w:jc w:val="both"/>
    </w:pPr>
    <w:rPr>
      <w:rFonts w:ascii="Times New Roman" w:eastAsia="Times New Roman" w:hAnsi="Times New Roman"/>
      <w:sz w:val="24"/>
      <w:szCs w:val="24"/>
    </w:rPr>
  </w:style>
  <w:style w:type="paragraph" w:customStyle="1" w:styleId="PointDouble3">
    <w:name w:val="PointDouble 3"/>
    <w:basedOn w:val="Normal"/>
    <w:pPr>
      <w:tabs>
        <w:tab w:val="left" w:pos="2551"/>
      </w:tabs>
      <w:spacing w:before="120" w:after="120" w:line="240" w:lineRule="auto"/>
      <w:ind w:left="3118" w:hanging="1134"/>
      <w:jc w:val="both"/>
    </w:pPr>
    <w:rPr>
      <w:rFonts w:ascii="Times New Roman" w:eastAsia="Times New Roman" w:hAnsi="Times New Roman"/>
      <w:sz w:val="24"/>
      <w:szCs w:val="24"/>
    </w:rPr>
  </w:style>
  <w:style w:type="paragraph" w:customStyle="1" w:styleId="PointDouble4">
    <w:name w:val="PointDouble 4"/>
    <w:basedOn w:val="Normal"/>
    <w:pPr>
      <w:tabs>
        <w:tab w:val="left" w:pos="3118"/>
      </w:tabs>
      <w:spacing w:before="120" w:after="120" w:line="240" w:lineRule="auto"/>
      <w:ind w:left="3685" w:hanging="1134"/>
      <w:jc w:val="both"/>
    </w:pPr>
    <w:rPr>
      <w:rFonts w:ascii="Times New Roman" w:eastAsia="Times New Roman" w:hAnsi="Times New Roman"/>
      <w:sz w:val="24"/>
      <w:szCs w:val="24"/>
    </w:rPr>
  </w:style>
  <w:style w:type="paragraph" w:customStyle="1" w:styleId="PointTriple0">
    <w:name w:val="PointTriple 0"/>
    <w:basedOn w:val="Normal"/>
    <w:pPr>
      <w:tabs>
        <w:tab w:val="left" w:pos="850"/>
        <w:tab w:val="left" w:pos="1417"/>
      </w:tabs>
      <w:spacing w:before="120" w:after="120" w:line="240" w:lineRule="auto"/>
      <w:ind w:left="1984" w:hanging="1984"/>
      <w:jc w:val="both"/>
    </w:pPr>
    <w:rPr>
      <w:rFonts w:ascii="Times New Roman" w:eastAsia="Times New Roman" w:hAnsi="Times New Roman"/>
      <w:sz w:val="24"/>
      <w:szCs w:val="24"/>
    </w:rPr>
  </w:style>
  <w:style w:type="paragraph" w:customStyle="1" w:styleId="PointTriple1">
    <w:name w:val="PointTriple 1"/>
    <w:basedOn w:val="Normal"/>
    <w:pPr>
      <w:tabs>
        <w:tab w:val="left" w:pos="1417"/>
        <w:tab w:val="left" w:pos="1984"/>
      </w:tabs>
      <w:spacing w:before="120" w:after="120" w:line="240" w:lineRule="auto"/>
      <w:ind w:left="2551" w:hanging="1701"/>
      <w:jc w:val="both"/>
    </w:pPr>
    <w:rPr>
      <w:rFonts w:ascii="Times New Roman" w:eastAsia="Times New Roman" w:hAnsi="Times New Roman"/>
      <w:sz w:val="24"/>
      <w:szCs w:val="24"/>
    </w:rPr>
  </w:style>
  <w:style w:type="paragraph" w:customStyle="1" w:styleId="PointTriple2">
    <w:name w:val="PointTriple 2"/>
    <w:basedOn w:val="Normal"/>
    <w:pPr>
      <w:tabs>
        <w:tab w:val="left" w:pos="1984"/>
        <w:tab w:val="left" w:pos="2551"/>
      </w:tabs>
      <w:spacing w:before="120" w:after="120" w:line="240" w:lineRule="auto"/>
      <w:ind w:left="3118" w:hanging="1701"/>
      <w:jc w:val="both"/>
    </w:pPr>
    <w:rPr>
      <w:rFonts w:ascii="Times New Roman" w:eastAsia="Times New Roman" w:hAnsi="Times New Roman"/>
      <w:sz w:val="24"/>
      <w:szCs w:val="24"/>
    </w:rPr>
  </w:style>
  <w:style w:type="paragraph" w:customStyle="1" w:styleId="PointTriple3">
    <w:name w:val="PointTriple 3"/>
    <w:basedOn w:val="Normal"/>
    <w:pPr>
      <w:tabs>
        <w:tab w:val="left" w:pos="2551"/>
        <w:tab w:val="left" w:pos="3118"/>
      </w:tabs>
      <w:spacing w:before="120" w:after="120" w:line="240" w:lineRule="auto"/>
      <w:ind w:left="3685" w:hanging="1701"/>
      <w:jc w:val="both"/>
    </w:pPr>
    <w:rPr>
      <w:rFonts w:ascii="Times New Roman" w:eastAsia="Times New Roman" w:hAnsi="Times New Roman"/>
      <w:sz w:val="24"/>
      <w:szCs w:val="24"/>
    </w:rPr>
  </w:style>
  <w:style w:type="paragraph" w:customStyle="1" w:styleId="PointTriple4">
    <w:name w:val="PointTriple 4"/>
    <w:basedOn w:val="Normal"/>
    <w:pPr>
      <w:tabs>
        <w:tab w:val="left" w:pos="3118"/>
        <w:tab w:val="left" w:pos="3685"/>
      </w:tabs>
      <w:spacing w:before="120" w:after="120" w:line="240" w:lineRule="auto"/>
      <w:ind w:left="4252" w:hanging="1701"/>
      <w:jc w:val="both"/>
    </w:pPr>
    <w:rPr>
      <w:rFonts w:ascii="Times New Roman" w:eastAsia="Times New Roman" w:hAnsi="Times New Roman"/>
      <w:sz w:val="24"/>
      <w:szCs w:val="24"/>
    </w:rPr>
  </w:style>
  <w:style w:type="paragraph" w:customStyle="1" w:styleId="NumPar1">
    <w:name w:val="NumPar 1"/>
    <w:basedOn w:val="Normal"/>
    <w:next w:val="Text1"/>
    <w:pPr>
      <w:numPr>
        <w:numId w:val="15"/>
      </w:numPr>
      <w:spacing w:before="120" w:after="120" w:line="240" w:lineRule="auto"/>
      <w:jc w:val="both"/>
    </w:pPr>
    <w:rPr>
      <w:rFonts w:ascii="Times New Roman" w:eastAsia="Times New Roman" w:hAnsi="Times New Roman"/>
      <w:sz w:val="24"/>
      <w:szCs w:val="24"/>
    </w:rPr>
  </w:style>
  <w:style w:type="paragraph" w:customStyle="1" w:styleId="NumPar2">
    <w:name w:val="NumPar 2"/>
    <w:basedOn w:val="Normal"/>
    <w:next w:val="Text1"/>
    <w:pPr>
      <w:numPr>
        <w:ilvl w:val="1"/>
        <w:numId w:val="15"/>
      </w:numPr>
      <w:spacing w:before="120" w:after="120" w:line="240" w:lineRule="auto"/>
      <w:jc w:val="both"/>
    </w:pPr>
    <w:rPr>
      <w:rFonts w:ascii="Times New Roman" w:eastAsia="Times New Roman" w:hAnsi="Times New Roman"/>
      <w:sz w:val="24"/>
      <w:szCs w:val="24"/>
    </w:rPr>
  </w:style>
  <w:style w:type="paragraph" w:customStyle="1" w:styleId="NumPar3">
    <w:name w:val="NumPar 3"/>
    <w:basedOn w:val="Normal"/>
    <w:next w:val="Text1"/>
    <w:pPr>
      <w:numPr>
        <w:ilvl w:val="2"/>
        <w:numId w:val="15"/>
      </w:numPr>
      <w:spacing w:before="120" w:after="120" w:line="240" w:lineRule="auto"/>
      <w:jc w:val="both"/>
    </w:pPr>
    <w:rPr>
      <w:rFonts w:ascii="Times New Roman" w:eastAsia="Times New Roman" w:hAnsi="Times New Roman"/>
      <w:sz w:val="24"/>
      <w:szCs w:val="24"/>
    </w:rPr>
  </w:style>
  <w:style w:type="paragraph" w:customStyle="1" w:styleId="NumPar4">
    <w:name w:val="NumPar 4"/>
    <w:basedOn w:val="Normal"/>
    <w:next w:val="Text1"/>
    <w:pPr>
      <w:numPr>
        <w:ilvl w:val="3"/>
        <w:numId w:val="15"/>
      </w:numPr>
      <w:spacing w:before="120" w:after="120" w:line="240" w:lineRule="auto"/>
      <w:jc w:val="both"/>
    </w:pPr>
    <w:rPr>
      <w:rFonts w:ascii="Times New Roman" w:eastAsia="Times New Roman" w:hAnsi="Times New Roman"/>
      <w:sz w:val="24"/>
      <w:szCs w:val="24"/>
    </w:rPr>
  </w:style>
  <w:style w:type="paragraph" w:customStyle="1" w:styleId="ManualNumPar1">
    <w:name w:val="Manual NumPar 1"/>
    <w:basedOn w:val="Normal"/>
    <w:next w:val="Text1"/>
    <w:pPr>
      <w:spacing w:before="120" w:after="120" w:line="240" w:lineRule="auto"/>
      <w:ind w:left="850" w:hanging="850"/>
      <w:jc w:val="both"/>
    </w:pPr>
    <w:rPr>
      <w:rFonts w:ascii="Times New Roman" w:eastAsia="Times New Roman" w:hAnsi="Times New Roman"/>
      <w:sz w:val="24"/>
      <w:szCs w:val="24"/>
    </w:rPr>
  </w:style>
  <w:style w:type="paragraph" w:customStyle="1" w:styleId="ManualNumPar2">
    <w:name w:val="Manual NumPar 2"/>
    <w:basedOn w:val="Normal"/>
    <w:next w:val="Text1"/>
    <w:pPr>
      <w:spacing w:before="120" w:after="120" w:line="240" w:lineRule="auto"/>
      <w:ind w:left="850" w:hanging="850"/>
      <w:jc w:val="both"/>
    </w:pPr>
    <w:rPr>
      <w:rFonts w:ascii="Times New Roman" w:eastAsia="Times New Roman" w:hAnsi="Times New Roman"/>
      <w:sz w:val="24"/>
      <w:szCs w:val="24"/>
    </w:rPr>
  </w:style>
  <w:style w:type="paragraph" w:customStyle="1" w:styleId="ManualNumPar3">
    <w:name w:val="Manual NumPar 3"/>
    <w:basedOn w:val="Normal"/>
    <w:next w:val="Text1"/>
    <w:pPr>
      <w:spacing w:before="120" w:after="120" w:line="240" w:lineRule="auto"/>
      <w:ind w:left="850" w:hanging="850"/>
      <w:jc w:val="both"/>
    </w:pPr>
    <w:rPr>
      <w:rFonts w:ascii="Times New Roman" w:eastAsia="Times New Roman" w:hAnsi="Times New Roman"/>
      <w:sz w:val="24"/>
      <w:szCs w:val="24"/>
    </w:rPr>
  </w:style>
  <w:style w:type="paragraph" w:customStyle="1" w:styleId="ManualNumPar4">
    <w:name w:val="Manual NumPar 4"/>
    <w:basedOn w:val="Normal"/>
    <w:next w:val="Text1"/>
    <w:pPr>
      <w:spacing w:before="120" w:after="120" w:line="240" w:lineRule="auto"/>
      <w:ind w:left="850" w:hanging="850"/>
      <w:jc w:val="both"/>
    </w:pPr>
    <w:rPr>
      <w:rFonts w:ascii="Times New Roman" w:eastAsia="Times New Roman" w:hAnsi="Times New Roman"/>
      <w:sz w:val="24"/>
      <w:szCs w:val="24"/>
    </w:rPr>
  </w:style>
  <w:style w:type="paragraph" w:customStyle="1" w:styleId="QuotedNumPar">
    <w:name w:val="Quoted NumPar"/>
    <w:basedOn w:val="Normal"/>
    <w:pPr>
      <w:spacing w:before="120" w:after="120" w:line="240" w:lineRule="auto"/>
      <w:ind w:left="1417" w:hanging="567"/>
      <w:jc w:val="both"/>
    </w:pPr>
    <w:rPr>
      <w:rFonts w:ascii="Times New Roman" w:eastAsia="Times New Roman" w:hAnsi="Times New Roman"/>
      <w:sz w:val="24"/>
      <w:szCs w:val="24"/>
    </w:rPr>
  </w:style>
  <w:style w:type="paragraph" w:customStyle="1" w:styleId="ManualHeading1">
    <w:name w:val="Manual Heading 1"/>
    <w:basedOn w:val="Normal"/>
    <w:next w:val="Text1"/>
    <w:pPr>
      <w:keepNext/>
      <w:tabs>
        <w:tab w:val="left" w:pos="850"/>
      </w:tabs>
      <w:spacing w:before="360" w:after="120" w:line="240" w:lineRule="auto"/>
      <w:ind w:left="850" w:hanging="850"/>
      <w:jc w:val="both"/>
      <w:outlineLvl w:val="0"/>
    </w:pPr>
    <w:rPr>
      <w:rFonts w:ascii="Times New Roman" w:eastAsia="Times New Roman" w:hAnsi="Times New Roman"/>
      <w:b/>
      <w:smallCaps/>
      <w:sz w:val="24"/>
      <w:szCs w:val="24"/>
    </w:rPr>
  </w:style>
  <w:style w:type="paragraph" w:customStyle="1" w:styleId="ManualHeading2">
    <w:name w:val="Manual Heading 2"/>
    <w:basedOn w:val="Normal"/>
    <w:next w:val="Text1"/>
    <w:pPr>
      <w:keepNext/>
      <w:tabs>
        <w:tab w:val="left" w:pos="850"/>
      </w:tabs>
      <w:spacing w:before="120" w:after="120" w:line="240" w:lineRule="auto"/>
      <w:ind w:left="850" w:hanging="850"/>
      <w:jc w:val="both"/>
      <w:outlineLvl w:val="1"/>
    </w:pPr>
    <w:rPr>
      <w:rFonts w:ascii="Times New Roman" w:eastAsia="Times New Roman" w:hAnsi="Times New Roman"/>
      <w:b/>
      <w:sz w:val="24"/>
      <w:szCs w:val="24"/>
    </w:rPr>
  </w:style>
  <w:style w:type="paragraph" w:customStyle="1" w:styleId="ManualHeading3">
    <w:name w:val="Manual Heading 3"/>
    <w:basedOn w:val="Normal"/>
    <w:next w:val="Text1"/>
    <w:pPr>
      <w:keepNext/>
      <w:tabs>
        <w:tab w:val="left" w:pos="850"/>
      </w:tabs>
      <w:spacing w:before="120" w:after="120" w:line="240" w:lineRule="auto"/>
      <w:ind w:left="850" w:hanging="850"/>
      <w:jc w:val="both"/>
      <w:outlineLvl w:val="2"/>
    </w:pPr>
    <w:rPr>
      <w:rFonts w:ascii="Times New Roman" w:eastAsia="Times New Roman" w:hAnsi="Times New Roman"/>
      <w:i/>
      <w:sz w:val="24"/>
      <w:szCs w:val="24"/>
    </w:rPr>
  </w:style>
  <w:style w:type="paragraph" w:customStyle="1" w:styleId="ManualHeading4">
    <w:name w:val="Manual Heading 4"/>
    <w:basedOn w:val="Normal"/>
    <w:next w:val="Text1"/>
    <w:pPr>
      <w:keepNext/>
      <w:tabs>
        <w:tab w:val="left" w:pos="850"/>
      </w:tabs>
      <w:spacing w:before="120" w:after="120" w:line="240" w:lineRule="auto"/>
      <w:ind w:left="850" w:hanging="850"/>
      <w:jc w:val="both"/>
      <w:outlineLvl w:val="3"/>
    </w:pPr>
    <w:rPr>
      <w:rFonts w:ascii="Times New Roman" w:eastAsia="Times New Roman" w:hAnsi="Times New Roman"/>
      <w:sz w:val="24"/>
      <w:szCs w:val="24"/>
    </w:rPr>
  </w:style>
  <w:style w:type="paragraph" w:customStyle="1" w:styleId="ChapterTitle">
    <w:name w:val="ChapterTitle"/>
    <w:basedOn w:val="Normal"/>
    <w:next w:val="Normal"/>
    <w:pPr>
      <w:keepNext/>
      <w:spacing w:before="120" w:after="360" w:line="240" w:lineRule="auto"/>
      <w:jc w:val="center"/>
    </w:pPr>
    <w:rPr>
      <w:rFonts w:ascii="Times New Roman" w:eastAsia="Times New Roman" w:hAnsi="Times New Roman"/>
      <w:b/>
      <w:sz w:val="32"/>
      <w:szCs w:val="24"/>
    </w:rPr>
  </w:style>
  <w:style w:type="paragraph" w:customStyle="1" w:styleId="PartTitle">
    <w:name w:val="PartTitle"/>
    <w:basedOn w:val="Normal"/>
    <w:next w:val="ChapterTitle"/>
    <w:pPr>
      <w:keepNext/>
      <w:pageBreakBefore/>
      <w:spacing w:before="120" w:after="360" w:line="240" w:lineRule="auto"/>
      <w:jc w:val="center"/>
    </w:pPr>
    <w:rPr>
      <w:rFonts w:ascii="Times New Roman" w:eastAsia="Times New Roman" w:hAnsi="Times New Roman"/>
      <w:b/>
      <w:sz w:val="36"/>
      <w:szCs w:val="24"/>
    </w:rPr>
  </w:style>
  <w:style w:type="paragraph" w:customStyle="1" w:styleId="SectionTitle">
    <w:name w:val="SectionTitle"/>
    <w:basedOn w:val="Normal"/>
    <w:next w:val="Heading1"/>
    <w:pPr>
      <w:keepNext/>
      <w:spacing w:before="120" w:after="360" w:line="240" w:lineRule="auto"/>
      <w:jc w:val="center"/>
    </w:pPr>
    <w:rPr>
      <w:rFonts w:ascii="Times New Roman" w:eastAsia="Times New Roman" w:hAnsi="Times New Roman"/>
      <w:b/>
      <w:smallCaps/>
      <w:sz w:val="28"/>
      <w:szCs w:val="24"/>
    </w:rPr>
  </w:style>
  <w:style w:type="paragraph" w:customStyle="1" w:styleId="TableTitle">
    <w:name w:val="Table Title"/>
    <w:basedOn w:val="Normal"/>
    <w:next w:val="Normal"/>
    <w:pPr>
      <w:spacing w:before="120" w:after="120" w:line="240" w:lineRule="auto"/>
      <w:jc w:val="center"/>
    </w:pPr>
    <w:rPr>
      <w:rFonts w:ascii="Times New Roman" w:eastAsia="Times New Roman" w:hAnsi="Times New Roman"/>
      <w:b/>
      <w:sz w:val="24"/>
      <w:szCs w:val="24"/>
    </w:rPr>
  </w:style>
  <w:style w:type="character" w:customStyle="1" w:styleId="Marker">
    <w:name w:val="Marker"/>
    <w:rPr>
      <w:color w:val="0000FF"/>
      <w:shd w:val="clear" w:color="auto" w:fill="auto"/>
    </w:rPr>
  </w:style>
  <w:style w:type="character" w:customStyle="1" w:styleId="Marker1">
    <w:name w:val="Marker1"/>
    <w:rPr>
      <w:color w:val="008000"/>
      <w:shd w:val="clear" w:color="auto" w:fill="auto"/>
    </w:rPr>
  </w:style>
  <w:style w:type="character" w:customStyle="1" w:styleId="Marker2">
    <w:name w:val="Marker2"/>
    <w:rPr>
      <w:color w:val="FF0000"/>
      <w:shd w:val="clear" w:color="auto" w:fill="auto"/>
    </w:rPr>
  </w:style>
  <w:style w:type="paragraph" w:styleId="TOCHeading">
    <w:name w:val="TOC Heading"/>
    <w:basedOn w:val="Normal"/>
    <w:next w:val="Normal"/>
    <w:qFormat/>
    <w:pPr>
      <w:spacing w:before="120" w:after="240" w:line="240" w:lineRule="auto"/>
      <w:jc w:val="center"/>
    </w:pPr>
    <w:rPr>
      <w:rFonts w:ascii="Times New Roman" w:eastAsia="Times New Roman" w:hAnsi="Times New Roman"/>
      <w:b/>
      <w:sz w:val="28"/>
      <w:szCs w:val="24"/>
    </w:rPr>
  </w:style>
  <w:style w:type="paragraph" w:customStyle="1" w:styleId="Point0number">
    <w:name w:val="Point 0 (number)"/>
    <w:basedOn w:val="Normal"/>
    <w:pPr>
      <w:numPr>
        <w:numId w:val="17"/>
      </w:numPr>
      <w:spacing w:before="120" w:after="120" w:line="240" w:lineRule="auto"/>
      <w:jc w:val="both"/>
    </w:pPr>
    <w:rPr>
      <w:rFonts w:ascii="Times New Roman" w:eastAsia="Times New Roman" w:hAnsi="Times New Roman"/>
      <w:sz w:val="24"/>
      <w:szCs w:val="24"/>
    </w:rPr>
  </w:style>
  <w:style w:type="paragraph" w:customStyle="1" w:styleId="Point1number">
    <w:name w:val="Point 1 (number)"/>
    <w:basedOn w:val="Normal"/>
    <w:pPr>
      <w:numPr>
        <w:ilvl w:val="2"/>
        <w:numId w:val="17"/>
      </w:numPr>
      <w:spacing w:before="120" w:after="120" w:line="240" w:lineRule="auto"/>
      <w:jc w:val="both"/>
    </w:pPr>
    <w:rPr>
      <w:rFonts w:ascii="Times New Roman" w:eastAsia="Times New Roman" w:hAnsi="Times New Roman"/>
      <w:sz w:val="24"/>
      <w:szCs w:val="24"/>
    </w:rPr>
  </w:style>
  <w:style w:type="paragraph" w:customStyle="1" w:styleId="Point2number">
    <w:name w:val="Point 2 (number)"/>
    <w:basedOn w:val="Normal"/>
    <w:pPr>
      <w:numPr>
        <w:ilvl w:val="4"/>
        <w:numId w:val="17"/>
      </w:numPr>
      <w:spacing w:before="120" w:after="120" w:line="240" w:lineRule="auto"/>
      <w:jc w:val="both"/>
    </w:pPr>
    <w:rPr>
      <w:rFonts w:ascii="Times New Roman" w:eastAsia="Times New Roman" w:hAnsi="Times New Roman"/>
      <w:sz w:val="24"/>
      <w:szCs w:val="24"/>
    </w:rPr>
  </w:style>
  <w:style w:type="paragraph" w:customStyle="1" w:styleId="Point3number">
    <w:name w:val="Point 3 (number)"/>
    <w:basedOn w:val="Normal"/>
    <w:pPr>
      <w:numPr>
        <w:ilvl w:val="6"/>
        <w:numId w:val="17"/>
      </w:numPr>
      <w:spacing w:before="120" w:after="120" w:line="240" w:lineRule="auto"/>
      <w:jc w:val="both"/>
    </w:pPr>
    <w:rPr>
      <w:rFonts w:ascii="Times New Roman" w:eastAsia="Times New Roman" w:hAnsi="Times New Roman"/>
      <w:sz w:val="24"/>
      <w:szCs w:val="24"/>
    </w:rPr>
  </w:style>
  <w:style w:type="paragraph" w:customStyle="1" w:styleId="Point0letter">
    <w:name w:val="Point 0 (letter)"/>
    <w:basedOn w:val="Normal"/>
    <w:pPr>
      <w:numPr>
        <w:ilvl w:val="1"/>
        <w:numId w:val="17"/>
      </w:numPr>
      <w:spacing w:before="120" w:after="120" w:line="240" w:lineRule="auto"/>
      <w:jc w:val="both"/>
    </w:pPr>
    <w:rPr>
      <w:rFonts w:ascii="Times New Roman" w:eastAsia="Times New Roman" w:hAnsi="Times New Roman"/>
      <w:sz w:val="24"/>
      <w:szCs w:val="24"/>
    </w:rPr>
  </w:style>
  <w:style w:type="paragraph" w:customStyle="1" w:styleId="Point1letter">
    <w:name w:val="Point 1 (letter)"/>
    <w:basedOn w:val="Normal"/>
    <w:pPr>
      <w:numPr>
        <w:ilvl w:val="3"/>
        <w:numId w:val="17"/>
      </w:numPr>
      <w:spacing w:before="120" w:after="120" w:line="240" w:lineRule="auto"/>
      <w:jc w:val="both"/>
    </w:pPr>
    <w:rPr>
      <w:rFonts w:ascii="Times New Roman" w:eastAsia="Times New Roman" w:hAnsi="Times New Roman"/>
      <w:sz w:val="24"/>
      <w:szCs w:val="24"/>
    </w:rPr>
  </w:style>
  <w:style w:type="paragraph" w:customStyle="1" w:styleId="Point2letter">
    <w:name w:val="Point 2 (letter)"/>
    <w:basedOn w:val="Normal"/>
    <w:pPr>
      <w:numPr>
        <w:ilvl w:val="5"/>
        <w:numId w:val="17"/>
      </w:numPr>
      <w:spacing w:before="120" w:after="120" w:line="240" w:lineRule="auto"/>
      <w:jc w:val="both"/>
    </w:pPr>
    <w:rPr>
      <w:rFonts w:ascii="Times New Roman" w:eastAsia="Times New Roman" w:hAnsi="Times New Roman"/>
      <w:sz w:val="24"/>
      <w:szCs w:val="24"/>
    </w:rPr>
  </w:style>
  <w:style w:type="paragraph" w:customStyle="1" w:styleId="Point3letter">
    <w:name w:val="Point 3 (letter)"/>
    <w:basedOn w:val="Normal"/>
    <w:pPr>
      <w:numPr>
        <w:ilvl w:val="7"/>
        <w:numId w:val="17"/>
      </w:numPr>
      <w:spacing w:before="120" w:after="120" w:line="240" w:lineRule="auto"/>
      <w:jc w:val="both"/>
    </w:pPr>
    <w:rPr>
      <w:rFonts w:ascii="Times New Roman" w:eastAsia="Times New Roman" w:hAnsi="Times New Roman"/>
      <w:sz w:val="24"/>
      <w:szCs w:val="24"/>
    </w:rPr>
  </w:style>
  <w:style w:type="paragraph" w:customStyle="1" w:styleId="Point4letter">
    <w:name w:val="Point 4 (letter)"/>
    <w:basedOn w:val="Normal"/>
    <w:pPr>
      <w:numPr>
        <w:ilvl w:val="8"/>
        <w:numId w:val="17"/>
      </w:numPr>
      <w:spacing w:before="120" w:after="120" w:line="240" w:lineRule="auto"/>
      <w:jc w:val="both"/>
    </w:pPr>
    <w:rPr>
      <w:rFonts w:ascii="Times New Roman" w:eastAsia="Times New Roman" w:hAnsi="Times New Roman"/>
      <w:sz w:val="24"/>
      <w:szCs w:val="24"/>
    </w:rPr>
  </w:style>
  <w:style w:type="paragraph" w:customStyle="1" w:styleId="Bullet0">
    <w:name w:val="Bullet 0"/>
    <w:basedOn w:val="Normal"/>
    <w:pPr>
      <w:numPr>
        <w:numId w:val="18"/>
      </w:numPr>
      <w:spacing w:before="120" w:after="120" w:line="240" w:lineRule="auto"/>
      <w:jc w:val="both"/>
    </w:pPr>
    <w:rPr>
      <w:rFonts w:ascii="Times New Roman" w:eastAsia="Times New Roman" w:hAnsi="Times New Roman"/>
      <w:sz w:val="24"/>
      <w:szCs w:val="24"/>
    </w:rPr>
  </w:style>
  <w:style w:type="paragraph" w:customStyle="1" w:styleId="Bullet1">
    <w:name w:val="Bullet 1"/>
    <w:basedOn w:val="Normal"/>
    <w:pPr>
      <w:numPr>
        <w:numId w:val="19"/>
      </w:numPr>
      <w:spacing w:before="120" w:after="120" w:line="240" w:lineRule="auto"/>
      <w:jc w:val="both"/>
    </w:pPr>
    <w:rPr>
      <w:rFonts w:ascii="Times New Roman" w:eastAsia="Times New Roman" w:hAnsi="Times New Roman"/>
      <w:sz w:val="24"/>
      <w:szCs w:val="24"/>
    </w:rPr>
  </w:style>
  <w:style w:type="paragraph" w:customStyle="1" w:styleId="Bullet2">
    <w:name w:val="Bullet 2"/>
    <w:basedOn w:val="Normal"/>
    <w:pPr>
      <w:numPr>
        <w:numId w:val="20"/>
      </w:numPr>
      <w:spacing w:before="120" w:after="120" w:line="240" w:lineRule="auto"/>
      <w:jc w:val="both"/>
    </w:pPr>
    <w:rPr>
      <w:rFonts w:ascii="Times New Roman" w:eastAsia="Times New Roman" w:hAnsi="Times New Roman"/>
      <w:sz w:val="24"/>
      <w:szCs w:val="24"/>
    </w:rPr>
  </w:style>
  <w:style w:type="paragraph" w:customStyle="1" w:styleId="Bullet3">
    <w:name w:val="Bullet 3"/>
    <w:basedOn w:val="Normal"/>
    <w:pPr>
      <w:numPr>
        <w:numId w:val="21"/>
      </w:numPr>
      <w:spacing w:before="120" w:after="120" w:line="240" w:lineRule="auto"/>
      <w:jc w:val="both"/>
    </w:pPr>
    <w:rPr>
      <w:rFonts w:ascii="Times New Roman" w:eastAsia="Times New Roman" w:hAnsi="Times New Roman"/>
      <w:sz w:val="24"/>
      <w:szCs w:val="24"/>
    </w:rPr>
  </w:style>
  <w:style w:type="paragraph" w:customStyle="1" w:styleId="Bullet4">
    <w:name w:val="Bullet 4"/>
    <w:basedOn w:val="Normal"/>
    <w:pPr>
      <w:numPr>
        <w:numId w:val="22"/>
      </w:numPr>
      <w:spacing w:before="120" w:after="120" w:line="240" w:lineRule="auto"/>
      <w:jc w:val="both"/>
    </w:pPr>
    <w:rPr>
      <w:rFonts w:ascii="Times New Roman" w:eastAsia="Times New Roman" w:hAnsi="Times New Roman"/>
      <w:sz w:val="24"/>
      <w:szCs w:val="24"/>
    </w:rPr>
  </w:style>
  <w:style w:type="paragraph" w:customStyle="1" w:styleId="Annexetitreexpos">
    <w:name w:val="Annexe titre (exposé)"/>
    <w:basedOn w:val="Normal"/>
    <w:next w:val="Normal"/>
    <w:pPr>
      <w:spacing w:before="120" w:after="120" w:line="240" w:lineRule="auto"/>
      <w:jc w:val="center"/>
    </w:pPr>
    <w:rPr>
      <w:rFonts w:ascii="Times New Roman" w:eastAsia="Times New Roman" w:hAnsi="Times New Roman"/>
      <w:b/>
      <w:sz w:val="24"/>
      <w:szCs w:val="24"/>
      <w:u w:val="single"/>
    </w:rPr>
  </w:style>
  <w:style w:type="paragraph" w:customStyle="1" w:styleId="Annexetitre">
    <w:name w:val="Annexe titre"/>
    <w:basedOn w:val="Normal"/>
    <w:next w:val="Normal"/>
    <w:pPr>
      <w:spacing w:before="120" w:after="120" w:line="240" w:lineRule="auto"/>
      <w:jc w:val="center"/>
    </w:pPr>
    <w:rPr>
      <w:rFonts w:ascii="Times New Roman" w:eastAsia="Times New Roman" w:hAnsi="Times New Roman"/>
      <w:b/>
      <w:sz w:val="24"/>
      <w:szCs w:val="24"/>
      <w:u w:val="single"/>
    </w:rPr>
  </w:style>
  <w:style w:type="paragraph" w:customStyle="1" w:styleId="Annexetitrefichefinancire">
    <w:name w:val="Annexe titre (fiche financière)"/>
    <w:basedOn w:val="Normal"/>
    <w:next w:val="Normal"/>
    <w:pPr>
      <w:spacing w:before="120" w:after="120" w:line="240" w:lineRule="auto"/>
      <w:jc w:val="center"/>
    </w:pPr>
    <w:rPr>
      <w:rFonts w:ascii="Times New Roman" w:eastAsia="Times New Roman" w:hAnsi="Times New Roman"/>
      <w:b/>
      <w:sz w:val="24"/>
      <w:szCs w:val="24"/>
      <w:u w:val="single"/>
    </w:rPr>
  </w:style>
  <w:style w:type="paragraph" w:customStyle="1" w:styleId="Applicationdirecte">
    <w:name w:val="Application directe"/>
    <w:basedOn w:val="Normal"/>
    <w:next w:val="Fait"/>
    <w:pPr>
      <w:spacing w:before="480" w:after="120" w:line="240" w:lineRule="auto"/>
      <w:jc w:val="both"/>
    </w:pPr>
    <w:rPr>
      <w:rFonts w:ascii="Times New Roman" w:eastAsia="Times New Roman" w:hAnsi="Times New Roman"/>
      <w:sz w:val="24"/>
      <w:szCs w:val="24"/>
    </w:rPr>
  </w:style>
  <w:style w:type="paragraph" w:customStyle="1" w:styleId="Avertissementtitre">
    <w:name w:val="Avertissement titre"/>
    <w:basedOn w:val="Normal"/>
    <w:next w:val="Normal"/>
    <w:pPr>
      <w:keepNext/>
      <w:spacing w:before="480" w:after="120" w:line="240" w:lineRule="auto"/>
      <w:jc w:val="both"/>
    </w:pPr>
    <w:rPr>
      <w:rFonts w:ascii="Times New Roman" w:eastAsia="Times New Roman" w:hAnsi="Times New Roman"/>
      <w:sz w:val="24"/>
      <w:szCs w:val="24"/>
      <w:u w:val="single"/>
    </w:rPr>
  </w:style>
  <w:style w:type="paragraph" w:customStyle="1" w:styleId="Confidence">
    <w:name w:val="Confidence"/>
    <w:basedOn w:val="Normal"/>
    <w:next w:val="Normal"/>
    <w:pPr>
      <w:spacing w:before="360" w:after="120" w:line="240" w:lineRule="auto"/>
      <w:jc w:val="center"/>
    </w:pPr>
    <w:rPr>
      <w:rFonts w:ascii="Times New Roman" w:eastAsia="Times New Roman" w:hAnsi="Times New Roman"/>
      <w:sz w:val="24"/>
      <w:szCs w:val="24"/>
    </w:rPr>
  </w:style>
  <w:style w:type="paragraph" w:customStyle="1" w:styleId="Confidentialit">
    <w:name w:val="Confidentialité"/>
    <w:basedOn w:val="Normal"/>
    <w:next w:val="TypedudocumentPagedecouverture"/>
    <w:pPr>
      <w:spacing w:before="240" w:after="240" w:line="240" w:lineRule="auto"/>
      <w:ind w:left="5103"/>
      <w:jc w:val="both"/>
    </w:pPr>
    <w:rPr>
      <w:rFonts w:ascii="Times New Roman" w:eastAsia="Times New Roman" w:hAnsi="Times New Roman"/>
      <w:i/>
      <w:sz w:val="32"/>
      <w:szCs w:val="24"/>
    </w:rPr>
  </w:style>
  <w:style w:type="paragraph" w:customStyle="1" w:styleId="Considrant">
    <w:name w:val="Considérant"/>
    <w:basedOn w:val="Normal"/>
    <w:pPr>
      <w:numPr>
        <w:numId w:val="23"/>
      </w:numPr>
      <w:spacing w:before="120" w:after="120" w:line="240" w:lineRule="auto"/>
      <w:jc w:val="both"/>
    </w:pPr>
    <w:rPr>
      <w:rFonts w:ascii="Times New Roman" w:eastAsia="Times New Roman" w:hAnsi="Times New Roman"/>
      <w:sz w:val="24"/>
      <w:szCs w:val="24"/>
    </w:rPr>
  </w:style>
  <w:style w:type="paragraph" w:customStyle="1" w:styleId="Corrigendum">
    <w:name w:val="Corrigendum"/>
    <w:basedOn w:val="Normal"/>
    <w:next w:val="Normal"/>
    <w:pPr>
      <w:spacing w:after="240" w:line="240" w:lineRule="auto"/>
    </w:pPr>
    <w:rPr>
      <w:rFonts w:ascii="Times New Roman" w:eastAsia="Times New Roman" w:hAnsi="Times New Roman"/>
      <w:sz w:val="24"/>
      <w:szCs w:val="24"/>
    </w:rPr>
  </w:style>
  <w:style w:type="paragraph" w:customStyle="1" w:styleId="Datedadoption">
    <w:name w:val="Date d'adoption"/>
    <w:basedOn w:val="Normal"/>
    <w:next w:val="Titreobjet"/>
    <w:pPr>
      <w:spacing w:before="360" w:after="0" w:line="240" w:lineRule="auto"/>
      <w:jc w:val="center"/>
    </w:pPr>
    <w:rPr>
      <w:rFonts w:ascii="Times New Roman" w:eastAsia="Times New Roman" w:hAnsi="Times New Roman"/>
      <w:b/>
      <w:sz w:val="24"/>
      <w:szCs w:val="24"/>
    </w:rPr>
  </w:style>
  <w:style w:type="paragraph" w:customStyle="1" w:styleId="Emission">
    <w:name w:val="Emission"/>
    <w:basedOn w:val="Normal"/>
    <w:next w:val="Rfrenceinstitutionnelle"/>
    <w:pPr>
      <w:spacing w:after="0" w:line="240" w:lineRule="auto"/>
      <w:ind w:left="5103"/>
    </w:pPr>
    <w:rPr>
      <w:rFonts w:ascii="Times New Roman" w:eastAsia="Times New Roman" w:hAnsi="Times New Roman"/>
      <w:sz w:val="24"/>
      <w:szCs w:val="24"/>
    </w:rPr>
  </w:style>
  <w:style w:type="paragraph" w:customStyle="1" w:styleId="Exposdesmotifstitre">
    <w:name w:val="Exposé des motifs titre"/>
    <w:basedOn w:val="Normal"/>
    <w:next w:val="Normal"/>
    <w:pPr>
      <w:spacing w:before="120" w:after="120" w:line="240" w:lineRule="auto"/>
      <w:jc w:val="center"/>
    </w:pPr>
    <w:rPr>
      <w:rFonts w:ascii="Times New Roman" w:eastAsia="Times New Roman" w:hAnsi="Times New Roman"/>
      <w:b/>
      <w:sz w:val="24"/>
      <w:szCs w:val="24"/>
      <w:u w:val="single"/>
    </w:rPr>
  </w:style>
  <w:style w:type="paragraph" w:customStyle="1" w:styleId="Fait">
    <w:name w:val="Fait à"/>
    <w:basedOn w:val="Normal"/>
    <w:next w:val="Institutionquisigne"/>
    <w:pPr>
      <w:keepNext/>
      <w:spacing w:before="120" w:after="0" w:line="240" w:lineRule="auto"/>
      <w:jc w:val="both"/>
    </w:pPr>
    <w:rPr>
      <w:rFonts w:ascii="Times New Roman" w:eastAsia="Times New Roman" w:hAnsi="Times New Roman"/>
      <w:sz w:val="24"/>
      <w:szCs w:val="24"/>
    </w:rPr>
  </w:style>
  <w:style w:type="paragraph" w:customStyle="1" w:styleId="Formuledadoption">
    <w:name w:val="Formule d'adoption"/>
    <w:basedOn w:val="Normal"/>
    <w:next w:val="Titrearticle"/>
    <w:pPr>
      <w:keepNext/>
      <w:spacing w:before="120" w:after="120" w:line="240" w:lineRule="auto"/>
      <w:jc w:val="both"/>
    </w:pPr>
    <w:rPr>
      <w:rFonts w:ascii="Times New Roman" w:eastAsia="Times New Roman" w:hAnsi="Times New Roman"/>
      <w:sz w:val="24"/>
      <w:szCs w:val="24"/>
    </w:rPr>
  </w:style>
  <w:style w:type="paragraph" w:customStyle="1" w:styleId="Institutionquiagit">
    <w:name w:val="Institution qui agit"/>
    <w:basedOn w:val="Normal"/>
    <w:next w:val="Normal"/>
    <w:pPr>
      <w:keepNext/>
      <w:spacing w:before="600" w:after="120" w:line="240" w:lineRule="auto"/>
      <w:jc w:val="both"/>
    </w:pPr>
    <w:rPr>
      <w:rFonts w:ascii="Times New Roman" w:eastAsia="Times New Roman" w:hAnsi="Times New Roman"/>
      <w:sz w:val="24"/>
      <w:szCs w:val="24"/>
    </w:rPr>
  </w:style>
  <w:style w:type="paragraph" w:customStyle="1" w:styleId="Institutionquisigne">
    <w:name w:val="Institution qui signe"/>
    <w:basedOn w:val="Normal"/>
    <w:next w:val="Personnequisigne"/>
    <w:pPr>
      <w:keepNext/>
      <w:tabs>
        <w:tab w:val="left" w:pos="4252"/>
      </w:tabs>
      <w:spacing w:before="720" w:after="0" w:line="240" w:lineRule="auto"/>
      <w:jc w:val="both"/>
    </w:pPr>
    <w:rPr>
      <w:rFonts w:ascii="Times New Roman" w:eastAsia="Times New Roman" w:hAnsi="Times New Roman"/>
      <w:i/>
      <w:sz w:val="24"/>
      <w:szCs w:val="24"/>
    </w:rPr>
  </w:style>
  <w:style w:type="paragraph" w:customStyle="1" w:styleId="Langue">
    <w:name w:val="Langue"/>
    <w:basedOn w:val="Normal"/>
    <w:next w:val="Rfrenceinterne"/>
    <w:pPr>
      <w:framePr w:wrap="around" w:vAnchor="page" w:hAnchor="text" w:xAlign="center" w:y="14741"/>
      <w:spacing w:after="600" w:line="240" w:lineRule="auto"/>
      <w:jc w:val="center"/>
    </w:pPr>
    <w:rPr>
      <w:rFonts w:ascii="Times New Roman" w:eastAsia="Times New Roman" w:hAnsi="Times New Roman"/>
      <w:b/>
      <w:caps/>
      <w:sz w:val="24"/>
      <w:szCs w:val="24"/>
    </w:rPr>
  </w:style>
  <w:style w:type="paragraph" w:customStyle="1" w:styleId="ManualConsidrant">
    <w:name w:val="Manual Considérant"/>
    <w:basedOn w:val="Normal"/>
    <w:pPr>
      <w:spacing w:before="120" w:after="120" w:line="240" w:lineRule="auto"/>
      <w:ind w:left="709" w:hanging="709"/>
      <w:jc w:val="both"/>
    </w:pPr>
    <w:rPr>
      <w:rFonts w:ascii="Times New Roman" w:eastAsia="Times New Roman" w:hAnsi="Times New Roman"/>
      <w:sz w:val="24"/>
      <w:szCs w:val="24"/>
    </w:rPr>
  </w:style>
  <w:style w:type="paragraph" w:customStyle="1" w:styleId="Nomdelinstitution">
    <w:name w:val="Nom de l'institution"/>
    <w:basedOn w:val="Normal"/>
    <w:next w:val="Emission"/>
    <w:pPr>
      <w:spacing w:after="0" w:line="240" w:lineRule="auto"/>
    </w:pPr>
    <w:rPr>
      <w:rFonts w:ascii="Arial" w:eastAsia="Times New Roman" w:hAnsi="Arial" w:cs="Arial"/>
      <w:sz w:val="24"/>
      <w:szCs w:val="24"/>
    </w:rPr>
  </w:style>
  <w:style w:type="paragraph" w:customStyle="1" w:styleId="Personnequisigne">
    <w:name w:val="Personne qui signe"/>
    <w:basedOn w:val="Normal"/>
    <w:next w:val="Institutionquisigne"/>
    <w:pPr>
      <w:tabs>
        <w:tab w:val="left" w:pos="4252"/>
      </w:tabs>
      <w:spacing w:after="0" w:line="240" w:lineRule="auto"/>
    </w:pPr>
    <w:rPr>
      <w:rFonts w:ascii="Times New Roman" w:eastAsia="Times New Roman" w:hAnsi="Times New Roman"/>
      <w:i/>
      <w:sz w:val="24"/>
      <w:szCs w:val="24"/>
    </w:rPr>
  </w:style>
  <w:style w:type="paragraph" w:customStyle="1" w:styleId="Rfrenceinstitutionnelle">
    <w:name w:val="Référence institutionnelle"/>
    <w:basedOn w:val="Normal"/>
    <w:next w:val="Confidentialit"/>
    <w:pPr>
      <w:spacing w:after="240" w:line="240" w:lineRule="auto"/>
      <w:ind w:left="5103"/>
    </w:pPr>
    <w:rPr>
      <w:rFonts w:ascii="Times New Roman" w:eastAsia="Times New Roman" w:hAnsi="Times New Roman"/>
      <w:sz w:val="24"/>
      <w:szCs w:val="24"/>
    </w:rPr>
  </w:style>
  <w:style w:type="paragraph" w:customStyle="1" w:styleId="Rfrenceinterinstitutionnelle">
    <w:name w:val="Référence interinstitutionnelle"/>
    <w:basedOn w:val="Normal"/>
    <w:next w:val="Statut"/>
    <w:pPr>
      <w:spacing w:after="0" w:line="240" w:lineRule="auto"/>
      <w:ind w:left="5103"/>
    </w:pPr>
    <w:rPr>
      <w:rFonts w:ascii="Times New Roman" w:eastAsia="Times New Roman" w:hAnsi="Times New Roman"/>
      <w:sz w:val="24"/>
      <w:szCs w:val="24"/>
    </w:rPr>
  </w:style>
  <w:style w:type="paragraph" w:customStyle="1" w:styleId="Rfrenceinterne">
    <w:name w:val="Référence interne"/>
    <w:basedOn w:val="Normal"/>
    <w:next w:val="Rfrenceinterinstitutionnelle"/>
    <w:pPr>
      <w:spacing w:after="0" w:line="240" w:lineRule="auto"/>
      <w:ind w:left="5103"/>
    </w:pPr>
    <w:rPr>
      <w:rFonts w:ascii="Times New Roman" w:eastAsia="Times New Roman" w:hAnsi="Times New Roman"/>
      <w:sz w:val="24"/>
      <w:szCs w:val="24"/>
    </w:rPr>
  </w:style>
  <w:style w:type="paragraph" w:customStyle="1" w:styleId="Sous-titreobjet">
    <w:name w:val="Sous-titre objet"/>
    <w:basedOn w:val="Normal"/>
    <w:pPr>
      <w:spacing w:after="0" w:line="240" w:lineRule="auto"/>
      <w:jc w:val="center"/>
    </w:pPr>
    <w:rPr>
      <w:rFonts w:ascii="Times New Roman" w:eastAsia="Times New Roman" w:hAnsi="Times New Roman"/>
      <w:b/>
      <w:sz w:val="24"/>
      <w:szCs w:val="24"/>
    </w:rPr>
  </w:style>
  <w:style w:type="paragraph" w:customStyle="1" w:styleId="Statut">
    <w:name w:val="Statut"/>
    <w:basedOn w:val="Normal"/>
    <w:next w:val="Typedudocument"/>
    <w:pPr>
      <w:spacing w:before="360" w:after="0" w:line="240" w:lineRule="auto"/>
      <w:jc w:val="center"/>
    </w:pPr>
    <w:rPr>
      <w:rFonts w:ascii="Times New Roman" w:eastAsia="Times New Roman" w:hAnsi="Times New Roman"/>
      <w:sz w:val="24"/>
      <w:szCs w:val="24"/>
    </w:rPr>
  </w:style>
  <w:style w:type="paragraph" w:customStyle="1" w:styleId="Titrearticle">
    <w:name w:val="Titre article"/>
    <w:basedOn w:val="Normal"/>
    <w:next w:val="Normal"/>
    <w:pPr>
      <w:keepNext/>
      <w:spacing w:before="360" w:after="120" w:line="240" w:lineRule="auto"/>
      <w:jc w:val="center"/>
    </w:pPr>
    <w:rPr>
      <w:rFonts w:ascii="Times New Roman" w:eastAsia="Times New Roman" w:hAnsi="Times New Roman"/>
      <w:i/>
      <w:sz w:val="24"/>
      <w:szCs w:val="24"/>
    </w:rPr>
  </w:style>
  <w:style w:type="paragraph" w:customStyle="1" w:styleId="Titreobjet">
    <w:name w:val="Titre objet"/>
    <w:basedOn w:val="Normal"/>
    <w:next w:val="Sous-titreobjet"/>
    <w:pPr>
      <w:spacing w:before="360" w:after="360" w:line="240" w:lineRule="auto"/>
      <w:jc w:val="center"/>
    </w:pPr>
    <w:rPr>
      <w:rFonts w:ascii="Times New Roman" w:eastAsia="Times New Roman" w:hAnsi="Times New Roman"/>
      <w:b/>
      <w:sz w:val="24"/>
      <w:szCs w:val="24"/>
    </w:rPr>
  </w:style>
  <w:style w:type="paragraph" w:customStyle="1" w:styleId="Typedudocument">
    <w:name w:val="Type du document"/>
    <w:basedOn w:val="Normal"/>
    <w:next w:val="Titreobjet"/>
    <w:pPr>
      <w:spacing w:before="360" w:after="0" w:line="240" w:lineRule="auto"/>
      <w:jc w:val="center"/>
    </w:pPr>
    <w:rPr>
      <w:rFonts w:ascii="Times New Roman" w:eastAsia="Times New Roman" w:hAnsi="Times New Roman"/>
      <w:b/>
      <w:sz w:val="24"/>
      <w:szCs w:val="24"/>
    </w:rPr>
  </w:style>
  <w:style w:type="character" w:customStyle="1" w:styleId="Added">
    <w:name w:val="Added"/>
    <w:rPr>
      <w:b/>
      <w:u w:val="single"/>
      <w:shd w:val="clear" w:color="auto" w:fill="auto"/>
    </w:rPr>
  </w:style>
  <w:style w:type="character" w:customStyle="1" w:styleId="Deleted">
    <w:name w:val="Deleted"/>
    <w:rPr>
      <w:strike/>
      <w:shd w:val="clear" w:color="auto" w:fill="auto"/>
    </w:rPr>
  </w:style>
  <w:style w:type="paragraph" w:customStyle="1" w:styleId="Address">
    <w:name w:val="Address"/>
    <w:basedOn w:val="Normal"/>
    <w:next w:val="Normal"/>
    <w:pPr>
      <w:keepLines/>
      <w:spacing w:before="120" w:after="120" w:line="360" w:lineRule="auto"/>
      <w:ind w:left="3402"/>
    </w:pPr>
    <w:rPr>
      <w:rFonts w:ascii="Times New Roman" w:eastAsia="Times New Roman" w:hAnsi="Times New Roman"/>
      <w:sz w:val="24"/>
      <w:szCs w:val="24"/>
    </w:rPr>
  </w:style>
  <w:style w:type="paragraph" w:customStyle="1" w:styleId="Objetexterne">
    <w:name w:val="Objet externe"/>
    <w:basedOn w:val="Normal"/>
    <w:next w:val="Normal"/>
    <w:pPr>
      <w:spacing w:before="120" w:after="120" w:line="240" w:lineRule="auto"/>
      <w:jc w:val="both"/>
    </w:pPr>
    <w:rPr>
      <w:rFonts w:ascii="Times New Roman" w:eastAsia="Times New Roman" w:hAnsi="Times New Roman"/>
      <w:i/>
      <w:caps/>
      <w:sz w:val="24"/>
      <w:szCs w:val="24"/>
    </w:rPr>
  </w:style>
  <w:style w:type="paragraph" w:customStyle="1" w:styleId="Pagedecouverture">
    <w:name w:val="Page de couverture"/>
    <w:basedOn w:val="Normal"/>
    <w:next w:val="Normal"/>
    <w:pPr>
      <w:spacing w:after="0" w:line="240" w:lineRule="auto"/>
      <w:jc w:val="both"/>
    </w:pPr>
    <w:rPr>
      <w:rFonts w:ascii="Times New Roman" w:eastAsia="Times New Roman" w:hAnsi="Times New Roman"/>
      <w:sz w:val="24"/>
      <w:szCs w:val="24"/>
    </w:rPr>
  </w:style>
  <w:style w:type="paragraph" w:customStyle="1" w:styleId="Supertitre">
    <w:name w:val="Supertitre"/>
    <w:basedOn w:val="Normal"/>
    <w:next w:val="Normal"/>
    <w:pPr>
      <w:spacing w:after="600" w:line="240" w:lineRule="auto"/>
      <w:jc w:val="center"/>
    </w:pPr>
    <w:rPr>
      <w:rFonts w:ascii="Times New Roman" w:eastAsia="Times New Roman" w:hAnsi="Times New Roman"/>
      <w:b/>
      <w:sz w:val="24"/>
      <w:szCs w:val="24"/>
    </w:rPr>
  </w:style>
  <w:style w:type="paragraph" w:customStyle="1" w:styleId="Languesfaisantfoi">
    <w:name w:val="Langues faisant foi"/>
    <w:basedOn w:val="Normal"/>
    <w:next w:val="Normal"/>
    <w:pPr>
      <w:spacing w:before="360" w:after="0" w:line="240" w:lineRule="auto"/>
      <w:jc w:val="center"/>
    </w:pPr>
    <w:rPr>
      <w:rFonts w:ascii="Times New Roman" w:eastAsia="Times New Roman" w:hAnsi="Times New Roman"/>
      <w:sz w:val="24"/>
      <w:szCs w:val="24"/>
    </w:rPr>
  </w:style>
  <w:style w:type="paragraph" w:customStyle="1" w:styleId="Rfrencecroise">
    <w:name w:val="Référence croisée"/>
    <w:basedOn w:val="Normal"/>
    <w:pPr>
      <w:spacing w:after="0" w:line="240" w:lineRule="auto"/>
      <w:jc w:val="center"/>
    </w:pPr>
    <w:rPr>
      <w:rFonts w:ascii="Times New Roman" w:eastAsia="Times New Roman" w:hAnsi="Times New Roman"/>
      <w:sz w:val="24"/>
      <w:szCs w:val="24"/>
    </w:rPr>
  </w:style>
  <w:style w:type="paragraph" w:customStyle="1" w:styleId="Fichefinanciretitre">
    <w:name w:val="Fiche financière titre"/>
    <w:basedOn w:val="Normal"/>
    <w:next w:val="Normal"/>
    <w:pPr>
      <w:spacing w:before="120" w:after="120" w:line="240" w:lineRule="auto"/>
      <w:jc w:val="center"/>
    </w:pPr>
    <w:rPr>
      <w:rFonts w:ascii="Times New Roman" w:eastAsia="Times New Roman" w:hAnsi="Times New Roman"/>
      <w:b/>
      <w:sz w:val="24"/>
      <w:szCs w:val="24"/>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after="240" w:line="240" w:lineRule="auto"/>
      <w:ind w:left="5103"/>
    </w:pPr>
    <w:rPr>
      <w:rFonts w:ascii="Times New Roman" w:eastAsia="Times New Roman" w:hAnsi="Times New Roman"/>
      <w:sz w:val="24"/>
      <w:szCs w:val="24"/>
    </w:r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after="240" w:line="240" w:lineRule="auto"/>
      <w:jc w:val="center"/>
    </w:pPr>
    <w:rPr>
      <w:rFonts w:ascii="Times New Roman" w:eastAsia="Times New Roman" w:hAnsi="Times New Roman"/>
      <w:b/>
      <w:i/>
      <w:sz w:val="24"/>
      <w:szCs w:val="24"/>
    </w:rPr>
  </w:style>
  <w:style w:type="paragraph" w:customStyle="1" w:styleId="Typeacteprincipal">
    <w:name w:val="Type acte principal"/>
    <w:basedOn w:val="Normal"/>
    <w:next w:val="Objetacteprincipal"/>
    <w:pPr>
      <w:spacing w:after="240" w:line="240" w:lineRule="auto"/>
      <w:jc w:val="center"/>
    </w:pPr>
    <w:rPr>
      <w:rFonts w:ascii="Times New Roman" w:eastAsia="Times New Roman" w:hAnsi="Times New Roman"/>
      <w:b/>
      <w:sz w:val="24"/>
      <w:szCs w:val="24"/>
    </w:rPr>
  </w:style>
  <w:style w:type="paragraph" w:customStyle="1" w:styleId="Objetacteprincipal">
    <w:name w:val="Objet acte principal"/>
    <w:basedOn w:val="Normal"/>
    <w:next w:val="Titrearticle"/>
    <w:pPr>
      <w:spacing w:after="360" w:line="240" w:lineRule="auto"/>
      <w:jc w:val="center"/>
    </w:pPr>
    <w:rPr>
      <w:rFonts w:ascii="Times New Roman" w:eastAsia="Times New Roman" w:hAnsi="Times New Roman"/>
      <w:b/>
      <w:sz w:val="24"/>
      <w:szCs w:val="24"/>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line="240" w:lineRule="auto"/>
      <w:jc w:val="center"/>
    </w:pPr>
    <w:rPr>
      <w:rFonts w:ascii="Times New Roman" w:eastAsia="Times New Roman" w:hAnsi="Times New Roman"/>
      <w:sz w:val="24"/>
      <w:szCs w:val="24"/>
    </w:rPr>
  </w:style>
  <w:style w:type="character" w:customStyle="1" w:styleId="mw-headline">
    <w:name w:val="mw-headline"/>
    <w:rPr>
      <w:shd w:val="clear" w:color="auto" w:fill="auto"/>
    </w:rPr>
  </w:style>
  <w:style w:type="paragraph" w:styleId="Caption">
    <w:name w:val="caption"/>
    <w:basedOn w:val="Normal"/>
    <w:next w:val="Normal"/>
    <w:qFormat/>
    <w:pPr>
      <w:spacing w:before="120" w:after="120" w:line="240" w:lineRule="auto"/>
      <w:jc w:val="both"/>
    </w:pPr>
    <w:rPr>
      <w:rFonts w:ascii="Times New Roman" w:eastAsia="Times New Roman" w:hAnsi="Times New Roman"/>
      <w:b/>
      <w:bCs/>
      <w:sz w:val="20"/>
      <w:szCs w:val="20"/>
    </w:rPr>
  </w:style>
  <w:style w:type="paragraph" w:styleId="TableofFigures">
    <w:name w:val="table of figures"/>
    <w:basedOn w:val="Normal"/>
    <w:next w:val="Normal"/>
    <w:pPr>
      <w:spacing w:before="120" w:after="120" w:line="240" w:lineRule="auto"/>
      <w:jc w:val="both"/>
    </w:pPr>
    <w:rPr>
      <w:rFonts w:ascii="Times New Roman" w:eastAsia="Times New Roman" w:hAnsi="Times New Roman"/>
      <w:sz w:val="24"/>
      <w:szCs w:val="24"/>
    </w:rPr>
  </w:style>
  <w:style w:type="paragraph" w:styleId="ListBullet">
    <w:name w:val="List Bullet"/>
    <w:basedOn w:val="Normal"/>
    <w:pPr>
      <w:numPr>
        <w:numId w:val="1"/>
      </w:numPr>
      <w:spacing w:before="120" w:after="120" w:line="240" w:lineRule="auto"/>
      <w:contextualSpacing/>
      <w:jc w:val="both"/>
    </w:pPr>
    <w:rPr>
      <w:rFonts w:ascii="Times New Roman" w:eastAsia="Times New Roman" w:hAnsi="Times New Roman"/>
      <w:sz w:val="24"/>
      <w:szCs w:val="24"/>
    </w:rPr>
  </w:style>
  <w:style w:type="paragraph" w:styleId="ListBullet2">
    <w:name w:val="List Bullet 2"/>
    <w:basedOn w:val="Normal"/>
    <w:pPr>
      <w:numPr>
        <w:numId w:val="2"/>
      </w:numPr>
      <w:spacing w:before="120" w:after="120" w:line="240" w:lineRule="auto"/>
      <w:contextualSpacing/>
      <w:jc w:val="both"/>
    </w:pPr>
    <w:rPr>
      <w:rFonts w:ascii="Times New Roman" w:eastAsia="Times New Roman" w:hAnsi="Times New Roman"/>
      <w:sz w:val="24"/>
      <w:szCs w:val="24"/>
    </w:rPr>
  </w:style>
  <w:style w:type="paragraph" w:styleId="ListBullet3">
    <w:name w:val="List Bullet 3"/>
    <w:basedOn w:val="Normal"/>
    <w:pPr>
      <w:numPr>
        <w:numId w:val="3"/>
      </w:numPr>
      <w:spacing w:before="120" w:after="120" w:line="240" w:lineRule="auto"/>
      <w:contextualSpacing/>
      <w:jc w:val="both"/>
    </w:pPr>
    <w:rPr>
      <w:rFonts w:ascii="Times New Roman" w:eastAsia="Times New Roman" w:hAnsi="Times New Roman"/>
      <w:sz w:val="24"/>
      <w:szCs w:val="24"/>
    </w:rPr>
  </w:style>
  <w:style w:type="paragraph" w:styleId="ListBullet4">
    <w:name w:val="List Bullet 4"/>
    <w:basedOn w:val="Normal"/>
    <w:pPr>
      <w:numPr>
        <w:numId w:val="4"/>
      </w:numPr>
      <w:spacing w:before="120" w:after="120" w:line="240" w:lineRule="auto"/>
      <w:contextualSpacing/>
      <w:jc w:val="both"/>
    </w:pPr>
    <w:rPr>
      <w:rFonts w:ascii="Times New Roman" w:eastAsia="Times New Roman" w:hAnsi="Times New Roman"/>
      <w:sz w:val="24"/>
      <w:szCs w:val="24"/>
    </w:rPr>
  </w:style>
  <w:style w:type="paragraph" w:styleId="ListNumber">
    <w:name w:val="List Number"/>
    <w:basedOn w:val="Normal"/>
    <w:pPr>
      <w:numPr>
        <w:numId w:val="5"/>
      </w:numPr>
      <w:spacing w:before="120" w:after="120" w:line="240" w:lineRule="auto"/>
      <w:contextualSpacing/>
      <w:jc w:val="both"/>
    </w:pPr>
    <w:rPr>
      <w:rFonts w:ascii="Times New Roman" w:eastAsia="Times New Roman" w:hAnsi="Times New Roman"/>
      <w:sz w:val="24"/>
      <w:szCs w:val="24"/>
    </w:rPr>
  </w:style>
  <w:style w:type="paragraph" w:styleId="ListNumber2">
    <w:name w:val="List Number 2"/>
    <w:basedOn w:val="Normal"/>
    <w:pPr>
      <w:numPr>
        <w:numId w:val="6"/>
      </w:numPr>
      <w:spacing w:before="120" w:after="120" w:line="240" w:lineRule="auto"/>
      <w:contextualSpacing/>
      <w:jc w:val="both"/>
    </w:pPr>
    <w:rPr>
      <w:rFonts w:ascii="Times New Roman" w:eastAsia="Times New Roman" w:hAnsi="Times New Roman"/>
      <w:sz w:val="24"/>
      <w:szCs w:val="24"/>
    </w:rPr>
  </w:style>
  <w:style w:type="paragraph" w:styleId="ListNumber3">
    <w:name w:val="List Number 3"/>
    <w:basedOn w:val="Normal"/>
    <w:pPr>
      <w:numPr>
        <w:numId w:val="7"/>
      </w:numPr>
      <w:spacing w:before="120" w:after="120" w:line="240" w:lineRule="auto"/>
      <w:contextualSpacing/>
      <w:jc w:val="both"/>
    </w:pPr>
    <w:rPr>
      <w:rFonts w:ascii="Times New Roman" w:eastAsia="Times New Roman" w:hAnsi="Times New Roman"/>
      <w:sz w:val="24"/>
      <w:szCs w:val="24"/>
    </w:rPr>
  </w:style>
  <w:style w:type="paragraph" w:styleId="ListNumber4">
    <w:name w:val="List Number 4"/>
    <w:basedOn w:val="Normal"/>
    <w:pPr>
      <w:numPr>
        <w:numId w:val="8"/>
      </w:numPr>
      <w:spacing w:before="120" w:after="120" w:line="240" w:lineRule="auto"/>
      <w:contextualSpacing/>
      <w:jc w:val="both"/>
    </w:pPr>
    <w:rPr>
      <w:rFonts w:ascii="Times New Roman" w:eastAsia="Times New Roman" w:hAnsi="Times New Roman"/>
      <w:sz w:val="24"/>
      <w:szCs w:val="24"/>
    </w:rPr>
  </w:style>
  <w:style w:type="character" w:styleId="CommentReference">
    <w:name w:val="annotation reference"/>
    <w:rPr>
      <w:sz w:val="16"/>
    </w:rPr>
  </w:style>
  <w:style w:type="paragraph" w:styleId="CommentText">
    <w:name w:val="annotation text"/>
    <w:basedOn w:val="Normal"/>
    <w:link w:val="CommentTextChar"/>
    <w:pPr>
      <w:spacing w:before="120" w:after="120" w:line="240" w:lineRule="auto"/>
      <w:jc w:val="both"/>
    </w:pPr>
    <w:rPr>
      <w:rFonts w:ascii="Times New Roman" w:eastAsia="Times New Roman" w:hAnsi="Times New Roman"/>
      <w:sz w:val="20"/>
      <w:szCs w:val="20"/>
    </w:rPr>
  </w:style>
  <w:style w:type="character" w:customStyle="1" w:styleId="CommentTextChar">
    <w:name w:val="Comment Text Char"/>
    <w:link w:val="CommentText"/>
    <w:rPr>
      <w:rFonts w:ascii="Times New Roman" w:eastAsia="Times New Roman" w:hAnsi="Times New Roman"/>
      <w:lang w:eastAsia="fi-FI"/>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rFonts w:ascii="Times New Roman" w:eastAsia="Times New Roman" w:hAnsi="Times New Roman"/>
      <w:b/>
      <w:bCs/>
      <w:lang w:eastAsia="fi-FI"/>
    </w:rPr>
  </w:style>
  <w:style w:type="character" w:styleId="Hyperlink">
    <w:name w:val="Hyperlink"/>
    <w:rPr>
      <w:color w:val="0000FF"/>
      <w:u w:val="single"/>
    </w:rPr>
  </w:style>
  <w:style w:type="paragraph" w:styleId="BalloonText">
    <w:name w:val="Balloon Text"/>
    <w:basedOn w:val="Normal"/>
    <w:link w:val="BalloonTextChar"/>
    <w:pPr>
      <w:spacing w:after="0" w:line="240" w:lineRule="auto"/>
      <w:jc w:val="both"/>
    </w:pPr>
    <w:rPr>
      <w:rFonts w:ascii="Tahoma" w:eastAsia="Times New Roman" w:hAnsi="Tahoma" w:cs="Tahoma"/>
      <w:sz w:val="16"/>
      <w:szCs w:val="16"/>
    </w:rPr>
  </w:style>
  <w:style w:type="character" w:customStyle="1" w:styleId="BalloonTextChar">
    <w:name w:val="Balloon Text Char"/>
    <w:link w:val="BalloonText"/>
    <w:rPr>
      <w:rFonts w:ascii="Tahoma" w:eastAsia="Times New Roman" w:hAnsi="Tahoma" w:cs="Tahoma"/>
      <w:sz w:val="16"/>
      <w:szCs w:val="16"/>
      <w:lang w:eastAsia="fi-FI"/>
    </w:rPr>
  </w:style>
  <w:style w:type="paragraph" w:styleId="Revision">
    <w:name w:val="Revision"/>
    <w:hidden/>
    <w:semiHidden/>
    <w:rPr>
      <w:rFonts w:ascii="Times New Roman" w:eastAsia="Times New Roman" w:hAnsi="Times New Roman"/>
      <w:sz w:val="24"/>
      <w:szCs w:val="24"/>
    </w:rPr>
  </w:style>
  <w:style w:type="paragraph" w:customStyle="1" w:styleId="Default">
    <w:name w:val="Default"/>
    <w:pPr>
      <w:autoSpaceDE w:val="0"/>
      <w:autoSpaceDN w:val="0"/>
      <w:adjustRightInd w:val="0"/>
    </w:pPr>
    <w:rPr>
      <w:rFonts w:ascii="Times New Roman" w:hAnsi="Times New Roman"/>
      <w:color w:val="000000"/>
      <w:sz w:val="24"/>
      <w:szCs w:val="24"/>
    </w:rPr>
  </w:style>
  <w:style w:type="paragraph" w:styleId="EndnoteText">
    <w:name w:val="endnote text"/>
    <w:basedOn w:val="Normal"/>
    <w:link w:val="EndnoteTextChar"/>
    <w:pPr>
      <w:spacing w:before="120" w:after="120" w:line="240" w:lineRule="auto"/>
      <w:jc w:val="both"/>
    </w:pPr>
    <w:rPr>
      <w:rFonts w:ascii="Times New Roman" w:eastAsia="Times New Roman" w:hAnsi="Times New Roman"/>
      <w:sz w:val="20"/>
      <w:szCs w:val="20"/>
    </w:rPr>
  </w:style>
  <w:style w:type="character" w:customStyle="1" w:styleId="EndnoteTextChar">
    <w:name w:val="Endnote Text Char"/>
    <w:link w:val="EndnoteText"/>
    <w:rPr>
      <w:rFonts w:ascii="Times New Roman" w:eastAsia="Times New Roman" w:hAnsi="Times New Roman"/>
      <w:lang w:eastAsia="fi-FI"/>
    </w:rPr>
  </w:style>
  <w:style w:type="character" w:styleId="EndnoteReference">
    <w:name w:val="endnote reference"/>
    <w:rPr>
      <w:vertAlign w:val="superscript"/>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eastAsia="Times New Roman" w:hAnsi="Times New Roman"/>
      <w:sz w:val="24"/>
      <w:szCs w:val="24"/>
    </w:rPr>
  </w:style>
  <w:style w:type="character" w:customStyle="1" w:styleId="FooterCoverPageChar">
    <w:name w:val="Footer Cover Page Char"/>
    <w:link w:val="FooterCoverPage"/>
    <w:rPr>
      <w:rFonts w:ascii="Times New Roman" w:eastAsia="Times New Roman" w:hAnsi="Times New Roman"/>
      <w:sz w:val="24"/>
      <w:szCs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eastAsia="Times New Roman" w:hAnsi="Times New Roman"/>
      <w:sz w:val="24"/>
      <w:szCs w:val="24"/>
    </w:rPr>
  </w:style>
  <w:style w:type="character" w:customStyle="1" w:styleId="HeaderCoverPageChar">
    <w:name w:val="Header Cover Page Char"/>
    <w:link w:val="HeaderCoverPage"/>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0523B6-67B1-40D3-BF82-20F377EFE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11</Pages>
  <Words>3099</Words>
  <Characters>26315</Characters>
  <Application>Microsoft Office Word</Application>
  <DocSecurity>0</DocSecurity>
  <Lines>360</Lines>
  <Paragraphs>63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DIGIT/A3</cp:lastModifiedBy>
  <cp:revision>50</cp:revision>
  <cp:lastPrinted>2015-04-27T15:18:00Z</cp:lastPrinted>
  <dcterms:created xsi:type="dcterms:W3CDTF">2015-03-26T13:59:00Z</dcterms:created>
  <dcterms:modified xsi:type="dcterms:W3CDTF">2015-04-28T11:21:00Z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Classification">
    <vt:lpwstr> </vt:lpwstr>
  </property>
</Properties>
</file>