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30B39C199A044D38E8E4EA7B074EDC2" style="width:450.8pt;height:510.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widowControl w:val="0"/>
        <w:autoSpaceDE w:val="0"/>
        <w:autoSpaceDN w:val="0"/>
        <w:adjustRightInd w:val="0"/>
        <w:spacing w:after="0"/>
        <w:rPr>
          <w:noProof/>
        </w:rPr>
      </w:pPr>
      <w:bookmarkStart w:id="0" w:name="_GoBack"/>
      <w:bookmarkEnd w:id="0"/>
      <w:r>
        <w:rPr>
          <w:noProof/>
        </w:rPr>
        <w:lastRenderedPageBreak/>
        <w:t xml:space="preserve">Europeiska unionen (nedan kallad </w:t>
      </w:r>
      <w:r>
        <w:rPr>
          <w:i/>
          <w:noProof/>
        </w:rPr>
        <w:t>EU</w:t>
      </w:r>
      <w:r>
        <w:rPr>
          <w:noProof/>
        </w:rPr>
        <w:t xml:space="preserve">) lämnar i enlighet med artikel 44 i protokollet för att eliminera olaglig handel med tobaksvaror till Världshälsoorganisationens ramkonvention om tobakskontroll (nedan kallat </w:t>
      </w:r>
      <w:r>
        <w:rPr>
          <w:i/>
          <w:noProof/>
        </w:rPr>
        <w:t>protokollet</w:t>
      </w:r>
      <w:r>
        <w:rPr>
          <w:noProof/>
        </w:rPr>
        <w:t xml:space="preserve">) följande behörighetsförklaring i vilken anges de kategorier och politikområden för vilka EU:s medlemsstater har tilldelat EU befogenheter på de områden som omfattas av protokollet. </w:t>
      </w:r>
    </w:p>
    <w:p>
      <w:pPr>
        <w:widowControl w:val="0"/>
        <w:autoSpaceDE w:val="0"/>
        <w:autoSpaceDN w:val="0"/>
        <w:adjustRightInd w:val="0"/>
        <w:spacing w:after="0"/>
        <w:rPr>
          <w:noProof/>
        </w:rPr>
      </w:pPr>
    </w:p>
    <w:p>
      <w:pPr>
        <w:pStyle w:val="ManualHeading1"/>
        <w:rPr>
          <w:b w:val="0"/>
          <w:noProof/>
        </w:rPr>
      </w:pPr>
      <w:r>
        <w:rPr>
          <w:b w:val="0"/>
          <w:noProof/>
        </w:rPr>
        <w:t xml:space="preserve">1. </w:t>
      </w:r>
      <w:r>
        <w:rPr>
          <w:noProof/>
        </w:rPr>
        <w:tab/>
      </w:r>
      <w:r>
        <w:rPr>
          <w:b w:val="0"/>
          <w:noProof/>
        </w:rPr>
        <w:t>Allmänna principer</w:t>
      </w:r>
    </w:p>
    <w:p>
      <w:pPr>
        <w:widowControl w:val="0"/>
        <w:autoSpaceDE w:val="0"/>
        <w:autoSpaceDN w:val="0"/>
        <w:adjustRightInd w:val="0"/>
        <w:spacing w:after="0"/>
        <w:rPr>
          <w:noProof/>
          <w:color w:val="000000"/>
          <w:sz w:val="23"/>
          <w:szCs w:val="23"/>
        </w:rPr>
      </w:pPr>
      <w:r>
        <w:rPr>
          <w:noProof/>
          <w:sz w:val="23"/>
        </w:rPr>
        <w:t xml:space="preserve">EU:s befogenhetskategorier och befogenhetsområden fastställs i artiklarna 2–6 i EUF-fördraget. </w:t>
      </w:r>
      <w:r>
        <w:rPr>
          <w:noProof/>
          <w:color w:val="000000"/>
          <w:sz w:val="23"/>
        </w:rPr>
        <w:t xml:space="preserve">När fördragen tilldelar EU exklusiv befogenhet på ett visst område, får endast EU lagstifta och anta rättsligt bindande akter medan medlemsstaterna får göra detta själva endast efter bemyndigande från EU eller för att genomföra EU:s akter. När fördragen tilldelar EU en befogenhet som ska delas med medlemsstaterna på ett visst område, får EU och medlemsstaterna lagstifta och anta rättsligt bindande akter på detta område. Medlemsstaterna ska utöva sin befogenhet i den mån som EU inte har utövat sin befogenhet. Medlemsstaterna ska på nytt utöva sin befogenhet i den mån som EU har beslutat att inte längre utöva sin befogenhet. </w:t>
      </w:r>
    </w:p>
    <w:p>
      <w:pPr>
        <w:widowControl w:val="0"/>
        <w:autoSpaceDE w:val="0"/>
        <w:autoSpaceDN w:val="0"/>
        <w:adjustRightInd w:val="0"/>
        <w:spacing w:after="0"/>
        <w:rPr>
          <w:noProof/>
          <w:color w:val="000000"/>
          <w:sz w:val="23"/>
          <w:szCs w:val="23"/>
        </w:rPr>
      </w:pPr>
      <w:r>
        <w:rPr>
          <w:noProof/>
          <w:color w:val="000000"/>
          <w:sz w:val="23"/>
        </w:rPr>
        <w:t xml:space="preserve">När det gäller ingående av internationella avtal på de politikområden som anges i artikel 3.1 i EUF-fördraget har endast EU befogenhet att vidta åtgärder. För de politikområden som anges i artikel 4.2 i EUF-fördraget har EU och dess medlemsstater delad befogenhet, men endast EU har befogenhet att vidta åtgärder om den planerade åtgärden är nödvändig för att EU ska kunna utöva sin befogenhet internt eller i den mån ingåendet kan påverka gemensamma regler eller ändra räckvidden för dessa i den mening som avses i artikel 3.2 i EUF-fördraget; i den mån detta inte är fallet (dvs. om villkoren i artikel 3.2 i EUF-fördraget inte är uppfyllda) får medlemsstaterna utöva sin befogenhet att vidta åtgärder på dessa politikområden. </w:t>
      </w:r>
    </w:p>
    <w:p>
      <w:pPr>
        <w:widowControl w:val="0"/>
        <w:autoSpaceDE w:val="0"/>
        <w:autoSpaceDN w:val="0"/>
        <w:adjustRightInd w:val="0"/>
        <w:spacing w:after="0"/>
        <w:rPr>
          <w:noProof/>
        </w:rPr>
      </w:pPr>
      <w:r>
        <w:rPr>
          <w:noProof/>
        </w:rPr>
        <w:t xml:space="preserve">Befogenheter som inte tilldelas EU genom fördragen omfattas av EU:s medlemsstaters befogenhet. </w:t>
      </w:r>
    </w:p>
    <w:p>
      <w:pPr>
        <w:widowControl w:val="0"/>
        <w:autoSpaceDE w:val="0"/>
        <w:autoSpaceDN w:val="0"/>
        <w:adjustRightInd w:val="0"/>
        <w:spacing w:after="0"/>
        <w:rPr>
          <w:noProof/>
        </w:rPr>
      </w:pPr>
      <w:r>
        <w:rPr>
          <w:noProof/>
        </w:rPr>
        <w:t>EU kommer att i vederbörlig ordning meddela varje väsentlig ändring av omfattningen av dess behörighet i enlighet med artikel 44 i protokollet, utan att detta utgör en nödvändig förutsättning för utövandet av dess behörighet i frågor som omfattas av protokollet.</w:t>
      </w:r>
    </w:p>
    <w:p>
      <w:pPr>
        <w:pStyle w:val="ManualHeading1"/>
        <w:rPr>
          <w:b w:val="0"/>
          <w:noProof/>
        </w:rPr>
      </w:pPr>
      <w:r>
        <w:rPr>
          <w:b w:val="0"/>
          <w:noProof/>
        </w:rPr>
        <w:lastRenderedPageBreak/>
        <w:t xml:space="preserve">2. </w:t>
      </w:r>
      <w:r>
        <w:rPr>
          <w:noProof/>
        </w:rPr>
        <w:tab/>
      </w:r>
      <w:r>
        <w:rPr>
          <w:b w:val="0"/>
          <w:noProof/>
        </w:rPr>
        <w:t>EU:s befogenheter</w:t>
      </w:r>
    </w:p>
    <w:p>
      <w:pPr>
        <w:pStyle w:val="ManualHeading2"/>
        <w:rPr>
          <w:b w:val="0"/>
          <w:noProof/>
        </w:rPr>
      </w:pPr>
      <w:r>
        <w:rPr>
          <w:b w:val="0"/>
          <w:noProof/>
        </w:rPr>
        <w:t>2.1</w:t>
      </w:r>
      <w:r>
        <w:rPr>
          <w:noProof/>
        </w:rPr>
        <w:tab/>
      </w:r>
      <w:r>
        <w:rPr>
          <w:b w:val="0"/>
          <w:noProof/>
        </w:rPr>
        <w:t xml:space="preserve">Endast EU har befogenhet att vidta åtgärder med avseende på de frågor som omfattas av protokollet på de politikområden som anges i artikel 3.1 i EUF-fördraget, i detta fall den gemensamma handelspolitiken. </w:t>
      </w:r>
    </w:p>
    <w:p>
      <w:pPr>
        <w:pStyle w:val="ManualHeading2"/>
        <w:rPr>
          <w:b w:val="0"/>
          <w:noProof/>
        </w:rPr>
      </w:pPr>
      <w:r>
        <w:rPr>
          <w:b w:val="0"/>
          <w:noProof/>
        </w:rPr>
        <w:t>2.2</w:t>
      </w:r>
      <w:r>
        <w:rPr>
          <w:noProof/>
        </w:rPr>
        <w:tab/>
      </w:r>
      <w:r>
        <w:rPr>
          <w:b w:val="0"/>
          <w:noProof/>
        </w:rPr>
        <w:t>Vidare har endast EU befogenhet att ingå internationella avtal på vissa andra politikområden.</w:t>
      </w:r>
      <w:r>
        <w:rPr>
          <w:b w:val="0"/>
          <w:noProof/>
          <w:sz w:val="23"/>
        </w:rPr>
        <w:t xml:space="preserve"> Detta är fallet om den planerade åtgärden är nödvändig för att EU ska kunna utöva sin befogenhet internt eller i den mån bestämmelserna i protokollet kan påverka gemensamma regler som redan antagits av EU på relevanta områden eller ändra räckvidden för dessa, i den mening som avses i artikel 3.2 i EUF-fördraget. </w:t>
      </w:r>
      <w:r>
        <w:rPr>
          <w:b w:val="0"/>
          <w:noProof/>
        </w:rPr>
        <w:t xml:space="preserve">Dessa politikområden är i synnerhet den inre marknaden, inbegripet åtgärder i syfte att upprätta den inre marknaden eller säkerställa dess funktion (artikel 26.1 i EUF-fördraget), tillnärmning av lagstiftning, i synnerhet om penningtvätt (artiklarna 114–118 i EUF-fördraget), fri rörlighet för varor (artikel 28 i EUF-fördraget) samt tullsamarbete (artikel 33 i EUF-fördraget). </w:t>
      </w:r>
    </w:p>
    <w:p>
      <w:pPr>
        <w:pStyle w:val="ManualHeading1"/>
        <w:rPr>
          <w:b w:val="0"/>
          <w:noProof/>
        </w:rPr>
      </w:pPr>
      <w:r>
        <w:rPr>
          <w:b w:val="0"/>
          <w:noProof/>
        </w:rPr>
        <w:t xml:space="preserve">3. </w:t>
      </w:r>
      <w:r>
        <w:rPr>
          <w:noProof/>
        </w:rPr>
        <w:tab/>
      </w:r>
      <w:r>
        <w:rPr>
          <w:b w:val="0"/>
          <w:noProof/>
        </w:rPr>
        <w:t>EU:s och dess medlemsstaters befogenheter.</w:t>
      </w:r>
    </w:p>
    <w:p>
      <w:pPr>
        <w:pStyle w:val="ManualHeading2"/>
        <w:rPr>
          <w:b w:val="0"/>
          <w:noProof/>
        </w:rPr>
      </w:pPr>
      <w:r>
        <w:rPr>
          <w:noProof/>
        </w:rPr>
        <w:tab/>
      </w:r>
      <w:r>
        <w:rPr>
          <w:b w:val="0"/>
          <w:noProof/>
        </w:rPr>
        <w:t xml:space="preserve">På alla andra politikområden som inte nämns i punkterna 2.1 och 2.2 har EU endast delad befogenhet, och både EU och dess medlemsstater har befogenhet att vidta åtgärder i frågor som omfattas av protokollet. </w:t>
      </w:r>
      <w:r>
        <w:rPr>
          <w:b w:val="0"/>
          <w:noProof/>
          <w:color w:val="000000"/>
          <w:sz w:val="23"/>
        </w:rPr>
        <w:t>Medlemsstaterna ska utöva sin befogenhet i den mån som EU inte har utövat sin befogenhet.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5276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AA2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7A2D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1E3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7A01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F614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DAF098"/>
    <w:lvl w:ilvl="0">
      <w:start w:val="1"/>
      <w:numFmt w:val="decimal"/>
      <w:pStyle w:val="ListNumber"/>
      <w:lvlText w:val="%1."/>
      <w:lvlJc w:val="left"/>
      <w:pPr>
        <w:tabs>
          <w:tab w:val="num" w:pos="360"/>
        </w:tabs>
        <w:ind w:left="360" w:hanging="360"/>
      </w:pPr>
    </w:lvl>
  </w:abstractNum>
  <w:abstractNum w:abstractNumId="7">
    <w:nsid w:val="FFFFFF89"/>
    <w:multiLevelType w:val="singleLevel"/>
    <w:tmpl w:val="BF4421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3:0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2"/>
    <w:docVar w:name="DQCWithWarnings" w:val="0"/>
    <w:docVar w:name="LW_ACCOMPAGNANT.CP" w:val="till"/>
    <w:docVar w:name="LW_ANNEX_NBR_FIRST" w:val="1"/>
    <w:docVar w:name="LW_ANNEX_NBR_LAST" w:val="1"/>
    <w:docVar w:name="LW_CONFIDENCE" w:val=" "/>
    <w:docVar w:name="LW_CONST_RESTREINT_UE" w:val="RESTREINT UE"/>
    <w:docVar w:name="LW_CORRIGENDUM" w:val="&lt;UNUSED&gt;"/>
    <w:docVar w:name="LW_COVERPAGE_GUID" w:val="730B39C199A044D38E8E4EA7B074EDC2"/>
    <w:docVar w:name="LW_CROSSREFERENCE" w:val="&lt;UNUSED&gt;"/>
    <w:docVar w:name="LW_DocType" w:val="ANNEX"/>
    <w:docVar w:name="LW_EMISSION" w:val="4.5.2015"/>
    <w:docVar w:name="LW_EMISSION_ISODATE" w:val="2015-05-04"/>
    <w:docVar w:name="LW_EMISSION_LOCATION" w:val="BRX"/>
    <w:docVar w:name="LW_EMISSION_PREFIX" w:val="Bryssel den "/>
    <w:docVar w:name="LW_EMISSION_SUFFIX" w:val=" "/>
    <w:docVar w:name="LW_ID_DOCSTRUCTURE" w:val="COM/ANNEX"/>
    <w:docVar w:name="LW_ID_DOCTYPE" w:val="SG-017"/>
    <w:docVar w:name="LW_LANGUE" w:val="SV"/>
    <w:docVar w:name="LW_MARKING" w:val="&lt;UNUSED&gt;"/>
    <w:docVar w:name="LW_NOM.INST" w:val="EUROPEISKA KOMMISSIONEN"/>
    <w:docVar w:name="LW_NOM.INST_JOINTDOC" w:val="&lt;EMPTY&gt;"/>
    <w:docVar w:name="LW_OBJETACTEPRINCIPAL.CP" w:val="om ingående på Europeiska unionens vägnar av protokollet för att eliminera olaglig handel med tobaksvaror till Världshälsoorganisationens ramkonvention om tobakskontroll, vad avser de bestämmelser i protokollet som inte omfattas av del III avdelning V i fördraget om Europeiska unionens funktionssätt"/>
    <w:docVar w:name="LW_PART_NBR" w:val="1"/>
    <w:docVar w:name="LW_PART_NBR_TOTAL" w:val="1"/>
    <w:docVar w:name="LW_REF.INST.NEW" w:val="COM"/>
    <w:docVar w:name="LW_REF.INST.NEW_ADOPTED" w:val="final"/>
    <w:docVar w:name="LW_REF.INST.NEW_TEXT" w:val="(2015) 194"/>
    <w:docVar w:name="LW_REF.INTERNE" w:val="&lt;UNUSED&gt;"/>
    <w:docVar w:name="LW_SUPERTITRE" w:val="&lt;UNUSED&gt;"/>
    <w:docVar w:name="LW_TITRE.OBJ.CP" w:val="BEHÖRIGHETSFÖRKLARING AV EUROPEISKA UNIONEN MED AVSEENDE PÅ FRÅGOR SOM OMFATTAS AV PROTOKOLLET FÖR ATT ELIMINERA OLAGLIG HANDEL MED TOBAKSVAROR_x000b_(I ENLIGHET MED ARTIKEL 44 I PROTOKOLLET)"/>
    <w:docVar w:name="LW_TYPE.DOC.CP" w:val="BILAGA"/>
    <w:docVar w:name="LW_TYPEACTEPRINCIPAL.CP" w:val="RÅDETS BESLUT_x000b_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544</Words>
  <Characters>3075</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DECONINCK Aurelie (OLAF)</dc:creator>
  <cp:lastModifiedBy>DIGIT/A3</cp:lastModifiedBy>
  <cp:revision>8</cp:revision>
  <cp:lastPrinted>2015-04-13T09:58:00Z</cp:lastPrinted>
  <dcterms:created xsi:type="dcterms:W3CDTF">2015-04-28T16:19:00Z</dcterms:created>
  <dcterms:modified xsi:type="dcterms:W3CDTF">2015-04-29T11:06:00Z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