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59" w:rsidRDefault="008D1F21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747F01F1E124B299CA89A6FC204A5F6" style="width:450pt;height:321pt">
            <v:imagedata r:id="rId9" o:title=""/>
          </v:shape>
        </w:pict>
      </w:r>
    </w:p>
    <w:bookmarkEnd w:id="0"/>
    <w:p w:rsidR="00D71659" w:rsidRDefault="00D71659">
      <w:pPr>
        <w:rPr>
          <w:noProof/>
        </w:rPr>
        <w:sectPr w:rsidR="00D7165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26"/>
        </w:sectPr>
      </w:pPr>
    </w:p>
    <w:p w:rsidR="00D71659" w:rsidRDefault="008D1F21">
      <w:pPr>
        <w:pStyle w:val="Heading1"/>
        <w:rPr>
          <w:noProof/>
        </w:rPr>
      </w:pPr>
      <w:r>
        <w:rPr>
          <w:noProof/>
        </w:rPr>
        <w:lastRenderedPageBreak/>
        <w:t>Wprowadzenie</w:t>
      </w:r>
    </w:p>
    <w:p w:rsidR="00D71659" w:rsidRDefault="008D1F21">
      <w:pPr>
        <w:rPr>
          <w:noProof/>
        </w:rPr>
      </w:pPr>
      <w:r>
        <w:rPr>
          <w:noProof/>
        </w:rPr>
        <w:t>Zgodnie z art. 25 rozporządzenia (UE) nr 1025/2012 w sprawie normalizacji europejskiej</w:t>
      </w:r>
      <w:r>
        <w:rPr>
          <w:noProof/>
        </w:rPr>
        <w:t xml:space="preserve"> (dalej „rozporządzenie w sprawie normalizacji”)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: </w:t>
      </w:r>
    </w:p>
    <w:p w:rsidR="00D71659" w:rsidRDefault="008D1F21">
      <w:pPr>
        <w:ind w:left="720"/>
        <w:rPr>
          <w:noProof/>
        </w:rPr>
      </w:pPr>
      <w:r>
        <w:rPr>
          <w:i/>
          <w:noProof/>
        </w:rPr>
        <w:t>Do dnia 2 stycznia 2015 r. Komisja dokona oceny skutków procedury ustanowionej na mocy art. 10 niniejszego rozporządzenia w odniesieniu do ram czasowych mających zastosowanie do składania wniosków o norma</w:t>
      </w:r>
      <w:r>
        <w:rPr>
          <w:i/>
          <w:noProof/>
        </w:rPr>
        <w:t>lizację. Komisja przedstawi swoje wnioski w sprawozdaniu przekazywanym Parlamentowi Europejskiemu i Radzie. W stosownych przypadkach do sprawozdania dołącza się wniosek ustawodawczy dotyczący zmiany niniejszego rozporządzenia.</w:t>
      </w:r>
    </w:p>
    <w:p w:rsidR="00D71659" w:rsidRDefault="008D1F21">
      <w:pPr>
        <w:rPr>
          <w:noProof/>
        </w:rPr>
      </w:pPr>
      <w:r>
        <w:rPr>
          <w:noProof/>
        </w:rPr>
        <w:t>Niniejsze sprawozdanie został</w:t>
      </w:r>
      <w:r>
        <w:rPr>
          <w:noProof/>
        </w:rPr>
        <w:t>o sporządzone na podstawie art. 25.</w:t>
      </w:r>
    </w:p>
    <w:p w:rsidR="00D71659" w:rsidRDefault="008D1F21">
      <w:pPr>
        <w:pStyle w:val="Heading1"/>
        <w:rPr>
          <w:noProof/>
        </w:rPr>
      </w:pPr>
      <w:r>
        <w:rPr>
          <w:noProof/>
        </w:rPr>
        <w:t>Normy europejskie i europejskie dokumenty normalizacyjne służące wsparciu unijnego prawodawstwa i polityki</w:t>
      </w:r>
    </w:p>
    <w:p w:rsidR="00D71659" w:rsidRDefault="008D1F21">
      <w:pPr>
        <w:pStyle w:val="Heading2"/>
        <w:rPr>
          <w:noProof/>
        </w:rPr>
      </w:pPr>
      <w:r>
        <w:rPr>
          <w:noProof/>
        </w:rPr>
        <w:t>Europejskie organizacje normalizacyjne</w:t>
      </w:r>
    </w:p>
    <w:p w:rsidR="00D71659" w:rsidRDefault="008D1F21">
      <w:pPr>
        <w:rPr>
          <w:noProof/>
        </w:rPr>
      </w:pPr>
      <w:r>
        <w:rPr>
          <w:noProof/>
        </w:rPr>
        <w:t xml:space="preserve">Od 1980 r. europejskie organizacje normalizacyjne (EON) odgrywają ważną i </w:t>
      </w:r>
      <w:r>
        <w:rPr>
          <w:noProof/>
        </w:rPr>
        <w:t>cieszącą się powszechnym uznaniem rolę w ujednolicaniu krajowych standardów w krajach UE/EFTA i wspieraniu tworzenia jednolitego rynku. Uznanie to zostało po raz pierwszy potwierdzone w dyrektywie 83/189/EWG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, a następnie w ogólnych wytycznych dotyczących </w:t>
      </w:r>
      <w:r>
        <w:rPr>
          <w:noProof/>
        </w:rPr>
        <w:t>współpracy między Komisją a europejskimi organizacjami normalizacyjnymi, podpisanych w 1984 r. i zmienionych w 2003 r.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.   </w:t>
      </w:r>
    </w:p>
    <w:p w:rsidR="00D71659" w:rsidRDefault="008D1F21">
      <w:pPr>
        <w:rPr>
          <w:noProof/>
        </w:rPr>
      </w:pPr>
      <w:r>
        <w:rPr>
          <w:noProof/>
        </w:rPr>
        <w:t>Europejski Komitet Normalizacyjny (CEN), Europejski Komitet Normalizacyjny Elektrotechniki (CENELEC) i Europejski Instytut Norm Tele</w:t>
      </w:r>
      <w:r>
        <w:rPr>
          <w:noProof/>
        </w:rPr>
        <w:t>komunikacyjnych (ETSI) są europejskimi organizacjami normalizacyjnymi (EON) uznanymi na mocy rozporządzenia w sprawie normalizacji. Przyjmują one, na zasadzie dobrowolności, normy europejskie i europejskie dokumenty normalizacyjne w celu określenia dobrowo</w:t>
      </w:r>
      <w:r>
        <w:rPr>
          <w:noProof/>
        </w:rPr>
        <w:t>lnych specyfikacji technicznych lub jakościowych, z którymi mogą być zgodne obecne lub przyszłe produkty, procesy produkcji lub usługi.</w:t>
      </w:r>
    </w:p>
    <w:p w:rsidR="00D71659" w:rsidRDefault="008D1F21">
      <w:pPr>
        <w:rPr>
          <w:noProof/>
        </w:rPr>
      </w:pPr>
      <w:r>
        <w:rPr>
          <w:noProof/>
        </w:rPr>
        <w:t>Główną cechą systemu normalizacji europejskiej jest to, że Komisja może zwrócić się do europejskich organizacji normaliz</w:t>
      </w:r>
      <w:r>
        <w:rPr>
          <w:noProof/>
        </w:rPr>
        <w:t xml:space="preserve">acyjnych o sporządzenie normy europejskiej lub europejskiego dokumentu normalizacyjnego dla produktów lub usług w celu wsparcia prawodawstwa i polityki Unii. Wcześniej podstawę prawną stanowiła dyrektywa 98/34/WE i umowa o współpracy z EON, a obecnie jest </w:t>
      </w:r>
      <w:r>
        <w:rPr>
          <w:noProof/>
        </w:rPr>
        <w:t xml:space="preserve">nią rozporządzenie w sprawie normalizacji. Około 20 % wszystkich norm europejskich i europejskich dokumentów normalizacyjnych </w:t>
      </w:r>
      <w:r>
        <w:rPr>
          <w:noProof/>
        </w:rPr>
        <w:lastRenderedPageBreak/>
        <w:t>powstało na wniosek Komisji, natomiast pozostałe 80 % pochodzi bezpośrednio z propozycji sektora przemysłu lub innych stron zainte</w:t>
      </w:r>
      <w:r>
        <w:rPr>
          <w:noProof/>
        </w:rPr>
        <w:t>resowanych normalizacją.</w:t>
      </w:r>
    </w:p>
    <w:p w:rsidR="00D71659" w:rsidRDefault="008D1F21">
      <w:pPr>
        <w:pStyle w:val="Heading2"/>
        <w:rPr>
          <w:noProof/>
        </w:rPr>
      </w:pPr>
      <w:r>
        <w:rPr>
          <w:noProof/>
        </w:rPr>
        <w:t xml:space="preserve">Wniosek o normalizację przed przyjęciem rozporządzenia w sprawie normalizacji </w:t>
      </w:r>
    </w:p>
    <w:p w:rsidR="00D71659" w:rsidRDefault="008D1F21">
      <w:pPr>
        <w:rPr>
          <w:noProof/>
        </w:rPr>
      </w:pPr>
      <w:r>
        <w:rPr>
          <w:noProof/>
        </w:rPr>
        <w:t>Artykuł 6 dyrektywy 83/189/EWG (zastąpionej później dyrektywą 98/34/WE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) umożliwiał Komisji „przedstawianie projektów zmierzających do zniesienia </w:t>
      </w:r>
      <w:r>
        <w:rPr>
          <w:noProof/>
        </w:rPr>
        <w:t>istniejących i przewidywanych barier w handlu” i w tym kontekście „zażądanie od europejskich organów normalizacyjnych sporządzenia europejskiej normy w określonym terminie”.  Przed wydaniem takich wniosków o normalizację Komisja musiała skonsultować się ze</w:t>
      </w:r>
      <w:r>
        <w:rPr>
          <w:noProof/>
        </w:rPr>
        <w:t xml:space="preserve"> Stałym Komitetem złożonym z przedstawicieli mianowanych przez państwa członkowskie powołanym na mocy art. 5 (dyrektywa 98/34/WE). Był to jedyny uregulowany wymóg.</w:t>
      </w:r>
    </w:p>
    <w:p w:rsidR="00D71659" w:rsidRDefault="008D1F21">
      <w:pPr>
        <w:rPr>
          <w:noProof/>
        </w:rPr>
      </w:pPr>
      <w:r>
        <w:rPr>
          <w:noProof/>
        </w:rPr>
        <w:t xml:space="preserve">Zasady dotyczące wniosków o normalizację ustanowione w dyrektywie 83/189/EWG, a następnie w </w:t>
      </w:r>
      <w:r>
        <w:rPr>
          <w:noProof/>
        </w:rPr>
        <w:t>dyrektywie 98/34/WE, ograniczały się jedynie do normalizacji produktów. Nie określały szczegółowo ani treści takich wniosków, ani ich formy prawnej, a także nie wyjaśniały, w jaki sposób w trakcie ich przygotowań należało prowadzić konsultacje z EON lub in</w:t>
      </w:r>
      <w:r>
        <w:rPr>
          <w:noProof/>
        </w:rPr>
        <w:t>nymi zainteresowanymi stronami.</w:t>
      </w:r>
    </w:p>
    <w:p w:rsidR="00D71659" w:rsidRDefault="008D1F21">
      <w:pPr>
        <w:rPr>
          <w:noProof/>
        </w:rPr>
      </w:pPr>
      <w:r>
        <w:rPr>
          <w:noProof/>
        </w:rPr>
        <w:t>Projekt wniosku o normalizację, w trzech językach (DE/EN/FR), przedkładany był do zaopiniowania stałemu komitetowi, zazwyczaj po omówieniu go przez odpowiedni komitet branżowy lub grupę roboczą ustanowioną na podstawie odpow</w:t>
      </w:r>
      <w:r>
        <w:rPr>
          <w:noProof/>
        </w:rPr>
        <w:t xml:space="preserve">iednich przepisów sektorowych, po konsultacji z EON i innymi odpowiednimi zainteresowanymi stronami. </w:t>
      </w:r>
    </w:p>
    <w:p w:rsidR="00D71659" w:rsidRDefault="008D1F21">
      <w:pPr>
        <w:rPr>
          <w:noProof/>
        </w:rPr>
      </w:pPr>
      <w:r>
        <w:rPr>
          <w:noProof/>
        </w:rPr>
        <w:t>Stały Komitet miał jedynie charakter doradczy i jego opinia nie była wiążąca dla Komisji. Konsultacje były prowadzone podczas posiedzenia lub w drodze pro</w:t>
      </w:r>
      <w:r>
        <w:rPr>
          <w:noProof/>
        </w:rPr>
        <w:t xml:space="preserve">cedury pisemnej trwającej od 4 do 6 tygodni, aby umożliwić przedstawienie uwag członkom komitetu. Następnie Komisja na podstawie otrzymanych uwag samodzielnie kończyła prace nad wnioskiem i przekazywała ostateczny wniosek do EON w ciągu 2 do 5 miesięcy po </w:t>
      </w:r>
      <w:r>
        <w:rPr>
          <w:noProof/>
        </w:rPr>
        <w:t>zakończeniu konsultacji. Zazwyczaj nie wyznaczano EON żadnego terminu na odpowiedź na wniosek o normalizację.</w:t>
      </w:r>
    </w:p>
    <w:p w:rsidR="00D71659" w:rsidRDefault="008D1F21">
      <w:pPr>
        <w:rPr>
          <w:noProof/>
        </w:rPr>
      </w:pPr>
      <w:r>
        <w:rPr>
          <w:noProof/>
        </w:rPr>
        <w:t xml:space="preserve">Wnioski o normalizację były stosowane nie tylko do występowania o opracowanie norm, ale również do inicjowania studiów wykonalności i innych prac </w:t>
      </w:r>
      <w:r>
        <w:rPr>
          <w:noProof/>
        </w:rPr>
        <w:t xml:space="preserve">przednormatywnych nieprowadzących bezpośrednio do przyjęcia norm europejskich.      </w:t>
      </w:r>
    </w:p>
    <w:p w:rsidR="00D71659" w:rsidRDefault="008D1F21">
      <w:pPr>
        <w:pStyle w:val="Heading2"/>
        <w:rPr>
          <w:noProof/>
        </w:rPr>
      </w:pPr>
      <w:r>
        <w:rPr>
          <w:noProof/>
        </w:rPr>
        <w:t>Wniosek o normalizację w formie aktu wykonawczego</w:t>
      </w:r>
    </w:p>
    <w:p w:rsidR="00D71659" w:rsidRDefault="008D1F21">
      <w:pPr>
        <w:rPr>
          <w:noProof/>
        </w:rPr>
      </w:pPr>
      <w:r>
        <w:rPr>
          <w:noProof/>
        </w:rPr>
        <w:t>Rozporządzenie w sprawie normalizacji ustanawia zmienione zasady dotyczące wniosku o normy europejskie i europejskie doku</w:t>
      </w:r>
      <w:r>
        <w:rPr>
          <w:noProof/>
        </w:rPr>
        <w:t>menty normalizacyjne dotyczące produktów oraz usług na potrzeby wsparcia prawodawstwa i polityki Unii. Najważniejsza zmiana polega na tym, że zgodnie z art. 10 ust. 2 przeprowadza się konsultacje z komitetem, o którym mowa w art. 22 (Komitet ds. Norm), prz</w:t>
      </w:r>
      <w:r>
        <w:rPr>
          <w:noProof/>
        </w:rPr>
        <w:t>y zastosowaniu procedury sprawdzającej określonej w art. 5 rozporządzenia (UE) nr 182/2011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. W związku z tym opinia komitetu jest wiążąca i wniosek o normalizację jest następnie przyjmowany przez Komisję jako akt wykonawczy (decyzja wykonawcza Komisji). </w:t>
      </w:r>
    </w:p>
    <w:p w:rsidR="00D71659" w:rsidRDefault="008D1F21">
      <w:pPr>
        <w:rPr>
          <w:noProof/>
        </w:rPr>
      </w:pPr>
      <w:r>
        <w:rPr>
          <w:noProof/>
        </w:rPr>
        <w:lastRenderedPageBreak/>
        <w:t>W</w:t>
      </w:r>
      <w:r>
        <w:rPr>
          <w:noProof/>
        </w:rPr>
        <w:t xml:space="preserve"> swoim wniosku dotyczącym rozporządzenia w sprawie normalizacji europejskiej COM(2011)315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Komisja zaproponowała utrzymanie nieformalnego statusu wniosków o normalizację oraz konsultacji opisanych w dyrektywie 98/34/WE. Współprawodawca zadecydował jednak i</w:t>
      </w:r>
      <w:r>
        <w:rPr>
          <w:noProof/>
        </w:rPr>
        <w:t xml:space="preserve">naczej: w przypadku składania wniosków o normalizację, państwa członkowskie powinny zachować kontrolę nad uprawnieniami wykonawczymi Komisji w ramach procedury sprawdzającej określonej w rozporządzeniu (UE) nr 182/2011. </w:t>
      </w:r>
    </w:p>
    <w:p w:rsidR="00D71659" w:rsidRDefault="008D1F21">
      <w:pPr>
        <w:rPr>
          <w:noProof/>
        </w:rPr>
      </w:pPr>
      <w:r>
        <w:rPr>
          <w:noProof/>
        </w:rPr>
        <w:t>Aby wyeliminować wszelkie wątpliwoś</w:t>
      </w:r>
      <w:r>
        <w:rPr>
          <w:noProof/>
        </w:rPr>
        <w:t xml:space="preserve">ci co do wpływu nowej procedury sprawdzającej na czas konieczny do wydania wniosku o normalizację, w art. 25 przewidziano wymóg oceny wniosku przez Komisję. </w:t>
      </w:r>
    </w:p>
    <w:p w:rsidR="00D71659" w:rsidRDefault="008D1F21">
      <w:pPr>
        <w:pStyle w:val="Heading1"/>
        <w:rPr>
          <w:noProof/>
        </w:rPr>
      </w:pPr>
      <w:r>
        <w:rPr>
          <w:noProof/>
        </w:rPr>
        <w:t>Analiza</w:t>
      </w:r>
    </w:p>
    <w:p w:rsidR="00D71659" w:rsidRDefault="008D1F21">
      <w:pPr>
        <w:pStyle w:val="Heading2"/>
        <w:rPr>
          <w:noProof/>
        </w:rPr>
      </w:pPr>
      <w:r>
        <w:rPr>
          <w:noProof/>
        </w:rPr>
        <w:t xml:space="preserve">Wpływ rozporządzenia w sprawie normalizacji </w:t>
      </w:r>
    </w:p>
    <w:p w:rsidR="00D71659" w:rsidRDefault="008D1F21">
      <w:pPr>
        <w:rPr>
          <w:noProof/>
        </w:rPr>
      </w:pPr>
      <w:r>
        <w:rPr>
          <w:noProof/>
        </w:rPr>
        <w:t>Mimo że ogólne planowanie, przygotowanie, kon</w:t>
      </w:r>
      <w:r>
        <w:rPr>
          <w:noProof/>
        </w:rPr>
        <w:t xml:space="preserve">sultacje i procedura przyjęcia przewidziane w art. 8, art. 10 ust. 1–2 i art. 12 są całkowicie odmienne od procedur określonych w dyrektywie 98/34/WE, zmiany te były dotychczas do opanowania. </w:t>
      </w:r>
    </w:p>
    <w:p w:rsidR="00D71659" w:rsidRDefault="008D1F21">
      <w:pPr>
        <w:rPr>
          <w:noProof/>
        </w:rPr>
      </w:pPr>
      <w:r>
        <w:rPr>
          <w:noProof/>
        </w:rPr>
        <w:t>Co więcej nawet przed wejściem w życie rozporządzenia w sprawie</w:t>
      </w:r>
      <w:r>
        <w:rPr>
          <w:noProof/>
        </w:rPr>
        <w:t xml:space="preserve"> normalizacji, Komisja podejmowała już decyzje dotyczące swoich własnych zobowiązań w zakresie planowania przyszłych wniosków (za pośrednictwem planów działania lub kroczących planów działania) oraz podawania tych informacji do wiadomości publicznej oraz m</w:t>
      </w:r>
      <w:r>
        <w:rPr>
          <w:noProof/>
        </w:rPr>
        <w:t>iała określone zasady konsultacji z EON, ekspertami sektorowymi z państw członkowskich i wszystkimi odpowiednimi zainteresowanymi stronami przed przeprowadzeniem konsultacji z państwami członkowskimi w ramach komitetu powołanego na podstawie dyrektywy 98/3</w:t>
      </w:r>
      <w:r>
        <w:rPr>
          <w:noProof/>
        </w:rPr>
        <w:t>4/WE.</w:t>
      </w:r>
    </w:p>
    <w:p w:rsidR="00D71659" w:rsidRDefault="008D1F21">
      <w:pPr>
        <w:rPr>
          <w:noProof/>
        </w:rPr>
      </w:pPr>
      <w:r>
        <w:rPr>
          <w:noProof/>
        </w:rPr>
        <w:t>W rozporządzeniu w sprawie normalizacji głównie usankcjonowano te wcześniej nieregulowane praktyki. Jedyną prawdziwą nowością jest określony w art. 12 system powiadamiania, który umożliwia publiczny dostęp do wszystkich projektów wniosków. Rozporządz</w:t>
      </w:r>
      <w:r>
        <w:rPr>
          <w:noProof/>
        </w:rPr>
        <w:t xml:space="preserve">enie w sprawie normalizacji ustanawia jednak wyższe standardy dla Komisji przy stosowaniu normalizacji europejskiej jako narzędzia wspierającego politykę Unii.  </w:t>
      </w:r>
    </w:p>
    <w:p w:rsidR="00D71659" w:rsidRDefault="008D1F21">
      <w:pPr>
        <w:rPr>
          <w:noProof/>
        </w:rPr>
      </w:pPr>
      <w:r>
        <w:rPr>
          <w:noProof/>
        </w:rPr>
        <w:t xml:space="preserve">Krótko mówiąc, rozporządzenie w sprawie normalizacji ma następujące skutki bezpośrednie i pośrednie: </w:t>
      </w:r>
    </w:p>
    <w:p w:rsidR="00D71659" w:rsidRDefault="008D1F21">
      <w:pPr>
        <w:numPr>
          <w:ilvl w:val="0"/>
          <w:numId w:val="26"/>
        </w:numPr>
        <w:rPr>
          <w:noProof/>
        </w:rPr>
      </w:pPr>
      <w:r>
        <w:rPr>
          <w:noProof/>
        </w:rPr>
        <w:t>Zgodnie z art. 8 Komisja musi określić swoje plany dotyczące nowych wniosków o normalizację w rocznym programie prac Unii w zakresie normalizacji europejs</w:t>
      </w:r>
      <w:r>
        <w:rPr>
          <w:noProof/>
        </w:rPr>
        <w:t>kiej. Oznacza to, że normalny czas na przygotowywanie wniosków jest na ogół dłuższy niż 12 miesięcy, niezależnie od sposobów konsultacji z Komitetem ds. Norm na końcu tego procesu.</w:t>
      </w:r>
    </w:p>
    <w:p w:rsidR="00D71659" w:rsidRDefault="008D1F21">
      <w:pPr>
        <w:numPr>
          <w:ilvl w:val="0"/>
          <w:numId w:val="26"/>
        </w:numPr>
        <w:rPr>
          <w:noProof/>
        </w:rPr>
      </w:pPr>
      <w:r>
        <w:rPr>
          <w:noProof/>
        </w:rPr>
        <w:t>Zgodnie z art. 10 ust. 2 w trakcie przygotowywania wniosku o normalizację n</w:t>
      </w:r>
      <w:r>
        <w:rPr>
          <w:noProof/>
        </w:rPr>
        <w:t>ależy przeprowadzić konsultacje z ekspertami branżowymi z państw członkowskich, europejskimi organizacjami normalizacyjnymi i europejskimi organizacjami zainteresowanych stron otrzymującymi finansowanie z Unii zgodnie z rozporządzeniem w sprawie normalizac</w:t>
      </w:r>
      <w:r>
        <w:rPr>
          <w:noProof/>
        </w:rPr>
        <w:t>ji. Było to już też zazwyczaj robione wcześniej, lecz nie systematycznie i bez zobowiązań prawnych.</w:t>
      </w:r>
    </w:p>
    <w:p w:rsidR="00D71659" w:rsidRDefault="008D1F21">
      <w:pPr>
        <w:numPr>
          <w:ilvl w:val="0"/>
          <w:numId w:val="26"/>
        </w:numPr>
        <w:rPr>
          <w:noProof/>
        </w:rPr>
      </w:pPr>
      <w:r>
        <w:rPr>
          <w:noProof/>
        </w:rPr>
        <w:lastRenderedPageBreak/>
        <w:t>Zgodnie z art. 12 w trakcie fazy przygotowań Komisja musi udostępnić projekty wniosków wszystkim zainteresowanym stronom, również tym, które nie zostały wym</w:t>
      </w:r>
      <w:r>
        <w:rPr>
          <w:noProof/>
        </w:rPr>
        <w:t>ienione w art. 10 ust. 2, za pośrednictwem elektronicznego systemu powiadamiania.</w:t>
      </w:r>
    </w:p>
    <w:p w:rsidR="00D71659" w:rsidRDefault="008D1F21">
      <w:pPr>
        <w:numPr>
          <w:ilvl w:val="0"/>
          <w:numId w:val="26"/>
        </w:numPr>
        <w:rPr>
          <w:noProof/>
        </w:rPr>
      </w:pPr>
      <w:r>
        <w:rPr>
          <w:noProof/>
        </w:rPr>
        <w:t>Zgodnie z zasadami i procedurami Komitetu ds. Norm przewodniczący komitetu musi poinformować komitet, przed wydaniem przez niego opinii, o opiniach ekspertów branżowych z pań</w:t>
      </w:r>
      <w:r>
        <w:rPr>
          <w:noProof/>
        </w:rPr>
        <w:t>stw członkowskich zebranych w fazie przygotowań.</w:t>
      </w:r>
    </w:p>
    <w:p w:rsidR="00D71659" w:rsidRDefault="008D1F21">
      <w:pPr>
        <w:numPr>
          <w:ilvl w:val="0"/>
          <w:numId w:val="26"/>
        </w:numPr>
        <w:rPr>
          <w:noProof/>
        </w:rPr>
      </w:pPr>
      <w:r>
        <w:rPr>
          <w:noProof/>
        </w:rPr>
        <w:t xml:space="preserve">Zgodnie z art. 10 ust. 3 EON muszą odpowiedzieć czy akceptują wniosek, w ciągu jednego miesiąca od jego otrzymania. Wymóg ten rodzi konieczność skutecznej i ciągłej komunikacji między Komisją a europejskimi </w:t>
      </w:r>
      <w:r>
        <w:rPr>
          <w:noProof/>
        </w:rPr>
        <w:t xml:space="preserve">organizacjami normalizacyjnymi w trakcie przygotowywania wniosku. </w:t>
      </w:r>
    </w:p>
    <w:p w:rsidR="00D71659" w:rsidRDefault="008D1F21">
      <w:pPr>
        <w:numPr>
          <w:ilvl w:val="0"/>
          <w:numId w:val="26"/>
        </w:numPr>
        <w:rPr>
          <w:noProof/>
        </w:rPr>
      </w:pPr>
      <w:r>
        <w:rPr>
          <w:noProof/>
        </w:rPr>
        <w:t>I wreszcie ze względu na to, że wniosek o normalizację jest przedkładany w formie aktu wykonawczego po przeprowadzeniu intensywnych konsultacji, planowaniu i dyskusjach, taki wniosek powini</w:t>
      </w:r>
      <w:r>
        <w:rPr>
          <w:noProof/>
        </w:rPr>
        <w:t>en zostać zaakceptowany (lub odrzucony) bezwarunkowo przez EON, tzn. wybór i zaakceptowanie jedynie niektórych części wniosku nie jest już dłużej możliwe. W przeszłości powszechne było akceptowanie wniosków Komisji warunkowo lub tylko częściowo przez europ</w:t>
      </w:r>
      <w:r>
        <w:rPr>
          <w:noProof/>
        </w:rPr>
        <w:t xml:space="preserve">ejskie organizacje normalizacyjne na podstawie dostępnych zasobów finansowych lub innych interesów, ponieważ konsultacje z członkami EON przeprowadzano często dopiero po oficjalnym otrzymaniu końcowego wniosku. </w:t>
      </w:r>
    </w:p>
    <w:p w:rsidR="00D71659" w:rsidRDefault="008D1F21">
      <w:pPr>
        <w:rPr>
          <w:noProof/>
        </w:rPr>
      </w:pPr>
      <w:r>
        <w:rPr>
          <w:noProof/>
        </w:rPr>
        <w:t>Jednym z celów strategicznych komunikatu „St</w:t>
      </w:r>
      <w:r>
        <w:rPr>
          <w:noProof/>
        </w:rPr>
        <w:t>rategiczna wizja w zakresie norm europejskich — Postęp w celu poprawy i przyspieszenia zrównoważonego wzrostu gospodarki europejskiej do roku 2020”</w:t>
      </w:r>
      <w:r>
        <w:rPr>
          <w:rStyle w:val="FootnoteReference"/>
          <w:noProof/>
        </w:rPr>
        <w:footnoteReference w:id="7"/>
      </w:r>
      <w:r>
        <w:rPr>
          <w:noProof/>
        </w:rPr>
        <w:t>, który został przyjęty przez Komisję w związku z wnioskiem dotyczącym rozporządzenia w sprawie normalizacji</w:t>
      </w:r>
      <w:r>
        <w:rPr>
          <w:noProof/>
        </w:rPr>
        <w:t xml:space="preserve"> europejskiej, jest poprawa tempa normalizacji europejskiej. W odniesieniu do normalizacji, o którą wnioskuje Komisja, przy obliczaniu jej szybkości należy uwzględnić również czas, którego potrzebuje sama Komisja na przygotowanie wniosku o normalizację. W </w:t>
      </w:r>
      <w:r>
        <w:rPr>
          <w:noProof/>
        </w:rPr>
        <w:t>związku z tym z nowych przepisów wynika większa potrzeba skutecznej współpracy między EON, Komisją, ekspertami z państw członkowskich i zainteresowanymi stronami, aby zagwarantować, że pełna sekwencja kroków koniecznych w tej procedurze zostanie zakończona</w:t>
      </w:r>
      <w:r>
        <w:rPr>
          <w:noProof/>
        </w:rPr>
        <w:t xml:space="preserve"> w odpowiednim czasie. </w:t>
      </w:r>
    </w:p>
    <w:p w:rsidR="00D71659" w:rsidRDefault="008D1F21">
      <w:pPr>
        <w:rPr>
          <w:noProof/>
        </w:rPr>
      </w:pPr>
      <w:r>
        <w:rPr>
          <w:noProof/>
        </w:rPr>
        <w:t>Dlatego też konsultacje z państwami członkowskimi w ramach Komitetu ds. Norm nie tworzą „wąskiego gardła” lub opóźnienia w tym procesie w porównaniu z poprzednią praktyką</w:t>
      </w:r>
      <w:r>
        <w:rPr>
          <w:rStyle w:val="FootnoteReference"/>
          <w:noProof/>
        </w:rPr>
        <w:footnoteReference w:id="8"/>
      </w:r>
      <w:r>
        <w:rPr>
          <w:noProof/>
        </w:rPr>
        <w:t>, w oparciu o dotychczasowe doświadczenia, przy uwzględnieniu</w:t>
      </w:r>
      <w:r>
        <w:rPr>
          <w:noProof/>
        </w:rPr>
        <w:t xml:space="preserve"> całkowitej ilości czasu zużywanego na proces przygotowań wniosku o normalizację. </w:t>
      </w:r>
    </w:p>
    <w:p w:rsidR="00D71659" w:rsidRDefault="008D1F21">
      <w:pPr>
        <w:rPr>
          <w:noProof/>
        </w:rPr>
      </w:pPr>
      <w:r>
        <w:rPr>
          <w:noProof/>
        </w:rPr>
        <w:t>Ma to zastosowanie pod warunkiem, że faza planowania i konsultacji z EON, ekspertami sektorowymi z państw członkowskich i wszystkimi odpowiednimi zainteresowanymi stronami s</w:t>
      </w:r>
      <w:r>
        <w:rPr>
          <w:noProof/>
        </w:rPr>
        <w:t>ą właściwie przeprowadzone, gwarantując także pozytywną opinię Komitetu ds. Norm. Pozytywna opinia oznacza również, że projekt wniosku Komisji poddany procedurze sprawdzającej zostaje przyjęty bez zmian lub jedynie z pewnymi niewielkimi dostosowaniami, umo</w:t>
      </w:r>
      <w:r>
        <w:rPr>
          <w:noProof/>
        </w:rPr>
        <w:t xml:space="preserve">żliwiając szybsze powiadomienie EON. </w:t>
      </w:r>
    </w:p>
    <w:p w:rsidR="00D71659" w:rsidRDefault="008D1F21">
      <w:pPr>
        <w:rPr>
          <w:noProof/>
        </w:rPr>
      </w:pPr>
      <w:r>
        <w:rPr>
          <w:noProof/>
        </w:rPr>
        <w:lastRenderedPageBreak/>
        <w:t xml:space="preserve">W porównaniu z poprzednią praktyką, jedynie negatywna opinia Komitetu ds. Norm mogłaby spowodować dodatkowe opóźnienie trwające kilka miesięcy.  </w:t>
      </w:r>
    </w:p>
    <w:p w:rsidR="00D71659" w:rsidRDefault="008D1F21">
      <w:pPr>
        <w:rPr>
          <w:noProof/>
        </w:rPr>
      </w:pPr>
      <w:r>
        <w:rPr>
          <w:noProof/>
        </w:rPr>
        <w:t>Jednak w odniesieniu do inicjatyw normalizacyjnych na podstawie dyrektyw</w:t>
      </w:r>
      <w:r>
        <w:rPr>
          <w:noProof/>
        </w:rPr>
        <w:t>y 2001/95/WE w sprawie ogólnego bezpieczeństwa produktów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 (z zastosowaniem procedury regulacyjnej połączonej z kontrolą), rozporządzenie (UE) nr 1025/2012 w istocie dodało dodatkowy etap formalnej decyzji Komisji, zgodnie z zasadami komitologii, ponieważ p</w:t>
      </w:r>
      <w:r>
        <w:rPr>
          <w:noProof/>
        </w:rPr>
        <w:t>o przyjęciu wymogów bezpieczeństwa, jakie muszą spełniać normy europejskie, w drodze decyzji Komisji zgodnie z dyrektywą 2001/95/WE, odpowiedni wniosek o normalizację musi zostać ponownie przyjęty w drodze kolejnej decyzji Komisji zgodnie z rozporządzeniem</w:t>
      </w:r>
      <w:r>
        <w:rPr>
          <w:noProof/>
        </w:rPr>
        <w:t xml:space="preserve"> w sprawie normalizacji (z zastosowaniem procedury sprawdzającej). Komisja zauważyła już ten problem i bieżący wniosek dotyczący rozporządzenia w sprawie bezpieczeństwa produktów konsumenckich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ma na celu uproszczenie procedury i dostosowanie jej do rozpor</w:t>
      </w:r>
      <w:r>
        <w:rPr>
          <w:noProof/>
        </w:rPr>
        <w:t xml:space="preserve">ządzenia (UE) nr 1025/2012. </w:t>
      </w:r>
    </w:p>
    <w:p w:rsidR="00D71659" w:rsidRDefault="008D1F21">
      <w:pPr>
        <w:rPr>
          <w:noProof/>
        </w:rPr>
      </w:pPr>
      <w:r>
        <w:rPr>
          <w:noProof/>
        </w:rPr>
        <w:t>Oprócz tego art. 10 rozporządzenia w sprawie normalizacji wyraźnie wyłącza prace przygotowawcze lub pomocnicze związane z normalizacją europejską, takie jak studia wykonalności, ponieważ takie działania nigdy nie prowadzą bezpo</w:t>
      </w:r>
      <w:r>
        <w:rPr>
          <w:noProof/>
        </w:rPr>
        <w:t>średnio do przyjęcia norm europejskich lub europejskich dokumentów normalizacyjnych w rozumieniu art. 10 ust. 1. W starym systemie takie działania były rozpoczynane przez Komisję przy użyciu wniosków o normalizację, ale na mocy rozporządzenia w sprawie nor</w:t>
      </w:r>
      <w:r>
        <w:rPr>
          <w:noProof/>
        </w:rPr>
        <w:t>malizacji nie jest to już dłużej możliwe i ta nowa praktyka pozwala na skrócenie ram czasowych na rozpoczęcie lub przygotowanie takich działań.</w:t>
      </w:r>
    </w:p>
    <w:p w:rsidR="00D71659" w:rsidRDefault="008D1F21">
      <w:pPr>
        <w:pStyle w:val="Heading2"/>
        <w:rPr>
          <w:noProof/>
        </w:rPr>
      </w:pPr>
      <w:r>
        <w:rPr>
          <w:noProof/>
        </w:rPr>
        <w:t>Analiza statystyczna</w:t>
      </w:r>
    </w:p>
    <w:p w:rsidR="00D71659" w:rsidRDefault="008D1F21">
      <w:pPr>
        <w:rPr>
          <w:noProof/>
        </w:rPr>
      </w:pPr>
      <w:r>
        <w:rPr>
          <w:noProof/>
        </w:rPr>
        <w:t xml:space="preserve">Wewnętrzne dane statystyczne Komisji obejmujące lata 2006–2014 wskazują, że średnia liczba wniosków o normalizację w latach 2006-2013 (przedłożonych w ramach starego systemu) wynosiła </w:t>
      </w:r>
      <w:r>
        <w:rPr>
          <w:b/>
          <w:noProof/>
        </w:rPr>
        <w:t>20 wniosków rocznie</w:t>
      </w:r>
      <w:r>
        <w:rPr>
          <w:noProof/>
        </w:rPr>
        <w:t>. W 2014 r., pierwszym roku wydawania wniosków w rama</w:t>
      </w:r>
      <w:r>
        <w:rPr>
          <w:noProof/>
        </w:rPr>
        <w:t xml:space="preserve">ch nowego systemu, liczbę tę szacuje się na </w:t>
      </w:r>
      <w:r>
        <w:rPr>
          <w:b/>
          <w:noProof/>
        </w:rPr>
        <w:t>dziewięć wniosków</w:t>
      </w:r>
      <w:r>
        <w:rPr>
          <w:noProof/>
        </w:rPr>
        <w:t xml:space="preserve"> (zob. tabela 1).</w:t>
      </w:r>
    </w:p>
    <w:p w:rsidR="00D71659" w:rsidRDefault="008D1F21">
      <w:pPr>
        <w:rPr>
          <w:noProof/>
        </w:rPr>
      </w:pPr>
      <w:r>
        <w:rPr>
          <w:noProof/>
        </w:rPr>
        <w:t>Zakres wniosków o normalizację rozszerzył się z normalizacji produktów do normalizacji usług i możliwe stało się również składanie wniosków wspierających ogólne polityki Unii. O</w:t>
      </w:r>
      <w:r>
        <w:rPr>
          <w:noProof/>
        </w:rPr>
        <w:t>czekuje się jednak, że liczba wniosków o normalizację spadnie w 2014 r. o 50 % w stosunku do średniej liczby odnotowywanej w ciągu ostatnich lat funkcjonowania starego systemu. Oprócz utrzymującej się od 2012 r. tendencji spadkowej liczby wniosków (ze wzgl</w:t>
      </w:r>
      <w:r>
        <w:rPr>
          <w:noProof/>
        </w:rPr>
        <w:t xml:space="preserve">ędu na stopień zaawansowania rozwoju sektorów „nowego podejścia”) pozostałymi dwiema głównymi przyczynami tego spadku mogą być: </w:t>
      </w:r>
    </w:p>
    <w:p w:rsidR="00D71659" w:rsidRDefault="008D1F21">
      <w:pPr>
        <w:numPr>
          <w:ilvl w:val="0"/>
          <w:numId w:val="25"/>
        </w:numPr>
        <w:rPr>
          <w:noProof/>
        </w:rPr>
      </w:pPr>
      <w:r>
        <w:rPr>
          <w:noProof/>
        </w:rPr>
        <w:t>większe sformalizowanie procesu, wraz z obowiązkowym planowaniem rocznym i bardziej szczegółowymi wymogami dotyczącymi treści w</w:t>
      </w:r>
      <w:r>
        <w:rPr>
          <w:noProof/>
        </w:rPr>
        <w:t>niosku o normalizację, oraz</w:t>
      </w:r>
    </w:p>
    <w:p w:rsidR="00D71659" w:rsidRDefault="008D1F21">
      <w:pPr>
        <w:numPr>
          <w:ilvl w:val="0"/>
          <w:numId w:val="25"/>
        </w:numPr>
        <w:rPr>
          <w:noProof/>
        </w:rPr>
      </w:pPr>
      <w:r>
        <w:rPr>
          <w:noProof/>
        </w:rPr>
        <w:t>fakt, że wnioski o normalizację nie są już wykorzystywane do inicjowania działań, takich jak badania powiązane z normalizacją lub inne prace przygotowawcze lub pomocnicze, które nie prowadzą bezpośrednio do przyjęcia norm europe</w:t>
      </w:r>
      <w:r>
        <w:rPr>
          <w:noProof/>
        </w:rPr>
        <w:t>jskich lub europejskich dokumentów normalizacyjnych.</w:t>
      </w:r>
    </w:p>
    <w:p w:rsidR="00352336" w:rsidRDefault="00352336">
      <w:pPr>
        <w:jc w:val="center"/>
        <w:rPr>
          <w:b/>
          <w:noProof/>
        </w:rPr>
      </w:pPr>
    </w:p>
    <w:p w:rsidR="00352336" w:rsidRDefault="00352336">
      <w:pPr>
        <w:jc w:val="center"/>
        <w:rPr>
          <w:b/>
          <w:noProof/>
        </w:rPr>
      </w:pPr>
    </w:p>
    <w:p w:rsidR="00D71659" w:rsidRDefault="008D1F21">
      <w:pPr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Tabela 1 – Liczba wniosków o normalizację, włącznie ze zmianami, w latach 2006-2014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2640"/>
        <w:gridCol w:w="2056"/>
      </w:tblGrid>
      <w:tr w:rsidR="00D71659">
        <w:tc>
          <w:tcPr>
            <w:tcW w:w="4548" w:type="dxa"/>
            <w:shd w:val="clear" w:color="auto" w:fill="auto"/>
          </w:tcPr>
          <w:p w:rsidR="00D71659" w:rsidRDefault="008D1F21">
            <w:pPr>
              <w:rPr>
                <w:b/>
                <w:noProof/>
              </w:rPr>
            </w:pPr>
            <w:r>
              <w:rPr>
                <w:b/>
                <w:noProof/>
              </w:rPr>
              <w:t>System konsultacji</w:t>
            </w:r>
          </w:p>
        </w:tc>
        <w:tc>
          <w:tcPr>
            <w:tcW w:w="2640" w:type="dxa"/>
            <w:shd w:val="clear" w:color="auto" w:fill="auto"/>
          </w:tcPr>
          <w:p w:rsidR="00D71659" w:rsidRDefault="008D1F21">
            <w:pPr>
              <w:rPr>
                <w:b/>
                <w:noProof/>
              </w:rPr>
            </w:pPr>
            <w:r>
              <w:rPr>
                <w:b/>
                <w:noProof/>
              </w:rPr>
              <w:t>Rok</w:t>
            </w:r>
          </w:p>
        </w:tc>
        <w:tc>
          <w:tcPr>
            <w:tcW w:w="2056" w:type="dxa"/>
            <w:shd w:val="clear" w:color="auto" w:fill="auto"/>
          </w:tcPr>
          <w:p w:rsidR="00D71659" w:rsidRDefault="008D1F21">
            <w:pPr>
              <w:rPr>
                <w:b/>
                <w:noProof/>
              </w:rPr>
            </w:pPr>
            <w:r>
              <w:rPr>
                <w:b/>
                <w:noProof/>
              </w:rPr>
              <w:t>Liczba przedłożonych wniosków</w:t>
            </w:r>
          </w:p>
        </w:tc>
      </w:tr>
      <w:tr w:rsidR="00D71659">
        <w:tc>
          <w:tcPr>
            <w:tcW w:w="4548" w:type="dxa"/>
            <w:vMerge w:val="restart"/>
            <w:shd w:val="clear" w:color="auto" w:fill="auto"/>
          </w:tcPr>
          <w:p w:rsidR="00D71659" w:rsidRDefault="008D1F21">
            <w:pPr>
              <w:jc w:val="left"/>
              <w:rPr>
                <w:noProof/>
              </w:rPr>
            </w:pPr>
            <w:r>
              <w:rPr>
                <w:noProof/>
              </w:rPr>
              <w:t>Dyrektywa 98/34/WE (art. 6 ust. 4 lit. e))</w:t>
            </w:r>
          </w:p>
          <w:p w:rsidR="00D71659" w:rsidRDefault="00D71659">
            <w:pPr>
              <w:jc w:val="left"/>
              <w:rPr>
                <w:noProof/>
              </w:rPr>
            </w:pPr>
          </w:p>
        </w:tc>
        <w:tc>
          <w:tcPr>
            <w:tcW w:w="2640" w:type="dxa"/>
            <w:shd w:val="clear" w:color="auto" w:fill="auto"/>
          </w:tcPr>
          <w:p w:rsidR="00D71659" w:rsidRDefault="008D1F21">
            <w:pPr>
              <w:rPr>
                <w:noProof/>
              </w:rPr>
            </w:pPr>
            <w:r>
              <w:rPr>
                <w:noProof/>
              </w:rPr>
              <w:t>2006</w:t>
            </w:r>
          </w:p>
        </w:tc>
        <w:tc>
          <w:tcPr>
            <w:tcW w:w="2056" w:type="dxa"/>
            <w:shd w:val="clear" w:color="auto" w:fill="auto"/>
          </w:tcPr>
          <w:p w:rsidR="00D71659" w:rsidRDefault="008D1F21">
            <w:pPr>
              <w:rPr>
                <w:noProof/>
              </w:rPr>
            </w:pPr>
            <w:r>
              <w:rPr>
                <w:noProof/>
              </w:rPr>
              <w:t>24</w:t>
            </w:r>
          </w:p>
        </w:tc>
      </w:tr>
      <w:tr w:rsidR="00D71659">
        <w:tc>
          <w:tcPr>
            <w:tcW w:w="4548" w:type="dxa"/>
            <w:vMerge/>
            <w:shd w:val="clear" w:color="auto" w:fill="auto"/>
          </w:tcPr>
          <w:p w:rsidR="00D71659" w:rsidRDefault="00D71659">
            <w:pPr>
              <w:jc w:val="left"/>
              <w:rPr>
                <w:noProof/>
              </w:rPr>
            </w:pPr>
          </w:p>
        </w:tc>
        <w:tc>
          <w:tcPr>
            <w:tcW w:w="2640" w:type="dxa"/>
            <w:shd w:val="clear" w:color="auto" w:fill="auto"/>
          </w:tcPr>
          <w:p w:rsidR="00D71659" w:rsidRDefault="008D1F21">
            <w:pPr>
              <w:rPr>
                <w:noProof/>
              </w:rPr>
            </w:pPr>
            <w:r>
              <w:rPr>
                <w:noProof/>
              </w:rPr>
              <w:t>2007</w:t>
            </w:r>
          </w:p>
        </w:tc>
        <w:tc>
          <w:tcPr>
            <w:tcW w:w="2056" w:type="dxa"/>
            <w:shd w:val="clear" w:color="auto" w:fill="auto"/>
          </w:tcPr>
          <w:p w:rsidR="00D71659" w:rsidRDefault="008D1F21">
            <w:pPr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D71659">
        <w:tc>
          <w:tcPr>
            <w:tcW w:w="4548" w:type="dxa"/>
            <w:vMerge/>
            <w:shd w:val="clear" w:color="auto" w:fill="auto"/>
          </w:tcPr>
          <w:p w:rsidR="00D71659" w:rsidRDefault="00D71659">
            <w:pPr>
              <w:jc w:val="left"/>
              <w:rPr>
                <w:noProof/>
              </w:rPr>
            </w:pPr>
          </w:p>
        </w:tc>
        <w:tc>
          <w:tcPr>
            <w:tcW w:w="2640" w:type="dxa"/>
            <w:shd w:val="clear" w:color="auto" w:fill="auto"/>
          </w:tcPr>
          <w:p w:rsidR="00D71659" w:rsidRDefault="008D1F21">
            <w:pPr>
              <w:rPr>
                <w:noProof/>
              </w:rPr>
            </w:pPr>
            <w:r>
              <w:rPr>
                <w:noProof/>
              </w:rPr>
              <w:t>2008</w:t>
            </w:r>
          </w:p>
        </w:tc>
        <w:tc>
          <w:tcPr>
            <w:tcW w:w="2056" w:type="dxa"/>
            <w:shd w:val="clear" w:color="auto" w:fill="auto"/>
          </w:tcPr>
          <w:p w:rsidR="00D71659" w:rsidRDefault="008D1F21">
            <w:pPr>
              <w:rPr>
                <w:noProof/>
              </w:rPr>
            </w:pPr>
            <w:r>
              <w:rPr>
                <w:noProof/>
              </w:rPr>
              <w:t>18</w:t>
            </w:r>
          </w:p>
        </w:tc>
      </w:tr>
      <w:tr w:rsidR="00D71659">
        <w:tc>
          <w:tcPr>
            <w:tcW w:w="4548" w:type="dxa"/>
            <w:vMerge/>
            <w:shd w:val="clear" w:color="auto" w:fill="auto"/>
          </w:tcPr>
          <w:p w:rsidR="00D71659" w:rsidRDefault="00D71659">
            <w:pPr>
              <w:jc w:val="left"/>
              <w:rPr>
                <w:noProof/>
              </w:rPr>
            </w:pPr>
          </w:p>
        </w:tc>
        <w:tc>
          <w:tcPr>
            <w:tcW w:w="2640" w:type="dxa"/>
            <w:shd w:val="clear" w:color="auto" w:fill="auto"/>
          </w:tcPr>
          <w:p w:rsidR="00D71659" w:rsidRDefault="008D1F21">
            <w:pPr>
              <w:rPr>
                <w:noProof/>
              </w:rPr>
            </w:pPr>
            <w:r>
              <w:rPr>
                <w:noProof/>
              </w:rPr>
              <w:t>2009</w:t>
            </w:r>
          </w:p>
        </w:tc>
        <w:tc>
          <w:tcPr>
            <w:tcW w:w="2056" w:type="dxa"/>
            <w:shd w:val="clear" w:color="auto" w:fill="auto"/>
          </w:tcPr>
          <w:p w:rsidR="00D71659" w:rsidRDefault="008D1F21">
            <w:pPr>
              <w:rPr>
                <w:noProof/>
              </w:rPr>
            </w:pPr>
            <w:r>
              <w:rPr>
                <w:noProof/>
              </w:rPr>
              <w:t>21</w:t>
            </w:r>
          </w:p>
        </w:tc>
      </w:tr>
      <w:tr w:rsidR="00D71659">
        <w:tc>
          <w:tcPr>
            <w:tcW w:w="4548" w:type="dxa"/>
            <w:vMerge/>
            <w:shd w:val="clear" w:color="auto" w:fill="auto"/>
          </w:tcPr>
          <w:p w:rsidR="00D71659" w:rsidRDefault="00D71659">
            <w:pPr>
              <w:jc w:val="left"/>
              <w:rPr>
                <w:noProof/>
              </w:rPr>
            </w:pPr>
          </w:p>
        </w:tc>
        <w:tc>
          <w:tcPr>
            <w:tcW w:w="2640" w:type="dxa"/>
            <w:shd w:val="clear" w:color="auto" w:fill="auto"/>
          </w:tcPr>
          <w:p w:rsidR="00D71659" w:rsidRDefault="008D1F21">
            <w:pPr>
              <w:rPr>
                <w:noProof/>
              </w:rPr>
            </w:pPr>
            <w:r>
              <w:rPr>
                <w:noProof/>
              </w:rPr>
              <w:t>2010</w:t>
            </w:r>
          </w:p>
        </w:tc>
        <w:tc>
          <w:tcPr>
            <w:tcW w:w="2056" w:type="dxa"/>
            <w:shd w:val="clear" w:color="auto" w:fill="auto"/>
          </w:tcPr>
          <w:p w:rsidR="00D71659" w:rsidRDefault="008D1F21">
            <w:pPr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D71659">
        <w:tc>
          <w:tcPr>
            <w:tcW w:w="4548" w:type="dxa"/>
            <w:vMerge/>
            <w:shd w:val="clear" w:color="auto" w:fill="auto"/>
          </w:tcPr>
          <w:p w:rsidR="00D71659" w:rsidRDefault="00D71659">
            <w:pPr>
              <w:jc w:val="left"/>
              <w:rPr>
                <w:noProof/>
              </w:rPr>
            </w:pPr>
          </w:p>
        </w:tc>
        <w:tc>
          <w:tcPr>
            <w:tcW w:w="2640" w:type="dxa"/>
            <w:shd w:val="clear" w:color="auto" w:fill="auto"/>
          </w:tcPr>
          <w:p w:rsidR="00D71659" w:rsidRDefault="008D1F21">
            <w:pPr>
              <w:rPr>
                <w:noProof/>
              </w:rPr>
            </w:pPr>
            <w:r>
              <w:rPr>
                <w:noProof/>
              </w:rPr>
              <w:t>2011</w:t>
            </w:r>
          </w:p>
        </w:tc>
        <w:tc>
          <w:tcPr>
            <w:tcW w:w="2056" w:type="dxa"/>
            <w:shd w:val="clear" w:color="auto" w:fill="auto"/>
          </w:tcPr>
          <w:p w:rsidR="00D71659" w:rsidRDefault="008D1F21">
            <w:pPr>
              <w:rPr>
                <w:noProof/>
              </w:rPr>
            </w:pPr>
            <w:r>
              <w:rPr>
                <w:noProof/>
              </w:rPr>
              <w:t>19</w:t>
            </w:r>
          </w:p>
        </w:tc>
      </w:tr>
      <w:tr w:rsidR="00D71659">
        <w:tc>
          <w:tcPr>
            <w:tcW w:w="4548" w:type="dxa"/>
            <w:vMerge/>
            <w:shd w:val="clear" w:color="auto" w:fill="auto"/>
          </w:tcPr>
          <w:p w:rsidR="00D71659" w:rsidRDefault="00D71659">
            <w:pPr>
              <w:jc w:val="left"/>
              <w:rPr>
                <w:noProof/>
              </w:rPr>
            </w:pPr>
          </w:p>
        </w:tc>
        <w:tc>
          <w:tcPr>
            <w:tcW w:w="2640" w:type="dxa"/>
            <w:shd w:val="clear" w:color="auto" w:fill="auto"/>
          </w:tcPr>
          <w:p w:rsidR="00D71659" w:rsidRDefault="008D1F21">
            <w:pPr>
              <w:rPr>
                <w:noProof/>
              </w:rPr>
            </w:pPr>
            <w:r>
              <w:rPr>
                <w:noProof/>
              </w:rPr>
              <w:t>2012</w:t>
            </w:r>
          </w:p>
        </w:tc>
        <w:tc>
          <w:tcPr>
            <w:tcW w:w="2056" w:type="dxa"/>
            <w:shd w:val="clear" w:color="auto" w:fill="auto"/>
          </w:tcPr>
          <w:p w:rsidR="00D71659" w:rsidRDefault="008D1F21">
            <w:pPr>
              <w:rPr>
                <w:noProof/>
              </w:rPr>
            </w:pPr>
            <w:r>
              <w:rPr>
                <w:noProof/>
              </w:rPr>
              <w:t>23</w:t>
            </w:r>
          </w:p>
        </w:tc>
      </w:tr>
      <w:tr w:rsidR="00D71659">
        <w:tc>
          <w:tcPr>
            <w:tcW w:w="4548" w:type="dxa"/>
            <w:vMerge/>
            <w:shd w:val="clear" w:color="auto" w:fill="auto"/>
          </w:tcPr>
          <w:p w:rsidR="00D71659" w:rsidRDefault="00D71659">
            <w:pPr>
              <w:jc w:val="left"/>
              <w:rPr>
                <w:noProof/>
              </w:rPr>
            </w:pPr>
          </w:p>
        </w:tc>
        <w:tc>
          <w:tcPr>
            <w:tcW w:w="2640" w:type="dxa"/>
            <w:shd w:val="clear" w:color="auto" w:fill="auto"/>
          </w:tcPr>
          <w:p w:rsidR="00D71659" w:rsidRDefault="008D1F21">
            <w:pPr>
              <w:rPr>
                <w:noProof/>
              </w:rPr>
            </w:pPr>
            <w:r>
              <w:rPr>
                <w:noProof/>
              </w:rPr>
              <w:t>2013</w:t>
            </w:r>
          </w:p>
        </w:tc>
        <w:tc>
          <w:tcPr>
            <w:tcW w:w="2056" w:type="dxa"/>
            <w:shd w:val="clear" w:color="auto" w:fill="auto"/>
          </w:tcPr>
          <w:p w:rsidR="00D71659" w:rsidRDefault="008D1F21">
            <w:pPr>
              <w:rPr>
                <w:noProof/>
              </w:rPr>
            </w:pPr>
            <w:r>
              <w:rPr>
                <w:noProof/>
              </w:rPr>
              <w:t>16</w:t>
            </w:r>
            <w:r>
              <w:rPr>
                <w:noProof/>
                <w:vertAlign w:val="superscript"/>
              </w:rPr>
              <w:t>*)</w:t>
            </w:r>
          </w:p>
        </w:tc>
      </w:tr>
      <w:tr w:rsidR="00D71659">
        <w:tc>
          <w:tcPr>
            <w:tcW w:w="4548" w:type="dxa"/>
            <w:shd w:val="clear" w:color="auto" w:fill="auto"/>
          </w:tcPr>
          <w:p w:rsidR="00D71659" w:rsidRDefault="008D1F21">
            <w:pPr>
              <w:rPr>
                <w:noProof/>
              </w:rPr>
            </w:pPr>
            <w:r>
              <w:rPr>
                <w:noProof/>
              </w:rPr>
              <w:t>Rozporządzenie (UE) nr 1025/2012 (art. 10 ust. 2)</w:t>
            </w:r>
          </w:p>
        </w:tc>
        <w:tc>
          <w:tcPr>
            <w:tcW w:w="2640" w:type="dxa"/>
            <w:shd w:val="clear" w:color="auto" w:fill="auto"/>
          </w:tcPr>
          <w:p w:rsidR="00D71659" w:rsidRDefault="008D1F21">
            <w:pPr>
              <w:rPr>
                <w:noProof/>
              </w:rPr>
            </w:pPr>
            <w:r>
              <w:rPr>
                <w:noProof/>
              </w:rPr>
              <w:t>2014</w:t>
            </w:r>
          </w:p>
        </w:tc>
        <w:tc>
          <w:tcPr>
            <w:tcW w:w="2056" w:type="dxa"/>
            <w:shd w:val="clear" w:color="auto" w:fill="auto"/>
          </w:tcPr>
          <w:p w:rsidR="00D71659" w:rsidRDefault="008D1F21">
            <w:pPr>
              <w:rPr>
                <w:noProof/>
              </w:rPr>
            </w:pPr>
            <w:r>
              <w:rPr>
                <w:noProof/>
              </w:rPr>
              <w:t xml:space="preserve">9 </w:t>
            </w:r>
            <w:r>
              <w:rPr>
                <w:noProof/>
                <w:vertAlign w:val="superscript"/>
              </w:rPr>
              <w:t>**)</w:t>
            </w:r>
          </w:p>
        </w:tc>
      </w:tr>
      <w:tr w:rsidR="00D71659">
        <w:tc>
          <w:tcPr>
            <w:tcW w:w="9244" w:type="dxa"/>
            <w:gridSpan w:val="3"/>
            <w:shd w:val="clear" w:color="auto" w:fill="auto"/>
          </w:tcPr>
          <w:p w:rsidR="00D71659" w:rsidRDefault="008D1F21">
            <w:pPr>
              <w:rPr>
                <w:noProof/>
              </w:rPr>
            </w:pPr>
            <w:r>
              <w:rPr>
                <w:noProof/>
                <w:vertAlign w:val="superscript"/>
              </w:rPr>
              <w:t>*)</w:t>
            </w:r>
            <w:r>
              <w:rPr>
                <w:noProof/>
              </w:rPr>
              <w:t xml:space="preserve"> Wszystkie te wnioski przedłożone w 2013 r. były już poddane konsultacjom w 2012 r. w Stałym Komitecie powołanym na podstawie dyrektywy 98/34/WE.</w:t>
            </w:r>
          </w:p>
          <w:p w:rsidR="00D71659" w:rsidRDefault="008D1F21">
            <w:pPr>
              <w:rPr>
                <w:noProof/>
              </w:rPr>
            </w:pPr>
            <w:r>
              <w:rPr>
                <w:noProof/>
                <w:vertAlign w:val="superscript"/>
              </w:rPr>
              <w:t xml:space="preserve">**) </w:t>
            </w:r>
            <w:r>
              <w:rPr>
                <w:noProof/>
              </w:rPr>
              <w:t>Są to dane szacunkowe w oparciu o informacje dostępne w październiku 2014 r.: próbę stanowi jeden przyjęty</w:t>
            </w:r>
            <w:r>
              <w:rPr>
                <w:noProof/>
              </w:rPr>
              <w:t xml:space="preserve"> wniosek i 8 wniosków, które zostały już przedłożone lub wkrótce będą przedłożone Komitetowi ds. Norm w celu zasięgnięcia jego opinii.</w:t>
            </w:r>
          </w:p>
        </w:tc>
      </w:tr>
    </w:tbl>
    <w:p w:rsidR="00D71659" w:rsidRDefault="00D71659">
      <w:pPr>
        <w:rPr>
          <w:noProof/>
        </w:rPr>
      </w:pPr>
    </w:p>
    <w:p w:rsidR="00D71659" w:rsidRDefault="008D1F21">
      <w:pPr>
        <w:rPr>
          <w:noProof/>
        </w:rPr>
      </w:pPr>
      <w:r>
        <w:rPr>
          <w:noProof/>
        </w:rPr>
        <w:t>Należy zauważyć, że Komisja zaczęła bardziej systematycznie rejestrować „datę rozpoczęcia” procesu przygotowawczego dop</w:t>
      </w:r>
      <w:r>
        <w:rPr>
          <w:noProof/>
        </w:rPr>
        <w:t>iero w 2009 r. Data rozpoczęcia jest jednak datą pierwszego kontaktu między Dyrekcją Generalną Komisji przygotowującą wniosek i przewodniczącym komitetu (Stałego Komitetu powołanego na podstawie dyrektywy 98/34/WE, a później Komitetu ds. Norm) w chwili, gd</w:t>
      </w:r>
      <w:r>
        <w:rPr>
          <w:noProof/>
        </w:rPr>
        <w:t>y rzeczywisty okres przygotowywania wniosku miał się wkrótce rozpocząć lub już się rozpoczął. Ze względu na brak pewności dotyczący rejestracji tej daty należy uznać ją za datę szacunkową.</w:t>
      </w:r>
    </w:p>
    <w:p w:rsidR="00D71659" w:rsidRDefault="008D1F21">
      <w:pPr>
        <w:rPr>
          <w:noProof/>
        </w:rPr>
      </w:pPr>
      <w:r>
        <w:rPr>
          <w:noProof/>
        </w:rPr>
        <w:t>Statystyki Komisji obejmujące lata 2009-2013 wskazują na średni cza</w:t>
      </w:r>
      <w:r>
        <w:rPr>
          <w:noProof/>
        </w:rPr>
        <w:t xml:space="preserve">s potrzebny na przygotowanie wniosku wynoszący </w:t>
      </w:r>
      <w:r>
        <w:rPr>
          <w:b/>
          <w:noProof/>
        </w:rPr>
        <w:t>363 dni kalendarzowych</w:t>
      </w:r>
      <w:r>
        <w:rPr>
          <w:noProof/>
        </w:rPr>
        <w:t xml:space="preserve"> (około 12 miesięcy) w przypadku wniosków przedkładanych w ramach starego systemu (wielkość próby wynosi tylko 40, ponieważ data rozpoczęcia została zarejestrowana jedynie dla 40 % wniosk</w:t>
      </w:r>
      <w:r>
        <w:rPr>
          <w:noProof/>
        </w:rPr>
        <w:t xml:space="preserve">ów z lat 2009-2013). Szacunkowe dane dla 2014 r. wskazują na średni czas potrzebny na przygotowanie wniosku wynoszący </w:t>
      </w:r>
      <w:r>
        <w:rPr>
          <w:b/>
          <w:noProof/>
        </w:rPr>
        <w:t>420 dni kalendarzowych</w:t>
      </w:r>
      <w:r>
        <w:rPr>
          <w:noProof/>
        </w:rPr>
        <w:t xml:space="preserve"> (około 13,5 miesięcy) w przypadku wniosków przedkładanych w ramach nowego systemu (wielkość próby: 9, zob. tabela 2</w:t>
      </w:r>
      <w:r>
        <w:rPr>
          <w:noProof/>
        </w:rPr>
        <w:t xml:space="preserve">). </w:t>
      </w:r>
    </w:p>
    <w:p w:rsidR="00D71659" w:rsidRDefault="008D1F21">
      <w:pPr>
        <w:rPr>
          <w:noProof/>
        </w:rPr>
      </w:pPr>
      <w:r>
        <w:rPr>
          <w:noProof/>
        </w:rPr>
        <w:t>Ograniczona dostępność i jakość danych uniemożliwiają wyciągnięcie jakichkolwiek ostatecznych wniosków. Ten ewentualny zarejestrowany wzrost, jeśli zostanie potwierdzony, może jednak być wynikiem bardziej formalnych ram administracyjnych dla opracowywa</w:t>
      </w:r>
      <w:r>
        <w:rPr>
          <w:noProof/>
        </w:rPr>
        <w:t xml:space="preserve">nia </w:t>
      </w:r>
      <w:r>
        <w:rPr>
          <w:noProof/>
        </w:rPr>
        <w:lastRenderedPageBreak/>
        <w:t xml:space="preserve">wniosków o normalizację wymagających wysoce skutecznej współpracy między zaangażowanymi podmiotami. </w:t>
      </w:r>
    </w:p>
    <w:p w:rsidR="00D71659" w:rsidRDefault="008D1F21">
      <w:pPr>
        <w:jc w:val="center"/>
        <w:rPr>
          <w:b/>
          <w:noProof/>
        </w:rPr>
      </w:pPr>
      <w:r>
        <w:rPr>
          <w:b/>
          <w:noProof/>
        </w:rPr>
        <w:t>Tabela 2 – Średni czas przygotowania wniosków w ramach starego i nowego systemu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1856"/>
        <w:gridCol w:w="1896"/>
        <w:gridCol w:w="2744"/>
      </w:tblGrid>
      <w:tr w:rsidR="00D71659">
        <w:tc>
          <w:tcPr>
            <w:tcW w:w="2988" w:type="dxa"/>
            <w:shd w:val="clear" w:color="auto" w:fill="auto"/>
          </w:tcPr>
          <w:p w:rsidR="00D71659" w:rsidRDefault="008D1F21">
            <w:pPr>
              <w:rPr>
                <w:b/>
                <w:noProof/>
              </w:rPr>
            </w:pPr>
            <w:r>
              <w:rPr>
                <w:b/>
                <w:noProof/>
              </w:rPr>
              <w:t>System konsultacji</w:t>
            </w:r>
          </w:p>
        </w:tc>
        <w:tc>
          <w:tcPr>
            <w:tcW w:w="1920" w:type="dxa"/>
            <w:shd w:val="clear" w:color="auto" w:fill="auto"/>
          </w:tcPr>
          <w:p w:rsidR="00D71659" w:rsidRDefault="008D1F21">
            <w:pPr>
              <w:rPr>
                <w:b/>
                <w:noProof/>
              </w:rPr>
            </w:pPr>
            <w:r>
              <w:rPr>
                <w:b/>
                <w:noProof/>
              </w:rPr>
              <w:t>Rok przedłożenia</w:t>
            </w:r>
          </w:p>
        </w:tc>
        <w:tc>
          <w:tcPr>
            <w:tcW w:w="1440" w:type="dxa"/>
            <w:shd w:val="clear" w:color="auto" w:fill="auto"/>
          </w:tcPr>
          <w:p w:rsidR="00D71659" w:rsidRDefault="008D1F21">
            <w:pPr>
              <w:rPr>
                <w:b/>
                <w:noProof/>
              </w:rPr>
            </w:pPr>
            <w:r>
              <w:rPr>
                <w:b/>
                <w:noProof/>
              </w:rPr>
              <w:t>Liczba rozpatrywanych wniosków</w:t>
            </w:r>
          </w:p>
        </w:tc>
        <w:tc>
          <w:tcPr>
            <w:tcW w:w="2880" w:type="dxa"/>
            <w:shd w:val="clear" w:color="auto" w:fill="auto"/>
          </w:tcPr>
          <w:p w:rsidR="00D71659" w:rsidRDefault="008D1F21">
            <w:pPr>
              <w:rPr>
                <w:b/>
                <w:noProof/>
              </w:rPr>
            </w:pPr>
            <w:r>
              <w:rPr>
                <w:b/>
                <w:noProof/>
              </w:rPr>
              <w:t>Średni czas od daty rozpoczęcia przygotowywania wniosku do jego zgłoszenia EON</w:t>
            </w:r>
          </w:p>
        </w:tc>
      </w:tr>
      <w:tr w:rsidR="00D71659">
        <w:tc>
          <w:tcPr>
            <w:tcW w:w="2988" w:type="dxa"/>
            <w:shd w:val="clear" w:color="auto" w:fill="auto"/>
          </w:tcPr>
          <w:p w:rsidR="00D71659" w:rsidRDefault="008D1F21">
            <w:pPr>
              <w:jc w:val="left"/>
              <w:rPr>
                <w:noProof/>
              </w:rPr>
            </w:pPr>
            <w:r>
              <w:rPr>
                <w:noProof/>
              </w:rPr>
              <w:t>Dyrektywa 98/34/WE</w:t>
            </w:r>
            <w:r>
              <w:rPr>
                <w:noProof/>
              </w:rPr>
              <w:br/>
              <w:t>(art. 6 ust. 4 lit. e))</w:t>
            </w:r>
          </w:p>
        </w:tc>
        <w:tc>
          <w:tcPr>
            <w:tcW w:w="1920" w:type="dxa"/>
            <w:shd w:val="clear" w:color="auto" w:fill="auto"/>
          </w:tcPr>
          <w:p w:rsidR="00D71659" w:rsidRDefault="008D1F21">
            <w:pPr>
              <w:jc w:val="left"/>
              <w:rPr>
                <w:noProof/>
              </w:rPr>
            </w:pPr>
            <w:r>
              <w:rPr>
                <w:noProof/>
              </w:rPr>
              <w:t>2009 … 2013</w:t>
            </w:r>
          </w:p>
        </w:tc>
        <w:tc>
          <w:tcPr>
            <w:tcW w:w="1440" w:type="dxa"/>
            <w:shd w:val="clear" w:color="auto" w:fill="auto"/>
          </w:tcPr>
          <w:p w:rsidR="00D71659" w:rsidRDefault="008D1F21">
            <w:pPr>
              <w:jc w:val="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2880" w:type="dxa"/>
            <w:shd w:val="clear" w:color="auto" w:fill="auto"/>
          </w:tcPr>
          <w:p w:rsidR="00D71659" w:rsidRDefault="008D1F21">
            <w:pPr>
              <w:jc w:val="left"/>
              <w:rPr>
                <w:noProof/>
              </w:rPr>
            </w:pPr>
            <w:r>
              <w:rPr>
                <w:b/>
                <w:noProof/>
              </w:rPr>
              <w:t>363</w:t>
            </w:r>
            <w:r>
              <w:rPr>
                <w:noProof/>
              </w:rPr>
              <w:t xml:space="preserve"> dni kalendarzowe </w:t>
            </w:r>
            <w:r>
              <w:rPr>
                <w:noProof/>
              </w:rPr>
              <w:br/>
              <w:t>(</w:t>
            </w:r>
            <w:r>
              <w:rPr>
                <w:b/>
                <w:noProof/>
              </w:rPr>
              <w:t>12</w:t>
            </w:r>
            <w:r>
              <w:rPr>
                <w:noProof/>
              </w:rPr>
              <w:t xml:space="preserve"> miesięcy)</w:t>
            </w:r>
            <w:r>
              <w:rPr>
                <w:noProof/>
                <w:vertAlign w:val="superscript"/>
              </w:rPr>
              <w:t>*)</w:t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  <w:t>(odchylenie standardowe: 179 dni kalendarzowych)</w:t>
            </w:r>
          </w:p>
        </w:tc>
      </w:tr>
      <w:tr w:rsidR="00D71659">
        <w:tc>
          <w:tcPr>
            <w:tcW w:w="2988" w:type="dxa"/>
            <w:shd w:val="clear" w:color="auto" w:fill="auto"/>
          </w:tcPr>
          <w:p w:rsidR="00D71659" w:rsidRDefault="008D1F21">
            <w:pPr>
              <w:jc w:val="left"/>
              <w:rPr>
                <w:noProof/>
              </w:rPr>
            </w:pPr>
            <w:r>
              <w:rPr>
                <w:noProof/>
              </w:rPr>
              <w:t>Rozporządzenie (UE) nr 1025/2</w:t>
            </w:r>
            <w:r>
              <w:rPr>
                <w:noProof/>
              </w:rPr>
              <w:t>012</w:t>
            </w:r>
            <w:r>
              <w:rPr>
                <w:noProof/>
              </w:rPr>
              <w:br/>
              <w:t>(art. 10 ust. 2)</w:t>
            </w:r>
          </w:p>
        </w:tc>
        <w:tc>
          <w:tcPr>
            <w:tcW w:w="1920" w:type="dxa"/>
            <w:shd w:val="clear" w:color="auto" w:fill="auto"/>
          </w:tcPr>
          <w:p w:rsidR="00D71659" w:rsidRDefault="008D1F21">
            <w:pPr>
              <w:jc w:val="left"/>
              <w:rPr>
                <w:noProof/>
              </w:rPr>
            </w:pPr>
            <w:r>
              <w:rPr>
                <w:noProof/>
              </w:rPr>
              <w:t>2014</w:t>
            </w:r>
          </w:p>
        </w:tc>
        <w:tc>
          <w:tcPr>
            <w:tcW w:w="1440" w:type="dxa"/>
            <w:shd w:val="clear" w:color="auto" w:fill="auto"/>
          </w:tcPr>
          <w:p w:rsidR="00D71659" w:rsidRDefault="008D1F21">
            <w:pPr>
              <w:jc w:val="left"/>
              <w:rPr>
                <w:noProof/>
              </w:rPr>
            </w:pPr>
            <w:r>
              <w:rPr>
                <w:noProof/>
              </w:rPr>
              <w:t>9</w:t>
            </w:r>
            <w:r>
              <w:rPr>
                <w:noProof/>
                <w:vertAlign w:val="superscript"/>
              </w:rPr>
              <w:t>**)</w:t>
            </w:r>
          </w:p>
        </w:tc>
        <w:tc>
          <w:tcPr>
            <w:tcW w:w="2880" w:type="dxa"/>
            <w:shd w:val="clear" w:color="auto" w:fill="auto"/>
          </w:tcPr>
          <w:p w:rsidR="00D71659" w:rsidRDefault="008D1F21">
            <w:pPr>
              <w:jc w:val="left"/>
              <w:rPr>
                <w:noProof/>
              </w:rPr>
            </w:pPr>
            <w:r>
              <w:rPr>
                <w:b/>
                <w:noProof/>
              </w:rPr>
              <w:t>420</w:t>
            </w:r>
            <w:r>
              <w:rPr>
                <w:noProof/>
              </w:rPr>
              <w:t xml:space="preserve"> dni kalendarzowych </w:t>
            </w:r>
            <w:r>
              <w:rPr>
                <w:noProof/>
              </w:rPr>
              <w:br/>
              <w:t>(</w:t>
            </w:r>
            <w:r>
              <w:rPr>
                <w:b/>
                <w:noProof/>
              </w:rPr>
              <w:t>13,5</w:t>
            </w:r>
            <w:r>
              <w:rPr>
                <w:noProof/>
              </w:rPr>
              <w:t xml:space="preserve"> miesiąca)</w:t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  <w:t>(odchylenie standardowe: 170 dni kalendarzowych)</w:t>
            </w:r>
          </w:p>
        </w:tc>
      </w:tr>
      <w:tr w:rsidR="00D71659">
        <w:tc>
          <w:tcPr>
            <w:tcW w:w="9228" w:type="dxa"/>
            <w:gridSpan w:val="4"/>
            <w:shd w:val="clear" w:color="auto" w:fill="auto"/>
          </w:tcPr>
          <w:p w:rsidR="00D71659" w:rsidRDefault="008D1F21">
            <w:pPr>
              <w:jc w:val="left"/>
              <w:rPr>
                <w:noProof/>
              </w:rPr>
            </w:pPr>
            <w:r>
              <w:rPr>
                <w:noProof/>
                <w:vertAlign w:val="superscript"/>
              </w:rPr>
              <w:t>*)</w:t>
            </w:r>
            <w:r>
              <w:rPr>
                <w:noProof/>
              </w:rPr>
              <w:t xml:space="preserve"> W swoim sprawozdaniu COM(1998)291 final</w:t>
            </w:r>
            <w:r>
              <w:rPr>
                <w:rStyle w:val="FootnoteReference"/>
                <w:noProof/>
              </w:rPr>
              <w:footnoteReference w:id="11"/>
            </w:r>
            <w:r>
              <w:rPr>
                <w:noProof/>
              </w:rPr>
              <w:t xml:space="preserve"> Komisja szacowała, że średni czas potrzebny w owym czasie na przygotowanie wniosku wynosił</w:t>
            </w:r>
            <w:r>
              <w:rPr>
                <w:noProof/>
              </w:rPr>
              <w:t xml:space="preserve"> od 8 do 14 miesięcy. </w:t>
            </w:r>
          </w:p>
          <w:p w:rsidR="00D71659" w:rsidRDefault="008D1F21">
            <w:pPr>
              <w:jc w:val="left"/>
              <w:rPr>
                <w:b/>
                <w:noProof/>
              </w:rPr>
            </w:pPr>
            <w:r>
              <w:rPr>
                <w:noProof/>
                <w:vertAlign w:val="superscript"/>
              </w:rPr>
              <w:t xml:space="preserve">**) </w:t>
            </w:r>
            <w:r>
              <w:rPr>
                <w:noProof/>
              </w:rPr>
              <w:t xml:space="preserve"> Liczba wniosków, które zostaną przedłożone do końca 2014 r., jest wartością szacunkową. Zgodnie z tymi szacunkowymi danymi zgłoszenie do EON powinno mieć miejsce trzy tygodnie po procedurze sprawdzającej w ramach Komitetu ds. Norm.</w:t>
            </w:r>
          </w:p>
        </w:tc>
      </w:tr>
    </w:tbl>
    <w:p w:rsidR="00D71659" w:rsidRDefault="00D71659">
      <w:pPr>
        <w:rPr>
          <w:noProof/>
        </w:rPr>
      </w:pPr>
    </w:p>
    <w:p w:rsidR="00D71659" w:rsidRDefault="008D1F21">
      <w:pPr>
        <w:pStyle w:val="Heading1"/>
        <w:rPr>
          <w:noProof/>
        </w:rPr>
      </w:pPr>
      <w:r>
        <w:rPr>
          <w:noProof/>
        </w:rPr>
        <w:t>Podsumowanie</w:t>
      </w:r>
    </w:p>
    <w:p w:rsidR="00D71659" w:rsidRDefault="008D1F21">
      <w:pPr>
        <w:rPr>
          <w:noProof/>
        </w:rPr>
      </w:pPr>
      <w:r>
        <w:rPr>
          <w:noProof/>
        </w:rPr>
        <w:t>Uwzględniając:</w:t>
      </w:r>
    </w:p>
    <w:p w:rsidR="00D71659" w:rsidRDefault="008D1F21">
      <w:pPr>
        <w:numPr>
          <w:ilvl w:val="0"/>
          <w:numId w:val="24"/>
        </w:numPr>
        <w:rPr>
          <w:noProof/>
        </w:rPr>
      </w:pPr>
      <w:r>
        <w:rPr>
          <w:noProof/>
        </w:rPr>
        <w:t xml:space="preserve">stosunkowo krótki okres zbierania doświadczeń dotyczących wniosków o normalizację przedłożonych na podstawie art. 10 rozporządzenia w sprawie normalizacji; </w:t>
      </w:r>
    </w:p>
    <w:p w:rsidR="00D71659" w:rsidRDefault="008D1F21">
      <w:pPr>
        <w:numPr>
          <w:ilvl w:val="0"/>
          <w:numId w:val="24"/>
        </w:numPr>
        <w:rPr>
          <w:noProof/>
        </w:rPr>
      </w:pPr>
      <w:r>
        <w:rPr>
          <w:noProof/>
        </w:rPr>
        <w:t>iż przejrzyste i odpowiednie planowanie wniosków o normalizację oraz nieformalne kon</w:t>
      </w:r>
      <w:r>
        <w:rPr>
          <w:noProof/>
        </w:rPr>
        <w:t>sultacje z EON, państwami członkowskimi i wszystkimi odpowiednimi zainteresowanymi stronami mają kluczowe znaczenie przed przedłożeniem wniosków o normalizację;</w:t>
      </w:r>
    </w:p>
    <w:p w:rsidR="00D71659" w:rsidRDefault="008D1F21">
      <w:pPr>
        <w:numPr>
          <w:ilvl w:val="0"/>
          <w:numId w:val="24"/>
        </w:numPr>
        <w:rPr>
          <w:noProof/>
        </w:rPr>
      </w:pPr>
      <w:r>
        <w:rPr>
          <w:noProof/>
        </w:rPr>
        <w:t>iż Komisja uaktualnia swoje wewnętrzne wytyczne dotyczące sposobu planowania, opracowywania ora</w:t>
      </w:r>
      <w:r>
        <w:rPr>
          <w:noProof/>
        </w:rPr>
        <w:t xml:space="preserve">z konsultowania wniosków o normalizację; </w:t>
      </w:r>
    </w:p>
    <w:p w:rsidR="00D71659" w:rsidRDefault="008D1F21">
      <w:pPr>
        <w:numPr>
          <w:ilvl w:val="0"/>
          <w:numId w:val="24"/>
        </w:numPr>
        <w:rPr>
          <w:noProof/>
        </w:rPr>
      </w:pPr>
      <w:r>
        <w:rPr>
          <w:noProof/>
        </w:rPr>
        <w:lastRenderedPageBreak/>
        <w:t>iż prace przygotowawcze i pomocnicze w zakresie normalizacji europejskiej, takie jak studia wykonalności, w przypadku których konkretne normy europejskie lub europejskie dokumenty normalizacyjne nie są wymagane prz</w:t>
      </w:r>
      <w:r>
        <w:rPr>
          <w:noProof/>
        </w:rPr>
        <w:t>ez Komisję, mogą zostać rozpoczęte wraz z EON bez wniosków;</w:t>
      </w:r>
    </w:p>
    <w:p w:rsidR="00D71659" w:rsidRDefault="008D1F21">
      <w:pPr>
        <w:rPr>
          <w:noProof/>
        </w:rPr>
      </w:pPr>
      <w:r>
        <w:rPr>
          <w:noProof/>
        </w:rPr>
        <w:t>Komisja stwierdza, że choć nowe przepisy wynikające z art. 10 rozporządzenia w sprawie normalizacji zwiększają konieczność skutecznej współpracy między zaangażowanymi podmiotami, krótki czas zdoby</w:t>
      </w:r>
      <w:r>
        <w:rPr>
          <w:noProof/>
        </w:rPr>
        <w:t>wania doświadczeń w zakresie nowych procesów nie pozwala na wyciągnięcie ostatecznego wniosku co do tego, czy nowe przepisy spowodują stałe i niedopuszczalne wydłużenie czasu realizacji procedur dla wniosków o normalizację. W związku z tym na obecnym etapi</w:t>
      </w:r>
      <w:r>
        <w:rPr>
          <w:noProof/>
        </w:rPr>
        <w:t>e brak jest wystarczających danych uzasadniających konieczność złożenia wniosku ustawodawczego dotyczącego zmiany art. 10 rozporządzenia w sprawie normalizacji. Komisja dokona przeglądu sytuacji pod koniec 2015 r., w kontekście sprawozdania, które przedsta</w:t>
      </w:r>
      <w:r>
        <w:rPr>
          <w:noProof/>
        </w:rPr>
        <w:t>wi Radzie i Parlamentowi Europejskiemu na temat wykonania rozporządzenia w sprawie normalizacji, zgodnie z jego art. 24 ust. 3.</w:t>
      </w:r>
    </w:p>
    <w:p w:rsidR="00D71659" w:rsidRDefault="00D71659">
      <w:pPr>
        <w:rPr>
          <w:noProof/>
        </w:rPr>
      </w:pPr>
    </w:p>
    <w:p w:rsidR="00D71659" w:rsidRDefault="00D71659">
      <w:pPr>
        <w:rPr>
          <w:noProof/>
        </w:rPr>
      </w:pPr>
    </w:p>
    <w:sectPr w:rsidR="00D7165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417" w:bottom="1134" w:left="1417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21" w:rsidRDefault="008D1F21">
      <w:pPr>
        <w:spacing w:after="0"/>
      </w:pPr>
      <w:r>
        <w:separator/>
      </w:r>
    </w:p>
  </w:endnote>
  <w:endnote w:type="continuationSeparator" w:id="0">
    <w:p w:rsidR="008D1F21" w:rsidRDefault="008D1F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59" w:rsidRDefault="00D716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59" w:rsidRDefault="008D1F21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PL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59" w:rsidRDefault="00D71659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59" w:rsidRDefault="00D7165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59" w:rsidRDefault="008D1F2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52336">
      <w:rPr>
        <w:noProof/>
      </w:rPr>
      <w:t>8</w:t>
    </w:r>
    <w:r>
      <w:rPr>
        <w:noProof/>
      </w:rPr>
      <w:fldChar w:fldCharType="end"/>
    </w:r>
  </w:p>
  <w:p w:rsidR="00D71659" w:rsidRDefault="00D71659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59" w:rsidRDefault="00D716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21" w:rsidRDefault="008D1F21">
      <w:pPr>
        <w:spacing w:after="0"/>
      </w:pPr>
      <w:r>
        <w:separator/>
      </w:r>
    </w:p>
  </w:footnote>
  <w:footnote w:type="continuationSeparator" w:id="0">
    <w:p w:rsidR="008D1F21" w:rsidRDefault="008D1F21">
      <w:pPr>
        <w:spacing w:after="0"/>
      </w:pPr>
      <w:r>
        <w:continuationSeparator/>
      </w:r>
    </w:p>
  </w:footnote>
  <w:footnote w:id="1">
    <w:p w:rsidR="00D71659" w:rsidRDefault="008D1F21">
      <w:pPr>
        <w:pStyle w:val="FootnoteText"/>
      </w:pPr>
      <w:r>
        <w:rPr>
          <w:rStyle w:val="FootnoteReference"/>
        </w:rPr>
        <w:footnoteRef/>
      </w:r>
      <w:r>
        <w:t xml:space="preserve"> Rozporządzenie Parlamentu Europejskiego i Rady (UE) nr 1025/2012 z dnia 25 października 2012 r. w sprawie normalizacji europejskiej, zmieniające dyrektywy Rady 89/686/EWG i 93/15/EWG oraz dyrektywy Parlamentu Europejskiego i Rady 94/9/WE, 94/25/WE, 95/16/</w:t>
      </w:r>
      <w:r>
        <w:t>WE, 97/23/WE, 98/34/WE, 2004/22/WE, 2007/23/WE, 2009/23/WE i 2009/105/WE oraz uchylające decyzję Rady 87/95/EWG i decyzję Parlamentu Europejskiego i Rady nr 1673/2006/WE (Dz.U. L 316 z 14.11.2012, s. 12-33).</w:t>
      </w:r>
    </w:p>
  </w:footnote>
  <w:footnote w:id="2">
    <w:p w:rsidR="00D71659" w:rsidRDefault="008D1F21">
      <w:pPr>
        <w:pStyle w:val="FootnoteText"/>
      </w:pPr>
      <w:r>
        <w:rPr>
          <w:rStyle w:val="FootnoteReference"/>
        </w:rPr>
        <w:footnoteRef/>
      </w:r>
      <w:r>
        <w:t xml:space="preserve"> Dyrektywa Rady 83/189/EWG z dnia 28 marca 1983</w:t>
      </w:r>
      <w:r>
        <w:t xml:space="preserve"> r. ustanawiająca procedurę udzielania informacji w zakresie norm i przepisów technicznych – dyrektywa 98/34/WE stanowi ujednolicenie dyrektywy 83/189/EWG i jej zmian (Dz.U. L 204 z 21.7.1998).</w:t>
      </w:r>
    </w:p>
  </w:footnote>
  <w:footnote w:id="3">
    <w:p w:rsidR="00D71659" w:rsidRDefault="008D1F21">
      <w:pPr>
        <w:pStyle w:val="FootnoteText"/>
      </w:pPr>
      <w:r>
        <w:rPr>
          <w:rStyle w:val="FootnoteReference"/>
        </w:rPr>
        <w:footnoteRef/>
      </w:r>
      <w:r>
        <w:t xml:space="preserve"> Dz.U. C 91 z 16.4.2003.</w:t>
      </w:r>
    </w:p>
  </w:footnote>
  <w:footnote w:id="4">
    <w:p w:rsidR="00D71659" w:rsidRDefault="008D1F21">
      <w:pPr>
        <w:pStyle w:val="FootnoteText"/>
      </w:pPr>
      <w:r>
        <w:rPr>
          <w:rStyle w:val="FootnoteReference"/>
        </w:rPr>
        <w:footnoteRef/>
      </w:r>
      <w:r>
        <w:t xml:space="preserve"> Dz.U. L 204 z 21.7.1998, s. 37.</w:t>
      </w:r>
    </w:p>
  </w:footnote>
  <w:footnote w:id="5">
    <w:p w:rsidR="00D71659" w:rsidRDefault="008D1F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Rozporządzenie Parlamentu Europejskiego i Rady ustanawiające przepisy i zasady ogólne dotyczące trybu kontroli przez państwa członkowskie wykonywania uprawnień wykonawczych przez Komisję (Dz.U. L 55 z 28.2.2011, s. 13).</w:t>
      </w:r>
    </w:p>
  </w:footnote>
  <w:footnote w:id="6">
    <w:p w:rsidR="00D71659" w:rsidRPr="00352336" w:rsidRDefault="008D1F21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352336">
        <w:rPr>
          <w:lang w:val="pt-PT"/>
        </w:rPr>
        <w:t xml:space="preserve"> COM(2011)315 final z 1.6.2011.</w:t>
      </w:r>
    </w:p>
  </w:footnote>
  <w:footnote w:id="7">
    <w:p w:rsidR="00D71659" w:rsidRDefault="008D1F21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352336">
        <w:rPr>
          <w:lang w:val="pt-PT"/>
        </w:rPr>
        <w:t xml:space="preserve"> C</w:t>
      </w:r>
      <w:r w:rsidRPr="00352336">
        <w:rPr>
          <w:lang w:val="pt-PT"/>
        </w:rPr>
        <w:t>OM(2011)311 final z 1.6.2011.</w:t>
      </w:r>
    </w:p>
  </w:footnote>
  <w:footnote w:id="8">
    <w:p w:rsidR="00D71659" w:rsidRDefault="008D1F21">
      <w:pPr>
        <w:pStyle w:val="FootnoteText"/>
      </w:pPr>
      <w:r>
        <w:rPr>
          <w:rStyle w:val="FootnoteReference"/>
        </w:rPr>
        <w:footnoteRef/>
      </w:r>
      <w:r>
        <w:t xml:space="preserve"> Minimalny dopuszczalny termin na zasięgnięcie opinii komitetu wynosi dwa tygodnie. W praktyce przyznawane jest od 4 do 6 tygodni.  </w:t>
      </w:r>
    </w:p>
  </w:footnote>
  <w:footnote w:id="9">
    <w:p w:rsidR="00D71659" w:rsidRDefault="008D1F21">
      <w:pPr>
        <w:pStyle w:val="FootnoteText"/>
      </w:pPr>
      <w:r>
        <w:rPr>
          <w:rStyle w:val="FootnoteReference"/>
        </w:rPr>
        <w:footnoteRef/>
      </w:r>
      <w:r>
        <w:t xml:space="preserve"> Dz.U. L 11 z 15.1.2002, s. 4.</w:t>
      </w:r>
    </w:p>
  </w:footnote>
  <w:footnote w:id="10">
    <w:p w:rsidR="00D71659" w:rsidRDefault="008D1F21">
      <w:pPr>
        <w:pStyle w:val="FootnoteText"/>
      </w:pPr>
      <w:r>
        <w:rPr>
          <w:rStyle w:val="FootnoteReference"/>
        </w:rPr>
        <w:footnoteRef/>
      </w:r>
      <w:r>
        <w:t xml:space="preserve"> COM(2013) 78 final</w:t>
      </w:r>
    </w:p>
  </w:footnote>
  <w:footnote w:id="11">
    <w:p w:rsidR="00D71659" w:rsidRDefault="008D1F21">
      <w:pPr>
        <w:pStyle w:val="FootnoteText"/>
      </w:pPr>
      <w:r>
        <w:rPr>
          <w:rStyle w:val="FootnoteReference"/>
        </w:rPr>
        <w:footnoteRef/>
      </w:r>
      <w:r>
        <w:t xml:space="preserve"> COM(1998)291 final z 13.5.1998, Spraw</w:t>
      </w:r>
      <w:r>
        <w:t>ozdanie Komisji dla Rady i Parlamentu Europejskiego „Efektywność i odpowiedzialność w europejskiej normalizacji w ramach systemu nowego podejścia”.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59" w:rsidRDefault="00D716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59" w:rsidRDefault="00D71659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59" w:rsidRDefault="00D71659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59" w:rsidRDefault="00D7165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59" w:rsidRDefault="00D7165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59" w:rsidRDefault="00D716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C82A18"/>
    <w:multiLevelType w:val="hybridMultilevel"/>
    <w:tmpl w:val="2B166E20"/>
    <w:lvl w:ilvl="0" w:tplc="07F822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>
    <w:nsid w:val="188842EA"/>
    <w:multiLevelType w:val="hybridMultilevel"/>
    <w:tmpl w:val="8E04B0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53B39"/>
    <w:multiLevelType w:val="hybridMultilevel"/>
    <w:tmpl w:val="9828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9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6E570A0"/>
    <w:multiLevelType w:val="hybridMultilevel"/>
    <w:tmpl w:val="F7F2A3D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A432656"/>
    <w:multiLevelType w:val="multilevel"/>
    <w:tmpl w:val="223E008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3A356F3"/>
    <w:multiLevelType w:val="hybridMultilevel"/>
    <w:tmpl w:val="D1EAA9BE"/>
    <w:lvl w:ilvl="0" w:tplc="07F822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>
    <w:nsid w:val="5DE02EA6"/>
    <w:multiLevelType w:val="hybridMultilevel"/>
    <w:tmpl w:val="AFDE6F50"/>
    <w:lvl w:ilvl="0" w:tplc="07F822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1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2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3">
    <w:nsid w:val="69995580"/>
    <w:multiLevelType w:val="singleLevel"/>
    <w:tmpl w:val="75CC7CBA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4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8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20"/>
  </w:num>
  <w:num w:numId="10">
    <w:abstractNumId w:val="22"/>
  </w:num>
  <w:num w:numId="11">
    <w:abstractNumId w:val="21"/>
  </w:num>
  <w:num w:numId="12">
    <w:abstractNumId w:val="24"/>
  </w:num>
  <w:num w:numId="13">
    <w:abstractNumId w:val="8"/>
  </w:num>
  <w:num w:numId="14">
    <w:abstractNumId w:val="11"/>
  </w:num>
  <w:num w:numId="15">
    <w:abstractNumId w:val="13"/>
  </w:num>
  <w:num w:numId="16">
    <w:abstractNumId w:val="12"/>
  </w:num>
  <w:num w:numId="17">
    <w:abstractNumId w:val="3"/>
  </w:num>
  <w:num w:numId="18">
    <w:abstractNumId w:val="15"/>
  </w:num>
  <w:num w:numId="19">
    <w:abstractNumId w:val="23"/>
  </w:num>
  <w:num w:numId="20">
    <w:abstractNumId w:val="7"/>
  </w:num>
  <w:num w:numId="21">
    <w:abstractNumId w:val="14"/>
  </w:num>
  <w:num w:numId="22">
    <w:abstractNumId w:val="16"/>
  </w:num>
  <w:num w:numId="23">
    <w:abstractNumId w:val="17"/>
  </w:num>
  <w:num w:numId="24">
    <w:abstractNumId w:val="2"/>
  </w:num>
  <w:num w:numId="25">
    <w:abstractNumId w:val="6"/>
  </w:num>
  <w:num w:numId="26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3747F01F1E124B299CA89A6FC204A5F6"/>
    <w:docVar w:name="LW_CROSSREFERENCE" w:val="&lt;UNUSED&gt;"/>
    <w:docVar w:name="LW_DocType" w:val="NOT"/>
    <w:docVar w:name="LW_EMISSION" w:val="13.5.2015"/>
    <w:docVar w:name="LW_EMISSION_ISODATE" w:val="2015-05-13"/>
    <w:docVar w:name="LW_EMISSION_LOCATION" w:val="BRX"/>
    <w:docVar w:name="LW_EMISSION_PREFIX" w:val="Bruksela, dnia "/>
    <w:docVar w:name="LW_EMISSION_SUFFIX" w:val=" r."/>
    <w:docVar w:name="LW_ID_DOCTYPE_NONLW" w:val="CP-006"/>
    <w:docVar w:name="LW_LANGUE" w:val="PL"/>
    <w:docVar w:name="LW_MARKING" w:val="&lt;UNUSED&gt;"/>
    <w:docVar w:name="LW_NOM.INST" w:val="KOMISJA EUROPEJSK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5) 198"/>
    <w:docVar w:name="LW_REF.INTERNE" w:val="&lt;UNUSED&gt;"/>
    <w:docVar w:name="LW_SOUS.TITRE.OBJ.CP" w:val="&lt;UNUSED&gt;"/>
    <w:docVar w:name="LW_SUPERTITRE" w:val="&lt;UNUSED&gt;"/>
    <w:docVar w:name="LW_TITRE.OBJ.CP" w:val="Sprawozdanie dla Parlamentu Europejskiego i Rady na podstawie art. 25 na temat wp\u322?ywu procedur ustanowionych w art. 10 rozporz\u261?dzenia (UE) nr 1025/2012 w sprawie normalizacji europejskiej na ramy czasowe przedk\u322?adania wniosków o normalizacj\u281?"/>
    <w:docVar w:name="LW_TYPE.DOC.CP" w:val="SPRAWOZDANIE KOMISJI DLA PARLAMENTU EUROPEJSKIEGO I RADY"/>
  </w:docVars>
  <w:rsids>
    <w:rsidRoot w:val="00D71659"/>
    <w:rsid w:val="00352336"/>
    <w:rsid w:val="008D1F21"/>
    <w:rsid w:val="00D7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pl-PL" w:eastAsia="pl-PL" w:bidi="pl-PL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link w:val="SignatureChar"/>
    <w:uiPriority w:val="99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link w:val="DateCha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pl-PL" w:eastAsia="pl-PL" w:bidi="pl-PL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uiPriority w:val="39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FooterChar">
    <w:name w:val="Footer Char"/>
    <w:link w:val="Footer"/>
    <w:uiPriority w:val="99"/>
    <w:rPr>
      <w:rFonts w:ascii="Arial" w:hAnsi="Arial"/>
      <w:sz w:val="16"/>
      <w:lang w:eastAsia="pl-PL"/>
    </w:rPr>
  </w:style>
  <w:style w:type="character" w:customStyle="1" w:styleId="DateChar">
    <w:name w:val="Date Char"/>
    <w:link w:val="Date"/>
    <w:uiPriority w:val="99"/>
    <w:rPr>
      <w:sz w:val="24"/>
      <w:lang w:eastAsia="pl-PL"/>
    </w:rPr>
  </w:style>
  <w:style w:type="character" w:customStyle="1" w:styleId="SignatureChar">
    <w:name w:val="Signature Char"/>
    <w:link w:val="Signature"/>
    <w:uiPriority w:val="99"/>
    <w:rPr>
      <w:sz w:val="24"/>
      <w:lang w:eastAsia="pl-PL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character" w:customStyle="1" w:styleId="HeaderChar">
    <w:name w:val="Header Char"/>
    <w:link w:val="Header"/>
    <w:uiPriority w:val="99"/>
    <w:rPr>
      <w:sz w:val="24"/>
      <w:lang w:eastAsia="pl-PL"/>
    </w:rPr>
  </w:style>
  <w:style w:type="paragraph" w:customStyle="1" w:styleId="Considrant">
    <w:name w:val="Considérant"/>
    <w:basedOn w:val="Normal"/>
    <w:pPr>
      <w:numPr>
        <w:numId w:val="19"/>
      </w:numPr>
      <w:spacing w:before="120" w:after="120"/>
    </w:pPr>
    <w:rPr>
      <w:szCs w:val="24"/>
    </w:rPr>
  </w:style>
  <w:style w:type="paragraph" w:customStyle="1" w:styleId="Default">
    <w:name w:val="Default"/>
    <w:basedOn w:val="Normal"/>
    <w:pPr>
      <w:autoSpaceDE w:val="0"/>
      <w:autoSpaceDN w:val="0"/>
      <w:spacing w:after="0"/>
      <w:jc w:val="left"/>
    </w:pPr>
    <w:rPr>
      <w:rFonts w:eastAsia="Calibri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semiHidden/>
    <w:rPr>
      <w:lang w:eastAsia="pl-PL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pl-PL"/>
    </w:rPr>
  </w:style>
  <w:style w:type="paragraph" w:customStyle="1" w:styleId="Taulukonsislt">
    <w:name w:val="Taulukon sisältö"/>
    <w:basedOn w:val="Normal"/>
    <w:pPr>
      <w:suppressLineNumbers/>
      <w:suppressAutoHyphens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="Calibr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Heading1Char">
    <w:name w:val="Heading 1 Char"/>
    <w:link w:val="Heading1"/>
    <w:rPr>
      <w:b/>
      <w:smallCaps/>
      <w:sz w:val="24"/>
      <w:lang w:eastAsia="pl-PL"/>
    </w:rPr>
  </w:style>
  <w:style w:type="character" w:customStyle="1" w:styleId="FooterCoverPageChar">
    <w:name w:val="Footer Cover Page Char"/>
    <w:link w:val="FooterCoverPage"/>
    <w:rPr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link w:val="HeaderCoverPage"/>
    <w:rPr>
      <w:sz w:val="24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pl-PL"/>
    </w:rPr>
  </w:style>
  <w:style w:type="paragraph" w:customStyle="1" w:styleId="Typedudocument">
    <w:name w:val="Type du document"/>
    <w:basedOn w:val="Normal"/>
    <w:next w:val="Normal"/>
    <w:pPr>
      <w:spacing w:before="360" w:after="0"/>
      <w:jc w:val="center"/>
    </w:pPr>
    <w:rPr>
      <w:rFonts w:eastAsia="Calibri"/>
      <w:b/>
      <w:szCs w:val="22"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rFonts w:eastAsia="Calibri"/>
      <w:b/>
      <w:szCs w:val="22"/>
    </w:rPr>
  </w:style>
  <w:style w:type="paragraph" w:customStyle="1" w:styleId="Sous-titreobjet">
    <w:name w:val="Sous-titre objet"/>
    <w:basedOn w:val="Normal"/>
    <w:pPr>
      <w:spacing w:after="0"/>
      <w:jc w:val="center"/>
    </w:pPr>
    <w:rPr>
      <w:rFonts w:eastAsia="Calibr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8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2006">
                  <w:marLeft w:val="12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0396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5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86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A592-A1B5-46DB-AABE-32DADBC3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68</TotalTime>
  <Pages>9</Pages>
  <Words>2816</Words>
  <Characters>16054</Characters>
  <Application>Microsoft Office Word</Application>
  <DocSecurity>0</DocSecurity>
  <PresentationFormat>Microsoft Word 14.0</PresentationFormat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EL4</cp:keywords>
  <cp:lastModifiedBy>LAGES CARVALHO Patrick (SG)</cp:lastModifiedBy>
  <cp:revision>17</cp:revision>
  <cp:lastPrinted>2015-02-03T09:15:00Z</cp:lastPrinted>
  <dcterms:created xsi:type="dcterms:W3CDTF">2015-02-13T08:32:00Z</dcterms:created>
  <dcterms:modified xsi:type="dcterms:W3CDTF">2015-05-05T06:05:00Z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4.5.0.3</vt:lpwstr>
  </property>
  <property fmtid="{D5CDD505-2E9C-101B-9397-08002B2CF9AE}" pid="3" name="EurolookVersion">
    <vt:lpwstr>4.5</vt:lpwstr>
  </property>
  <property fmtid="{D5CDD505-2E9C-101B-9397-08002B2CF9AE}" pid="4" name="DocID_EU">
    <vt:lpwstr> </vt:lpwstr>
  </property>
  <property fmtid="{D5CDD505-2E9C-101B-9397-08002B2CF9AE}" pid="5" name="ELDocType">
    <vt:lpwstr>not.dot</vt:lpwstr>
  </property>
  <property fmtid="{D5CDD505-2E9C-101B-9397-08002B2CF9AE}" pid="6" name="Created using">
    <vt:lpwstr>EL 4.6 Build 19516</vt:lpwstr>
  </property>
  <property fmtid="{D5CDD505-2E9C-101B-9397-08002B2CF9AE}" pid="7" name="Formatting">
    <vt:lpwstr>4.1</vt:lpwstr>
  </property>
  <property fmtid="{D5CDD505-2E9C-101B-9397-08002B2CF9AE}" pid="8" name="Last edited using">
    <vt:lpwstr>EL </vt:lpwstr>
  </property>
  <property fmtid="{D5CDD505-2E9C-101B-9397-08002B2CF9AE}" pid="9" name="EL_Author">
    <vt:lpwstr>Stefan Nonneman</vt:lpwstr>
  </property>
  <property fmtid="{D5CDD505-2E9C-101B-9397-08002B2CF9AE}" pid="10" name="Type">
    <vt:lpwstr>Eurolook Note &amp; Letter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  <property fmtid="{D5CDD505-2E9C-101B-9397-08002B2CF9AE}" pid="13" name="Part">
    <vt:lpwstr>1</vt:lpwstr>
  </property>
  <property fmtid="{D5CDD505-2E9C-101B-9397-08002B2CF9AE}" pid="14" name="Total parts">
    <vt:lpwstr>1</vt:lpwstr>
  </property>
  <property fmtid="{D5CDD505-2E9C-101B-9397-08002B2CF9AE}" pid="15" name="Classification">
    <vt:lpwstr> </vt:lpwstr>
  </property>
  <property fmtid="{D5CDD505-2E9C-101B-9397-08002B2CF9AE}" pid="16" name="DocStatus">
    <vt:lpwstr>Green</vt:lpwstr>
  </property>
</Properties>
</file>