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D91" w:rsidRDefault="00C6414A">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E232FE48854430EA1035D2A2BE93C1B" style="width:450.8pt;height:321.4pt">
            <v:imagedata r:id="rId9" o:title=""/>
          </v:shape>
        </w:pict>
      </w:r>
    </w:p>
    <w:bookmarkEnd w:id="0"/>
    <w:p w:rsidR="00F36D91" w:rsidRDefault="00F36D91">
      <w:pPr>
        <w:spacing w:after="0" w:line="240" w:lineRule="auto"/>
        <w:rPr>
          <w:noProof/>
        </w:rPr>
        <w:sectPr w:rsidR="00F36D91">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299"/>
        </w:sectPr>
      </w:pPr>
    </w:p>
    <w:p w:rsidR="00F36D91" w:rsidRDefault="00C6414A">
      <w:pPr>
        <w:tabs>
          <w:tab w:val="left" w:pos="6750"/>
        </w:tabs>
        <w:spacing w:line="240" w:lineRule="auto"/>
        <w:rPr>
          <w:rFonts w:ascii="Times New Roman" w:hAnsi="Times New Roman" w:cs="Times New Roman"/>
          <w:b/>
          <w:noProof/>
          <w:sz w:val="32"/>
          <w:szCs w:val="32"/>
        </w:rPr>
      </w:pPr>
      <w:r>
        <w:rPr>
          <w:rFonts w:ascii="Times New Roman" w:hAnsi="Times New Roman"/>
          <w:b/>
          <w:noProof/>
          <w:sz w:val="32"/>
        </w:rPr>
        <w:lastRenderedPageBreak/>
        <w:t xml:space="preserve">I. </w:t>
      </w:r>
      <w:r>
        <w:rPr>
          <w:rFonts w:ascii="Times New Roman" w:hAnsi="Times New Roman"/>
          <w:b/>
          <w:noProof/>
          <w:sz w:val="32"/>
          <w:u w:val="single"/>
        </w:rPr>
        <w:t>Inledning</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Människor har i alla tider migrerat från en plats till en annan. I dag försöker </w:t>
      </w:r>
      <w:r>
        <w:rPr>
          <w:rFonts w:ascii="Times New Roman" w:hAnsi="Times New Roman"/>
          <w:noProof/>
          <w:sz w:val="24"/>
        </w:rPr>
        <w:t>människor ta sig till Europa av olika skäl och på olika vägar. De försöker göra det på laglig väg, men många riskerar också livet för att fly från politiskt förtryck, krig och fattigdom, eller för att återförenas med sina familjer, ge utlopp åt sin företag</w:t>
      </w:r>
      <w:r>
        <w:rPr>
          <w:rFonts w:ascii="Times New Roman" w:hAnsi="Times New Roman"/>
          <w:noProof/>
          <w:sz w:val="24"/>
        </w:rPr>
        <w:t>samhet eller skaffa sig kunskap och utbildning. Varje person som migrerar har sin egen historia. Tendentiösa och stereotypa berättelser tar ofta bara upp vissa typer av flöden, och bortser från den inneboende komplexiteten i fenomenet migration som påverka</w:t>
      </w:r>
      <w:r>
        <w:rPr>
          <w:rFonts w:ascii="Times New Roman" w:hAnsi="Times New Roman"/>
          <w:noProof/>
          <w:sz w:val="24"/>
        </w:rPr>
        <w:t>r samhället på många olika sätt och kräver vitt skilda svar. Den europeiska migrationsagendan är ett försök att samla de olika åtgärder som bör vidtas nu och under kommande år för att Europeiska unionen ska kunna grundlägga en konsekvent och omfattande str</w:t>
      </w:r>
      <w:r>
        <w:rPr>
          <w:rFonts w:ascii="Times New Roman" w:hAnsi="Times New Roman"/>
          <w:noProof/>
          <w:sz w:val="24"/>
        </w:rPr>
        <w:t>ategi för att både dra nytta av migrationens fördelar och anta de utmaningar som följer av den.</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Det är vår absoluta plikt att skydda människor i nöd. Den svåra situationen för tusentals migranter som riskerar sina liv för att korsa Medelhavet har chockat o</w:t>
      </w:r>
      <w:r>
        <w:rPr>
          <w:rFonts w:ascii="Times New Roman" w:hAnsi="Times New Roman"/>
          <w:noProof/>
          <w:sz w:val="24"/>
        </w:rPr>
        <w:t xml:space="preserve">ss alla. Som en första och ögonblicklig reaktion lade kommissionen fram en tiopunktsplan med omedelbara åtgärder. Europaparlamentet och Europeiska rådet har givit sitt stöd till planen och medlemsstaterna har också åtagit sig att vidta  konkreta åtgärder, </w:t>
      </w:r>
      <w:r>
        <w:rPr>
          <w:rFonts w:ascii="Times New Roman" w:hAnsi="Times New Roman"/>
          <w:noProof/>
          <w:sz w:val="24"/>
        </w:rPr>
        <w:t>särskilt för att undvika ytterligare förluster av människoliv.</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Reaktionen var visserligen omedelbar men otillräcklig. Vi kan inte nöja oss med enstaka insatser. Brådskande åtgärder var nödvändiga, eftersom EU:s gemensamma politik på området har varit otill</w:t>
      </w:r>
      <w:r>
        <w:rPr>
          <w:rFonts w:ascii="Times New Roman" w:hAnsi="Times New Roman"/>
          <w:noProof/>
          <w:sz w:val="24"/>
        </w:rPr>
        <w:t>räcklig. Samtidigt som de flesta européer har reagerat på migranternas svåra situation, finns i hela Europa ett utbrett tvivel om att vår migrationspolitik egentligen är anpassad till trycket från tusentals migranter, till behovet att integrera migranter i</w:t>
      </w:r>
      <w:r>
        <w:rPr>
          <w:rFonts w:ascii="Times New Roman" w:hAnsi="Times New Roman"/>
          <w:noProof/>
          <w:sz w:val="24"/>
        </w:rPr>
        <w:t xml:space="preserve"> våra samhällen, eller till Europas ekonomiska behov när befolkningen krymper. </w:t>
      </w:r>
    </w:p>
    <w:p w:rsidR="00F36D91" w:rsidRDefault="00C6414A">
      <w:pPr>
        <w:spacing w:before="120" w:after="0" w:line="240" w:lineRule="auto"/>
        <w:jc w:val="both"/>
        <w:rPr>
          <w:rFonts w:ascii="Times New Roman" w:hAnsi="Times New Roman"/>
          <w:noProof/>
          <w:sz w:val="24"/>
          <w:szCs w:val="24"/>
        </w:rPr>
      </w:pPr>
      <w:r>
        <w:rPr>
          <w:rFonts w:ascii="Times New Roman" w:hAnsi="Times New Roman"/>
          <w:noProof/>
          <w:sz w:val="24"/>
        </w:rPr>
        <w:t>Om vi vill försöka stoppa det mänskliga lidande som skapas av de personer som utnyttjar migranterna, måste vi använda oss av både EU:s roll som global aktör och många olika met</w:t>
      </w:r>
      <w:r>
        <w:rPr>
          <w:rFonts w:ascii="Times New Roman" w:hAnsi="Times New Roman"/>
          <w:noProof/>
          <w:sz w:val="24"/>
        </w:rPr>
        <w:t>oder för att angripa de bakomliggande orsakerna. Vissa av dem är djupt rotade men måste ändå bemötas. Globaliseringen och revolutionen på kommunikationsområdet har både skapat möjligheter och höjt förväntningarna. Andra orsaker är följderna av krig och kri</w:t>
      </w:r>
      <w:r>
        <w:rPr>
          <w:rFonts w:ascii="Times New Roman" w:hAnsi="Times New Roman"/>
          <w:noProof/>
          <w:sz w:val="24"/>
        </w:rPr>
        <w:t>ser, från Ukraina till Mellanöstern, Asien och Nordafrika. Effekten av global fattigdom och konflikter gör inte halt vid de nationella gränserna.</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Europa bör även fortsättningsvis både vara en fristad för dem som flyr förföljelse och samtidigt ett attraktiv</w:t>
      </w:r>
      <w:r>
        <w:rPr>
          <w:rFonts w:ascii="Times New Roman" w:hAnsi="Times New Roman"/>
          <w:noProof/>
          <w:sz w:val="24"/>
        </w:rPr>
        <w:t>t alternativ för begåvade och företagsamma studenter, forskare och arbetstagare. Att hålla fast vid våra internationella åtaganden och värderingar, samtidigt som vi skyddar våra gränser och skapar de rätta förutsättningarna för ekonomiskt välstånd och soci</w:t>
      </w:r>
      <w:r>
        <w:rPr>
          <w:rFonts w:ascii="Times New Roman" w:hAnsi="Times New Roman"/>
          <w:noProof/>
          <w:sz w:val="24"/>
        </w:rPr>
        <w:t xml:space="preserve">al sammanhållning i Europa, är en svår balansgång som kräver samordnade åtgärder på europeisk nivå.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Detta kräver ett antal nyckelåtgärder och en konsekvent och tydlig gemensam politik. Vi måste återställa förtroendet för vår förmåga att samla europeiska o</w:t>
      </w:r>
      <w:r>
        <w:rPr>
          <w:rFonts w:ascii="Times New Roman" w:hAnsi="Times New Roman"/>
          <w:noProof/>
          <w:sz w:val="24"/>
        </w:rPr>
        <w:t>ch nationella insatser för att hantera migration, för att uppfylla våra internationella och etiska skyldigheter samt för att samarbeta på ett effektivt sätt, i enlighet med principerna om solidaritet och delat ansvar. Ingen medlemsstat kan effektivt hanter</w:t>
      </w:r>
      <w:r>
        <w:rPr>
          <w:rFonts w:ascii="Times New Roman" w:hAnsi="Times New Roman"/>
          <w:noProof/>
          <w:sz w:val="24"/>
        </w:rPr>
        <w:t>a migrationen på egen hand. Det är tydligt att vi behöver en ny strategi med starkare europeisk förankring. Därför måste vi utnyttja alla strategier och verktyg som står till buds, för att genom en kombination av intern och extern politik nå bästa resultat</w:t>
      </w:r>
      <w:r>
        <w:rPr>
          <w:rFonts w:ascii="Times New Roman" w:hAnsi="Times New Roman"/>
          <w:noProof/>
          <w:sz w:val="24"/>
        </w:rPr>
        <w:t xml:space="preserve">. Samtliga aktörer – medlemsstaterna, EU:s institutioner, internationella organisationer, det civila samhället, lokala myndigheter och tredjeländer – måste samarbeta för att få till stånd en gemensam europeisk migrationspolitik. </w:t>
      </w:r>
    </w:p>
    <w:p w:rsidR="00F36D91" w:rsidRDefault="00F36D91">
      <w:pPr>
        <w:spacing w:before="120" w:after="0" w:line="240" w:lineRule="auto"/>
        <w:jc w:val="both"/>
        <w:rPr>
          <w:rFonts w:ascii="Times New Roman" w:hAnsi="Times New Roman" w:cs="Times New Roman"/>
          <w:b/>
          <w:noProof/>
          <w:sz w:val="36"/>
          <w:szCs w:val="36"/>
        </w:rPr>
      </w:pPr>
    </w:p>
    <w:p w:rsidR="00F36D91" w:rsidRDefault="00C6414A">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    </w:t>
      </w:r>
      <w:r>
        <w:rPr>
          <w:rFonts w:ascii="Times New Roman" w:hAnsi="Times New Roman"/>
          <w:b/>
          <w:noProof/>
          <w:sz w:val="32"/>
          <w:u w:val="single"/>
        </w:rPr>
        <w:t xml:space="preserve">Omedelbara </w:t>
      </w:r>
      <w:r>
        <w:rPr>
          <w:rFonts w:ascii="Times New Roman" w:hAnsi="Times New Roman"/>
          <w:b/>
          <w:noProof/>
          <w:sz w:val="32"/>
          <w:u w:val="single"/>
        </w:rPr>
        <w:t>åtgärder</w:t>
      </w:r>
    </w:p>
    <w:p w:rsidR="00F36D91" w:rsidRDefault="00C6414A">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Den första delen av den europeiska migrationsagendan är ett svar på behovet av snabba och beslutsamma åtgärder som svar på den mänskliga tragedin i Medelhavet. Europeiska rådets uttalande av den 23 april 2015</w:t>
      </w:r>
      <w:r>
        <w:rPr>
          <w:rFonts w:ascii="Times New Roman" w:hAnsi="Times New Roman"/>
          <w:noProof/>
          <w:sz w:val="24"/>
          <w:vertAlign w:val="superscript"/>
        </w:rPr>
        <w:footnoteReference w:id="2"/>
      </w:r>
      <w:r>
        <w:rPr>
          <w:rFonts w:ascii="Times New Roman" w:hAnsi="Times New Roman"/>
          <w:noProof/>
          <w:sz w:val="24"/>
        </w:rPr>
        <w:t xml:space="preserve"> och Europaparlamentets resolution någ</w:t>
      </w:r>
      <w:r>
        <w:rPr>
          <w:rFonts w:ascii="Times New Roman" w:hAnsi="Times New Roman"/>
          <w:noProof/>
          <w:sz w:val="24"/>
        </w:rPr>
        <w:t>ra dagar senare,</w:t>
      </w:r>
      <w:r>
        <w:rPr>
          <w:rFonts w:ascii="Times New Roman" w:hAnsi="Times New Roman"/>
          <w:noProof/>
          <w:sz w:val="24"/>
          <w:vertAlign w:val="superscript"/>
        </w:rPr>
        <w:footnoteReference w:id="3"/>
      </w:r>
      <w:r>
        <w:rPr>
          <w:rFonts w:ascii="Times New Roman" w:hAnsi="Times New Roman"/>
          <w:noProof/>
          <w:sz w:val="24"/>
        </w:rPr>
        <w:t xml:space="preserve"> illustrerar vår konsensus kring behovet av skyndsamma  åtgärder för att rädda liv och utöka EU:s åtgärder.</w:t>
      </w:r>
      <w:r>
        <w:rPr>
          <w:rStyle w:val="FootnoteReference"/>
          <w:rFonts w:ascii="Times New Roman" w:hAnsi="Times New Roman"/>
          <w:noProof/>
          <w:sz w:val="24"/>
        </w:rPr>
        <w:footnoteReference w:id="4"/>
      </w:r>
      <w:r>
        <w:rPr>
          <w:rFonts w:ascii="Times New Roman" w:hAnsi="Times New Roman"/>
          <w:noProof/>
          <w:sz w:val="24"/>
        </w:rPr>
        <w:t xml:space="preserve"> </w:t>
      </w:r>
    </w:p>
    <w:p w:rsidR="00F36D91" w:rsidRDefault="00C6414A">
      <w:pPr>
        <w:tabs>
          <w:tab w:val="left" w:pos="6750"/>
        </w:tabs>
        <w:spacing w:line="240" w:lineRule="auto"/>
        <w:jc w:val="both"/>
        <w:rPr>
          <w:rFonts w:ascii="Times New Roman" w:hAnsi="Times New Roman" w:cs="Times New Roman"/>
          <w:noProof/>
          <w:sz w:val="24"/>
          <w:szCs w:val="24"/>
        </w:rPr>
      </w:pPr>
      <w:r>
        <w:rPr>
          <w:rFonts w:ascii="Times New Roman" w:hAnsi="Times New Roman"/>
          <w:noProof/>
          <w:sz w:val="24"/>
        </w:rPr>
        <w:t>Dessa snabba åtgärder måste också tjäna som mall för EU:s reaktion på kriser i framtiden, beroende på vilken del av den gemensamm</w:t>
      </w:r>
      <w:r>
        <w:rPr>
          <w:rFonts w:ascii="Times New Roman" w:hAnsi="Times New Roman"/>
          <w:noProof/>
          <w:sz w:val="24"/>
        </w:rPr>
        <w:t xml:space="preserve">a yttre gränsen som sätts under tryck, från öst till väst och från norr till söder. </w:t>
      </w:r>
    </w:p>
    <w:p w:rsidR="00F36D91" w:rsidRDefault="00C6414A">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Rädda liv till sjöss</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Europa kan inte stillatigande se på när liv går till spillo. Sök- och räddningsinsatserna kommer att förstärkas för att återställa stödnivån till den </w:t>
      </w:r>
      <w:r>
        <w:rPr>
          <w:rFonts w:ascii="Times New Roman" w:hAnsi="Times New Roman"/>
          <w:noProof/>
          <w:sz w:val="24"/>
        </w:rPr>
        <w:t xml:space="preserve">som rådde inom den tidigare italienska operationen </w:t>
      </w:r>
      <w:r>
        <w:rPr>
          <w:rFonts w:ascii="Times New Roman" w:hAnsi="Times New Roman"/>
          <w:i/>
          <w:noProof/>
          <w:sz w:val="24"/>
        </w:rPr>
        <w:t>Mare Nostrum</w:t>
      </w:r>
      <w:r>
        <w:rPr>
          <w:rFonts w:ascii="Times New Roman" w:hAnsi="Times New Roman"/>
          <w:noProof/>
          <w:sz w:val="24"/>
        </w:rPr>
        <w:t xml:space="preserve">. För att trefaldiga budgeten för </w:t>
      </w:r>
      <w:r>
        <w:rPr>
          <w:rFonts w:ascii="Times New Roman" w:hAnsi="Times New Roman"/>
          <w:b/>
          <w:noProof/>
          <w:sz w:val="24"/>
        </w:rPr>
        <w:t>Frontex gemensamma insatser Triton</w:t>
      </w:r>
      <w:r>
        <w:rPr>
          <w:rFonts w:ascii="Times New Roman" w:hAnsi="Times New Roman"/>
          <w:noProof/>
          <w:sz w:val="24"/>
        </w:rPr>
        <w:t xml:space="preserve"> </w:t>
      </w:r>
      <w:r>
        <w:rPr>
          <w:rFonts w:ascii="Times New Roman" w:hAnsi="Times New Roman"/>
          <w:b/>
          <w:noProof/>
          <w:sz w:val="24"/>
        </w:rPr>
        <w:t>och Poseidon</w:t>
      </w:r>
      <w:r>
        <w:rPr>
          <w:rFonts w:ascii="Times New Roman" w:hAnsi="Times New Roman"/>
          <w:noProof/>
          <w:sz w:val="24"/>
        </w:rPr>
        <w:t xml:space="preserve"> har kommissionen redan lagt fram en ändringsbudget för 2015 och kommer att lägga fram sitt förslag för 2016 i s</w:t>
      </w:r>
      <w:r>
        <w:rPr>
          <w:rFonts w:ascii="Times New Roman" w:hAnsi="Times New Roman"/>
          <w:noProof/>
          <w:sz w:val="24"/>
        </w:rPr>
        <w:t>lutet av maj. När förslagen genomförts kommer detta att öka såväl kapaciteten som det geografiska tillämpningsområdet för insatserna, så att Frontex kan fylla den dubbla funktionen att samordna operativt stöd till de medlemsstater som är utsatta för tryck,</w:t>
      </w:r>
      <w:r>
        <w:rPr>
          <w:rFonts w:ascii="Times New Roman" w:hAnsi="Times New Roman"/>
          <w:noProof/>
          <w:sz w:val="24"/>
        </w:rPr>
        <w:t xml:space="preserve"> och bidra till att rädda livet på migranter till sjöss</w:t>
      </w:r>
      <w:r>
        <w:rPr>
          <w:rFonts w:ascii="Times New Roman" w:hAnsi="Times New Roman"/>
          <w:noProof/>
          <w:sz w:val="24"/>
          <w:vertAlign w:val="superscript"/>
        </w:rPr>
        <w:footnoteReference w:id="5"/>
      </w:r>
      <w:r>
        <w:rPr>
          <w:rFonts w:ascii="Times New Roman" w:hAnsi="Times New Roman"/>
          <w:noProof/>
          <w:sz w:val="24"/>
        </w:rPr>
        <w:t>. Parallellt med denna ökning av EU-finansieringen ställs utrustning (fartyg, flygplan och helikoptrar) till förfogande av flera medlemsstater. Denna välkomna solidaritetsyttring måste kvarstå så läng</w:t>
      </w:r>
      <w:r>
        <w:rPr>
          <w:rFonts w:ascii="Times New Roman" w:hAnsi="Times New Roman"/>
          <w:noProof/>
          <w:sz w:val="24"/>
        </w:rPr>
        <w:t>e migrationstrycker kvarstår. Tritons nya operativa plan kommer att läggas fram i slutet av maj.</w:t>
      </w:r>
      <w:r>
        <w:rPr>
          <w:rStyle w:val="FootnoteReference"/>
          <w:rFonts w:ascii="Times New Roman" w:hAnsi="Times New Roman"/>
          <w:noProof/>
          <w:sz w:val="24"/>
        </w:rPr>
        <w:footnoteReference w:id="6"/>
      </w:r>
      <w:r>
        <w:rPr>
          <w:rFonts w:ascii="Times New Roman" w:hAnsi="Times New Roman"/>
          <w:noProof/>
          <w:sz w:val="24"/>
        </w:rPr>
        <w:t xml:space="preserve"> </w:t>
      </w:r>
    </w:p>
    <w:p w:rsidR="00F36D91" w:rsidRDefault="00C6414A">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Insatser mot kriminella nätverk för människosmuggling</w:t>
      </w:r>
    </w:p>
    <w:p w:rsidR="00F36D91" w:rsidRDefault="00C6414A">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De kriminella nätverk som utnyttjar utsatta migranter måste angripas. Den höga representanten/vice ordf</w:t>
      </w:r>
      <w:r>
        <w:rPr>
          <w:rFonts w:ascii="Times New Roman" w:hAnsi="Times New Roman"/>
          <w:noProof/>
          <w:sz w:val="24"/>
        </w:rPr>
        <w:t xml:space="preserve">öranden har redan lagt fram alternativ för tänkbara </w:t>
      </w:r>
      <w:r>
        <w:rPr>
          <w:rFonts w:ascii="Times New Roman" w:hAnsi="Times New Roman"/>
          <w:b/>
          <w:noProof/>
          <w:sz w:val="24"/>
        </w:rPr>
        <w:t>insatser inom ramen för den gemensamma säkerhets- och försvarspolitiken (GSFP)</w:t>
      </w:r>
      <w:r>
        <w:rPr>
          <w:rFonts w:ascii="Times New Roman" w:hAnsi="Times New Roman"/>
          <w:noProof/>
          <w:sz w:val="24"/>
        </w:rPr>
        <w:t xml:space="preserve"> för att systematiskt identifiera, gripa och förstöra fartyg som används av smugglare. Sådana åtgärder inom ramen för internat</w:t>
      </w:r>
      <w:r>
        <w:rPr>
          <w:rFonts w:ascii="Times New Roman" w:hAnsi="Times New Roman"/>
          <w:noProof/>
          <w:sz w:val="24"/>
        </w:rPr>
        <w:t>ionell rätt är ett kraftfull sätt att visa EU:s beslutsamhet att agera.</w:t>
      </w:r>
    </w:p>
    <w:p w:rsidR="00F36D91" w:rsidRDefault="00C6414A">
      <w:pPr>
        <w:spacing w:before="120" w:line="240" w:lineRule="auto"/>
        <w:jc w:val="both"/>
        <w:rPr>
          <w:rFonts w:ascii="Times New Roman" w:hAnsi="Times New Roman" w:cs="Times New Roman"/>
          <w:bCs/>
          <w:noProof/>
          <w:sz w:val="24"/>
          <w:szCs w:val="24"/>
        </w:rPr>
      </w:pPr>
      <w:r>
        <w:rPr>
          <w:rFonts w:ascii="Times New Roman" w:hAnsi="Times New Roman"/>
          <w:noProof/>
          <w:sz w:val="24"/>
        </w:rPr>
        <w:t xml:space="preserve">Mer kommer att göras för att samla in och bättre </w:t>
      </w:r>
      <w:r>
        <w:rPr>
          <w:rFonts w:ascii="Times New Roman" w:hAnsi="Times New Roman"/>
          <w:b/>
          <w:noProof/>
          <w:sz w:val="24"/>
        </w:rPr>
        <w:t>utnyttja information för att identifiera och angripa smugglare</w:t>
      </w:r>
      <w:r>
        <w:rPr>
          <w:rFonts w:ascii="Times New Roman" w:hAnsi="Times New Roman"/>
          <w:noProof/>
          <w:sz w:val="24"/>
        </w:rPr>
        <w:t>. Europol kommer omedelbart att stärka sin nyligen inrättade gemensamma i</w:t>
      </w:r>
      <w:r>
        <w:rPr>
          <w:rFonts w:ascii="Times New Roman" w:hAnsi="Times New Roman"/>
          <w:noProof/>
          <w:sz w:val="24"/>
        </w:rPr>
        <w:t>nsats för sjöfartsinformation (JOT Mare) – och dess fokus på smuggling av migranter. Resultatet kommer att bli en gemensam kontaktpunkt för samarbetet om smuggling mellan olika organ.</w:t>
      </w:r>
      <w:r>
        <w:rPr>
          <w:rStyle w:val="FootnoteReference"/>
          <w:rFonts w:ascii="Times New Roman" w:hAnsi="Times New Roman"/>
          <w:noProof/>
          <w:sz w:val="24"/>
        </w:rPr>
        <w:footnoteReference w:id="7"/>
      </w:r>
      <w:r>
        <w:rPr>
          <w:rFonts w:ascii="Times New Roman" w:hAnsi="Times New Roman"/>
          <w:noProof/>
          <w:sz w:val="24"/>
        </w:rPr>
        <w:t xml:space="preserve"> Frontex och Europol kommer också att utarbeta profiler över fartyg som </w:t>
      </w:r>
      <w:r>
        <w:rPr>
          <w:rFonts w:ascii="Times New Roman" w:hAnsi="Times New Roman"/>
          <w:noProof/>
          <w:sz w:val="24"/>
        </w:rPr>
        <w:t>kan komma att användas av människosmugglare, följa mönster för att identifiera fartygen och kontrollera deras rörelser. Slutligen kommer Europol att identifiera olagligt innehåll på internet som används av smugglare för att dra till sig migranter och flykt</w:t>
      </w:r>
      <w:r>
        <w:rPr>
          <w:rFonts w:ascii="Times New Roman" w:hAnsi="Times New Roman"/>
          <w:noProof/>
          <w:sz w:val="24"/>
        </w:rPr>
        <w:t xml:space="preserve">ingar, och begära att det avlägsnas. </w:t>
      </w:r>
    </w:p>
    <w:p w:rsidR="00F36D91" w:rsidRDefault="00C6414A">
      <w:pPr>
        <w:spacing w:before="120" w:line="240" w:lineRule="auto"/>
        <w:rPr>
          <w:rFonts w:ascii="Times New Roman" w:hAnsi="Times New Roman" w:cs="Times New Roman"/>
          <w:i/>
          <w:noProof/>
          <w:sz w:val="24"/>
          <w:szCs w:val="24"/>
        </w:rPr>
      </w:pPr>
      <w:r>
        <w:rPr>
          <w:rFonts w:ascii="Times New Roman" w:hAnsi="Times New Roman"/>
          <w:i/>
          <w:noProof/>
          <w:sz w:val="24"/>
        </w:rPr>
        <w:t>Reaktioner på stora mängder flyktingar till EU: Omplacering</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Medlemsstaternas asylsystem står i dag inför ett exempellöst tryck och med sommaren på väg kommer flödet av människor till medlemsstaterna vid de berörda </w:t>
      </w:r>
      <w:r>
        <w:rPr>
          <w:rFonts w:ascii="Times New Roman" w:hAnsi="Times New Roman"/>
          <w:noProof/>
          <w:sz w:val="24"/>
        </w:rPr>
        <w:t>gränssträckorna att fortsätta under de kommande månaderna. EU bör inte vänta med åtgärder tills trycket blivit oacceptabelt. Mängden anländande innebär att den lokala mottagningskapaciteten redan är ansträngd. För att hantera situationen i Medelhavsområdet</w:t>
      </w:r>
      <w:r>
        <w:rPr>
          <w:rFonts w:ascii="Times New Roman" w:hAnsi="Times New Roman"/>
          <w:noProof/>
          <w:sz w:val="24"/>
        </w:rPr>
        <w:t>, kommer kommissionen i slutet av maj att föreslå att vi utnyttjar det krishanteringssystem som avses i artikel 78.3 i FEU-fördraget</w:t>
      </w:r>
      <w:r>
        <w:rPr>
          <w:rStyle w:val="FootnoteReference"/>
          <w:rFonts w:ascii="Times New Roman" w:hAnsi="Times New Roman"/>
          <w:noProof/>
          <w:sz w:val="24"/>
        </w:rPr>
        <w:footnoteReference w:id="8"/>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För att säkerställa att alla medlemsstater deltar i denna gemensamma insats på ett rättvist och balanserat sätt, kommer f</w:t>
      </w:r>
      <w:r>
        <w:rPr>
          <w:rFonts w:ascii="Times New Roman" w:hAnsi="Times New Roman"/>
          <w:noProof/>
          <w:sz w:val="24"/>
        </w:rPr>
        <w:t>örslaget att innehålla entillfällig fördelningsmekanism för personer i behov av internationellt skydd. Den mottagande medlemsstaten ansvarar för prövningen av ansökan i enlighet med fastställda regler och garantier. En fördelningsnyckel utifrån kriterier s</w:t>
      </w:r>
      <w:r>
        <w:rPr>
          <w:rFonts w:ascii="Times New Roman" w:hAnsi="Times New Roman"/>
          <w:noProof/>
          <w:sz w:val="24"/>
        </w:rPr>
        <w:t>om BNP, befolkningsstorlek, arbetslöshet och tidigare antal asylsökande och vidarebosatta flyktingar finns i bilagan.</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Detta steg ör förelöparen till en varaktig lösning. EU behöver ett permanent system för att dela ansvaret för många flyktingar och asylsök</w:t>
      </w:r>
      <w:r>
        <w:rPr>
          <w:rFonts w:ascii="Times New Roman" w:hAnsi="Times New Roman"/>
          <w:noProof/>
          <w:sz w:val="24"/>
        </w:rPr>
        <w:t>ande mellan medlemsstaterna. Före 2015 års utgång kommer kommissionen att lägga fram ett lagförslag om införande av ett obligatoriskt och automatiserat omplaceringssystem för att inom EU kunna fördela människor i behov av internationellt skydd, när lägen m</w:t>
      </w:r>
      <w:r>
        <w:rPr>
          <w:rFonts w:ascii="Times New Roman" w:hAnsi="Times New Roman"/>
          <w:noProof/>
          <w:sz w:val="24"/>
        </w:rPr>
        <w:t>ed massiv tillströmning uppstår.</w:t>
      </w:r>
      <w:r>
        <w:rPr>
          <w:rStyle w:val="FootnoteReference"/>
          <w:rFonts w:ascii="Times New Roman" w:hAnsi="Times New Roman"/>
          <w:noProof/>
          <w:sz w:val="24"/>
        </w:rPr>
        <w:footnoteReference w:id="9"/>
      </w:r>
      <w:r>
        <w:rPr>
          <w:rFonts w:ascii="Times New Roman" w:hAnsi="Times New Roman"/>
          <w:noProof/>
          <w:sz w:val="24"/>
        </w:rPr>
        <w:t xml:space="preserve"> Systemet kommer att ta hänsyn till de ansträngningar som medlemsstaterna redan gjort på frivillig grund.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I avvaktan på genomförandet att dessa båda åtgärder måste medlemsstaterna visa solidaritet och fördubbla sina anstr</w:t>
      </w:r>
      <w:r>
        <w:rPr>
          <w:rFonts w:ascii="Times New Roman" w:hAnsi="Times New Roman"/>
          <w:noProof/>
          <w:sz w:val="24"/>
        </w:rPr>
        <w:t>ängningar för att bistå länderna vid de berörda gränssträckorna.</w:t>
      </w:r>
    </w:p>
    <w:p w:rsidR="00F36D91" w:rsidRDefault="00C6414A">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En gemensam strategi för att bevilja skydd åt fördrivna personer i behov av skydd: Vidarebosättning</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Utöver omplacering av personer som redan befinner sig på EU:s territorium har EU en skyldig</w:t>
      </w:r>
      <w:r>
        <w:rPr>
          <w:rFonts w:ascii="Times New Roman" w:hAnsi="Times New Roman"/>
          <w:noProof/>
          <w:sz w:val="24"/>
        </w:rPr>
        <w:t>het att bistå fördrivna personer i behov av internationellt skydd. Detta är det internationella samfundets gemensamma ansvar, och Förenta nationernas flyktingkommissariat (</w:t>
      </w:r>
      <w:r>
        <w:rPr>
          <w:rFonts w:ascii="Times New Roman" w:hAnsi="Times New Roman"/>
          <w:i/>
          <w:noProof/>
          <w:sz w:val="24"/>
        </w:rPr>
        <w:t>UNHCR</w:t>
      </w:r>
      <w:r>
        <w:rPr>
          <w:rFonts w:ascii="Times New Roman" w:hAnsi="Times New Roman"/>
          <w:noProof/>
          <w:sz w:val="24"/>
        </w:rPr>
        <w:t>) ansvarar för att klarlägga när det inte längre är säkert för människor att st</w:t>
      </w:r>
      <w:r>
        <w:rPr>
          <w:rFonts w:ascii="Times New Roman" w:hAnsi="Times New Roman"/>
          <w:noProof/>
          <w:sz w:val="24"/>
        </w:rPr>
        <w:t>anna kvar i sina egna länder. Vi kan inte låta dessa utsatta personer falla offer för de kriminella nätverken av smugglare och människohandlare. Det måste finnas säkra och lagliga vägar för dem att nå EU. UNHCR har godkänt ett mål på 20 000 platser för vid</w:t>
      </w:r>
      <w:r>
        <w:rPr>
          <w:rFonts w:ascii="Times New Roman" w:hAnsi="Times New Roman"/>
          <w:noProof/>
          <w:sz w:val="24"/>
        </w:rPr>
        <w:t>arebosättning i EU per år fram till år 2020.</w:t>
      </w:r>
      <w:r>
        <w:rPr>
          <w:rFonts w:ascii="Times New Roman" w:hAnsi="Times New Roman"/>
          <w:noProof/>
          <w:sz w:val="24"/>
          <w:vertAlign w:val="superscript"/>
        </w:rPr>
        <w:footnoteReference w:id="10"/>
      </w:r>
      <w:r>
        <w:rPr>
          <w:rFonts w:ascii="Times New Roman" w:hAnsi="Times New Roman"/>
          <w:noProof/>
          <w:sz w:val="24"/>
        </w:rPr>
        <w:t xml:space="preserve"> Vissa medlemsstater har redan lämnat ett viktigt bidrag till den globala vidarebosättningen. Men andra erbjuder ingenting – och i många fall lämnar de heller inte något alternativt bidrag i form av mottagande o</w:t>
      </w:r>
      <w:r>
        <w:rPr>
          <w:rFonts w:ascii="Times New Roman" w:hAnsi="Times New Roman"/>
          <w:noProof/>
          <w:sz w:val="24"/>
        </w:rPr>
        <w:t xml:space="preserve">ch godkännande av asylansökningar eller finansiella bidrag till andras insatser.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I slutet av maj kommer kommissionen att lägga fram en rekommendation om ett </w:t>
      </w:r>
      <w:r>
        <w:rPr>
          <w:rFonts w:ascii="Times New Roman" w:hAnsi="Times New Roman"/>
          <w:b/>
          <w:noProof/>
          <w:sz w:val="24"/>
        </w:rPr>
        <w:t>EU-omfattande vidarebosättningsprogram som omfattar 20 000 platser</w:t>
      </w:r>
      <w:r>
        <w:rPr>
          <w:rFonts w:ascii="Times New Roman" w:hAnsi="Times New Roman"/>
          <w:noProof/>
          <w:sz w:val="24"/>
        </w:rPr>
        <w:t>. Detta program kommer att inbeg</w:t>
      </w:r>
      <w:r>
        <w:rPr>
          <w:rFonts w:ascii="Times New Roman" w:hAnsi="Times New Roman"/>
          <w:noProof/>
          <w:sz w:val="24"/>
        </w:rPr>
        <w:t>ripa samtliga medlemsstater, med fördelningskriterier som återfinns i bilagan, t.ex. BNP, befolkningsstorlek, arbetslöshet och tidigare antal asylsökande och vidarebosatta flyktingar och kommer att beakta de insatser som medlemsstaterna redan gjort på friv</w:t>
      </w:r>
      <w:r>
        <w:rPr>
          <w:rFonts w:ascii="Times New Roman" w:hAnsi="Times New Roman"/>
          <w:noProof/>
          <w:sz w:val="24"/>
        </w:rPr>
        <w:t xml:space="preserve">illig grund. EU:s budget kommer att tillhandahålla särskild finansiering på </w:t>
      </w:r>
      <w:r>
        <w:rPr>
          <w:rFonts w:ascii="Times New Roman" w:hAnsi="Times New Roman"/>
          <w:b/>
          <w:noProof/>
          <w:sz w:val="24"/>
        </w:rPr>
        <w:t>ytterligare 50 miljoner euro</w:t>
      </w:r>
      <w:r>
        <w:rPr>
          <w:rFonts w:ascii="Times New Roman" w:hAnsi="Times New Roman"/>
          <w:noProof/>
          <w:sz w:val="24"/>
        </w:rPr>
        <w:t xml:space="preserve"> till stöd för detta system under 2015/2016. Om nödvändigt kommer denna insats att följas upp med ett förslag till bindande och tvingande lagstiftning e</w:t>
      </w:r>
      <w:r>
        <w:rPr>
          <w:rFonts w:ascii="Times New Roman" w:hAnsi="Times New Roman"/>
          <w:noProof/>
          <w:sz w:val="24"/>
        </w:rPr>
        <w:t>fter 2016.</w:t>
      </w:r>
      <w:r>
        <w:rPr>
          <w:rStyle w:val="FootnoteReference"/>
          <w:rFonts w:ascii="Times New Roman" w:hAnsi="Times New Roman"/>
          <w:noProof/>
          <w:sz w:val="24"/>
        </w:rPr>
        <w:footnoteReference w:id="11"/>
      </w:r>
      <w:r>
        <w:rPr>
          <w:rFonts w:ascii="Times New Roman" w:hAnsi="Times New Roman"/>
          <w:noProof/>
          <w:sz w:val="24"/>
        </w:rPr>
        <w:t xml:space="preserve"> Utöver denna gemensamma insats, uppmanar kommissionen medlemsstaterna att utnyttja de befintliga möjligheter som erbjuds inom ramen för asyl-, migrations- och integrationsfonderna och bereda ytterligare platser för vidarebosättning inom ramen f</w:t>
      </w:r>
      <w:r>
        <w:rPr>
          <w:rFonts w:ascii="Times New Roman" w:hAnsi="Times New Roman"/>
          <w:noProof/>
          <w:sz w:val="24"/>
        </w:rPr>
        <w:t xml:space="preserve">ör sin nationella programplanering, eftersom finansieringen snabbt anpassas.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Medlemsstaterna bör dessutom till fullo utnyttja andra rättsmedel som personer i behov av skydd har att tillgå, inbegripet bistånd från privata/icke-statliga organisationer human</w:t>
      </w:r>
      <w:r>
        <w:rPr>
          <w:rFonts w:ascii="Times New Roman" w:hAnsi="Times New Roman"/>
          <w:noProof/>
          <w:sz w:val="24"/>
        </w:rPr>
        <w:t xml:space="preserve">itära skäl och regler om familjeåterförening. </w:t>
      </w:r>
    </w:p>
    <w:p w:rsidR="00F36D91" w:rsidRDefault="00C6414A">
      <w:pPr>
        <w:autoSpaceDE w:val="0"/>
        <w:autoSpaceDN w:val="0"/>
        <w:adjustRightInd w:val="0"/>
        <w:spacing w:before="120" w:after="0" w:line="240" w:lineRule="auto"/>
        <w:jc w:val="both"/>
        <w:rPr>
          <w:rFonts w:ascii="Times New Roman" w:hAnsi="Times New Roman" w:cs="Times New Roman"/>
          <w:i/>
          <w:noProof/>
          <w:sz w:val="24"/>
          <w:szCs w:val="24"/>
        </w:rPr>
      </w:pPr>
      <w:r>
        <w:rPr>
          <w:rFonts w:ascii="Times New Roman" w:hAnsi="Times New Roman"/>
          <w:i/>
          <w:noProof/>
          <w:sz w:val="24"/>
        </w:rPr>
        <w:t>Partnerskapsarbete med tredjeländer för att föregripa migration</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EU kan också vidta omedelbara åtgärder för att på förhand ingripa i ursprungs- och transitländer. Kommissionen och Europeiska avdelningen för ytt</w:t>
      </w:r>
      <w:r>
        <w:rPr>
          <w:rFonts w:ascii="Times New Roman" w:hAnsi="Times New Roman"/>
          <w:noProof/>
          <w:sz w:val="24"/>
        </w:rPr>
        <w:t xml:space="preserve">re åtgärder (även kallad </w:t>
      </w:r>
      <w:r>
        <w:rPr>
          <w:rFonts w:ascii="Times New Roman" w:hAnsi="Times New Roman"/>
          <w:i/>
          <w:noProof/>
          <w:sz w:val="24"/>
        </w:rPr>
        <w:t>utrikestjänsten</w:t>
      </w:r>
      <w:r>
        <w:rPr>
          <w:rFonts w:ascii="Times New Roman" w:hAnsi="Times New Roman"/>
          <w:noProof/>
          <w:sz w:val="24"/>
        </w:rPr>
        <w:t>) kommer att samarbeta med partnerländerna i syfte att vidta konkreta åtgärder för att avvärja farliga resor.</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För det första bör EU öka sitt stöd till de länder som tar emot den största andelen flyktingar. </w:t>
      </w:r>
      <w:r>
        <w:rPr>
          <w:rFonts w:ascii="Times New Roman" w:hAnsi="Times New Roman"/>
          <w:b/>
          <w:noProof/>
          <w:sz w:val="24"/>
        </w:rPr>
        <w:t xml:space="preserve">Regionala </w:t>
      </w:r>
      <w:r>
        <w:rPr>
          <w:rFonts w:ascii="Times New Roman" w:hAnsi="Times New Roman"/>
          <w:b/>
          <w:noProof/>
          <w:sz w:val="24"/>
        </w:rPr>
        <w:t>utvecklings- och skyddsprogram</w:t>
      </w:r>
      <w:r>
        <w:rPr>
          <w:rFonts w:ascii="Times New Roman" w:hAnsi="Times New Roman"/>
          <w:noProof/>
          <w:sz w:val="24"/>
        </w:rPr>
        <w:t xml:space="preserve"> kommer att inrättas eller fördjupas, med början i Nordafrika och på Afrikas horn, samt genom fortsatt användning av dem som redan finns i Mellanöstern. 30 miljoner euro kommer att göras tillgängliga under 2015/2016 och bör ko</w:t>
      </w:r>
      <w:r>
        <w:rPr>
          <w:rFonts w:ascii="Times New Roman" w:hAnsi="Times New Roman"/>
          <w:noProof/>
          <w:sz w:val="24"/>
        </w:rPr>
        <w:t xml:space="preserve">mpletteras med ytterligare bidrag från medlemsstaterna.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För det andra kommer </w:t>
      </w:r>
      <w:r>
        <w:rPr>
          <w:rFonts w:ascii="Times New Roman" w:hAnsi="Times New Roman"/>
          <w:b/>
          <w:noProof/>
          <w:sz w:val="24"/>
        </w:rPr>
        <w:t>ett multifunktionellt pilotcentrum att inrättas i Niger</w:t>
      </w:r>
      <w:r>
        <w:rPr>
          <w:rFonts w:ascii="Times New Roman" w:hAnsi="Times New Roman"/>
          <w:noProof/>
          <w:sz w:val="24"/>
        </w:rPr>
        <w:t xml:space="preserve"> i slutet av året. I samarbete med Internationella organisationen för migration, UNHCR och myndigheterna i Niger kommer kom</w:t>
      </w:r>
      <w:r>
        <w:rPr>
          <w:rFonts w:ascii="Times New Roman" w:hAnsi="Times New Roman"/>
          <w:noProof/>
          <w:sz w:val="24"/>
        </w:rPr>
        <w:t>binerade insatser att göras för informationsspridning, lokalt skydd och vidarebosättning för dem som behöver. Sådana centra i ursprungs- eller transitländer skulle kunna ge migranterna en mer realistisk bild av förutsättningarna för att resan ska lyckas, o</w:t>
      </w:r>
      <w:r>
        <w:rPr>
          <w:rFonts w:ascii="Times New Roman" w:hAnsi="Times New Roman"/>
          <w:noProof/>
          <w:sz w:val="24"/>
        </w:rPr>
        <w:t>ch dessutom hjälpa irreguljära migranter assisterade att återvända.</w:t>
      </w:r>
    </w:p>
    <w:p w:rsidR="00F36D91" w:rsidRDefault="00C6414A">
      <w:pPr>
        <w:autoSpaceDE w:val="0"/>
        <w:autoSpaceDN w:val="0"/>
        <w:adjustRightInd w:val="0"/>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För det tredje kommer migration att bli ett särskilt inslag i insatser som vidtas inom för </w:t>
      </w:r>
      <w:r>
        <w:rPr>
          <w:rFonts w:ascii="Times New Roman" w:hAnsi="Times New Roman"/>
          <w:b/>
          <w:noProof/>
          <w:sz w:val="24"/>
        </w:rPr>
        <w:t>den gemensamma säkerhets- och försvarspolitiken</w:t>
      </w:r>
      <w:r>
        <w:rPr>
          <w:rFonts w:ascii="Times New Roman" w:hAnsi="Times New Roman"/>
          <w:noProof/>
          <w:sz w:val="24"/>
        </w:rPr>
        <w:t xml:space="preserve"> i Niger och Mali, där gränsförvaltningsaspekten k</w:t>
      </w:r>
      <w:r>
        <w:rPr>
          <w:rFonts w:ascii="Times New Roman" w:hAnsi="Times New Roman"/>
          <w:noProof/>
          <w:sz w:val="24"/>
        </w:rPr>
        <w:t>ommer att förstärkas. I höst kommer ett särskilt toppmöte att anordnas på Malta, med deltagande av nyckelaktörer som Afrikanska unionen, i syfte att utveckla en gemensam regional strategi inriktad på de bakomliggande orsakerna till irreguljär migration, sk</w:t>
      </w:r>
      <w:r>
        <w:rPr>
          <w:rFonts w:ascii="Times New Roman" w:hAnsi="Times New Roman"/>
          <w:noProof/>
          <w:sz w:val="24"/>
        </w:rPr>
        <w:t xml:space="preserve">ydd till människor i nöd samt på människosmuggling och människohandel.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Detta arbete kommer att vara nära kopplat till bredare politiska initiativ för att främja stabiliteten. Särskilt viktigt är det arbete som leds av vice ordföranden/den höga representan</w:t>
      </w:r>
      <w:r>
        <w:rPr>
          <w:rFonts w:ascii="Times New Roman" w:hAnsi="Times New Roman"/>
          <w:noProof/>
          <w:sz w:val="24"/>
        </w:rPr>
        <w:t xml:space="preserve">ten för att tackla situationen i </w:t>
      </w:r>
      <w:r>
        <w:rPr>
          <w:rFonts w:ascii="Times New Roman" w:hAnsi="Times New Roman"/>
          <w:b/>
          <w:noProof/>
          <w:sz w:val="24"/>
        </w:rPr>
        <w:t>Libyen</w:t>
      </w:r>
      <w:r>
        <w:rPr>
          <w:rFonts w:ascii="Times New Roman" w:hAnsi="Times New Roman"/>
          <w:noProof/>
          <w:sz w:val="24"/>
        </w:rPr>
        <w:t xml:space="preserve">, med fullt stöd till den FN-ledda insatsen till förmån för bildandet av en nationell enhetsregering. De fortlöpande insatserna för att bemöta krisen i </w:t>
      </w:r>
      <w:r>
        <w:rPr>
          <w:rFonts w:ascii="Times New Roman" w:hAnsi="Times New Roman"/>
          <w:b/>
          <w:noProof/>
          <w:sz w:val="24"/>
        </w:rPr>
        <w:t>Syrien</w:t>
      </w:r>
      <w:r>
        <w:rPr>
          <w:rFonts w:ascii="Times New Roman" w:hAnsi="Times New Roman"/>
          <w:noProof/>
          <w:sz w:val="24"/>
        </w:rPr>
        <w:t xml:space="preserve"> har åtföljts av 3,6 miljarder euro i humanitärt bistånd, s</w:t>
      </w:r>
      <w:r>
        <w:rPr>
          <w:rFonts w:ascii="Times New Roman" w:hAnsi="Times New Roman"/>
          <w:noProof/>
          <w:sz w:val="24"/>
        </w:rPr>
        <w:t>tabiliseringsbistånd och utvecklingsbistånd i Syrien och hjälp till syriska flyktingar i länder som Libanon, Jordanien, Turkiet och Irak. Dessa är bara några av de mest uppenbara politiska kriser som på djupet kommer att påverka migrationen till EU under d</w:t>
      </w:r>
      <w:r>
        <w:rPr>
          <w:rFonts w:ascii="Times New Roman" w:hAnsi="Times New Roman"/>
          <w:noProof/>
          <w:sz w:val="24"/>
        </w:rPr>
        <w:t xml:space="preserve">e kommande månaderna. Särskild uppmärksamhet kommer också att ägnas länderna inom östra partnerskapet, på västra Balkan och i Asien för att främja befintliga samarbetsramar. </w:t>
      </w:r>
    </w:p>
    <w:p w:rsidR="00F36D91" w:rsidRDefault="00F36D91">
      <w:pPr>
        <w:spacing w:before="120" w:after="0" w:line="240" w:lineRule="auto"/>
        <w:contextualSpacing/>
        <w:jc w:val="both"/>
        <w:rPr>
          <w:rFonts w:ascii="Times New Roman" w:hAnsi="Times New Roman" w:cs="Times New Roman"/>
          <w:noProof/>
          <w:sz w:val="24"/>
          <w:szCs w:val="24"/>
        </w:rPr>
      </w:pPr>
    </w:p>
    <w:p w:rsidR="00F36D91" w:rsidRDefault="00C6414A">
      <w:pPr>
        <w:spacing w:before="120" w:after="0" w:line="240" w:lineRule="auto"/>
        <w:contextualSpacing/>
        <w:jc w:val="both"/>
        <w:rPr>
          <w:rFonts w:ascii="Times New Roman" w:hAnsi="Times New Roman" w:cs="Times New Roman"/>
          <w:i/>
          <w:noProof/>
          <w:sz w:val="24"/>
          <w:szCs w:val="24"/>
        </w:rPr>
      </w:pPr>
      <w:r>
        <w:rPr>
          <w:rFonts w:ascii="Times New Roman" w:hAnsi="Times New Roman"/>
          <w:i/>
          <w:noProof/>
          <w:sz w:val="24"/>
        </w:rPr>
        <w:t xml:space="preserve">Användning av EU:s verktyg till stöd för medlemsstaterna vid de berörda </w:t>
      </w:r>
      <w:r>
        <w:rPr>
          <w:rFonts w:ascii="Times New Roman" w:hAnsi="Times New Roman"/>
          <w:i/>
          <w:noProof/>
          <w:sz w:val="24"/>
        </w:rPr>
        <w:t>gränssträckorna</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Ytterligare insatser kommer att göras för att tackla de omedelbara svårigheter som medlemsstaterna vid de berörda gränssträckorna drabbas av när migranterna anländer.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För det första kommer kommissionen att inrätta en ny akutstrategi, som i</w:t>
      </w:r>
      <w:r>
        <w:rPr>
          <w:rFonts w:ascii="Times New Roman" w:hAnsi="Times New Roman"/>
          <w:noProof/>
          <w:sz w:val="24"/>
        </w:rPr>
        <w:t>nnebär att Europeiska stödkontoret för asylfrågor, Frontex och Europol kommer att samarbeta på fältet med medlemsstaterna vid de berörda gränssträckorna, för att snabbt identifiera, registrera och ta fingeravtryck av migranter. De tre organen kommer att ko</w:t>
      </w:r>
      <w:r>
        <w:rPr>
          <w:rFonts w:ascii="Times New Roman" w:hAnsi="Times New Roman"/>
          <w:noProof/>
          <w:sz w:val="24"/>
        </w:rPr>
        <w:t>mplettera varandra i sitt arbete. De asylsökande kommer omedelbart att slussas in i ett asylförfarande. Medan det pågår kommer stödkontorets stödgrupper att arbeta med att handlägga asylärenden så skyndsamt som möjligt. Vad gäller personer utan skyddsbehov</w:t>
      </w:r>
      <w:r>
        <w:rPr>
          <w:rFonts w:ascii="Times New Roman" w:hAnsi="Times New Roman"/>
          <w:noProof/>
          <w:sz w:val="24"/>
        </w:rPr>
        <w:t>, kommer Frontex att bistå medlemsstaterna genom att samordna de irreguljära migranternas återvändande. Europol och Eurojust kommer att hjälpa värdmedlemsstaten med att utreda och spränga nätverk för människosmuggling och människohandel.</w:t>
      </w:r>
    </w:p>
    <w:p w:rsidR="00F36D91" w:rsidRDefault="00C6414A">
      <w:pPr>
        <w:spacing w:before="120" w:after="0" w:line="240" w:lineRule="auto"/>
        <w:jc w:val="both"/>
        <w:rPr>
          <w:rFonts w:ascii="Times New Roman" w:hAnsi="Times New Roman"/>
          <w:noProof/>
          <w:sz w:val="24"/>
          <w:szCs w:val="24"/>
        </w:rPr>
      </w:pPr>
      <w:r>
        <w:rPr>
          <w:rFonts w:ascii="Times New Roman" w:hAnsi="Times New Roman"/>
          <w:noProof/>
          <w:sz w:val="24"/>
        </w:rPr>
        <w:t>Kommissionen komme</w:t>
      </w:r>
      <w:r>
        <w:rPr>
          <w:rFonts w:ascii="Times New Roman" w:hAnsi="Times New Roman"/>
          <w:noProof/>
          <w:sz w:val="24"/>
        </w:rPr>
        <w:t xml:space="preserve">r att bidra med ytterligare 60 miljoner euro i </w:t>
      </w:r>
      <w:r>
        <w:rPr>
          <w:rFonts w:ascii="Times New Roman" w:hAnsi="Times New Roman"/>
          <w:b/>
          <w:noProof/>
          <w:sz w:val="24"/>
        </w:rPr>
        <w:t>akutfinansiering</w:t>
      </w:r>
      <w:r>
        <w:rPr>
          <w:rFonts w:ascii="Times New Roman" w:hAnsi="Times New Roman"/>
          <w:noProof/>
          <w:sz w:val="24"/>
        </w:rPr>
        <w:t>, inbegripet stöd till mottagande och tillräcklig kapacitet att erbjuda migranter hälso- och sjukvård i de medlemsstater som står under särskilt tryck</w:t>
      </w:r>
      <w:r>
        <w:rPr>
          <w:noProof/>
          <w:vertAlign w:val="superscript"/>
        </w:rPr>
        <w:footnoteReference w:id="12"/>
      </w:r>
      <w:r>
        <w:rPr>
          <w:rFonts w:ascii="Times New Roman" w:hAnsi="Times New Roman"/>
          <w:noProof/>
          <w:sz w:val="24"/>
        </w:rPr>
        <w:t xml:space="preserve">. En bedömning av behoven pågår. </w:t>
      </w:r>
    </w:p>
    <w:p w:rsidR="00F36D91" w:rsidRDefault="00F36D91">
      <w:pPr>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3"/>
        <w:gridCol w:w="7595"/>
      </w:tblGrid>
      <w:tr w:rsidR="00F36D91">
        <w:trPr>
          <w:trHeight w:val="425"/>
        </w:trPr>
        <w:tc>
          <w:tcPr>
            <w:tcW w:w="1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6D91" w:rsidRDefault="00C6414A">
            <w:pPr>
              <w:jc w:val="center"/>
              <w:rPr>
                <w:rFonts w:ascii="Times New Roman" w:hAnsi="Times New Roman" w:cs="Times New Roman"/>
                <w:b/>
                <w:i/>
                <w:noProof/>
                <w:sz w:val="20"/>
                <w:szCs w:val="20"/>
              </w:rPr>
            </w:pPr>
            <w:r>
              <w:rPr>
                <w:rFonts w:ascii="Times New Roman" w:hAnsi="Times New Roman"/>
                <w:b/>
                <w:i/>
                <w:noProof/>
                <w:sz w:val="20"/>
              </w:rPr>
              <w:t>Nyckelå</w:t>
            </w:r>
            <w:r>
              <w:rPr>
                <w:rFonts w:ascii="Times New Roman" w:hAnsi="Times New Roman"/>
                <w:b/>
                <w:i/>
                <w:noProof/>
                <w:sz w:val="20"/>
              </w:rPr>
              <w:t>tgärder</w:t>
            </w:r>
          </w:p>
        </w:tc>
        <w:tc>
          <w:tcPr>
            <w:tcW w:w="7595" w:type="dxa"/>
            <w:tcBorders>
              <w:top w:val="single" w:sz="4" w:space="0" w:color="auto"/>
              <w:left w:val="single" w:sz="4" w:space="0" w:color="auto"/>
              <w:bottom w:val="single" w:sz="4" w:space="0" w:color="auto"/>
              <w:right w:val="single" w:sz="4" w:space="0" w:color="auto"/>
            </w:tcBorders>
            <w:hideMark/>
          </w:tcPr>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Ett finansieringspaket för ett trefaldigat anslag till Triton och Poseidon under 2015–2016 och för finansiering av ett EU-övergripande vidarebosättningsprogram.</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Omedelbart stöd till ett eventuellt GSFP-uppdrag mot smuggling av migranter.</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Ett lagför</w:t>
            </w:r>
            <w:r>
              <w:rPr>
                <w:rFonts w:ascii="Times New Roman" w:hAnsi="Times New Roman"/>
                <w:noProof/>
                <w:sz w:val="20"/>
              </w:rPr>
              <w:t>slag om att aktivera de nödåtgärder som avses i artikel 78.3 i EUF-fördraget i slutet av maj, med utgångspunkt i den fördelningsnyckel som återfinns i bilagan.</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 xml:space="preserve">Ett förslag till ett permanent gemensamt EU-system för omplacering i samband med nödsituationer </w:t>
            </w:r>
            <w:r>
              <w:rPr>
                <w:rFonts w:ascii="Times New Roman" w:hAnsi="Times New Roman"/>
                <w:noProof/>
                <w:sz w:val="20"/>
              </w:rPr>
              <w:t>i slutet av 2015.</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En rekommendation om ett gemenskapsprogram för vidarebosättning i slutet av maj kan om så krävs åtföljas av ett förslag till en mer permanent strategi efter 2016.</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30 miljoner euro till regionala utvecklings- och skyddsprogram.</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 xml:space="preserve">Inrättande </w:t>
            </w:r>
            <w:r>
              <w:rPr>
                <w:rFonts w:ascii="Times New Roman" w:hAnsi="Times New Roman"/>
                <w:noProof/>
                <w:sz w:val="20"/>
              </w:rPr>
              <w:t>av ett multifunktionellt pilotcentrun i Niger senast i slutet av 2015.</w:t>
            </w:r>
          </w:p>
        </w:tc>
      </w:tr>
    </w:tbl>
    <w:p w:rsidR="00F36D91" w:rsidRDefault="00F36D91">
      <w:pPr>
        <w:autoSpaceDE w:val="0"/>
        <w:autoSpaceDN w:val="0"/>
        <w:adjustRightInd w:val="0"/>
        <w:spacing w:before="120" w:after="0" w:line="240" w:lineRule="auto"/>
        <w:jc w:val="both"/>
        <w:rPr>
          <w:rFonts w:ascii="Times New Roman" w:eastAsia="Calibri" w:hAnsi="Times New Roman" w:cs="Times New Roman"/>
          <w:noProof/>
          <w:sz w:val="24"/>
          <w:szCs w:val="24"/>
        </w:rPr>
      </w:pPr>
    </w:p>
    <w:p w:rsidR="00F36D91" w:rsidRDefault="00C6414A">
      <w:pPr>
        <w:tabs>
          <w:tab w:val="left" w:pos="6750"/>
        </w:tabs>
        <w:spacing w:line="240" w:lineRule="auto"/>
        <w:rPr>
          <w:rFonts w:ascii="Times New Roman" w:hAnsi="Times New Roman" w:cs="Times New Roman"/>
          <w:b/>
          <w:noProof/>
          <w:sz w:val="32"/>
          <w:szCs w:val="32"/>
          <w:u w:val="single"/>
        </w:rPr>
      </w:pPr>
      <w:r>
        <w:rPr>
          <w:rFonts w:ascii="Times New Roman" w:hAnsi="Times New Roman"/>
          <w:b/>
          <w:noProof/>
          <w:sz w:val="32"/>
        </w:rPr>
        <w:t xml:space="preserve">III. </w:t>
      </w:r>
      <w:r>
        <w:rPr>
          <w:rFonts w:ascii="Times New Roman" w:hAnsi="Times New Roman"/>
          <w:b/>
          <w:noProof/>
          <w:sz w:val="32"/>
          <w:u w:val="single"/>
        </w:rPr>
        <w:t>Fyra pelare för bättre migrationsförvaltning</w:t>
      </w:r>
    </w:p>
    <w:p w:rsidR="00F36D91" w:rsidRDefault="00C6414A">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 xml:space="preserve">Flyktingkrisen i Medelhavsområdet har riktat sökljuset mot flera omedelbara behov. Men den har också avslöjat mycket om de </w:t>
      </w:r>
      <w:r>
        <w:rPr>
          <w:rFonts w:ascii="Times New Roman" w:eastAsiaTheme="minorHAnsi" w:hAnsi="Times New Roman"/>
          <w:noProof/>
          <w:sz w:val="24"/>
        </w:rPr>
        <w:t>strukturella begränsningar som utmärker EU:s migrationspolitik och de verktyg som står till förfogande.  Detta är en möjlighet för EU att finna rätt balans i migrationspolitiken och sända ett tydligt budskap till allmänheten om att migration kan hanteras b</w:t>
      </w:r>
      <w:r>
        <w:rPr>
          <w:rFonts w:ascii="Times New Roman" w:eastAsiaTheme="minorHAnsi" w:hAnsi="Times New Roman"/>
          <w:noProof/>
          <w:sz w:val="24"/>
        </w:rPr>
        <w:t>ättre av alla EU-aktörer tillsammans.</w:t>
      </w:r>
    </w:p>
    <w:p w:rsidR="00F36D91" w:rsidRDefault="00C6414A">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I sina politiska riktlinjer har kommissionens ordförande Jean Claude Juncker klargjort att krafttag mot irreguljär migration, människohandlare och människosmugglare i kombination med arbetet för att säkra Europas yttre</w:t>
      </w:r>
      <w:r>
        <w:rPr>
          <w:rFonts w:ascii="Times New Roman" w:eastAsiaTheme="minorHAnsi" w:hAnsi="Times New Roman"/>
          <w:noProof/>
          <w:sz w:val="24"/>
        </w:rPr>
        <w:t xml:space="preserve"> gränser måste gå hand i hand med en stark gemensam asylpolitik och en ny EU-politik för reguljär migration. Naturligtvis kräver detta en större konsekvens mellan olika politikområden, såsom utvecklingssamarbete, handel, sysselsättning, utrikes- och inrike</w:t>
      </w:r>
      <w:r>
        <w:rPr>
          <w:rFonts w:ascii="Times New Roman" w:eastAsiaTheme="minorHAnsi" w:hAnsi="Times New Roman"/>
          <w:noProof/>
          <w:sz w:val="24"/>
        </w:rPr>
        <w:t>s frågor.</w:t>
      </w:r>
    </w:p>
    <w:p w:rsidR="00F36D91" w:rsidRDefault="00C6414A">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Tydliga och väl genomförda bestämmelser om laglig inresa i EU (både genom ett effektivt asylsystem och ett viseringssystem) kommer att minska incitamenten för olaglig vistelse och inresa samt bidra till ökad säkerhet vid EU:s gränser och för migr</w:t>
      </w:r>
      <w:r>
        <w:rPr>
          <w:rFonts w:ascii="Times New Roman" w:eastAsiaTheme="minorHAnsi" w:hAnsi="Times New Roman"/>
          <w:noProof/>
          <w:sz w:val="24"/>
        </w:rPr>
        <w:t>anterna.</w:t>
      </w:r>
    </w:p>
    <w:p w:rsidR="00F36D91" w:rsidRDefault="00C6414A">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De som behöver skydd måste fortsatt kunna få det i EU. Man måste också erkänna att de färdigheter som krävs för att skapa en livskraftig ekonomi inte alltid omedelbart kan uppbådas på EU:s arbetsmarknad eller kommer att ta tid att utveckla. Migran</w:t>
      </w:r>
      <w:r>
        <w:rPr>
          <w:rFonts w:ascii="Times New Roman" w:eastAsiaTheme="minorHAnsi" w:hAnsi="Times New Roman"/>
          <w:noProof/>
          <w:sz w:val="24"/>
        </w:rPr>
        <w:t>ter som har rest in lagligt i medlemsstaterna bör inte mötas av ovilja och hinder – de bör få all nödvändig hjälp att integreras i sina nya samhällen. Detta bör ses som ett centralt inslag i de värderingar som vi européer har anledning att vara stolta över</w:t>
      </w:r>
      <w:r>
        <w:rPr>
          <w:rFonts w:ascii="Times New Roman" w:eastAsiaTheme="minorHAnsi" w:hAnsi="Times New Roman"/>
          <w:noProof/>
          <w:sz w:val="24"/>
        </w:rPr>
        <w:t xml:space="preserve"> och som bör spridas till dem i världen som samarbetar med oss.</w:t>
      </w:r>
    </w:p>
    <w:p w:rsidR="00F36D91" w:rsidRDefault="00C6414A">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Men på samma sätt måste EU ta konsekvenserna när migranterna inte uppfyller kriterierna för att få stanna. Asylsökande som fått avslag på sin ansökan och som undviker att återvändanda, persone</w:t>
      </w:r>
      <w:r>
        <w:rPr>
          <w:rFonts w:ascii="Times New Roman" w:eastAsiaTheme="minorHAnsi" w:hAnsi="Times New Roman"/>
          <w:noProof/>
          <w:sz w:val="24"/>
        </w:rPr>
        <w:t>r som stannar längre än viseringen tillåter och migranter som permanent uppehåller sig här i strid med bestämmelserna utgör ett allvarligt problem. Detta urholkar tilltron till systemet. Det är ett slagkraftigt argument för dem som vill kritisera eller sti</w:t>
      </w:r>
      <w:r>
        <w:rPr>
          <w:rFonts w:ascii="Times New Roman" w:eastAsiaTheme="minorHAnsi" w:hAnsi="Times New Roman"/>
          <w:noProof/>
          <w:sz w:val="24"/>
        </w:rPr>
        <w:t>gmatisera migration. Det gör det svårare att integrera de migranter som lagligen vistas i EU.</w:t>
      </w:r>
    </w:p>
    <w:p w:rsidR="00F36D91" w:rsidRDefault="00C6414A">
      <w:pPr>
        <w:spacing w:before="120" w:line="240" w:lineRule="auto"/>
        <w:jc w:val="both"/>
        <w:rPr>
          <w:rFonts w:ascii="Times New Roman" w:hAnsi="Times New Roman" w:cs="Times New Roman"/>
          <w:noProof/>
          <w:sz w:val="24"/>
          <w:szCs w:val="24"/>
        </w:rPr>
      </w:pPr>
      <w:r>
        <w:rPr>
          <w:rFonts w:ascii="Times New Roman" w:eastAsiaTheme="minorHAnsi" w:hAnsi="Times New Roman"/>
          <w:noProof/>
          <w:sz w:val="24"/>
        </w:rPr>
        <w:t>EU måste fortsatt engagera människor utanför sina gränser och stärka samarbetet med sina internationella partner, angripa bakomliggande orsaker och främja villkor</w:t>
      </w:r>
      <w:r>
        <w:rPr>
          <w:rFonts w:ascii="Times New Roman" w:eastAsiaTheme="minorHAnsi" w:hAnsi="Times New Roman"/>
          <w:noProof/>
          <w:sz w:val="24"/>
        </w:rPr>
        <w:t>en för laglig migration för att gynna cirkulär tillväxt och utveckling i både ursprungs- och destinationsländerna. Dessa frågor kommer att tas upp till fördjupad diskussion inom ramen för den strategiska översyn som inletts av vice ordföranden/den höga rep</w:t>
      </w:r>
      <w:r>
        <w:rPr>
          <w:rFonts w:ascii="Times New Roman" w:eastAsiaTheme="minorHAnsi" w:hAnsi="Times New Roman"/>
          <w:noProof/>
          <w:sz w:val="24"/>
        </w:rPr>
        <w:t>resentanten för att kunna bedöma effekterna av förändringar i världsläget. Den kommande översynen av den europeiska grannskapspolitiken syftar också till att lägga fram förslag i nära partnerskap med våra granländer för ett mer fokuserat samarbete om frågo</w:t>
      </w:r>
      <w:r>
        <w:rPr>
          <w:rFonts w:ascii="Times New Roman" w:eastAsiaTheme="minorHAnsi" w:hAnsi="Times New Roman"/>
          <w:noProof/>
          <w:sz w:val="24"/>
        </w:rPr>
        <w:t>r av gemensamt intresse, däribland migration.</w:t>
      </w:r>
    </w:p>
    <w:p w:rsidR="00F36D91" w:rsidRDefault="00C6414A">
      <w:pPr>
        <w:spacing w:line="240" w:lineRule="auto"/>
        <w:jc w:val="both"/>
        <w:rPr>
          <w:rFonts w:ascii="Times New Roman" w:eastAsiaTheme="minorHAnsi" w:hAnsi="Times New Roman" w:cs="Times New Roman"/>
          <w:noProof/>
          <w:sz w:val="24"/>
          <w:szCs w:val="24"/>
        </w:rPr>
      </w:pPr>
      <w:r>
        <w:rPr>
          <w:rFonts w:ascii="Times New Roman" w:eastAsiaTheme="minorHAnsi" w:hAnsi="Times New Roman"/>
          <w:noProof/>
          <w:sz w:val="24"/>
        </w:rPr>
        <w:t>Migrationsagendan omfattar fyra åtgärdsnivåer för en rättvis, stabil och realistisk migrationspolitik inom EU. När de genomförts kommer de att ge EU en migrationspolitik som respekterar rätten att söka asyl, är</w:t>
      </w:r>
      <w:r>
        <w:rPr>
          <w:rFonts w:ascii="Times New Roman" w:eastAsiaTheme="minorHAnsi" w:hAnsi="Times New Roman"/>
          <w:noProof/>
          <w:sz w:val="24"/>
        </w:rPr>
        <w:t xml:space="preserve"> ett svar på de humanitära utmaningarna, ger en tydlig europeisk ram för en gemensam migrationspolitik och håller måttet på lång sikt.</w:t>
      </w:r>
      <w:r>
        <w:rPr>
          <w:rStyle w:val="FootnoteReference"/>
          <w:rFonts w:ascii="Times New Roman" w:eastAsiaTheme="minorHAnsi" w:hAnsi="Times New Roman"/>
          <w:noProof/>
          <w:sz w:val="24"/>
        </w:rPr>
        <w:footnoteReference w:id="13"/>
      </w:r>
    </w:p>
    <w:p w:rsidR="00F36D91" w:rsidRDefault="00C6414A">
      <w:pPr>
        <w:spacing w:before="120" w:after="0" w:line="240" w:lineRule="auto"/>
        <w:ind w:left="720" w:hanging="720"/>
        <w:contextualSpacing/>
        <w:jc w:val="both"/>
        <w:rPr>
          <w:rFonts w:ascii="Times New Roman" w:hAnsi="Times New Roman" w:cs="Times New Roman"/>
          <w:b/>
          <w:noProof/>
          <w:sz w:val="28"/>
          <w:szCs w:val="28"/>
        </w:rPr>
      </w:pPr>
      <w:r>
        <w:rPr>
          <w:rFonts w:ascii="Times New Roman" w:hAnsi="Times New Roman"/>
          <w:noProof/>
          <w:sz w:val="24"/>
        </w:rPr>
        <w:t xml:space="preserve"> </w:t>
      </w:r>
      <w:r>
        <w:rPr>
          <w:rFonts w:ascii="Times New Roman" w:hAnsi="Times New Roman"/>
          <w:b/>
          <w:noProof/>
          <w:sz w:val="28"/>
        </w:rPr>
        <w:t xml:space="preserve">III.1 </w:t>
      </w:r>
      <w:r>
        <w:rPr>
          <w:noProof/>
        </w:rPr>
        <w:tab/>
      </w:r>
      <w:r>
        <w:rPr>
          <w:rFonts w:ascii="Times New Roman" w:hAnsi="Times New Roman"/>
          <w:b/>
          <w:noProof/>
          <w:sz w:val="28"/>
        </w:rPr>
        <w:t>Minska incitamenten till irreguljär migration</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Det finns många olika drivkrafter bakom irreguljär migration, men </w:t>
      </w:r>
      <w:r>
        <w:rPr>
          <w:rFonts w:ascii="Times New Roman" w:hAnsi="Times New Roman"/>
          <w:noProof/>
          <w:sz w:val="24"/>
        </w:rPr>
        <w:t>ofta slutar det i djup besvikelse. Inte sällan är resan betydligt farligare än väntat och företas ofta i händerna på kriminella nätverk som sätter vinsten framför människoliv. De som får avslag på sin asylansökan tvingas ställa in sig på en återresa. De so</w:t>
      </w:r>
      <w:r>
        <w:rPr>
          <w:rFonts w:ascii="Times New Roman" w:hAnsi="Times New Roman"/>
          <w:noProof/>
          <w:sz w:val="24"/>
        </w:rPr>
        <w:t>m vistas olagligt i EU får en otrygg tillvaro och faller lätt offer för exploatering. Det ligger i allas intresse att angripa de bakomliggande orsaker som får folk att se sig om efter ett liv på annat håll, att slå till mot människosmugglare och människoha</w:t>
      </w:r>
      <w:r>
        <w:rPr>
          <w:rFonts w:ascii="Times New Roman" w:hAnsi="Times New Roman"/>
          <w:noProof/>
          <w:sz w:val="24"/>
        </w:rPr>
        <w:t>ndlare och att ge tydlighet och förutsägbarhet i återvändandepolitiken.</w:t>
      </w:r>
    </w:p>
    <w:p w:rsidR="00F36D91" w:rsidRDefault="00C6414A">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Att angripa de bakomliggande orsaker som framtvingar irreguljär migration eller fördrivning i tredjeländer</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Många av de bakomliggande orsakerna till migration är nära förknippade med globala frågor som EU i många år har försökt bidra till att lösa. Migration bör erkännas som ett av de främsta områdena där det är av direkt betydelse för allmänheten att EU för en </w:t>
      </w:r>
      <w:r>
        <w:rPr>
          <w:rFonts w:ascii="Times New Roman" w:hAnsi="Times New Roman"/>
          <w:noProof/>
          <w:sz w:val="24"/>
        </w:rPr>
        <w:t xml:space="preserve">aktiv och engagerad utrikespolitik. Inbördeskrig, förföljelse och klimatförändringar leder direkt och omedelbart till migration, varför försök att förebygga och minska dessa hot är av största vikt för migrationsdebatten.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Partnerskap med ursprungs- och tr</w:t>
      </w:r>
      <w:r>
        <w:rPr>
          <w:rFonts w:ascii="Times New Roman" w:hAnsi="Times New Roman"/>
          <w:noProof/>
          <w:sz w:val="24"/>
        </w:rPr>
        <w:t>ansitländerna är av avgörande betydelse, och det finns redan en rad fastställda bilaterala och regionala ramar för migrationssamarbete på plats</w:t>
      </w:r>
      <w:r>
        <w:rPr>
          <w:rStyle w:val="FootnoteReference"/>
          <w:rFonts w:ascii="Times New Roman" w:hAnsi="Times New Roman"/>
          <w:noProof/>
          <w:sz w:val="24"/>
        </w:rPr>
        <w:footnoteReference w:id="14"/>
      </w:r>
      <w:r>
        <w:rPr>
          <w:rFonts w:ascii="Times New Roman" w:hAnsi="Times New Roman"/>
          <w:noProof/>
          <w:sz w:val="24"/>
        </w:rPr>
        <w:t xml:space="preserve">. Dessa kommer att utökas genom att </w:t>
      </w:r>
      <w:r>
        <w:rPr>
          <w:rFonts w:ascii="Times New Roman" w:hAnsi="Times New Roman"/>
          <w:b/>
          <w:noProof/>
          <w:sz w:val="24"/>
        </w:rPr>
        <w:t>EU:s delegationer</w:t>
      </w:r>
      <w:r>
        <w:rPr>
          <w:rFonts w:ascii="Times New Roman" w:hAnsi="Times New Roman"/>
          <w:noProof/>
          <w:sz w:val="24"/>
        </w:rPr>
        <w:t xml:space="preserve"> i nyckelländer ges ett ökat inflytande över migrationen. D</w:t>
      </w:r>
      <w:r>
        <w:rPr>
          <w:rFonts w:ascii="Times New Roman" w:hAnsi="Times New Roman"/>
          <w:noProof/>
          <w:sz w:val="24"/>
        </w:rPr>
        <w:t xml:space="preserve">elegationerna kommer i synnerhet att rapportera om migrationsutvecklingen generellt i värdländerna, bidra till att integrera migrationsfrågor i utvecklingssamarbetet och nå ut till mottagarländerna så att insatserna kan samordnas. </w:t>
      </w:r>
      <w:r>
        <w:rPr>
          <w:rFonts w:ascii="Times New Roman" w:hAnsi="Times New Roman"/>
          <w:b/>
          <w:noProof/>
          <w:sz w:val="24"/>
        </w:rPr>
        <w:t>Europeiska sambandsmän fö</w:t>
      </w:r>
      <w:r>
        <w:rPr>
          <w:rFonts w:ascii="Times New Roman" w:hAnsi="Times New Roman"/>
          <w:b/>
          <w:noProof/>
          <w:sz w:val="24"/>
        </w:rPr>
        <w:t>r migration</w:t>
      </w:r>
      <w:r>
        <w:rPr>
          <w:rFonts w:ascii="Times New Roman" w:hAnsi="Times New Roman"/>
          <w:noProof/>
          <w:sz w:val="24"/>
        </w:rPr>
        <w:t xml:space="preserve"> kommer att utstationeras till EU-delegationer i viktiga tredjeländer, i nära samarbete med nätverket för sambandsmän för invandring</w:t>
      </w:r>
      <w:r>
        <w:rPr>
          <w:rStyle w:val="FootnoteReference"/>
          <w:rFonts w:ascii="Times New Roman" w:hAnsi="Times New Roman"/>
          <w:noProof/>
          <w:sz w:val="24"/>
        </w:rPr>
        <w:footnoteReference w:id="15"/>
      </w:r>
      <w:r>
        <w:rPr>
          <w:rFonts w:ascii="Times New Roman" w:hAnsi="Times New Roman"/>
          <w:noProof/>
          <w:sz w:val="24"/>
        </w:rPr>
        <w:t xml:space="preserve"> och med lokala myndigheter och det civila samhället, i syfte att samla in, utbyta och analysera information.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Turkiet är ett belysande exempel på att det kan finns mycket att vinna på ett fördjupat samarbete. Sedan början av 2014 har Turkiet tagit emot 79 miljoner euro som ett bidrag till landets insatser för att hantera trycket mot sitt system för flyktingmottagn</w:t>
      </w:r>
      <w:r>
        <w:rPr>
          <w:rFonts w:ascii="Times New Roman" w:hAnsi="Times New Roman"/>
          <w:noProof/>
          <w:sz w:val="24"/>
        </w:rPr>
        <w:t>ing och till att förhindra farliga resor i östra Medelhavet. Utsändandet av en särskild sambandsman från Frontex till Turkiet kommer att föra samarbetet ett steg längre.</w:t>
      </w:r>
    </w:p>
    <w:p w:rsidR="00F36D91" w:rsidRDefault="00C6414A">
      <w:pPr>
        <w:autoSpaceDE w:val="0"/>
        <w:autoSpaceDN w:val="0"/>
        <w:adjustRightInd w:val="0"/>
        <w:spacing w:before="120" w:after="0" w:line="240" w:lineRule="auto"/>
        <w:jc w:val="both"/>
        <w:rPr>
          <w:rFonts w:ascii="Times New Roman" w:hAnsi="Times New Roman"/>
          <w:iCs/>
          <w:noProof/>
          <w:sz w:val="24"/>
          <w:szCs w:val="24"/>
        </w:rPr>
      </w:pPr>
      <w:r>
        <w:rPr>
          <w:rFonts w:ascii="Times New Roman" w:hAnsi="Times New Roman"/>
          <w:noProof/>
          <w:sz w:val="24"/>
        </w:rPr>
        <w:t xml:space="preserve">Med ett budgetanslag på 96,8 miljarder euro för perioden 2014–2020 spelar </w:t>
      </w:r>
      <w:r>
        <w:rPr>
          <w:rFonts w:ascii="Times New Roman" w:hAnsi="Times New Roman"/>
          <w:b/>
          <w:noProof/>
          <w:sz w:val="24"/>
        </w:rPr>
        <w:t>EU:s stöd ti</w:t>
      </w:r>
      <w:r>
        <w:rPr>
          <w:rFonts w:ascii="Times New Roman" w:hAnsi="Times New Roman"/>
          <w:b/>
          <w:noProof/>
          <w:sz w:val="24"/>
        </w:rPr>
        <w:t>ll yttre samarbete</w:t>
      </w:r>
      <w:r>
        <w:rPr>
          <w:rFonts w:ascii="Times New Roman" w:hAnsi="Times New Roman"/>
          <w:noProof/>
          <w:sz w:val="24"/>
        </w:rPr>
        <w:t>, och i synnerhet utvecklingssamarbete, en viktig roll när det gäller att tackla globala frågor som fattigdom, osäkerhet, ojämlikhet och arbetslöshet, vilka är bland de främsta bakomliggande orsakerna till irreguljär och ofrivillig migrat</w:t>
      </w:r>
      <w:r>
        <w:rPr>
          <w:rFonts w:ascii="Times New Roman" w:hAnsi="Times New Roman"/>
          <w:noProof/>
          <w:sz w:val="24"/>
        </w:rPr>
        <w:t>ion. Detta inbegriper stöd i regioner i Afrika, Asien och Östeuropa, där de flesta migranter som når Europa har sitt ursprung.</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Samtidigt som EU angriper de långsiktiga bakomliggande orsakerna lämnas också bidrag för att mildra effekterna av kriser på lokal</w:t>
      </w:r>
      <w:r>
        <w:rPr>
          <w:rFonts w:ascii="Times New Roman" w:hAnsi="Times New Roman"/>
          <w:noProof/>
          <w:sz w:val="24"/>
        </w:rPr>
        <w:t xml:space="preserve"> nivå. Detta kommer att kräva en varaktig insats: över 70 % av världens flyktingar och internflyktingar lever som fördrivna i fem år eller längre. Med 200 miljoner euro från utvecklingsbiståndet satsade i pågående projekt och med över 1 miljard euro i huma</w:t>
      </w:r>
      <w:r>
        <w:rPr>
          <w:rFonts w:ascii="Times New Roman" w:hAnsi="Times New Roman"/>
          <w:noProof/>
          <w:sz w:val="24"/>
        </w:rPr>
        <w:t xml:space="preserve">nitärt bistånd till flyktingar och internflyktingar sedan början av 2014 är EU en ledande internationell biståndsgivare för flyktingar. En strategisk reflektion pågår för att maximera effekterna av detta stöd och förväntas ge resultat under 2016. </w:t>
      </w:r>
    </w:p>
    <w:p w:rsidR="00F36D91" w:rsidRDefault="00C6414A">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Kampen m</w:t>
      </w:r>
      <w:r>
        <w:rPr>
          <w:rFonts w:ascii="Times New Roman" w:hAnsi="Times New Roman"/>
          <w:i/>
          <w:noProof/>
          <w:sz w:val="24"/>
        </w:rPr>
        <w:t>ot människosmugglare och människohandlare</w:t>
      </w:r>
    </w:p>
    <w:p w:rsidR="00F36D91" w:rsidRDefault="00C6414A">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Åtgärder för att bekämpa kriminella nätverk som ägnar sig åt människosmuggling och människohandel är först och främst ett sätt att förhindra de kriminella nätverkens exploatering av migranter.</w:t>
      </w:r>
      <w:r>
        <w:rPr>
          <w:rStyle w:val="FootnoteReference"/>
          <w:rFonts w:ascii="Times New Roman" w:hAnsi="Times New Roman"/>
          <w:noProof/>
          <w:sz w:val="24"/>
        </w:rPr>
        <w:footnoteReference w:id="16"/>
      </w:r>
      <w:r>
        <w:rPr>
          <w:rFonts w:ascii="Times New Roman" w:hAnsi="Times New Roman"/>
          <w:noProof/>
          <w:sz w:val="24"/>
        </w:rPr>
        <w:t xml:space="preserve"> Sådana åtgärder skul</w:t>
      </w:r>
      <w:r>
        <w:rPr>
          <w:rFonts w:ascii="Times New Roman" w:hAnsi="Times New Roman"/>
          <w:noProof/>
          <w:sz w:val="24"/>
        </w:rPr>
        <w:t>le också förebygga irreguljär migration. Målet måste vara att omvandla smugglingen från en verksamhet med låg risk och hög avkastning till en med hög risk och låg avkastning. En handlingsplan kommer att läggas fram av kommissionen i slutet av maj.</w:t>
      </w:r>
    </w:p>
    <w:p w:rsidR="00F36D91" w:rsidRDefault="00C6414A">
      <w:pPr>
        <w:spacing w:before="120" w:after="0" w:line="240" w:lineRule="auto"/>
        <w:jc w:val="both"/>
        <w:rPr>
          <w:rFonts w:ascii="Times New Roman" w:hAnsi="Times New Roman" w:cs="Times New Roman"/>
          <w:bCs/>
          <w:noProof/>
          <w:sz w:val="24"/>
          <w:szCs w:val="24"/>
        </w:rPr>
      </w:pPr>
      <w:r>
        <w:rPr>
          <w:b/>
          <w:noProof/>
        </w:rPr>
        <w:t>Samarbet</w:t>
      </w:r>
      <w:r>
        <w:rPr>
          <w:b/>
          <w:noProof/>
        </w:rPr>
        <w:t>et med tredjeländer</w:t>
      </w:r>
      <w:r>
        <w:rPr>
          <w:noProof/>
        </w:rPr>
        <w:t xml:space="preserve"> är av avgörande betydelse.</w:t>
      </w:r>
      <w:r>
        <w:rPr>
          <w:rFonts w:ascii="Times New Roman" w:hAnsi="Times New Roman"/>
          <w:noProof/>
          <w:sz w:val="24"/>
        </w:rPr>
        <w:t xml:space="preserve"> De flesta människosmugglare är inte baserade i Europa, och de som grips ombord på båtar i Medelhavet representerar vanligen den sista länken i kedjan. Samarbete för att slå till mot lokala och internationella </w:t>
      </w:r>
      <w:r>
        <w:rPr>
          <w:rFonts w:ascii="Times New Roman" w:hAnsi="Times New Roman"/>
          <w:noProof/>
          <w:sz w:val="24"/>
        </w:rPr>
        <w:t>kriminella grupper som kontrollerar smugglingsvägar kommer att vara ett viktigt inslag i det intensifierade samarbete som beskrivs ovan.</w:t>
      </w:r>
    </w:p>
    <w:p w:rsidR="00F36D91" w:rsidRDefault="00C6414A">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 xml:space="preserve">EU:s byråer kan också kan hjälpa medlemsstaternas myndigheter att intensifiera sina insatser mot </w:t>
      </w:r>
      <w:r>
        <w:rPr>
          <w:rFonts w:ascii="Times New Roman" w:hAnsi="Times New Roman"/>
          <w:b/>
          <w:noProof/>
          <w:sz w:val="24"/>
        </w:rPr>
        <w:t xml:space="preserve">kriminella </w:t>
      </w:r>
      <w:r>
        <w:rPr>
          <w:rFonts w:ascii="Times New Roman" w:hAnsi="Times New Roman"/>
          <w:b/>
          <w:noProof/>
          <w:sz w:val="24"/>
        </w:rPr>
        <w:t>smugglarnätverk</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 xml:space="preserve">Byråerna hjälper till med att identifiera, utreda och åtala människosmugglare samt frysa och beslagta deras tillgångar. Åtgärden kommer att bygga på omedelbara insatser för att identifiera, beslagta och förstöra fartyg innan de används av </w:t>
      </w:r>
      <w:r>
        <w:rPr>
          <w:rFonts w:ascii="Times New Roman" w:hAnsi="Times New Roman"/>
          <w:noProof/>
          <w:sz w:val="24"/>
        </w:rPr>
        <w:t>kriminella nätverk (se ovan). Förutseende ekonomiska utredningar i syfte att förverka och återvinna tillgångar som härrör från brott, och åtgärder mot penningtvätt kopplad till människosmuggling kommer att erhålla stöd genom ökat samarbete med finansunderr</w:t>
      </w:r>
      <w:r>
        <w:rPr>
          <w:rFonts w:ascii="Times New Roman" w:hAnsi="Times New Roman"/>
          <w:noProof/>
          <w:sz w:val="24"/>
        </w:rPr>
        <w:t>ättelseenheter om penningflöden och nyligen inledda samarbeten med finansinstitut, t.ex. banker, internationella penningöverföringstjänster, och utfärdare av kreditkort. Detta kommer även att bygga på ett förbättrat informationsutbyte inom ramen för den eu</w:t>
      </w:r>
      <w:r>
        <w:rPr>
          <w:rFonts w:ascii="Times New Roman" w:hAnsi="Times New Roman"/>
          <w:noProof/>
          <w:sz w:val="24"/>
        </w:rPr>
        <w:t xml:space="preserve">ropeiska säkerhetsagendan. </w:t>
      </w:r>
    </w:p>
    <w:p w:rsidR="00F36D91" w:rsidRDefault="00C6414A">
      <w:pPr>
        <w:spacing w:before="120" w:after="0" w:line="240" w:lineRule="auto"/>
        <w:jc w:val="both"/>
        <w:rPr>
          <w:noProof/>
        </w:rPr>
      </w:pPr>
      <w:r>
        <w:rPr>
          <w:rFonts w:ascii="Times New Roman" w:hAnsi="Times New Roman"/>
          <w:noProof/>
          <w:sz w:val="24"/>
        </w:rPr>
        <w:t xml:space="preserve">I syfte att stärka de instrument som används av åklagare för att angripa smugglingsnätverk kommer kommissionen att förbättra EU:s befintliga rättsliga ram för att bekämpa </w:t>
      </w:r>
      <w:r>
        <w:rPr>
          <w:rFonts w:ascii="Times New Roman" w:hAnsi="Times New Roman"/>
          <w:b/>
          <w:noProof/>
          <w:sz w:val="24"/>
        </w:rPr>
        <w:t>människosmuggling</w:t>
      </w:r>
      <w:r>
        <w:rPr>
          <w:rFonts w:ascii="Times New Roman" w:hAnsi="Times New Roman"/>
          <w:noProof/>
          <w:sz w:val="24"/>
        </w:rPr>
        <w:t xml:space="preserve"> och dem som tjänar på det.</w:t>
      </w:r>
      <w:r>
        <w:rPr>
          <w:rStyle w:val="FootnoteReference"/>
          <w:rFonts w:ascii="Times New Roman" w:hAnsi="Times New Roman"/>
          <w:noProof/>
          <w:sz w:val="24"/>
        </w:rPr>
        <w:footnoteReference w:id="17"/>
      </w:r>
      <w:r>
        <w:rPr>
          <w:rFonts w:ascii="Times New Roman" w:hAnsi="Times New Roman"/>
          <w:noProof/>
          <w:sz w:val="24"/>
        </w:rPr>
        <w:t xml:space="preserve"> För att vid</w:t>
      </w:r>
      <w:r>
        <w:rPr>
          <w:rFonts w:ascii="Times New Roman" w:hAnsi="Times New Roman"/>
          <w:noProof/>
          <w:sz w:val="24"/>
        </w:rPr>
        <w:t xml:space="preserve">ta särskilda åtgärder mot människohandel och erbjuda offer för människohandel stöd, kommer kommissionen också att komplettera initiativen i den nuvarande strategin mot </w:t>
      </w:r>
      <w:r>
        <w:rPr>
          <w:rFonts w:ascii="Times New Roman" w:hAnsi="Times New Roman"/>
          <w:b/>
          <w:noProof/>
          <w:sz w:val="24"/>
        </w:rPr>
        <w:t>människohandel</w:t>
      </w:r>
      <w:r>
        <w:rPr>
          <w:rFonts w:ascii="Times New Roman" w:hAnsi="Times New Roman"/>
          <w:noProof/>
          <w:sz w:val="24"/>
        </w:rPr>
        <w:t xml:space="preserve"> och undersöka hur arbetet kan förbättras ytterligare under 2016.</w:t>
      </w:r>
      <w:r>
        <w:rPr>
          <w:rStyle w:val="FootnoteReference"/>
          <w:rFonts w:ascii="Times New Roman" w:hAnsi="Times New Roman"/>
          <w:noProof/>
          <w:sz w:val="24"/>
        </w:rPr>
        <w:footnoteReference w:id="18"/>
      </w:r>
      <w:r>
        <w:rPr>
          <w:rFonts w:ascii="Times New Roman" w:hAnsi="Times New Roman"/>
          <w:noProof/>
          <w:sz w:val="24"/>
        </w:rPr>
        <w:t xml:space="preserve"> En anna</w:t>
      </w:r>
      <w:r>
        <w:rPr>
          <w:rFonts w:ascii="Times New Roman" w:hAnsi="Times New Roman"/>
          <w:noProof/>
          <w:sz w:val="24"/>
        </w:rPr>
        <w:t xml:space="preserve">n potentiell källa till utnyttjande är arbetsgivare inom EU: Samtidigt som man främjar bättre integration av lagliga migranter på arbetsmarknaden kommer kommissionen att intensifiera åtgärderna mot olaglig anställning av tredjelandsmedborgare, bland annat </w:t>
      </w:r>
      <w:r>
        <w:rPr>
          <w:rFonts w:ascii="Times New Roman" w:hAnsi="Times New Roman"/>
          <w:noProof/>
          <w:sz w:val="24"/>
        </w:rPr>
        <w:t xml:space="preserve">genom bättre genomförande och tillämpning av </w:t>
      </w:r>
      <w:r>
        <w:rPr>
          <w:rFonts w:ascii="Times New Roman" w:hAnsi="Times New Roman"/>
          <w:b/>
          <w:noProof/>
          <w:sz w:val="24"/>
        </w:rPr>
        <w:t>direktivet om påföljder för arbetsgivare</w:t>
      </w:r>
      <w:r>
        <w:rPr>
          <w:rStyle w:val="FootnoteReference"/>
          <w:rFonts w:ascii="Times New Roman" w:hAnsi="Times New Roman"/>
          <w:noProof/>
          <w:sz w:val="24"/>
        </w:rPr>
        <w:footnoteReference w:id="19"/>
      </w:r>
      <w:r>
        <w:rPr>
          <w:rFonts w:ascii="Times New Roman" w:hAnsi="Times New Roman"/>
          <w:noProof/>
          <w:sz w:val="24"/>
        </w:rPr>
        <w:t>, som förbjuder anställning av tredjelandsmedborgare som inte har rätt att vistas i EU.</w:t>
      </w:r>
      <w:r>
        <w:rPr>
          <w:rFonts w:ascii="Times New Roman" w:hAnsi="Times New Roman"/>
          <w:b/>
          <w:noProof/>
          <w:sz w:val="24"/>
        </w:rPr>
        <w:t xml:space="preserve"> </w:t>
      </w:r>
      <w:r>
        <w:rPr>
          <w:rFonts w:ascii="Times New Roman" w:hAnsi="Times New Roman"/>
          <w:noProof/>
          <w:sz w:val="24"/>
        </w:rPr>
        <w:t>Även överträdelseförfaranden som gäller detta direktiv kommer att prioriteras.</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i/>
          <w:noProof/>
          <w:sz w:val="24"/>
        </w:rPr>
        <w:t>Återvändande</w:t>
      </w:r>
    </w:p>
    <w:p w:rsidR="00F36D91" w:rsidRDefault="00C6414A">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Ett incitament för irreguljär migration är vetskapen om att EU:s system för återvändande – som ska kunna användas för att sända tillbaka irreguljära migranter eller personer vars asylansökningar har avslagits – inte fungerar tillfredsställande</w:t>
      </w:r>
      <w:r>
        <w:rPr>
          <w:rFonts w:ascii="Times New Roman" w:hAnsi="Times New Roman"/>
          <w:noProof/>
          <w:sz w:val="24"/>
        </w:rPr>
        <w:t>. Smugglingsnätverk spelar ofta på det faktum att relativt få beslut om återsändande verkställs – endast 39,2 % av de återsändandebeslut som fattades år 2013 verkställdes.</w:t>
      </w:r>
    </w:p>
    <w:p w:rsidR="00F36D91" w:rsidRDefault="00C6414A">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För att förbättra efterlevnaden, måste vi först se till att tredjeländer uppfyller s</w:t>
      </w:r>
      <w:r>
        <w:rPr>
          <w:rFonts w:ascii="Times New Roman" w:hAnsi="Times New Roman"/>
          <w:noProof/>
          <w:sz w:val="24"/>
        </w:rPr>
        <w:t>ina internationella skyldigheter att återta sina egna medborgare om de vistas olagligt i Europa.</w:t>
      </w:r>
      <w:r>
        <w:rPr>
          <w:rStyle w:val="FootnoteReference"/>
          <w:rFonts w:ascii="Times New Roman" w:hAnsi="Times New Roman"/>
          <w:noProof/>
          <w:sz w:val="24"/>
        </w:rPr>
        <w:footnoteReference w:id="20"/>
      </w:r>
      <w:r>
        <w:rPr>
          <w:rFonts w:ascii="Times New Roman" w:hAnsi="Times New Roman"/>
          <w:noProof/>
          <w:sz w:val="24"/>
        </w:rPr>
        <w:t xml:space="preserve"> EU bör vara redo att använda alla hävstångseffekter och incitament som står till dess förfogande. Det nyligen överenskomna </w:t>
      </w:r>
      <w:r>
        <w:rPr>
          <w:rFonts w:ascii="Times New Roman" w:hAnsi="Times New Roman"/>
          <w:b/>
          <w:noProof/>
          <w:sz w:val="24"/>
        </w:rPr>
        <w:t>pilotprojektet om återvändande</w:t>
      </w:r>
      <w:r>
        <w:rPr>
          <w:rFonts w:ascii="Times New Roman" w:hAnsi="Times New Roman"/>
          <w:noProof/>
          <w:sz w:val="24"/>
        </w:rPr>
        <w:t xml:space="preserve"> till</w:t>
      </w:r>
      <w:r>
        <w:rPr>
          <w:rFonts w:ascii="Times New Roman" w:hAnsi="Times New Roman"/>
          <w:noProof/>
          <w:sz w:val="24"/>
        </w:rPr>
        <w:t xml:space="preserve"> Pakistan och Bangladesh kommer att erbjuda ett viktigt praktiskt exempel på hur man kan gå vidare.</w:t>
      </w:r>
      <w:r>
        <w:rPr>
          <w:rStyle w:val="FootnoteReference"/>
          <w:rFonts w:ascii="Times New Roman" w:hAnsi="Times New Roman"/>
          <w:noProof/>
          <w:sz w:val="24"/>
        </w:rPr>
        <w:footnoteReference w:id="21"/>
      </w:r>
      <w:r>
        <w:rPr>
          <w:rFonts w:ascii="Times New Roman" w:hAnsi="Times New Roman"/>
          <w:noProof/>
          <w:sz w:val="24"/>
        </w:rPr>
        <w:t xml:space="preserve"> </w:t>
      </w:r>
      <w:r>
        <w:rPr>
          <w:noProof/>
        </w:rPr>
        <w:t xml:space="preserve">EU kommer att hjälpa </w:t>
      </w:r>
      <w:r>
        <w:rPr>
          <w:b/>
          <w:noProof/>
        </w:rPr>
        <w:t>tredjeländer att fullgöra sina skyldigheter</w:t>
      </w:r>
      <w:r>
        <w:rPr>
          <w:noProof/>
        </w:rPr>
        <w:t xml:space="preserve"> genom att erbjuda dem stöd till sådant som kapacitetsuppbyggnad för att hantera återvändan</w:t>
      </w:r>
      <w:r>
        <w:rPr>
          <w:noProof/>
        </w:rPr>
        <w:t>den, informationskampanjer och stöd till återanpassningsåtgärder.</w:t>
      </w:r>
      <w:r>
        <w:rPr>
          <w:rFonts w:ascii="Times New Roman" w:hAnsi="Times New Roman"/>
          <w:noProof/>
          <w:sz w:val="24"/>
        </w:rPr>
        <w:t xml:space="preserve"> Kommissionen kommer också att se över sin strategi för återtagandeavtal,</w:t>
      </w:r>
      <w:r>
        <w:rPr>
          <w:rStyle w:val="FootnoteReference"/>
          <w:rFonts w:ascii="Times New Roman" w:hAnsi="Times New Roman"/>
          <w:noProof/>
          <w:sz w:val="24"/>
        </w:rPr>
        <w:footnoteReference w:id="22"/>
      </w:r>
      <w:r>
        <w:rPr>
          <w:rFonts w:ascii="Times New Roman" w:hAnsi="Times New Roman"/>
          <w:noProof/>
          <w:sz w:val="24"/>
        </w:rPr>
        <w:t xml:space="preserve"> och därvid prioritera de irreguljära migranternas viktigaste ursprungsländer. </w:t>
      </w:r>
    </w:p>
    <w:p w:rsidR="00F36D91" w:rsidRDefault="00C6414A">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Parallellt ska medlemsstaterna tilläm</w:t>
      </w:r>
      <w:r>
        <w:rPr>
          <w:rFonts w:ascii="Times New Roman" w:hAnsi="Times New Roman"/>
          <w:noProof/>
          <w:sz w:val="24"/>
        </w:rPr>
        <w:t xml:space="preserve">pa </w:t>
      </w:r>
      <w:r>
        <w:rPr>
          <w:rFonts w:ascii="Times New Roman" w:hAnsi="Times New Roman"/>
          <w:b/>
          <w:noProof/>
          <w:sz w:val="24"/>
        </w:rPr>
        <w:t>återvändandedirektivet</w:t>
      </w:r>
      <w:r>
        <w:rPr>
          <w:rFonts w:ascii="Times New Roman" w:hAnsi="Times New Roman"/>
          <w:noProof/>
          <w:sz w:val="24"/>
        </w:rPr>
        <w:t>.</w:t>
      </w:r>
      <w:r>
        <w:rPr>
          <w:rStyle w:val="FootnoteReference"/>
          <w:rFonts w:ascii="Times New Roman" w:hAnsi="Times New Roman"/>
          <w:noProof/>
          <w:sz w:val="24"/>
        </w:rPr>
        <w:footnoteReference w:id="23"/>
      </w:r>
      <w:r>
        <w:rPr>
          <w:rFonts w:ascii="Times New Roman" w:hAnsi="Times New Roman"/>
          <w:noProof/>
          <w:sz w:val="24"/>
        </w:rPr>
        <w:t xml:space="preserve"> Kommissionen kommer att prioritera uppföljning av direktivets genomförande, med ett snabbare system för återvändande som går hand i hand med respekten för de förfaranden och normer som gör att Europa kan säkerställa en human och</w:t>
      </w:r>
      <w:r>
        <w:rPr>
          <w:rFonts w:ascii="Times New Roman" w:hAnsi="Times New Roman"/>
          <w:noProof/>
          <w:sz w:val="24"/>
        </w:rPr>
        <w:t xml:space="preserve"> värdig behandling av återvändande och en proportionerlig användning av tvångsåtgärder, i överensstämmelse med grundläggande rättigheter och principen om ”non-refoulement”.</w:t>
      </w:r>
      <w:r>
        <w:rPr>
          <w:rStyle w:val="FootnoteReference"/>
          <w:rFonts w:ascii="Times New Roman" w:hAnsi="Times New Roman"/>
          <w:i/>
          <w:noProof/>
          <w:sz w:val="24"/>
        </w:rPr>
        <w:footnoteReference w:id="24"/>
      </w:r>
      <w:r>
        <w:rPr>
          <w:rFonts w:ascii="Times New Roman" w:hAnsi="Times New Roman"/>
          <w:noProof/>
          <w:sz w:val="24"/>
        </w:rPr>
        <w:t xml:space="preserve"> Genomförandet av EU:s regler om återsändande av irreguljära migranter utvärderas n</w:t>
      </w:r>
      <w:r>
        <w:rPr>
          <w:rFonts w:ascii="Times New Roman" w:hAnsi="Times New Roman"/>
          <w:noProof/>
          <w:sz w:val="24"/>
        </w:rPr>
        <w:t>u noggrant inom ramen för Schengens utvärderingsmekanism, och en ”</w:t>
      </w:r>
      <w:r>
        <w:rPr>
          <w:rFonts w:ascii="Times New Roman" w:hAnsi="Times New Roman"/>
          <w:b/>
          <w:noProof/>
          <w:sz w:val="24"/>
        </w:rPr>
        <w:t>Handbok om återsändande</w:t>
      </w:r>
      <w:r>
        <w:rPr>
          <w:rFonts w:ascii="Times New Roman" w:hAnsi="Times New Roman"/>
          <w:noProof/>
          <w:sz w:val="24"/>
        </w:rPr>
        <w:t xml:space="preserve">” kommer att fungera som ett stöd för medlemsstaterna och erbjuda gemensamma riktlinjer, bästa praxis och rekommendationer. </w:t>
      </w:r>
    </w:p>
    <w:p w:rsidR="00F36D91" w:rsidRDefault="00C6414A">
      <w:pPr>
        <w:pStyle w:val="BodyText"/>
        <w:spacing w:before="120" w:after="0" w:line="240" w:lineRule="auto"/>
        <w:jc w:val="both"/>
        <w:rPr>
          <w:rFonts w:ascii="Times New Roman" w:hAnsi="Times New Roman" w:cs="Times New Roman"/>
          <w:bCs/>
          <w:noProof/>
          <w:sz w:val="24"/>
          <w:szCs w:val="24"/>
        </w:rPr>
      </w:pPr>
      <w:r>
        <w:rPr>
          <w:rFonts w:ascii="Times New Roman" w:hAnsi="Times New Roman"/>
          <w:noProof/>
          <w:sz w:val="24"/>
        </w:rPr>
        <w:t>Även om EU har gemensamma regler om återvä</w:t>
      </w:r>
      <w:r>
        <w:rPr>
          <w:rFonts w:ascii="Times New Roman" w:hAnsi="Times New Roman"/>
          <w:noProof/>
          <w:sz w:val="24"/>
        </w:rPr>
        <w:t>ndande, saknas ett effektivt operativt samarbete. För närvarande erbjuder Frontex medlemsstaterna ett betydande stöd, men dess uppdrag måste förstärkas för att öka organets kapacitet att tillhandahålla omfattande operativt stöd.  För närvarande kan Frontex</w:t>
      </w:r>
      <w:r>
        <w:rPr>
          <w:rFonts w:ascii="Times New Roman" w:hAnsi="Times New Roman"/>
          <w:noProof/>
          <w:sz w:val="24"/>
        </w:rPr>
        <w:t xml:space="preserve"> endast samordna återvändanden, men inte självt inleda dem. På grundval av den pågående utvärdering som kommer att avslutas i år kommer kommissionen att föreslå en </w:t>
      </w:r>
      <w:r>
        <w:rPr>
          <w:rFonts w:ascii="Times New Roman" w:hAnsi="Times New Roman"/>
          <w:b/>
          <w:noProof/>
          <w:sz w:val="24"/>
        </w:rPr>
        <w:t>ändring av den rättsliga grunden för Frontex</w:t>
      </w:r>
      <w:r>
        <w:rPr>
          <w:rFonts w:ascii="Times New Roman" w:hAnsi="Times New Roman"/>
          <w:noProof/>
          <w:sz w:val="24"/>
        </w:rPr>
        <w:t xml:space="preserve"> för att stärka dess roll i fråga om återvändand</w:t>
      </w:r>
      <w:r>
        <w:rPr>
          <w:rFonts w:ascii="Times New Roman" w:hAnsi="Times New Roman"/>
          <w:noProof/>
          <w:sz w:val="24"/>
        </w:rPr>
        <w:t>en.</w:t>
      </w:r>
      <w:bookmarkStart w:id="1" w:name="_Ref419122858"/>
      <w:r>
        <w:rPr>
          <w:rStyle w:val="FootnoteReference"/>
          <w:rFonts w:ascii="Times New Roman" w:hAnsi="Times New Roman"/>
          <w:noProof/>
          <w:sz w:val="24"/>
        </w:rPr>
        <w:footnoteReference w:id="25"/>
      </w:r>
      <w:bookmarkEnd w:id="1"/>
      <w:r>
        <w:rPr>
          <w:rFonts w:ascii="Times New Roman" w:hAnsi="Times New Roman"/>
          <w:noProof/>
          <w:sz w:val="24"/>
        </w:rPr>
        <w:t xml:space="preserve"> </w:t>
      </w:r>
    </w:p>
    <w:p w:rsidR="00F36D91" w:rsidRDefault="00F36D91">
      <w:pPr>
        <w:pStyle w:val="BodyText"/>
        <w:spacing w:before="120" w:after="0" w:line="240" w:lineRule="auto"/>
        <w:jc w:val="both"/>
        <w:rPr>
          <w:rFonts w:ascii="Times New Roman" w:hAnsi="Times New Roman" w:cs="Times New Roman"/>
          <w:bCs/>
          <w:noProof/>
          <w:sz w:val="24"/>
          <w:szCs w:val="24"/>
        </w:rPr>
      </w:pPr>
    </w:p>
    <w:tbl>
      <w:tblPr>
        <w:tblStyle w:val="TableGrid"/>
        <w:tblW w:w="0" w:type="auto"/>
        <w:tblLook w:val="04A0" w:firstRow="1" w:lastRow="0" w:firstColumn="1" w:lastColumn="0" w:noHBand="0" w:noVBand="1"/>
      </w:tblPr>
      <w:tblGrid>
        <w:gridCol w:w="1668"/>
        <w:gridCol w:w="7620"/>
      </w:tblGrid>
      <w:tr w:rsidR="00F36D91">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36D91" w:rsidRDefault="00C6414A">
            <w:pPr>
              <w:jc w:val="center"/>
              <w:rPr>
                <w:rFonts w:ascii="Times New Roman" w:hAnsi="Times New Roman" w:cs="Times New Roman"/>
                <w:b/>
                <w:i/>
                <w:noProof/>
                <w:sz w:val="20"/>
                <w:szCs w:val="20"/>
              </w:rPr>
            </w:pPr>
            <w:r>
              <w:rPr>
                <w:rFonts w:ascii="Times New Roman" w:hAnsi="Times New Roman"/>
                <w:b/>
                <w:i/>
                <w:noProof/>
                <w:sz w:val="20"/>
              </w:rPr>
              <w:t>Nyckelåtgärder</w:t>
            </w:r>
          </w:p>
          <w:p w:rsidR="00F36D91" w:rsidRDefault="00F36D91">
            <w:pPr>
              <w:rPr>
                <w:rFonts w:ascii="Times New Roman" w:hAnsi="Times New Roman" w:cs="Times New Roman"/>
                <w:noProof/>
                <w:sz w:val="20"/>
                <w:szCs w:val="20"/>
              </w:rPr>
            </w:pPr>
          </w:p>
          <w:p w:rsidR="00F36D91" w:rsidRDefault="00F36D91">
            <w:pPr>
              <w:rPr>
                <w:rFonts w:ascii="Times New Roman" w:hAnsi="Times New Roman" w:cs="Times New Roman"/>
                <w:noProof/>
                <w:sz w:val="20"/>
                <w:szCs w:val="20"/>
              </w:rPr>
            </w:pPr>
          </w:p>
          <w:p w:rsidR="00F36D91" w:rsidRDefault="00F36D91">
            <w:pPr>
              <w:rPr>
                <w:rFonts w:ascii="Times New Roman" w:hAnsi="Times New Roman" w:cs="Times New Roman"/>
                <w:noProof/>
                <w:sz w:val="20"/>
                <w:szCs w:val="20"/>
              </w:rPr>
            </w:pPr>
          </w:p>
          <w:p w:rsidR="00F36D91" w:rsidRDefault="00F36D91">
            <w:pPr>
              <w:rPr>
                <w:rFonts w:ascii="Times New Roman" w:hAnsi="Times New Roman" w:cs="Times New Roman"/>
                <w:noProof/>
                <w:sz w:val="20"/>
                <w:szCs w:val="20"/>
              </w:rPr>
            </w:pPr>
          </w:p>
          <w:p w:rsidR="00F36D91" w:rsidRDefault="00F36D91">
            <w:pPr>
              <w:rPr>
                <w:rFonts w:ascii="Times New Roman" w:hAnsi="Times New Roman" w:cs="Times New Roman"/>
                <w:noProof/>
                <w:sz w:val="20"/>
                <w:szCs w:val="20"/>
              </w:rPr>
            </w:pPr>
          </w:p>
        </w:tc>
        <w:tc>
          <w:tcPr>
            <w:tcW w:w="7620" w:type="dxa"/>
            <w:tcBorders>
              <w:top w:val="single" w:sz="4" w:space="0" w:color="auto"/>
              <w:left w:val="single" w:sz="4" w:space="0" w:color="auto"/>
              <w:bottom w:val="single" w:sz="4" w:space="0" w:color="auto"/>
              <w:right w:val="single" w:sz="4" w:space="0" w:color="auto"/>
            </w:tcBorders>
            <w:hideMark/>
          </w:tcPr>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Insatser mot de bakomliggande orsakerna genom utvecklingssamarbete och humanitärt bistånd.</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Omvandling av migrationen till en central fråga i EU:s delegationer.</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En handlingsplan om människosmuggling i maj 2015.</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 xml:space="preserve">Kraftfullare </w:t>
            </w:r>
            <w:r>
              <w:rPr>
                <w:rFonts w:ascii="Times New Roman" w:hAnsi="Times New Roman"/>
                <w:noProof/>
                <w:sz w:val="20"/>
              </w:rPr>
              <w:t>åtgärder så att tredjeländer uppfyller sina skyldigheter att återta sina medborgare.</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Antagande av en handbok om återsändande och övervakning av genomförandet av återvändandedirektivet.</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Förstärkning och ändring av den rättsliga grunden för Frontex för att s</w:t>
            </w:r>
            <w:r>
              <w:rPr>
                <w:rFonts w:ascii="Times New Roman" w:hAnsi="Times New Roman"/>
                <w:noProof/>
                <w:sz w:val="20"/>
              </w:rPr>
              <w:t>tärka dess roll i samband med återvändanden.</w:t>
            </w:r>
          </w:p>
        </w:tc>
      </w:tr>
    </w:tbl>
    <w:p w:rsidR="00F36D91" w:rsidRDefault="00F36D91">
      <w:pPr>
        <w:pStyle w:val="BodyText"/>
        <w:spacing w:before="120" w:after="0" w:line="240" w:lineRule="auto"/>
        <w:jc w:val="both"/>
        <w:rPr>
          <w:rFonts w:ascii="Times New Roman" w:hAnsi="Times New Roman" w:cs="Times New Roman"/>
          <w:bCs/>
          <w:noProof/>
          <w:sz w:val="20"/>
          <w:szCs w:val="20"/>
        </w:rPr>
      </w:pPr>
    </w:p>
    <w:p w:rsidR="00F36D91" w:rsidRDefault="00C6414A">
      <w:pPr>
        <w:spacing w:line="240" w:lineRule="auto"/>
        <w:rPr>
          <w:rFonts w:ascii="Times New Roman" w:hAnsi="Times New Roman" w:cs="Times New Roman"/>
          <w:b/>
          <w:noProof/>
          <w:sz w:val="28"/>
          <w:szCs w:val="28"/>
          <w:u w:val="single"/>
        </w:rPr>
      </w:pPr>
      <w:r>
        <w:rPr>
          <w:rFonts w:ascii="Times New Roman" w:hAnsi="Times New Roman"/>
          <w:b/>
          <w:noProof/>
          <w:sz w:val="28"/>
        </w:rPr>
        <w:t xml:space="preserve">III.2 </w:t>
      </w:r>
      <w:r>
        <w:rPr>
          <w:noProof/>
        </w:rPr>
        <w:tab/>
      </w:r>
      <w:r>
        <w:rPr>
          <w:rFonts w:ascii="Times New Roman" w:hAnsi="Times New Roman"/>
          <w:b/>
          <w:noProof/>
          <w:sz w:val="28"/>
        </w:rPr>
        <w:t xml:space="preserve">Gränsförvaltning – rädda liv och säkra de yttre gränserna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De ovan beskrivna åtgärderna för att hantera situationen i Medelhavsområdet i dag har utvecklats i from av akuta åtgärder för att hantera en specifik kris. Det vore en illusion att tro att detta är ett kortsiktigt behov som sedan inte kommer att uppstå på </w:t>
      </w:r>
      <w:r>
        <w:rPr>
          <w:rFonts w:ascii="Times New Roman" w:hAnsi="Times New Roman"/>
          <w:noProof/>
          <w:sz w:val="24"/>
        </w:rPr>
        <w:t xml:space="preserve">nytt. Förstärkningen av Frontex och inrättandet av nya former av samarbete med medlemsstaterna bör ses som en nivå av stöd och solidaritet som är här för att stanna.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De åtaganderegler som godkänts för Triton-insatser bör ses som en modell för framtida åtg</w:t>
      </w:r>
      <w:r>
        <w:rPr>
          <w:rFonts w:ascii="Times New Roman" w:hAnsi="Times New Roman"/>
          <w:noProof/>
          <w:sz w:val="24"/>
        </w:rPr>
        <w:t xml:space="preserve">ärder för hela den yttre land- och sjögränsen. Varje kris kommer att vara annorlunda, men EU måste dra lärdomar och vara berett att agera före en kris, inte bara reagera när den redan är ett faktum.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Kustbevakningen har en avgörande roll både för att rädda</w:t>
      </w:r>
      <w:r>
        <w:rPr>
          <w:rFonts w:ascii="Times New Roman" w:hAnsi="Times New Roman"/>
          <w:noProof/>
          <w:sz w:val="24"/>
        </w:rPr>
        <w:t xml:space="preserve"> liv och säkra sjögränser. Deras effektivitet skulle förbättras genom ett fördjupat samarbete. Kommissionen kommer, tillsammans med berörda organ, att stödja samarbetet och, i tillämpliga fall, ytterligare sammanslagning av vissa kustbevakningsfunktioner p</w:t>
      </w:r>
      <w:r>
        <w:rPr>
          <w:rFonts w:ascii="Times New Roman" w:hAnsi="Times New Roman"/>
          <w:noProof/>
          <w:sz w:val="24"/>
        </w:rPr>
        <w:t xml:space="preserve">å EU-nivå. </w:t>
      </w:r>
    </w:p>
    <w:p w:rsidR="00F36D91" w:rsidRDefault="00C6414A">
      <w:pPr>
        <w:spacing w:before="120" w:after="0" w:line="240" w:lineRule="auto"/>
        <w:jc w:val="both"/>
        <w:rPr>
          <w:rFonts w:ascii="Times New Roman" w:hAnsi="Times New Roman"/>
          <w:noProof/>
          <w:sz w:val="24"/>
          <w:szCs w:val="24"/>
        </w:rPr>
      </w:pPr>
      <w:r>
        <w:rPr>
          <w:rFonts w:ascii="Times New Roman" w:hAnsi="Times New Roman"/>
          <w:noProof/>
          <w:sz w:val="24"/>
        </w:rPr>
        <w:t xml:space="preserve">Kartläggningen av </w:t>
      </w:r>
      <w:r>
        <w:rPr>
          <w:rFonts w:ascii="Times New Roman" w:hAnsi="Times New Roman"/>
          <w:b/>
          <w:noProof/>
          <w:sz w:val="24"/>
        </w:rPr>
        <w:t xml:space="preserve">riskutvecklingen </w:t>
      </w:r>
      <w:r>
        <w:rPr>
          <w:rFonts w:ascii="Times New Roman" w:hAnsi="Times New Roman"/>
          <w:noProof/>
          <w:sz w:val="24"/>
        </w:rPr>
        <w:t>ökar behovet av effektiv operativ beredskap.</w:t>
      </w:r>
      <w:r>
        <w:rPr>
          <w:rFonts w:ascii="Times New Roman" w:hAnsi="Times New Roman"/>
          <w:b/>
          <w:noProof/>
          <w:sz w:val="24"/>
        </w:rPr>
        <w:t xml:space="preserve"> </w:t>
      </w:r>
      <w:r>
        <w:rPr>
          <w:rFonts w:ascii="Times New Roman" w:hAnsi="Times New Roman"/>
          <w:noProof/>
          <w:sz w:val="24"/>
        </w:rPr>
        <w:t>Utbyggnaden av Eurosur</w:t>
      </w:r>
      <w:r>
        <w:rPr>
          <w:rFonts w:ascii="Times New Roman" w:hAnsi="Times New Roman"/>
          <w:noProof/>
          <w:sz w:val="24"/>
          <w:vertAlign w:val="superscript"/>
        </w:rPr>
        <w:footnoteReference w:id="26"/>
      </w:r>
      <w:r>
        <w:rPr>
          <w:rFonts w:ascii="Times New Roman" w:hAnsi="Times New Roman"/>
          <w:noProof/>
          <w:sz w:val="24"/>
        </w:rPr>
        <w:t xml:space="preserve"> är en utmärkt modell att arbeta vidare med och bör till fullo utnyttjas av alla civila och militära myndigheter med ansvar för sjögränsbevak</w:t>
      </w:r>
      <w:r>
        <w:rPr>
          <w:rFonts w:ascii="Times New Roman" w:hAnsi="Times New Roman"/>
          <w:noProof/>
          <w:sz w:val="24"/>
        </w:rPr>
        <w:t>ning. De behöriga organen bör utarbeta en praktiskt användbar lägesbeskrivning som kan utnyttjas i beslutsfattandet och utarbetandet av reaktionerna på såväl nationell som europeisk nivå.</w:t>
      </w:r>
      <w:r>
        <w:rPr>
          <w:rStyle w:val="FootnoteReference"/>
          <w:rFonts w:ascii="Times New Roman" w:hAnsi="Times New Roman"/>
          <w:noProof/>
          <w:sz w:val="24"/>
        </w:rPr>
        <w:footnoteReference w:id="27"/>
      </w:r>
      <w:r>
        <w:rPr>
          <w:rFonts w:ascii="Times New Roman" w:hAnsi="Times New Roman"/>
          <w:noProof/>
          <w:sz w:val="24"/>
        </w:rPr>
        <w:t xml:space="preserve">  </w:t>
      </w:r>
    </w:p>
    <w:p w:rsidR="00F36D91" w:rsidRDefault="00C6414A">
      <w:pPr>
        <w:spacing w:before="120" w:after="120" w:line="240" w:lineRule="auto"/>
        <w:jc w:val="both"/>
        <w:rPr>
          <w:rFonts w:ascii="Times New Roman" w:hAnsi="Times New Roman" w:cs="Times New Roman"/>
          <w:noProof/>
          <w:sz w:val="24"/>
          <w:szCs w:val="24"/>
        </w:rPr>
      </w:pPr>
      <w:r>
        <w:rPr>
          <w:rFonts w:ascii="Times New Roman" w:hAnsi="Times New Roman"/>
          <w:noProof/>
          <w:sz w:val="24"/>
        </w:rPr>
        <w:t>EU har infört en politik för att hjälpa medlemsstaterna att bygga</w:t>
      </w:r>
      <w:r>
        <w:rPr>
          <w:rFonts w:ascii="Times New Roman" w:hAnsi="Times New Roman"/>
          <w:noProof/>
          <w:sz w:val="24"/>
        </w:rPr>
        <w:t xml:space="preserve"> upp en effektiv och hållbar förvaltning av de yttre gränserna. Fonden för inre säkerhet delar redan ut över 2,7 miljarder euro till medlemsstaterna för perioden 2014–2020. Men trots att det finns regler för gränskontroll, varierar gränsförvaltningen i dag</w:t>
      </w:r>
      <w:r>
        <w:rPr>
          <w:rFonts w:ascii="Times New Roman" w:hAnsi="Times New Roman"/>
          <w:noProof/>
          <w:sz w:val="24"/>
        </w:rPr>
        <w:t xml:space="preserve"> eftersom den består av ett lapptäcke av olika handlingar och instrument för olika sektorer. Under 2016 kommer kommissionen att konsolidera detta i en </w:t>
      </w:r>
      <w:r>
        <w:rPr>
          <w:rFonts w:ascii="Times New Roman" w:hAnsi="Times New Roman"/>
          <w:b/>
          <w:noProof/>
          <w:sz w:val="24"/>
        </w:rPr>
        <w:t>unionsstandard för gränsförvaltning</w:t>
      </w:r>
      <w:r>
        <w:rPr>
          <w:rFonts w:ascii="Times New Roman" w:hAnsi="Times New Roman"/>
          <w:noProof/>
          <w:sz w:val="24"/>
        </w:rPr>
        <w:t xml:space="preserve"> för att omfatta alla aspekter av förvaltningen av unionens yttre gränser. </w:t>
      </w:r>
    </w:p>
    <w:p w:rsidR="00F36D91" w:rsidRDefault="00C6414A">
      <w:pPr>
        <w:spacing w:before="120" w:after="120" w:line="240" w:lineRule="auto"/>
        <w:jc w:val="both"/>
        <w:rPr>
          <w:rFonts w:ascii="Times New Roman" w:hAnsi="Times New Roman"/>
          <w:noProof/>
          <w:sz w:val="24"/>
        </w:rPr>
      </w:pPr>
      <w:r>
        <w:rPr>
          <w:rFonts w:ascii="Times New Roman" w:hAnsi="Times New Roman"/>
          <w:noProof/>
          <w:sz w:val="24"/>
        </w:rPr>
        <w:t>En effektivare förvaltning av våra gränser kräver också ett bättre utnyttjande av it-systemens och teknikens möjligheter. Dagens EU har tre stora it-system som hanterar förvaltning</w:t>
      </w:r>
      <w:r>
        <w:rPr>
          <w:rFonts w:ascii="Times New Roman" w:hAnsi="Times New Roman"/>
          <w:noProof/>
          <w:sz w:val="24"/>
        </w:rPr>
        <w:t>en av asyl (Eurodac), viseringsansökningar (informationssystemet för viseringar), och utbyte av information om personer eller föremål som registrerats av de behöriga myndigheterna (Schengens informationssystem). Ett fullständigt utnyttjande av dessa system</w:t>
      </w:r>
      <w:r>
        <w:rPr>
          <w:rFonts w:ascii="Times New Roman" w:hAnsi="Times New Roman"/>
          <w:noProof/>
          <w:sz w:val="24"/>
        </w:rPr>
        <w:t xml:space="preserve"> kan ge gränsförvaltningen fördelar och förstärka Europas kapacitet att minska irreguljär migration och återsända irreguljära migranter. En ny fas skulle inledas med ”</w:t>
      </w:r>
      <w:r>
        <w:rPr>
          <w:rFonts w:ascii="Times New Roman" w:hAnsi="Times New Roman"/>
          <w:b/>
          <w:noProof/>
          <w:sz w:val="24"/>
        </w:rPr>
        <w:t>Initiativet för smarta gränser</w:t>
      </w:r>
      <w:r>
        <w:rPr>
          <w:rFonts w:ascii="Times New Roman" w:hAnsi="Times New Roman"/>
          <w:noProof/>
          <w:sz w:val="24"/>
        </w:rPr>
        <w:t>” för att öka effektiviteten vid gränsövergångar, underlätt</w:t>
      </w:r>
      <w:r>
        <w:rPr>
          <w:rFonts w:ascii="Times New Roman" w:hAnsi="Times New Roman"/>
          <w:noProof/>
          <w:sz w:val="24"/>
        </w:rPr>
        <w:t xml:space="preserve">a gränspassager för den stora majoriteten bona fide-resenärer från tredjeländer och samtidigt stärka kampen mot irreguljär migration genom att ett register inrättas över alla gränsöverskridande förflyttningar som tredjelandsmedborgare gör, med fullständig </w:t>
      </w:r>
      <w:r>
        <w:rPr>
          <w:rFonts w:ascii="Times New Roman" w:hAnsi="Times New Roman"/>
          <w:noProof/>
          <w:sz w:val="24"/>
        </w:rPr>
        <w:t>respekt för proportionalitetsprincipen. Efter inledande diskussioner om det första förslaget och av hänsyn till den oro som uttrycktes av medlagstiftarna har kommissionen för avsikt att lägga fram ett ändrat förslag om smarta gränser senast i början av 201</w:t>
      </w:r>
      <w:r>
        <w:rPr>
          <w:rFonts w:ascii="Times New Roman" w:hAnsi="Times New Roman"/>
          <w:noProof/>
          <w:sz w:val="24"/>
        </w:rPr>
        <w:t>6.</w:t>
      </w:r>
      <w:r>
        <w:rPr>
          <w:rStyle w:val="FootnoteReference"/>
          <w:rFonts w:ascii="Times New Roman" w:hAnsi="Times New Roman"/>
          <w:noProof/>
          <w:sz w:val="24"/>
        </w:rPr>
        <w:footnoteReference w:id="28"/>
      </w:r>
      <w:r>
        <w:rPr>
          <w:rFonts w:ascii="Times New Roman" w:hAnsi="Times New Roman"/>
          <w:noProof/>
          <w:sz w:val="24"/>
        </w:rPr>
        <w:t xml:space="preserve">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Utvecklingen av höga standarder inom EU kommer också göra att Europa lättare kan stödja tredjeländer i deras utveckling av egna lösningar för att bättre hantera sina gränser.</w:t>
      </w:r>
      <w:r>
        <w:rPr>
          <w:rFonts w:ascii="Times New Roman" w:hAnsi="Times New Roman"/>
          <w:b/>
          <w:noProof/>
          <w:sz w:val="24"/>
        </w:rPr>
        <w:t xml:space="preserve"> </w:t>
      </w:r>
      <w:r>
        <w:rPr>
          <w:rFonts w:ascii="Times New Roman" w:hAnsi="Times New Roman"/>
          <w:noProof/>
          <w:sz w:val="24"/>
        </w:rPr>
        <w:t>Initiativ i afrikanska nyckelländer och andra grannländer skulle kunna stödj</w:t>
      </w:r>
      <w:r>
        <w:rPr>
          <w:rFonts w:ascii="Times New Roman" w:hAnsi="Times New Roman"/>
          <w:noProof/>
          <w:sz w:val="24"/>
        </w:rPr>
        <w:t xml:space="preserve">as genom Frontex, men också med hjälp av EU-finansiering och relaterade initiativ inom ramen för EU:s grannskapspolitik och utvecklingspolitik. Målet skulle vara att främja säkrare gränser, men också att </w:t>
      </w:r>
      <w:r>
        <w:rPr>
          <w:rFonts w:ascii="Times New Roman" w:hAnsi="Times New Roman"/>
          <w:b/>
          <w:noProof/>
          <w:sz w:val="24"/>
        </w:rPr>
        <w:t>stärka de nordafrikanska ländernas kapacitet</w:t>
      </w:r>
      <w:r>
        <w:rPr>
          <w:rFonts w:ascii="Times New Roman" w:hAnsi="Times New Roman"/>
          <w:noProof/>
          <w:sz w:val="24"/>
        </w:rPr>
        <w:t xml:space="preserve"> att ing</w:t>
      </w:r>
      <w:r>
        <w:rPr>
          <w:rFonts w:ascii="Times New Roman" w:hAnsi="Times New Roman"/>
          <w:noProof/>
          <w:sz w:val="24"/>
        </w:rPr>
        <w:t xml:space="preserve">ripa och rädda livet på migranter i nöd. </w:t>
      </w:r>
    </w:p>
    <w:p w:rsidR="00F36D91" w:rsidRDefault="00F36D91">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F36D91">
        <w:trPr>
          <w:trHeight w:val="1364"/>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6D91" w:rsidRDefault="00C6414A">
            <w:pPr>
              <w:jc w:val="center"/>
              <w:rPr>
                <w:rFonts w:ascii="Times New Roman" w:hAnsi="Times New Roman" w:cs="Times New Roman"/>
                <w:b/>
                <w:i/>
                <w:noProof/>
                <w:sz w:val="20"/>
                <w:szCs w:val="20"/>
              </w:rPr>
            </w:pPr>
            <w:r>
              <w:rPr>
                <w:rFonts w:ascii="Times New Roman" w:hAnsi="Times New Roman"/>
                <w:b/>
                <w:i/>
                <w:noProof/>
                <w:sz w:val="20"/>
              </w:rPr>
              <w:t>Nyckelåtgärder</w:t>
            </w:r>
          </w:p>
        </w:tc>
        <w:tc>
          <w:tcPr>
            <w:tcW w:w="7620" w:type="dxa"/>
            <w:tcBorders>
              <w:top w:val="single" w:sz="4" w:space="0" w:color="auto"/>
              <w:left w:val="single" w:sz="4" w:space="0" w:color="auto"/>
              <w:bottom w:val="single" w:sz="4" w:space="0" w:color="auto"/>
              <w:right w:val="single" w:sz="4" w:space="0" w:color="auto"/>
            </w:tcBorders>
            <w:hideMark/>
          </w:tcPr>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Stärka Frontex roll och kapacitet.</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Införa unionsstandarder för gränsförvaltning.</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Stärka EU:s samordning av kustbevakningsfunktioner.</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Utarbeta ett nytt förslag om smarta gränser.</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 xml:space="preserve">Stärka </w:t>
            </w:r>
            <w:r>
              <w:rPr>
                <w:rFonts w:ascii="Times New Roman" w:hAnsi="Times New Roman"/>
                <w:noProof/>
                <w:sz w:val="20"/>
              </w:rPr>
              <w:t>tredjeländernas förmåga att förvalta sina gränser.</w:t>
            </w:r>
          </w:p>
        </w:tc>
      </w:tr>
    </w:tbl>
    <w:p w:rsidR="00F36D91" w:rsidRDefault="00F36D91">
      <w:pPr>
        <w:autoSpaceDE w:val="0"/>
        <w:autoSpaceDN w:val="0"/>
        <w:adjustRightInd w:val="0"/>
        <w:spacing w:after="120" w:line="240" w:lineRule="auto"/>
        <w:jc w:val="both"/>
        <w:rPr>
          <w:rFonts w:ascii="Times New Roman" w:hAnsi="Times New Roman" w:cs="Times New Roman"/>
          <w:b/>
          <w:noProof/>
          <w:sz w:val="20"/>
          <w:szCs w:val="20"/>
        </w:rPr>
      </w:pPr>
    </w:p>
    <w:p w:rsidR="00F36D91" w:rsidRDefault="00C6414A">
      <w:pPr>
        <w:autoSpaceDE w:val="0"/>
        <w:autoSpaceDN w:val="0"/>
        <w:adjustRightInd w:val="0"/>
        <w:spacing w:after="120" w:line="240" w:lineRule="auto"/>
        <w:jc w:val="both"/>
        <w:rPr>
          <w:rFonts w:ascii="Times New Roman" w:hAnsi="Times New Roman" w:cs="Times New Roman"/>
          <w:b/>
          <w:noProof/>
          <w:sz w:val="28"/>
          <w:szCs w:val="28"/>
        </w:rPr>
      </w:pPr>
      <w:r>
        <w:rPr>
          <w:rFonts w:ascii="Times New Roman" w:hAnsi="Times New Roman"/>
          <w:b/>
          <w:noProof/>
          <w:sz w:val="28"/>
        </w:rPr>
        <w:t>III. 3.</w:t>
      </w:r>
      <w:r>
        <w:rPr>
          <w:noProof/>
        </w:rPr>
        <w:tab/>
      </w:r>
      <w:r>
        <w:rPr>
          <w:rFonts w:ascii="Times New Roman" w:hAnsi="Times New Roman"/>
          <w:b/>
          <w:noProof/>
          <w:sz w:val="28"/>
        </w:rPr>
        <w:t xml:space="preserve"> Europas skyddsplikt: en stark gemensam asylpolitik</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EU behöver ett system med tydliga regler för mottagande av asylsökande. Under 2014 ansökte 600 000 personer om asyl i EU, vilket var den högsta</w:t>
      </w:r>
      <w:r>
        <w:rPr>
          <w:rFonts w:ascii="Times New Roman" w:hAnsi="Times New Roman"/>
          <w:noProof/>
          <w:sz w:val="24"/>
        </w:rPr>
        <w:t xml:space="preserve"> siffran någonsin. Alla asylansökningar ska handläggas och skydd måste beviljas dem som är berättigade. En av svagheterna i den nuvarande politiken är bristen på ömsesidigt förtroende mellan medlemsstaterna, framför allt på grund av den fortsatta fragmente</w:t>
      </w:r>
      <w:r>
        <w:rPr>
          <w:rFonts w:ascii="Times New Roman" w:hAnsi="Times New Roman"/>
          <w:noProof/>
          <w:sz w:val="24"/>
        </w:rPr>
        <w:t>ringen av asylsystemet. Detta inverkar direkt på asylsökande som försöker hitta det fördelaktigare systemet asylshopping, men också på den allmänna opinionen: det förstärker känslan av att det nuvarande systemet i grunden är orättvist. Men EU har redan gem</w:t>
      </w:r>
      <w:r>
        <w:rPr>
          <w:rFonts w:ascii="Times New Roman" w:hAnsi="Times New Roman"/>
          <w:noProof/>
          <w:sz w:val="24"/>
        </w:rPr>
        <w:t>ensamma regler som borde ligga till grund för ett ömsesidigt förtroende, och vidareutveckling av dessa regler skulle kunna leda till en nystart.</w:t>
      </w:r>
    </w:p>
    <w:p w:rsidR="00F36D91" w:rsidRDefault="00C6414A">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En konsekvent tillämpning av det gemensamma europeiska asylsystemet</w:t>
      </w:r>
    </w:p>
    <w:p w:rsidR="00F36D91" w:rsidRDefault="00C6414A">
      <w:pPr>
        <w:spacing w:before="120" w:after="120" w:line="240" w:lineRule="auto"/>
        <w:jc w:val="both"/>
        <w:rPr>
          <w:rFonts w:ascii="Times New Roman" w:hAnsi="Times New Roman" w:cs="Times New Roman"/>
          <w:noProof/>
          <w:sz w:val="24"/>
          <w:szCs w:val="24"/>
        </w:rPr>
      </w:pPr>
      <w:r>
        <w:rPr>
          <w:rFonts w:ascii="Times New Roman" w:hAnsi="Times New Roman"/>
          <w:noProof/>
          <w:sz w:val="24"/>
        </w:rPr>
        <w:t>Prioriteringen är att säkerställa en fullst</w:t>
      </w:r>
      <w:r>
        <w:rPr>
          <w:rFonts w:ascii="Times New Roman" w:hAnsi="Times New Roman"/>
          <w:noProof/>
          <w:sz w:val="24"/>
        </w:rPr>
        <w:t xml:space="preserve">ändig och konsekvent tillämpning av det gemensamma europeiska asylsystemet. Detta kommer att understödjas genom </w:t>
      </w:r>
      <w:r>
        <w:rPr>
          <w:rFonts w:ascii="Times New Roman" w:hAnsi="Times New Roman"/>
          <w:b/>
          <w:noProof/>
          <w:sz w:val="24"/>
        </w:rPr>
        <w:t>en ny, systematisk övervakningsprocess</w:t>
      </w:r>
      <w:r>
        <w:rPr>
          <w:rFonts w:ascii="Times New Roman" w:hAnsi="Times New Roman"/>
          <w:noProof/>
          <w:sz w:val="24"/>
        </w:rPr>
        <w:t xml:space="preserve"> för att kontrollera genomförandet och tillämpningen av asylreglerna och främja ömsesidigt förtroende. I s</w:t>
      </w:r>
      <w:r>
        <w:rPr>
          <w:rFonts w:ascii="Times New Roman" w:hAnsi="Times New Roman"/>
          <w:noProof/>
          <w:sz w:val="24"/>
        </w:rPr>
        <w:t xml:space="preserve">amarbete med medlemsstaterna och Europeiska stödkontoret för asylfrågor (Easo) kommer kommissionen dessutom att erbjuda ytterligare vägledning för att höja </w:t>
      </w:r>
      <w:r>
        <w:rPr>
          <w:rFonts w:ascii="Times New Roman" w:hAnsi="Times New Roman"/>
          <w:b/>
          <w:noProof/>
          <w:sz w:val="24"/>
        </w:rPr>
        <w:t>normerna</w:t>
      </w:r>
      <w:r>
        <w:rPr>
          <w:rFonts w:ascii="Times New Roman" w:hAnsi="Times New Roman"/>
          <w:noProof/>
          <w:sz w:val="24"/>
        </w:rPr>
        <w:t xml:space="preserve"> för mottagningsvillkoren och asylförfarandena. Därigenom skulle medlemsstaterna få tillgång</w:t>
      </w:r>
      <w:r>
        <w:rPr>
          <w:rFonts w:ascii="Times New Roman" w:hAnsi="Times New Roman"/>
          <w:noProof/>
          <w:sz w:val="24"/>
        </w:rPr>
        <w:t xml:space="preserve"> till väldefinierade och enkla kvalitetsindikatorer som leder till ett förstärkt skydd av de grundläggande rättigheterna för asylsökande, med särskild hänsyn till utsatta grupper som t.ex. barn.</w:t>
      </w:r>
      <w:r>
        <w:rPr>
          <w:rStyle w:val="FootnoteReference"/>
          <w:rFonts w:ascii="Times New Roman" w:hAnsi="Times New Roman"/>
          <w:noProof/>
          <w:sz w:val="24"/>
        </w:rPr>
        <w:footnoteReference w:id="29"/>
      </w:r>
      <w:r>
        <w:rPr>
          <w:rFonts w:ascii="Times New Roman" w:hAnsi="Times New Roman"/>
          <w:noProof/>
          <w:sz w:val="24"/>
        </w:rPr>
        <w:t xml:space="preserve"> Kommissionen kommer också att prioritera införlivandet och d</w:t>
      </w:r>
      <w:r>
        <w:rPr>
          <w:rFonts w:ascii="Times New Roman" w:hAnsi="Times New Roman"/>
          <w:noProof/>
          <w:sz w:val="24"/>
        </w:rPr>
        <w:t xml:space="preserve">en praktiska tillämpningen av den nyligen antagna lagstiftningen om asylregler för eventuella </w:t>
      </w:r>
      <w:r>
        <w:rPr>
          <w:rFonts w:ascii="Times New Roman" w:hAnsi="Times New Roman"/>
          <w:b/>
          <w:noProof/>
          <w:sz w:val="24"/>
        </w:rPr>
        <w:t>överträdelseförfaranden</w:t>
      </w:r>
      <w:r>
        <w:rPr>
          <w:rFonts w:ascii="Times New Roman" w:hAnsi="Times New Roman"/>
          <w:noProof/>
          <w:sz w:val="24"/>
        </w:rPr>
        <w:t>.</w:t>
      </w:r>
      <w:r>
        <w:rPr>
          <w:rStyle w:val="FootnoteReference"/>
          <w:rFonts w:ascii="Times New Roman" w:hAnsi="Times New Roman"/>
          <w:noProof/>
          <w:sz w:val="24"/>
        </w:rPr>
        <w:footnoteReference w:id="30"/>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Easo vill samtidigt intensifiera </w:t>
      </w:r>
      <w:r>
        <w:rPr>
          <w:rFonts w:ascii="Times New Roman" w:hAnsi="Times New Roman"/>
          <w:b/>
          <w:noProof/>
          <w:sz w:val="24"/>
        </w:rPr>
        <w:t>det praktiska samarbetet</w:t>
      </w:r>
      <w:r>
        <w:rPr>
          <w:rFonts w:ascii="Times New Roman" w:hAnsi="Times New Roman"/>
          <w:noProof/>
          <w:sz w:val="24"/>
        </w:rPr>
        <w:t xml:space="preserve"> genom att utveckla rollen som clearingställe för nationella uppgifter om urspr</w:t>
      </w:r>
      <w:r>
        <w:rPr>
          <w:rFonts w:ascii="Times New Roman" w:hAnsi="Times New Roman"/>
          <w:noProof/>
          <w:sz w:val="24"/>
        </w:rPr>
        <w:t>ungsland – alltså de faktauppgifter som asylbesluten grundar sig på. Detta skulle leda till mer enhetliga beslut. Andra viktiga åtgärder är fortbildning</w:t>
      </w:r>
      <w:r>
        <w:rPr>
          <w:rStyle w:val="FootnoteReference"/>
          <w:rFonts w:ascii="Times New Roman" w:hAnsi="Times New Roman"/>
          <w:noProof/>
          <w:sz w:val="24"/>
        </w:rPr>
        <w:footnoteReference w:id="31"/>
      </w:r>
      <w:r>
        <w:rPr>
          <w:rFonts w:ascii="Times New Roman" w:hAnsi="Times New Roman"/>
          <w:noProof/>
          <w:sz w:val="24"/>
        </w:rPr>
        <w:t xml:space="preserve"> och ett nytt särskilt nätverk för mottagande myndigheter, som skulle kunna bli grundstrukturen i ett s</w:t>
      </w:r>
      <w:r>
        <w:rPr>
          <w:rFonts w:ascii="Times New Roman" w:hAnsi="Times New Roman"/>
          <w:noProof/>
          <w:sz w:val="24"/>
        </w:rPr>
        <w:t xml:space="preserve">ystem med gemensamma mottagningsplatser i krissituationer.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En förstärkning av det gemensamma europeiska asylsystemet ger också en effektivare strategi mot </w:t>
      </w:r>
      <w:r>
        <w:rPr>
          <w:rFonts w:ascii="Times New Roman" w:hAnsi="Times New Roman"/>
          <w:b/>
          <w:noProof/>
          <w:sz w:val="24"/>
        </w:rPr>
        <w:t>missbruk</w:t>
      </w:r>
      <w:r>
        <w:rPr>
          <w:rFonts w:ascii="Times New Roman" w:hAnsi="Times New Roman"/>
          <w:noProof/>
          <w:sz w:val="24"/>
        </w:rPr>
        <w:t>. Alltför många ansökningar är ogrundade. Under 2014 ledde omkring 55 % av ansökningarna til</w:t>
      </w:r>
      <w:r>
        <w:rPr>
          <w:rFonts w:ascii="Times New Roman" w:hAnsi="Times New Roman"/>
          <w:noProof/>
          <w:sz w:val="24"/>
        </w:rPr>
        <w:t>l avslag, och för vissa nationaliteter avslogs snart sagt alla ansökningar, samtidigt som detta försämrade medlemsstaternas möjligheter att snabbt erbjuda behövande erforderligt skydd. Lagstiftningen innehåller särskilda bestämmelser för att motverka missb</w:t>
      </w:r>
      <w:r>
        <w:rPr>
          <w:rFonts w:ascii="Times New Roman" w:hAnsi="Times New Roman"/>
          <w:noProof/>
          <w:sz w:val="24"/>
        </w:rPr>
        <w:t xml:space="preserve">ruk, t.ex. möjligheter till påskyndad handläggning av ogrundade asylansökningar. För att gå vidare i denna riktning, kommer kommissionen att samarbeta med stödkontoret och medlemsstaterna för att utforma riktlinjer i syfte att maximera dessa möjligheter.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Ett annat problem är asylansökningar från tredjelandsmedborgare som inte behöver visering för att komma till EU. Dessa fall kan delvis behandlas genom mekanismen för uppföljning av viseringsliberaliseringen</w:t>
      </w:r>
      <w:r>
        <w:rPr>
          <w:rStyle w:val="FootnoteReference"/>
          <w:rFonts w:ascii="Times New Roman" w:hAnsi="Times New Roman"/>
          <w:noProof/>
          <w:sz w:val="24"/>
        </w:rPr>
        <w:footnoteReference w:id="32"/>
      </w:r>
      <w:r>
        <w:rPr>
          <w:rFonts w:ascii="Times New Roman" w:hAnsi="Times New Roman"/>
          <w:noProof/>
          <w:sz w:val="24"/>
        </w:rPr>
        <w:t>. För att uppnå en förstärkning på området, komme</w:t>
      </w:r>
      <w:r>
        <w:rPr>
          <w:rFonts w:ascii="Times New Roman" w:hAnsi="Times New Roman"/>
          <w:noProof/>
          <w:sz w:val="24"/>
        </w:rPr>
        <w:t xml:space="preserve">r kommissionen också att föreslå en skärpning av </w:t>
      </w:r>
      <w:r>
        <w:rPr>
          <w:rFonts w:ascii="Times New Roman" w:hAnsi="Times New Roman"/>
          <w:b/>
          <w:noProof/>
          <w:sz w:val="24"/>
        </w:rPr>
        <w:t>bestämmelserna om säkert ursprungsland</w:t>
      </w:r>
      <w:r>
        <w:rPr>
          <w:rFonts w:ascii="Times New Roman" w:hAnsi="Times New Roman"/>
          <w:noProof/>
          <w:sz w:val="24"/>
        </w:rPr>
        <w:t xml:space="preserve"> i direktivet om asylförfaranden för att stödja en skyndsam handläggning av asylansökningar från länder som betecknas som säkra.</w:t>
      </w:r>
      <w:r>
        <w:rPr>
          <w:rStyle w:val="FootnoteReference"/>
          <w:rFonts w:ascii="Times New Roman" w:hAnsi="Times New Roman"/>
          <w:noProof/>
          <w:sz w:val="24"/>
        </w:rPr>
        <w:footnoteReference w:id="33"/>
      </w:r>
      <w:r>
        <w:rPr>
          <w:rFonts w:ascii="Times New Roman" w:hAnsi="Times New Roman"/>
          <w:noProof/>
          <w:sz w:val="24"/>
        </w:rPr>
        <w:t xml:space="preserve"> </w:t>
      </w:r>
    </w:p>
    <w:p w:rsidR="00F36D91" w:rsidRDefault="00C6414A">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Dublinsystemet – bättre ansvarsfördeln</w:t>
      </w:r>
      <w:r>
        <w:rPr>
          <w:rFonts w:ascii="Times New Roman" w:hAnsi="Times New Roman"/>
          <w:i/>
          <w:noProof/>
          <w:sz w:val="24"/>
        </w:rPr>
        <w:t>ing mellan medlemsstaterna</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Trots att de senaste förbättringarna av lagstiftningen genomfördes så sent som 2014, fungerar mekanismen för fördelning av ansvaret för att pröva asylansökningar (även kallad </w:t>
      </w:r>
      <w:r>
        <w:rPr>
          <w:rFonts w:ascii="Times New Roman" w:hAnsi="Times New Roman"/>
          <w:i/>
          <w:noProof/>
          <w:sz w:val="24"/>
        </w:rPr>
        <w:t>Dublinsystemet</w:t>
      </w:r>
      <w:r>
        <w:rPr>
          <w:rStyle w:val="FootnoteReference"/>
          <w:rFonts w:ascii="Times New Roman" w:hAnsi="Times New Roman"/>
          <w:noProof/>
          <w:sz w:val="24"/>
        </w:rPr>
        <w:footnoteReference w:id="34"/>
      </w:r>
      <w:r>
        <w:rPr>
          <w:rFonts w:ascii="Times New Roman" w:hAnsi="Times New Roman"/>
          <w:noProof/>
          <w:sz w:val="24"/>
        </w:rPr>
        <w:t>) inte som den borde. Under 2014 tog fe</w:t>
      </w:r>
      <w:r>
        <w:rPr>
          <w:rFonts w:ascii="Times New Roman" w:hAnsi="Times New Roman"/>
          <w:noProof/>
          <w:sz w:val="24"/>
        </w:rPr>
        <w:t xml:space="preserve">m medlemsstater emot 72 % av alla asylansökningar inom EU. EU kan tillhandahålla ytterligare stöd, men först måste reglerna  tillämpas utan undantag.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Ansvaret för tillämpningen av Dublinsystemet åligger medlemsstaterna. De bör särskilt anslå de medel som krävs för att öka omfördelningen och minska förseningar, aktivt och konsekvent tillämpa bestämmelser om familjeåterförening och i större utsträckning u</w:t>
      </w:r>
      <w:r>
        <w:rPr>
          <w:rFonts w:ascii="Times New Roman" w:hAnsi="Times New Roman"/>
          <w:noProof/>
          <w:sz w:val="24"/>
        </w:rPr>
        <w:t>tnyttja de urskillningsklausuler som ger dem möjlighet att pröva en asylansökan och minska belastningen på medlemsstaterna vid de berörda gränssträckorna. På unionsnivå kommer Europeiska stödkontoret för asylfrågor (Easo) att stötta medlemsstaterna genom a</w:t>
      </w:r>
      <w:r>
        <w:rPr>
          <w:rFonts w:ascii="Times New Roman" w:hAnsi="Times New Roman"/>
          <w:noProof/>
          <w:sz w:val="24"/>
        </w:rPr>
        <w:t xml:space="preserve">tt inrätta ett </w:t>
      </w:r>
      <w:r>
        <w:rPr>
          <w:rFonts w:ascii="Times New Roman" w:hAnsi="Times New Roman"/>
          <w:b/>
          <w:noProof/>
          <w:sz w:val="24"/>
        </w:rPr>
        <w:t>nätverk för nationella Dublinenheter</w:t>
      </w:r>
      <w:r>
        <w:rPr>
          <w:rFonts w:ascii="Times New Roman" w:hAnsi="Times New Roman"/>
          <w:noProof/>
          <w:sz w:val="24"/>
        </w:rPr>
        <w:t xml:space="preserve">. </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Medlemsstaterna bör också till fullo genomföra bestämmelserna som ålägger migranter att lämna </w:t>
      </w:r>
      <w:r>
        <w:rPr>
          <w:rFonts w:ascii="Times New Roman" w:hAnsi="Times New Roman"/>
          <w:b/>
          <w:noProof/>
          <w:sz w:val="24"/>
        </w:rPr>
        <w:t>fingeravtryck</w:t>
      </w:r>
      <w:r>
        <w:rPr>
          <w:rStyle w:val="FootnoteReference"/>
          <w:rFonts w:ascii="Times New Roman" w:hAnsi="Times New Roman"/>
          <w:b/>
          <w:noProof/>
          <w:sz w:val="24"/>
        </w:rPr>
        <w:footnoteReference w:id="35"/>
      </w:r>
      <w:r>
        <w:rPr>
          <w:rFonts w:ascii="Times New Roman" w:hAnsi="Times New Roman"/>
          <w:noProof/>
          <w:sz w:val="24"/>
        </w:rPr>
        <w:t xml:space="preserve"> vid gränserna. De medlemsstater som utsätts för särskilda påfrestningar kommer att dra nytta </w:t>
      </w:r>
      <w:r>
        <w:rPr>
          <w:rFonts w:ascii="Times New Roman" w:hAnsi="Times New Roman"/>
          <w:noProof/>
          <w:sz w:val="24"/>
        </w:rPr>
        <w:t>av akutsystemet för operativt stöd på plats (se ovan). I slutet av maj kommer kommissionen att lägga fram riktlinjer för systematisk identifiering av fingeravtryck, med full respekt för de grundläggande rättigheterna, grundat på praktiskt samarbete och utb</w:t>
      </w:r>
      <w:r>
        <w:rPr>
          <w:rFonts w:ascii="Times New Roman" w:hAnsi="Times New Roman"/>
          <w:noProof/>
          <w:sz w:val="24"/>
        </w:rPr>
        <w:t>yte av bästa praxis. Kommissionen kommer också att undersöka möjligheten att använda flera biometriska kännetecken inom ramen för Eurodacsystemet (t.ex. med hjälp av tekniska metoder för ansiktsigenkänning med hjälp av digitala bilder).</w:t>
      </w:r>
    </w:p>
    <w:p w:rsidR="00F36D91" w:rsidRDefault="00C6414A">
      <w:pPr>
        <w:autoSpaceDE w:val="0"/>
        <w:autoSpaceDN w:val="0"/>
        <w:adjustRightInd w:val="0"/>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När Dublinsystemet </w:t>
      </w:r>
      <w:r>
        <w:rPr>
          <w:rFonts w:ascii="Times New Roman" w:hAnsi="Times New Roman"/>
          <w:noProof/>
          <w:sz w:val="24"/>
        </w:rPr>
        <w:t xml:space="preserve">utformades var det europiska samarbetet på asylområdet inte lika långtgående som nu. Den dåtida tillströmningen var av ett annat slag och inte så omfattande som i dag. När kommissionen genomför sin </w:t>
      </w:r>
      <w:r>
        <w:rPr>
          <w:rFonts w:ascii="Times New Roman" w:hAnsi="Times New Roman"/>
          <w:b/>
          <w:noProof/>
          <w:sz w:val="24"/>
        </w:rPr>
        <w:t>utvärdering av Dublinsystemet</w:t>
      </w:r>
      <w:r>
        <w:rPr>
          <w:rFonts w:ascii="Times New Roman" w:hAnsi="Times New Roman"/>
          <w:noProof/>
          <w:sz w:val="24"/>
        </w:rPr>
        <w:t xml:space="preserve"> 2016, kommer även erfarenhet</w:t>
      </w:r>
      <w:r>
        <w:rPr>
          <w:rFonts w:ascii="Times New Roman" w:hAnsi="Times New Roman"/>
          <w:noProof/>
          <w:sz w:val="24"/>
        </w:rPr>
        <w:t>erna från mekanismerna för omplacering och vidarebosättning att kunna utnyttjas. Därigenom blir det lättare att avgöra om det också krävs en översyn av Dublinsystemets rättsliga parametrar för att uppnå en mer rättvis fördelning av asylsökande i Europa.</w:t>
      </w:r>
      <w:r>
        <w:rPr>
          <w:rStyle w:val="FootnoteReference"/>
          <w:rFonts w:ascii="Times New Roman" w:hAnsi="Times New Roman"/>
          <w:noProof/>
          <w:sz w:val="24"/>
        </w:rPr>
        <w:footnoteReference w:id="36"/>
      </w:r>
      <w:r>
        <w:rPr>
          <w:rFonts w:ascii="Times New Roman" w:hAnsi="Times New Roman"/>
          <w:noProof/>
          <w:sz w:val="24"/>
        </w:rPr>
        <w:t xml:space="preserve"> </w:t>
      </w:r>
    </w:p>
    <w:p w:rsidR="00F36D91" w:rsidRDefault="00C6414A">
      <w:pPr>
        <w:autoSpaceDE w:val="0"/>
        <w:autoSpaceDN w:val="0"/>
        <w:adjustRightInd w:val="0"/>
        <w:spacing w:before="120" w:after="0" w:line="240" w:lineRule="auto"/>
        <w:jc w:val="both"/>
        <w:rPr>
          <w:rFonts w:ascii="Times New Roman" w:hAnsi="Times New Roman" w:cs="Times New Roman"/>
          <w:b/>
          <w:noProof/>
          <w:sz w:val="24"/>
          <w:szCs w:val="24"/>
        </w:rPr>
      </w:pPr>
      <w:r>
        <w:rPr>
          <w:rFonts w:ascii="Times New Roman" w:hAnsi="Times New Roman"/>
          <w:b/>
          <w:noProof/>
          <w:sz w:val="24"/>
        </w:rPr>
        <w:t xml:space="preserve"> </w:t>
      </w:r>
    </w:p>
    <w:tbl>
      <w:tblPr>
        <w:tblStyle w:val="TableGrid"/>
        <w:tblW w:w="0" w:type="auto"/>
        <w:tblLook w:val="04A0" w:firstRow="1" w:lastRow="0" w:firstColumn="1" w:lastColumn="0" w:noHBand="0" w:noVBand="1"/>
      </w:tblPr>
      <w:tblGrid>
        <w:gridCol w:w="1668"/>
        <w:gridCol w:w="7620"/>
      </w:tblGrid>
      <w:tr w:rsidR="00F36D91">
        <w:trPr>
          <w:trHeight w:val="176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6D91" w:rsidRDefault="00C6414A">
            <w:pPr>
              <w:jc w:val="center"/>
              <w:rPr>
                <w:rFonts w:ascii="Times New Roman" w:hAnsi="Times New Roman" w:cs="Times New Roman"/>
                <w:b/>
                <w:i/>
                <w:noProof/>
                <w:sz w:val="20"/>
                <w:szCs w:val="20"/>
              </w:rPr>
            </w:pPr>
            <w:r>
              <w:rPr>
                <w:rFonts w:ascii="Times New Roman" w:hAnsi="Times New Roman"/>
                <w:b/>
                <w:i/>
                <w:noProof/>
                <w:sz w:val="20"/>
              </w:rPr>
              <w:t>Nyckelåtgärder</w:t>
            </w:r>
          </w:p>
        </w:tc>
        <w:tc>
          <w:tcPr>
            <w:tcW w:w="7620" w:type="dxa"/>
            <w:tcBorders>
              <w:top w:val="single" w:sz="4" w:space="0" w:color="auto"/>
              <w:left w:val="single" w:sz="4" w:space="0" w:color="auto"/>
              <w:bottom w:val="single" w:sz="4" w:space="0" w:color="auto"/>
              <w:right w:val="single" w:sz="4" w:space="0" w:color="auto"/>
            </w:tcBorders>
            <w:hideMark/>
          </w:tcPr>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Inrättande av ett nytt övervaknings- och utvärderingssystem för det gemensamma europeiska asylsystemet och en vägledning för att förbättra normerna för mottagningsvillkor och asylförfaranden.</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Riktlinjer för att motverka missbruk av asylsys</w:t>
            </w:r>
            <w:r>
              <w:rPr>
                <w:rFonts w:ascii="Times New Roman" w:hAnsi="Times New Roman"/>
                <w:noProof/>
                <w:sz w:val="20"/>
              </w:rPr>
              <w:t>temet.</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 xml:space="preserve">En skärpning av </w:t>
            </w:r>
            <w:r>
              <w:rPr>
                <w:rFonts w:ascii="Times New Roman" w:hAnsi="Times New Roman"/>
                <w:b/>
                <w:noProof/>
                <w:sz w:val="20"/>
              </w:rPr>
              <w:t>bestämmelserna om säkert ursprungsland</w:t>
            </w:r>
            <w:r>
              <w:rPr>
                <w:rFonts w:ascii="Times New Roman" w:hAnsi="Times New Roman"/>
                <w:noProof/>
                <w:sz w:val="20"/>
              </w:rPr>
              <w:t xml:space="preserve"> i direktivet om asylförfaranden för att stödja en skyndsam handläggning av asylansökningar från länder som betecknas som säkra.</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Åtgärder för att främja systematisk identifiering och upptagande a</w:t>
            </w:r>
            <w:r>
              <w:rPr>
                <w:rFonts w:ascii="Times New Roman" w:hAnsi="Times New Roman"/>
                <w:noProof/>
                <w:sz w:val="20"/>
              </w:rPr>
              <w:t>v fingeravtryck.</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 xml:space="preserve">Åtgärder för att processa flera biometriska kännetecken genom Eurodac. </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En utvärdering och eventuell revidering av Dublinförordningen 2016.</w:t>
            </w:r>
          </w:p>
        </w:tc>
      </w:tr>
    </w:tbl>
    <w:p w:rsidR="00F36D91" w:rsidRDefault="00F36D91">
      <w:pPr>
        <w:spacing w:before="120" w:after="0" w:line="240" w:lineRule="auto"/>
        <w:jc w:val="both"/>
        <w:rPr>
          <w:rFonts w:ascii="Times New Roman" w:hAnsi="Times New Roman" w:cs="Times New Roman"/>
          <w:b/>
          <w:noProof/>
          <w:sz w:val="20"/>
          <w:szCs w:val="20"/>
        </w:rPr>
      </w:pPr>
    </w:p>
    <w:p w:rsidR="00F36D91" w:rsidRDefault="00C6414A">
      <w:pPr>
        <w:spacing w:before="120" w:after="0" w:line="240" w:lineRule="auto"/>
        <w:jc w:val="both"/>
        <w:rPr>
          <w:rFonts w:ascii="Times New Roman" w:hAnsi="Times New Roman" w:cs="Times New Roman"/>
          <w:b/>
          <w:noProof/>
          <w:sz w:val="28"/>
          <w:szCs w:val="28"/>
        </w:rPr>
      </w:pPr>
      <w:r>
        <w:rPr>
          <w:rFonts w:ascii="Times New Roman" w:hAnsi="Times New Roman"/>
          <w:b/>
          <w:noProof/>
          <w:sz w:val="28"/>
        </w:rPr>
        <w:t xml:space="preserve">III.4 </w:t>
      </w:r>
      <w:r>
        <w:rPr>
          <w:noProof/>
        </w:rPr>
        <w:tab/>
      </w:r>
      <w:r>
        <w:rPr>
          <w:rFonts w:ascii="Times New Roman" w:hAnsi="Times New Roman"/>
          <w:b/>
          <w:noProof/>
          <w:sz w:val="28"/>
        </w:rPr>
        <w:t>En ny politik för reguljär migration</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Europa konkurrerar med andra ekonomier för att locka </w:t>
      </w:r>
      <w:r>
        <w:rPr>
          <w:rFonts w:ascii="Times New Roman" w:hAnsi="Times New Roman"/>
          <w:noProof/>
          <w:sz w:val="24"/>
        </w:rPr>
        <w:t>till sig arbetskraft som har nödvändig kompetens. De förändringar i efterfrågan av kompetens inom EU som väntas mellan 2012 och 2025 tyder på en kraftig ökning (med 23 %) av andelen arbetstillfällen som kräver högutbildad arbetskraft.</w:t>
      </w:r>
      <w:r>
        <w:rPr>
          <w:rStyle w:val="FootnoteReference"/>
          <w:rFonts w:ascii="Times New Roman" w:hAnsi="Times New Roman"/>
          <w:noProof/>
          <w:sz w:val="24"/>
        </w:rPr>
        <w:footnoteReference w:id="37"/>
      </w:r>
      <w:r>
        <w:rPr>
          <w:rFonts w:ascii="Times New Roman" w:hAnsi="Times New Roman"/>
          <w:b/>
          <w:noProof/>
          <w:sz w:val="24"/>
        </w:rPr>
        <w:t xml:space="preserve"> </w:t>
      </w:r>
      <w:r>
        <w:rPr>
          <w:rFonts w:ascii="Times New Roman" w:hAnsi="Times New Roman"/>
          <w:noProof/>
          <w:sz w:val="24"/>
        </w:rPr>
        <w:t xml:space="preserve">Brister har redan </w:t>
      </w:r>
      <w:r>
        <w:rPr>
          <w:rFonts w:ascii="Times New Roman" w:hAnsi="Times New Roman"/>
          <w:noProof/>
          <w:sz w:val="24"/>
        </w:rPr>
        <w:t xml:space="preserve">kunnat konstateras inom nyckelsektorer som forskning, teknik, ingenjörsvetenskap och hälso- och sjukvård. Europa måste bygga upp sin egen kompetensbas och rusta människor så att de kan integreras på dagens arbetsmarknad. Under 2015 kommer kommissionen att </w:t>
      </w:r>
      <w:r>
        <w:rPr>
          <w:rFonts w:ascii="Times New Roman" w:hAnsi="Times New Roman"/>
          <w:noProof/>
          <w:sz w:val="24"/>
        </w:rPr>
        <w:t>lägga fram ett nytt paket för arbetskraftens rörlighet och ett nytt kompetensinitiativ</w:t>
      </w:r>
      <w:r>
        <w:rPr>
          <w:rStyle w:val="FootnoteReference"/>
          <w:rFonts w:ascii="Times New Roman" w:hAnsi="Times New Roman"/>
          <w:noProof/>
          <w:sz w:val="24"/>
        </w:rPr>
        <w:footnoteReference w:id="38"/>
      </w:r>
      <w:r>
        <w:rPr>
          <w:rFonts w:ascii="Times New Roman" w:hAnsi="Times New Roman"/>
          <w:noProof/>
          <w:sz w:val="24"/>
        </w:rPr>
        <w:t xml:space="preserve">, men även med målmedvetna insatser på medellång och lång sikt är det osannolikt att vi till fullo kommer att kunna tillfredsställa behoven.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EU står också inför en rad långsiktiga ekonomiska och demografiska utmaningar. EU:s befolkning åldras, samtidigt som andelen högkvalificerade arbetstillfällen blir allt viktigare för ekonomin. Utan migration skulle EU:s befolkning i arbetsför ålder dessuto</w:t>
      </w:r>
      <w:r>
        <w:rPr>
          <w:rFonts w:ascii="Times New Roman" w:hAnsi="Times New Roman"/>
          <w:noProof/>
          <w:sz w:val="24"/>
        </w:rPr>
        <w:t xml:space="preserve">m minska med 17,5 miljoner personer under de närmsta tio åren. Migrationen kommer att bli allt viktigare för att förbättra hållbarheten i våra välfärdssystem och garantera varaktig tillväxt i EU:s ekonomi.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Även om det alltid är svårt att försvara reguljär</w:t>
      </w:r>
      <w:r>
        <w:rPr>
          <w:rFonts w:ascii="Times New Roman" w:hAnsi="Times New Roman"/>
          <w:noProof/>
          <w:sz w:val="24"/>
        </w:rPr>
        <w:t xml:space="preserve"> migration i en tid av hög arbetslöshet och social förändring, är det därför viktigt att vi har ett klart, tydligt och strikt gemensamt system som motsvarar EU:s intressen, bland annat att bibehålla EU som ett attraktivt mål för migranter</w:t>
      </w:r>
      <w:r>
        <w:rPr>
          <w:rStyle w:val="FootnoteReference"/>
          <w:rFonts w:ascii="Times New Roman" w:hAnsi="Times New Roman"/>
          <w:noProof/>
          <w:sz w:val="24"/>
        </w:rPr>
        <w:footnoteReference w:id="39"/>
      </w:r>
      <w:r>
        <w:rPr>
          <w:rFonts w:ascii="Times New Roman" w:hAnsi="Times New Roman"/>
          <w:noProof/>
          <w:sz w:val="24"/>
        </w:rPr>
        <w:t xml:space="preserve">. </w:t>
      </w:r>
    </w:p>
    <w:p w:rsidR="00F36D91" w:rsidRDefault="00C6414A">
      <w:pPr>
        <w:spacing w:before="120" w:after="0" w:line="240" w:lineRule="auto"/>
        <w:jc w:val="both"/>
        <w:rPr>
          <w:rFonts w:ascii="Times New Roman" w:hAnsi="Times New Roman" w:cs="Times New Roman"/>
          <w:b/>
          <w:i/>
          <w:noProof/>
          <w:sz w:val="28"/>
          <w:szCs w:val="24"/>
        </w:rPr>
      </w:pPr>
      <w:r>
        <w:rPr>
          <w:rFonts w:ascii="Times New Roman" w:hAnsi="Times New Roman"/>
          <w:noProof/>
          <w:sz w:val="24"/>
        </w:rPr>
        <w:t xml:space="preserve"> </w:t>
      </w:r>
      <w:r>
        <w:rPr>
          <w:rFonts w:ascii="Times New Roman" w:hAnsi="Times New Roman"/>
          <w:i/>
          <w:noProof/>
          <w:sz w:val="24"/>
        </w:rPr>
        <w:t>En väl funger</w:t>
      </w:r>
      <w:r>
        <w:rPr>
          <w:rFonts w:ascii="Times New Roman" w:hAnsi="Times New Roman"/>
          <w:i/>
          <w:noProof/>
          <w:sz w:val="24"/>
        </w:rPr>
        <w:t>ande migrations- och viseringspolitik</w:t>
      </w:r>
    </w:p>
    <w:p w:rsidR="00F36D91" w:rsidRDefault="00C6414A">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Även fortsättningsvis kommer det att vara medlemsstaternas exklusiva behörighet att fatta beslut om hur många arbetssökande tredjelandsmedborgare som de önskar bevilja inresetillstånd. Men EU har en särskild roll i sam</w:t>
      </w:r>
      <w:r>
        <w:rPr>
          <w:rFonts w:ascii="Times New Roman" w:hAnsi="Times New Roman"/>
          <w:noProof/>
          <w:sz w:val="24"/>
        </w:rPr>
        <w:t xml:space="preserve">manhanget. Under de kommande sju åren kommer europeiska program såsom Horisont 2020 och Erasmus+ att locka begåvningar till EU. Direktivet om studenter och forskare, som nu är föremål för förhandlingar med medlagstiftarna, syftar till att ge dessa grupper </w:t>
      </w:r>
      <w:r>
        <w:rPr>
          <w:rFonts w:ascii="Times New Roman" w:hAnsi="Times New Roman"/>
          <w:noProof/>
          <w:sz w:val="24"/>
        </w:rPr>
        <w:t>nya möjligheter att flytta och söka arbete. Ett skyndsamt antagande av lagstiftningen skulle ge dessa strategiskt viktiga grupper möjlighet att se EU som en välkomnande miljö för deras arbete.</w:t>
      </w:r>
      <w:r>
        <w:rPr>
          <w:rStyle w:val="FootnoteReference"/>
          <w:rFonts w:ascii="Times New Roman" w:hAnsi="Times New Roman"/>
          <w:noProof/>
          <w:sz w:val="24"/>
        </w:rPr>
        <w:footnoteReference w:id="40"/>
      </w:r>
      <w:r>
        <w:rPr>
          <w:rFonts w:ascii="Times New Roman" w:hAnsi="Times New Roman"/>
          <w:noProof/>
          <w:sz w:val="24"/>
        </w:rPr>
        <w:t xml:space="preserve"> </w:t>
      </w:r>
    </w:p>
    <w:p w:rsidR="00F36D91" w:rsidRDefault="00C6414A">
      <w:pPr>
        <w:spacing w:before="120" w:after="0" w:line="240" w:lineRule="auto"/>
        <w:jc w:val="both"/>
        <w:rPr>
          <w:rFonts w:ascii="Times New Roman" w:hAnsi="Times New Roman" w:cs="Times New Roman"/>
          <w:bCs/>
          <w:noProof/>
          <w:sz w:val="24"/>
          <w:szCs w:val="24"/>
        </w:rPr>
      </w:pPr>
      <w:r>
        <w:rPr>
          <w:rFonts w:ascii="Times New Roman" w:hAnsi="Times New Roman"/>
          <w:noProof/>
          <w:sz w:val="24"/>
        </w:rPr>
        <w:t>Nästa steg bör vara ett attraktivt EU-omfattande system för h</w:t>
      </w:r>
      <w:r>
        <w:rPr>
          <w:rFonts w:ascii="Times New Roman" w:hAnsi="Times New Roman"/>
          <w:noProof/>
          <w:sz w:val="24"/>
        </w:rPr>
        <w:t xml:space="preserve">ögkvalificerade tredjelandsmedborgare. </w:t>
      </w:r>
      <w:r>
        <w:rPr>
          <w:rFonts w:ascii="Times New Roman" w:hAnsi="Times New Roman"/>
          <w:b/>
          <w:noProof/>
          <w:sz w:val="24"/>
        </w:rPr>
        <w:t>Blåkortsdirektivet</w:t>
      </w:r>
      <w:r>
        <w:rPr>
          <w:rStyle w:val="FootnoteReference"/>
          <w:rFonts w:ascii="Times New Roman" w:hAnsi="Times New Roman"/>
          <w:b/>
          <w:noProof/>
          <w:sz w:val="24"/>
        </w:rPr>
        <w:footnoteReference w:id="41"/>
      </w:r>
      <w:r>
        <w:rPr>
          <w:rFonts w:ascii="Times New Roman" w:hAnsi="Times New Roman"/>
          <w:noProof/>
          <w:sz w:val="24"/>
        </w:rPr>
        <w:t xml:space="preserve"> omfattar redan ett sådant system, men under de första två åren utfärdades endast 16 000 blåkort, och av dessa utfärdades 13 000 av en enda medlemsstat. I slutet av maj kommer kommissionen att inled</w:t>
      </w:r>
      <w:r>
        <w:rPr>
          <w:rFonts w:ascii="Times New Roman" w:hAnsi="Times New Roman"/>
          <w:noProof/>
          <w:sz w:val="24"/>
        </w:rPr>
        <w:t>a ett offentligt samråd om blåkortsdirektivets framtid. En översyn av direktivet kommer att göras för att undersöka hur fler talanger effektivare ska kunna lockas till Europa. Översynen kommer att omfatta frågor som rör tillämpningsområdet, t.ex. företagar</w:t>
      </w:r>
      <w:r>
        <w:rPr>
          <w:rFonts w:ascii="Times New Roman" w:hAnsi="Times New Roman"/>
          <w:noProof/>
          <w:sz w:val="24"/>
        </w:rPr>
        <w:t xml:space="preserve">e som är beredda att investera i Europa, eller förbättrade möjligheter till rörlighet inom EU för innehavare av EU-blåkort.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En annan sektor med betydande inverkan på ekonomin är </w:t>
      </w:r>
      <w:r>
        <w:rPr>
          <w:rFonts w:ascii="Times New Roman" w:hAnsi="Times New Roman"/>
          <w:b/>
          <w:noProof/>
          <w:sz w:val="24"/>
        </w:rPr>
        <w:t>tjänstemarknaden</w:t>
      </w:r>
      <w:r>
        <w:rPr>
          <w:rFonts w:ascii="Times New Roman" w:hAnsi="Times New Roman"/>
          <w:noProof/>
          <w:sz w:val="24"/>
        </w:rPr>
        <w:t>. Tjänstesektorn omfattar välutbildade, högkvalificerade utlä</w:t>
      </w:r>
      <w:r>
        <w:rPr>
          <w:rFonts w:ascii="Times New Roman" w:hAnsi="Times New Roman"/>
          <w:noProof/>
          <w:sz w:val="24"/>
        </w:rPr>
        <w:t>ndska yrkesutövare som behöver resa in i EU under kortare perioder för att erbjuda företag och regeringar sina tjänster. Kommissionen kommer att utvärdera olika sätt att skapa rättssäkerhet för dessa kategorier av personer, också i syfte att stärka EU:s po</w:t>
      </w:r>
      <w:r>
        <w:rPr>
          <w:rFonts w:ascii="Times New Roman" w:hAnsi="Times New Roman"/>
          <w:noProof/>
          <w:sz w:val="24"/>
        </w:rPr>
        <w:t>sition när motprestationer begärs i förhandlingar om frihandelsavtal.</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Medlemsstaternas roll i dessa beslut kräver en direkt och öppen dialog för att bygga upp en gemensam inställning och politisk strategi samt utbyta bästa praxis på europeisk nivå. Kommiss</w:t>
      </w:r>
      <w:r>
        <w:rPr>
          <w:rFonts w:ascii="Times New Roman" w:hAnsi="Times New Roman"/>
          <w:noProof/>
          <w:sz w:val="24"/>
        </w:rPr>
        <w:t xml:space="preserve">ionen kommer att stödja medlemsstaterna i att främja en ständig dialog och inbördes utvärdering på europeisk nivå i frågor om brister på arbetsmarknaden, reglering och integration –frågor där beslut i en medlemsstat påverkar andra.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Kommissionen kommer ock</w:t>
      </w:r>
      <w:r>
        <w:rPr>
          <w:rFonts w:ascii="Times New Roman" w:hAnsi="Times New Roman"/>
          <w:noProof/>
          <w:sz w:val="24"/>
        </w:rPr>
        <w:t xml:space="preserve">så att inrätta en plattform för dialog i syfte att få impulser från företag, fackföreningar och andra arbetsmarknadsparter, för att maximera de fördelar som migrationen innebär för den europeiska ekonomin och migranterna själva. </w:t>
      </w:r>
    </w:p>
    <w:p w:rsidR="00F36D91" w:rsidRDefault="00C6414A">
      <w:pPr>
        <w:spacing w:before="120" w:line="240" w:lineRule="auto"/>
        <w:jc w:val="both"/>
        <w:rPr>
          <w:rFonts w:ascii="Times New Roman" w:hAnsi="Times New Roman" w:cs="Times New Roman"/>
          <w:noProof/>
          <w:sz w:val="24"/>
          <w:szCs w:val="24"/>
        </w:rPr>
      </w:pPr>
      <w:r>
        <w:rPr>
          <w:rFonts w:ascii="Times New Roman" w:hAnsi="Times New Roman"/>
          <w:noProof/>
          <w:sz w:val="24"/>
        </w:rPr>
        <w:t>EU behöver verktyg för att</w:t>
      </w:r>
      <w:r>
        <w:rPr>
          <w:rFonts w:ascii="Times New Roman" w:hAnsi="Times New Roman"/>
          <w:noProof/>
          <w:sz w:val="24"/>
        </w:rPr>
        <w:t xml:space="preserve"> identifiera vilka ekonomiska sektorer och yrken som har, eller kommer att drabbas av, </w:t>
      </w:r>
      <w:r>
        <w:rPr>
          <w:rFonts w:ascii="Times New Roman" w:hAnsi="Times New Roman"/>
          <w:b/>
          <w:noProof/>
          <w:sz w:val="24"/>
        </w:rPr>
        <w:t>rekryteringsproblem eller kompetensbrist</w:t>
      </w:r>
      <w:r>
        <w:rPr>
          <w:rFonts w:ascii="Times New Roman" w:hAnsi="Times New Roman"/>
          <w:noProof/>
          <w:sz w:val="24"/>
        </w:rPr>
        <w:t>. Genom de befintliga instrumenten tillhandahålls redan vissa uppgifter, men en fullständigare beskrivning är nödvändig.</w:t>
      </w:r>
      <w:r>
        <w:rPr>
          <w:rStyle w:val="FootnoteReference"/>
          <w:rFonts w:ascii="Times New Roman" w:hAnsi="Times New Roman"/>
          <w:noProof/>
          <w:sz w:val="24"/>
        </w:rPr>
        <w:footnoteReference w:id="42"/>
      </w:r>
      <w:r>
        <w:rPr>
          <w:rFonts w:ascii="Times New Roman" w:hAnsi="Times New Roman"/>
          <w:noProof/>
          <w:sz w:val="24"/>
        </w:rPr>
        <w:t xml:space="preserve"> Befintl</w:t>
      </w:r>
      <w:r>
        <w:rPr>
          <w:rFonts w:ascii="Times New Roman" w:hAnsi="Times New Roman"/>
          <w:noProof/>
          <w:sz w:val="24"/>
        </w:rPr>
        <w:t xml:space="preserve">iga webbportaler, såsom EU:s migrationsportal och den europeiska portalen för rörlighet i arbetslivet (Eures), skulle också kunna spela en viktig roll för att underlätta matchningen mellan utbud och efterfrågan för tredjelandsmedborgare som redan befinner </w:t>
      </w:r>
      <w:r>
        <w:rPr>
          <w:rFonts w:ascii="Times New Roman" w:hAnsi="Times New Roman"/>
          <w:noProof/>
          <w:sz w:val="24"/>
        </w:rPr>
        <w:t>sig i EU. Vid matchning av migranters kompetens utgör bristen på erkännande av kvalifikationer som invandrarna tillägnat sig i sina hemländer ett särskilt problem EU kan bidra till att förbättra kunskapen om kvalifikationer som förvärvats utanför EU.</w:t>
      </w:r>
      <w:r>
        <w:rPr>
          <w:rStyle w:val="FootnoteReference"/>
          <w:rFonts w:ascii="Times New Roman" w:hAnsi="Times New Roman"/>
          <w:noProof/>
          <w:sz w:val="24"/>
        </w:rPr>
        <w:footnoteReference w:id="43"/>
      </w:r>
      <w:r>
        <w:rPr>
          <w:rFonts w:ascii="Times New Roman" w:hAnsi="Times New Roman"/>
          <w:noProof/>
          <w:sz w:val="24"/>
        </w:rPr>
        <w:t xml:space="preserve">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Vår</w:t>
      </w:r>
      <w:r>
        <w:rPr>
          <w:rFonts w:ascii="Times New Roman" w:hAnsi="Times New Roman"/>
          <w:noProof/>
          <w:sz w:val="24"/>
        </w:rPr>
        <w:t xml:space="preserve">a ansträngningar för att utveckla den nya strategin för reguljär migration påverkas av hur </w:t>
      </w:r>
      <w:r>
        <w:rPr>
          <w:rFonts w:ascii="Times New Roman" w:hAnsi="Times New Roman"/>
          <w:b/>
          <w:noProof/>
          <w:sz w:val="24"/>
        </w:rPr>
        <w:t>vår viseringspolitik moderniseras</w:t>
      </w:r>
      <w:r>
        <w:rPr>
          <w:rFonts w:ascii="Times New Roman" w:hAnsi="Times New Roman"/>
          <w:noProof/>
          <w:sz w:val="24"/>
        </w:rPr>
        <w:t>.</w:t>
      </w:r>
      <w:r>
        <w:rPr>
          <w:rStyle w:val="FootnoteReference"/>
          <w:rFonts w:ascii="Times New Roman" w:hAnsi="Times New Roman"/>
          <w:noProof/>
          <w:sz w:val="24"/>
        </w:rPr>
        <w:footnoteReference w:id="44"/>
      </w:r>
      <w:r>
        <w:rPr>
          <w:rFonts w:ascii="Times New Roman" w:hAnsi="Times New Roman"/>
          <w:noProof/>
          <w:sz w:val="24"/>
        </w:rPr>
        <w:t xml:space="preserve"> Under 2014 lade kommissionen fram en omarbetad version av viseringskodexen och föreslog då också en ny typ av visering: rundresev</w:t>
      </w:r>
      <w:r>
        <w:rPr>
          <w:rFonts w:ascii="Times New Roman" w:hAnsi="Times New Roman"/>
          <w:noProof/>
          <w:sz w:val="24"/>
        </w:rPr>
        <w:t>isering.</w:t>
      </w:r>
      <w:r>
        <w:rPr>
          <w:rStyle w:val="FootnoteReference"/>
          <w:rFonts w:ascii="Times New Roman" w:hAnsi="Times New Roman"/>
          <w:noProof/>
          <w:sz w:val="24"/>
        </w:rPr>
        <w:footnoteReference w:id="45"/>
      </w:r>
      <w:r>
        <w:rPr>
          <w:rFonts w:ascii="Times New Roman" w:hAnsi="Times New Roman"/>
          <w:noProof/>
          <w:sz w:val="24"/>
        </w:rPr>
        <w:t xml:space="preserve"> Genom antagandet av dessa förslag kommer att ge EU mer flexibla viseringspolitiska verktyg, som syftar till att maximera de positiva ekonomiska effekterna av att locka hit fler turister och besökare med personliga eller professionella skäl och sa</w:t>
      </w:r>
      <w:r>
        <w:rPr>
          <w:rFonts w:ascii="Times New Roman" w:hAnsi="Times New Roman"/>
          <w:noProof/>
          <w:sz w:val="24"/>
        </w:rPr>
        <w:t xml:space="preserve">mtidigt minimera riskerna för irreguljär migration och osäkerhet. Före utgången av år 2015 kommer kommissionen också att slutföra sin pågående </w:t>
      </w:r>
      <w:r>
        <w:rPr>
          <w:rFonts w:ascii="Times New Roman" w:hAnsi="Times New Roman"/>
          <w:b/>
          <w:noProof/>
          <w:sz w:val="24"/>
        </w:rPr>
        <w:t>översyn av vilka medborgare som måste ha visering</w:t>
      </w:r>
      <w:r>
        <w:rPr>
          <w:rFonts w:ascii="Times New Roman" w:hAnsi="Times New Roman"/>
          <w:noProof/>
          <w:sz w:val="24"/>
        </w:rPr>
        <w:t>. Den kan komma att föreslå ett ömsesidigt upphävande av viserin</w:t>
      </w:r>
      <w:r>
        <w:rPr>
          <w:rFonts w:ascii="Times New Roman" w:hAnsi="Times New Roman"/>
          <w:noProof/>
          <w:sz w:val="24"/>
        </w:rPr>
        <w:t xml:space="preserve">gskraven för medborgare i vissa länder och ett återinförande av viseringstvång för andra. Därvid kommer hänsyn att tas till de pågående politiska dialogerna med viktiga länder i frågor som rör migration och rörlighet.     </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i/>
          <w:noProof/>
          <w:sz w:val="24"/>
        </w:rPr>
        <w:t>Effektiv integration</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Vår migratio</w:t>
      </w:r>
      <w:r>
        <w:rPr>
          <w:rFonts w:ascii="Times New Roman" w:hAnsi="Times New Roman"/>
          <w:noProof/>
          <w:sz w:val="24"/>
        </w:rPr>
        <w:t>nspolitik blir framgångsrik om den underbyggs med en effektiv integrationspolitik. Även om behörigheten primärt ligger hos medlemsstaterna, kan EU också stödja åtgärder från nationella regeringar, lokala myndigheter och det civila samhället som ingår i den</w:t>
      </w:r>
      <w:r>
        <w:rPr>
          <w:rFonts w:ascii="Times New Roman" w:hAnsi="Times New Roman"/>
          <w:noProof/>
          <w:sz w:val="24"/>
        </w:rPr>
        <w:t xml:space="preserve"> komplicerade och långsiktiga processen för att främja integration och ömsesidigt förtroende. </w:t>
      </w:r>
    </w:p>
    <w:p w:rsidR="00F36D91" w:rsidRDefault="00C6414A">
      <w:pPr>
        <w:spacing w:before="120" w:after="0" w:line="240" w:lineRule="auto"/>
        <w:jc w:val="both"/>
        <w:rPr>
          <w:rFonts w:ascii="Times New Roman" w:hAnsi="Times New Roman"/>
          <w:noProof/>
          <w:sz w:val="24"/>
          <w:szCs w:val="24"/>
        </w:rPr>
      </w:pPr>
      <w:r>
        <w:rPr>
          <w:rFonts w:ascii="Times New Roman" w:hAnsi="Times New Roman"/>
          <w:noProof/>
          <w:sz w:val="24"/>
        </w:rPr>
        <w:t xml:space="preserve">Finansiering tillhandahålls av asyl-, migrations- och integrationsfonden. Europeiska regionala utvecklingsfonden (Eruf) och Europeiska socialfonden (ESF) skulle </w:t>
      </w:r>
      <w:r>
        <w:rPr>
          <w:rFonts w:ascii="Times New Roman" w:hAnsi="Times New Roman"/>
          <w:noProof/>
          <w:sz w:val="24"/>
        </w:rPr>
        <w:t>också kunna spela en mycket viktig roll.</w:t>
      </w:r>
      <w:r>
        <w:rPr>
          <w:rStyle w:val="FootnoteReference"/>
          <w:rFonts w:ascii="Times New Roman" w:hAnsi="Times New Roman"/>
          <w:noProof/>
          <w:sz w:val="24"/>
        </w:rPr>
        <w:footnoteReference w:id="46"/>
      </w:r>
      <w:r>
        <w:rPr>
          <w:rFonts w:ascii="Times New Roman" w:hAnsi="Times New Roman"/>
          <w:noProof/>
          <w:sz w:val="24"/>
        </w:rPr>
        <w:t xml:space="preserve"> Under den nya programperioden (2014–2020) kommer minst 20 % av ESF-medlen att användas till social delaktighet, vilket inbegriper åtgärder för </w:t>
      </w:r>
      <w:r>
        <w:rPr>
          <w:rFonts w:ascii="Times New Roman" w:hAnsi="Times New Roman"/>
          <w:b/>
          <w:noProof/>
          <w:sz w:val="24"/>
        </w:rPr>
        <w:t>integrering av migranter</w:t>
      </w:r>
      <w:r>
        <w:rPr>
          <w:rFonts w:ascii="Times New Roman" w:hAnsi="Times New Roman"/>
          <w:noProof/>
          <w:sz w:val="24"/>
        </w:rPr>
        <w:t>, med särskild inriktning på asylsökande och fl</w:t>
      </w:r>
      <w:r>
        <w:rPr>
          <w:rFonts w:ascii="Times New Roman" w:hAnsi="Times New Roman"/>
          <w:noProof/>
          <w:sz w:val="24"/>
        </w:rPr>
        <w:t xml:space="preserve">yktingar, samt barn. </w:t>
      </w:r>
      <w:r>
        <w:rPr>
          <w:noProof/>
        </w:rPr>
        <w:t>Medlen kan användas till stöd för fördjupade språk- och yrkeskunskaper, förbättrad tillgång till tjänster, ökad tillgång till arbetsmarknaden, inkluderande undervisning, främjande av kulturutbyten och spridning av informationskampanjer</w:t>
      </w:r>
      <w:r>
        <w:rPr>
          <w:noProof/>
        </w:rPr>
        <w:t xml:space="preserve"> med inriktning på både värdsamhällena och migranterna.</w:t>
      </w:r>
      <w:r>
        <w:rPr>
          <w:rFonts w:ascii="Times New Roman" w:hAnsi="Times New Roman"/>
          <w:noProof/>
          <w:sz w:val="24"/>
        </w:rPr>
        <w:t xml:space="preserve">   </w:t>
      </w:r>
    </w:p>
    <w:p w:rsidR="00F36D91" w:rsidRDefault="00C6414A">
      <w:pPr>
        <w:spacing w:before="120" w:after="0" w:line="240" w:lineRule="auto"/>
        <w:jc w:val="both"/>
        <w:rPr>
          <w:rFonts w:ascii="Times New Roman" w:hAnsi="Times New Roman" w:cs="Times New Roman"/>
          <w:i/>
          <w:noProof/>
          <w:sz w:val="24"/>
          <w:szCs w:val="24"/>
        </w:rPr>
      </w:pPr>
      <w:r>
        <w:rPr>
          <w:rFonts w:ascii="Times New Roman" w:hAnsi="Times New Roman"/>
          <w:i/>
          <w:noProof/>
          <w:sz w:val="24"/>
        </w:rPr>
        <w:t>Maximera utvecklingsfördelarna för ursprungsländerna</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EU:s strategi för reguljär migration bör också stödja utvecklingen i ursprungsländerna</w:t>
      </w:r>
      <w:r>
        <w:rPr>
          <w:rStyle w:val="FootnoteReference"/>
          <w:rFonts w:ascii="Times New Roman" w:hAnsi="Times New Roman"/>
          <w:noProof/>
          <w:sz w:val="24"/>
        </w:rPr>
        <w:footnoteReference w:id="47"/>
      </w:r>
      <w:r>
        <w:rPr>
          <w:rFonts w:ascii="Times New Roman" w:hAnsi="Times New Roman"/>
          <w:noProof/>
          <w:sz w:val="24"/>
        </w:rPr>
        <w:t xml:space="preserve">. Förenta nationerna kommer inom kort att anta </w:t>
      </w:r>
      <w:r>
        <w:rPr>
          <w:rFonts w:ascii="Times New Roman" w:hAnsi="Times New Roman"/>
          <w:b/>
          <w:noProof/>
          <w:sz w:val="24"/>
        </w:rPr>
        <w:t>hållbara u</w:t>
      </w:r>
      <w:r>
        <w:rPr>
          <w:rFonts w:ascii="Times New Roman" w:hAnsi="Times New Roman"/>
          <w:b/>
          <w:noProof/>
          <w:sz w:val="24"/>
        </w:rPr>
        <w:t>tvecklingsmål</w:t>
      </w:r>
      <w:r>
        <w:rPr>
          <w:rFonts w:ascii="Times New Roman" w:hAnsi="Times New Roman"/>
          <w:noProof/>
          <w:sz w:val="24"/>
        </w:rPr>
        <w:t>, som bör innehålla migrationsrelaterade mål  tillsammans med mål på de områden som rör främjande av anständiga arbetsvillkor, ungdomssysselsättning, löne- och socialpolitik, vilka kan vara till hjälp för ursprungsländerna i deras arbete med a</w:t>
      </w:r>
      <w:r>
        <w:rPr>
          <w:rFonts w:ascii="Times New Roman" w:hAnsi="Times New Roman"/>
          <w:noProof/>
          <w:sz w:val="24"/>
        </w:rPr>
        <w:t>tt skapa bättre ekonomiska möjligheter. EU kommer fortsatt att aktivt stödja migrationsrelaterade mål som en del av den slutliga övergripande ramen och betona betydelsen av att utnyttja migrationens positiva effekter som en övergripande metod för genomföra</w:t>
      </w:r>
      <w:r>
        <w:rPr>
          <w:rFonts w:ascii="Times New Roman" w:hAnsi="Times New Roman"/>
          <w:noProof/>
          <w:sz w:val="24"/>
        </w:rPr>
        <w:t xml:space="preserve">nde av utvecklingsagendan efter 2015. Detta skulle komplettera det arbete som utförs av EU:s </w:t>
      </w:r>
      <w:r>
        <w:rPr>
          <w:rFonts w:ascii="Times New Roman" w:hAnsi="Times New Roman"/>
          <w:b/>
          <w:noProof/>
          <w:sz w:val="24"/>
        </w:rPr>
        <w:t>partnerskap för rörlighet</w:t>
      </w:r>
      <w:r>
        <w:rPr>
          <w:rStyle w:val="FootnoteReference"/>
          <w:rFonts w:ascii="Times New Roman" w:hAnsi="Times New Roman"/>
          <w:noProof/>
          <w:sz w:val="24"/>
        </w:rPr>
        <w:footnoteReference w:id="48"/>
      </w:r>
      <w:r>
        <w:rPr>
          <w:rFonts w:ascii="Times New Roman" w:hAnsi="Times New Roman"/>
          <w:noProof/>
          <w:sz w:val="24"/>
        </w:rPr>
        <w:t xml:space="preserve"> och våra ansträngningar att integrera migrationsfrågor i centrala utvecklingssektorer.</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Kommissionen kommer också att ställa minst 30 mil</w:t>
      </w:r>
      <w:r>
        <w:rPr>
          <w:rFonts w:ascii="Times New Roman" w:hAnsi="Times New Roman"/>
          <w:noProof/>
          <w:sz w:val="24"/>
        </w:rPr>
        <w:t xml:space="preserve">joner euro till förfogande för att stödja partnerländernas kapacitetsuppbyggnad med inriktning på </w:t>
      </w:r>
      <w:r>
        <w:rPr>
          <w:rFonts w:ascii="Times New Roman" w:hAnsi="Times New Roman"/>
          <w:b/>
          <w:noProof/>
          <w:sz w:val="24"/>
        </w:rPr>
        <w:t>effektiv hantering av arbetskraftsinvandring</w:t>
      </w:r>
      <w:r>
        <w:rPr>
          <w:rFonts w:ascii="Times New Roman" w:hAnsi="Times New Roman"/>
          <w:noProof/>
          <w:sz w:val="24"/>
        </w:rPr>
        <w:t xml:space="preserve">, för att öka migrerande arbetstagares inflytande och bekämpa exploatering. För att sprida Europas framgångar med </w:t>
      </w:r>
      <w:r>
        <w:rPr>
          <w:rFonts w:ascii="Times New Roman" w:hAnsi="Times New Roman"/>
          <w:noProof/>
          <w:sz w:val="24"/>
        </w:rPr>
        <w:t>inrättandet av en inre marknad byggd på arbetskraftens rörlighet har EU också inlett ett initiativ (budget: 24 miljoner euro) för att främja den fria rörligheten inom Västafrikanska staters ekonomiska gemenskap. Program för arbetskraftens rörlighet på regi</w:t>
      </w:r>
      <w:r>
        <w:rPr>
          <w:rFonts w:ascii="Times New Roman" w:hAnsi="Times New Roman"/>
          <w:noProof/>
          <w:sz w:val="24"/>
        </w:rPr>
        <w:t>onal nivå som ett sätt att uppmuntra rörligheten syd-syd kan lämna ett viktigt bidrag till den lokala utvecklingen. Kommissionen kommer också att främja etiska anställningsformer inom sektorer som lider brist på kvalificerad arbetskraft i ursprungsländerna</w:t>
      </w:r>
      <w:r>
        <w:rPr>
          <w:rFonts w:ascii="Times New Roman" w:hAnsi="Times New Roman"/>
          <w:noProof/>
          <w:sz w:val="24"/>
        </w:rPr>
        <w:t>, genom stöd till internationella initiativ på området.</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Ett sätt på vilket EU kan bidra till att säkerställa att ursprungsländerna gynnas av migrationen är genom att </w:t>
      </w:r>
      <w:r>
        <w:rPr>
          <w:rFonts w:ascii="Times New Roman" w:hAnsi="Times New Roman"/>
          <w:b/>
          <w:noProof/>
          <w:sz w:val="24"/>
        </w:rPr>
        <w:t>främja billigare, snabbare och säkrare penningöverföringar</w:t>
      </w:r>
      <w:r>
        <w:rPr>
          <w:rFonts w:ascii="Times New Roman" w:hAnsi="Times New Roman"/>
          <w:noProof/>
          <w:sz w:val="24"/>
        </w:rPr>
        <w:t>. Antagande av förslaget till EU</w:t>
      </w:r>
      <w:r>
        <w:rPr>
          <w:rFonts w:ascii="Times New Roman" w:hAnsi="Times New Roman"/>
          <w:noProof/>
          <w:sz w:val="24"/>
        </w:rPr>
        <w:t>:s direktiv om betaltjänster II</w:t>
      </w:r>
      <w:r>
        <w:rPr>
          <w:rStyle w:val="FootnoteReference"/>
          <w:rFonts w:ascii="Times New Roman" w:hAnsi="Times New Roman"/>
          <w:noProof/>
          <w:sz w:val="24"/>
        </w:rPr>
        <w:footnoteReference w:id="49"/>
      </w:r>
      <w:r>
        <w:rPr>
          <w:rFonts w:ascii="Times New Roman" w:hAnsi="Times New Roman"/>
          <w:noProof/>
          <w:sz w:val="24"/>
        </w:rPr>
        <w:t xml:space="preserve"> skulle bidra till att stärka regelverket för penningöverföringar, och minst 15 miljoner euro kommer att ställas till förfogande genom instrumentet för utvecklingssamarbete till stöd för flaggskeppsinitiativen i utvecklingsl</w:t>
      </w:r>
      <w:r>
        <w:rPr>
          <w:rFonts w:ascii="Times New Roman" w:hAnsi="Times New Roman"/>
          <w:noProof/>
          <w:sz w:val="24"/>
        </w:rPr>
        <w:t xml:space="preserve">änderna. </w:t>
      </w:r>
    </w:p>
    <w:p w:rsidR="00F36D91" w:rsidRDefault="00F36D91">
      <w:pPr>
        <w:spacing w:before="120" w:after="0" w:line="240" w:lineRule="auto"/>
        <w:jc w:val="both"/>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1668"/>
        <w:gridCol w:w="7620"/>
      </w:tblGrid>
      <w:tr w:rsidR="00F36D91">
        <w:trPr>
          <w:trHeight w:val="425"/>
        </w:trPr>
        <w:tc>
          <w:tcPr>
            <w:tcW w:w="16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36D91" w:rsidRDefault="00C6414A">
            <w:pPr>
              <w:jc w:val="center"/>
              <w:rPr>
                <w:rFonts w:ascii="Times New Roman" w:hAnsi="Times New Roman" w:cs="Times New Roman"/>
                <w:b/>
                <w:i/>
                <w:noProof/>
                <w:sz w:val="20"/>
                <w:szCs w:val="20"/>
              </w:rPr>
            </w:pPr>
            <w:r>
              <w:rPr>
                <w:rFonts w:ascii="Times New Roman" w:hAnsi="Times New Roman"/>
                <w:b/>
                <w:i/>
                <w:noProof/>
                <w:sz w:val="20"/>
              </w:rPr>
              <w:t>Nyckelåtgärder</w:t>
            </w:r>
          </w:p>
        </w:tc>
        <w:tc>
          <w:tcPr>
            <w:tcW w:w="7620" w:type="dxa"/>
            <w:tcBorders>
              <w:top w:val="single" w:sz="4" w:space="0" w:color="auto"/>
              <w:left w:val="single" w:sz="4" w:space="0" w:color="auto"/>
              <w:bottom w:val="single" w:sz="4" w:space="0" w:color="auto"/>
              <w:right w:val="single" w:sz="4" w:space="0" w:color="auto"/>
            </w:tcBorders>
            <w:hideMark/>
          </w:tcPr>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Modernisering och omarbetning av blåkortsystemet.</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En plattform för dialog med arbetsmarknadens parter om ekonomisk migration.</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Kraftfullare åtgärder för att koppla samman migration och utvecklingspolitik.</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 xml:space="preserve">Omprioriteringar i </w:t>
            </w:r>
            <w:r>
              <w:rPr>
                <w:rFonts w:ascii="Times New Roman" w:hAnsi="Times New Roman"/>
                <w:noProof/>
                <w:sz w:val="20"/>
              </w:rPr>
              <w:t>finansieringen av integrationspolitiken.</w:t>
            </w:r>
          </w:p>
          <w:p w:rsidR="00F36D91" w:rsidRDefault="00C6414A">
            <w:pPr>
              <w:pStyle w:val="ListParagraph"/>
              <w:numPr>
                <w:ilvl w:val="0"/>
                <w:numId w:val="37"/>
              </w:numPr>
              <w:jc w:val="both"/>
              <w:rPr>
                <w:rFonts w:ascii="Times New Roman" w:hAnsi="Times New Roman" w:cs="Times New Roman"/>
                <w:noProof/>
                <w:sz w:val="20"/>
                <w:szCs w:val="20"/>
              </w:rPr>
            </w:pPr>
            <w:r>
              <w:rPr>
                <w:rFonts w:ascii="Times New Roman" w:hAnsi="Times New Roman"/>
                <w:noProof/>
                <w:sz w:val="20"/>
              </w:rPr>
              <w:t>Billigare, snabbare och säkrare penningöverföringar.</w:t>
            </w:r>
          </w:p>
        </w:tc>
      </w:tr>
    </w:tbl>
    <w:p w:rsidR="00F36D91" w:rsidRDefault="00F36D91">
      <w:pPr>
        <w:tabs>
          <w:tab w:val="left" w:pos="6750"/>
        </w:tabs>
        <w:spacing w:line="240" w:lineRule="auto"/>
        <w:rPr>
          <w:rFonts w:ascii="Times New Roman" w:hAnsi="Times New Roman" w:cs="Times New Roman"/>
          <w:b/>
          <w:noProof/>
          <w:sz w:val="20"/>
          <w:szCs w:val="20"/>
        </w:rPr>
      </w:pPr>
    </w:p>
    <w:p w:rsidR="00F36D91" w:rsidRDefault="00C6414A">
      <w:pPr>
        <w:tabs>
          <w:tab w:val="left" w:pos="6750"/>
        </w:tabs>
        <w:spacing w:line="240" w:lineRule="auto"/>
        <w:rPr>
          <w:rFonts w:ascii="Times New Roman" w:hAnsi="Times New Roman" w:cs="Times New Roman"/>
          <w:b/>
          <w:noProof/>
          <w:sz w:val="36"/>
          <w:szCs w:val="36"/>
          <w:u w:val="single"/>
        </w:rPr>
      </w:pPr>
      <w:r>
        <w:rPr>
          <w:rFonts w:ascii="Times New Roman" w:hAnsi="Times New Roman"/>
          <w:b/>
          <w:noProof/>
          <w:sz w:val="36"/>
        </w:rPr>
        <w:t xml:space="preserve">IV. </w:t>
      </w:r>
      <w:r>
        <w:rPr>
          <w:rFonts w:ascii="Times New Roman" w:hAnsi="Times New Roman"/>
          <w:b/>
          <w:noProof/>
          <w:sz w:val="36"/>
          <w:u w:val="single"/>
        </w:rPr>
        <w:t>Framtidsutsikter</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Denna agenda är främst inriktad på lösningar som gör att Europa kan röra sig framåt på dessa områden på kort och medellång sikt. Men om vi </w:t>
      </w:r>
      <w:r>
        <w:rPr>
          <w:rFonts w:ascii="Times New Roman" w:hAnsi="Times New Roman"/>
          <w:noProof/>
          <w:sz w:val="24"/>
        </w:rPr>
        <w:t>på lång sikt ska kunna behandla dessa frågor på ett effektivt och hållbart sätt, måste det europeiska samarbetet på migrationsområdet fördjupas.</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Initiativen i agendan blir avgörande för att skapa en effektiv och balanserad europeisk migrationspolitik. Inom</w:t>
      </w:r>
      <w:r>
        <w:rPr>
          <w:rFonts w:ascii="Times New Roman" w:hAnsi="Times New Roman"/>
          <w:noProof/>
          <w:sz w:val="24"/>
        </w:rPr>
        <w:t xml:space="preserve"> ramen för sin behörighet enligt fördragen och de relevanta protokollen kommer kommissionen att inleda parallella diskussioner om ett antal områden:</w:t>
      </w:r>
    </w:p>
    <w:p w:rsidR="00F36D91" w:rsidRDefault="00C6414A">
      <w:pPr>
        <w:spacing w:before="120" w:after="0" w:line="240" w:lineRule="auto"/>
        <w:jc w:val="both"/>
        <w:rPr>
          <w:rFonts w:ascii="Times New Roman" w:hAnsi="Times New Roman" w:cs="Times New Roman"/>
          <w:noProof/>
          <w:sz w:val="24"/>
          <w:szCs w:val="24"/>
        </w:rPr>
      </w:pPr>
      <w:r>
        <w:rPr>
          <w:rFonts w:ascii="Times New Roman" w:hAnsi="Times New Roman"/>
          <w:noProof/>
          <w:sz w:val="24"/>
        </w:rPr>
        <w:t xml:space="preserve"> </w:t>
      </w:r>
    </w:p>
    <w:p w:rsidR="00F36D91" w:rsidRDefault="00C6414A">
      <w:pPr>
        <w:pStyle w:val="ListParagraph"/>
        <w:numPr>
          <w:ilvl w:val="0"/>
          <w:numId w:val="38"/>
        </w:numPr>
        <w:spacing w:after="0" w:line="240" w:lineRule="auto"/>
        <w:ind w:left="425" w:hanging="357"/>
        <w:jc w:val="both"/>
        <w:rPr>
          <w:rFonts w:ascii="Times New Roman" w:hAnsi="Times New Roman" w:cs="Times New Roman"/>
          <w:b/>
          <w:noProof/>
          <w:sz w:val="24"/>
          <w:szCs w:val="24"/>
        </w:rPr>
      </w:pPr>
      <w:r>
        <w:rPr>
          <w:rFonts w:ascii="Times New Roman" w:hAnsi="Times New Roman"/>
          <w:i/>
          <w:noProof/>
          <w:sz w:val="24"/>
        </w:rPr>
        <w:t>Fullföljande av det gemensamma europeiska asylsystemet:</w:t>
      </w:r>
      <w:r>
        <w:rPr>
          <w:rFonts w:ascii="Times New Roman" w:hAnsi="Times New Roman"/>
          <w:noProof/>
          <w:sz w:val="24"/>
        </w:rPr>
        <w:t xml:space="preserve"> I EU-fördragen förutses en enhetlig asylstatus so</w:t>
      </w:r>
      <w:r>
        <w:rPr>
          <w:rFonts w:ascii="Times New Roman" w:hAnsi="Times New Roman"/>
          <w:noProof/>
          <w:sz w:val="24"/>
        </w:rPr>
        <w:t>m gäller i hela unionen.</w:t>
      </w:r>
      <w:r>
        <w:rPr>
          <w:rFonts w:ascii="Times New Roman" w:hAnsi="Times New Roman"/>
          <w:b/>
          <w:noProof/>
          <w:sz w:val="24"/>
        </w:rPr>
        <w:t xml:space="preserve"> </w:t>
      </w:r>
      <w:r>
        <w:rPr>
          <w:rFonts w:ascii="Times New Roman" w:hAnsi="Times New Roman"/>
          <w:noProof/>
          <w:sz w:val="24"/>
        </w:rPr>
        <w:t>Kommissionen kommer att inleda en bred debatt om nästa steg i utvecklingen av det gemensamma europeiska asylsystemet, bl.a. om frågor som rör en gemensam asylkodex och ömsesidigt erkännande av asylbeslut.</w:t>
      </w:r>
      <w:r>
        <w:rPr>
          <w:rStyle w:val="FootnoteReference"/>
          <w:rFonts w:ascii="Times New Roman" w:hAnsi="Times New Roman"/>
          <w:noProof/>
          <w:sz w:val="24"/>
        </w:rPr>
        <w:footnoteReference w:id="50"/>
      </w:r>
      <w:r>
        <w:rPr>
          <w:rFonts w:ascii="Times New Roman" w:hAnsi="Times New Roman"/>
          <w:noProof/>
          <w:sz w:val="24"/>
        </w:rPr>
        <w:t xml:space="preserve"> Debatten kommer även att </w:t>
      </w:r>
      <w:r>
        <w:rPr>
          <w:rFonts w:ascii="Times New Roman" w:hAnsi="Times New Roman"/>
          <w:noProof/>
          <w:sz w:val="24"/>
        </w:rPr>
        <w:t>innehålla en mer långsiktig reflektion kring inrättandet av ett gemensamt asylförfarande, som syftar till att garantera likabehandling av asylsökande i hela Europa.</w:t>
      </w:r>
      <w:r>
        <w:rPr>
          <w:rFonts w:ascii="Times New Roman" w:hAnsi="Times New Roman"/>
          <w:b/>
          <w:noProof/>
          <w:sz w:val="24"/>
        </w:rPr>
        <w:t xml:space="preserve"> </w:t>
      </w:r>
    </w:p>
    <w:p w:rsidR="00F36D91" w:rsidRDefault="00F36D91">
      <w:pPr>
        <w:pStyle w:val="ListParagraph"/>
        <w:spacing w:before="120" w:after="0" w:line="240" w:lineRule="auto"/>
        <w:jc w:val="both"/>
        <w:rPr>
          <w:rFonts w:ascii="Times New Roman" w:hAnsi="Times New Roman" w:cs="Times New Roman"/>
          <w:b/>
          <w:noProof/>
          <w:sz w:val="24"/>
          <w:szCs w:val="24"/>
        </w:rPr>
      </w:pPr>
    </w:p>
    <w:p w:rsidR="00F36D91" w:rsidRDefault="00C6414A">
      <w:pPr>
        <w:pStyle w:val="ListParagraph"/>
        <w:numPr>
          <w:ilvl w:val="0"/>
          <w:numId w:val="38"/>
        </w:numPr>
        <w:spacing w:before="120" w:after="0" w:line="240" w:lineRule="auto"/>
        <w:ind w:left="426"/>
        <w:jc w:val="both"/>
        <w:rPr>
          <w:rFonts w:ascii="Times New Roman" w:hAnsi="Times New Roman" w:cs="Times New Roman"/>
          <w:noProof/>
          <w:sz w:val="24"/>
          <w:szCs w:val="24"/>
        </w:rPr>
      </w:pPr>
      <w:r>
        <w:rPr>
          <w:i/>
          <w:noProof/>
        </w:rPr>
        <w:t>En gemensam förvaltning av de yttre gränserna:</w:t>
      </w:r>
      <w:r>
        <w:rPr>
          <w:rFonts w:ascii="Times New Roman" w:hAnsi="Times New Roman"/>
          <w:noProof/>
          <w:sz w:val="24"/>
        </w:rPr>
        <w:t xml:space="preserve"> Upptrappningen av insatserna i Medelhavsom</w:t>
      </w:r>
      <w:r>
        <w:rPr>
          <w:rFonts w:ascii="Times New Roman" w:hAnsi="Times New Roman"/>
          <w:noProof/>
          <w:sz w:val="24"/>
        </w:rPr>
        <w:t>rådet visar att förvaltningen av de yttre gränserna i själva verket alltmer blivit ett gemensamt ansvar. Förutom ett eventuellt europeiskt system med gränsbevakningstjänstemän</w:t>
      </w:r>
      <w:r>
        <w:rPr>
          <w:rStyle w:val="FootnoteReference"/>
          <w:rFonts w:ascii="Times New Roman" w:hAnsi="Times New Roman"/>
          <w:noProof/>
          <w:sz w:val="24"/>
        </w:rPr>
        <w:footnoteReference w:id="51"/>
      </w:r>
      <w:r>
        <w:rPr>
          <w:rFonts w:ascii="Times New Roman" w:hAnsi="Times New Roman"/>
          <w:noProof/>
          <w:sz w:val="24"/>
        </w:rPr>
        <w:t xml:space="preserve"> skulle man även ta upp frågan om en ny strategi för kustbevakningen i EU, varvi</w:t>
      </w:r>
      <w:r>
        <w:rPr>
          <w:rFonts w:ascii="Times New Roman" w:hAnsi="Times New Roman"/>
          <w:noProof/>
          <w:sz w:val="24"/>
        </w:rPr>
        <w:t>d man undersöker initiativ såsom delad användning av utrustning, gemensamma övningar, militär och civil användning av resurser och möjligheten att utveckla en EU-kustbevakning.</w:t>
      </w:r>
    </w:p>
    <w:p w:rsidR="00F36D91" w:rsidRDefault="00F36D91">
      <w:pPr>
        <w:pStyle w:val="ListParagraph"/>
        <w:spacing w:line="240" w:lineRule="auto"/>
        <w:rPr>
          <w:rFonts w:ascii="Times New Roman" w:hAnsi="Times New Roman" w:cs="Times New Roman"/>
          <w:noProof/>
          <w:sz w:val="24"/>
          <w:szCs w:val="24"/>
        </w:rPr>
      </w:pPr>
    </w:p>
    <w:p w:rsidR="00F36D91" w:rsidRDefault="00C6414A">
      <w:pPr>
        <w:pStyle w:val="ListParagraph"/>
        <w:numPr>
          <w:ilvl w:val="0"/>
          <w:numId w:val="38"/>
        </w:numPr>
        <w:spacing w:before="120" w:after="0" w:line="240" w:lineRule="auto"/>
        <w:ind w:left="426"/>
        <w:jc w:val="both"/>
        <w:rPr>
          <w:rFonts w:ascii="Times New Roman" w:hAnsi="Times New Roman" w:cs="Times New Roman"/>
          <w:noProof/>
          <w:sz w:val="24"/>
          <w:szCs w:val="24"/>
        </w:rPr>
      </w:pPr>
      <w:r>
        <w:rPr>
          <w:rFonts w:ascii="Times New Roman" w:hAnsi="Times New Roman"/>
          <w:i/>
          <w:noProof/>
          <w:sz w:val="24"/>
        </w:rPr>
        <w:t>En ny modell för reguljär migration:</w:t>
      </w:r>
      <w:r>
        <w:rPr>
          <w:rFonts w:ascii="Times New Roman" w:hAnsi="Times New Roman"/>
          <w:noProof/>
          <w:sz w:val="24"/>
        </w:rPr>
        <w:t xml:space="preserve"> Enligt fördraget är det medlemsstaterna som fattar de slutliga besluten om rätt till inresa och vistelse för ekonomiska migranter. Men EU bör se över hur denna begränsning kan förenas med de gemensamma behov som finns i EU:s ekonomi. Kommissionen kommer s</w:t>
      </w:r>
      <w:r>
        <w:rPr>
          <w:rFonts w:ascii="Times New Roman" w:hAnsi="Times New Roman"/>
          <w:noProof/>
          <w:sz w:val="24"/>
        </w:rPr>
        <w:t xml:space="preserve">ärskilt att undersöka möjligheten att, tillsammans med medlemsstaterna, utveckla ett system med ”intresseanmälan”. I detta system skulle verifierbara kriterier användas för att automatiskt göra ett första urval bland potentiella migranter. Därefter skulle </w:t>
      </w:r>
      <w:r>
        <w:rPr>
          <w:rFonts w:ascii="Times New Roman" w:hAnsi="Times New Roman"/>
          <w:noProof/>
          <w:sz w:val="24"/>
        </w:rPr>
        <w:t>arbetsgivare få möjlighet att identifiera prioriterade sökande från listan över kandidater, och migration skulle ske när vederbörande person erbjudits arbete. Därigenom skulle vi få en EU-övergripande gemensam rekryteringsbas med högutbildade migranter för</w:t>
      </w:r>
      <w:r>
        <w:rPr>
          <w:rFonts w:ascii="Times New Roman" w:hAnsi="Times New Roman"/>
          <w:noProof/>
          <w:sz w:val="24"/>
        </w:rPr>
        <w:t xml:space="preserve"> både arbetsgivare och medlemsstaternas myndigheter – men det faktiska urvalet och inreseförfarandet skulle förbli nationellt, med utgångspunkt i medlemsstaternas faktiska behov på arbetsmarknaden.</w:t>
      </w:r>
    </w:p>
    <w:p w:rsidR="00F36D91" w:rsidRDefault="00F36D91">
      <w:pPr>
        <w:rPr>
          <w:rFonts w:ascii="Times New Roman" w:hAnsi="Times New Roman" w:cs="Times New Roman"/>
          <w:noProof/>
          <w:sz w:val="24"/>
          <w:szCs w:val="24"/>
        </w:rPr>
      </w:pPr>
    </w:p>
    <w:p w:rsidR="00F36D91" w:rsidRDefault="00C6414A">
      <w:pPr>
        <w:rPr>
          <w:rFonts w:ascii="Times New Roman" w:hAnsi="Times New Roman"/>
          <w:b/>
          <w:bCs/>
          <w:noProof/>
          <w:sz w:val="24"/>
          <w:szCs w:val="24"/>
        </w:rPr>
      </w:pPr>
      <w:r>
        <w:rPr>
          <w:noProof/>
        </w:rPr>
        <w:br w:type="page"/>
      </w:r>
    </w:p>
    <w:p w:rsidR="00F36D91" w:rsidRDefault="00C6414A">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BILAGA</w:t>
      </w:r>
    </w:p>
    <w:p w:rsidR="00F36D91" w:rsidRDefault="00F36D91">
      <w:pPr>
        <w:autoSpaceDE w:val="0"/>
        <w:autoSpaceDN w:val="0"/>
        <w:adjustRightInd w:val="0"/>
        <w:spacing w:after="0" w:line="360" w:lineRule="auto"/>
        <w:jc w:val="center"/>
        <w:rPr>
          <w:rFonts w:ascii="Times New Roman" w:hAnsi="Times New Roman"/>
          <w:b/>
          <w:bCs/>
          <w:noProof/>
          <w:sz w:val="24"/>
          <w:szCs w:val="24"/>
        </w:rPr>
      </w:pPr>
    </w:p>
    <w:p w:rsidR="00F36D91" w:rsidRDefault="00C6414A">
      <w:pPr>
        <w:autoSpaceDE w:val="0"/>
        <w:autoSpaceDN w:val="0"/>
        <w:adjustRightInd w:val="0"/>
        <w:spacing w:after="0" w:line="360" w:lineRule="auto"/>
        <w:jc w:val="center"/>
        <w:rPr>
          <w:rFonts w:ascii="Times New Roman" w:hAnsi="Times New Roman"/>
          <w:b/>
          <w:bCs/>
          <w:noProof/>
          <w:sz w:val="24"/>
          <w:szCs w:val="24"/>
        </w:rPr>
      </w:pPr>
      <w:r>
        <w:rPr>
          <w:rFonts w:ascii="Times New Roman" w:hAnsi="Times New Roman"/>
          <w:b/>
          <w:noProof/>
          <w:sz w:val="24"/>
        </w:rPr>
        <w:t>Europeiska system för omplacering och vidarebos</w:t>
      </w:r>
      <w:r>
        <w:rPr>
          <w:rFonts w:ascii="Times New Roman" w:hAnsi="Times New Roman"/>
          <w:b/>
          <w:noProof/>
          <w:sz w:val="24"/>
        </w:rPr>
        <w:t xml:space="preserve">ättning </w:t>
      </w:r>
    </w:p>
    <w:p w:rsidR="00F36D91" w:rsidRDefault="00C6414A">
      <w:pPr>
        <w:spacing w:after="120" w:line="240" w:lineRule="auto"/>
        <w:jc w:val="both"/>
        <w:rPr>
          <w:rFonts w:ascii="Times New Roman" w:hAnsi="Times New Roman"/>
          <w:b/>
          <w:noProof/>
          <w:sz w:val="24"/>
          <w:szCs w:val="24"/>
          <w:u w:val="single"/>
        </w:rPr>
      </w:pPr>
      <w:r>
        <w:rPr>
          <w:rFonts w:ascii="Times New Roman" w:hAnsi="Times New Roman"/>
          <w:b/>
          <w:noProof/>
          <w:sz w:val="24"/>
          <w:u w:val="single"/>
        </w:rPr>
        <w:t>Omplacering</w:t>
      </w:r>
    </w:p>
    <w:p w:rsidR="00F36D91" w:rsidRDefault="00C6414A">
      <w:pPr>
        <w:spacing w:after="120" w:line="240" w:lineRule="auto"/>
        <w:jc w:val="both"/>
        <w:rPr>
          <w:rFonts w:ascii="Times New Roman" w:eastAsia="Times New Roman" w:hAnsi="Times New Roman"/>
          <w:noProof/>
          <w:sz w:val="24"/>
          <w:szCs w:val="24"/>
        </w:rPr>
      </w:pPr>
      <w:r>
        <w:rPr>
          <w:rFonts w:ascii="Times New Roman" w:hAnsi="Times New Roman"/>
          <w:i/>
          <w:noProof/>
          <w:sz w:val="24"/>
        </w:rPr>
        <w:t>Omplacering</w:t>
      </w:r>
      <w:r>
        <w:rPr>
          <w:rFonts w:ascii="Times New Roman" w:hAnsi="Times New Roman"/>
          <w:noProof/>
          <w:sz w:val="24"/>
        </w:rPr>
        <w:t xml:space="preserve">: en fördelning mellan medlemsstater av personer i behov av internationellt skydd. </w:t>
      </w:r>
    </w:p>
    <w:p w:rsidR="00F36D91" w:rsidRDefault="00C6414A">
      <w:pPr>
        <w:spacing w:before="120" w:after="120" w:line="240" w:lineRule="auto"/>
        <w:jc w:val="both"/>
        <w:rPr>
          <w:rFonts w:ascii="Times New Roman" w:hAnsi="Times New Roman"/>
          <w:noProof/>
          <w:sz w:val="24"/>
          <w:szCs w:val="24"/>
        </w:rPr>
      </w:pPr>
      <w:r>
        <w:rPr>
          <w:rFonts w:ascii="Times New Roman" w:hAnsi="Times New Roman"/>
          <w:noProof/>
          <w:sz w:val="24"/>
        </w:rPr>
        <w:t xml:space="preserve">På grundval av en fördelningsnyckel kommer kommissionen i slutet av maj att föreslå att det krishanteringssystem som avses i artikel 78.3 i </w:t>
      </w:r>
      <w:r>
        <w:rPr>
          <w:rFonts w:ascii="Times New Roman" w:hAnsi="Times New Roman"/>
          <w:noProof/>
          <w:sz w:val="24"/>
        </w:rPr>
        <w:t xml:space="preserve">fördraget om Europeiska unionens funktionssätt aktiveras och att man inrättar ett </w:t>
      </w:r>
      <w:r>
        <w:rPr>
          <w:rFonts w:ascii="Times New Roman" w:hAnsi="Times New Roman"/>
          <w:b/>
          <w:noProof/>
          <w:sz w:val="24"/>
        </w:rPr>
        <w:t>tillfälligt europeiskt system för omplacering</w:t>
      </w:r>
      <w:r>
        <w:rPr>
          <w:rFonts w:ascii="Times New Roman" w:hAnsi="Times New Roman"/>
          <w:noProof/>
          <w:sz w:val="24"/>
        </w:rPr>
        <w:t xml:space="preserve"> av asylsökande i behov av internationellt skydd. </w:t>
      </w:r>
    </w:p>
    <w:p w:rsidR="00F36D91" w:rsidRDefault="00C6414A">
      <w:pPr>
        <w:spacing w:before="120" w:after="120" w:line="240" w:lineRule="auto"/>
        <w:jc w:val="both"/>
        <w:rPr>
          <w:rFonts w:ascii="Times New Roman" w:eastAsia="Times New Roman" w:hAnsi="Times New Roman"/>
          <w:noProof/>
          <w:sz w:val="24"/>
          <w:szCs w:val="24"/>
        </w:rPr>
      </w:pPr>
      <w:r>
        <w:rPr>
          <w:b/>
          <w:noProof/>
        </w:rPr>
        <w:t>Fördelningsnyckeln</w:t>
      </w:r>
      <w:r>
        <w:rPr>
          <w:noProof/>
        </w:rPr>
        <w:t xml:space="preserve"> ska grunda sig på </w:t>
      </w:r>
      <w:r>
        <w:rPr>
          <w:b/>
          <w:noProof/>
        </w:rPr>
        <w:t>objektiva, mätbara och kontrollerbara kri</w:t>
      </w:r>
      <w:r>
        <w:rPr>
          <w:b/>
          <w:noProof/>
        </w:rPr>
        <w:t>terier som återspeglar medlemsstaternas förmåga att ta emot och integrera flyktingar</w:t>
      </w:r>
      <w:r>
        <w:rPr>
          <w:noProof/>
        </w:rPr>
        <w:t>, med lämpliga viktningsfaktorer som avspeglar den relativa betydelsen av sådana kriterier (</w:t>
      </w:r>
      <w:r>
        <w:rPr>
          <w:i/>
          <w:noProof/>
        </w:rPr>
        <w:t>se tabell 1 nedan</w:t>
      </w:r>
      <w:r>
        <w:rPr>
          <w:noProof/>
        </w:rPr>
        <w:t>).</w:t>
      </w:r>
      <w:r>
        <w:rPr>
          <w:rFonts w:ascii="Times New Roman" w:hAnsi="Times New Roman"/>
          <w:noProof/>
          <w:sz w:val="24"/>
        </w:rPr>
        <w:t xml:space="preserve"> Detta kommer att grunda sig på följande:</w:t>
      </w:r>
      <w:r>
        <w:rPr>
          <w:rStyle w:val="FootnoteReference"/>
          <w:rFonts w:ascii="Times New Roman" w:hAnsi="Times New Roman"/>
          <w:noProof/>
          <w:sz w:val="24"/>
        </w:rPr>
        <w:footnoteReference w:id="52"/>
      </w:r>
    </w:p>
    <w:p w:rsidR="00F36D91" w:rsidRDefault="00C6414A">
      <w:pPr>
        <w:pStyle w:val="ListParagraph"/>
        <w:numPr>
          <w:ilvl w:val="0"/>
          <w:numId w:val="39"/>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Befolkningens stor</w:t>
      </w:r>
      <w:r>
        <w:rPr>
          <w:rFonts w:ascii="Times New Roman" w:hAnsi="Times New Roman"/>
          <w:noProof/>
          <w:sz w:val="24"/>
        </w:rPr>
        <w:t>lek (40 %), vilken återspeglar förmågan att ta emot ett visst antal flyktingar.</w:t>
      </w:r>
    </w:p>
    <w:p w:rsidR="00F36D91" w:rsidRDefault="00C6414A">
      <w:pPr>
        <w:pStyle w:val="ListParagraph"/>
        <w:numPr>
          <w:ilvl w:val="0"/>
          <w:numId w:val="39"/>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Total BNP</w:t>
      </w:r>
      <w:r>
        <w:rPr>
          <w:rStyle w:val="FootnoteReference"/>
          <w:rFonts w:ascii="Times New Roman" w:hAnsi="Times New Roman"/>
          <w:noProof/>
          <w:sz w:val="24"/>
        </w:rPr>
        <w:footnoteReference w:id="53"/>
      </w:r>
      <w:r>
        <w:rPr>
          <w:rFonts w:ascii="Times New Roman" w:hAnsi="Times New Roman"/>
          <w:noProof/>
          <w:sz w:val="24"/>
        </w:rPr>
        <w:t xml:space="preserve"> (40 %), vilken återspeglar ett lands absoluta välstånd och således är vägledande för en ekonomis förmåga att ta emot och integrera flyktingar. </w:t>
      </w:r>
    </w:p>
    <w:p w:rsidR="00F36D91" w:rsidRDefault="00C6414A">
      <w:pPr>
        <w:pStyle w:val="ListParagraph"/>
        <w:numPr>
          <w:ilvl w:val="0"/>
          <w:numId w:val="39"/>
        </w:numPr>
        <w:autoSpaceDE w:val="0"/>
        <w:autoSpaceDN w:val="0"/>
        <w:adjustRightInd w:val="0"/>
        <w:spacing w:after="120" w:line="240" w:lineRule="auto"/>
        <w:jc w:val="both"/>
        <w:rPr>
          <w:rFonts w:ascii="Times New Roman" w:eastAsia="Times New Roman" w:hAnsi="Times New Roman"/>
          <w:noProof/>
          <w:sz w:val="24"/>
          <w:szCs w:val="24"/>
        </w:rPr>
      </w:pPr>
      <w:r>
        <w:rPr>
          <w:rFonts w:ascii="Times New Roman" w:hAnsi="Times New Roman"/>
          <w:noProof/>
          <w:sz w:val="24"/>
        </w:rPr>
        <w:t>Det genomsnittliga an</w:t>
      </w:r>
      <w:r>
        <w:rPr>
          <w:rFonts w:ascii="Times New Roman" w:hAnsi="Times New Roman"/>
          <w:noProof/>
          <w:sz w:val="24"/>
        </w:rPr>
        <w:t>talet spontana asylansökningar och antalet vidarebosatta flyktingar per 1 miljon invånare under perioden 2010–2014 (10 %), vilket återspeglar medlemsstaternas ansträngningar under den senaste tiden.</w:t>
      </w:r>
    </w:p>
    <w:p w:rsidR="00F36D91" w:rsidRDefault="00C6414A">
      <w:pPr>
        <w:pStyle w:val="ListParagraph"/>
        <w:numPr>
          <w:ilvl w:val="0"/>
          <w:numId w:val="39"/>
        </w:num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Arbetslöshetsnivån (10 %) som en indikator på förmågan at</w:t>
      </w:r>
      <w:r>
        <w:rPr>
          <w:rFonts w:ascii="Times New Roman" w:hAnsi="Times New Roman"/>
          <w:noProof/>
          <w:sz w:val="24"/>
        </w:rPr>
        <w:t xml:space="preserve">t integrera flyktingar. </w:t>
      </w:r>
    </w:p>
    <w:p w:rsidR="00F36D91" w:rsidRDefault="00C6414A">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Det faktiska antalet migranter som skulle omplaceras till varje medlemsstat kommer att bero på det totala antalet personer som ska omplaceras och kommer att ingå i lagstiftningsförslaget.</w:t>
      </w:r>
    </w:p>
    <w:p w:rsidR="00F36D91" w:rsidRDefault="00C6414A">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Den mottagande medlemsstaten ansvarar för </w:t>
      </w:r>
      <w:r>
        <w:rPr>
          <w:rFonts w:ascii="Times New Roman" w:hAnsi="Times New Roman"/>
          <w:noProof/>
          <w:sz w:val="24"/>
        </w:rPr>
        <w:t>prövningen av asylansökan i enlighet med fastställda regler och garantier.</w:t>
      </w:r>
    </w:p>
    <w:p w:rsidR="00F36D91" w:rsidRDefault="00C6414A">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Vid tillämpningen av den grundläggande fördelningsnyckeln ska det specifika krisläget beaktas. De medlemsstater varifrån flyttningen kommer att äga rum bör inte själva agera omplace</w:t>
      </w:r>
      <w:r>
        <w:rPr>
          <w:rFonts w:ascii="Times New Roman" w:hAnsi="Times New Roman"/>
          <w:noProof/>
          <w:sz w:val="24"/>
        </w:rPr>
        <w:t>rande medlemsstat. Förslaget kommer att återspegla den ståndpunkt som Förenade kungariket, Irland och Danmark i enlighet med respektive protokoll till fördragen.</w:t>
      </w:r>
    </w:p>
    <w:p w:rsidR="00F36D91" w:rsidRDefault="00F36D91">
      <w:pPr>
        <w:autoSpaceDE w:val="0"/>
        <w:autoSpaceDN w:val="0"/>
        <w:adjustRightInd w:val="0"/>
        <w:spacing w:after="120" w:line="240" w:lineRule="auto"/>
        <w:jc w:val="both"/>
        <w:rPr>
          <w:rFonts w:ascii="Times New Roman" w:hAnsi="Times New Roman"/>
          <w:noProof/>
          <w:sz w:val="24"/>
          <w:szCs w:val="24"/>
        </w:rPr>
      </w:pPr>
    </w:p>
    <w:p w:rsidR="00F36D91" w:rsidRDefault="00C6414A">
      <w:pPr>
        <w:autoSpaceDE w:val="0"/>
        <w:autoSpaceDN w:val="0"/>
        <w:adjustRightInd w:val="0"/>
        <w:spacing w:after="120" w:line="240" w:lineRule="auto"/>
        <w:jc w:val="both"/>
        <w:rPr>
          <w:rFonts w:ascii="Times New Roman" w:eastAsia="Times New Roman" w:hAnsi="Times New Roman"/>
          <w:b/>
          <w:noProof/>
          <w:sz w:val="24"/>
          <w:szCs w:val="24"/>
          <w:u w:val="single"/>
        </w:rPr>
      </w:pPr>
      <w:r>
        <w:rPr>
          <w:rFonts w:ascii="Times New Roman" w:hAnsi="Times New Roman"/>
          <w:b/>
          <w:noProof/>
          <w:sz w:val="24"/>
          <w:u w:val="single"/>
        </w:rPr>
        <w:t>Vidarebosättning</w:t>
      </w:r>
    </w:p>
    <w:p w:rsidR="00F36D91" w:rsidRDefault="00C6414A">
      <w:pPr>
        <w:spacing w:after="120" w:line="240" w:lineRule="auto"/>
        <w:jc w:val="both"/>
        <w:rPr>
          <w:rFonts w:ascii="Times New Roman" w:eastAsia="Times New Roman" w:hAnsi="Times New Roman"/>
          <w:noProof/>
          <w:sz w:val="24"/>
          <w:szCs w:val="24"/>
        </w:rPr>
      </w:pPr>
      <w:r>
        <w:rPr>
          <w:rFonts w:ascii="Times New Roman" w:hAnsi="Times New Roman"/>
          <w:i/>
          <w:noProof/>
          <w:sz w:val="24"/>
        </w:rPr>
        <w:t>Vidarebosättning</w:t>
      </w:r>
      <w:r>
        <w:rPr>
          <w:rFonts w:ascii="Times New Roman" w:hAnsi="Times New Roman"/>
          <w:noProof/>
          <w:sz w:val="24"/>
        </w:rPr>
        <w:t>: omfördelning av fördrivna individer i behov av internationellt skydd, på förslag av FN:s flyktingkommissariat och i samförstånd med det land som berörs av vidarebosättningen, från ett tredjeland till en medlemsstat som kommer att bevilja dem inresa och v</w:t>
      </w:r>
      <w:r>
        <w:rPr>
          <w:rFonts w:ascii="Times New Roman" w:hAnsi="Times New Roman"/>
          <w:noProof/>
          <w:sz w:val="24"/>
        </w:rPr>
        <w:t xml:space="preserve">istelse samt andra rättigheter som är jämförbara med dem som beviljas en person som beviljats internationellt skydd. </w:t>
      </w:r>
    </w:p>
    <w:p w:rsidR="00F36D91" w:rsidRDefault="00C6414A">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noProof/>
          <w:sz w:val="24"/>
        </w:rPr>
        <w:t xml:space="preserve">I slutet av maj kommer kommissionen att anta en rekommendation om ett </w:t>
      </w:r>
      <w:r>
        <w:rPr>
          <w:rFonts w:ascii="Times New Roman" w:hAnsi="Times New Roman"/>
          <w:b/>
          <w:noProof/>
          <w:sz w:val="24"/>
        </w:rPr>
        <w:t>europeiskt program för vidarebosättning</w:t>
      </w:r>
      <w:r>
        <w:rPr>
          <w:rFonts w:ascii="Times New Roman" w:hAnsi="Times New Roman"/>
          <w:noProof/>
          <w:sz w:val="24"/>
        </w:rPr>
        <w:t xml:space="preserve">. </w:t>
      </w:r>
    </w:p>
    <w:p w:rsidR="00F36D91" w:rsidRDefault="00C6414A">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Detta system ska omfatta a</w:t>
      </w:r>
      <w:r>
        <w:rPr>
          <w:rFonts w:ascii="Times New Roman" w:hAnsi="Times New Roman"/>
          <w:b/>
          <w:noProof/>
          <w:sz w:val="24"/>
        </w:rPr>
        <w:t xml:space="preserve">lla medlemsstater. </w:t>
      </w:r>
      <w:r>
        <w:rPr>
          <w:b/>
          <w:noProof/>
        </w:rPr>
        <w:t>De associerade staterna kommer att uppmanas att delta</w:t>
      </w:r>
      <w:r>
        <w:rPr>
          <w:noProof/>
        </w:rPr>
        <w:t xml:space="preserve"> i programmet.</w:t>
      </w:r>
      <w:r>
        <w:rPr>
          <w:rFonts w:ascii="Times New Roman" w:hAnsi="Times New Roman"/>
          <w:noProof/>
          <w:sz w:val="24"/>
        </w:rPr>
        <w:t xml:space="preserve"> Andelen av de totalt utlovade platserna kommer att fördelas till varje medlemsstat på grundval av samma </w:t>
      </w:r>
      <w:r>
        <w:rPr>
          <w:rFonts w:ascii="Times New Roman" w:hAnsi="Times New Roman"/>
          <w:b/>
          <w:noProof/>
          <w:sz w:val="24"/>
        </w:rPr>
        <w:t>fördelningsnyckel</w:t>
      </w:r>
      <w:r>
        <w:rPr>
          <w:rFonts w:ascii="Times New Roman" w:hAnsi="Times New Roman"/>
          <w:noProof/>
          <w:sz w:val="24"/>
        </w:rPr>
        <w:t xml:space="preserve"> som avses för det ovannämnda systemet för ompla</w:t>
      </w:r>
      <w:r>
        <w:rPr>
          <w:rFonts w:ascii="Times New Roman" w:hAnsi="Times New Roman"/>
          <w:noProof/>
          <w:sz w:val="24"/>
        </w:rPr>
        <w:t>cering (</w:t>
      </w:r>
      <w:r>
        <w:rPr>
          <w:rFonts w:ascii="Times New Roman" w:hAnsi="Times New Roman"/>
          <w:i/>
          <w:noProof/>
          <w:sz w:val="24"/>
        </w:rPr>
        <w:t>se tabell 2 nedan</w:t>
      </w:r>
      <w:r>
        <w:rPr>
          <w:rFonts w:ascii="Times New Roman" w:hAnsi="Times New Roman"/>
          <w:noProof/>
          <w:sz w:val="24"/>
        </w:rPr>
        <w:t>).</w:t>
      </w:r>
    </w:p>
    <w:p w:rsidR="00F36D91" w:rsidRDefault="00C6414A">
      <w:pPr>
        <w:spacing w:after="120" w:line="240" w:lineRule="auto"/>
        <w:jc w:val="both"/>
        <w:rPr>
          <w:rFonts w:ascii="Times New Roman" w:hAnsi="Times New Roman"/>
          <w:noProof/>
          <w:sz w:val="24"/>
          <w:szCs w:val="24"/>
        </w:rPr>
      </w:pPr>
      <w:r>
        <w:rPr>
          <w:rFonts w:ascii="Times New Roman" w:hAnsi="Times New Roman"/>
          <w:noProof/>
          <w:sz w:val="24"/>
        </w:rPr>
        <w:t xml:space="preserve">Systemet kommer att bestå av en </w:t>
      </w:r>
      <w:r>
        <w:rPr>
          <w:rFonts w:ascii="Times New Roman" w:hAnsi="Times New Roman"/>
          <w:b/>
          <w:noProof/>
          <w:sz w:val="24"/>
        </w:rPr>
        <w:t>gemensam europeisk utfästelse</w:t>
      </w:r>
      <w:r>
        <w:rPr>
          <w:rFonts w:ascii="Times New Roman" w:hAnsi="Times New Roman"/>
          <w:noProof/>
          <w:sz w:val="24"/>
        </w:rPr>
        <w:t xml:space="preserve"> om </w:t>
      </w:r>
      <w:r>
        <w:rPr>
          <w:rFonts w:ascii="Times New Roman" w:hAnsi="Times New Roman"/>
          <w:b/>
          <w:noProof/>
          <w:sz w:val="24"/>
        </w:rPr>
        <w:t>20 000</w:t>
      </w:r>
      <w:r>
        <w:rPr>
          <w:rFonts w:ascii="Times New Roman" w:hAnsi="Times New Roman"/>
          <w:noProof/>
          <w:sz w:val="24"/>
        </w:rPr>
        <w:t xml:space="preserve"> platser för vidarebosättning. </w:t>
      </w:r>
    </w:p>
    <w:p w:rsidR="00F36D91" w:rsidRDefault="00C6414A">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Kommissionen kommer att bidra till systemet</w:t>
      </w:r>
      <w:r>
        <w:rPr>
          <w:rFonts w:ascii="Times New Roman" w:hAnsi="Times New Roman"/>
          <w:noProof/>
          <w:sz w:val="24"/>
        </w:rPr>
        <w:t xml:space="preserve"> genom att frigöra ytterligare totalt 50 miljoner euro för 2015 och 2016. </w:t>
      </w:r>
    </w:p>
    <w:p w:rsidR="00F36D91" w:rsidRDefault="00C6414A">
      <w:pPr>
        <w:autoSpaceDE w:val="0"/>
        <w:autoSpaceDN w:val="0"/>
        <w:adjustRightInd w:val="0"/>
        <w:spacing w:after="120" w:line="240" w:lineRule="auto"/>
        <w:jc w:val="both"/>
        <w:rPr>
          <w:rFonts w:ascii="Times New Roman" w:hAnsi="Times New Roman"/>
          <w:noProof/>
          <w:sz w:val="24"/>
          <w:szCs w:val="24"/>
        </w:rPr>
      </w:pPr>
      <w:r>
        <w:rPr>
          <w:rFonts w:ascii="Times New Roman" w:hAnsi="Times New Roman"/>
          <w:b/>
          <w:noProof/>
          <w:sz w:val="24"/>
        </w:rPr>
        <w:t>De prio</w:t>
      </w:r>
      <w:r>
        <w:rPr>
          <w:rFonts w:ascii="Times New Roman" w:hAnsi="Times New Roman"/>
          <w:b/>
          <w:noProof/>
          <w:sz w:val="24"/>
        </w:rPr>
        <w:t>riterade regionerna för vidarebosättning</w:t>
      </w:r>
      <w:r>
        <w:rPr>
          <w:rFonts w:ascii="Times New Roman" w:hAnsi="Times New Roman"/>
          <w:noProof/>
          <w:sz w:val="24"/>
        </w:rPr>
        <w:t xml:space="preserve"> kommer att omfatta Nordafrika, Mellanöstern och Afrikas horn, med fokus på de länder där regionala utvecklings- och skyddsprogram håller på att genomföras. Syftet är att upprätta nära förbindelser med dessa program.</w:t>
      </w:r>
      <w:r>
        <w:rPr>
          <w:rFonts w:ascii="Times New Roman" w:hAnsi="Times New Roman"/>
          <w:noProof/>
          <w:sz w:val="24"/>
        </w:rPr>
        <w:t xml:space="preserve"> </w:t>
      </w:r>
    </w:p>
    <w:p w:rsidR="00F36D91" w:rsidRDefault="00C6414A">
      <w:pPr>
        <w:pStyle w:val="Point123"/>
        <w:numPr>
          <w:ilvl w:val="0"/>
          <w:numId w:val="0"/>
        </w:numPr>
        <w:tabs>
          <w:tab w:val="left" w:pos="720"/>
        </w:tabs>
        <w:spacing w:before="0" w:line="240" w:lineRule="auto"/>
        <w:jc w:val="both"/>
        <w:rPr>
          <w:noProof/>
        </w:rPr>
      </w:pPr>
      <w:r>
        <w:rPr>
          <w:b/>
          <w:noProof/>
        </w:rPr>
        <w:t>Samarbetet med FN:s flyktingkommissariat</w:t>
      </w:r>
      <w:r>
        <w:rPr>
          <w:noProof/>
        </w:rPr>
        <w:t xml:space="preserve"> (UNHCR) och andra berörda organisationer kommer att åberopas för att medverka vid genomförandet, i enlighet med nuvarande praxis (identifiering, ansökan, omfördelning m.m.). Det är även tänkbart att låta </w:t>
      </w:r>
      <w:r>
        <w:rPr>
          <w:b/>
          <w:noProof/>
        </w:rPr>
        <w:t>Europeisk</w:t>
      </w:r>
      <w:r>
        <w:rPr>
          <w:b/>
          <w:noProof/>
        </w:rPr>
        <w:t xml:space="preserve">a stödkontoret för asylfrågor delta </w:t>
      </w:r>
      <w:r>
        <w:rPr>
          <w:noProof/>
        </w:rPr>
        <w:t>i systemet. Varje medlemsstat kommer även fortsättningsvis att ansvara för individuella inresebeslut.</w:t>
      </w:r>
    </w:p>
    <w:p w:rsidR="00F36D91" w:rsidRDefault="00C6414A">
      <w:pPr>
        <w:spacing w:after="120" w:line="240" w:lineRule="auto"/>
        <w:jc w:val="both"/>
        <w:rPr>
          <w:rFonts w:ascii="Times New Roman" w:hAnsi="Times New Roman"/>
          <w:noProof/>
          <w:sz w:val="24"/>
          <w:szCs w:val="24"/>
        </w:rPr>
      </w:pPr>
      <w:r>
        <w:rPr>
          <w:rFonts w:ascii="Times New Roman" w:hAnsi="Times New Roman"/>
          <w:noProof/>
          <w:sz w:val="24"/>
        </w:rPr>
        <w:t xml:space="preserve">Kommissionen är medveten om </w:t>
      </w:r>
      <w:r>
        <w:rPr>
          <w:rFonts w:ascii="Times New Roman" w:hAnsi="Times New Roman"/>
          <w:b/>
          <w:noProof/>
          <w:sz w:val="24"/>
        </w:rPr>
        <w:t>risken för spontana sekundära förflyttningar</w:t>
      </w:r>
      <w:r>
        <w:rPr>
          <w:rFonts w:ascii="Times New Roman" w:hAnsi="Times New Roman"/>
          <w:noProof/>
          <w:sz w:val="24"/>
        </w:rPr>
        <w:t xml:space="preserve"> av vidarebosatta personer.  Det är ett proble</w:t>
      </w:r>
      <w:r>
        <w:rPr>
          <w:rFonts w:ascii="Times New Roman" w:hAnsi="Times New Roman"/>
          <w:noProof/>
          <w:sz w:val="24"/>
        </w:rPr>
        <w:t>m som kommer att lösas genom att villkora vidarebosättning med en överenskommelse om att den vidarebosatta personen ska bo kvar i staten för vidarebosättning i minst fem år, samtidigt som de informeras om konsekvenserna av vidareflytt inom EU och det faktu</w:t>
      </w:r>
      <w:r>
        <w:rPr>
          <w:rFonts w:ascii="Times New Roman" w:hAnsi="Times New Roman"/>
          <w:noProof/>
          <w:sz w:val="24"/>
        </w:rPr>
        <w:t>m att det inte går att få rättslig status i en annan medlemsstat eller få tillgång till sociala rättigheter där.  Skyndsam identifiering och snabbt återsändande av personer som inte följer en sådan överenskommelse är redan möjligt enligt EU:s lagstiftning.</w:t>
      </w:r>
      <w:r>
        <w:rPr>
          <w:rFonts w:ascii="Times New Roman" w:hAnsi="Times New Roman"/>
          <w:noProof/>
          <w:sz w:val="24"/>
        </w:rPr>
        <w:t xml:space="preserve"> Kommissionen ska i samarbete med medlemsstaterna och berörda organ vidareutveckla verktyg för att praktiskt tillämpa dessa åtgärder.  </w:t>
      </w:r>
    </w:p>
    <w:p w:rsidR="00F36D91" w:rsidRDefault="00F36D91">
      <w:pPr>
        <w:spacing w:after="120" w:line="240" w:lineRule="auto"/>
        <w:jc w:val="both"/>
        <w:rPr>
          <w:rFonts w:ascii="Times New Roman" w:hAnsi="Times New Roman"/>
          <w:noProof/>
          <w:sz w:val="24"/>
          <w:szCs w:val="24"/>
        </w:rPr>
      </w:pPr>
    </w:p>
    <w:p w:rsidR="00F36D91" w:rsidRDefault="00F36D91">
      <w:pPr>
        <w:spacing w:before="120" w:after="120" w:line="266" w:lineRule="auto"/>
        <w:jc w:val="both"/>
        <w:rPr>
          <w:rFonts w:ascii="Times New Roman" w:hAnsi="Times New Roman"/>
          <w:noProof/>
          <w:sz w:val="24"/>
          <w:szCs w:val="24"/>
        </w:rPr>
      </w:pPr>
    </w:p>
    <w:p w:rsidR="00F36D91" w:rsidRDefault="00F36D91">
      <w:pPr>
        <w:spacing w:before="120" w:after="120" w:line="268" w:lineRule="auto"/>
        <w:jc w:val="both"/>
        <w:rPr>
          <w:rFonts w:ascii="Times New Roman" w:hAnsi="Times New Roman"/>
          <w:noProof/>
          <w:sz w:val="24"/>
          <w:szCs w:val="24"/>
        </w:rPr>
      </w:pPr>
    </w:p>
    <w:p w:rsidR="00F36D91" w:rsidRDefault="00F36D91">
      <w:pPr>
        <w:spacing w:before="120" w:after="120" w:line="268" w:lineRule="auto"/>
        <w:jc w:val="both"/>
        <w:rPr>
          <w:rFonts w:ascii="Times New Roman" w:hAnsi="Times New Roman"/>
          <w:noProof/>
          <w:sz w:val="24"/>
          <w:szCs w:val="24"/>
        </w:rPr>
      </w:pPr>
    </w:p>
    <w:p w:rsidR="00F36D91" w:rsidRDefault="00F36D91">
      <w:pPr>
        <w:spacing w:before="120" w:after="120" w:line="268" w:lineRule="auto"/>
        <w:jc w:val="both"/>
        <w:rPr>
          <w:rFonts w:ascii="Times New Roman" w:hAnsi="Times New Roman"/>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F36D91">
      <w:pPr>
        <w:spacing w:after="0" w:line="240" w:lineRule="auto"/>
        <w:rPr>
          <w:rFonts w:ascii="Times New Roman" w:hAnsi="Times New Roman"/>
          <w:b/>
          <w:noProof/>
          <w:sz w:val="24"/>
          <w:szCs w:val="24"/>
        </w:rPr>
      </w:pPr>
    </w:p>
    <w:p w:rsidR="00F36D91" w:rsidRDefault="00C6414A">
      <w:pPr>
        <w:spacing w:before="120" w:after="120" w:line="268" w:lineRule="auto"/>
        <w:jc w:val="center"/>
        <w:rPr>
          <w:rFonts w:ascii="Times New Roman" w:hAnsi="Times New Roman"/>
          <w:b/>
          <w:noProof/>
          <w:sz w:val="24"/>
          <w:szCs w:val="24"/>
        </w:rPr>
      </w:pPr>
      <w:r>
        <w:rPr>
          <w:rFonts w:ascii="Times New Roman" w:hAnsi="Times New Roman"/>
          <w:b/>
          <w:noProof/>
          <w:sz w:val="24"/>
        </w:rPr>
        <w:t>Tabell 1 Europeiska omplaceringsprogrammet</w:t>
      </w:r>
    </w:p>
    <w:p w:rsidR="00F36D91" w:rsidRDefault="00F36D91">
      <w:pPr>
        <w:spacing w:before="120" w:after="120" w:line="268" w:lineRule="auto"/>
        <w:jc w:val="center"/>
        <w:rPr>
          <w:rFonts w:ascii="Times New Roman" w:hAnsi="Times New Roman"/>
          <w:b/>
          <w:noProof/>
          <w:sz w:val="24"/>
          <w:szCs w:val="24"/>
        </w:rPr>
      </w:pPr>
    </w:p>
    <w:tbl>
      <w:tblPr>
        <w:tblW w:w="4125" w:type="dxa"/>
        <w:tblLook w:val="04A0" w:firstRow="1" w:lastRow="0" w:firstColumn="1" w:lastColumn="0" w:noHBand="0" w:noVBand="1"/>
      </w:tblPr>
      <w:tblGrid>
        <w:gridCol w:w="2627"/>
        <w:gridCol w:w="1498"/>
      </w:tblGrid>
      <w:tr w:rsidR="00F36D91">
        <w:trPr>
          <w:trHeight w:val="300"/>
        </w:trPr>
        <w:tc>
          <w:tcPr>
            <w:tcW w:w="2627" w:type="dxa"/>
            <w:tcBorders>
              <w:top w:val="single" w:sz="4" w:space="0" w:color="auto"/>
              <w:left w:val="single" w:sz="4" w:space="0" w:color="auto"/>
              <w:bottom w:val="single" w:sz="4" w:space="0" w:color="auto"/>
              <w:right w:val="single" w:sz="4" w:space="0" w:color="auto"/>
            </w:tcBorders>
            <w:noWrap/>
            <w:vAlign w:val="bottom"/>
            <w:hideMark/>
          </w:tcPr>
          <w:p w:rsidR="00F36D91" w:rsidRDefault="00C6414A">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Medlemsstater</w:t>
            </w:r>
            <w:r>
              <w:rPr>
                <w:rStyle w:val="FootnoteReference"/>
                <w:rFonts w:ascii="Times New Roman" w:hAnsi="Times New Roman"/>
                <w:noProof/>
                <w:sz w:val="24"/>
              </w:rPr>
              <w:footnoteReference w:id="54"/>
            </w:r>
            <w:r>
              <w:rPr>
                <w:rFonts w:ascii="Times New Roman" w:hAnsi="Times New Roman"/>
                <w:noProof/>
                <w:color w:val="000000"/>
                <w:sz w:val="24"/>
              </w:rPr>
              <w:t xml:space="preserve"> </w:t>
            </w:r>
            <w:r>
              <w:rPr>
                <w:rStyle w:val="FootnoteReference"/>
                <w:rFonts w:ascii="Times New Roman" w:hAnsi="Times New Roman"/>
                <w:noProof/>
                <w:sz w:val="24"/>
              </w:rPr>
              <w:footnoteReference w:id="55"/>
            </w:r>
          </w:p>
        </w:tc>
        <w:tc>
          <w:tcPr>
            <w:tcW w:w="1498" w:type="dxa"/>
            <w:tcBorders>
              <w:top w:val="single" w:sz="4" w:space="0" w:color="auto"/>
              <w:left w:val="nil"/>
              <w:bottom w:val="single" w:sz="4" w:space="0" w:color="auto"/>
              <w:right w:val="single" w:sz="4" w:space="0" w:color="auto"/>
            </w:tcBorders>
            <w:noWrap/>
            <w:vAlign w:val="bottom"/>
            <w:hideMark/>
          </w:tcPr>
          <w:p w:rsidR="00F36D91" w:rsidRDefault="00C6414A">
            <w:pPr>
              <w:spacing w:before="120" w:after="120" w:line="240" w:lineRule="auto"/>
              <w:jc w:val="center"/>
              <w:rPr>
                <w:rFonts w:ascii="Times New Roman" w:eastAsia="Times New Roman" w:hAnsi="Times New Roman"/>
                <w:b/>
                <w:bCs/>
                <w:noProof/>
                <w:color w:val="000000"/>
                <w:sz w:val="24"/>
                <w:szCs w:val="24"/>
              </w:rPr>
            </w:pPr>
            <w:r>
              <w:rPr>
                <w:rFonts w:ascii="Times New Roman" w:hAnsi="Times New Roman"/>
                <w:b/>
                <w:noProof/>
                <w:color w:val="000000"/>
                <w:sz w:val="24"/>
              </w:rPr>
              <w:t>Nyckel</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Österrike</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2,62 %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Belgien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2,91 %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Bulgarien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1,25 %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Kroatien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1,73 %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Cypern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0,39 %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Tjeckien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2,98 %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Estland</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1,76 %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Finland</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1,72 %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Frankrike</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14,17 %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Tyskland</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18,42 %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Grekland</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1,90 %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Ungern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1,79 %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Italien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11,84 %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Lettland</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Litauen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1,16 %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0,85 %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0,69 %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Nederländerna</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4,35 %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Polen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5,64 %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Spanien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3,89 %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Rumänien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3,75 %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Slovakien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1,78 %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Slovenien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1,15 %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Spanien</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9,10 %</w:t>
            </w:r>
          </w:p>
        </w:tc>
      </w:tr>
      <w:tr w:rsidR="00F36D91">
        <w:trPr>
          <w:trHeight w:val="300"/>
        </w:trPr>
        <w:tc>
          <w:tcPr>
            <w:tcW w:w="2627"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Sverige</w:t>
            </w:r>
          </w:p>
        </w:tc>
        <w:tc>
          <w:tcPr>
            <w:tcW w:w="1498"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2,92 %</w:t>
            </w:r>
          </w:p>
        </w:tc>
      </w:tr>
    </w:tbl>
    <w:p w:rsidR="00F36D91" w:rsidRDefault="00F36D91">
      <w:pPr>
        <w:spacing w:after="0" w:line="240" w:lineRule="auto"/>
        <w:rPr>
          <w:rFonts w:ascii="Times New Roman" w:hAnsi="Times New Roman"/>
          <w:noProof/>
          <w:sz w:val="20"/>
          <w:szCs w:val="20"/>
        </w:rPr>
      </w:pPr>
    </w:p>
    <w:p w:rsidR="00F36D91" w:rsidRDefault="00C6414A">
      <w:pPr>
        <w:spacing w:after="0" w:line="240" w:lineRule="auto"/>
        <w:ind w:left="-120"/>
        <w:rPr>
          <w:rFonts w:ascii="Times New Roman" w:hAnsi="Times New Roman"/>
          <w:noProof/>
          <w:sz w:val="20"/>
          <w:szCs w:val="20"/>
        </w:rPr>
      </w:pPr>
      <w:r>
        <w:rPr>
          <w:rFonts w:ascii="Times New Roman" w:hAnsi="Times New Roman"/>
          <w:noProof/>
          <w:sz w:val="20"/>
        </w:rPr>
        <w:t>Beräkningarna grundar sig på statistiska uppgifter från Eurostat (i den version som förelåg den 8 april 2015).</w:t>
      </w:r>
    </w:p>
    <w:p w:rsidR="00F36D91" w:rsidRDefault="00C6414A">
      <w:pPr>
        <w:spacing w:before="120" w:after="120" w:line="268" w:lineRule="auto"/>
        <w:jc w:val="center"/>
        <w:rPr>
          <w:rFonts w:ascii="Times New Roman" w:hAnsi="Times New Roman"/>
          <w:b/>
          <w:noProof/>
          <w:sz w:val="24"/>
          <w:szCs w:val="24"/>
        </w:rPr>
      </w:pPr>
      <w:r>
        <w:rPr>
          <w:rFonts w:ascii="Times New Roman" w:hAnsi="Times New Roman"/>
          <w:b/>
          <w:noProof/>
          <w:sz w:val="24"/>
        </w:rPr>
        <w:t>Tabell 2 Europeiska vidarebosättningsprogrammet</w:t>
      </w:r>
    </w:p>
    <w:p w:rsidR="00F36D91" w:rsidRDefault="00F36D91">
      <w:pPr>
        <w:spacing w:before="120" w:after="120" w:line="268" w:lineRule="auto"/>
        <w:jc w:val="both"/>
        <w:rPr>
          <w:rFonts w:ascii="Times New Roman" w:hAnsi="Times New Roman"/>
          <w:noProof/>
          <w:sz w:val="24"/>
          <w:szCs w:val="24"/>
        </w:rPr>
      </w:pPr>
    </w:p>
    <w:tbl>
      <w:tblPr>
        <w:tblW w:w="5260" w:type="dxa"/>
        <w:tblInd w:w="93" w:type="dxa"/>
        <w:tblLook w:val="04A0" w:firstRow="1" w:lastRow="0" w:firstColumn="1" w:lastColumn="0" w:noHBand="0" w:noVBand="1"/>
      </w:tblPr>
      <w:tblGrid>
        <w:gridCol w:w="2000"/>
        <w:gridCol w:w="1134"/>
        <w:gridCol w:w="2126"/>
      </w:tblGrid>
      <w:tr w:rsidR="00F36D91">
        <w:trPr>
          <w:trHeight w:val="302"/>
        </w:trPr>
        <w:tc>
          <w:tcPr>
            <w:tcW w:w="2000" w:type="dxa"/>
            <w:tcBorders>
              <w:top w:val="single" w:sz="4" w:space="0" w:color="auto"/>
              <w:left w:val="single" w:sz="4" w:space="0" w:color="auto"/>
              <w:bottom w:val="single" w:sz="4" w:space="0" w:color="auto"/>
              <w:right w:val="single" w:sz="4" w:space="0" w:color="auto"/>
            </w:tcBorders>
            <w:noWrap/>
            <w:vAlign w:val="center"/>
            <w:hideMark/>
          </w:tcPr>
          <w:p w:rsidR="00F36D91" w:rsidRDefault="00C6414A">
            <w:pPr>
              <w:jc w:val="center"/>
              <w:rPr>
                <w:rFonts w:ascii="Times New Roman" w:eastAsia="Times New Roman" w:hAnsi="Times New Roman"/>
                <w:noProof/>
                <w:color w:val="000000"/>
                <w:sz w:val="24"/>
                <w:szCs w:val="24"/>
              </w:rPr>
            </w:pPr>
            <w:r>
              <w:rPr>
                <w:rFonts w:ascii="Times New Roman" w:hAnsi="Times New Roman"/>
                <w:noProof/>
                <w:color w:val="000000"/>
                <w:sz w:val="24"/>
              </w:rPr>
              <w:t> </w:t>
            </w:r>
            <w:r>
              <w:rPr>
                <w:rFonts w:ascii="Times New Roman" w:hAnsi="Times New Roman"/>
                <w:b/>
                <w:noProof/>
                <w:color w:val="000000"/>
                <w:sz w:val="24"/>
              </w:rPr>
              <w:t>Medlemsstater</w:t>
            </w:r>
            <w:r>
              <w:rPr>
                <w:rStyle w:val="FootnoteReference"/>
                <w:rFonts w:ascii="Times New Roman" w:hAnsi="Times New Roman"/>
                <w:noProof/>
                <w:color w:val="000000"/>
                <w:sz w:val="24"/>
              </w:rPr>
              <w:footnoteReference w:id="56"/>
            </w:r>
          </w:p>
        </w:tc>
        <w:tc>
          <w:tcPr>
            <w:tcW w:w="1134" w:type="dxa"/>
            <w:tcBorders>
              <w:top w:val="single" w:sz="4" w:space="0" w:color="auto"/>
              <w:left w:val="nil"/>
              <w:bottom w:val="single" w:sz="4" w:space="0" w:color="auto"/>
              <w:right w:val="single" w:sz="4" w:space="0" w:color="auto"/>
            </w:tcBorders>
            <w:noWrap/>
            <w:vAlign w:val="center"/>
            <w:hideMark/>
          </w:tcPr>
          <w:p w:rsidR="00F36D91" w:rsidRDefault="00C6414A">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Nyckel</w:t>
            </w:r>
          </w:p>
        </w:tc>
        <w:tc>
          <w:tcPr>
            <w:tcW w:w="2126" w:type="dxa"/>
            <w:tcBorders>
              <w:top w:val="single" w:sz="4" w:space="0" w:color="auto"/>
              <w:left w:val="nil"/>
              <w:bottom w:val="single" w:sz="4" w:space="0" w:color="auto"/>
              <w:right w:val="single" w:sz="4" w:space="0" w:color="auto"/>
            </w:tcBorders>
            <w:noWrap/>
            <w:vAlign w:val="center"/>
            <w:hideMark/>
          </w:tcPr>
          <w:p w:rsidR="00F36D91" w:rsidRDefault="00C6414A">
            <w:pPr>
              <w:spacing w:after="0" w:line="240" w:lineRule="auto"/>
              <w:jc w:val="center"/>
              <w:rPr>
                <w:rFonts w:ascii="Times New Roman" w:eastAsia="Times New Roman" w:hAnsi="Times New Roman"/>
                <w:noProof/>
                <w:color w:val="000000"/>
                <w:sz w:val="24"/>
                <w:szCs w:val="24"/>
              </w:rPr>
            </w:pPr>
            <w:r>
              <w:rPr>
                <w:rFonts w:ascii="Times New Roman" w:hAnsi="Times New Roman"/>
                <w:b/>
                <w:noProof/>
                <w:color w:val="000000"/>
                <w:sz w:val="24"/>
              </w:rPr>
              <w:t>Totala tilldelning grundad på 20 000 personer</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Österrike</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2,22 %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444</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Belgien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2,45 %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490</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Bulgarien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1,08 %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216</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Kroatien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1,58 %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315</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Cypern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0,34 %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69</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Tjeckien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2,63 %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525</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i/>
                <w:noProof/>
                <w:sz w:val="24"/>
                <w:szCs w:val="24"/>
              </w:rPr>
            </w:pPr>
            <w:r>
              <w:rPr>
                <w:rFonts w:ascii="Times New Roman" w:hAnsi="Times New Roman"/>
                <w:i/>
                <w:noProof/>
                <w:sz w:val="24"/>
              </w:rPr>
              <w:t>Danmark</w:t>
            </w:r>
            <w:bookmarkStart w:id="2" w:name="_Ref419184354"/>
            <w:r>
              <w:rPr>
                <w:rStyle w:val="FootnoteReference"/>
                <w:rFonts w:ascii="Times New Roman" w:hAnsi="Times New Roman"/>
                <w:i/>
                <w:noProof/>
                <w:sz w:val="24"/>
              </w:rPr>
              <w:footnoteReference w:id="57"/>
            </w:r>
            <w:bookmarkEnd w:id="2"/>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1,73 %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345</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Estland</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1,63 %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326</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Finland</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1,46 %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293</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Frankrike</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11,87 %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2375</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Tyskland</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15,43 %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3086</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Grekland</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1,61 %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323</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Ungern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1,53 %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307</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i/>
                <w:noProof/>
                <w:sz w:val="24"/>
                <w:szCs w:val="24"/>
                <w:vertAlign w:val="superscript"/>
              </w:rPr>
            </w:pPr>
            <w:r>
              <w:rPr>
                <w:rFonts w:ascii="Times New Roman" w:hAnsi="Times New Roman"/>
                <w:i/>
                <w:noProof/>
                <w:sz w:val="24"/>
              </w:rPr>
              <w:t>Irland</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 MERGEFORMAT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1,36 %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272</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Italien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9,94 %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1989</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Lettland</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1,10 %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220</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Litauen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Luxemburg</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0,74 %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147</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Malta:</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0,60 %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121</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Nederländerna</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3,66 %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732</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Polen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4,81 %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962</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Spanien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3,52 %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704</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Rumänien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3,29 %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657</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Slovakien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1,60 %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319</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Slovenien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1,03 %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207</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Spanien</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7,75 %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1549</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noProof/>
                <w:sz w:val="24"/>
                <w:szCs w:val="24"/>
              </w:rPr>
            </w:pPr>
            <w:r>
              <w:rPr>
                <w:rFonts w:ascii="Times New Roman" w:hAnsi="Times New Roman"/>
                <w:noProof/>
                <w:sz w:val="24"/>
              </w:rPr>
              <w:t>Sverige</w:t>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2,46 %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noProof/>
                <w:color w:val="000000"/>
                <w:sz w:val="24"/>
                <w:szCs w:val="24"/>
              </w:rPr>
            </w:pPr>
            <w:r>
              <w:rPr>
                <w:rFonts w:ascii="Times New Roman" w:hAnsi="Times New Roman"/>
                <w:noProof/>
                <w:color w:val="000000"/>
                <w:sz w:val="24"/>
              </w:rPr>
              <w:t>491</w:t>
            </w:r>
          </w:p>
        </w:tc>
      </w:tr>
      <w:tr w:rsidR="00F36D91">
        <w:trPr>
          <w:trHeight w:val="302"/>
        </w:trPr>
        <w:tc>
          <w:tcPr>
            <w:tcW w:w="2000" w:type="dxa"/>
            <w:tcBorders>
              <w:top w:val="nil"/>
              <w:left w:val="single" w:sz="4" w:space="0" w:color="auto"/>
              <w:bottom w:val="single" w:sz="4" w:space="0" w:color="auto"/>
              <w:right w:val="single" w:sz="4" w:space="0" w:color="auto"/>
            </w:tcBorders>
            <w:shd w:val="clear" w:color="auto" w:fill="99CCFF"/>
            <w:vAlign w:val="bottom"/>
            <w:hideMark/>
          </w:tcPr>
          <w:p w:rsidR="00F36D91" w:rsidRDefault="00C6414A">
            <w:pPr>
              <w:spacing w:after="0" w:line="240" w:lineRule="auto"/>
              <w:rPr>
                <w:rFonts w:ascii="Times New Roman" w:eastAsia="Times New Roman" w:hAnsi="Times New Roman"/>
                <w:i/>
                <w:noProof/>
                <w:sz w:val="24"/>
                <w:szCs w:val="24"/>
              </w:rPr>
            </w:pPr>
            <w:r>
              <w:rPr>
                <w:rFonts w:ascii="Times New Roman" w:hAnsi="Times New Roman"/>
                <w:i/>
                <w:noProof/>
                <w:sz w:val="24"/>
              </w:rPr>
              <w:t>Förenade kungariket</w:t>
            </w:r>
            <w:r>
              <w:rPr>
                <w:rFonts w:ascii="Times New Roman" w:eastAsia="Times New Roman" w:hAnsi="Times New Roman"/>
                <w:i/>
                <w:noProof/>
                <w:sz w:val="24"/>
                <w:szCs w:val="24"/>
              </w:rPr>
              <w:fldChar w:fldCharType="begin"/>
            </w:r>
            <w:r>
              <w:rPr>
                <w:rFonts w:ascii="Times New Roman" w:eastAsia="Times New Roman" w:hAnsi="Times New Roman"/>
                <w:i/>
                <w:noProof/>
                <w:sz w:val="24"/>
                <w:szCs w:val="24"/>
              </w:rPr>
              <w:instrText xml:space="preserve"> NOTEREF _Ref419184354 \f \h </w:instrText>
            </w:r>
            <w:r>
              <w:rPr>
                <w:rFonts w:ascii="Times New Roman" w:eastAsia="Times New Roman" w:hAnsi="Times New Roman"/>
                <w:i/>
                <w:noProof/>
                <w:sz w:val="24"/>
                <w:szCs w:val="24"/>
              </w:rPr>
            </w:r>
            <w:r>
              <w:rPr>
                <w:rFonts w:ascii="Times New Roman" w:eastAsia="Times New Roman" w:hAnsi="Times New Roman"/>
                <w:i/>
                <w:noProof/>
                <w:sz w:val="24"/>
                <w:szCs w:val="24"/>
              </w:rPr>
              <w:fldChar w:fldCharType="separate"/>
            </w:r>
            <w:r>
              <w:rPr>
                <w:rStyle w:val="FootnoteReference"/>
                <w:noProof/>
              </w:rPr>
              <w:t>56</w:t>
            </w:r>
            <w:r>
              <w:rPr>
                <w:rFonts w:ascii="Times New Roman" w:eastAsia="Times New Roman" w:hAnsi="Times New Roman"/>
                <w:i/>
                <w:noProof/>
                <w:sz w:val="24"/>
                <w:szCs w:val="24"/>
              </w:rPr>
              <w:fldChar w:fldCharType="end"/>
            </w:r>
          </w:p>
        </w:tc>
        <w:tc>
          <w:tcPr>
            <w:tcW w:w="1134"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11,54 %</w:t>
            </w:r>
          </w:p>
        </w:tc>
        <w:tc>
          <w:tcPr>
            <w:tcW w:w="2126" w:type="dxa"/>
            <w:tcBorders>
              <w:top w:val="nil"/>
              <w:left w:val="nil"/>
              <w:bottom w:val="single" w:sz="4" w:space="0" w:color="auto"/>
              <w:right w:val="single" w:sz="4" w:space="0" w:color="auto"/>
            </w:tcBorders>
            <w:noWrap/>
            <w:vAlign w:val="bottom"/>
            <w:hideMark/>
          </w:tcPr>
          <w:p w:rsidR="00F36D91" w:rsidRDefault="00C6414A">
            <w:pPr>
              <w:spacing w:after="0" w:line="240" w:lineRule="auto"/>
              <w:jc w:val="right"/>
              <w:rPr>
                <w:rFonts w:ascii="Times New Roman" w:eastAsia="Times New Roman" w:hAnsi="Times New Roman"/>
                <w:i/>
                <w:noProof/>
                <w:color w:val="000000"/>
                <w:sz w:val="24"/>
                <w:szCs w:val="24"/>
              </w:rPr>
            </w:pPr>
            <w:r>
              <w:rPr>
                <w:rFonts w:ascii="Times New Roman" w:hAnsi="Times New Roman"/>
                <w:i/>
                <w:noProof/>
                <w:color w:val="000000"/>
                <w:sz w:val="24"/>
              </w:rPr>
              <w:t>2309</w:t>
            </w:r>
          </w:p>
        </w:tc>
      </w:tr>
    </w:tbl>
    <w:p w:rsidR="00F36D91" w:rsidRDefault="00C6414A">
      <w:pPr>
        <w:spacing w:before="120" w:after="0" w:line="240" w:lineRule="auto"/>
        <w:rPr>
          <w:rFonts w:ascii="Times New Roman" w:hAnsi="Times New Roman"/>
          <w:noProof/>
          <w:sz w:val="20"/>
          <w:szCs w:val="20"/>
        </w:rPr>
      </w:pPr>
      <w:r>
        <w:rPr>
          <w:rFonts w:ascii="Times New Roman" w:hAnsi="Times New Roman"/>
          <w:noProof/>
          <w:sz w:val="20"/>
        </w:rPr>
        <w:t>Beräkningarna grundar sig på statistiska uppgifter från Eurostat (i den version som förelåg den 8 april 2015).</w:t>
      </w:r>
    </w:p>
    <w:p w:rsidR="00F36D91" w:rsidRDefault="00C6414A" w:rsidP="00C6414A">
      <w:pPr>
        <w:spacing w:before="120" w:after="0" w:line="240" w:lineRule="auto"/>
        <w:rPr>
          <w:noProof/>
        </w:rPr>
      </w:pPr>
      <w:r>
        <w:rPr>
          <w:rFonts w:ascii="Times New Roman" w:hAnsi="Times New Roman"/>
          <w:noProof/>
          <w:sz w:val="20"/>
        </w:rPr>
        <w:t xml:space="preserve">Procentberäkningarna har gjorts med fem decimaler och avrundats uppåt eller nedåt till två decimaler för presentation i tabellen. Fördelning av personer har gjorts på grundval av fullständiga siffror med fem decimaler.   </w:t>
      </w:r>
      <w:bookmarkStart w:id="3" w:name="_GoBack"/>
      <w:bookmarkEnd w:id="3"/>
    </w:p>
    <w:sectPr w:rsidR="00F36D9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F65E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D91" w:rsidRDefault="00C6414A">
      <w:pPr>
        <w:spacing w:after="0" w:line="240" w:lineRule="auto"/>
      </w:pPr>
      <w:r>
        <w:separator/>
      </w:r>
    </w:p>
  </w:endnote>
  <w:endnote w:type="continuationSeparator" w:id="0">
    <w:p w:rsidR="00F36D91" w:rsidRDefault="00C6414A">
      <w:pPr>
        <w:spacing w:after="0" w:line="240" w:lineRule="auto"/>
      </w:pPr>
      <w:r>
        <w:continuationSeparator/>
      </w:r>
    </w:p>
  </w:endnote>
  <w:endnote w:type="continuationNotice" w:id="1">
    <w:p w:rsidR="00F36D91" w:rsidRDefault="00F36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C6414A">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SV</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695185"/>
      <w:docPartObj>
        <w:docPartGallery w:val="Page Numbers (Bottom of Page)"/>
        <w:docPartUnique/>
      </w:docPartObj>
    </w:sdtPr>
    <w:sdtEndPr>
      <w:rPr>
        <w:noProof/>
      </w:rPr>
    </w:sdtEndPr>
    <w:sdtContent>
      <w:p w:rsidR="00F36D91" w:rsidRDefault="00C6414A">
        <w:pPr>
          <w:pStyle w:val="Footer"/>
          <w:jc w:val="center"/>
        </w:pPr>
        <w:r>
          <w:fldChar w:fldCharType="begin"/>
        </w:r>
        <w:r>
          <w:instrText xml:space="preserve"> PAGE   \* MERGEFORMAT </w:instrText>
        </w:r>
        <w:r>
          <w:fldChar w:fldCharType="separate"/>
        </w:r>
        <w:r>
          <w:rPr>
            <w:noProof/>
          </w:rPr>
          <w:t>23</w:t>
        </w:r>
        <w:r>
          <w:rPr>
            <w:noProof/>
          </w:rPr>
          <w:fldChar w:fldCharType="end"/>
        </w:r>
      </w:p>
    </w:sdtContent>
  </w:sdt>
  <w:p w:rsidR="00F36D91" w:rsidRDefault="00F36D9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D91" w:rsidRDefault="00C6414A">
      <w:pPr>
        <w:spacing w:after="0" w:line="240" w:lineRule="auto"/>
      </w:pPr>
      <w:r>
        <w:separator/>
      </w:r>
    </w:p>
  </w:footnote>
  <w:footnote w:type="continuationSeparator" w:id="0">
    <w:p w:rsidR="00F36D91" w:rsidRDefault="00C6414A">
      <w:pPr>
        <w:spacing w:after="0" w:line="240" w:lineRule="auto"/>
      </w:pPr>
      <w:r>
        <w:continuationSeparator/>
      </w:r>
    </w:p>
  </w:footnote>
  <w:footnote w:type="continuationNotice" w:id="1">
    <w:p w:rsidR="00F36D91" w:rsidRDefault="00F36D91">
      <w:pPr>
        <w:spacing w:after="0" w:line="240" w:lineRule="auto"/>
      </w:pPr>
    </w:p>
  </w:footnote>
  <w:footnote w:id="2">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Europeiska rådets extra möte om situationen i Medelhavet den 23 april 2015 – uttalande: http://www.consilium.europa.eu/en/press/press-releases/</w:t>
      </w:r>
      <w:proofErr w:type="gramStart"/>
      <w:r>
        <w:rPr>
          <w:rFonts w:ascii="Times New Roman" w:hAnsi="Times New Roman"/>
          <w:sz w:val="18"/>
        </w:rPr>
        <w:t>2015/04/23</w:t>
      </w:r>
      <w:proofErr w:type="gramEnd"/>
      <w:r>
        <w:rPr>
          <w:rFonts w:ascii="Times New Roman" w:hAnsi="Times New Roman"/>
          <w:sz w:val="18"/>
        </w:rPr>
        <w:t>-special-euco-statement/. Denna del av den europeiska migrationsagendan innehåller och vi</w:t>
      </w:r>
      <w:r>
        <w:rPr>
          <w:rFonts w:ascii="Times New Roman" w:hAnsi="Times New Roman"/>
          <w:sz w:val="18"/>
        </w:rPr>
        <w:t>dareutvecklar initiativen i den färdplan som kommissionen lade fram som en uppföljning av Europeiska rådets uttalande av den 23 april.</w:t>
      </w:r>
    </w:p>
  </w:footnote>
  <w:footnote w:id="3">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http://www.europarl.europa.eu/oeil/popups/ficheprocedure.do?lang=</w:t>
      </w:r>
      <w:proofErr w:type="gramStart"/>
      <w:r>
        <w:rPr>
          <w:rFonts w:ascii="Times New Roman" w:hAnsi="Times New Roman"/>
          <w:sz w:val="18"/>
        </w:rPr>
        <w:t>en&amp;reference</w:t>
      </w:r>
      <w:proofErr w:type="gramEnd"/>
      <w:r>
        <w:rPr>
          <w:rFonts w:ascii="Times New Roman" w:hAnsi="Times New Roman"/>
          <w:sz w:val="18"/>
        </w:rPr>
        <w:t>=2015/2660(RSP).</w:t>
      </w:r>
    </w:p>
  </w:footnote>
  <w:footnote w:id="4">
    <w:p w:rsidR="00F36D91" w:rsidRDefault="00C6414A">
      <w:pPr>
        <w:pStyle w:val="FootnoteText"/>
        <w:ind w:left="240" w:hanging="240"/>
        <w:jc w:val="both"/>
      </w:pPr>
      <w:r>
        <w:rPr>
          <w:rStyle w:val="FootnoteReference"/>
        </w:rPr>
        <w:footnoteRef/>
      </w:r>
      <w:r>
        <w:t xml:space="preserve"> </w:t>
      </w:r>
      <w:r>
        <w:tab/>
      </w:r>
      <w:r>
        <w:rPr>
          <w:rFonts w:ascii="Times New Roman" w:hAnsi="Times New Roman"/>
          <w:sz w:val="18"/>
        </w:rPr>
        <w:t>Unionens gemensamma p</w:t>
      </w:r>
      <w:r>
        <w:rPr>
          <w:rFonts w:ascii="Times New Roman" w:hAnsi="Times New Roman"/>
          <w:sz w:val="18"/>
        </w:rPr>
        <w:t>olitik för asyl, invandring, viseringar och yttre gränskontroller grundar sig på avdelning V (Ett område med frihet, säkerhet och rättvisa) i fördraget om Europeiska unionens funktionssätt (EUF-fördraget). Enligt protokollen 21 och 22 till fördragen ska Fö</w:t>
      </w:r>
      <w:r>
        <w:rPr>
          <w:rFonts w:ascii="Times New Roman" w:hAnsi="Times New Roman"/>
          <w:sz w:val="18"/>
        </w:rPr>
        <w:t>renade kungariket, Irland och Danmark inte delta i rådets beslut om föreslagna åtgärder i enlighet med avdelning V i EUF-fördraget. Förenade kungariket och Irland får underrätta rådet, inom tre månader efter det att ett förslag eller initiativ har lagts fr</w:t>
      </w:r>
      <w:r>
        <w:rPr>
          <w:rFonts w:ascii="Times New Roman" w:hAnsi="Times New Roman"/>
          <w:sz w:val="18"/>
        </w:rPr>
        <w:t>am eller när som helst efter antagandet, att de önskar delta i antagandet och tillämpningen av en sådan föreslagen åtgärd. Danmark kan, i enlighet med sina konstitutionella bestämmelser, när som helst meddela de övriga medlemsstaterna att det fullt ut vill</w:t>
      </w:r>
      <w:r>
        <w:rPr>
          <w:rFonts w:ascii="Times New Roman" w:hAnsi="Times New Roman"/>
          <w:sz w:val="18"/>
        </w:rPr>
        <w:t xml:space="preserve"> tillämpa alla relevanta åtgärder som antagits på grundval av avdelning V i EUF-fördraget.</w:t>
      </w:r>
    </w:p>
  </w:footnote>
  <w:footnote w:id="5">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Detta stöd lämnas utöver det omfattande stöd som redan tillfaller dessa medlemsstater i form av medel för inrikes frågor, där Italien är den största förmånstagare</w:t>
      </w:r>
      <w:r>
        <w:rPr>
          <w:rFonts w:ascii="Times New Roman" w:hAnsi="Times New Roman"/>
          <w:sz w:val="18"/>
        </w:rPr>
        <w:t>n i absoluta tal och Malta per capita.</w:t>
      </w:r>
    </w:p>
  </w:footnote>
  <w:footnote w:id="6">
    <w:p w:rsidR="00F36D91" w:rsidRDefault="00C6414A">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I egenskap av </w:t>
      </w:r>
      <w:proofErr w:type="spellStart"/>
      <w:r>
        <w:rPr>
          <w:rFonts w:ascii="Times New Roman" w:hAnsi="Times New Roman"/>
          <w:sz w:val="18"/>
        </w:rPr>
        <w:t>Frontex</w:t>
      </w:r>
      <w:proofErr w:type="spellEnd"/>
      <w:r>
        <w:rPr>
          <w:rFonts w:ascii="Times New Roman" w:hAnsi="Times New Roman"/>
          <w:sz w:val="18"/>
        </w:rPr>
        <w:t>-samordnade insatser som rör skyddet av de yttre gränserna bygger Triton och Poseidon på Schengenregelverket som Irland och Förenade kungariket inte deltar i (se fotnot 25 nedan). Detta uteslut</w:t>
      </w:r>
      <w:r>
        <w:rPr>
          <w:rFonts w:ascii="Times New Roman" w:hAnsi="Times New Roman"/>
          <w:sz w:val="18"/>
        </w:rPr>
        <w:t>er inte att fartyg från Förenade kungariket deltar i sök- och räddningsinsatser i Medelhavsområdet som samordnas med Triton och Poseidon.</w:t>
      </w:r>
    </w:p>
  </w:footnote>
  <w:footnote w:id="7">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Europeiska sjösäkerhetsbyrån, Europeiska fiskerikontrollbyrån och Eurojust skulle också kunna bidra till detta arbe</w:t>
      </w:r>
      <w:r>
        <w:rPr>
          <w:rFonts w:ascii="Times New Roman" w:hAnsi="Times New Roman"/>
          <w:sz w:val="18"/>
        </w:rPr>
        <w:t>te.</w:t>
      </w:r>
    </w:p>
  </w:footnote>
  <w:footnote w:id="8">
    <w:p w:rsidR="00F36D91" w:rsidRDefault="00C6414A">
      <w:pPr>
        <w:pStyle w:val="FootnoteText"/>
        <w:ind w:left="240" w:hanging="240"/>
        <w:jc w:val="both"/>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Detta förslag skulle inte gälla Danmark och skulle tillämpas på Förenade kungariket och Irland endast om de utnyttjar sin rätt att ansluta sig (se fotnot 3).</w:t>
      </w:r>
    </w:p>
  </w:footnote>
  <w:footnote w:id="9">
    <w:p w:rsidR="00F36D91" w:rsidRDefault="00C6414A">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Se fotnot 3 för en beskrivning av förslagets tillämpningsområde.</w:t>
      </w:r>
    </w:p>
  </w:footnote>
  <w:footnote w:id="10">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Uttalande av UNHCR:s</w:t>
      </w:r>
      <w:r>
        <w:rPr>
          <w:rFonts w:ascii="Times New Roman" w:hAnsi="Times New Roman"/>
          <w:sz w:val="18"/>
        </w:rPr>
        <w:t xml:space="preserve"> biträdande direktör, </w:t>
      </w:r>
      <w:r>
        <w:rPr>
          <w:rFonts w:ascii="Times New Roman" w:hAnsi="Times New Roman"/>
          <w:i/>
          <w:sz w:val="18"/>
        </w:rPr>
        <w:t>Lägesrapport om vidarebosättning</w:t>
      </w:r>
      <w:r>
        <w:rPr>
          <w:rFonts w:ascii="Times New Roman" w:hAnsi="Times New Roman"/>
          <w:sz w:val="18"/>
        </w:rPr>
        <w:t>, vid mötet i Ständiga kommittén inom den verkställande kommittén för UNHCR:s program, Genève, 26–28 2012.</w:t>
      </w:r>
    </w:p>
  </w:footnote>
  <w:footnote w:id="11">
    <w:p w:rsidR="00F36D91" w:rsidRDefault="00C6414A">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Se fotnot 3 för en beskrivning av förslagets tillämpningsområde.</w:t>
      </w:r>
    </w:p>
  </w:footnote>
  <w:footnote w:id="12">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För detta ändamål kan medlemsstaterna använda tillgängliga medel inom asyl-, migrations- och integrationsfonden. Länder som har en särskilt stor tillströmning av flyktingar och asylsökande kan också begära stöd från EU:s civilskyddsmekanism.</w:t>
      </w:r>
    </w:p>
  </w:footnote>
  <w:footnote w:id="13">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Vad gäller</w:t>
      </w:r>
      <w:r>
        <w:rPr>
          <w:rFonts w:ascii="Times New Roman" w:hAnsi="Times New Roman"/>
          <w:sz w:val="18"/>
        </w:rPr>
        <w:t xml:space="preserve"> omfattningen av de åtgärder som redan tillämpas och/eller kommer att föreslås enligt avdelning V i EUF-fördraget för att genomföra den aktuella agendan, se fotnot 3 angående de rättigheter att ansluta sig som gäller Förenade kungariket och Irland och det </w:t>
      </w:r>
      <w:r>
        <w:rPr>
          <w:rFonts w:ascii="Times New Roman" w:hAnsi="Times New Roman"/>
          <w:sz w:val="18"/>
        </w:rPr>
        <w:t>specialundantag som gäller Danmark.</w:t>
      </w:r>
    </w:p>
  </w:footnote>
  <w:footnote w:id="14">
    <w:p w:rsidR="00F36D91" w:rsidRDefault="00C6414A">
      <w:pPr>
        <w:pStyle w:val="FootnoteText"/>
        <w:ind w:left="240" w:hanging="240"/>
        <w:jc w:val="both"/>
      </w:pPr>
      <w:r>
        <w:rPr>
          <w:rStyle w:val="FootnoteReference"/>
        </w:rPr>
        <w:footnoteRef/>
      </w:r>
      <w:r>
        <w:t xml:space="preserve"> </w:t>
      </w:r>
      <w:r>
        <w:tab/>
      </w:r>
      <w:r>
        <w:rPr>
          <w:rFonts w:ascii="Times New Roman" w:hAnsi="Times New Roman"/>
          <w:sz w:val="18"/>
        </w:rPr>
        <w:t>Rabatprocessen, Khartoumprocessen, Budapestprocessen, Pragprocessen samt dialogen EU-Afrika om migration och rörlighet.</w:t>
      </w:r>
    </w:p>
  </w:footnote>
  <w:footnote w:id="15">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lang w:val="nn-NO"/>
        </w:rPr>
        <w:t xml:space="preserve"> </w:t>
      </w:r>
      <w:r>
        <w:rPr>
          <w:lang w:val="nn-NO"/>
        </w:rPr>
        <w:tab/>
      </w:r>
      <w:r>
        <w:rPr>
          <w:rFonts w:ascii="Times New Roman" w:hAnsi="Times New Roman"/>
          <w:sz w:val="18"/>
          <w:lang w:val="nn-NO"/>
        </w:rPr>
        <w:t xml:space="preserve">Rådets </w:t>
      </w:r>
      <w:proofErr w:type="spellStart"/>
      <w:r>
        <w:rPr>
          <w:rFonts w:ascii="Times New Roman" w:hAnsi="Times New Roman"/>
          <w:sz w:val="18"/>
          <w:lang w:val="nn-NO"/>
        </w:rPr>
        <w:t>förordning</w:t>
      </w:r>
      <w:proofErr w:type="spellEnd"/>
      <w:r>
        <w:rPr>
          <w:rFonts w:ascii="Times New Roman" w:hAnsi="Times New Roman"/>
          <w:sz w:val="18"/>
          <w:lang w:val="nn-NO"/>
        </w:rPr>
        <w:t xml:space="preserve"> (EG) nr </w:t>
      </w:r>
      <w:hyperlink r:id="rId1" w:tooltip="Aktens text i dess helhet" w:history="1">
        <w:r>
          <w:rPr>
            <w:rStyle w:val="Hyperlink"/>
            <w:rFonts w:ascii="Times New Roman" w:hAnsi="Times New Roman"/>
            <w:color w:val="auto"/>
            <w:sz w:val="18"/>
            <w:lang w:val="nn-NO"/>
          </w:rPr>
          <w:t>377/2004</w:t>
        </w:r>
      </w:hyperlink>
      <w:r>
        <w:rPr>
          <w:rFonts w:ascii="Times New Roman" w:hAnsi="Times New Roman"/>
          <w:sz w:val="18"/>
          <w:lang w:val="nn-NO"/>
        </w:rPr>
        <w:t xml:space="preserve"> av den 19 </w:t>
      </w:r>
      <w:proofErr w:type="spellStart"/>
      <w:r>
        <w:rPr>
          <w:rFonts w:ascii="Times New Roman" w:hAnsi="Times New Roman"/>
          <w:sz w:val="18"/>
          <w:lang w:val="nn-NO"/>
        </w:rPr>
        <w:t>februari</w:t>
      </w:r>
      <w:proofErr w:type="spellEnd"/>
      <w:r>
        <w:rPr>
          <w:rFonts w:ascii="Times New Roman" w:hAnsi="Times New Roman"/>
          <w:sz w:val="18"/>
          <w:lang w:val="nn-NO"/>
        </w:rPr>
        <w:t xml:space="preserve"> 2004. </w:t>
      </w:r>
      <w:r>
        <w:rPr>
          <w:rFonts w:ascii="Times New Roman" w:hAnsi="Times New Roman"/>
          <w:sz w:val="18"/>
        </w:rPr>
        <w:t>Sambandsmän för invandring är representanter för medlemsstaterna som utstationeras i ett tredjeland</w:t>
      </w:r>
      <w:r>
        <w:rPr>
          <w:rFonts w:ascii="Times New Roman" w:hAnsi="Times New Roman"/>
          <w:sz w:val="18"/>
        </w:rPr>
        <w:t xml:space="preserve"> för att underlätta de åtgärder som EU vidtar i kampen mot illegal invandring (EUT L 64, 2.3.2004, s. 1). Förenade kungariket och Irland har anslutit sig till denna förordning (se fotnot 3).  </w:t>
      </w:r>
    </w:p>
  </w:footnote>
  <w:footnote w:id="16">
    <w:p w:rsidR="00F36D91" w:rsidRDefault="00C6414A">
      <w:pPr>
        <w:spacing w:after="0" w:line="240" w:lineRule="auto"/>
        <w:ind w:left="240" w:hanging="240"/>
        <w:jc w:val="both"/>
        <w:rPr>
          <w:rFonts w:ascii="Times New Roman" w:hAnsi="Times New Roman" w:cs="Times New Roman"/>
          <w:bCs/>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Dessa ansträngningar kommer också att göras inom ramen för d</w:t>
      </w:r>
      <w:r>
        <w:rPr>
          <w:rFonts w:ascii="Times New Roman" w:hAnsi="Times New Roman"/>
          <w:sz w:val="18"/>
        </w:rPr>
        <w:t>en europeiska säkerhetsagendan och EU:s strategi för sjöfartsskydd. Smuggling av migranter och människohandel är två olika men ändå sammanhängande typer av brottslighet som utövas av kriminella nätverk. Skillnaden mellan dessa två är följande: i den förstn</w:t>
      </w:r>
      <w:r>
        <w:rPr>
          <w:rFonts w:ascii="Times New Roman" w:hAnsi="Times New Roman"/>
          <w:sz w:val="18"/>
        </w:rPr>
        <w:t>ämnda deltar migranterna frivilligt i den irreguljära migrationsprocessen genom att betala för smugglingstjänster för att ta sig över en internationell gräns, medan de i det senare fallet är offer för ett hänsynslöst utnyttjande som i vissa fall är kopplat</w:t>
      </w:r>
      <w:r>
        <w:rPr>
          <w:rFonts w:ascii="Times New Roman" w:hAnsi="Times New Roman"/>
          <w:sz w:val="18"/>
        </w:rPr>
        <w:t xml:space="preserve"> till passagen av en gräns, men i andra fall inte. I själva verket är det </w:t>
      </w:r>
      <w:proofErr w:type="gramStart"/>
      <w:r>
        <w:rPr>
          <w:rFonts w:ascii="Times New Roman" w:hAnsi="Times New Roman"/>
          <w:sz w:val="18"/>
        </w:rPr>
        <w:t>svår</w:t>
      </w:r>
      <w:proofErr w:type="gramEnd"/>
      <w:r>
        <w:rPr>
          <w:rFonts w:ascii="Times New Roman" w:hAnsi="Times New Roman"/>
          <w:sz w:val="18"/>
        </w:rPr>
        <w:t xml:space="preserve"> att hålla isär de båda företeelserna, eftersom personer som inleder sin resa på frivillig väg också är sårbara för nätverk med inriktning på arbetskraftsutnyttjande eller sexuel</w:t>
      </w:r>
      <w:r>
        <w:rPr>
          <w:rFonts w:ascii="Times New Roman" w:hAnsi="Times New Roman"/>
          <w:sz w:val="18"/>
        </w:rPr>
        <w:t xml:space="preserve">lt utnyttjande. </w:t>
      </w:r>
    </w:p>
  </w:footnote>
  <w:footnote w:id="17">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Vissa av de åtgärder som antagits av unionen före den 1 december 2009 i frågor som rör polissamarbete och straffrättsligt samarbete tillämpas inte i Förenade kungariket sedan den 1 december 2014, på grundval av artiklarna 9 och 10 i pro</w:t>
      </w:r>
      <w:r>
        <w:rPr>
          <w:rFonts w:ascii="Times New Roman" w:hAnsi="Times New Roman"/>
          <w:sz w:val="18"/>
        </w:rPr>
        <w:t>tokoll 36 till fördragen, som fastställer en särskild rätt att ”inte delta” och ”åter delta” i förfaranden (se beslut som antagits av kommissionen och rådet om åtgärder som anmälts av Förenade kungariket, EUT L 345, 1.12.2014, s. 1 och EUT C 430, 1.12.2014</w:t>
      </w:r>
      <w:r>
        <w:rPr>
          <w:rFonts w:ascii="Times New Roman" w:hAnsi="Times New Roman"/>
          <w:sz w:val="18"/>
        </w:rPr>
        <w:t xml:space="preserve">, s. 1). Under 2002 antog EU bestämmelser för att slå till mot människosmuggling: </w:t>
      </w:r>
      <w:r>
        <w:t>Direktiv 2002/90/EG om en gemensam definition av hjälp till olaglig inresa, transitering och vistelse (EGT L 328, 5.12.2002, s. 17) och rambeslut 2002/946/JHA om förstärkning</w:t>
      </w:r>
      <w:r>
        <w:t xml:space="preserve"> av den straffrättsliga ramen för att förhindra hjälp till olaglig inresa, transitering och vistelse (EGT L 328, 5.12.2002, s. 1).</w:t>
      </w:r>
      <w:r>
        <w:rPr>
          <w:rFonts w:ascii="Times New Roman" w:hAnsi="Times New Roman"/>
          <w:sz w:val="18"/>
        </w:rPr>
        <w:t xml:space="preserve"> Förenade kungariket och Irland valde att ansluta sig till både direktivet och rambeslutet. Rambeslutet gäller emellertid inte</w:t>
      </w:r>
      <w:r>
        <w:rPr>
          <w:rFonts w:ascii="Times New Roman" w:hAnsi="Times New Roman"/>
          <w:sz w:val="18"/>
        </w:rPr>
        <w:t xml:space="preserve"> längre Förenade kungariket med stöd i den undantagsklausul som föreskrivs i protokoll 36 som avses ovan. Förenade kungariket kan emellertid alltjämt besluta sig för att ansluta sig till detta rambeslut. </w:t>
      </w:r>
    </w:p>
  </w:footnote>
  <w:footnote w:id="18">
    <w:p w:rsidR="00F36D91" w:rsidRDefault="00C6414A">
      <w:pPr>
        <w:pStyle w:val="FootnoteText"/>
        <w:ind w:left="240" w:hanging="240"/>
        <w:rPr>
          <w:rFonts w:ascii="Times New Roman" w:hAnsi="Times New Roman" w:cs="Times New Roman"/>
          <w:sz w:val="18"/>
          <w:szCs w:val="18"/>
        </w:rPr>
      </w:pPr>
      <w:r>
        <w:rPr>
          <w:rStyle w:val="FootnoteReference"/>
          <w:rFonts w:ascii="Times New Roman" w:hAnsi="Times New Roman"/>
        </w:rPr>
        <w:footnoteRef/>
      </w:r>
      <w:r>
        <w:rPr>
          <w:rFonts w:ascii="Times New Roman" w:hAnsi="Times New Roman"/>
        </w:rPr>
        <w:t xml:space="preserve"> </w:t>
      </w:r>
      <w:r>
        <w:tab/>
      </w:r>
      <w:r>
        <w:rPr>
          <w:rFonts w:ascii="Times New Roman" w:hAnsi="Times New Roman"/>
          <w:sz w:val="18"/>
        </w:rPr>
        <w:t>Vad gäller tillämpningsområdet för dessa initiat</w:t>
      </w:r>
      <w:r>
        <w:rPr>
          <w:rFonts w:ascii="Times New Roman" w:hAnsi="Times New Roman"/>
          <w:sz w:val="18"/>
        </w:rPr>
        <w:t>iv och de åtgärder som redan trätt i kraft, se fotnoterna 3 och 17.</w:t>
      </w:r>
    </w:p>
  </w:footnote>
  <w:footnote w:id="19">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Europaparlamentets och rådets direktiv 2009/52/EG av den 18 juni 2009 om minimistandarder för sanktioner och åtgärder mot arbetsgivare för tredjelandsmedborgare som vistas olagligt (EUT</w:t>
      </w:r>
      <w:r>
        <w:rPr>
          <w:rFonts w:ascii="Times New Roman" w:hAnsi="Times New Roman"/>
          <w:sz w:val="18"/>
        </w:rPr>
        <w:t xml:space="preserve"> L 168, 30.6.2009, s. 24).</w:t>
      </w:r>
      <w:r>
        <w:t xml:space="preserve"> </w:t>
      </w:r>
      <w:r>
        <w:rPr>
          <w:rFonts w:ascii="Times New Roman" w:hAnsi="Times New Roman"/>
          <w:sz w:val="18"/>
        </w:rPr>
        <w:t>Förenade kungariket och Irland är inte anslutna till detta direktiv och därför är det inte bindande eller tillämpligt på dem.</w:t>
      </w:r>
    </w:p>
  </w:footnote>
  <w:footnote w:id="20">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En särskild skyldighet finns i Cotonouavtalet med AVS-länderna. Artikel 13 i Cotonouavtalet innebär </w:t>
      </w:r>
      <w:r>
        <w:rPr>
          <w:rFonts w:ascii="Times New Roman" w:hAnsi="Times New Roman"/>
          <w:sz w:val="18"/>
        </w:rPr>
        <w:t>att om en medborgare i någon av Europeiska unionens medlemsstater uppehåller sig olagligt på en AVS-stats territorium, ska den medlemsstaten, på begäran av den berörda AVS-staten och utan ytterligare formaliteter, godta att medborgaren återvänder och då åt</w:t>
      </w:r>
      <w:r>
        <w:rPr>
          <w:rFonts w:ascii="Times New Roman" w:hAnsi="Times New Roman"/>
          <w:sz w:val="18"/>
        </w:rPr>
        <w:t>erta vederbörande person. Om en medborgare i en AVS-stat olagligen uppehåller sig på ett territorium som tillhör någon av Europeiska unionens medlemsstater, ska AVS-staten, på begäran av den berörda medlemsstaten och utan ytterligare formaliteter, godta at</w:t>
      </w:r>
      <w:r>
        <w:rPr>
          <w:rFonts w:ascii="Times New Roman" w:hAnsi="Times New Roman"/>
          <w:sz w:val="18"/>
        </w:rPr>
        <w:t>t medborgaren återvänder och då återta vederbörande person.</w:t>
      </w:r>
    </w:p>
  </w:footnote>
  <w:footnote w:id="21">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Rådets slutsatser om EU:s återvändandepolitik som antogs vid rådets (rättsliga och inrikes frågor) möte den 5 och 6 juni 2014</w:t>
      </w:r>
    </w:p>
  </w:footnote>
  <w:footnote w:id="22">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Ett återtagandeavtal underlättar återsändande av tredjelandsmedb</w:t>
      </w:r>
      <w:r>
        <w:rPr>
          <w:rFonts w:ascii="Times New Roman" w:hAnsi="Times New Roman"/>
          <w:sz w:val="18"/>
        </w:rPr>
        <w:t xml:space="preserve">orgare. De avtalsslutande parterna kommer utan formaliteter att återta medborgare i det berörda landet som utan tillstånd är bosatta i det andra landet eller som olagligt har passerat dess gräns. </w:t>
      </w:r>
    </w:p>
  </w:footnote>
  <w:footnote w:id="23">
    <w:p w:rsidR="00F36D91" w:rsidRDefault="00C6414A">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Direktiv 2008/115/EG av den 16 december 2008 om gemensam</w:t>
      </w:r>
      <w:r>
        <w:rPr>
          <w:rFonts w:ascii="Times New Roman" w:hAnsi="Times New Roman"/>
          <w:sz w:val="18"/>
        </w:rPr>
        <w:t>ma normer och förfaranden i medlemsstaterna för återvändande av tredjelandsmedborgare som vistas olagligt i medlemsstaterna, EUT L 348 98, 24.12.2008, s. 98. Förenade kungariket och Irland är inte anslutna till detta direktiv och därför är det inte bindand</w:t>
      </w:r>
      <w:r>
        <w:rPr>
          <w:rFonts w:ascii="Times New Roman" w:hAnsi="Times New Roman"/>
          <w:sz w:val="18"/>
        </w:rPr>
        <w:t>e eller tillämpligt på dem.</w:t>
      </w:r>
    </w:p>
  </w:footnote>
  <w:footnote w:id="24">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t>Principen om ”non-</w:t>
      </w:r>
      <w:proofErr w:type="spellStart"/>
      <w:r>
        <w:t>refoulement</w:t>
      </w:r>
      <w:proofErr w:type="spellEnd"/>
      <w:r>
        <w:t>” är en folkrättslig princip som är godkänd i Europeiska unionens stadga om de grundläggande rättigheterna, enligt vilken en person inte får återsändas till en plats där han eller hon löper allvar</w:t>
      </w:r>
      <w:r>
        <w:t>lig risk att utsättas för dödsstraff, tortyr eller omänsklig eller förnedrande behandling.</w:t>
      </w:r>
      <w:r>
        <w:rPr>
          <w:rFonts w:ascii="Times New Roman" w:hAnsi="Times New Roman"/>
          <w:sz w:val="18"/>
        </w:rPr>
        <w:t xml:space="preserve"> </w:t>
      </w:r>
    </w:p>
  </w:footnote>
  <w:footnote w:id="25">
    <w:p w:rsidR="00F36D91" w:rsidRDefault="00C6414A">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proofErr w:type="spellStart"/>
      <w:r>
        <w:rPr>
          <w:rFonts w:ascii="Times New Roman" w:hAnsi="Times New Roman"/>
          <w:sz w:val="18"/>
        </w:rPr>
        <w:t>Frontex</w:t>
      </w:r>
      <w:proofErr w:type="spellEnd"/>
      <w:r>
        <w:rPr>
          <w:rFonts w:ascii="Times New Roman" w:hAnsi="Times New Roman"/>
          <w:sz w:val="18"/>
        </w:rPr>
        <w:t xml:space="preserve"> grundades genom förordning 2007/2004 (EUT L 349, 25.11.2004, s. 1). Som en utveckling av Schengenregelverket, i vilket Irland och Förenade kungariket int</w:t>
      </w:r>
      <w:r>
        <w:rPr>
          <w:rFonts w:ascii="Times New Roman" w:hAnsi="Times New Roman"/>
          <w:sz w:val="18"/>
        </w:rPr>
        <w:t xml:space="preserve">e deltar, ingår dessa medlemsstater inte i </w:t>
      </w:r>
      <w:proofErr w:type="spellStart"/>
      <w:r>
        <w:rPr>
          <w:rFonts w:ascii="Times New Roman" w:hAnsi="Times New Roman"/>
          <w:sz w:val="18"/>
        </w:rPr>
        <w:t>Frontex</w:t>
      </w:r>
      <w:proofErr w:type="spellEnd"/>
      <w:r>
        <w:rPr>
          <w:rFonts w:ascii="Times New Roman" w:hAnsi="Times New Roman"/>
          <w:sz w:val="18"/>
        </w:rPr>
        <w:t>. Det finns dock samarbete med Irland och Förenade kungariket i enlighet med artikel 12 i förordningen, särskilt när det gäller organisation av gemensamma återvändandeinsatser.</w:t>
      </w:r>
    </w:p>
  </w:footnote>
  <w:footnote w:id="26">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Förordning 1052/2013 av 22</w:t>
      </w:r>
      <w:r>
        <w:rPr>
          <w:rFonts w:ascii="Times New Roman" w:hAnsi="Times New Roman"/>
          <w:sz w:val="18"/>
        </w:rPr>
        <w:t xml:space="preserve"> oktober 2013 om inrättande av ett europeiskt gränsövervakningssystem (</w:t>
      </w:r>
      <w:proofErr w:type="spellStart"/>
      <w:r>
        <w:rPr>
          <w:rFonts w:ascii="Times New Roman" w:hAnsi="Times New Roman"/>
          <w:sz w:val="18"/>
        </w:rPr>
        <w:t>Eurosur</w:t>
      </w:r>
      <w:proofErr w:type="spellEnd"/>
      <w:r>
        <w:rPr>
          <w:rFonts w:ascii="Times New Roman" w:hAnsi="Times New Roman"/>
          <w:sz w:val="18"/>
        </w:rPr>
        <w:t xml:space="preserve">), ett system för informationsutbyte med inriktning på att förbättra förvaltningen av EU:s yttre gränser, EUT L 295, 6.11.2013, s. 1. </w:t>
      </w:r>
      <w:proofErr w:type="spellStart"/>
      <w:r>
        <w:rPr>
          <w:rFonts w:ascii="Times New Roman" w:hAnsi="Times New Roman"/>
          <w:sz w:val="18"/>
        </w:rPr>
        <w:t>Eurosur</w:t>
      </w:r>
      <w:proofErr w:type="spellEnd"/>
      <w:r>
        <w:rPr>
          <w:rFonts w:ascii="Times New Roman" w:hAnsi="Times New Roman"/>
          <w:sz w:val="18"/>
        </w:rPr>
        <w:t xml:space="preserve"> möjliggör realtidsnära utbyte av grä</w:t>
      </w:r>
      <w:r>
        <w:rPr>
          <w:rFonts w:ascii="Times New Roman" w:hAnsi="Times New Roman"/>
          <w:sz w:val="18"/>
        </w:rPr>
        <w:t xml:space="preserve">nsrelaterad information mellan nätverkets medlemmar, som består av Schengenländer och </w:t>
      </w:r>
      <w:proofErr w:type="spellStart"/>
      <w:r>
        <w:rPr>
          <w:rFonts w:ascii="Times New Roman" w:hAnsi="Times New Roman"/>
          <w:sz w:val="18"/>
        </w:rPr>
        <w:t>Frontex</w:t>
      </w:r>
      <w:proofErr w:type="spellEnd"/>
      <w:r>
        <w:rPr>
          <w:rFonts w:ascii="Times New Roman" w:hAnsi="Times New Roman"/>
          <w:sz w:val="18"/>
        </w:rPr>
        <w:t xml:space="preserve">. Då </w:t>
      </w:r>
      <w:proofErr w:type="spellStart"/>
      <w:r>
        <w:rPr>
          <w:rFonts w:ascii="Times New Roman" w:hAnsi="Times New Roman"/>
          <w:sz w:val="18"/>
        </w:rPr>
        <w:t>Eurosur</w:t>
      </w:r>
      <w:proofErr w:type="spellEnd"/>
      <w:r>
        <w:rPr>
          <w:rFonts w:ascii="Times New Roman" w:hAnsi="Times New Roman"/>
          <w:sz w:val="18"/>
        </w:rPr>
        <w:t xml:space="preserve"> är en vidareutveckling av Schengenregelverket, i vilket Irland och Förenade kungariket inte deltar, ingår dessa medlemsstater inte i </w:t>
      </w:r>
      <w:proofErr w:type="spellStart"/>
      <w:r>
        <w:rPr>
          <w:rFonts w:ascii="Times New Roman" w:hAnsi="Times New Roman"/>
          <w:sz w:val="18"/>
        </w:rPr>
        <w:t>Eurosur</w:t>
      </w:r>
      <w:proofErr w:type="spellEnd"/>
      <w:r>
        <w:rPr>
          <w:rFonts w:ascii="Times New Roman" w:hAnsi="Times New Roman"/>
          <w:sz w:val="18"/>
        </w:rPr>
        <w:t>. Det begr</w:t>
      </w:r>
      <w:r>
        <w:rPr>
          <w:rFonts w:ascii="Times New Roman" w:hAnsi="Times New Roman"/>
          <w:sz w:val="18"/>
        </w:rPr>
        <w:t>änsade samarbete på regional nivå som föreskrivs i artikel 19 i förordningen är för närvarande föremål för prövning i domstolen (mål C-88/14).</w:t>
      </w:r>
    </w:p>
  </w:footnote>
  <w:footnote w:id="27">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Samordnade av </w:t>
      </w:r>
      <w:proofErr w:type="spellStart"/>
      <w:r>
        <w:rPr>
          <w:rFonts w:ascii="Times New Roman" w:hAnsi="Times New Roman"/>
          <w:sz w:val="18"/>
        </w:rPr>
        <w:t>Frontex</w:t>
      </w:r>
      <w:proofErr w:type="spellEnd"/>
      <w:r>
        <w:rPr>
          <w:rFonts w:ascii="Times New Roman" w:hAnsi="Times New Roman"/>
          <w:sz w:val="18"/>
        </w:rPr>
        <w:t xml:space="preserve"> med bidrag från Europeiska stödkontoret för asylfrågor, Europol, EU:s satellitcentrum oc</w:t>
      </w:r>
      <w:r>
        <w:rPr>
          <w:rFonts w:ascii="Times New Roman" w:hAnsi="Times New Roman"/>
          <w:sz w:val="18"/>
        </w:rPr>
        <w:t>h Europeiska sjösäkerhetsbyrån.</w:t>
      </w:r>
    </w:p>
  </w:footnote>
  <w:footnote w:id="28">
    <w:p w:rsidR="00F36D91" w:rsidRDefault="00C6414A">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Se fotnot 3 för en beskrivning av förslagets tillämpningsområde.</w:t>
      </w:r>
    </w:p>
  </w:footnote>
  <w:footnote w:id="29">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För att få en överblick över barns särskilda sårbarhet, inte bara bland sådana med invandrarbakgrund, kommer kommissionen att ta fram en heltäckande stra</w:t>
      </w:r>
      <w:r>
        <w:rPr>
          <w:rFonts w:ascii="Times New Roman" w:hAnsi="Times New Roman"/>
          <w:sz w:val="18"/>
        </w:rPr>
        <w:t>tegi för att följa upp handlingsplanen för underåriga utan medföljande vuxen (2011–2014) så att den omfattar saknade och ensamkommande barn.</w:t>
      </w:r>
    </w:p>
  </w:footnote>
  <w:footnote w:id="30">
    <w:p w:rsidR="00F36D91" w:rsidRDefault="00C6414A">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Direktiv 2013/32/EU om gemensamma förfaranden för att bevilja och återkalla internationellt skydd (EUT L 180, 29</w:t>
      </w:r>
      <w:r>
        <w:rPr>
          <w:rFonts w:ascii="Times New Roman" w:hAnsi="Times New Roman"/>
          <w:sz w:val="18"/>
        </w:rPr>
        <w:t xml:space="preserve">.6.2013, s. 60). Direktiv 2013/33/EU av den 26 juni 2013 om normer för mottagande av personer som ansöker om internationellt skydd (EUT L 180, 29.6.2013, s. 96). Förenade kungariket och Irland är inte anslutna till dessa direktiv. </w:t>
      </w:r>
    </w:p>
  </w:footnote>
  <w:footnote w:id="31">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proofErr w:type="spellStart"/>
      <w:r>
        <w:rPr>
          <w:rFonts w:ascii="Times New Roman" w:hAnsi="Times New Roman"/>
          <w:sz w:val="18"/>
        </w:rPr>
        <w:t>Easos</w:t>
      </w:r>
      <w:proofErr w:type="spellEnd"/>
      <w:r>
        <w:rPr>
          <w:rFonts w:ascii="Times New Roman" w:hAnsi="Times New Roman"/>
          <w:sz w:val="18"/>
        </w:rPr>
        <w:t xml:space="preserve"> fortbildningspl</w:t>
      </w:r>
      <w:r>
        <w:rPr>
          <w:rFonts w:ascii="Times New Roman" w:hAnsi="Times New Roman"/>
          <w:sz w:val="18"/>
        </w:rPr>
        <w:t>an, som är ett gemensamt system för fortbildning för asylhandläggare och andra målgrupper som t.ex. chefer och jurister inom hela EU.</w:t>
      </w:r>
    </w:p>
  </w:footnote>
  <w:footnote w:id="32">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Detta gör att EU kan vidta förebyggande åtgärder i partnerskap med ursprungsländerna, utveckla riktade informationskamp</w:t>
      </w:r>
      <w:r>
        <w:rPr>
          <w:rFonts w:ascii="Times New Roman" w:hAnsi="Times New Roman"/>
          <w:sz w:val="18"/>
        </w:rPr>
        <w:t>anjer samt stärka samarbetet i fråga om gränsförvaltning och kampen mot smugglare.</w:t>
      </w:r>
    </w:p>
  </w:footnote>
  <w:footnote w:id="33">
    <w:p w:rsidR="00F36D91" w:rsidRDefault="00C6414A">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Direktiv 2013/32/EU, citerat ovan.  </w:t>
      </w:r>
    </w:p>
  </w:footnote>
  <w:footnote w:id="34">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Förordning (EU) nr 604/2013 av den 26 juni 2013 om kriterier och mekanismer för att avgöra vilken medlemsstat som är ansvarig för </w:t>
      </w:r>
      <w:r>
        <w:rPr>
          <w:rFonts w:ascii="Times New Roman" w:hAnsi="Times New Roman"/>
          <w:sz w:val="18"/>
        </w:rPr>
        <w:t>att pröva en ansökan om internationellt skydd som en tredjelandsmedborgare eller en statslös person har lämnat in i någon medlemsstat (EUT L 180, 29.6.2013, s. 31). Förenade kungariket och Irland har meddelat att de önskar delta i antagandet och tillämpnin</w:t>
      </w:r>
      <w:r>
        <w:rPr>
          <w:rFonts w:ascii="Times New Roman" w:hAnsi="Times New Roman"/>
          <w:sz w:val="18"/>
        </w:rPr>
        <w:t xml:space="preserve">gen av denna förordning. Danmark deltar i Dublinsystemet genom ett separat avtal som landet ingick med EU 2006. Kriterierna för fastställande av ansvar går i hierarkisk ordning från familjeskäl, senaste visum eller uppehållstillstånd i en medlemsstat till </w:t>
      </w:r>
      <w:r>
        <w:rPr>
          <w:rFonts w:ascii="Times New Roman" w:hAnsi="Times New Roman"/>
          <w:sz w:val="18"/>
        </w:rPr>
        <w:t>huruvida den sökande har rest in i EU lagligt eller olagligt.</w:t>
      </w:r>
    </w:p>
  </w:footnote>
  <w:footnote w:id="35">
    <w:p w:rsidR="00F36D91" w:rsidRDefault="00C6414A">
      <w:pPr>
        <w:pStyle w:val="FootnoteText"/>
        <w:ind w:left="240" w:hanging="240"/>
        <w:jc w:val="both"/>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 xml:space="preserve">Förordning (EU) nr 603/2013 av den 26 juni 2013 om inrättande av </w:t>
      </w:r>
      <w:proofErr w:type="spellStart"/>
      <w:r>
        <w:rPr>
          <w:rFonts w:ascii="Times New Roman" w:hAnsi="Times New Roman"/>
          <w:sz w:val="18"/>
        </w:rPr>
        <w:t>Eurodac</w:t>
      </w:r>
      <w:proofErr w:type="spellEnd"/>
      <w:r>
        <w:rPr>
          <w:rFonts w:ascii="Times New Roman" w:hAnsi="Times New Roman"/>
          <w:sz w:val="18"/>
        </w:rPr>
        <w:t xml:space="preserve"> (omarbetning). Förenade kungariket och Irland har anslutit sig till denna förordning. Danmark deltar i </w:t>
      </w:r>
      <w:proofErr w:type="spellStart"/>
      <w:r>
        <w:rPr>
          <w:rFonts w:ascii="Times New Roman" w:hAnsi="Times New Roman"/>
          <w:sz w:val="18"/>
        </w:rPr>
        <w:t>Eurodacsystemet</w:t>
      </w:r>
      <w:proofErr w:type="spellEnd"/>
      <w:r>
        <w:rPr>
          <w:rFonts w:ascii="Times New Roman" w:hAnsi="Times New Roman"/>
          <w:sz w:val="18"/>
        </w:rPr>
        <w:t xml:space="preserve"> genom ett separat avtal som landet ingick med EU 2006.</w:t>
      </w:r>
    </w:p>
  </w:footnote>
  <w:footnote w:id="36">
    <w:p w:rsidR="00F36D91" w:rsidRDefault="00C6414A">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Se fotnot 3 för en beskrivning av det nya initiativets tillämpningsområde.</w:t>
      </w:r>
    </w:p>
  </w:footnote>
  <w:footnote w:id="37">
    <w:p w:rsidR="00F36D91" w:rsidRDefault="00C6414A">
      <w:pPr>
        <w:spacing w:after="0" w:line="240" w:lineRule="auto"/>
        <w:ind w:left="240" w:hanging="240"/>
        <w:jc w:val="both"/>
        <w:rPr>
          <w:rFonts w:ascii="Times New Roman" w:hAnsi="Times New Roman" w:cs="Times New Roman"/>
          <w:sz w:val="18"/>
          <w:szCs w:val="18"/>
          <w:lang w:val="en-GB"/>
        </w:rPr>
      </w:pPr>
      <w:r>
        <w:rPr>
          <w:rStyle w:val="FootnoteReference"/>
          <w:rFonts w:ascii="Times New Roman" w:hAnsi="Times New Roman"/>
          <w:sz w:val="18"/>
        </w:rPr>
        <w:footnoteRef/>
      </w:r>
      <w:r>
        <w:rPr>
          <w:rFonts w:ascii="Times New Roman" w:hAnsi="Times New Roman"/>
          <w:sz w:val="18"/>
          <w:lang w:val="en-GB"/>
        </w:rPr>
        <w:t xml:space="preserve"> </w:t>
      </w:r>
      <w:r>
        <w:rPr>
          <w:lang w:val="en-GB"/>
        </w:rPr>
        <w:tab/>
      </w:r>
      <w:proofErr w:type="spellStart"/>
      <w:r>
        <w:rPr>
          <w:rFonts w:ascii="Times New Roman" w:hAnsi="Times New Roman"/>
          <w:sz w:val="18"/>
          <w:lang w:val="en-GB"/>
        </w:rPr>
        <w:t>Descy</w:t>
      </w:r>
      <w:proofErr w:type="spellEnd"/>
      <w:r>
        <w:rPr>
          <w:rFonts w:ascii="Times New Roman" w:hAnsi="Times New Roman"/>
          <w:sz w:val="18"/>
          <w:lang w:val="en-GB"/>
        </w:rPr>
        <w:t xml:space="preserve">, </w:t>
      </w:r>
      <w:proofErr w:type="spellStart"/>
      <w:r>
        <w:rPr>
          <w:rFonts w:ascii="Times New Roman" w:hAnsi="Times New Roman"/>
          <w:sz w:val="18"/>
          <w:lang w:val="en-GB"/>
        </w:rPr>
        <w:t>Pascaline</w:t>
      </w:r>
      <w:proofErr w:type="spellEnd"/>
      <w:r>
        <w:rPr>
          <w:rFonts w:ascii="Times New Roman" w:hAnsi="Times New Roman"/>
          <w:sz w:val="18"/>
          <w:lang w:val="en-GB"/>
        </w:rPr>
        <w:t xml:space="preserve"> (2014), ”Projected labour market imbalances in Europe: Policy challenges in meeting the Europe 2020 em</w:t>
      </w:r>
      <w:r>
        <w:rPr>
          <w:rFonts w:ascii="Times New Roman" w:hAnsi="Times New Roman"/>
          <w:sz w:val="18"/>
          <w:lang w:val="en-GB"/>
        </w:rPr>
        <w:t xml:space="preserve">ployment targets”, i </w:t>
      </w:r>
      <w:r>
        <w:rPr>
          <w:rFonts w:ascii="Times New Roman" w:hAnsi="Times New Roman"/>
          <w:i/>
          <w:sz w:val="18"/>
          <w:lang w:val="en-GB"/>
        </w:rPr>
        <w:t>OECD/European Union, Matching Economic Migration with Labour Market Needs</w:t>
      </w:r>
      <w:r>
        <w:rPr>
          <w:rFonts w:ascii="Times New Roman" w:hAnsi="Times New Roman"/>
          <w:sz w:val="18"/>
          <w:lang w:val="en-GB"/>
        </w:rPr>
        <w:t>, OECD Publishing (</w:t>
      </w:r>
      <w:hyperlink r:id="rId2" w:history="1">
        <w:r>
          <w:rPr>
            <w:rStyle w:val="Hyperlink"/>
            <w:rFonts w:ascii="Times New Roman" w:hAnsi="Times New Roman"/>
            <w:color w:val="auto"/>
            <w:sz w:val="18"/>
            <w:lang w:val="en-GB"/>
          </w:rPr>
          <w:t>http://dx.doi.org/10.1787/9789264216501-12-en</w:t>
        </w:r>
      </w:hyperlink>
      <w:r>
        <w:rPr>
          <w:rFonts w:ascii="Times New Roman" w:hAnsi="Times New Roman"/>
          <w:sz w:val="18"/>
          <w:lang w:val="en-GB"/>
        </w:rPr>
        <w:t xml:space="preserve">). </w:t>
      </w:r>
    </w:p>
  </w:footnote>
  <w:footnote w:id="38">
    <w:p w:rsidR="00F36D91" w:rsidRDefault="00C6414A">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 xml:space="preserve">Båda initiativen tas upp i </w:t>
      </w:r>
      <w:r>
        <w:rPr>
          <w:rFonts w:ascii="Times New Roman" w:hAnsi="Times New Roman"/>
          <w:sz w:val="18"/>
        </w:rPr>
        <w:t>bilaga 1 till kommissionens arbetsprogram för 2015.</w:t>
      </w:r>
    </w:p>
  </w:footnote>
  <w:footnote w:id="39">
    <w:p w:rsidR="00F36D91" w:rsidRDefault="00C6414A">
      <w:pPr>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Kommissionen kommer också att göra en utvärdering och bedömning av gällande lagstiftning om laglig migration (kontroll av ändamålsenligheten) i syfte att upptäcka luckor och inkonsekvenser samt undersö</w:t>
      </w:r>
      <w:r>
        <w:rPr>
          <w:rFonts w:ascii="Times New Roman" w:hAnsi="Times New Roman"/>
          <w:sz w:val="18"/>
        </w:rPr>
        <w:t>ka möjligheterna att förenkla och rationalisera nuvarande EU-ram för att bidra till en bättre hantering av lagliga migrationsflöden. Se fotnot 3 för en beskrivning av det nya initiativets tillämpningsområde.</w:t>
      </w:r>
      <w:r>
        <w:rPr>
          <w:rFonts w:ascii="Times New Roman" w:hAnsi="Times New Roman"/>
          <w:color w:val="000000"/>
          <w:sz w:val="18"/>
        </w:rPr>
        <w:t xml:space="preserve"> </w:t>
      </w:r>
    </w:p>
  </w:footnote>
  <w:footnote w:id="40">
    <w:p w:rsidR="00F36D91" w:rsidRDefault="00C6414A">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COM/2013/0151 slutlig. Se fotnot 3 för en be</w:t>
      </w:r>
      <w:r>
        <w:rPr>
          <w:rFonts w:ascii="Times New Roman" w:hAnsi="Times New Roman"/>
          <w:sz w:val="18"/>
        </w:rPr>
        <w:t xml:space="preserve">skrivning av förslagets tillämpningsområde.  </w:t>
      </w:r>
    </w:p>
  </w:footnote>
  <w:footnote w:id="41">
    <w:p w:rsidR="00F36D91" w:rsidRDefault="00C6414A">
      <w:pPr>
        <w:pStyle w:val="FootnoteText"/>
        <w:ind w:left="240" w:hanging="240"/>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 </w:t>
      </w:r>
      <w:r>
        <w:tab/>
      </w:r>
      <w:r>
        <w:rPr>
          <w:rFonts w:ascii="Times New Roman" w:hAnsi="Times New Roman"/>
          <w:sz w:val="18"/>
        </w:rPr>
        <w:t xml:space="preserve">Rådets direktiv 2009/50/EG av den 25 maj 2009 om villkor för tredjelandsmedborgares inresa och vistelse för högkvalificerad anställning (EUT L 155, 18.6.2009, s. 17). Förenade kungariket och Irland är inte </w:t>
      </w:r>
      <w:r>
        <w:rPr>
          <w:rFonts w:ascii="Times New Roman" w:hAnsi="Times New Roman"/>
          <w:sz w:val="18"/>
        </w:rPr>
        <w:t xml:space="preserve">anslutna till detta direktiv och därför är det inte bindande eller tillämpligt på dem. </w:t>
      </w:r>
    </w:p>
  </w:footnote>
  <w:footnote w:id="42">
    <w:p w:rsidR="00F36D91" w:rsidRDefault="00C6414A">
      <w:pPr>
        <w:pStyle w:val="FootnoteText"/>
        <w:ind w:left="240" w:hanging="240"/>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T.ex. kompetenskartan och kunskapsallianserna.</w:t>
      </w:r>
    </w:p>
  </w:footnote>
  <w:footnote w:id="43">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T.ex. genom den europeiska referensramen för kvalifikationer och i samband med den kommande översynen av systemet E</w:t>
      </w:r>
      <w:r>
        <w:rPr>
          <w:rFonts w:ascii="Times New Roman" w:hAnsi="Times New Roman"/>
          <w:sz w:val="18"/>
        </w:rPr>
        <w:t>uropass.</w:t>
      </w:r>
    </w:p>
  </w:footnote>
  <w:footnote w:id="44">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I den gemensamma viseringspolitiken, vilken huvudsakligen föreskrivs i viseringskodexen (förordning 810/2009), fastslås reglerna för utfärdande av viseringar för kortare vistelse till medborgare i tredje land som t.ex. reser som turister, i yrk</w:t>
      </w:r>
      <w:r>
        <w:rPr>
          <w:rFonts w:ascii="Times New Roman" w:hAnsi="Times New Roman"/>
          <w:sz w:val="18"/>
        </w:rPr>
        <w:t>et, privat för att besöka släktingar/vänner eller för att delta i kultur- och idrottsevenemang. Detta omfattas av Schengenregelverket som Irland och Förenade kungariket inte deltar i. Under 2014 utfärdade Schengenmedlemsstaterna omkring 15,8 miljoner viser</w:t>
      </w:r>
      <w:r>
        <w:rPr>
          <w:rFonts w:ascii="Times New Roman" w:hAnsi="Times New Roman"/>
          <w:sz w:val="18"/>
        </w:rPr>
        <w:t>ingar vilket innebär en ökning med ungefär 60 % jämfört med 2009. Ett förslag till omarbetning av viseringskodexen diskuteras för närvarande i parlamentet och rådet (COM(2014) 164).</w:t>
      </w:r>
    </w:p>
  </w:footnote>
  <w:footnote w:id="45">
    <w:p w:rsidR="00F36D91" w:rsidRDefault="00C6414A">
      <w:pPr>
        <w:autoSpaceDE w:val="0"/>
        <w:autoSpaceDN w:val="0"/>
        <w:spacing w:after="0" w:line="240" w:lineRule="auto"/>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Det är en ny typ av visering för både viseringsbefriade och viseringssk</w:t>
      </w:r>
      <w:r>
        <w:rPr>
          <w:rFonts w:ascii="Times New Roman" w:hAnsi="Times New Roman"/>
          <w:sz w:val="18"/>
        </w:rPr>
        <w:t>yldiga tredjelandsmedborgare som har ett berättigat intresse av att resa omkring i Schengenområdet under högst 90 dagar under en 180-dagarsperiod (COM(2014)163). Detta förslag bygger på den del av Schengenregelverket som Irland och Förenade kungariket inte</w:t>
      </w:r>
      <w:r>
        <w:rPr>
          <w:rFonts w:ascii="Times New Roman" w:hAnsi="Times New Roman"/>
          <w:sz w:val="18"/>
        </w:rPr>
        <w:t xml:space="preserve"> deltar i.</w:t>
      </w:r>
    </w:p>
  </w:footnote>
  <w:footnote w:id="46">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Genomförandet av dessa åtgärder kommer att utvärderas i slutet av 2015 för att klarlägga huruvida medlemsstaterna har uppfyllt sina mål och om en omläggning av ESF:s resurser krävs.</w:t>
      </w:r>
    </w:p>
  </w:footnote>
  <w:footnote w:id="47">
    <w:p w:rsidR="00F36D91" w:rsidRDefault="00C6414A">
      <w:pPr>
        <w:pStyle w:val="FootnoteText"/>
        <w:ind w:left="240" w:hanging="240"/>
        <w:jc w:val="both"/>
        <w:rPr>
          <w:sz w:val="18"/>
          <w:szCs w:val="18"/>
        </w:rPr>
      </w:pPr>
      <w:r>
        <w:rPr>
          <w:rStyle w:val="FootnoteReference"/>
        </w:rPr>
        <w:footnoteRef/>
      </w:r>
      <w:r>
        <w:t xml:space="preserve"> </w:t>
      </w:r>
      <w:r>
        <w:tab/>
      </w:r>
      <w:r>
        <w:rPr>
          <w:rFonts w:ascii="Times New Roman" w:hAnsi="Times New Roman"/>
          <w:sz w:val="18"/>
        </w:rPr>
        <w:t>Kommissionens meddelande: Maximera migrationens bidrag ti</w:t>
      </w:r>
      <w:r>
        <w:rPr>
          <w:rFonts w:ascii="Times New Roman" w:hAnsi="Times New Roman"/>
          <w:sz w:val="18"/>
        </w:rPr>
        <w:t>ll utvecklingen (COM(2013)292 final); Rådets slutsatser om migration i EU:s utvecklingssamarbete av den 12 december 2014.</w:t>
      </w:r>
    </w:p>
  </w:footnote>
  <w:footnote w:id="48">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sz w:val="18"/>
        </w:rPr>
        <w:t>Kommissionens meddelande En övergripande strategi för migration och rörlighet (COM/2011/743 final). Dessa initiativ är de mest utar</w:t>
      </w:r>
      <w:r>
        <w:rPr>
          <w:rFonts w:ascii="Times New Roman" w:hAnsi="Times New Roman"/>
          <w:sz w:val="18"/>
        </w:rPr>
        <w:t>betade bilaterala ramarna för samarbete på migrationsområdet. De erbjuder en politisk ram för bred, ökad och skräddarsydd dialog samt för samarbete med partnerländer, däribland en uppsättning mål och åtaganden samt ett särskilt paket med stödåtgärder som k</w:t>
      </w:r>
      <w:r>
        <w:rPr>
          <w:rFonts w:ascii="Times New Roman" w:hAnsi="Times New Roman"/>
          <w:sz w:val="18"/>
        </w:rPr>
        <w:t>an erbjudas av EU och de berörda medlemsstaterna. De inbegriper förhandlingar om avtal om viseringslättnader och återtaganden.</w:t>
      </w:r>
    </w:p>
  </w:footnote>
  <w:footnote w:id="49">
    <w:p w:rsidR="00F36D91" w:rsidRDefault="00C6414A">
      <w:pPr>
        <w:pStyle w:val="FootnoteText"/>
        <w:ind w:left="240" w:hanging="240"/>
        <w:rPr>
          <w:rFonts w:ascii="Times New Roman" w:hAnsi="Times New Roman" w:cs="Times New Roman"/>
          <w:sz w:val="18"/>
          <w:szCs w:val="18"/>
        </w:rPr>
      </w:pPr>
      <w:r>
        <w:rPr>
          <w:rStyle w:val="FootnoteReference"/>
        </w:rPr>
        <w:footnoteRef/>
      </w:r>
      <w:r>
        <w:t xml:space="preserve"> </w:t>
      </w:r>
      <w:r>
        <w:tab/>
      </w:r>
      <w:r>
        <w:rPr>
          <w:rFonts w:ascii="Times New Roman" w:hAnsi="Times New Roman"/>
          <w:sz w:val="18"/>
        </w:rPr>
        <w:t>COM/2013/0547 slutlig.</w:t>
      </w:r>
    </w:p>
  </w:footnote>
  <w:footnote w:id="50">
    <w:p w:rsidR="00F36D91" w:rsidRDefault="00C6414A">
      <w:pPr>
        <w:pStyle w:val="FootnoteText"/>
        <w:ind w:left="240" w:hanging="240"/>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 xml:space="preserve"> </w:t>
      </w:r>
      <w:r>
        <w:tab/>
      </w:r>
      <w:r>
        <w:rPr>
          <w:rFonts w:ascii="Times New Roman" w:hAnsi="Times New Roman"/>
          <w:i/>
          <w:sz w:val="18"/>
        </w:rPr>
        <w:t>Ömsesidigt erkännande av asylbeslut</w:t>
      </w:r>
      <w:r>
        <w:rPr>
          <w:rFonts w:ascii="Times New Roman" w:hAnsi="Times New Roman"/>
          <w:sz w:val="18"/>
        </w:rPr>
        <w:t>: en medlemsstats erkännande av de positiva asylbeslut som fattat</w:t>
      </w:r>
      <w:r>
        <w:rPr>
          <w:rFonts w:ascii="Times New Roman" w:hAnsi="Times New Roman"/>
          <w:sz w:val="18"/>
        </w:rPr>
        <w:t>s av en annan medlemsstat.</w:t>
      </w:r>
    </w:p>
  </w:footnote>
  <w:footnote w:id="51">
    <w:p w:rsidR="00F36D91" w:rsidRDefault="00C6414A">
      <w:pPr>
        <w:ind w:left="240" w:hanging="240"/>
        <w:jc w:val="both"/>
      </w:pPr>
      <w:r>
        <w:rPr>
          <w:rStyle w:val="FootnoteReference"/>
          <w:rFonts w:ascii="Times New Roman" w:hAnsi="Times New Roman"/>
          <w:sz w:val="18"/>
        </w:rPr>
        <w:footnoteRef/>
      </w:r>
      <w:r>
        <w:rPr>
          <w:rFonts w:ascii="Times New Roman" w:hAnsi="Times New Roman"/>
          <w:sz w:val="18"/>
        </w:rPr>
        <w:t xml:space="preserve"> </w:t>
      </w:r>
      <w:r>
        <w:tab/>
        <w:t xml:space="preserve">Undersökningen av möjligheten att skapa ett europeiskt system med gränsbevakningstjänstemän </w:t>
      </w:r>
      <w:r>
        <w:rPr>
          <w:rFonts w:ascii="Times New Roman" w:hAnsi="Times New Roman"/>
          <w:sz w:val="18"/>
        </w:rPr>
        <w:t>(</w:t>
      </w:r>
      <w:hyperlink r:id="rId3" w:history="1">
        <w:r>
          <w:rPr>
            <w:rStyle w:val="Hyperlink"/>
            <w:rFonts w:ascii="Times New Roman" w:hAnsi="Times New Roman"/>
            <w:sz w:val="18"/>
          </w:rPr>
          <w:t>http://ec.europa.eu/dgs/home-affairs/what-we-do/policies/borders-and-visas/border-crossing/docs/20141016_home_esbg_frp_001_esbg_final_report_3_00_en.pdf</w:t>
        </w:r>
      </w:hyperlink>
      <w:r>
        <w:rPr>
          <w:rFonts w:ascii="Times New Roman" w:hAnsi="Times New Roman"/>
          <w:sz w:val="18"/>
        </w:rPr>
        <w:t>)</w:t>
      </w:r>
      <w:r>
        <w:t xml:space="preserve"> är en pågående studie om framtiden för </w:t>
      </w:r>
      <w:proofErr w:type="spellStart"/>
      <w:r>
        <w:t>Frontex</w:t>
      </w:r>
      <w:proofErr w:type="spellEnd"/>
      <w:r>
        <w:t>.</w:t>
      </w:r>
    </w:p>
  </w:footnote>
  <w:footnote w:id="52">
    <w:p w:rsidR="00F36D91" w:rsidRDefault="00F36D91">
      <w:pPr>
        <w:pStyle w:val="FootnoteText"/>
      </w:pPr>
    </w:p>
    <w:p w:rsidR="00F36D91" w:rsidRDefault="00C6414A">
      <w:pPr>
        <w:pStyle w:val="FootnoteText"/>
        <w:ind w:left="240" w:hanging="240"/>
        <w:rPr>
          <w:sz w:val="18"/>
          <w:szCs w:val="18"/>
        </w:rPr>
      </w:pPr>
      <w:r>
        <w:rPr>
          <w:rStyle w:val="FootnoteReference"/>
        </w:rPr>
        <w:footnoteRef/>
      </w:r>
      <w:r>
        <w:t xml:space="preserve"> </w:t>
      </w:r>
      <w:r>
        <w:tab/>
      </w:r>
      <w:r>
        <w:rPr>
          <w:sz w:val="18"/>
        </w:rPr>
        <w:t xml:space="preserve">Med beaktande </w:t>
      </w:r>
      <w:r>
        <w:rPr>
          <w:sz w:val="18"/>
        </w:rPr>
        <w:t>av tidigare diskussioner inom ramen för Forum för vidarebosättning och omplacering.</w:t>
      </w:r>
    </w:p>
  </w:footnote>
  <w:footnote w:id="53">
    <w:p w:rsidR="00F36D91" w:rsidRDefault="00C6414A">
      <w:pPr>
        <w:pStyle w:val="FootnoteText"/>
        <w:ind w:left="240" w:hanging="240"/>
        <w:rPr>
          <w:sz w:val="18"/>
          <w:szCs w:val="18"/>
        </w:rPr>
      </w:pPr>
      <w:r>
        <w:rPr>
          <w:rStyle w:val="FootnoteReference"/>
          <w:sz w:val="18"/>
        </w:rPr>
        <w:footnoteRef/>
      </w:r>
      <w:r>
        <w:rPr>
          <w:sz w:val="18"/>
        </w:rPr>
        <w:t xml:space="preserve"> </w:t>
      </w:r>
      <w:r>
        <w:tab/>
      </w:r>
      <w:r>
        <w:rPr>
          <w:sz w:val="18"/>
        </w:rPr>
        <w:t>BNP per capita ska inte användas eftersom överväganden per capita redan återspeglas i de kriterier som avser befolkningens storlek.</w:t>
      </w:r>
    </w:p>
  </w:footnote>
  <w:footnote w:id="54">
    <w:p w:rsidR="00F36D91" w:rsidRDefault="00C6414A">
      <w:pPr>
        <w:pStyle w:val="FootnoteText"/>
        <w:ind w:left="240" w:hanging="240"/>
        <w:rPr>
          <w:sz w:val="18"/>
          <w:szCs w:val="18"/>
        </w:rPr>
      </w:pPr>
      <w:r>
        <w:rPr>
          <w:rStyle w:val="FootnoteReference"/>
          <w:sz w:val="18"/>
        </w:rPr>
        <w:footnoteRef/>
      </w:r>
      <w:r>
        <w:rPr>
          <w:sz w:val="18"/>
        </w:rPr>
        <w:t xml:space="preserve"> </w:t>
      </w:r>
      <w:r>
        <w:tab/>
      </w:r>
      <w:r>
        <w:rPr>
          <w:sz w:val="18"/>
        </w:rPr>
        <w:t xml:space="preserve">Unionens gemensamma politik för asyl, invandring, viseringar och yttre gränskontroller grundar sig på avdelning V (Ett område med frihet, säkerhet och rättvisa) i fördraget om Europeiska unionens funktionssätt (EUF-fördraget). Enligt protokollen 21 och 22 </w:t>
      </w:r>
      <w:r>
        <w:rPr>
          <w:sz w:val="18"/>
        </w:rPr>
        <w:t>till fördragen ska Förenade kungariket, Irland och Danmark inte delta i rådets beslut om föreslagna åtgärder i enlighet med avdelning V i EUF-fördraget. Förenade kungariket och Irland får underrätta rådet, inom tre månader efter det att ett förslag eller i</w:t>
      </w:r>
      <w:r>
        <w:rPr>
          <w:sz w:val="18"/>
        </w:rPr>
        <w:t xml:space="preserve">nitiativ har lagts fram eller när som helst efter antagandet, att de önskar delta i antagandet och tillämpningen av en sådan föreslagen åtgärd. Danmark kan, i enlighet med sina konstitutionella bestämmelser, när som helst meddela de övriga medlemsstaterna </w:t>
      </w:r>
      <w:r>
        <w:rPr>
          <w:sz w:val="18"/>
        </w:rPr>
        <w:t>att det fullt ut vill tillämpa alla relevanta åtgärder som antagits på grundval av avdelning V i EUF-fördraget. Om Förenade kungariket och Irland beslutar sig för att ansluta sig till omplaceringssystemet, kommer deras procentandel av medlemsstaternas bidr</w:t>
      </w:r>
      <w:r>
        <w:rPr>
          <w:sz w:val="18"/>
        </w:rPr>
        <w:t xml:space="preserve">ag att anpassas i enlighet med detta. Om Danmark och de associerade staterna beslutar sig för att frivilligt delta i systemet för omplacering, kommer staternas procentandel av bidraget också att ändras i enlighet med detta. </w:t>
      </w:r>
    </w:p>
  </w:footnote>
  <w:footnote w:id="55">
    <w:p w:rsidR="00F36D91" w:rsidRDefault="00C6414A">
      <w:pPr>
        <w:pStyle w:val="FootnoteText"/>
        <w:ind w:left="240" w:hanging="240"/>
        <w:rPr>
          <w:sz w:val="18"/>
          <w:szCs w:val="18"/>
        </w:rPr>
      </w:pPr>
      <w:r>
        <w:rPr>
          <w:rStyle w:val="FootnoteReference"/>
          <w:sz w:val="18"/>
        </w:rPr>
        <w:footnoteRef/>
      </w:r>
      <w:r>
        <w:rPr>
          <w:sz w:val="18"/>
        </w:rPr>
        <w:t xml:space="preserve"> </w:t>
      </w:r>
      <w:r>
        <w:tab/>
      </w:r>
      <w:r>
        <w:rPr>
          <w:sz w:val="18"/>
        </w:rPr>
        <w:t>De procentsatser som anges i</w:t>
      </w:r>
      <w:r>
        <w:rPr>
          <w:sz w:val="18"/>
        </w:rPr>
        <w:t xml:space="preserve"> fördelningsnyckeln kommer att anpassas för att ta hänsyn till den särskilda nödsituation som systemet för omplacering enligt artikel 78.3 i FEU-fördraget är inriktat på. De medlemsstater varifrån omflyttningen görs bör inte själva agera omplacerande medle</w:t>
      </w:r>
      <w:r>
        <w:rPr>
          <w:sz w:val="18"/>
        </w:rPr>
        <w:t>msstat.</w:t>
      </w:r>
    </w:p>
  </w:footnote>
  <w:footnote w:id="56">
    <w:p w:rsidR="00F36D91" w:rsidRDefault="00C6414A">
      <w:pPr>
        <w:pStyle w:val="FootnoteText"/>
        <w:ind w:left="240" w:hanging="240"/>
        <w:rPr>
          <w:sz w:val="18"/>
          <w:szCs w:val="18"/>
        </w:rPr>
      </w:pPr>
      <w:r>
        <w:rPr>
          <w:rStyle w:val="FootnoteReference"/>
          <w:sz w:val="18"/>
        </w:rPr>
        <w:footnoteRef/>
      </w:r>
      <w:r>
        <w:rPr>
          <w:sz w:val="18"/>
        </w:rPr>
        <w:t xml:space="preserve"> </w:t>
      </w:r>
      <w:r>
        <w:tab/>
      </w:r>
      <w:r>
        <w:rPr>
          <w:sz w:val="18"/>
        </w:rPr>
        <w:t>Om de associerade staterna beslutar sig för att delta i vidarebosättningsprogram, och kommer både nyckelanslagen och de totala anslagen att ändras i enlighet med detta.</w:t>
      </w:r>
    </w:p>
  </w:footnote>
  <w:footnote w:id="57">
    <w:p w:rsidR="00F36D91" w:rsidRDefault="00C6414A">
      <w:pPr>
        <w:spacing w:line="240" w:lineRule="auto"/>
        <w:ind w:left="240" w:hanging="240"/>
        <w:jc w:val="both"/>
        <w:rPr>
          <w:rFonts w:ascii="Times New Roman" w:hAnsi="Times New Roman"/>
          <w:sz w:val="18"/>
          <w:szCs w:val="18"/>
        </w:rPr>
      </w:pPr>
      <w:r>
        <w:rPr>
          <w:rStyle w:val="FootnoteReference"/>
          <w:sz w:val="18"/>
        </w:rPr>
        <w:footnoteRef/>
      </w:r>
      <w:r>
        <w:rPr>
          <w:sz w:val="18"/>
        </w:rPr>
        <w:t xml:space="preserve"> </w:t>
      </w:r>
      <w:r>
        <w:tab/>
      </w:r>
      <w:r>
        <w:rPr>
          <w:rFonts w:ascii="Times New Roman" w:hAnsi="Times New Roman"/>
          <w:sz w:val="18"/>
        </w:rPr>
        <w:t xml:space="preserve">Medan förslaget till vidarebosättningsprogram kommer att ha formen av en </w:t>
      </w:r>
      <w:r>
        <w:rPr>
          <w:rFonts w:ascii="Times New Roman" w:hAnsi="Times New Roman"/>
          <w:sz w:val="18"/>
        </w:rPr>
        <w:t>rekommendation, grundar sig unionens gemensamma invandringspolitik på avdelning V i EUF-fördraget. De särskilda aspekter som avses i fotnot 3, om protokollen 21 och 22 till fördragen, om Förenade kungarikets, Irlands och Danmarks ställning, kommer att beak</w:t>
      </w:r>
      <w:r>
        <w:rPr>
          <w:rFonts w:ascii="Times New Roman" w:hAnsi="Times New Roman"/>
          <w:sz w:val="18"/>
        </w:rPr>
        <w:t>tas.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C6414A">
    <w:pPr>
      <w:pStyle w:val="Header"/>
      <w:jc w:val="center"/>
      <w:rPr>
        <w:b/>
      </w:rPr>
    </w:pPr>
    <w:r>
      <w:rPr>
        <w:b/>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D91" w:rsidRDefault="00F36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23D2D"/>
    <w:multiLevelType w:val="hybridMultilevel"/>
    <w:tmpl w:val="30C08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656830"/>
    <w:multiLevelType w:val="hybridMultilevel"/>
    <w:tmpl w:val="A9D25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492B90"/>
    <w:multiLevelType w:val="hybridMultilevel"/>
    <w:tmpl w:val="EA7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BD20DB"/>
    <w:multiLevelType w:val="hybridMultilevel"/>
    <w:tmpl w:val="0BE24688"/>
    <w:lvl w:ilvl="0" w:tplc="E6E22836">
      <w:start w:val="1"/>
      <w:numFmt w:val="bullet"/>
      <w:pStyle w:val="Briefingspdef"/>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21018E2"/>
    <w:multiLevelType w:val="hybridMultilevel"/>
    <w:tmpl w:val="9606CA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9E0968"/>
    <w:multiLevelType w:val="hybridMultilevel"/>
    <w:tmpl w:val="2F448F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C1095E"/>
    <w:multiLevelType w:val="hybridMultilevel"/>
    <w:tmpl w:val="FCC6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A76B5F"/>
    <w:multiLevelType w:val="hybridMultilevel"/>
    <w:tmpl w:val="DB0843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30367B6"/>
    <w:multiLevelType w:val="hybridMultilevel"/>
    <w:tmpl w:val="FE965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6D565C9"/>
    <w:multiLevelType w:val="hybridMultilevel"/>
    <w:tmpl w:val="C928C0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AA2409D"/>
    <w:multiLevelType w:val="hybridMultilevel"/>
    <w:tmpl w:val="3008FF0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1">
    <w:nsid w:val="2EBB099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661903"/>
    <w:multiLevelType w:val="hybridMultilevel"/>
    <w:tmpl w:val="9D0434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3712816"/>
    <w:multiLevelType w:val="hybridMultilevel"/>
    <w:tmpl w:val="423EB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5025A35"/>
    <w:multiLevelType w:val="hybridMultilevel"/>
    <w:tmpl w:val="7152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055A54"/>
    <w:multiLevelType w:val="hybridMultilevel"/>
    <w:tmpl w:val="384AD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8A71B22"/>
    <w:multiLevelType w:val="hybridMultilevel"/>
    <w:tmpl w:val="6F56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8F424D0"/>
    <w:multiLevelType w:val="multilevel"/>
    <w:tmpl w:val="48741C5E"/>
    <w:name w:val="Points"/>
    <w:lvl w:ilvl="0">
      <w:start w:val="1"/>
      <w:numFmt w:val="decimal"/>
      <w:lvlRestart w:val="0"/>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18">
    <w:nsid w:val="3B196934"/>
    <w:multiLevelType w:val="hybridMultilevel"/>
    <w:tmpl w:val="747C2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A3228E"/>
    <w:multiLevelType w:val="hybridMultilevel"/>
    <w:tmpl w:val="BDF29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342723C"/>
    <w:multiLevelType w:val="hybridMultilevel"/>
    <w:tmpl w:val="6E2888EE"/>
    <w:lvl w:ilvl="0" w:tplc="15A812FA">
      <w:start w:val="4"/>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4351401E"/>
    <w:multiLevelType w:val="hybridMultilevel"/>
    <w:tmpl w:val="E7DC80E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2">
    <w:nsid w:val="46A273F8"/>
    <w:multiLevelType w:val="hybridMultilevel"/>
    <w:tmpl w:val="6DDCF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E944EE2"/>
    <w:multiLevelType w:val="hybridMultilevel"/>
    <w:tmpl w:val="98EAE3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0F627D1"/>
    <w:multiLevelType w:val="hybridMultilevel"/>
    <w:tmpl w:val="9D346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51006EA"/>
    <w:multiLevelType w:val="hybridMultilevel"/>
    <w:tmpl w:val="68E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51A7CA4"/>
    <w:multiLevelType w:val="hybridMultilevel"/>
    <w:tmpl w:val="0EE01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57F1E4D"/>
    <w:multiLevelType w:val="hybridMultilevel"/>
    <w:tmpl w:val="6592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EF4975"/>
    <w:multiLevelType w:val="hybridMultilevel"/>
    <w:tmpl w:val="C5EA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EE40DA"/>
    <w:multiLevelType w:val="hybridMultilevel"/>
    <w:tmpl w:val="77A46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4C9477C"/>
    <w:multiLevelType w:val="hybridMultilevel"/>
    <w:tmpl w:val="62000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4E85CB0"/>
    <w:multiLevelType w:val="hybridMultilevel"/>
    <w:tmpl w:val="0F28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275363"/>
    <w:multiLevelType w:val="hybridMultilevel"/>
    <w:tmpl w:val="97A046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B676751"/>
    <w:multiLevelType w:val="hybridMultilevel"/>
    <w:tmpl w:val="BFFC9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33"/>
  </w:num>
  <w:num w:numId="3">
    <w:abstractNumId w:val="32"/>
  </w:num>
  <w:num w:numId="4">
    <w:abstractNumId w:val="18"/>
  </w:num>
  <w:num w:numId="5">
    <w:abstractNumId w:val="23"/>
  </w:num>
  <w:num w:numId="6">
    <w:abstractNumId w:val="1"/>
  </w:num>
  <w:num w:numId="7">
    <w:abstractNumId w:val="14"/>
  </w:num>
  <w:num w:numId="8">
    <w:abstractNumId w:val="29"/>
  </w:num>
  <w:num w:numId="9">
    <w:abstractNumId w:val="19"/>
  </w:num>
  <w:num w:numId="10">
    <w:abstractNumId w:val="10"/>
  </w:num>
  <w:num w:numId="11">
    <w:abstractNumId w:val="21"/>
  </w:num>
  <w:num w:numId="12">
    <w:abstractNumId w:val="26"/>
  </w:num>
  <w:num w:numId="13">
    <w:abstractNumId w:val="27"/>
  </w:num>
  <w:num w:numId="14">
    <w:abstractNumId w:val="30"/>
  </w:num>
  <w:num w:numId="15">
    <w:abstractNumId w:val="13"/>
  </w:num>
  <w:num w:numId="16">
    <w:abstractNumId w:val="8"/>
  </w:num>
  <w:num w:numId="17">
    <w:abstractNumId w:val="0"/>
  </w:num>
  <w:num w:numId="18">
    <w:abstractNumId w:val="2"/>
  </w:num>
  <w:num w:numId="19">
    <w:abstractNumId w:val="25"/>
  </w:num>
  <w:num w:numId="20">
    <w:abstractNumId w:val="4"/>
  </w:num>
  <w:num w:numId="21">
    <w:abstractNumId w:val="6"/>
  </w:num>
  <w:num w:numId="22">
    <w:abstractNumId w:val="20"/>
  </w:num>
  <w:num w:numId="23">
    <w:abstractNumId w:val="33"/>
  </w:num>
  <w:num w:numId="24">
    <w:abstractNumId w:val="24"/>
  </w:num>
  <w:num w:numId="25">
    <w:abstractNumId w:val="12"/>
  </w:num>
  <w:num w:numId="26">
    <w:abstractNumId w:val="31"/>
  </w:num>
  <w:num w:numId="27">
    <w:abstractNumId w:val="16"/>
  </w:num>
  <w:num w:numId="28">
    <w:abstractNumId w:val="11"/>
  </w:num>
  <w:num w:numId="29">
    <w:abstractNumId w:val="3"/>
  </w:num>
  <w:num w:numId="30">
    <w:abstractNumId w:val="28"/>
  </w:num>
  <w:num w:numId="31">
    <w:abstractNumId w:val="5"/>
  </w:num>
  <w:num w:numId="32">
    <w:abstractNumId w:val="9"/>
  </w:num>
  <w:num w:numId="33">
    <w:abstractNumId w:val="22"/>
  </w:num>
  <w:num w:numId="34">
    <w:abstractNumId w:val="17"/>
  </w:num>
  <w:num w:numId="35">
    <w:abstractNumId w:val="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E232FE48854430EA1035D2A2BE93C1B"/>
    <w:docVar w:name="LW_CROSSREFERENCE" w:val="&lt;UNUSED&gt;"/>
    <w:docVar w:name="LW_DocType" w:val="NORMAL"/>
    <w:docVar w:name="LW_EMISSION" w:val="13.5.2015"/>
    <w:docVar w:name="LW_EMISSION_ISODATE" w:val="2015-05-13"/>
    <w:docVar w:name="LW_EMISSION_LOCATION" w:val="BRX"/>
    <w:docVar w:name="LW_EMISSION_PREFIX" w:val="Bryssel den "/>
    <w:docVar w:name="LW_EMISSION_SUFFIX" w:val=" "/>
    <w:docVar w:name="LW_ID_DOCTYPE_NONLW" w:val="CP-014"/>
    <w:docVar w:name="LW_LANGUE" w:val="SV"/>
    <w:docVar w:name="LW_MARKING" w:val="&lt;UNUSED&g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15) 240"/>
    <w:docVar w:name="LW_REF.INTERNE" w:val="&lt;UNUSED&gt;"/>
    <w:docVar w:name="LW_SOUS.TITRE.OBJ" w:val="A comprehensive response"/>
    <w:docVar w:name="LW_SOUS.TITRE.OBJ.CP" w:val="&lt;UNUSED&gt;"/>
    <w:docVar w:name="LW_SUPERTITRE" w:val="&lt;UNUSED&gt;"/>
    <w:docVar w:name="LW_TITRE.OBJ.CP" w:val="EN EUROPEISK MIGRATIONSAGENDA"/>
    <w:docVar w:name="LW_TYPE.DOC.CP" w:val="MEDDELANDE FRÅN KOMMISSIONEN TILL EUROPAPARLAMENTET, RÅDET, EUROPEISKA EKONOMISKA OCH SOCIALA KOMMITTÉN SAMT REGIONKOMMITTÉN"/>
    <w:docVar w:name="LW_TYPE.DOC.CP.USERTEXT" w:val="&lt;EMPTY&gt;"/>
  </w:docVars>
  <w:rsids>
    <w:rsidRoot w:val="00F36D91"/>
    <w:rsid w:val="00C6414A"/>
    <w:rsid w:val="00F36D91"/>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sv-S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pPr>
      <w:ind w:left="720"/>
      <w:contextualSpacing/>
    </w:pPr>
  </w:style>
  <w:style w:type="paragraph" w:styleId="FootnoteText">
    <w:name w:val="footnote text"/>
    <w:aliases w:val="Footnote Text Char1 Char Char,Footnote Text Char2 Char Char Char,Footnote Text Char1 Char Char Char Char,Footnote Text Char Char Char Char Char Char,Footnote Text Char Char,Fußnotentextf,Note de bas de page Car Car Car Car,ft,fußn,Fußnote"/>
    <w:basedOn w:val="Normal"/>
    <w:link w:val="FootnoteTextChar"/>
    <w:uiPriority w:val="99"/>
    <w:unhideWhenUsed/>
    <w:pPr>
      <w:spacing w:after="0" w:line="240" w:lineRule="auto"/>
    </w:pPr>
    <w:rPr>
      <w:sz w:val="20"/>
      <w:szCs w:val="20"/>
    </w:rPr>
  </w:style>
  <w:style w:type="character" w:customStyle="1" w:styleId="FootnoteTextChar">
    <w:name w:val="Footnote Text Char"/>
    <w:aliases w:val="Footnote Text Char1 Char Char Char,Footnote Text Char2 Char Char Char Char,Footnote Text Char1 Char Char Char Char Char,Footnote Text Char Char Char Char Char Char Char,Footnote Text Char Char Char,Fußnotentextf Char,ft Char,fußn Char"/>
    <w:basedOn w:val="DefaultParagraphFont"/>
    <w:link w:val="FootnoteText"/>
    <w:uiPriority w:val="99"/>
    <w:rPr>
      <w:sz w:val="20"/>
      <w:szCs w:val="20"/>
    </w:rPr>
  </w:style>
  <w:style w:type="character" w:styleId="FootnoteReference">
    <w:name w:val="footnote reference"/>
    <w:aliases w:val="Footnote Reference Superscript,BVI fnr,Footnote symbol, BVI fnr,SUPERS,(Footnote Reference),Footnote,Voetnootverwijzing,Times 10 Point,Exposant 3 Point,Footnote reference number,note TESI,Odwołanie przypisu,Footnotemark,FR,Footnotemar"/>
    <w:basedOn w:val="DefaultParagraphFont"/>
    <w:uiPriority w:val="99"/>
    <w:unhideWhenUsed/>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character" w:customStyle="1" w:styleId="SOCTAMainBodyChar">
    <w:name w:val="SOCTA Main Body Char"/>
    <w:basedOn w:val="DefaultParagraphFont"/>
    <w:link w:val="SOCTAMainBody"/>
    <w:locked/>
    <w:rPr>
      <w:rFonts w:ascii="Verdana" w:hAnsi="Verdana"/>
      <w:color w:val="003366"/>
    </w:rPr>
  </w:style>
  <w:style w:type="paragraph" w:customStyle="1" w:styleId="SOCTAMainBody">
    <w:name w:val="SOCTA Main Body"/>
    <w:basedOn w:val="Normal"/>
    <w:link w:val="SOCTAMainBodyChar"/>
    <w:pPr>
      <w:spacing w:before="120" w:after="120" w:line="240" w:lineRule="auto"/>
      <w:jc w:val="both"/>
    </w:pPr>
    <w:rPr>
      <w:rFonts w:ascii="Verdana" w:hAnsi="Verdana"/>
      <w:color w:val="00336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customStyle="1" w:styleId="point1230">
    <w:name w:val="point123"/>
    <w:basedOn w:val="Normal"/>
    <w:pPr>
      <w:spacing w:before="120" w:after="120" w:line="360" w:lineRule="auto"/>
      <w:ind w:left="567" w:hanging="567"/>
    </w:pPr>
    <w:rPr>
      <w:rFonts w:ascii="Times New Roman" w:eastAsia="Times New Roman" w:hAnsi="Times New Roman" w:cs="Times New Roman"/>
      <w:sz w:val="24"/>
      <w:szCs w:val="24"/>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3399"/>
      <w:u w:val="single"/>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 w:type="paragraph" w:styleId="PlainText">
    <w:name w:val="Plain Text"/>
    <w:basedOn w:val="Normal"/>
    <w:link w:val="PlainTextChar"/>
    <w:uiPriority w:val="99"/>
    <w:unhideWhenUsed/>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rPr>
      <w:rFonts w:ascii="Calibri" w:eastAsiaTheme="minorHAnsi" w:hAnsi="Calibri"/>
      <w:szCs w:val="21"/>
      <w:lang w:eastAsia="sv-S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spdef">
    <w:name w:val="Briefing sp/def"/>
    <w:basedOn w:val="Normal"/>
    <w:link w:val="BriefingspdefChar"/>
    <w:pPr>
      <w:keepLines/>
      <w:numPr>
        <w:numId w:val="29"/>
      </w:numPr>
      <w:spacing w:after="480" w:line="240" w:lineRule="auto"/>
      <w:jc w:val="both"/>
    </w:pPr>
    <w:rPr>
      <w:rFonts w:ascii="Arial" w:eastAsia="Times New Roman" w:hAnsi="Arial" w:cs="Arial"/>
      <w:sz w:val="48"/>
      <w:szCs w:val="48"/>
    </w:rPr>
  </w:style>
  <w:style w:type="character" w:customStyle="1" w:styleId="BriefingspdefChar">
    <w:name w:val="Briefing sp/def Char"/>
    <w:link w:val="Briefingspdef"/>
    <w:rPr>
      <w:rFonts w:ascii="Arial" w:eastAsia="Times New Roman" w:hAnsi="Arial" w:cs="Arial"/>
      <w:sz w:val="48"/>
      <w:szCs w:val="48"/>
    </w:r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paragraph" w:customStyle="1" w:styleId="Pointabc">
    <w:name w:val="Point abc"/>
    <w:basedOn w:val="Normal"/>
    <w:pPr>
      <w:numPr>
        <w:ilvl w:val="1"/>
        <w:numId w:val="34"/>
      </w:numPr>
      <w:spacing w:before="120" w:after="120" w:line="360" w:lineRule="auto"/>
    </w:pPr>
    <w:rPr>
      <w:rFonts w:ascii="Times New Roman" w:eastAsia="Times New Roman" w:hAnsi="Times New Roman" w:cs="Times New Roman"/>
      <w:sz w:val="24"/>
      <w:szCs w:val="24"/>
    </w:rPr>
  </w:style>
  <w:style w:type="paragraph" w:customStyle="1" w:styleId="Pointabc1">
    <w:name w:val="Point abc (1)"/>
    <w:basedOn w:val="Normal"/>
    <w:pPr>
      <w:numPr>
        <w:ilvl w:val="3"/>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abc2">
    <w:name w:val="Point abc (2)"/>
    <w:basedOn w:val="Normal"/>
    <w:pPr>
      <w:numPr>
        <w:ilvl w:val="5"/>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abc3">
    <w:name w:val="Point abc (3)"/>
    <w:basedOn w:val="Normal"/>
    <w:pPr>
      <w:numPr>
        <w:ilvl w:val="7"/>
        <w:numId w:val="34"/>
      </w:numPr>
      <w:spacing w:before="120" w:after="120" w:line="360" w:lineRule="auto"/>
      <w:outlineLvl w:val="2"/>
    </w:pPr>
    <w:rPr>
      <w:rFonts w:ascii="Times New Roman" w:eastAsia="Times New Roman" w:hAnsi="Times New Roman" w:cs="Times New Roman"/>
      <w:sz w:val="24"/>
      <w:szCs w:val="24"/>
    </w:rPr>
  </w:style>
  <w:style w:type="paragraph" w:customStyle="1" w:styleId="Pointabc4">
    <w:name w:val="Point abc (4)"/>
    <w:basedOn w:val="Normal"/>
    <w:pPr>
      <w:numPr>
        <w:ilvl w:val="8"/>
        <w:numId w:val="34"/>
      </w:numPr>
      <w:spacing w:before="120" w:after="120" w:line="360" w:lineRule="auto"/>
      <w:outlineLvl w:val="3"/>
    </w:pPr>
    <w:rPr>
      <w:rFonts w:ascii="Times New Roman" w:eastAsia="Times New Roman" w:hAnsi="Times New Roman" w:cs="Times New Roman"/>
      <w:sz w:val="24"/>
      <w:szCs w:val="24"/>
    </w:rPr>
  </w:style>
  <w:style w:type="paragraph" w:customStyle="1" w:styleId="Point123">
    <w:name w:val="Point 123"/>
    <w:basedOn w:val="Normal"/>
    <w:pPr>
      <w:numPr>
        <w:numId w:val="34"/>
      </w:numPr>
      <w:spacing w:before="120" w:after="120" w:line="360" w:lineRule="auto"/>
    </w:pPr>
    <w:rPr>
      <w:rFonts w:ascii="Times New Roman" w:eastAsia="Times New Roman" w:hAnsi="Times New Roman" w:cs="Times New Roman"/>
      <w:sz w:val="24"/>
      <w:szCs w:val="24"/>
    </w:rPr>
  </w:style>
  <w:style w:type="paragraph" w:customStyle="1" w:styleId="Point1231">
    <w:name w:val="Point 123 (1)"/>
    <w:basedOn w:val="Normal"/>
    <w:pPr>
      <w:numPr>
        <w:ilvl w:val="2"/>
        <w:numId w:val="34"/>
      </w:numPr>
      <w:spacing w:before="120" w:after="120" w:line="360" w:lineRule="auto"/>
      <w:outlineLvl w:val="0"/>
    </w:pPr>
    <w:rPr>
      <w:rFonts w:ascii="Times New Roman" w:eastAsia="Times New Roman" w:hAnsi="Times New Roman" w:cs="Times New Roman"/>
      <w:sz w:val="24"/>
      <w:szCs w:val="24"/>
    </w:rPr>
  </w:style>
  <w:style w:type="paragraph" w:customStyle="1" w:styleId="Point1232">
    <w:name w:val="Point 123 (2)"/>
    <w:basedOn w:val="Normal"/>
    <w:pPr>
      <w:numPr>
        <w:ilvl w:val="4"/>
        <w:numId w:val="34"/>
      </w:numPr>
      <w:spacing w:before="120" w:after="120" w:line="360" w:lineRule="auto"/>
      <w:outlineLvl w:val="1"/>
    </w:pPr>
    <w:rPr>
      <w:rFonts w:ascii="Times New Roman" w:eastAsia="Times New Roman" w:hAnsi="Times New Roman" w:cs="Times New Roman"/>
      <w:sz w:val="24"/>
      <w:szCs w:val="24"/>
    </w:rPr>
  </w:style>
  <w:style w:type="paragraph" w:customStyle="1" w:styleId="Point1233">
    <w:name w:val="Point 123 (3)"/>
    <w:basedOn w:val="Normal"/>
    <w:pPr>
      <w:numPr>
        <w:ilvl w:val="6"/>
        <w:numId w:val="34"/>
      </w:numPr>
      <w:spacing w:before="120" w:after="120" w:line="360" w:lineRule="auto"/>
      <w:outlineLvl w:val="2"/>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6521">
      <w:bodyDiv w:val="1"/>
      <w:marLeft w:val="0"/>
      <w:marRight w:val="0"/>
      <w:marTop w:val="0"/>
      <w:marBottom w:val="0"/>
      <w:divBdr>
        <w:top w:val="none" w:sz="0" w:space="0" w:color="auto"/>
        <w:left w:val="none" w:sz="0" w:space="0" w:color="auto"/>
        <w:bottom w:val="none" w:sz="0" w:space="0" w:color="auto"/>
        <w:right w:val="none" w:sz="0" w:space="0" w:color="auto"/>
      </w:divBdr>
    </w:div>
    <w:div w:id="192766117">
      <w:bodyDiv w:val="1"/>
      <w:marLeft w:val="0"/>
      <w:marRight w:val="0"/>
      <w:marTop w:val="0"/>
      <w:marBottom w:val="0"/>
      <w:divBdr>
        <w:top w:val="none" w:sz="0" w:space="0" w:color="auto"/>
        <w:left w:val="none" w:sz="0" w:space="0" w:color="auto"/>
        <w:bottom w:val="none" w:sz="0" w:space="0" w:color="auto"/>
        <w:right w:val="none" w:sz="0" w:space="0" w:color="auto"/>
      </w:divBdr>
    </w:div>
    <w:div w:id="239797774">
      <w:bodyDiv w:val="1"/>
      <w:marLeft w:val="0"/>
      <w:marRight w:val="0"/>
      <w:marTop w:val="0"/>
      <w:marBottom w:val="0"/>
      <w:divBdr>
        <w:top w:val="none" w:sz="0" w:space="0" w:color="auto"/>
        <w:left w:val="none" w:sz="0" w:space="0" w:color="auto"/>
        <w:bottom w:val="none" w:sz="0" w:space="0" w:color="auto"/>
        <w:right w:val="none" w:sz="0" w:space="0" w:color="auto"/>
      </w:divBdr>
    </w:div>
    <w:div w:id="300841687">
      <w:bodyDiv w:val="1"/>
      <w:marLeft w:val="0"/>
      <w:marRight w:val="0"/>
      <w:marTop w:val="0"/>
      <w:marBottom w:val="0"/>
      <w:divBdr>
        <w:top w:val="none" w:sz="0" w:space="0" w:color="auto"/>
        <w:left w:val="none" w:sz="0" w:space="0" w:color="auto"/>
        <w:bottom w:val="none" w:sz="0" w:space="0" w:color="auto"/>
        <w:right w:val="none" w:sz="0" w:space="0" w:color="auto"/>
      </w:divBdr>
    </w:div>
    <w:div w:id="343825991">
      <w:bodyDiv w:val="1"/>
      <w:marLeft w:val="0"/>
      <w:marRight w:val="0"/>
      <w:marTop w:val="0"/>
      <w:marBottom w:val="0"/>
      <w:divBdr>
        <w:top w:val="none" w:sz="0" w:space="0" w:color="auto"/>
        <w:left w:val="none" w:sz="0" w:space="0" w:color="auto"/>
        <w:bottom w:val="none" w:sz="0" w:space="0" w:color="auto"/>
        <w:right w:val="none" w:sz="0" w:space="0" w:color="auto"/>
      </w:divBdr>
    </w:div>
    <w:div w:id="440229734">
      <w:bodyDiv w:val="1"/>
      <w:marLeft w:val="0"/>
      <w:marRight w:val="0"/>
      <w:marTop w:val="0"/>
      <w:marBottom w:val="0"/>
      <w:divBdr>
        <w:top w:val="none" w:sz="0" w:space="0" w:color="auto"/>
        <w:left w:val="none" w:sz="0" w:space="0" w:color="auto"/>
        <w:bottom w:val="none" w:sz="0" w:space="0" w:color="auto"/>
        <w:right w:val="none" w:sz="0" w:space="0" w:color="auto"/>
      </w:divBdr>
    </w:div>
    <w:div w:id="486869832">
      <w:bodyDiv w:val="1"/>
      <w:marLeft w:val="0"/>
      <w:marRight w:val="0"/>
      <w:marTop w:val="0"/>
      <w:marBottom w:val="0"/>
      <w:divBdr>
        <w:top w:val="none" w:sz="0" w:space="0" w:color="auto"/>
        <w:left w:val="none" w:sz="0" w:space="0" w:color="auto"/>
        <w:bottom w:val="none" w:sz="0" w:space="0" w:color="auto"/>
        <w:right w:val="none" w:sz="0" w:space="0" w:color="auto"/>
      </w:divBdr>
    </w:div>
    <w:div w:id="495851468">
      <w:bodyDiv w:val="1"/>
      <w:marLeft w:val="0"/>
      <w:marRight w:val="0"/>
      <w:marTop w:val="0"/>
      <w:marBottom w:val="0"/>
      <w:divBdr>
        <w:top w:val="none" w:sz="0" w:space="0" w:color="auto"/>
        <w:left w:val="none" w:sz="0" w:space="0" w:color="auto"/>
        <w:bottom w:val="none" w:sz="0" w:space="0" w:color="auto"/>
        <w:right w:val="none" w:sz="0" w:space="0" w:color="auto"/>
      </w:divBdr>
    </w:div>
    <w:div w:id="523904018">
      <w:bodyDiv w:val="1"/>
      <w:marLeft w:val="0"/>
      <w:marRight w:val="0"/>
      <w:marTop w:val="0"/>
      <w:marBottom w:val="0"/>
      <w:divBdr>
        <w:top w:val="none" w:sz="0" w:space="0" w:color="auto"/>
        <w:left w:val="none" w:sz="0" w:space="0" w:color="auto"/>
        <w:bottom w:val="none" w:sz="0" w:space="0" w:color="auto"/>
        <w:right w:val="none" w:sz="0" w:space="0" w:color="auto"/>
      </w:divBdr>
    </w:div>
    <w:div w:id="584606054">
      <w:bodyDiv w:val="1"/>
      <w:marLeft w:val="0"/>
      <w:marRight w:val="0"/>
      <w:marTop w:val="0"/>
      <w:marBottom w:val="0"/>
      <w:divBdr>
        <w:top w:val="none" w:sz="0" w:space="0" w:color="auto"/>
        <w:left w:val="none" w:sz="0" w:space="0" w:color="auto"/>
        <w:bottom w:val="none" w:sz="0" w:space="0" w:color="auto"/>
        <w:right w:val="none" w:sz="0" w:space="0" w:color="auto"/>
      </w:divBdr>
    </w:div>
    <w:div w:id="767851189">
      <w:bodyDiv w:val="1"/>
      <w:marLeft w:val="0"/>
      <w:marRight w:val="0"/>
      <w:marTop w:val="0"/>
      <w:marBottom w:val="0"/>
      <w:divBdr>
        <w:top w:val="none" w:sz="0" w:space="0" w:color="auto"/>
        <w:left w:val="none" w:sz="0" w:space="0" w:color="auto"/>
        <w:bottom w:val="none" w:sz="0" w:space="0" w:color="auto"/>
        <w:right w:val="none" w:sz="0" w:space="0" w:color="auto"/>
      </w:divBdr>
    </w:div>
    <w:div w:id="969017109">
      <w:bodyDiv w:val="1"/>
      <w:marLeft w:val="0"/>
      <w:marRight w:val="0"/>
      <w:marTop w:val="0"/>
      <w:marBottom w:val="0"/>
      <w:divBdr>
        <w:top w:val="none" w:sz="0" w:space="0" w:color="auto"/>
        <w:left w:val="none" w:sz="0" w:space="0" w:color="auto"/>
        <w:bottom w:val="none" w:sz="0" w:space="0" w:color="auto"/>
        <w:right w:val="none" w:sz="0" w:space="0" w:color="auto"/>
      </w:divBdr>
    </w:div>
    <w:div w:id="1031953443">
      <w:bodyDiv w:val="1"/>
      <w:marLeft w:val="0"/>
      <w:marRight w:val="0"/>
      <w:marTop w:val="0"/>
      <w:marBottom w:val="0"/>
      <w:divBdr>
        <w:top w:val="none" w:sz="0" w:space="0" w:color="auto"/>
        <w:left w:val="none" w:sz="0" w:space="0" w:color="auto"/>
        <w:bottom w:val="none" w:sz="0" w:space="0" w:color="auto"/>
        <w:right w:val="none" w:sz="0" w:space="0" w:color="auto"/>
      </w:divBdr>
    </w:div>
    <w:div w:id="1272009720">
      <w:bodyDiv w:val="1"/>
      <w:marLeft w:val="0"/>
      <w:marRight w:val="0"/>
      <w:marTop w:val="0"/>
      <w:marBottom w:val="0"/>
      <w:divBdr>
        <w:top w:val="none" w:sz="0" w:space="0" w:color="auto"/>
        <w:left w:val="none" w:sz="0" w:space="0" w:color="auto"/>
        <w:bottom w:val="none" w:sz="0" w:space="0" w:color="auto"/>
        <w:right w:val="none" w:sz="0" w:space="0" w:color="auto"/>
      </w:divBdr>
    </w:div>
    <w:div w:id="1316766189">
      <w:bodyDiv w:val="1"/>
      <w:marLeft w:val="0"/>
      <w:marRight w:val="0"/>
      <w:marTop w:val="0"/>
      <w:marBottom w:val="0"/>
      <w:divBdr>
        <w:top w:val="none" w:sz="0" w:space="0" w:color="auto"/>
        <w:left w:val="none" w:sz="0" w:space="0" w:color="auto"/>
        <w:bottom w:val="none" w:sz="0" w:space="0" w:color="auto"/>
        <w:right w:val="none" w:sz="0" w:space="0" w:color="auto"/>
      </w:divBdr>
    </w:div>
    <w:div w:id="1752963500">
      <w:bodyDiv w:val="1"/>
      <w:marLeft w:val="0"/>
      <w:marRight w:val="0"/>
      <w:marTop w:val="0"/>
      <w:marBottom w:val="0"/>
      <w:divBdr>
        <w:top w:val="none" w:sz="0" w:space="0" w:color="auto"/>
        <w:left w:val="none" w:sz="0" w:space="0" w:color="auto"/>
        <w:bottom w:val="none" w:sz="0" w:space="0" w:color="auto"/>
        <w:right w:val="none" w:sz="0" w:space="0" w:color="auto"/>
      </w:divBdr>
    </w:div>
    <w:div w:id="1844977531">
      <w:bodyDiv w:val="1"/>
      <w:marLeft w:val="0"/>
      <w:marRight w:val="0"/>
      <w:marTop w:val="0"/>
      <w:marBottom w:val="0"/>
      <w:divBdr>
        <w:top w:val="none" w:sz="0" w:space="0" w:color="auto"/>
        <w:left w:val="none" w:sz="0" w:space="0" w:color="auto"/>
        <w:bottom w:val="none" w:sz="0" w:space="0" w:color="auto"/>
        <w:right w:val="none" w:sz="0" w:space="0" w:color="auto"/>
      </w:divBdr>
    </w:div>
    <w:div w:id="1941520621">
      <w:bodyDiv w:val="1"/>
      <w:marLeft w:val="0"/>
      <w:marRight w:val="0"/>
      <w:marTop w:val="0"/>
      <w:marBottom w:val="0"/>
      <w:divBdr>
        <w:top w:val="none" w:sz="0" w:space="0" w:color="auto"/>
        <w:left w:val="none" w:sz="0" w:space="0" w:color="auto"/>
        <w:bottom w:val="none" w:sz="0" w:space="0" w:color="auto"/>
        <w:right w:val="none" w:sz="0" w:space="0" w:color="auto"/>
      </w:divBdr>
    </w:div>
    <w:div w:id="1947731817">
      <w:bodyDiv w:val="1"/>
      <w:marLeft w:val="0"/>
      <w:marRight w:val="0"/>
      <w:marTop w:val="0"/>
      <w:marBottom w:val="0"/>
      <w:divBdr>
        <w:top w:val="none" w:sz="0" w:space="0" w:color="auto"/>
        <w:left w:val="none" w:sz="0" w:space="0" w:color="auto"/>
        <w:bottom w:val="none" w:sz="0" w:space="0" w:color="auto"/>
        <w:right w:val="none" w:sz="0" w:space="0" w:color="auto"/>
      </w:divBdr>
    </w:div>
    <w:div w:id="2053847674">
      <w:bodyDiv w:val="1"/>
      <w:marLeft w:val="0"/>
      <w:marRight w:val="0"/>
      <w:marTop w:val="0"/>
      <w:marBottom w:val="0"/>
      <w:divBdr>
        <w:top w:val="none" w:sz="0" w:space="0" w:color="auto"/>
        <w:left w:val="none" w:sz="0" w:space="0" w:color="auto"/>
        <w:bottom w:val="none" w:sz="0" w:space="0" w:color="auto"/>
        <w:right w:val="none" w:sz="0" w:space="0" w:color="auto"/>
      </w:divBdr>
      <w:divsChild>
        <w:div w:id="687633509">
          <w:marLeft w:val="0"/>
          <w:marRight w:val="0"/>
          <w:marTop w:val="0"/>
          <w:marBottom w:val="0"/>
          <w:divBdr>
            <w:top w:val="none" w:sz="0" w:space="0" w:color="auto"/>
            <w:left w:val="none" w:sz="0" w:space="0" w:color="auto"/>
            <w:bottom w:val="none" w:sz="0" w:space="0" w:color="auto"/>
            <w:right w:val="none" w:sz="0" w:space="0" w:color="auto"/>
          </w:divBdr>
          <w:divsChild>
            <w:div w:id="875852545">
              <w:marLeft w:val="0"/>
              <w:marRight w:val="0"/>
              <w:marTop w:val="0"/>
              <w:marBottom w:val="0"/>
              <w:divBdr>
                <w:top w:val="none" w:sz="0" w:space="0" w:color="auto"/>
                <w:left w:val="none" w:sz="0" w:space="0" w:color="auto"/>
                <w:bottom w:val="none" w:sz="0" w:space="0" w:color="auto"/>
                <w:right w:val="none" w:sz="0" w:space="0" w:color="auto"/>
              </w:divBdr>
              <w:divsChild>
                <w:div w:id="711731091">
                  <w:marLeft w:val="0"/>
                  <w:marRight w:val="0"/>
                  <w:marTop w:val="0"/>
                  <w:marBottom w:val="0"/>
                  <w:divBdr>
                    <w:top w:val="none" w:sz="0" w:space="0" w:color="auto"/>
                    <w:left w:val="none" w:sz="0" w:space="0" w:color="auto"/>
                    <w:bottom w:val="none" w:sz="0" w:space="0" w:color="auto"/>
                    <w:right w:val="none" w:sz="0" w:space="0" w:color="auto"/>
                  </w:divBdr>
                  <w:divsChild>
                    <w:div w:id="1039208754">
                      <w:marLeft w:val="0"/>
                      <w:marRight w:val="0"/>
                      <w:marTop w:val="0"/>
                      <w:marBottom w:val="0"/>
                      <w:divBdr>
                        <w:top w:val="none" w:sz="0" w:space="0" w:color="auto"/>
                        <w:left w:val="none" w:sz="0" w:space="0" w:color="auto"/>
                        <w:bottom w:val="none" w:sz="0" w:space="0" w:color="auto"/>
                        <w:right w:val="none" w:sz="0" w:space="0" w:color="auto"/>
                      </w:divBdr>
                      <w:divsChild>
                        <w:div w:id="1496190629">
                          <w:marLeft w:val="0"/>
                          <w:marRight w:val="0"/>
                          <w:marTop w:val="0"/>
                          <w:marBottom w:val="0"/>
                          <w:divBdr>
                            <w:top w:val="none" w:sz="0" w:space="0" w:color="auto"/>
                            <w:left w:val="none" w:sz="0" w:space="0" w:color="auto"/>
                            <w:bottom w:val="none" w:sz="0" w:space="0" w:color="auto"/>
                            <w:right w:val="none" w:sz="0" w:space="0" w:color="auto"/>
                          </w:divBdr>
                          <w:divsChild>
                            <w:div w:id="697895439">
                              <w:marLeft w:val="0"/>
                              <w:marRight w:val="0"/>
                              <w:marTop w:val="0"/>
                              <w:marBottom w:val="0"/>
                              <w:divBdr>
                                <w:top w:val="single" w:sz="8" w:space="3" w:color="B5C4DF"/>
                                <w:left w:val="none" w:sz="0" w:space="0" w:color="auto"/>
                                <w:bottom w:val="none" w:sz="0" w:space="0" w:color="auto"/>
                                <w:right w:val="none" w:sz="0" w:space="0" w:color="auto"/>
                              </w:divBdr>
                            </w:div>
                          </w:divsChild>
                        </w:div>
                        <w:div w:id="560796828">
                          <w:marLeft w:val="0"/>
                          <w:marRight w:val="0"/>
                          <w:marTop w:val="0"/>
                          <w:marBottom w:val="0"/>
                          <w:divBdr>
                            <w:top w:val="none" w:sz="0" w:space="0" w:color="auto"/>
                            <w:left w:val="none" w:sz="0" w:space="0" w:color="auto"/>
                            <w:bottom w:val="none" w:sz="0" w:space="0" w:color="auto"/>
                            <w:right w:val="none" w:sz="0" w:space="0" w:color="auto"/>
                          </w:divBdr>
                          <w:divsChild>
                            <w:div w:id="1768186668">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dgs/home-affairs/what-we-do/policies/borders-and-visas/border-crossing/docs/20141016_home_esbg_frp_001_esbg_final_report_3_00_en.pdf" TargetMode="External"/><Relationship Id="rId2" Type="http://schemas.openxmlformats.org/officeDocument/2006/relationships/hyperlink" Target="http://dx.doi.org/10.1787/9789264216501-12-en" TargetMode="External"/><Relationship Id="rId1" Type="http://schemas.openxmlformats.org/officeDocument/2006/relationships/hyperlink" Target="http://eur-lex.europa.eu/LexUriServ/LexUriServ.do?uri=CELEX:32004R0377:EN:N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49DC1-45D3-49B6-9078-E4A76BE36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8316</Words>
  <Characters>49401</Characters>
  <Application>Microsoft Office Word</Application>
  <DocSecurity>0</DocSecurity>
  <Lines>950</Lines>
  <Paragraphs>333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57384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2015-05-12T14:24:00Z</dcterms:created>
  <dcterms:modified xsi:type="dcterms:W3CDTF">2015-05-19T12:58:00Z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Part">
    <vt:lpwstr>1</vt:lpwstr>
  </property>
  <property fmtid="{D5CDD505-2E9C-101B-9397-08002B2CF9AE}" pid="4" name="Total parts">
    <vt:lpwstr>1</vt:lpwstr>
  </property>
  <property fmtid="{D5CDD505-2E9C-101B-9397-08002B2CF9AE}" pid="5" name="Classification">
    <vt:lpwstr> </vt:lpwstr>
  </property>
</Properties>
</file>