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9BC" w:rsidRDefault="00F16D4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953D435148447DDAF4A6B31D95601D1" style="width:450.8pt;height:320.35pt">
            <v:imagedata r:id="rId9" o:title=""/>
          </v:shape>
        </w:pict>
      </w:r>
    </w:p>
    <w:bookmarkEnd w:id="0"/>
    <w:p w:rsidR="004C19BC" w:rsidRDefault="004C19BC">
      <w:pPr>
        <w:spacing w:line="240" w:lineRule="auto"/>
        <w:rPr>
          <w:noProof/>
        </w:rPr>
        <w:sectPr w:rsidR="004C19B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4C19BC" w:rsidRDefault="00F16D4C">
      <w:pPr>
        <w:tabs>
          <w:tab w:val="left" w:pos="6750"/>
        </w:tabs>
        <w:spacing w:line="240" w:lineRule="auto"/>
        <w:rPr>
          <w:rFonts w:ascii="Times New Roman" w:hAnsi="Times New Roman" w:cs="Times New Roman"/>
          <w:b/>
          <w:noProof/>
          <w:sz w:val="32"/>
          <w:szCs w:val="32"/>
        </w:rPr>
      </w:pPr>
      <w:r>
        <w:rPr>
          <w:rFonts w:ascii="Times New Roman" w:hAnsi="Times New Roman"/>
          <w:b/>
          <w:noProof/>
          <w:sz w:val="32"/>
        </w:rPr>
        <w:lastRenderedPageBreak/>
        <w:t xml:space="preserve">I. </w:t>
      </w:r>
      <w:r>
        <w:rPr>
          <w:rFonts w:ascii="Times New Roman" w:hAnsi="Times New Roman"/>
          <w:b/>
          <w:noProof/>
          <w:sz w:val="32"/>
          <w:u w:val="single"/>
        </w:rPr>
        <w:t>Bevezetés</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történelem során az emberek mindig vándoroltak. Az érkezők különböző okokból és </w:t>
      </w:r>
      <w:r>
        <w:rPr>
          <w:rFonts w:ascii="Times New Roman" w:hAnsi="Times New Roman"/>
          <w:noProof/>
          <w:sz w:val="24"/>
        </w:rPr>
        <w:t>eltérő útvonalakon kísérlik meg elérni az európai partokat. Jogszerű utakat keresnek, de az életüket is kockáztatják, hogy elmeneküljenek a politikai elnyomás, a háború és a szegénység elől, egyesítsék a családjukat, vállalkozzanak, ismereteket szerezzenek</w:t>
      </w:r>
      <w:r>
        <w:rPr>
          <w:rFonts w:ascii="Times New Roman" w:hAnsi="Times New Roman"/>
          <w:noProof/>
          <w:sz w:val="24"/>
        </w:rPr>
        <w:t xml:space="preserve"> és oktatásban részesüljenek. Minden migránsnak megvan a saját története. A félrevezető és sablonos értelmezések gyakran csak az áramlatok egyes típusaira összpontosítanak, és elsiklanak a társadalmat sokféleképpen érintő jelenség eredendő összetettsége fe</w:t>
      </w:r>
      <w:r>
        <w:rPr>
          <w:rFonts w:ascii="Times New Roman" w:hAnsi="Times New Roman"/>
          <w:noProof/>
          <w:sz w:val="24"/>
        </w:rPr>
        <w:t>lett, amely sokrétű választ tesz szükségessé. E stratégia összefoglalja, milyen különféle lépéseket kell tennie az Európai Uniónak most és az elkövetkező években ahhoz, hogy koherens és átfogó megközelítést alakítson ki a migrációból származó előnyök kiakn</w:t>
      </w:r>
      <w:r>
        <w:rPr>
          <w:rFonts w:ascii="Times New Roman" w:hAnsi="Times New Roman"/>
          <w:noProof/>
          <w:sz w:val="24"/>
        </w:rPr>
        <w:t>ázása és az abból adódó nehézségek kezelése érdekében.</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Az azonnali teendő a rászorulók védelme. Mindannyiunkat sokként ért a migránsok ezreinek tragédiája, akik az életüket veszélyeztetve kelnek át a Földközi-tengeren. A Bizottság első és azonnali válaszlé</w:t>
      </w:r>
      <w:r>
        <w:rPr>
          <w:rFonts w:ascii="Times New Roman" w:hAnsi="Times New Roman"/>
          <w:noProof/>
          <w:sz w:val="24"/>
        </w:rPr>
        <w:t>pésként tíz pontból álló, azonnali intézkedési tervet terjesztett elő. Az Európai Parlament és az Európai Tanács támogatását fejezte ki e terv iránt, és a tagállamok szintén kötelezettséget vállaltak arra, hogy konkrét lépéseket tesznek, elsősorban megakad</w:t>
      </w:r>
      <w:r>
        <w:rPr>
          <w:rFonts w:ascii="Times New Roman" w:hAnsi="Times New Roman"/>
          <w:noProof/>
          <w:sz w:val="24"/>
        </w:rPr>
        <w:t>ályozzák, hogy további migránsok veszítsék életüket.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Az azonnali válaszlépés azonban nem elegendő, és nem lehet egyszeri reagálás. A veszélyhelyzeti intézkedésekre azért van szükség, mert az e kérdésre vonatkozó közös európai politika elégtelennek bizonyul</w:t>
      </w:r>
      <w:r>
        <w:rPr>
          <w:rFonts w:ascii="Times New Roman" w:hAnsi="Times New Roman"/>
          <w:noProof/>
          <w:sz w:val="24"/>
        </w:rPr>
        <w:t>t. Jóllehet az európaiak túlnyomó többségét érzékenyen érintette a migránsok kétségbeejtő sorsa, valójában az a helyzet, hogy Európa-szerte súlyos kétségek merülnek fel abban a tekintetben, hogy migrációs politikánk kiállja-e a sok ezer migráns nyomását, m</w:t>
      </w:r>
      <w:r>
        <w:rPr>
          <w:rFonts w:ascii="Times New Roman" w:hAnsi="Times New Roman"/>
          <w:noProof/>
          <w:sz w:val="24"/>
        </w:rPr>
        <w:t>egfelel-e a migránsok társadalmainkba való integrálása iránti igénynek, illetve a hanyatló népesedési helyzetű Európa gazdasági szükségleteinek.</w:t>
      </w:r>
    </w:p>
    <w:p w:rsidR="004C19BC" w:rsidRDefault="00F16D4C">
      <w:pPr>
        <w:spacing w:before="120" w:after="0" w:line="240" w:lineRule="auto"/>
        <w:jc w:val="both"/>
        <w:rPr>
          <w:rFonts w:ascii="Times New Roman" w:hAnsi="Times New Roman"/>
          <w:noProof/>
          <w:sz w:val="24"/>
          <w:szCs w:val="24"/>
        </w:rPr>
      </w:pPr>
      <w:r>
        <w:rPr>
          <w:rFonts w:ascii="Times New Roman" w:hAnsi="Times New Roman"/>
          <w:noProof/>
          <w:sz w:val="24"/>
        </w:rPr>
        <w:t xml:space="preserve">Ki kell használnunk az EU globális szerepét, és a migráció kiváltó okainak kezelésére szolgáló eszközök széles </w:t>
      </w:r>
      <w:r>
        <w:rPr>
          <w:rFonts w:ascii="Times New Roman" w:hAnsi="Times New Roman"/>
          <w:noProof/>
          <w:sz w:val="24"/>
        </w:rPr>
        <w:t>skáláját annak érdekében, hogy megkíséreljünk véget vetni a migránsok kizsákmányolói által okozott emberi szenvedésnek. Az említett okok egy része mélyen gyökerezik, de mindenképpen foglalkozni kell ezekkel. A globalizáció és a kommunikációs forradalom leh</w:t>
      </w:r>
      <w:r>
        <w:rPr>
          <w:rFonts w:ascii="Times New Roman" w:hAnsi="Times New Roman"/>
          <w:noProof/>
          <w:sz w:val="24"/>
        </w:rPr>
        <w:t>etőségeket teremtett és megnövelte az elvárásokat. A háborúk és a válságok Ukrajnától a Közel-Keletig és Észak-Afrikáig eltérő következményekkel járnak. A világméretű szegénység és a konfliktusok hatása nem ér véget az országhatároknál.</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Európának továbbra </w:t>
      </w:r>
      <w:r>
        <w:rPr>
          <w:rFonts w:ascii="Times New Roman" w:hAnsi="Times New Roman"/>
          <w:noProof/>
          <w:sz w:val="24"/>
        </w:rPr>
        <w:t xml:space="preserve">is biztonságos menedéket kell jelentenie az üldözés elől menekülők számára, és vonzó célpontként kell szolgálnia a tehetséges és vállalkozó szellemű diákok, kutatók és munkavállalók számára. Nehéz egyensúlyt létrehozni nemzetközi kötelezettségvállalásaink </w:t>
      </w:r>
      <w:r>
        <w:rPr>
          <w:rFonts w:ascii="Times New Roman" w:hAnsi="Times New Roman"/>
          <w:noProof/>
          <w:sz w:val="24"/>
        </w:rPr>
        <w:t>és értékeink érvényesítése, valamint határaink biztosítása, és egyidejűleg az Európa gazdasági fejlődése és társadalmi kohéziója számára megfelelő feltételek megteremtése között. Ehhez olyan európai szintű, koordinált fellépésre van szükség,</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amely alapvető</w:t>
      </w:r>
      <w:r>
        <w:rPr>
          <w:rFonts w:ascii="Times New Roman" w:hAnsi="Times New Roman"/>
          <w:noProof/>
          <w:sz w:val="24"/>
        </w:rPr>
        <w:t xml:space="preserve"> intézkedési csomagot, valamint következetes és egyértelmű közös politikát kíván. Helyre kell állítanunk a bizalmat az iránt, hogy képesek vagyunk összefogni az európai és nemzeti erőfeszítéseket a migráció kezelése és nemzetközi és etikai kötelezettségein</w:t>
      </w:r>
      <w:r>
        <w:rPr>
          <w:rFonts w:ascii="Times New Roman" w:hAnsi="Times New Roman"/>
          <w:noProof/>
          <w:sz w:val="24"/>
        </w:rPr>
        <w:t>k teljesítése érdekében, valamint a szolidaritás és a megosztott felelősség elvének megfelelő hatékony együttműködés céljából. Egyedül egyetlen tagállam sem tudja hatékonyan kezelni a migrációt. Egyértelmű, hogy új, még inkább európai megközelítésre van sz</w:t>
      </w:r>
      <w:r>
        <w:rPr>
          <w:rFonts w:ascii="Times New Roman" w:hAnsi="Times New Roman"/>
          <w:noProof/>
          <w:sz w:val="24"/>
        </w:rPr>
        <w:t>ükségünk. Ehhez a rendelkezésünkre álló valamennyi politikát és eszközt igénybe kell venni – a legmegfelelőbb hatás elérése érdekében kombinálva a belső és a külső politikákat. Ahhoz, hogy a közös európai migrációs politika valósággá válhasson, minden szer</w:t>
      </w:r>
      <w:r>
        <w:rPr>
          <w:rFonts w:ascii="Times New Roman" w:hAnsi="Times New Roman"/>
          <w:noProof/>
          <w:sz w:val="24"/>
        </w:rPr>
        <w:t xml:space="preserve">eplőnek; a tagállamoknak, az </w:t>
      </w:r>
      <w:r>
        <w:rPr>
          <w:rFonts w:ascii="Times New Roman" w:hAnsi="Times New Roman"/>
          <w:noProof/>
          <w:sz w:val="24"/>
        </w:rPr>
        <w:lastRenderedPageBreak/>
        <w:t>uniós intézményeknek, a nemzetközi szervezeteknek, a polgári társadalomnak, a helyi hatóságoknak és a harmadik országoknak együtt kell működnie.</w:t>
      </w:r>
    </w:p>
    <w:p w:rsidR="004C19BC" w:rsidRDefault="004C19BC">
      <w:pPr>
        <w:spacing w:before="120" w:after="0" w:line="240" w:lineRule="auto"/>
        <w:jc w:val="both"/>
        <w:rPr>
          <w:rFonts w:ascii="Times New Roman" w:hAnsi="Times New Roman" w:cs="Times New Roman"/>
          <w:b/>
          <w:noProof/>
          <w:sz w:val="36"/>
          <w:szCs w:val="36"/>
        </w:rPr>
      </w:pPr>
    </w:p>
    <w:p w:rsidR="004C19BC" w:rsidRDefault="00F16D4C">
      <w:pPr>
        <w:rPr>
          <w:rFonts w:ascii="Times New Roman" w:hAnsi="Times New Roman" w:cs="Times New Roman"/>
          <w:b/>
          <w:noProof/>
          <w:sz w:val="36"/>
          <w:szCs w:val="36"/>
        </w:rPr>
      </w:pPr>
      <w:r>
        <w:rPr>
          <w:noProof/>
        </w:rPr>
        <w:br w:type="page"/>
      </w:r>
    </w:p>
    <w:p w:rsidR="004C19BC" w:rsidRDefault="00F16D4C">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Azonnali intézkedések</w:t>
      </w:r>
    </w:p>
    <w:p w:rsidR="004C19BC" w:rsidRDefault="00F16D4C">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Az európai migrációs stratégia első része arra </w:t>
      </w:r>
      <w:r>
        <w:rPr>
          <w:rFonts w:ascii="Times New Roman" w:hAnsi="Times New Roman"/>
          <w:noProof/>
          <w:sz w:val="24"/>
        </w:rPr>
        <w:t>reagál, hogy a Földközi-tenger egész medencéjében bekövetkezett emberi tragédiákra válaszul gyors és eltökélt intézkedésekre van szükség. Az Európai Tanács 2015. április 23-i nyilatkozata</w:t>
      </w:r>
      <w:r>
        <w:rPr>
          <w:rFonts w:ascii="Times New Roman" w:hAnsi="Times New Roman"/>
          <w:noProof/>
          <w:sz w:val="24"/>
          <w:vertAlign w:val="superscript"/>
        </w:rPr>
        <w:footnoteReference w:id="2"/>
      </w:r>
      <w:r>
        <w:rPr>
          <w:rFonts w:ascii="Times New Roman" w:hAnsi="Times New Roman"/>
          <w:noProof/>
          <w:sz w:val="24"/>
        </w:rPr>
        <w:t xml:space="preserve"> és az Európai Parlament néhány nappal későbbi állásfoglalása</w:t>
      </w:r>
      <w:r>
        <w:rPr>
          <w:rFonts w:ascii="Times New Roman" w:hAnsi="Times New Roman"/>
          <w:noProof/>
          <w:sz w:val="24"/>
          <w:vertAlign w:val="superscript"/>
        </w:rPr>
        <w:footnoteReference w:id="3"/>
      </w:r>
      <w:r>
        <w:rPr>
          <w:rFonts w:ascii="Times New Roman" w:hAnsi="Times New Roman"/>
          <w:noProof/>
          <w:sz w:val="24"/>
        </w:rPr>
        <w:t xml:space="preserve"> azt t</w:t>
      </w:r>
      <w:r>
        <w:rPr>
          <w:rFonts w:ascii="Times New Roman" w:hAnsi="Times New Roman"/>
          <w:noProof/>
          <w:sz w:val="24"/>
        </w:rPr>
        <w:t>ükrözte, hogy egyetértés alakult ki az életmentésre és az uniós fellépés erősítésére irányuló gyors intézkedések tekintetében</w:t>
      </w:r>
      <w:r>
        <w:rPr>
          <w:rStyle w:val="FootnoteReference"/>
          <w:rFonts w:ascii="Times New Roman" w:hAnsi="Times New Roman"/>
          <w:noProof/>
          <w:sz w:val="24"/>
        </w:rPr>
        <w:footnoteReference w:id="4"/>
      </w:r>
      <w:r>
        <w:rPr>
          <w:rFonts w:ascii="Times New Roman" w:hAnsi="Times New Roman"/>
          <w:noProof/>
          <w:sz w:val="24"/>
        </w:rPr>
        <w:t>.</w:t>
      </w:r>
    </w:p>
    <w:p w:rsidR="004C19BC" w:rsidRDefault="00F16D4C">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A mostani gyors reagálásnak mintául is kell szolgálnia az EU jövőbeni válságokra adott válaszlépéseihez a közös külső határ bárm</w:t>
      </w:r>
      <w:r>
        <w:rPr>
          <w:rFonts w:ascii="Times New Roman" w:hAnsi="Times New Roman"/>
          <w:noProof/>
          <w:sz w:val="24"/>
        </w:rPr>
        <w:t>ely olyan – akár keleti, akár nyugati, akár északi, akár déli – szakaszán, amely nyomás alá kerül.</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Életmentés a tengeren</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Európa nem maradhat tétlen, amikor emberek veszítik az életüket. A korábbi olasz „Mare Nostrum” művelet keretében biztosított beavatkoz</w:t>
      </w:r>
      <w:r>
        <w:rPr>
          <w:rFonts w:ascii="Times New Roman" w:hAnsi="Times New Roman"/>
          <w:noProof/>
          <w:sz w:val="24"/>
        </w:rPr>
        <w:t xml:space="preserve">ási szint visszaállítása céljából fokozni fogjuk a kutatási és mentési erőfeszítéseket. A </w:t>
      </w:r>
      <w:r>
        <w:rPr>
          <w:rFonts w:ascii="Times New Roman" w:hAnsi="Times New Roman"/>
          <w:b/>
          <w:noProof/>
          <w:sz w:val="24"/>
        </w:rPr>
        <w:t>Frontex Triton és Poseidon közös műveletek</w:t>
      </w:r>
      <w:r>
        <w:rPr>
          <w:rFonts w:ascii="Times New Roman" w:hAnsi="Times New Roman"/>
          <w:noProof/>
          <w:sz w:val="24"/>
        </w:rPr>
        <w:t xml:space="preserve"> költségvetésének megháromszorozása érdekében a Bizottság már előterjesztett egy, 2015-re vonatkozó költségvetés-módosítást,</w:t>
      </w:r>
      <w:r>
        <w:rPr>
          <w:rFonts w:ascii="Times New Roman" w:hAnsi="Times New Roman"/>
          <w:noProof/>
          <w:sz w:val="24"/>
        </w:rPr>
        <w:t xml:space="preserve"> a 2016-os évre vonatkozó javaslatot pedig május végéig fogja előterjeszteni. Megvalósítása esetén ez az intézkedés egyaránt növeli az említett műveletek kapacitását és földrajzi hatókörét, így a Frontex képes lesz eleget tenni kettős szerepének: koordinál</w:t>
      </w:r>
      <w:r>
        <w:rPr>
          <w:rFonts w:ascii="Times New Roman" w:hAnsi="Times New Roman"/>
          <w:noProof/>
          <w:sz w:val="24"/>
        </w:rPr>
        <w:t>ni tudja a migrációs nyomással küzdő tagállamoknak nyújtott operatív határrendészeti támogatást és segítséget nyújt a tengeren érkező migránsok életének megmentéséhez</w:t>
      </w:r>
      <w:r>
        <w:rPr>
          <w:rFonts w:ascii="Times New Roman" w:hAnsi="Times New Roman"/>
          <w:noProof/>
          <w:sz w:val="24"/>
          <w:vertAlign w:val="superscript"/>
        </w:rPr>
        <w:footnoteReference w:id="5"/>
      </w:r>
      <w:r>
        <w:rPr>
          <w:rFonts w:ascii="Times New Roman" w:hAnsi="Times New Roman"/>
          <w:noProof/>
          <w:sz w:val="24"/>
        </w:rPr>
        <w:t>. Az uniós finanszírozás említett növelésével egyidejűleg több tagállam eszközöket (hajók</w:t>
      </w:r>
      <w:r>
        <w:rPr>
          <w:rFonts w:ascii="Times New Roman" w:hAnsi="Times New Roman"/>
          <w:noProof/>
          <w:sz w:val="24"/>
        </w:rPr>
        <w:t>at és repülőgépeket) vonultat fel. Ennek az örvendetes szolidaritásnak mindaddig folytatódnia kell, amíg a migrációs nyomás fennáll. Az új Triton műveleti tervet május végéig fogják előterjeszteni</w:t>
      </w:r>
      <w:r>
        <w:rPr>
          <w:rStyle w:val="FootnoteReference"/>
          <w:rFonts w:ascii="Times New Roman" w:hAnsi="Times New Roman"/>
          <w:noProof/>
          <w:sz w:val="24"/>
        </w:rPr>
        <w:footnoteReference w:id="6"/>
      </w:r>
      <w:r>
        <w:rPr>
          <w:rFonts w:ascii="Times New Roman" w:hAnsi="Times New Roman"/>
          <w:noProof/>
          <w:sz w:val="24"/>
        </w:rPr>
        <w:t>.</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Az embercsempész bűnszövetkezetek célba vétele</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Célba kell</w:t>
      </w:r>
      <w:r>
        <w:rPr>
          <w:rFonts w:ascii="Times New Roman" w:hAnsi="Times New Roman"/>
          <w:noProof/>
          <w:sz w:val="24"/>
        </w:rPr>
        <w:t xml:space="preserve"> venni a kiszolgáltatott migránsokat kizsákmányoló bűnszövetkezeteket. A főképviselő/alelnök már bemutatta, milyen lehetőségek kínálkoznak az esetleges</w:t>
      </w:r>
      <w:r>
        <w:rPr>
          <w:rFonts w:ascii="Times New Roman" w:hAnsi="Times New Roman"/>
          <w:b/>
          <w:noProof/>
          <w:sz w:val="24"/>
        </w:rPr>
        <w:t xml:space="preserve"> közös biztonság- és védelempolitikai műveletekre</w:t>
      </w:r>
      <w:r>
        <w:rPr>
          <w:rFonts w:ascii="Times New Roman" w:hAnsi="Times New Roman"/>
          <w:noProof/>
          <w:sz w:val="24"/>
        </w:rPr>
        <w:t xml:space="preserve">, amelyek célja az embercsempészek által használt hajók </w:t>
      </w:r>
      <w:r>
        <w:rPr>
          <w:rFonts w:ascii="Times New Roman" w:hAnsi="Times New Roman"/>
          <w:noProof/>
          <w:sz w:val="24"/>
        </w:rPr>
        <w:t>szisztematikus azonosítása, elfogása és megsemmisítése. Egy ilyen nemzetközi jogon alapuló fellépés meggyőzően igazolja majd, hogy az EU elszánta magát a cselekvésre.</w:t>
      </w:r>
    </w:p>
    <w:p w:rsidR="004C19BC" w:rsidRDefault="00F16D4C">
      <w:pPr>
        <w:spacing w:before="120" w:line="240" w:lineRule="auto"/>
        <w:jc w:val="both"/>
        <w:rPr>
          <w:rFonts w:ascii="Times New Roman" w:hAnsi="Times New Roman" w:cs="Times New Roman"/>
          <w:bCs/>
          <w:noProof/>
          <w:sz w:val="24"/>
          <w:szCs w:val="24"/>
        </w:rPr>
      </w:pPr>
      <w:r>
        <w:rPr>
          <w:rFonts w:ascii="Times New Roman" w:hAnsi="Times New Roman"/>
          <w:noProof/>
          <w:sz w:val="24"/>
        </w:rPr>
        <w:t xml:space="preserve">Többet kell tenni </w:t>
      </w:r>
      <w:r>
        <w:rPr>
          <w:rFonts w:ascii="Times New Roman" w:hAnsi="Times New Roman"/>
          <w:b/>
          <w:noProof/>
          <w:sz w:val="24"/>
        </w:rPr>
        <w:t>az embercsempészek azonosítására és megcélzására irányuló információk ö</w:t>
      </w:r>
      <w:r>
        <w:rPr>
          <w:rFonts w:ascii="Times New Roman" w:hAnsi="Times New Roman"/>
          <w:b/>
          <w:noProof/>
          <w:sz w:val="24"/>
        </w:rPr>
        <w:t>sszegyűjtéséért és hatékonyabb felhasználásáért</w:t>
      </w:r>
      <w:r>
        <w:rPr>
          <w:rFonts w:ascii="Times New Roman" w:hAnsi="Times New Roman"/>
          <w:noProof/>
          <w:sz w:val="24"/>
        </w:rPr>
        <w:t>. Az Europol haladéktalanul megerősíti a közelmúltban létrehozott tengerészeti információs közös műveletet (JOT MARE) – és annak a migránsok csempészetére helyezett fókuszpontját. Ennek eredményeként egyablako</w:t>
      </w:r>
      <w:r>
        <w:rPr>
          <w:rFonts w:ascii="Times New Roman" w:hAnsi="Times New Roman"/>
          <w:noProof/>
          <w:sz w:val="24"/>
        </w:rPr>
        <w:t>s rendszer jön létre az embercsempészetre irányuló ügynökségközi együttműködés számára</w:t>
      </w:r>
      <w:r>
        <w:rPr>
          <w:rStyle w:val="FootnoteReference"/>
          <w:rFonts w:ascii="Times New Roman" w:hAnsi="Times New Roman"/>
          <w:noProof/>
          <w:sz w:val="24"/>
        </w:rPr>
        <w:footnoteReference w:id="7"/>
      </w:r>
      <w:r>
        <w:rPr>
          <w:rFonts w:ascii="Times New Roman" w:hAnsi="Times New Roman"/>
          <w:noProof/>
          <w:sz w:val="24"/>
        </w:rPr>
        <w:t>. A Frontex és az Europol kidolgozza az embercsempészek által feltehetően használt hajók profilját, és követi ezeket a mintákat a lehetséges hajók azonosítása és mozgásu</w:t>
      </w:r>
      <w:r>
        <w:rPr>
          <w:rFonts w:ascii="Times New Roman" w:hAnsi="Times New Roman"/>
          <w:noProof/>
          <w:sz w:val="24"/>
        </w:rPr>
        <w:t>k nyomon követése céljából. Végezetül az Europol azonosítja az embercsempészek által a migránsok és menekültek „bevonzására” használt internetes tartalmakat, és előírja azok eltávolítását.</w:t>
      </w:r>
    </w:p>
    <w:p w:rsidR="004C19BC" w:rsidRDefault="00F16D4C">
      <w:pPr>
        <w:spacing w:before="120" w:line="240" w:lineRule="auto"/>
        <w:rPr>
          <w:rFonts w:ascii="Times New Roman" w:hAnsi="Times New Roman" w:cs="Times New Roman"/>
          <w:i/>
          <w:noProof/>
          <w:sz w:val="24"/>
          <w:szCs w:val="24"/>
        </w:rPr>
      </w:pPr>
      <w:r>
        <w:rPr>
          <w:rFonts w:ascii="Times New Roman" w:hAnsi="Times New Roman"/>
          <w:i/>
          <w:noProof/>
          <w:sz w:val="24"/>
        </w:rPr>
        <w:t>Reagálás az Unió területén megjelenő, nagyszámú érkezőre: Áthelyezé</w:t>
      </w:r>
      <w:r>
        <w:rPr>
          <w:rFonts w:ascii="Times New Roman" w:hAnsi="Times New Roman"/>
          <w:i/>
          <w:noProof/>
          <w:sz w:val="24"/>
        </w:rPr>
        <w:t>s</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tagállamok menekültügyi rendszerei jelenleg minden korábbinál nagyobb nyomással kénytelenek szembenézni, és a nyár közeledtével az elkövetkező hónapok során folytatódni fog a migránsok beáramlása a leginkább érintett tagállamokba. Az EU nem várhat addi</w:t>
      </w:r>
      <w:r>
        <w:rPr>
          <w:rFonts w:ascii="Times New Roman" w:hAnsi="Times New Roman"/>
          <w:noProof/>
          <w:sz w:val="24"/>
        </w:rPr>
        <w:t>g a cselekvéssel, amíg a nyomás elviselhetetlenné válik: az érkezők nagy száma miatt a helyi fogadási és feldolgozási létesítmények kapacitása már jelenleg is pattanásig feszült. A Földközi-tenger medencéjében kialakult helyzet kezelése céljából a Bizottsá</w:t>
      </w:r>
      <w:r>
        <w:rPr>
          <w:rFonts w:ascii="Times New Roman" w:hAnsi="Times New Roman"/>
          <w:noProof/>
          <w:sz w:val="24"/>
        </w:rPr>
        <w:t>g május végéig javaslatot tesz az EUMSZ 78. cikkének (3) bekezdése</w:t>
      </w:r>
      <w:r>
        <w:rPr>
          <w:rStyle w:val="FootnoteReference"/>
          <w:rFonts w:ascii="Times New Roman" w:hAnsi="Times New Roman"/>
          <w:noProof/>
          <w:sz w:val="24"/>
        </w:rPr>
        <w:footnoteReference w:id="8"/>
      </w:r>
      <w:r>
        <w:rPr>
          <w:rFonts w:ascii="Times New Roman" w:hAnsi="Times New Roman"/>
          <w:noProof/>
          <w:sz w:val="24"/>
        </w:rPr>
        <w:t xml:space="preserve"> alapján előirányzott veszélyhelyzeti reagáló rendszer aktivizálására.</w:t>
      </w:r>
      <w:r>
        <w:rPr>
          <w:rFonts w:ascii="Times New Roman" w:hAnsi="Times New Roman"/>
          <w:b/>
          <w:noProof/>
          <w:sz w:val="24"/>
        </w:rPr>
        <w:t xml:space="preserve"> </w:t>
      </w:r>
      <w:r>
        <w:rPr>
          <w:rFonts w:ascii="Times New Roman" w:hAnsi="Times New Roman"/>
          <w:noProof/>
          <w:sz w:val="24"/>
        </w:rPr>
        <w:t>A javaslat magában foglal egy, az egyértelműen nemzetközi védelemre szoruló személyekre vonatkozó ideiglenes elosztási</w:t>
      </w:r>
      <w:r>
        <w:rPr>
          <w:rFonts w:ascii="Times New Roman" w:hAnsi="Times New Roman"/>
          <w:noProof/>
          <w:sz w:val="24"/>
        </w:rPr>
        <w:t xml:space="preserve"> mechanizmust, hogy minden tagállam részvétele méltányos és kiegyensúlyozott legyen ebben a közös erőfeszítésben. A megállapított szabályoknak és garanciáknak megfelelően a fogadó tagállam lesz felelős a kérelmek vizsgálatáért. A mellékletben található az </w:t>
      </w:r>
      <w:r>
        <w:rPr>
          <w:rFonts w:ascii="Times New Roman" w:hAnsi="Times New Roman"/>
          <w:noProof/>
          <w:sz w:val="24"/>
        </w:rPr>
        <w:t>újraelosztási kulcs, amely olyan kritériumokon alapul, mint a GDP, a lakosság mérete, a munkanélküliségi ráta, a korábbi menedékkérők és letelepített menekültek száma.</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Ez a lépés a tartós megoldás előfeltétele. Az EU-nak állandó rendszerre van szüksége ahh</w:t>
      </w:r>
      <w:r>
        <w:rPr>
          <w:rFonts w:ascii="Times New Roman" w:hAnsi="Times New Roman"/>
          <w:noProof/>
          <w:sz w:val="24"/>
        </w:rPr>
        <w:t>oz, hogy megossza a nagyszámú menekülttel és menedékkérővel kapcsolatos felelősséget a tagállamok között. A Bizottság 2015 végéig jogalkotási javaslatot terjeszt elő egy olyan kötelező erejű és automatikusan aktivizálódó áthelyezési rendszer kialakítása cé</w:t>
      </w:r>
      <w:r>
        <w:rPr>
          <w:rFonts w:ascii="Times New Roman" w:hAnsi="Times New Roman"/>
          <w:noProof/>
          <w:sz w:val="24"/>
        </w:rPr>
        <w:t>ljából, amely arra szolgál, hogy tömeges beáramlás esetén elossza az egyértelműen nemzetközi védelemre szoruló személyeket az EU-n belül</w:t>
      </w:r>
      <w:r>
        <w:rPr>
          <w:rStyle w:val="FootnoteReference"/>
          <w:rFonts w:ascii="Times New Roman" w:hAnsi="Times New Roman"/>
          <w:noProof/>
          <w:sz w:val="24"/>
        </w:rPr>
        <w:footnoteReference w:id="9"/>
      </w:r>
      <w:r>
        <w:rPr>
          <w:rFonts w:ascii="Times New Roman" w:hAnsi="Times New Roman"/>
          <w:noProof/>
          <w:sz w:val="24"/>
        </w:rPr>
        <w:t>. A rendszer figyelembe fogja venni a tagállamok által korábban, önkéntes alapon tett erőfeszítéseket.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Az említett két </w:t>
      </w:r>
      <w:r>
        <w:rPr>
          <w:rFonts w:ascii="Times New Roman" w:hAnsi="Times New Roman"/>
          <w:noProof/>
          <w:sz w:val="24"/>
        </w:rPr>
        <w:t>intézkedés végrehajtásáig a tagállamoknak tanúbizonyságot kell tenniük szolidaritásukról, és kettőzött erővel kell segíteniük a leginkább érintett országokat.</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 lakóhelyét elhagyni kényszerült, védelemre szoruló személyek védelmének biztosítására vonatkozó</w:t>
      </w:r>
      <w:r>
        <w:rPr>
          <w:rFonts w:ascii="Times New Roman" w:hAnsi="Times New Roman"/>
          <w:i/>
          <w:noProof/>
          <w:sz w:val="24"/>
        </w:rPr>
        <w:t xml:space="preserve"> közös megközelítés: Letelepítés</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A már uniós területen lévő személyek áthelyezése mellett az EU-nak az is feladata, hogy kivegye a részét az egyértelműen nemzetközi védelemre szoruló, lakóhelyüket elhagyni kényszerült személyek megsegítéséből. Ez a nemzetk</w:t>
      </w:r>
      <w:r>
        <w:rPr>
          <w:rFonts w:ascii="Times New Roman" w:hAnsi="Times New Roman"/>
          <w:noProof/>
          <w:sz w:val="24"/>
        </w:rPr>
        <w:t>özi közösség közös felelőssége az Egyesült Nemzetek menekültügyi főbiztosának közreműködésével, ugyanis a feladat azoknak a helyzeteknek az azonosítása, amikor az emberek nem tartózkodhatnak biztonságosan a saját hazájukban. Nem hagyhatjuk, hogy ezek a kis</w:t>
      </w:r>
      <w:r>
        <w:rPr>
          <w:rFonts w:ascii="Times New Roman" w:hAnsi="Times New Roman"/>
          <w:noProof/>
          <w:sz w:val="24"/>
        </w:rPr>
        <w:t>zolgáltatott személyek az embercsempészek és emberkereskedők bűnszövetkezeteinek prédájává váljanak. Biztonságos és jogszerű módot kell biztosítani számukra ahhoz, hogy az EU területére lépjenek. Az ENSZ Menekültügyi Főbiztosának Hivatala támogatta azt a c</w:t>
      </w:r>
      <w:r>
        <w:rPr>
          <w:rFonts w:ascii="Times New Roman" w:hAnsi="Times New Roman"/>
          <w:noProof/>
          <w:sz w:val="24"/>
        </w:rPr>
        <w:t>élkitűzést, hogy 2020-ig évente 20 000 személy számára biztosítanak letelepedést az EU-n belül</w:t>
      </w:r>
      <w:r>
        <w:rPr>
          <w:rFonts w:ascii="Times New Roman" w:hAnsi="Times New Roman"/>
          <w:noProof/>
          <w:sz w:val="24"/>
          <w:vertAlign w:val="superscript"/>
        </w:rPr>
        <w:footnoteReference w:id="10"/>
      </w:r>
      <w:r>
        <w:rPr>
          <w:rFonts w:ascii="Times New Roman" w:hAnsi="Times New Roman"/>
          <w:noProof/>
          <w:sz w:val="24"/>
        </w:rPr>
        <w:t>. Egyes tagállamok már eddig is jelentős mértékben hozzájárultak az általános letelepítési erőfeszítésekhez. Mások azonban semmit sem kínálnak – és sok esetben a</w:t>
      </w:r>
      <w:r>
        <w:rPr>
          <w:rFonts w:ascii="Times New Roman" w:hAnsi="Times New Roman"/>
          <w:noProof/>
          <w:sz w:val="24"/>
        </w:rPr>
        <w:t>lternatív hozzájárulást sem nyújtanak menedékjog iránti kérelmek átvétele vagy elfogadása, illetve a többiek erőfeszítéseit szolgáló finanszírozás segítése tekintetében.</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Bizottság május végéig ajánlást fogalmaz meg, amelyben javaslatot tesz egy </w:t>
      </w:r>
      <w:r>
        <w:rPr>
          <w:rFonts w:ascii="Times New Roman" w:hAnsi="Times New Roman"/>
          <w:b/>
          <w:noProof/>
          <w:sz w:val="24"/>
        </w:rPr>
        <w:t>20 000 sz</w:t>
      </w:r>
      <w:r>
        <w:rPr>
          <w:rFonts w:ascii="Times New Roman" w:hAnsi="Times New Roman"/>
          <w:b/>
          <w:noProof/>
          <w:sz w:val="24"/>
        </w:rPr>
        <w:t>emély számára letelepedést biztosító, az egész EU-ra kiterjedő rendszerre</w:t>
      </w:r>
      <w:r>
        <w:rPr>
          <w:rFonts w:ascii="Times New Roman" w:hAnsi="Times New Roman"/>
          <w:noProof/>
          <w:sz w:val="24"/>
        </w:rPr>
        <w:t>. Az említett rendszer minden tagállamra kierjed majd és olyan – a mellékletben található – elosztási kritériumok alapján működik, mint a GDP, a lakosság mérete, a munkanélküliségi rá</w:t>
      </w:r>
      <w:r>
        <w:rPr>
          <w:rFonts w:ascii="Times New Roman" w:hAnsi="Times New Roman"/>
          <w:noProof/>
          <w:sz w:val="24"/>
        </w:rPr>
        <w:t xml:space="preserve">ta és a korábbi menedékkérők és letelepített menekültek száma, továbbá figyelembe fogja venni a tagállamok által önkéntes alapon tett erőfeszítéseket. Az uniós költségvetés 2015/2016-ban </w:t>
      </w:r>
      <w:r>
        <w:rPr>
          <w:rFonts w:ascii="Times New Roman" w:hAnsi="Times New Roman"/>
          <w:b/>
          <w:noProof/>
          <w:sz w:val="24"/>
        </w:rPr>
        <w:t>50 millió EUR</w:t>
      </w:r>
      <w:r>
        <w:rPr>
          <w:rFonts w:ascii="Times New Roman" w:hAnsi="Times New Roman"/>
          <w:noProof/>
          <w:sz w:val="24"/>
        </w:rPr>
        <w:t xml:space="preserve"> </w:t>
      </w:r>
      <w:r>
        <w:rPr>
          <w:rFonts w:ascii="Times New Roman" w:hAnsi="Times New Roman"/>
          <w:b/>
          <w:noProof/>
          <w:sz w:val="24"/>
        </w:rPr>
        <w:t>pótlólagos</w:t>
      </w:r>
      <w:r>
        <w:rPr>
          <w:rFonts w:ascii="Times New Roman" w:hAnsi="Times New Roman"/>
          <w:noProof/>
          <w:sz w:val="24"/>
        </w:rPr>
        <w:t xml:space="preserve"> célzott finanszírozást biztosít e rendszer t</w:t>
      </w:r>
      <w:r>
        <w:rPr>
          <w:rFonts w:ascii="Times New Roman" w:hAnsi="Times New Roman"/>
          <w:noProof/>
          <w:sz w:val="24"/>
        </w:rPr>
        <w:t>ámogatására. Ezt szükség esetén a 2016 utáni, kötelező érvényű jogalkotási megközelítésre irányuló javaslat követi majd</w:t>
      </w:r>
      <w:r>
        <w:rPr>
          <w:rStyle w:val="FootnoteReference"/>
          <w:rFonts w:ascii="Times New Roman" w:hAnsi="Times New Roman"/>
          <w:noProof/>
          <w:sz w:val="24"/>
        </w:rPr>
        <w:footnoteReference w:id="11"/>
      </w:r>
      <w:r>
        <w:rPr>
          <w:rFonts w:ascii="Times New Roman" w:hAnsi="Times New Roman"/>
          <w:noProof/>
          <w:sz w:val="24"/>
        </w:rPr>
        <w:t xml:space="preserve">. Az említett közös erőfeszítések mellett a Bizottság arra szólítja fel a tagállamokat, hogy használják ki a Menekültügyi, Migrációs és </w:t>
      </w:r>
      <w:r>
        <w:rPr>
          <w:rFonts w:ascii="Times New Roman" w:hAnsi="Times New Roman"/>
          <w:noProof/>
          <w:sz w:val="24"/>
        </w:rPr>
        <w:t>Integrációs Alap által nyújtott, meglévő lehetőségeket, és a finanszírozás gyors kiigazítása révén kínáljanak fel további letelepedési lehetőségeket nemzeti programozásuk keretén belül.</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A tagállamoknak emellett maradéktalanul ki kell használniuk a védelemr</w:t>
      </w:r>
      <w:r>
        <w:rPr>
          <w:rFonts w:ascii="Times New Roman" w:hAnsi="Times New Roman"/>
          <w:noProof/>
          <w:sz w:val="24"/>
        </w:rPr>
        <w:t>e szoruló személyek rendelkezésére álló egyéb jogi lehetőségeket, ideértve a magán/nem kormányzati támogatást és a humanitárius tartózkodási engedélyeket, valamint a családegyesítési rendelkezéseket.</w:t>
      </w:r>
    </w:p>
    <w:p w:rsidR="004C19BC" w:rsidRDefault="00F16D4C">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Partnerségi együttműködés a harmadik országokkal a migrá</w:t>
      </w:r>
      <w:r>
        <w:rPr>
          <w:rFonts w:ascii="Times New Roman" w:hAnsi="Times New Roman"/>
          <w:i/>
          <w:noProof/>
          <w:sz w:val="24"/>
        </w:rPr>
        <w:t>ció származási útvonalainak kezelésére</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Az EU azonnali intézkedéseket is hozhat, hogy beavatkozzon a származási és tranzitrégiók útvonalain. A Bizottság és a Európai Külügyi Szolgálat (EKSZ) együttműködik a partnerországokkal, hogy konkrét intézkedéseket ho</w:t>
      </w:r>
      <w:r>
        <w:rPr>
          <w:rFonts w:ascii="Times New Roman" w:hAnsi="Times New Roman"/>
          <w:noProof/>
          <w:sz w:val="24"/>
        </w:rPr>
        <w:t>zzon a veszélyes utazások megelőzésére.</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Az EU-nak először is fokoznia kell az azon országoknak nyújtott támogatását, amelyek a lakóhelyüket elhagyni kényszerült menekültek terhének legnagyobb részét viselik. Létre fogja hozni vagy elmélyíti a </w:t>
      </w:r>
      <w:r>
        <w:rPr>
          <w:rFonts w:ascii="Times New Roman" w:hAnsi="Times New Roman"/>
          <w:b/>
          <w:noProof/>
          <w:sz w:val="24"/>
        </w:rPr>
        <w:t>regionális fe</w:t>
      </w:r>
      <w:r>
        <w:rPr>
          <w:rFonts w:ascii="Times New Roman" w:hAnsi="Times New Roman"/>
          <w:b/>
          <w:noProof/>
          <w:sz w:val="24"/>
        </w:rPr>
        <w:t>jlesztési és védelmi programokat</w:t>
      </w:r>
      <w:r>
        <w:rPr>
          <w:rFonts w:ascii="Times New Roman" w:hAnsi="Times New Roman"/>
          <w:noProof/>
          <w:sz w:val="24"/>
        </w:rPr>
        <w:t>, Észak-Afrikával és Afrika szarvával kezdve a folyamatot és építve a Közel-Keleten már meglévő programra. 2015/2016-ban 30 millió EUR-t bocsát rendelkezésre, amelyet a tagállamok által nyújtandó plusz hozzájárulások egészít</w:t>
      </w:r>
      <w:r>
        <w:rPr>
          <w:rFonts w:ascii="Times New Roman" w:hAnsi="Times New Roman"/>
          <w:noProof/>
          <w:sz w:val="24"/>
        </w:rPr>
        <w:t>enek ki.</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Másrészt az év végéig </w:t>
      </w:r>
      <w:r>
        <w:rPr>
          <w:rFonts w:ascii="Times New Roman" w:hAnsi="Times New Roman"/>
          <w:b/>
          <w:noProof/>
          <w:sz w:val="24"/>
        </w:rPr>
        <w:t>kísérleti jelleggel többcélú központot hoz létre Nigerben</w:t>
      </w:r>
      <w:r>
        <w:rPr>
          <w:rFonts w:ascii="Times New Roman" w:hAnsi="Times New Roman"/>
          <w:noProof/>
          <w:sz w:val="24"/>
        </w:rPr>
        <w:t>. A központ a Nemzetközi Migrációs Szervezettel, az ENSZ Menekültügyi Főbiztosának Hivatalával és a nigeri hatóságokkal együttműködve tájékoztatást nyújt, valamint véde</w:t>
      </w:r>
      <w:r>
        <w:rPr>
          <w:rFonts w:ascii="Times New Roman" w:hAnsi="Times New Roman"/>
          <w:noProof/>
          <w:sz w:val="24"/>
        </w:rPr>
        <w:t>lmet és letelepítési lehetőségeket biztosít a rászorulóknak. A származási és tranzitországokban működő ilyen központok elősegítik majd, hogy reális kép alakuljon ki arról, mennyire valószínű, hogy a migránsok utazása sikerre vezet, valamint támogatást kíná</w:t>
      </w:r>
      <w:r>
        <w:rPr>
          <w:rFonts w:ascii="Times New Roman" w:hAnsi="Times New Roman"/>
          <w:noProof/>
          <w:sz w:val="24"/>
        </w:rPr>
        <w:t>lnának az önkéntes hazatéréshez az illegális migránsok számára.</w:t>
      </w:r>
    </w:p>
    <w:p w:rsidR="004C19BC" w:rsidRDefault="00F16D4C">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Harmadrészt a migráció olyan specifikus komponensé fog válni a </w:t>
      </w:r>
      <w:r>
        <w:rPr>
          <w:rFonts w:ascii="Times New Roman" w:hAnsi="Times New Roman"/>
          <w:b/>
          <w:noProof/>
          <w:sz w:val="24"/>
        </w:rPr>
        <w:t xml:space="preserve">közös biztonság- és védelempolitika (KBVP) </w:t>
      </w:r>
      <w:r>
        <w:rPr>
          <w:rFonts w:ascii="Times New Roman" w:hAnsi="Times New Roman"/>
          <w:noProof/>
          <w:sz w:val="24"/>
        </w:rPr>
        <w:t xml:space="preserve">keretében már több országban, így Nigerben és Maliban is jelen lévő missziókban, </w:t>
      </w:r>
      <w:r>
        <w:rPr>
          <w:rFonts w:ascii="Times New Roman" w:hAnsi="Times New Roman"/>
          <w:noProof/>
          <w:sz w:val="24"/>
        </w:rPr>
        <w:t xml:space="preserve">amelyet a határigazgatás tekintetében fognak erősíteni. Ősszel a témának szentel csúcstalálkozót szervezünk Máltán a legfontosabb partnerek, köztük az Afrikai Unió részvételével, hogy a régióval közös megközelítést dolgozzunk ki az illegális migráció és a </w:t>
      </w:r>
      <w:r>
        <w:rPr>
          <w:rFonts w:ascii="Times New Roman" w:hAnsi="Times New Roman"/>
          <w:noProof/>
          <w:sz w:val="24"/>
        </w:rPr>
        <w:t>rászoruló személyek védelmének, valamint az embercsempészetnek és az emberkereskedelemnek a kezelésére.</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Ez a munka szorosan kapcsolódik a stabilitás elősegítésére szolgáló tágabb politikai kezdeményezésekhez, amelyek közül kiemelt fontosságú a főképviselő/</w:t>
      </w:r>
      <w:r>
        <w:rPr>
          <w:rFonts w:ascii="Times New Roman" w:hAnsi="Times New Roman"/>
          <w:noProof/>
          <w:sz w:val="24"/>
        </w:rPr>
        <w:t xml:space="preserve">alelnök által irányított intézkedés, amelynek célja a </w:t>
      </w:r>
      <w:r>
        <w:rPr>
          <w:rFonts w:ascii="Times New Roman" w:hAnsi="Times New Roman"/>
          <w:b/>
          <w:noProof/>
          <w:sz w:val="24"/>
        </w:rPr>
        <w:t>líbiai</w:t>
      </w:r>
      <w:r>
        <w:rPr>
          <w:rFonts w:ascii="Times New Roman" w:hAnsi="Times New Roman"/>
          <w:noProof/>
          <w:sz w:val="24"/>
        </w:rPr>
        <w:t xml:space="preserve"> helyzet kezelése, a nemzeti egységkormány felállítására irányuló folyamatot ösztönző, ENSZ-irányítású erőfeszítések teljes támogatásával. A </w:t>
      </w:r>
      <w:r>
        <w:rPr>
          <w:rFonts w:ascii="Times New Roman" w:hAnsi="Times New Roman"/>
          <w:b/>
          <w:noProof/>
          <w:sz w:val="24"/>
        </w:rPr>
        <w:t>szíriai</w:t>
      </w:r>
      <w:r>
        <w:rPr>
          <w:rFonts w:ascii="Times New Roman" w:hAnsi="Times New Roman"/>
          <w:noProof/>
          <w:sz w:val="24"/>
        </w:rPr>
        <w:t xml:space="preserve"> válság kezelésére vonatkozó folyamatos erőfeszí</w:t>
      </w:r>
      <w:r>
        <w:rPr>
          <w:rFonts w:ascii="Times New Roman" w:hAnsi="Times New Roman"/>
          <w:noProof/>
          <w:sz w:val="24"/>
        </w:rPr>
        <w:t>téseket 3,6 milliárd EUR összegű humanitárius, stabilizációs és fejlesztési segítségnyújtás kísérte Szírián belül, és a több országban – így Libanonba, Jordániában, Törökországban és Irakban – található szíriai menekültek segítése céljából. Az említettek m</w:t>
      </w:r>
      <w:r>
        <w:rPr>
          <w:rFonts w:ascii="Times New Roman" w:hAnsi="Times New Roman"/>
          <w:noProof/>
          <w:sz w:val="24"/>
        </w:rPr>
        <w:t>indössze néhány példát jelentenek azokra a politikai válságokra, amelyek esetében a legnyilvánvalóbb, hogy az elkövetkező hónapokban messzemenő hatást gyakorolnak az EU-ba irányuló migrációra. Szintén szoros figyelemmel követjük keleti partnereinket, a Nyu</w:t>
      </w:r>
      <w:r>
        <w:rPr>
          <w:rFonts w:ascii="Times New Roman" w:hAnsi="Times New Roman"/>
          <w:noProof/>
          <w:sz w:val="24"/>
        </w:rPr>
        <w:t>gat-Balkánt és Ázsiát, előmozdítva a meglévő együttműködési kereteket.</w:t>
      </w:r>
    </w:p>
    <w:p w:rsidR="004C19BC" w:rsidRDefault="004C19BC">
      <w:pPr>
        <w:spacing w:before="120" w:after="0" w:line="240" w:lineRule="auto"/>
        <w:contextualSpacing/>
        <w:jc w:val="both"/>
        <w:rPr>
          <w:rFonts w:ascii="Times New Roman" w:hAnsi="Times New Roman" w:cs="Times New Roman"/>
          <w:noProof/>
          <w:sz w:val="24"/>
          <w:szCs w:val="24"/>
        </w:rPr>
      </w:pPr>
    </w:p>
    <w:p w:rsidR="004C19BC" w:rsidRDefault="00F16D4C">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Az uniós eszközök felhasználása a leginkább érintett tagállamok segítésére</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Többet fogunk tennie annak elősegítéséért, hogy a migránsok érkezése által leginkább érintett tagállamok megb</w:t>
      </w:r>
      <w:r>
        <w:rPr>
          <w:rFonts w:ascii="Times New Roman" w:hAnsi="Times New Roman"/>
          <w:noProof/>
          <w:sz w:val="24"/>
        </w:rPr>
        <w:t>irkózzanak az előttük álló azonnali nehézségekkel.</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Bizottság először is </w:t>
      </w:r>
      <w:r>
        <w:rPr>
          <w:rFonts w:ascii="Times New Roman" w:hAnsi="Times New Roman"/>
          <w:b/>
          <w:noProof/>
          <w:sz w:val="24"/>
        </w:rPr>
        <w:t>forróponti</w:t>
      </w:r>
      <w:r>
        <w:rPr>
          <w:rFonts w:ascii="Times New Roman" w:hAnsi="Times New Roman"/>
          <w:noProof/>
          <w:sz w:val="24"/>
        </w:rPr>
        <w:t xml:space="preserve"> megközelítést alakít ki, amelyben az Európai Menekültügyi Támogatási Hivatal, a Frontex és az Europol a helyszínen működik együtt a leginkább érintett tagállamokkal, hogy gyorsan azonosítsa és nyilvántartásba vegye a beérkező migránsokat, és rögzítse azok</w:t>
      </w:r>
      <w:r>
        <w:rPr>
          <w:rFonts w:ascii="Times New Roman" w:hAnsi="Times New Roman"/>
          <w:noProof/>
          <w:sz w:val="24"/>
        </w:rPr>
        <w:t xml:space="preserve"> ujjnyomatát. Az ügynökségek munkája kiegészíti egymást. Azokat, akik menedéket kérnek, azonnal bevonják a menekültügyi eljárásba, amelynek során az EASO támogató csoportjai segítik a menedékkérelmi ügyek lehető leggyorsabb feldolgozását. Azok esetében, ak</w:t>
      </w:r>
      <w:r>
        <w:rPr>
          <w:rFonts w:ascii="Times New Roman" w:hAnsi="Times New Roman"/>
          <w:noProof/>
          <w:sz w:val="24"/>
        </w:rPr>
        <w:t>ik nem szorulnak védelemre, a Frontex az illegális migránsok visszatérésének koordinálása révén segíti a tagállamokat. Az Europol és az Eurojust támogatást nyújt a fogadó tagállam nyomozásaihoz az embercsempész és emberkereskedő hálózatok felszámolása célj</w:t>
      </w:r>
      <w:r>
        <w:rPr>
          <w:rFonts w:ascii="Times New Roman" w:hAnsi="Times New Roman"/>
          <w:noProof/>
          <w:sz w:val="24"/>
        </w:rPr>
        <w:t>ából.</w:t>
      </w:r>
    </w:p>
    <w:p w:rsidR="004C19BC" w:rsidRDefault="00F16D4C">
      <w:pPr>
        <w:spacing w:before="120" w:after="0" w:line="240" w:lineRule="auto"/>
        <w:jc w:val="both"/>
        <w:rPr>
          <w:rFonts w:ascii="Times New Roman" w:hAnsi="Times New Roman"/>
          <w:noProof/>
          <w:sz w:val="24"/>
          <w:szCs w:val="24"/>
        </w:rPr>
      </w:pPr>
      <w:r>
        <w:rPr>
          <w:rFonts w:ascii="Times New Roman" w:hAnsi="Times New Roman"/>
          <w:noProof/>
          <w:sz w:val="24"/>
        </w:rPr>
        <w:t xml:space="preserve">A Bizottság másrészt további 60 millió EUR </w:t>
      </w:r>
      <w:r>
        <w:rPr>
          <w:rFonts w:ascii="Times New Roman" w:hAnsi="Times New Roman"/>
          <w:b/>
          <w:noProof/>
          <w:sz w:val="24"/>
        </w:rPr>
        <w:t>veszélyhelyzeti finanszírozást</w:t>
      </w:r>
      <w:r>
        <w:rPr>
          <w:rFonts w:ascii="Times New Roman" w:hAnsi="Times New Roman"/>
          <w:noProof/>
          <w:sz w:val="24"/>
        </w:rPr>
        <w:t xml:space="preserve"> mozgósít, többek között a különösen nagy migrációs nyomás alá került tagállamok befogadási és a migránsoknak nyújtott egészségügyi ellátási kapacitásának támogatására</w:t>
      </w:r>
      <w:r>
        <w:rPr>
          <w:noProof/>
          <w:vertAlign w:val="superscript"/>
        </w:rPr>
        <w:footnoteReference w:id="12"/>
      </w:r>
      <w:r>
        <w:rPr>
          <w:rFonts w:ascii="Times New Roman" w:hAnsi="Times New Roman"/>
          <w:noProof/>
          <w:sz w:val="24"/>
        </w:rPr>
        <w:t>. A szüks</w:t>
      </w:r>
      <w:r>
        <w:rPr>
          <w:rFonts w:ascii="Times New Roman" w:hAnsi="Times New Roman"/>
          <w:noProof/>
          <w:sz w:val="24"/>
        </w:rPr>
        <w:t>égletek értékelése folyamatban van.</w:t>
      </w:r>
    </w:p>
    <w:p w:rsidR="004C19BC" w:rsidRDefault="004C19BC">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4C19BC">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19BC" w:rsidRDefault="00F16D4C">
            <w:pPr>
              <w:jc w:val="center"/>
              <w:rPr>
                <w:rFonts w:ascii="Times New Roman" w:hAnsi="Times New Roman" w:cs="Times New Roman"/>
                <w:b/>
                <w:i/>
                <w:noProof/>
                <w:sz w:val="20"/>
                <w:szCs w:val="20"/>
              </w:rPr>
            </w:pPr>
            <w:r>
              <w:rPr>
                <w:rFonts w:ascii="Times New Roman" w:hAnsi="Times New Roman"/>
                <w:b/>
                <w:i/>
                <w:noProof/>
                <w:sz w:val="20"/>
              </w:rPr>
              <w:t>Fő intézkedések</w:t>
            </w:r>
          </w:p>
        </w:tc>
        <w:tc>
          <w:tcPr>
            <w:tcW w:w="7595" w:type="dxa"/>
            <w:tcBorders>
              <w:top w:val="single" w:sz="4" w:space="0" w:color="auto"/>
              <w:left w:val="single" w:sz="4" w:space="0" w:color="auto"/>
              <w:bottom w:val="single" w:sz="4" w:space="0" w:color="auto"/>
              <w:right w:val="single" w:sz="4" w:space="0" w:color="auto"/>
            </w:tcBorders>
          </w:tcPr>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Tritonhoz és a Poseidonhoz rendelt 2015-16-os előirányzatok megháromszorozására, valamint az egész EU-ra kiterjedő letelepítési rendszer finanszírozására irányuló finanszírozási csomag.</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migránsok cse</w:t>
            </w:r>
            <w:r>
              <w:rPr>
                <w:rFonts w:ascii="Times New Roman" w:hAnsi="Times New Roman"/>
                <w:noProof/>
                <w:sz w:val="20"/>
              </w:rPr>
              <w:t>mpészetére vonatkozó esetleges KBVP küldetés azonnali támogatása.</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Az EUMSZ 78. cikkének (3) bekezdése szerinti veszélyhelyzeti rendszernek – a mellékletbe foglalt elosztási kulcs alapján történő – aktiválására irányuló jogalkotási javaslat május végéig.</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A </w:t>
            </w:r>
            <w:r>
              <w:rPr>
                <w:rFonts w:ascii="Times New Roman" w:hAnsi="Times New Roman"/>
                <w:noProof/>
                <w:sz w:val="20"/>
              </w:rPr>
              <w:t>veszélyhelyzetekben történő áthelyezés állandó közös európai rendszerére irányuló javaslat 2015 végéig.</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Az uniós letelepítési rendszerre vonatkozó ajánlás május végéig, amit szükség esetén a 2016 utáni állandóbb megközelítésre vonatkozó javaslat követ.</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30 </w:t>
            </w:r>
            <w:r>
              <w:rPr>
                <w:rFonts w:ascii="Times New Roman" w:hAnsi="Times New Roman"/>
                <w:noProof/>
                <w:sz w:val="20"/>
              </w:rPr>
              <w:t>millió EUR a regionális fejlesztési és védelmi programok számára.</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Kísérleti jellegű többcélú központ létrehozása Nigerben 2015 végéig.</w:t>
            </w:r>
          </w:p>
        </w:tc>
      </w:tr>
    </w:tbl>
    <w:p w:rsidR="004C19BC" w:rsidRDefault="004C19BC">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4C19BC" w:rsidRDefault="00F16D4C">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A migrációkezelés javítására szolgáló négy pillér</w:t>
      </w:r>
    </w:p>
    <w:p w:rsidR="004C19BC" w:rsidRDefault="00F16D4C">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A Földközi-tenger medencéjének migrációs válsága az azonnali </w:t>
      </w:r>
      <w:r>
        <w:rPr>
          <w:rFonts w:ascii="Times New Roman" w:eastAsiaTheme="minorHAnsi" w:hAnsi="Times New Roman"/>
          <w:noProof/>
          <w:sz w:val="24"/>
        </w:rPr>
        <w:t>szükségleteket állította reflektorfénybe. Egyúttal azonban az uniós migrációs politika és a rendelkezésre álló eszközök strukturális korlátainak jelentős részére is rámutatott. Ez lehetőséget nyújt az EU-nak arra, hogy elismerje: szükség van rá, hogy megfe</w:t>
      </w:r>
      <w:r>
        <w:rPr>
          <w:rFonts w:ascii="Times New Roman" w:eastAsiaTheme="minorHAnsi" w:hAnsi="Times New Roman"/>
          <w:noProof/>
          <w:sz w:val="24"/>
        </w:rPr>
        <w:t>lelő egyensúlyt teremtsen migrációs politikájában, és azt az egyértelmű üzenetet küldje a polgároknak, hogy az uniós szereplők együtt jobban tudják kezelni a migrációt.</w:t>
      </w:r>
    </w:p>
    <w:p w:rsidR="004C19BC" w:rsidRDefault="00F16D4C">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Amint Juncker elnök politikai iránymutatásában kiemelte, az illegális migráció, az embe</w:t>
      </w:r>
      <w:r>
        <w:rPr>
          <w:rFonts w:ascii="Times New Roman" w:eastAsiaTheme="minorHAnsi" w:hAnsi="Times New Roman"/>
          <w:noProof/>
          <w:sz w:val="24"/>
        </w:rPr>
        <w:t>rkereskedők és embercsempészek elleni határozott küzdelmet és Európa küldő határainak biztosítását erőteljes közös menekültügyi politikával, valamint a jogszerű migrációra vonatkozó új európai politikával kell kiegészíteni. Ez egyértelműen fokozott koheren</w:t>
      </w:r>
      <w:r>
        <w:rPr>
          <w:rFonts w:ascii="Times New Roman" w:eastAsiaTheme="minorHAnsi" w:hAnsi="Times New Roman"/>
          <w:noProof/>
          <w:sz w:val="24"/>
        </w:rPr>
        <w:t>ciát tesz szükségessé a különböző politikai ágazatok, így a fejlesztési együttműködés, a kereskedelmi, foglalkoztatási, kül- és belügyi politikák között.</w:t>
      </w:r>
    </w:p>
    <w:p w:rsidR="004C19BC" w:rsidRDefault="00F16D4C">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Az EU-ba való belépés jogszerű lehetőségeinek világos és megfelelően végrehajtott kerete (a hatékony m</w:t>
      </w:r>
      <w:r>
        <w:rPr>
          <w:rFonts w:ascii="Times New Roman" w:eastAsiaTheme="minorHAnsi" w:hAnsi="Times New Roman"/>
          <w:noProof/>
          <w:sz w:val="24"/>
        </w:rPr>
        <w:t>enekültügy és vízumrendszer segítségével) csökkenti majd az illegális tartózkodást és beutazást ösztönző tényezőket, hozzájárul az európai határok biztonságának fokozásához, valamint a migrációs áramlások biztonságához.</w:t>
      </w:r>
    </w:p>
    <w:p w:rsidR="004C19BC" w:rsidRDefault="00F16D4C">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Az EU-nak továbbra is hozzá kell jár</w:t>
      </w:r>
      <w:r>
        <w:rPr>
          <w:rFonts w:ascii="Times New Roman" w:eastAsiaTheme="minorHAnsi" w:hAnsi="Times New Roman"/>
          <w:noProof/>
          <w:sz w:val="24"/>
        </w:rPr>
        <w:t>ulnia a rászorulók védelméhez. El kell ismernie továbbá, hogy a pezsgő gazdasághoz szükséges szakértelem nem minden esetben található meg azonnal az EU munkaerőpiacán, vagy időt vesz igénybe annak kifejlesztése. A tagállamok által jogszerűen befogadott mig</w:t>
      </w:r>
      <w:r>
        <w:rPr>
          <w:rFonts w:ascii="Times New Roman" w:eastAsiaTheme="minorHAnsi" w:hAnsi="Times New Roman"/>
          <w:noProof/>
          <w:sz w:val="24"/>
        </w:rPr>
        <w:t>ránsok nem kerülhetnek szembe fenntartásokkal és akadályokkal – minden segítséget meg kell kapniuk ahhoz, hogy integrálódjanak új közösségükbe. Ez központi elemét kell képezze azon értékeknek, amelyekre az európaiak büszkének lehetnek, és amelyeket világsz</w:t>
      </w:r>
      <w:r>
        <w:rPr>
          <w:rFonts w:ascii="Times New Roman" w:eastAsiaTheme="minorHAnsi" w:hAnsi="Times New Roman"/>
          <w:noProof/>
          <w:sz w:val="24"/>
        </w:rPr>
        <w:t>erte közvetíteniük kell partnereik számára.</w:t>
      </w:r>
    </w:p>
    <w:p w:rsidR="004C19BC" w:rsidRDefault="00F16D4C">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Egyúttal azonban következményekkel kell járjon az, ha a migránsok nem felelnek meg a tartózkodási kritériumoknak. A kiutasítást elkerülni igyekvő, sikertelen menedékkérők, a vízumban engedélyezett tartózkodási id</w:t>
      </w:r>
      <w:r>
        <w:rPr>
          <w:rFonts w:ascii="Times New Roman" w:eastAsiaTheme="minorHAnsi" w:hAnsi="Times New Roman"/>
          <w:noProof/>
          <w:sz w:val="24"/>
        </w:rPr>
        <w:t xml:space="preserve">őt túllépő személyek, és a folyamatosan illegálisan tartózkodó migránsok súlyos problémát jelentenek, ami aláássa a rendszerbe vetett bizalmat. Meggyőző érveket kínálnak azoknak, akik igyekeznek bírálni vagy megbélyegezni a migrációt. Megnehezítik azoknak </w:t>
      </w:r>
      <w:r>
        <w:rPr>
          <w:rFonts w:ascii="Times New Roman" w:eastAsiaTheme="minorHAnsi" w:hAnsi="Times New Roman"/>
          <w:noProof/>
          <w:sz w:val="24"/>
        </w:rPr>
        <w:t>a migránsoknak az integrációját, akik jogosan tartózkodnak az Unióban.</w:t>
      </w:r>
    </w:p>
    <w:p w:rsidR="004C19BC" w:rsidRDefault="00F16D4C">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 xml:space="preserve">Az EU-nak továbbra is párbeszédet kell folytatnia a határain túl, és erősítenie kell az együttműködést globális partnereivel, kezelnie kell a kiváltó okokat, továbbá elő kell segítenie </w:t>
      </w:r>
      <w:r>
        <w:rPr>
          <w:rFonts w:ascii="Times New Roman" w:eastAsiaTheme="minorHAnsi" w:hAnsi="Times New Roman"/>
          <w:noProof/>
          <w:sz w:val="24"/>
        </w:rPr>
        <w:t>a jogszerű migráció olyan módozatait, amelyek előmozdítják a körkörös növekedést és a fejlődést a származási és a célországokban. A főképviselő/alelnök által a globális környezetben bekövetkezett változások kezelése érdekében kezdeményezett stratégiai felü</w:t>
      </w:r>
      <w:r>
        <w:rPr>
          <w:rFonts w:ascii="Times New Roman" w:eastAsiaTheme="minorHAnsi" w:hAnsi="Times New Roman"/>
          <w:noProof/>
          <w:sz w:val="24"/>
        </w:rPr>
        <w:t>lvizsgálat és az európai szomszédságpolitika soron következő felülvizsgálata keretében szélesebb körben foglalkoznak majd ennek mérlegelésével, ami arra is irányul, hogy szomszédainkkal szoros partnerségben javaslatokat dolgozzunk ki a közös érdekeltségű ü</w:t>
      </w:r>
      <w:r>
        <w:rPr>
          <w:rFonts w:ascii="Times New Roman" w:eastAsiaTheme="minorHAnsi" w:hAnsi="Times New Roman"/>
          <w:noProof/>
          <w:sz w:val="24"/>
        </w:rPr>
        <w:t>gyekben (így a migráció tekintetében) folytatandó célzottabb együttműködés érdekében.</w:t>
      </w:r>
    </w:p>
    <w:p w:rsidR="004C19BC" w:rsidRDefault="00F16D4C">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Ez a stratégia négy szinten határozza meg a méltányos, erőteljes és realista uniós migrációs politikára irányuló intézkedéseket. Az említett intézkedések végrehajtásuk es</w:t>
      </w:r>
      <w:r>
        <w:rPr>
          <w:rFonts w:ascii="Times New Roman" w:eastAsiaTheme="minorHAnsi" w:hAnsi="Times New Roman"/>
          <w:noProof/>
          <w:sz w:val="24"/>
        </w:rPr>
        <w:t>etén a menedékjogot tiszteletben tartó migrációs politikát biztosítanak az EU-nak, megválaszolják a humanitárius kihívásokat, és olyan világos európai keretet nyújtanak a közös migrációs politika számára, amely kiállja az idő próbáját</w:t>
      </w:r>
      <w:r>
        <w:rPr>
          <w:rStyle w:val="FootnoteReference"/>
          <w:rFonts w:ascii="Times New Roman" w:eastAsiaTheme="minorHAnsi" w:hAnsi="Times New Roman"/>
          <w:noProof/>
          <w:sz w:val="24"/>
        </w:rPr>
        <w:footnoteReference w:id="13"/>
      </w:r>
      <w:r>
        <w:rPr>
          <w:rFonts w:ascii="Times New Roman" w:eastAsiaTheme="minorHAnsi" w:hAnsi="Times New Roman"/>
          <w:noProof/>
          <w:sz w:val="24"/>
        </w:rPr>
        <w:t>.</w:t>
      </w:r>
    </w:p>
    <w:p w:rsidR="004C19BC" w:rsidRDefault="00F16D4C">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b/>
          <w:noProof/>
          <w:sz w:val="28"/>
        </w:rPr>
        <w:t xml:space="preserve">III.1. </w:t>
      </w:r>
      <w:r>
        <w:rPr>
          <w:noProof/>
        </w:rPr>
        <w:tab/>
      </w:r>
      <w:r>
        <w:rPr>
          <w:rFonts w:ascii="Times New Roman" w:hAnsi="Times New Roman"/>
          <w:b/>
          <w:noProof/>
          <w:sz w:val="28"/>
        </w:rPr>
        <w:t>Az illegáli</w:t>
      </w:r>
      <w:r>
        <w:rPr>
          <w:rFonts w:ascii="Times New Roman" w:hAnsi="Times New Roman"/>
          <w:b/>
          <w:noProof/>
          <w:sz w:val="28"/>
        </w:rPr>
        <w:t>s migráció kiváltó okainak csökkentése</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Az illegális migráció mögött számos különféle késztetés húzódik meg, de a legtöbbször súlyos csalódással végződik. Az utazás gyakran sokkal veszélyesebb a vártnál, és gyakorta olyan bűnszövetkezetek jóindulatán múlik,</w:t>
      </w:r>
      <w:r>
        <w:rPr>
          <w:rFonts w:ascii="Times New Roman" w:hAnsi="Times New Roman"/>
          <w:noProof/>
          <w:sz w:val="24"/>
        </w:rPr>
        <w:t xml:space="preserve"> amelyek a nyereséget többre becsülik az emberi életnél. Azok, akik nem mennek át a menekültügy rostáján, a kiutasítás lehetőségével néznek szembe. Az illegálisan Európában tartózkodók pedig létbizonytalanságban élnek, és könnyen a kizsákmányolás áldozatáu</w:t>
      </w:r>
      <w:r>
        <w:rPr>
          <w:rFonts w:ascii="Times New Roman" w:hAnsi="Times New Roman"/>
          <w:noProof/>
          <w:sz w:val="24"/>
        </w:rPr>
        <w:t>l eshetnek. Mindenkinek érdekében áll azoknak a kiváltó okoknak a kezelése, amelyek miatt az emberek máshol kívánnak új életet kezdeni, továbbá az embercsempészek és emberkereskedők szervezeteinek felszámolása, valamint hogy világos és egyértelmű visszatér</w:t>
      </w:r>
      <w:r>
        <w:rPr>
          <w:rFonts w:ascii="Times New Roman" w:hAnsi="Times New Roman"/>
          <w:noProof/>
          <w:sz w:val="24"/>
        </w:rPr>
        <w:t>ési politikák kialakítása.</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Az illegális és kényszerű lakóhely elhagyás kiváltó okainak kezelése a harmadik országokban</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migráció sok kiváltó oka mélyen gyökerezik olyan globális kérdésekben, amelyek kezelésére az EU évek óta törekszik. El kell ismerni, ho</w:t>
      </w:r>
      <w:r>
        <w:rPr>
          <w:rFonts w:ascii="Times New Roman" w:hAnsi="Times New Roman"/>
          <w:noProof/>
          <w:sz w:val="24"/>
        </w:rPr>
        <w:t>gy a migráció az egyik olyan kiemelt terület, ahol az aktív és elkötelezett uniós külső politika közvetlen fontossággal bír az uniós polgárok számára. A polgárháború, az üldözés, a szegénység, és az éghajlatváltozás egyaránt közvetlenül és azonnal elősegít</w:t>
      </w:r>
      <w:r>
        <w:rPr>
          <w:rFonts w:ascii="Times New Roman" w:hAnsi="Times New Roman"/>
          <w:noProof/>
          <w:sz w:val="24"/>
        </w:rPr>
        <w:t>i a migrációt, így e veszélyek megelőzése és enyhítése elsődleges fontosságú a migrációs vita szempontjából.</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származási és tranzitországokkal való partnerség döntő jelentőségű, továbbá egy sor kialakult kétoldalú és regionális együttműködési keret áll </w:t>
      </w:r>
      <w:r>
        <w:rPr>
          <w:rFonts w:ascii="Times New Roman" w:hAnsi="Times New Roman"/>
          <w:noProof/>
          <w:sz w:val="24"/>
        </w:rPr>
        <w:t>rendelkezésre</w:t>
      </w:r>
      <w:r>
        <w:rPr>
          <w:rStyle w:val="FootnoteReference"/>
          <w:rFonts w:ascii="Times New Roman" w:hAnsi="Times New Roman"/>
          <w:noProof/>
          <w:sz w:val="24"/>
        </w:rPr>
        <w:footnoteReference w:id="14"/>
      </w:r>
      <w:r>
        <w:rPr>
          <w:rFonts w:ascii="Times New Roman" w:hAnsi="Times New Roman"/>
          <w:noProof/>
          <w:sz w:val="24"/>
        </w:rPr>
        <w:t xml:space="preserve">. Ezt egészíti majd ki, hogy a legfontosabb országokban fokozzák az </w:t>
      </w:r>
      <w:r>
        <w:rPr>
          <w:rFonts w:ascii="Times New Roman" w:hAnsi="Times New Roman"/>
          <w:b/>
          <w:noProof/>
          <w:sz w:val="24"/>
        </w:rPr>
        <w:t>uniós küldöttségek</w:t>
      </w:r>
      <w:r>
        <w:rPr>
          <w:rFonts w:ascii="Times New Roman" w:hAnsi="Times New Roman"/>
          <w:noProof/>
          <w:sz w:val="24"/>
        </w:rPr>
        <w:t xml:space="preserve"> migrációval kapcsolatos szerepét. A küldöttségek mindenekelőtt beszámolnak a fogadó országokbeli, migrációval kapcsolatos fejleményekről, hozzájárulnak a m</w:t>
      </w:r>
      <w:r>
        <w:rPr>
          <w:rFonts w:ascii="Times New Roman" w:hAnsi="Times New Roman"/>
          <w:noProof/>
          <w:sz w:val="24"/>
        </w:rPr>
        <w:t>igrációs kérdések fejlesztési együttműködésben történő megjelenítéséhez, valamint az összehangolt intézkedések biztosítása érdekében bevonják a fogadó országokat. Annak érdekében, hogy a bevándorlási összekötő tisztviselők hálózatával</w:t>
      </w:r>
      <w:r>
        <w:rPr>
          <w:rStyle w:val="FootnoteReference"/>
          <w:rFonts w:ascii="Times New Roman" w:hAnsi="Times New Roman"/>
          <w:noProof/>
          <w:sz w:val="24"/>
        </w:rPr>
        <w:footnoteReference w:id="15"/>
      </w:r>
      <w:r>
        <w:rPr>
          <w:rFonts w:ascii="Times New Roman" w:hAnsi="Times New Roman"/>
          <w:noProof/>
          <w:sz w:val="24"/>
        </w:rPr>
        <w:t xml:space="preserve"> és a helyi hatóságokkal, valamint a civil társadalommal szorosan együttműködve összegyűjtsék, kicseréljék és elemezzék az információkat, </w:t>
      </w:r>
      <w:r>
        <w:rPr>
          <w:rFonts w:ascii="Times New Roman" w:hAnsi="Times New Roman"/>
          <w:b/>
          <w:noProof/>
          <w:sz w:val="24"/>
        </w:rPr>
        <w:t>európai migrációs összekötő tisztviselőket</w:t>
      </w:r>
      <w:r>
        <w:rPr>
          <w:rFonts w:ascii="Times New Roman" w:hAnsi="Times New Roman"/>
          <w:noProof/>
          <w:sz w:val="24"/>
        </w:rPr>
        <w:t xml:space="preserve"> rendelnek ki a legfontosabb harmadik országokban lévő uniós küldöttségekhez</w:t>
      </w:r>
      <w:r>
        <w:rPr>
          <w:rFonts w:ascii="Times New Roman" w:hAnsi="Times New Roman"/>
          <w:noProof/>
          <w:sz w:val="24"/>
        </w:rPr>
        <w:t>.</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b/>
          <w:noProof/>
          <w:sz w:val="24"/>
        </w:rPr>
        <w:t>Törökország</w:t>
      </w:r>
      <w:r>
        <w:rPr>
          <w:rFonts w:ascii="Times New Roman" w:hAnsi="Times New Roman"/>
          <w:noProof/>
          <w:sz w:val="24"/>
        </w:rPr>
        <w:t xml:space="preserve"> jó példát jelent arra, milyen sokat lehet nyerni az együttműködés erősítésével. 2014 eleje óta Törökország 79 millió EUR hozzájárulásban részesült, hogy elősegítsük az ország menekültkezelési rendszerére nehezedő nyomás kezelésére és a Földkö</w:t>
      </w:r>
      <w:r>
        <w:rPr>
          <w:rFonts w:ascii="Times New Roman" w:hAnsi="Times New Roman"/>
          <w:noProof/>
          <w:sz w:val="24"/>
        </w:rPr>
        <w:t>zi-tenger keleti medencéjébe irányuló veszélyes utazások megelőzésére irányuló erőfeszítéseit. Az együttműködés egyik következő lépése egy, a kérdéssel foglalkozó Frontex összekötő tisztviselő törökországi kiküldése lesz.</w:t>
      </w:r>
    </w:p>
    <w:p w:rsidR="004C19BC" w:rsidRDefault="00F16D4C">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A 2014–2020-as időszakban 96,8 mil</w:t>
      </w:r>
      <w:r>
        <w:rPr>
          <w:rFonts w:ascii="Times New Roman" w:hAnsi="Times New Roman"/>
          <w:noProof/>
          <w:sz w:val="24"/>
        </w:rPr>
        <w:t xml:space="preserve">liárd EUR költségvetési előirányzattal rendelkező </w:t>
      </w:r>
      <w:r>
        <w:rPr>
          <w:rFonts w:ascii="Times New Roman" w:hAnsi="Times New Roman"/>
          <w:b/>
          <w:noProof/>
          <w:sz w:val="24"/>
        </w:rPr>
        <w:t xml:space="preserve">uniós külső együttműködési támogatás, </w:t>
      </w:r>
      <w:r>
        <w:rPr>
          <w:rFonts w:ascii="Times New Roman" w:hAnsi="Times New Roman"/>
          <w:noProof/>
          <w:sz w:val="24"/>
        </w:rPr>
        <w:t>és különösen a fejlesztési együttműködés fontos szerepet játszik az olyan globális kérdések kezelésében, mint a szegénység, a biztonság hiánya, az egyenlőtlenség és a m</w:t>
      </w:r>
      <w:r>
        <w:rPr>
          <w:rFonts w:ascii="Times New Roman" w:hAnsi="Times New Roman"/>
          <w:noProof/>
          <w:sz w:val="24"/>
        </w:rPr>
        <w:t>unkanélküliség, amelyek az illegális és kényszerű migráció legfontosabb kiváltó okai közé tartoznak. A támogatás azokat az afrikai, ázsiai és kelet-európai régiókat foglalja magába, ahonnan a legtöbb Európába érkező migráns származik.</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hosszú távú kiváltó</w:t>
      </w:r>
      <w:r>
        <w:rPr>
          <w:rFonts w:ascii="Times New Roman" w:hAnsi="Times New Roman"/>
          <w:noProof/>
          <w:sz w:val="24"/>
        </w:rPr>
        <w:t xml:space="preserve"> okok kezelése mellett az EU elősegíti a válságok hatásának helyi szintű enyhítését is. Ehhez folyamatos erőfeszítésre van szükség: a világ menekültjeinek és belső menekültjeinek több mint 70 %-a több mint öt éve vergődik az otthontalanság csapdájában. Az </w:t>
      </w:r>
      <w:r>
        <w:rPr>
          <w:rFonts w:ascii="Times New Roman" w:hAnsi="Times New Roman"/>
          <w:noProof/>
          <w:sz w:val="24"/>
        </w:rPr>
        <w:t>EU a menekültek vezető nemzetközi donora: a fejlesztési támogatásból 200 millió EUR-t fordít a folyamatban lévő projektekre, a menekülteknek és belső menekülteknek 2014 eleje óta nyújtott humanitárius segítségnyújtás pedig meghaladta az 1 milliárd EUR-t. A</w:t>
      </w:r>
      <w:r>
        <w:rPr>
          <w:rFonts w:ascii="Times New Roman" w:hAnsi="Times New Roman"/>
          <w:noProof/>
          <w:sz w:val="24"/>
        </w:rPr>
        <w:t>z említett támogatás hatásának maximalizálását célzó, jelenleg folyó stratégiai tervezés eredményei várhatóan 2016-ban mutatkoznak majd.</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Az embercsempészek és emberkereskedők elleni küzdelem</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Az embercsempészek és emberkereskedők bűnszövetkezetei elleni küz</w:t>
      </w:r>
      <w:r>
        <w:rPr>
          <w:rFonts w:ascii="Times New Roman" w:hAnsi="Times New Roman"/>
          <w:noProof/>
          <w:sz w:val="24"/>
        </w:rPr>
        <w:t>delemre irányuló fellépés elsődleges célja annak megakadályozása, hogy a bűnszövetkezetek kizsákmányolják a migránsokat</w:t>
      </w:r>
      <w:r>
        <w:rPr>
          <w:rStyle w:val="FootnoteReference"/>
          <w:rFonts w:ascii="Times New Roman" w:hAnsi="Times New Roman"/>
          <w:noProof/>
          <w:sz w:val="24"/>
        </w:rPr>
        <w:footnoteReference w:id="16"/>
      </w:r>
      <w:r>
        <w:rPr>
          <w:rFonts w:ascii="Times New Roman" w:hAnsi="Times New Roman"/>
          <w:noProof/>
          <w:sz w:val="24"/>
        </w:rPr>
        <w:t>. Emellett visszatartó hatást fejthet ki az illegális migrációt tervezőkre is. Azt kell célul kitűzni, hogy az embercsempész hálózatok m</w:t>
      </w:r>
      <w:r>
        <w:rPr>
          <w:rFonts w:ascii="Times New Roman" w:hAnsi="Times New Roman"/>
          <w:noProof/>
          <w:sz w:val="24"/>
        </w:rPr>
        <w:t>űködése alacsony kockázatú és nagyon kifizetődő tevékenységből magas kockázattal járó és kevéssé kifizetődő tevékenységgé alakuljon. A Bizottság május végéig cselekvési tervet fog előterjeszteni.</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b/>
          <w:noProof/>
          <w:sz w:val="24"/>
        </w:rPr>
        <w:t>A harmadik országokkal való együttműködés</w:t>
      </w:r>
      <w:r>
        <w:rPr>
          <w:rFonts w:ascii="Times New Roman" w:hAnsi="Times New Roman"/>
          <w:noProof/>
          <w:sz w:val="24"/>
        </w:rPr>
        <w:t xml:space="preserve"> döntő jelentőségű.</w:t>
      </w:r>
      <w:r>
        <w:rPr>
          <w:rFonts w:ascii="Times New Roman" w:hAnsi="Times New Roman"/>
          <w:noProof/>
          <w:sz w:val="24"/>
        </w:rPr>
        <w:t xml:space="preserve"> A legtöbb csempész nem Európában működik, és azok, akiket a Földközi-tengeren érkező hajókon letartóztatnak, általában az utolsó láncszemet képezik. A csempészútvonalakat ellenőrző helyi és nemzetközi bűnöző csoportok felszámolására irányuló együttműködés</w:t>
      </w:r>
      <w:r>
        <w:rPr>
          <w:rFonts w:ascii="Times New Roman" w:hAnsi="Times New Roman"/>
          <w:noProof/>
          <w:sz w:val="24"/>
        </w:rPr>
        <w:t xml:space="preserve"> lesz a leginkább hangsúlyos az alábbiakban ismertetésre kerülő intenzívebb együttműködés során.</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Az uniós ügynökségek szintén támogathatják a tagállamokat az </w:t>
      </w:r>
      <w:r>
        <w:rPr>
          <w:rFonts w:ascii="Times New Roman" w:hAnsi="Times New Roman"/>
          <w:b/>
          <w:noProof/>
          <w:sz w:val="24"/>
        </w:rPr>
        <w:t>embercsempészek bűnszövetkezetei</w:t>
      </w:r>
      <w:r>
        <w:rPr>
          <w:rFonts w:ascii="Times New Roman" w:hAnsi="Times New Roman"/>
          <w:noProof/>
          <w:sz w:val="24"/>
        </w:rPr>
        <w:t xml:space="preserve"> elleni fellépés intenzitásának növelésében.</w:t>
      </w:r>
      <w:r>
        <w:rPr>
          <w:noProof/>
        </w:rPr>
        <w:t xml:space="preserve"> </w:t>
      </w:r>
      <w:r>
        <w:rPr>
          <w:rFonts w:ascii="Times New Roman" w:hAnsi="Times New Roman"/>
          <w:noProof/>
          <w:sz w:val="24"/>
        </w:rPr>
        <w:t>Az ügynökségek minden</w:t>
      </w:r>
      <w:r>
        <w:rPr>
          <w:rFonts w:ascii="Times New Roman" w:hAnsi="Times New Roman"/>
          <w:noProof/>
          <w:sz w:val="24"/>
        </w:rPr>
        <w:t>ekelőtt a következő területeken nyújthatnak segítséget: az embercsempészek azonosítása, a velük szembeni nyomozások és büntetőeljárások, valamint vagyonuk zár alá vétele és elkobzása. A fellépés az azonnali erőfeszítésekre épül, amelyek célja a hajók azono</w:t>
      </w:r>
      <w:r>
        <w:rPr>
          <w:rFonts w:ascii="Times New Roman" w:hAnsi="Times New Roman"/>
          <w:noProof/>
          <w:sz w:val="24"/>
        </w:rPr>
        <w:t>sítása, elfogása és megsemmisítése, még mielőtt a bűnszövetkezetek felhasználhatnák azokat (lásd fent). A pénzügyi információs egységek keretében folytatott, pénzáramlásokkal kapcsolatos fokozott együttműködés, valamint a pénzügyi intézménykel, így a banko</w:t>
      </w:r>
      <w:r>
        <w:rPr>
          <w:rFonts w:ascii="Times New Roman" w:hAnsi="Times New Roman"/>
          <w:noProof/>
          <w:sz w:val="24"/>
        </w:rPr>
        <w:t>kkal, a nemzetközi pénzátutalási szolgáltatókkal és hitelkártya-kibocsátókkal újonnan létrejött együttműködés keretében támogatást fognak nyújtani a bűncselekményből származó vagyon lefoglalására és visszaszerzésére irányuló proaktív pénzügyi nyomozásokhoz</w:t>
      </w:r>
      <w:r>
        <w:rPr>
          <w:rFonts w:ascii="Times New Roman" w:hAnsi="Times New Roman"/>
          <w:noProof/>
          <w:sz w:val="24"/>
        </w:rPr>
        <w:t>, valamint a migránsok csempészetéhez kapcsolódó pénzmosás elleni fellépéshez. Ennek során élni fognak az európai biztonsági menetrendben megfogalmazott, tökéletesített információmegosztás lehetőségével.</w:t>
      </w:r>
    </w:p>
    <w:p w:rsidR="004C19BC" w:rsidRDefault="00F16D4C">
      <w:pPr>
        <w:spacing w:before="120" w:after="0" w:line="240" w:lineRule="auto"/>
        <w:jc w:val="both"/>
        <w:rPr>
          <w:noProof/>
        </w:rPr>
      </w:pPr>
      <w:r>
        <w:rPr>
          <w:rFonts w:ascii="Times New Roman" w:hAnsi="Times New Roman"/>
          <w:noProof/>
          <w:sz w:val="24"/>
        </w:rPr>
        <w:t>Annak érdekében, hogy megerősítse az embercsempész h</w:t>
      </w:r>
      <w:r>
        <w:rPr>
          <w:rFonts w:ascii="Times New Roman" w:hAnsi="Times New Roman"/>
          <w:noProof/>
          <w:sz w:val="24"/>
        </w:rPr>
        <w:t xml:space="preserve">álózatok elleni fellépéshez az ügyészek rendelkezésére álló eszközöket, a Bizottság javítani fogja az EU azon hatályos jogi keretét, amelynek célja a </w:t>
      </w:r>
      <w:r>
        <w:rPr>
          <w:rFonts w:ascii="Times New Roman" w:hAnsi="Times New Roman"/>
          <w:b/>
          <w:noProof/>
          <w:sz w:val="24"/>
        </w:rPr>
        <w:t xml:space="preserve">migránsok csempészete </w:t>
      </w:r>
      <w:r>
        <w:rPr>
          <w:rFonts w:ascii="Times New Roman" w:hAnsi="Times New Roman"/>
          <w:noProof/>
          <w:sz w:val="24"/>
        </w:rPr>
        <w:t>és az abból hasznot húzó személyek elleni fellépés</w:t>
      </w:r>
      <w:r>
        <w:rPr>
          <w:rStyle w:val="FootnoteReference"/>
          <w:rFonts w:ascii="Times New Roman" w:hAnsi="Times New Roman"/>
          <w:noProof/>
          <w:sz w:val="24"/>
        </w:rPr>
        <w:footnoteReference w:id="17"/>
      </w:r>
      <w:r>
        <w:rPr>
          <w:rFonts w:ascii="Times New Roman" w:hAnsi="Times New Roman"/>
          <w:noProof/>
          <w:sz w:val="24"/>
        </w:rPr>
        <w:t>. Az emberkereskedő hálózatok ell</w:t>
      </w:r>
      <w:r>
        <w:rPr>
          <w:rFonts w:ascii="Times New Roman" w:hAnsi="Times New Roman"/>
          <w:noProof/>
          <w:sz w:val="24"/>
        </w:rPr>
        <w:t xml:space="preserve">eni konkrét intézkedések meghozatala és az emberkereskedelem áldozatainak történő segítségnyújtás érdekében a Bizottság emellett kiegészíti az </w:t>
      </w:r>
      <w:r>
        <w:rPr>
          <w:rFonts w:ascii="Times New Roman" w:hAnsi="Times New Roman"/>
          <w:b/>
          <w:noProof/>
          <w:sz w:val="24"/>
        </w:rPr>
        <w:t xml:space="preserve">emberkereskedelem </w:t>
      </w:r>
      <w:r>
        <w:rPr>
          <w:rFonts w:ascii="Times New Roman" w:hAnsi="Times New Roman"/>
          <w:noProof/>
          <w:sz w:val="24"/>
        </w:rPr>
        <w:t>elleni jelenlegi stratégiában előirányzott intézkedéseket, valamint megvizsgálja, miként javíth</w:t>
      </w:r>
      <w:r>
        <w:rPr>
          <w:rFonts w:ascii="Times New Roman" w:hAnsi="Times New Roman"/>
          <w:noProof/>
          <w:sz w:val="24"/>
        </w:rPr>
        <w:t>ató tovább ez a munka 2016-ban</w:t>
      </w:r>
      <w:r>
        <w:rPr>
          <w:rStyle w:val="FootnoteReference"/>
          <w:rFonts w:ascii="Times New Roman" w:hAnsi="Times New Roman"/>
          <w:noProof/>
          <w:sz w:val="24"/>
        </w:rPr>
        <w:footnoteReference w:id="18"/>
      </w:r>
      <w:r>
        <w:rPr>
          <w:rFonts w:ascii="Times New Roman" w:hAnsi="Times New Roman"/>
          <w:noProof/>
          <w:sz w:val="24"/>
        </w:rPr>
        <w:t>. A kizsákmányolás egy további lehetséges forrását az EU-n belüli munkaadók jelentik. A jogszerű migránsok jobb munkaerőpiaci integrációjának elősegítése mellett a Bizottság fokozza a harmadik országbeli állampolgárok illegál</w:t>
      </w:r>
      <w:r>
        <w:rPr>
          <w:rFonts w:ascii="Times New Roman" w:hAnsi="Times New Roman"/>
          <w:noProof/>
          <w:sz w:val="24"/>
        </w:rPr>
        <w:t xml:space="preserve">is foglalkoztatása elleni küzdelmet, többek között </w:t>
      </w:r>
      <w:r>
        <w:rPr>
          <w:rFonts w:ascii="Times New Roman" w:hAnsi="Times New Roman"/>
          <w:b/>
          <w:noProof/>
          <w:sz w:val="24"/>
        </w:rPr>
        <w:t>a munkáltatókkal szembeni szankciókról szóló irányelv</w:t>
      </w:r>
      <w:r>
        <w:rPr>
          <w:rStyle w:val="FootnoteReference"/>
          <w:rFonts w:ascii="Times New Roman" w:hAnsi="Times New Roman"/>
          <w:noProof/>
          <w:sz w:val="24"/>
        </w:rPr>
        <w:footnoteReference w:id="19"/>
      </w:r>
      <w:r>
        <w:rPr>
          <w:rFonts w:ascii="Times New Roman" w:hAnsi="Times New Roman"/>
          <w:noProof/>
          <w:sz w:val="24"/>
        </w:rPr>
        <w:t xml:space="preserve"> végrehajtásának és alkalmazásának javítása révén. Ez az irányelv megtiltja az Unióban nem jogszerűen tartózkodó harmadik országbeli állampolgárok fogl</w:t>
      </w:r>
      <w:r>
        <w:rPr>
          <w:rFonts w:ascii="Times New Roman" w:hAnsi="Times New Roman"/>
          <w:noProof/>
          <w:sz w:val="24"/>
        </w:rPr>
        <w:t>alkoztatását.</w:t>
      </w:r>
      <w:r>
        <w:rPr>
          <w:noProof/>
        </w:rPr>
        <w:t xml:space="preserve"> </w:t>
      </w:r>
      <w:r>
        <w:rPr>
          <w:rFonts w:ascii="Times New Roman" w:hAnsi="Times New Roman"/>
          <w:noProof/>
          <w:sz w:val="24"/>
        </w:rPr>
        <w:t>A Bizottság továbbá kiemelten kezeli az ezen irányelvvel kapcsolatos kötelezettségszegési eljárásokat.</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Visszatérés</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Az illegális migráció egyik ösztönzője az a tudat, hogy az EU visszatérési rendszere – amely az illegális, illetve azon migráns</w:t>
      </w:r>
      <w:r>
        <w:rPr>
          <w:rFonts w:ascii="Times New Roman" w:hAnsi="Times New Roman"/>
          <w:noProof/>
          <w:sz w:val="24"/>
        </w:rPr>
        <w:t>ok kiutasítására szolgál, akiknek a menedékjog iránti kérelmét elutasították – nem működik tökéletesen. Az embercsempész hálózatok gyakran kihasználják azt, hogy viszonylag kevés kiutasítási határozat kerül végrehajtásra – a 2013-ban kiadott kiutasítási ha</w:t>
      </w:r>
      <w:r>
        <w:rPr>
          <w:rFonts w:ascii="Times New Roman" w:hAnsi="Times New Roman"/>
          <w:noProof/>
          <w:sz w:val="24"/>
        </w:rPr>
        <w:t>tározatoknak mindössze 39,2 %-a esetében került sor tényleges végrehajtásra.</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A végrehajtási arány növelése érdekében először is arról kell gondoskodnunk, hogy a harmadik országok eleget tegyenek nemzetközi kötelezettségüknek és visszafogadják az Európában </w:t>
      </w:r>
      <w:r>
        <w:rPr>
          <w:rFonts w:ascii="Times New Roman" w:hAnsi="Times New Roman"/>
          <w:noProof/>
          <w:sz w:val="24"/>
        </w:rPr>
        <w:t>illegálisan tartózkodó állampolgáraikat</w:t>
      </w:r>
      <w:r>
        <w:rPr>
          <w:rStyle w:val="FootnoteReference"/>
          <w:rFonts w:ascii="Times New Roman" w:hAnsi="Times New Roman"/>
          <w:noProof/>
          <w:sz w:val="24"/>
        </w:rPr>
        <w:footnoteReference w:id="20"/>
      </w:r>
      <w:r>
        <w:rPr>
          <w:rFonts w:ascii="Times New Roman" w:hAnsi="Times New Roman"/>
          <w:noProof/>
          <w:sz w:val="24"/>
        </w:rPr>
        <w:t xml:space="preserve">. Az EU-nak készen kell állnia arra, hogy a rendelkezésére álló valamennyi multiplikátort és ösztönzőt igénybe vegye. A Pakisztánba és Bangladesbe irányuló, közelmúltban elfogadott </w:t>
      </w:r>
      <w:r>
        <w:rPr>
          <w:rFonts w:ascii="Times New Roman" w:hAnsi="Times New Roman"/>
          <w:b/>
          <w:noProof/>
          <w:sz w:val="24"/>
        </w:rPr>
        <w:t xml:space="preserve">kísérleti visszatérési program </w:t>
      </w:r>
      <w:r>
        <w:rPr>
          <w:rFonts w:ascii="Times New Roman" w:hAnsi="Times New Roman"/>
          <w:noProof/>
          <w:sz w:val="24"/>
        </w:rPr>
        <w:t>fontos gyakorlati útmutatásul szolgál a következő lépések tekintetében</w:t>
      </w:r>
      <w:r>
        <w:rPr>
          <w:rStyle w:val="FootnoteReference"/>
          <w:rFonts w:ascii="Times New Roman" w:hAnsi="Times New Roman"/>
          <w:noProof/>
          <w:sz w:val="24"/>
        </w:rPr>
        <w:footnoteReference w:id="21"/>
      </w:r>
      <w:r>
        <w:rPr>
          <w:rFonts w:ascii="Times New Roman" w:hAnsi="Times New Roman"/>
          <w:noProof/>
          <w:sz w:val="24"/>
        </w:rPr>
        <w:t>. Az EU támogatások felajánlása – így a visszatérések kezelésére vonatkozó kapacitásépítés, tájékoztatási és tudatosság-erősítő kampányok, valamint a visszailleszkedési intézkedések tám</w:t>
      </w:r>
      <w:r>
        <w:rPr>
          <w:rFonts w:ascii="Times New Roman" w:hAnsi="Times New Roman"/>
          <w:noProof/>
          <w:sz w:val="24"/>
        </w:rPr>
        <w:t xml:space="preserve">ogatása – révén </w:t>
      </w:r>
      <w:r>
        <w:rPr>
          <w:rFonts w:ascii="Times New Roman" w:hAnsi="Times New Roman"/>
          <w:b/>
          <w:noProof/>
          <w:sz w:val="24"/>
        </w:rPr>
        <w:t>segíti a harmadik országokat kötelezettségeik teljesítésében</w:t>
      </w:r>
      <w:r>
        <w:rPr>
          <w:rFonts w:ascii="Times New Roman" w:hAnsi="Times New Roman"/>
          <w:noProof/>
          <w:sz w:val="24"/>
        </w:rPr>
        <w:t>. A Bizottság emellett felülvizsgálja a visszafogadási megállapodásokra vonatkozó megközelítését</w:t>
      </w:r>
      <w:r>
        <w:rPr>
          <w:rStyle w:val="FootnoteReference"/>
          <w:rFonts w:ascii="Times New Roman" w:hAnsi="Times New Roman"/>
          <w:noProof/>
          <w:sz w:val="24"/>
        </w:rPr>
        <w:footnoteReference w:id="22"/>
      </w:r>
      <w:r>
        <w:rPr>
          <w:rFonts w:ascii="Times New Roman" w:hAnsi="Times New Roman"/>
          <w:noProof/>
          <w:sz w:val="24"/>
        </w:rPr>
        <w:t>, és előre sorolja az illegális migránsok legfontosabb származási országait.</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A tagá</w:t>
      </w:r>
      <w:r>
        <w:rPr>
          <w:rFonts w:ascii="Times New Roman" w:hAnsi="Times New Roman"/>
          <w:noProof/>
          <w:sz w:val="24"/>
        </w:rPr>
        <w:t xml:space="preserve">llamoknak ezzel egyidejűleg alkalmazniuk kell a </w:t>
      </w:r>
      <w:r>
        <w:rPr>
          <w:rFonts w:ascii="Times New Roman" w:hAnsi="Times New Roman"/>
          <w:b/>
          <w:noProof/>
          <w:sz w:val="24"/>
        </w:rPr>
        <w:t>visszatérési irányelvet</w:t>
      </w:r>
      <w:r>
        <w:rPr>
          <w:rStyle w:val="FootnoteReference"/>
          <w:rFonts w:ascii="Times New Roman" w:hAnsi="Times New Roman"/>
          <w:noProof/>
          <w:sz w:val="24"/>
        </w:rPr>
        <w:footnoteReference w:id="23"/>
      </w:r>
      <w:r>
        <w:rPr>
          <w:rFonts w:ascii="Times New Roman" w:hAnsi="Times New Roman"/>
          <w:noProof/>
          <w:sz w:val="24"/>
        </w:rPr>
        <w:t>. A Bizottság kiemelt feladatnak tekinti az irányelv végrehajtásának figyelemmel kísérését, ugyanis a gyorsabb visszatérési rendszer együtt jár azoknak az eljárásoknak és normáknak a t</w:t>
      </w:r>
      <w:r>
        <w:rPr>
          <w:rFonts w:ascii="Times New Roman" w:hAnsi="Times New Roman"/>
          <w:noProof/>
          <w:sz w:val="24"/>
        </w:rPr>
        <w:t xml:space="preserve">iszteletben tartásával, amelyek lehetővé teszik, hogy Európa – az alapvető jogokkal és a </w:t>
      </w:r>
      <w:r>
        <w:rPr>
          <w:rFonts w:ascii="Times New Roman" w:hAnsi="Times New Roman"/>
          <w:i/>
          <w:noProof/>
          <w:sz w:val="24"/>
        </w:rPr>
        <w:t>visszaküldés tilalmának</w:t>
      </w:r>
      <w:r>
        <w:rPr>
          <w:rFonts w:ascii="Times New Roman" w:hAnsi="Times New Roman"/>
          <w:noProof/>
          <w:sz w:val="24"/>
        </w:rPr>
        <w:t xml:space="preserve"> elvével</w:t>
      </w:r>
      <w:r>
        <w:rPr>
          <w:rStyle w:val="FootnoteReference"/>
          <w:rFonts w:ascii="Times New Roman" w:hAnsi="Times New Roman"/>
          <w:i/>
          <w:noProof/>
          <w:sz w:val="24"/>
        </w:rPr>
        <w:footnoteReference w:id="24"/>
      </w:r>
      <w:r>
        <w:rPr>
          <w:rFonts w:ascii="Times New Roman" w:hAnsi="Times New Roman"/>
          <w:noProof/>
          <w:sz w:val="24"/>
        </w:rPr>
        <w:t xml:space="preserve"> összhangban – humánus és méltóságteljes bánásmódot biztosítson a visszatérőknek és arányosan alkalmazzon kényszerítő intézkedéseket. A</w:t>
      </w:r>
      <w:r>
        <w:rPr>
          <w:rFonts w:ascii="Times New Roman" w:hAnsi="Times New Roman"/>
          <w:noProof/>
          <w:sz w:val="24"/>
        </w:rPr>
        <w:t xml:space="preserve"> schengeni értékelési mechanizmus keretében jelenleg alaposan vizsgálják az illegális migránsok visszatérésére vonatkozó uniós szabályok végrehajtását, a „</w:t>
      </w:r>
      <w:r>
        <w:rPr>
          <w:rFonts w:ascii="Times New Roman" w:hAnsi="Times New Roman"/>
          <w:b/>
          <w:noProof/>
          <w:sz w:val="24"/>
        </w:rPr>
        <w:t>visszatérési kézikönyv</w:t>
      </w:r>
      <w:r>
        <w:rPr>
          <w:rFonts w:ascii="Times New Roman" w:hAnsi="Times New Roman"/>
          <w:noProof/>
          <w:sz w:val="24"/>
        </w:rPr>
        <w:t>” pedig közös iránymutatásokkal, bevált módszerekkel és ajánlásokkal segíti a t</w:t>
      </w:r>
      <w:r>
        <w:rPr>
          <w:rFonts w:ascii="Times New Roman" w:hAnsi="Times New Roman"/>
          <w:noProof/>
          <w:sz w:val="24"/>
        </w:rPr>
        <w:t>agállamokat.</w:t>
      </w:r>
    </w:p>
    <w:p w:rsidR="004C19BC" w:rsidRDefault="00F16D4C">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Jóllehet az EU-ban vannak közös visszatérési szabályok, hiányzik a hatékony műveleti együttműködés. A Frontex jelenleg komoly támogatást nyújt a tagállamoknak, de megbízatását meg kell erősíteni ahhoz, hogy átfogó műveleti segítségnyújtási kap</w:t>
      </w:r>
      <w:r>
        <w:rPr>
          <w:rFonts w:ascii="Times New Roman" w:hAnsi="Times New Roman"/>
          <w:noProof/>
          <w:sz w:val="24"/>
        </w:rPr>
        <w:t xml:space="preserve">acitása fokozható legyen. A Frontex most csupán a visszatérési küldetéseket koordinálhatja, de saját maga nem kezdeményezhet ilyeneket. A folyamatban lévő és idén lezárandó értékelés alapján a Bizottság javaslatot fog tenni a </w:t>
      </w:r>
      <w:r>
        <w:rPr>
          <w:rFonts w:ascii="Times New Roman" w:hAnsi="Times New Roman"/>
          <w:b/>
          <w:noProof/>
          <w:sz w:val="24"/>
        </w:rPr>
        <w:t>Frontex jogalapjának módosítás</w:t>
      </w:r>
      <w:r>
        <w:rPr>
          <w:rFonts w:ascii="Times New Roman" w:hAnsi="Times New Roman"/>
          <w:b/>
          <w:noProof/>
          <w:sz w:val="24"/>
        </w:rPr>
        <w:t>ára</w:t>
      </w:r>
      <w:r>
        <w:rPr>
          <w:rFonts w:ascii="Times New Roman" w:hAnsi="Times New Roman"/>
          <w:noProof/>
          <w:sz w:val="24"/>
        </w:rPr>
        <w:t>, hogy erősítse annak a visszatérésben játszott szerepét.</w:t>
      </w:r>
      <w:bookmarkStart w:id="1" w:name="_Ref419122858"/>
      <w:r>
        <w:rPr>
          <w:rStyle w:val="FootnoteReference"/>
          <w:rFonts w:ascii="Times New Roman" w:hAnsi="Times New Roman"/>
          <w:noProof/>
          <w:sz w:val="24"/>
        </w:rPr>
        <w:footnoteReference w:id="25"/>
      </w:r>
      <w:bookmarkEnd w:id="1"/>
    </w:p>
    <w:p w:rsidR="004C19BC" w:rsidRDefault="004C19BC">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4C19BC">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19BC" w:rsidRDefault="00F16D4C">
            <w:pPr>
              <w:jc w:val="center"/>
              <w:rPr>
                <w:rFonts w:ascii="Times New Roman" w:hAnsi="Times New Roman" w:cs="Times New Roman"/>
                <w:b/>
                <w:i/>
                <w:noProof/>
                <w:sz w:val="20"/>
                <w:szCs w:val="20"/>
              </w:rPr>
            </w:pPr>
            <w:r>
              <w:rPr>
                <w:rFonts w:ascii="Times New Roman" w:hAnsi="Times New Roman"/>
                <w:b/>
                <w:i/>
                <w:noProof/>
                <w:sz w:val="20"/>
              </w:rPr>
              <w:t>Fő intézkedések</w:t>
            </w:r>
          </w:p>
          <w:p w:rsidR="004C19BC" w:rsidRDefault="004C19BC">
            <w:pPr>
              <w:rPr>
                <w:rFonts w:ascii="Times New Roman" w:hAnsi="Times New Roman" w:cs="Times New Roman"/>
                <w:noProof/>
                <w:sz w:val="20"/>
                <w:szCs w:val="20"/>
              </w:rPr>
            </w:pPr>
          </w:p>
          <w:p w:rsidR="004C19BC" w:rsidRDefault="004C19BC">
            <w:pPr>
              <w:rPr>
                <w:rFonts w:ascii="Times New Roman" w:hAnsi="Times New Roman" w:cs="Times New Roman"/>
                <w:noProof/>
                <w:sz w:val="20"/>
                <w:szCs w:val="20"/>
              </w:rPr>
            </w:pPr>
          </w:p>
          <w:p w:rsidR="004C19BC" w:rsidRDefault="004C19BC">
            <w:pPr>
              <w:rPr>
                <w:rFonts w:ascii="Times New Roman" w:hAnsi="Times New Roman" w:cs="Times New Roman"/>
                <w:noProof/>
                <w:sz w:val="20"/>
                <w:szCs w:val="20"/>
              </w:rPr>
            </w:pPr>
          </w:p>
          <w:p w:rsidR="004C19BC" w:rsidRDefault="004C19BC">
            <w:pPr>
              <w:rPr>
                <w:rFonts w:ascii="Times New Roman" w:hAnsi="Times New Roman" w:cs="Times New Roman"/>
                <w:noProof/>
                <w:sz w:val="20"/>
                <w:szCs w:val="20"/>
              </w:rPr>
            </w:pPr>
          </w:p>
          <w:p w:rsidR="004C19BC" w:rsidRDefault="004C19BC">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kiváltó okok kezelése fejlesztési együttműködés és humanitárius segítségnyújtás révén.</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migráció kérdésének az uniós küldöttség alapvető feladatává tétele.</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Az </w:t>
            </w:r>
            <w:r>
              <w:rPr>
                <w:rFonts w:ascii="Times New Roman" w:hAnsi="Times New Roman"/>
                <w:noProof/>
                <w:sz w:val="20"/>
              </w:rPr>
              <w:t>embercsempészetre vonatkozó cselekvési terv 2015 májusában.</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Határozottabb fellépést azért, hogy a harmadik országok eleget tegyenek az állampolgáraik visszafogadására vonatkozó kötelezettségeiknek.</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Visszatérési Kézikönyv elfogadása, valamint a visszatérési</w:t>
            </w:r>
            <w:r>
              <w:rPr>
                <w:rFonts w:ascii="Times New Roman" w:hAnsi="Times New Roman"/>
                <w:noProof/>
                <w:sz w:val="20"/>
              </w:rPr>
              <w:t xml:space="preserve"> irányelv végrehajtásának nyomon követése.</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Frontex jogalapjának megerősítése és módosítása az ügynökség visszatérésben játszott szerepének erősítése érdekében.</w:t>
            </w:r>
          </w:p>
        </w:tc>
      </w:tr>
    </w:tbl>
    <w:p w:rsidR="004C19BC" w:rsidRDefault="004C19BC">
      <w:pPr>
        <w:pStyle w:val="BodyText"/>
        <w:spacing w:before="120" w:after="0" w:line="240" w:lineRule="auto"/>
        <w:jc w:val="both"/>
        <w:rPr>
          <w:rFonts w:ascii="Times New Roman" w:hAnsi="Times New Roman" w:cs="Times New Roman"/>
          <w:bCs/>
          <w:noProof/>
          <w:sz w:val="20"/>
          <w:szCs w:val="20"/>
        </w:rPr>
      </w:pPr>
    </w:p>
    <w:p w:rsidR="004C19BC" w:rsidRDefault="00F16D4C">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Határigazgatás – életmentés és a külső határok biztosítása</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Földközi-tengeren </w:t>
      </w:r>
      <w:r>
        <w:rPr>
          <w:rFonts w:ascii="Times New Roman" w:hAnsi="Times New Roman"/>
          <w:noProof/>
          <w:sz w:val="24"/>
        </w:rPr>
        <w:t>kialakult jelenlegi helyzet kezelésére szolgáló, fentiekben ismertetett intézkedéseket sürgősségi intézkedésként dolgoztuk ki, a konkrét válságra válaszul. Illúzió volna abban reménykedni, hogy olyan rövid távú szükségletről van szó, amely többet nem fordu</w:t>
      </w:r>
      <w:r>
        <w:rPr>
          <w:rFonts w:ascii="Times New Roman" w:hAnsi="Times New Roman"/>
          <w:noProof/>
          <w:sz w:val="24"/>
        </w:rPr>
        <w:t>l majd elő. A Frontex megerősítését és a tagállamok közötti együttműködés új formáinak kialakítását fenntartandó támogatási és a szolidaritási szintnek kell tekinteni.</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Triton</w:t>
      </w:r>
      <w:r>
        <w:rPr>
          <w:rFonts w:ascii="Times New Roman" w:hAnsi="Times New Roman"/>
          <w:noProof/>
          <w:sz w:val="24"/>
        </w:rPr>
        <w:t xml:space="preserve"> műveletei esetében elfogadott kötelezettségvállalási szabályokat mintának kell </w:t>
      </w:r>
      <w:r>
        <w:rPr>
          <w:rFonts w:ascii="Times New Roman" w:hAnsi="Times New Roman"/>
          <w:noProof/>
          <w:sz w:val="24"/>
        </w:rPr>
        <w:t xml:space="preserve">tekinteni a külső szárazföldi és tengeri határ egészére vonatkozó jövőbeni intézkedésekhez. Minden válság különböző, de az EU-nak le kell vonnia a tanulságokat, és fel kell készülnie arra, hogy a válságoknak elébe menve, nem pusztán azokra reagálva lépjen </w:t>
      </w:r>
      <w:r>
        <w:rPr>
          <w:rFonts w:ascii="Times New Roman" w:hAnsi="Times New Roman"/>
          <w:noProof/>
          <w:sz w:val="24"/>
        </w:rPr>
        <w:t>fel.</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parti őrségek az életmentésben és a tengeri határok biztosításában egyaránt döntő szerepet játszanak. Hatékonyságuk az együttműködés fokozása révén javítható. A Bizottság az érintett ügynökségekkel együtt támogatja az említett együttműködést, és meg</w:t>
      </w:r>
      <w:r>
        <w:rPr>
          <w:rFonts w:ascii="Times New Roman" w:hAnsi="Times New Roman"/>
          <w:noProof/>
          <w:sz w:val="24"/>
        </w:rPr>
        <w:t>felelő esetben bizonyos határőrizeti feladatok további uniós szintű összevonását.</w:t>
      </w:r>
    </w:p>
    <w:p w:rsidR="004C19BC" w:rsidRDefault="00F16D4C">
      <w:pPr>
        <w:spacing w:before="120" w:after="0" w:line="240" w:lineRule="auto"/>
        <w:jc w:val="both"/>
        <w:rPr>
          <w:rFonts w:ascii="Times New Roman" w:hAnsi="Times New Roman"/>
          <w:noProof/>
          <w:sz w:val="24"/>
          <w:szCs w:val="24"/>
        </w:rPr>
      </w:pPr>
      <w:r>
        <w:rPr>
          <w:rFonts w:ascii="Times New Roman" w:hAnsi="Times New Roman"/>
          <w:noProof/>
          <w:sz w:val="24"/>
        </w:rPr>
        <w:t xml:space="preserve">A hatékony műveleti készültséghez egyre inkább szükség van a </w:t>
      </w:r>
      <w:r>
        <w:rPr>
          <w:rFonts w:ascii="Times New Roman" w:hAnsi="Times New Roman"/>
          <w:b/>
          <w:noProof/>
          <w:sz w:val="24"/>
        </w:rPr>
        <w:t>kockázati tendenciák</w:t>
      </w:r>
      <w:r>
        <w:rPr>
          <w:rFonts w:ascii="Times New Roman" w:hAnsi="Times New Roman"/>
          <w:noProof/>
          <w:sz w:val="24"/>
        </w:rPr>
        <w:t xml:space="preserve"> azonosítására.</w:t>
      </w:r>
      <w:r>
        <w:rPr>
          <w:noProof/>
        </w:rPr>
        <w:t xml:space="preserve"> </w:t>
      </w:r>
      <w:r>
        <w:rPr>
          <w:rFonts w:ascii="Times New Roman" w:hAnsi="Times New Roman"/>
          <w:noProof/>
          <w:sz w:val="24"/>
        </w:rPr>
        <w:t>Az Eurosur</w:t>
      </w:r>
      <w:r>
        <w:rPr>
          <w:rFonts w:ascii="Times New Roman" w:hAnsi="Times New Roman"/>
          <w:noProof/>
          <w:sz w:val="24"/>
          <w:vertAlign w:val="superscript"/>
        </w:rPr>
        <w:footnoteReference w:id="26"/>
      </w:r>
      <w:r>
        <w:rPr>
          <w:rFonts w:ascii="Times New Roman" w:hAnsi="Times New Roman"/>
          <w:noProof/>
          <w:sz w:val="24"/>
        </w:rPr>
        <w:t xml:space="preserve"> kiépítése jó példa és alapul szolgálhat; a tengeri határok őrizet</w:t>
      </w:r>
      <w:r>
        <w:rPr>
          <w:rFonts w:ascii="Times New Roman" w:hAnsi="Times New Roman"/>
          <w:noProof/>
          <w:sz w:val="24"/>
        </w:rPr>
        <w:t>éért felelős valamennyi polgári és katonai hatóságnak teljes körűen igénybe kell vennie. Az érintett ügynökségeknek ki kell dolgozniuk a tényleges helyzetképet, hogy hozzájáruljanak a politikai döntéshozatalhoz, valamint a nemzeti és európai szintű reagálá</w:t>
      </w:r>
      <w:r>
        <w:rPr>
          <w:rFonts w:ascii="Times New Roman" w:hAnsi="Times New Roman"/>
          <w:noProof/>
          <w:sz w:val="24"/>
        </w:rPr>
        <w:t>si előkészületekhez.</w:t>
      </w:r>
      <w:r>
        <w:rPr>
          <w:rStyle w:val="FootnoteReference"/>
          <w:rFonts w:ascii="Times New Roman" w:hAnsi="Times New Roman"/>
          <w:noProof/>
          <w:sz w:val="24"/>
        </w:rPr>
        <w:footnoteReference w:id="27"/>
      </w:r>
    </w:p>
    <w:p w:rsidR="004C19BC" w:rsidRDefault="00F16D4C">
      <w:pPr>
        <w:spacing w:before="120" w:after="120" w:line="240" w:lineRule="auto"/>
        <w:jc w:val="both"/>
        <w:rPr>
          <w:rFonts w:ascii="Times New Roman" w:hAnsi="Times New Roman" w:cs="Times New Roman"/>
          <w:noProof/>
          <w:sz w:val="24"/>
          <w:szCs w:val="24"/>
        </w:rPr>
      </w:pPr>
      <w:r>
        <w:rPr>
          <w:rFonts w:ascii="Times New Roman" w:hAnsi="Times New Roman"/>
          <w:noProof/>
          <w:sz w:val="24"/>
        </w:rPr>
        <w:t>Az EU bevált politikával rendelkezik a téren, hogy segítse a tagállamokat a megbízható és következetes külső határőrizet kiépítésében. A Belső Biztonsági Alap már jelenleg is több mint 2,7 milliárd EUR-t nyújt a tagállamoknak a 2014–2</w:t>
      </w:r>
      <w:r>
        <w:rPr>
          <w:rFonts w:ascii="Times New Roman" w:hAnsi="Times New Roman"/>
          <w:noProof/>
          <w:sz w:val="24"/>
        </w:rPr>
        <w:t xml:space="preserve">020 közötti időszakban. Míg a határellenőrzési szabályok kialakultak, a határigazgatás jelenleg nem egységes: sokféle eltérő ágazati dokumentumra és eszközre épül. A Bizottság 2016-ban mindezt összefoglalja a </w:t>
      </w:r>
      <w:r>
        <w:rPr>
          <w:rFonts w:ascii="Times New Roman" w:hAnsi="Times New Roman"/>
          <w:b/>
          <w:noProof/>
          <w:sz w:val="24"/>
        </w:rPr>
        <w:t xml:space="preserve">határigazgatás uniós szabványában, amelynek az </w:t>
      </w:r>
      <w:r>
        <w:rPr>
          <w:rFonts w:ascii="Times New Roman" w:hAnsi="Times New Roman"/>
          <w:b/>
          <w:noProof/>
          <w:sz w:val="24"/>
        </w:rPr>
        <w:t>a célja,</w:t>
      </w:r>
      <w:r>
        <w:rPr>
          <w:rFonts w:ascii="Times New Roman" w:hAnsi="Times New Roman"/>
          <w:noProof/>
          <w:sz w:val="24"/>
        </w:rPr>
        <w:t xml:space="preserve"> hogy az Unió külső határigazgatásának valamennyi kérdését lefedje.</w:t>
      </w:r>
    </w:p>
    <w:p w:rsidR="004C19BC" w:rsidRDefault="00F16D4C">
      <w:pPr>
        <w:spacing w:before="120" w:after="120" w:line="240" w:lineRule="auto"/>
        <w:jc w:val="both"/>
        <w:rPr>
          <w:rFonts w:ascii="Times New Roman" w:hAnsi="Times New Roman"/>
          <w:noProof/>
          <w:sz w:val="24"/>
        </w:rPr>
      </w:pPr>
      <w:r>
        <w:rPr>
          <w:rFonts w:ascii="Times New Roman" w:hAnsi="Times New Roman"/>
          <w:noProof/>
          <w:sz w:val="24"/>
        </w:rPr>
        <w:t>A hatékonyabb határigazgatás azzal is együtt jár, hogy jobban kihasználjuk az információs rendszerek és technológiák kínálta lehetőségeket. Az EU jelenleg három nagyméretű informat</w:t>
      </w:r>
      <w:r>
        <w:rPr>
          <w:rFonts w:ascii="Times New Roman" w:hAnsi="Times New Roman"/>
          <w:noProof/>
          <w:sz w:val="24"/>
        </w:rPr>
        <w:t>ikai rendszerrel rendelkezik, amelyek a menedékkérelmek adminisztrációját (Eurodac), a vízumkérelmeket (a Vízuminformációs Rendszer), valamint az azon személyekkel vagy tárgyakkal kapcsolatos információk megosztását kezelik, akikkel szemben az illetékes ha</w:t>
      </w:r>
      <w:r>
        <w:rPr>
          <w:rFonts w:ascii="Times New Roman" w:hAnsi="Times New Roman"/>
          <w:noProof/>
          <w:sz w:val="24"/>
        </w:rPr>
        <w:t>tóságok figyelmeztető jelzést hoztak létre (Schengeni Információs Rendszer). E három rendszer maradéktalan kihasználása előnyökkel járhat a határigazgatás számára, valamint fokozhatja Európa kapacitását az illegális migráció visszaszorításra és az illegáli</w:t>
      </w:r>
      <w:r>
        <w:rPr>
          <w:rFonts w:ascii="Times New Roman" w:hAnsi="Times New Roman"/>
          <w:noProof/>
          <w:sz w:val="24"/>
        </w:rPr>
        <w:t xml:space="preserve">s migránsok kiutasítására. Az </w:t>
      </w:r>
      <w:r>
        <w:rPr>
          <w:rFonts w:ascii="Times New Roman" w:hAnsi="Times New Roman"/>
          <w:b/>
          <w:noProof/>
          <w:sz w:val="24"/>
        </w:rPr>
        <w:t>intelligens határellenőrzési</w:t>
      </w:r>
      <w:r>
        <w:rPr>
          <w:rFonts w:ascii="Times New Roman" w:hAnsi="Times New Roman"/>
          <w:noProof/>
          <w:sz w:val="24"/>
        </w:rPr>
        <w:t xml:space="preserve"> kezdeményezéssel új szakasz kezdődik, amelynek célja a határátkelőhelyek hatékonyságának növelése, hogy megkönnyítsék a jóhiszemű harmadik országbeli utazók nagy többségének határátkelését, ugyanak</w:t>
      </w:r>
      <w:r>
        <w:rPr>
          <w:rFonts w:ascii="Times New Roman" w:hAnsi="Times New Roman"/>
          <w:noProof/>
          <w:sz w:val="24"/>
        </w:rPr>
        <w:t>kor pedig a harmadik országok állampolgárainak valamennyi határon keresztüli mozgására kiterjedő nyilvántartás létrehozásával – az arányosság elvét maradéktalanul tiszteletben tartva – erősítsék az illegális migráció elleni küzdelmet. Az első javaslatról f</w:t>
      </w:r>
      <w:r>
        <w:rPr>
          <w:rFonts w:ascii="Times New Roman" w:hAnsi="Times New Roman"/>
          <w:noProof/>
          <w:sz w:val="24"/>
        </w:rPr>
        <w:t>olytatott kezdeti vitát követően, valamint a társjogalkotók által felvetett aggodalmakat figyelembe véve a Bizottság 2016 elején szándékozik előterjeszteni az intelligens határellenőrzésre vonatkozó módosított javaslatot</w:t>
      </w:r>
      <w:r>
        <w:rPr>
          <w:rStyle w:val="FootnoteReference"/>
          <w:rFonts w:ascii="Times New Roman" w:hAnsi="Times New Roman"/>
          <w:noProof/>
          <w:sz w:val="24"/>
        </w:rPr>
        <w:footnoteReference w:id="28"/>
      </w:r>
      <w:r>
        <w:rPr>
          <w:rFonts w:ascii="Times New Roman" w:hAnsi="Times New Roman"/>
          <w:noProof/>
          <w:sz w:val="24"/>
        </w:rPr>
        <w: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magas szintű normáknak az Unión</w:t>
      </w:r>
      <w:r>
        <w:rPr>
          <w:rFonts w:ascii="Times New Roman" w:hAnsi="Times New Roman"/>
          <w:noProof/>
          <w:sz w:val="24"/>
        </w:rPr>
        <w:t xml:space="preserve"> belüli kidolgozása azt is megkönnyíti majd, hogy Európa támogatást nyújtson a harmadik országoknak határigazgatásuk javítására vonatkozó saját megoldásaik kidolgozásához.</w:t>
      </w:r>
      <w:r>
        <w:rPr>
          <w:noProof/>
        </w:rPr>
        <w:t xml:space="preserve"> </w:t>
      </w:r>
      <w:r>
        <w:rPr>
          <w:rFonts w:ascii="Times New Roman" w:hAnsi="Times New Roman"/>
          <w:noProof/>
          <w:sz w:val="24"/>
        </w:rPr>
        <w:t xml:space="preserve">A Frontex és az uniós pénzeszközök támogatást nyújthatnak a legfontosabb afrikai és </w:t>
      </w:r>
      <w:r>
        <w:rPr>
          <w:rFonts w:ascii="Times New Roman" w:hAnsi="Times New Roman"/>
          <w:noProof/>
          <w:sz w:val="24"/>
        </w:rPr>
        <w:t xml:space="preserve">szomszédsági országokban zajló kezdeményezésekhez, valamint az uniós szomszédsági és fejlesztési politika keretében megjelenő, kapcsolódó kezdeményezésekhez. Azt a célt kell kitűzni, hogy ösztönözzék a határok biztonságosabbá tételét, és egyidejűleg </w:t>
      </w:r>
      <w:r>
        <w:rPr>
          <w:rFonts w:ascii="Times New Roman" w:hAnsi="Times New Roman"/>
          <w:b/>
          <w:noProof/>
          <w:sz w:val="24"/>
        </w:rPr>
        <w:t>megerő</w:t>
      </w:r>
      <w:r>
        <w:rPr>
          <w:rFonts w:ascii="Times New Roman" w:hAnsi="Times New Roman"/>
          <w:b/>
          <w:noProof/>
          <w:sz w:val="24"/>
        </w:rPr>
        <w:t>sítsék az észak-afrikai országok beavatkozási kapacitását</w:t>
      </w:r>
      <w:r>
        <w:rPr>
          <w:rFonts w:ascii="Times New Roman" w:hAnsi="Times New Roman"/>
          <w:noProof/>
          <w:sz w:val="24"/>
        </w:rPr>
        <w:t xml:space="preserve"> a bajba került migránsok életének megmentése érdekében.</w:t>
      </w:r>
    </w:p>
    <w:p w:rsidR="004C19BC" w:rsidRDefault="004C19BC">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4C19BC">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19BC" w:rsidRDefault="00F16D4C">
            <w:pPr>
              <w:jc w:val="center"/>
              <w:rPr>
                <w:rFonts w:ascii="Times New Roman" w:hAnsi="Times New Roman" w:cs="Times New Roman"/>
                <w:b/>
                <w:i/>
                <w:noProof/>
                <w:sz w:val="20"/>
                <w:szCs w:val="20"/>
              </w:rPr>
            </w:pPr>
            <w:r>
              <w:rPr>
                <w:rFonts w:ascii="Times New Roman" w:hAnsi="Times New Roman"/>
                <w:b/>
                <w:i/>
                <w:noProof/>
                <w:sz w:val="20"/>
              </w:rPr>
              <w:t>Fő intézkedések</w:t>
            </w:r>
          </w:p>
        </w:tc>
        <w:tc>
          <w:tcPr>
            <w:tcW w:w="7620" w:type="dxa"/>
            <w:tcBorders>
              <w:top w:val="single" w:sz="4" w:space="0" w:color="auto"/>
              <w:left w:val="single" w:sz="4" w:space="0" w:color="auto"/>
              <w:bottom w:val="single" w:sz="4" w:space="0" w:color="auto"/>
              <w:right w:val="single" w:sz="4" w:space="0" w:color="auto"/>
            </w:tcBorders>
          </w:tcPr>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Frontex szerepének és kapacitásnak erősítése.</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határigazgatás uniós szabványa.</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A parti őrségi feladatok uniós </w:t>
            </w:r>
            <w:r>
              <w:rPr>
                <w:rFonts w:ascii="Times New Roman" w:hAnsi="Times New Roman"/>
                <w:noProof/>
                <w:sz w:val="20"/>
              </w:rPr>
              <w:t>koordinációjának erősítése.</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Az intelligens határellenőrzésre vonatkozó módosított javaslat.</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harmadik országok határigazgatási kapacitásának erősítése.</w:t>
            </w:r>
          </w:p>
        </w:tc>
      </w:tr>
    </w:tbl>
    <w:p w:rsidR="004C19BC" w:rsidRDefault="004C19BC">
      <w:pPr>
        <w:autoSpaceDE w:val="0"/>
        <w:autoSpaceDN w:val="0"/>
        <w:adjustRightInd w:val="0"/>
        <w:spacing w:after="120" w:line="240" w:lineRule="auto"/>
        <w:jc w:val="both"/>
        <w:rPr>
          <w:rFonts w:ascii="Times New Roman" w:hAnsi="Times New Roman" w:cs="Times New Roman"/>
          <w:b/>
          <w:noProof/>
          <w:sz w:val="20"/>
          <w:szCs w:val="20"/>
        </w:rPr>
      </w:pPr>
    </w:p>
    <w:p w:rsidR="004C19BC" w:rsidRDefault="00F16D4C">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Európa kötelezettsége a védelem nyújtására: erős közös menekültügyi politika</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Az Uniónak hatéko</w:t>
      </w:r>
      <w:r>
        <w:rPr>
          <w:rFonts w:ascii="Times New Roman" w:hAnsi="Times New Roman"/>
          <w:noProof/>
          <w:sz w:val="24"/>
        </w:rPr>
        <w:t>ny rendszerre van szüksége a menedékkérők EU-n belüli befogadásához. 2014-ben minden eddiginél több, 600 000 ember nyújtott be menedékjog iránti kérelmet az Unióban. Minden menedékjog iránti kérelmet fel kell dolgozni és védelmet kell nyújtani az arra jogo</w:t>
      </w:r>
      <w:r>
        <w:rPr>
          <w:rFonts w:ascii="Times New Roman" w:hAnsi="Times New Roman"/>
          <w:noProof/>
          <w:sz w:val="24"/>
        </w:rPr>
        <w:t>sultaknak. A jelenlegi politika egyik jól látható gyengéje, hogy a menekültügyi rendszer folyamatos szétforgácsolódásának eredményeként hiányzik a tagállamok közötti kölcsönös bizalom. Mindennek közvetlen hatása van a menedékkérőkre: több tagállamban nyújt</w:t>
      </w:r>
      <w:r>
        <w:rPr>
          <w:rFonts w:ascii="Times New Roman" w:hAnsi="Times New Roman"/>
          <w:noProof/>
          <w:sz w:val="24"/>
        </w:rPr>
        <w:t>anak be menedékkérelmet; egyúttal azonban az uniós közvéleményre is: azt az érzetet erősíti, hogy a jelenlegi rendszer alapvetően igazságtalan. Az EU-ban azonban vannak olyan közös szabályok, amelyek alapul szolgálnak a kölcsönös bizalomhoz – e szabályok t</w:t>
      </w:r>
      <w:r>
        <w:rPr>
          <w:rFonts w:ascii="Times New Roman" w:hAnsi="Times New Roman"/>
          <w:noProof/>
          <w:sz w:val="24"/>
        </w:rPr>
        <w:t>ovábbfejlesztése lehetővé teszi az újrakezdést.</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 közös európai menekültügyi rendszer koherens végrehajtása</w:t>
      </w:r>
    </w:p>
    <w:p w:rsidR="004C19BC" w:rsidRDefault="00F16D4C">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 közös európai menekültügyi rendszer maradéktalan és koherens végrehajtása prioritás. Ezt </w:t>
      </w:r>
      <w:r>
        <w:rPr>
          <w:rFonts w:ascii="Times New Roman" w:hAnsi="Times New Roman"/>
          <w:b/>
          <w:noProof/>
          <w:sz w:val="24"/>
        </w:rPr>
        <w:t>új, rendszeres monitoringfolyamatok</w:t>
      </w:r>
      <w:r>
        <w:rPr>
          <w:rFonts w:ascii="Times New Roman" w:hAnsi="Times New Roman"/>
          <w:noProof/>
          <w:sz w:val="24"/>
        </w:rPr>
        <w:t xml:space="preserve"> segítik elő, amelyek </w:t>
      </w:r>
      <w:r>
        <w:rPr>
          <w:rFonts w:ascii="Times New Roman" w:hAnsi="Times New Roman"/>
          <w:noProof/>
          <w:sz w:val="24"/>
        </w:rPr>
        <w:t>a menekültügyi szabályok végrehajtását és alkalmazását vizsgálják és tovább erősítik a kölcsönös bizalmat. A Bizottság ezenkívül – a tagállamokkal és az Európai Menekültügyi Támogatási Hivatallal (EASO) együttműködve – további iránymutatással fog szolgálni</w:t>
      </w:r>
      <w:r>
        <w:rPr>
          <w:rFonts w:ascii="Times New Roman" w:hAnsi="Times New Roman"/>
          <w:noProof/>
          <w:sz w:val="24"/>
        </w:rPr>
        <w:t xml:space="preserve"> a befogadási feltételekre és a menekültügyi eljárásokra vonatkozó </w:t>
      </w:r>
      <w:r>
        <w:rPr>
          <w:rFonts w:ascii="Times New Roman" w:hAnsi="Times New Roman"/>
          <w:b/>
          <w:noProof/>
          <w:sz w:val="24"/>
        </w:rPr>
        <w:t>szabályok</w:t>
      </w:r>
      <w:r>
        <w:rPr>
          <w:rFonts w:ascii="Times New Roman" w:hAnsi="Times New Roman"/>
          <w:noProof/>
          <w:sz w:val="24"/>
        </w:rPr>
        <w:t xml:space="preserve"> fejlesztése érdekében, hogy pontosan meghatározott és egyszerű minőségmutatók álljanak a tagállamok rendelkezésére, és hogy megszilárdítsa a menedékkérők alapvető jogainak védelemét, külön figyelmet szentelve a kiszolgáltatott csoportok, például a gyermek</w:t>
      </w:r>
      <w:r>
        <w:rPr>
          <w:rFonts w:ascii="Times New Roman" w:hAnsi="Times New Roman"/>
          <w:noProof/>
          <w:sz w:val="24"/>
        </w:rPr>
        <w:t>ek szükségleteinek</w:t>
      </w:r>
      <w:r>
        <w:rPr>
          <w:rStyle w:val="FootnoteReference"/>
          <w:rFonts w:ascii="Times New Roman" w:hAnsi="Times New Roman"/>
          <w:noProof/>
          <w:sz w:val="24"/>
        </w:rPr>
        <w:footnoteReference w:id="29"/>
      </w:r>
      <w:r>
        <w:rPr>
          <w:rFonts w:ascii="Times New Roman" w:hAnsi="Times New Roman"/>
          <w:noProof/>
          <w:sz w:val="24"/>
        </w:rPr>
        <w:t xml:space="preserve">. </w:t>
      </w:r>
      <w:r>
        <w:rPr>
          <w:noProof/>
        </w:rPr>
        <w:t xml:space="preserve">A </w:t>
      </w:r>
      <w:r>
        <w:rPr>
          <w:rFonts w:ascii="Times New Roman" w:hAnsi="Times New Roman"/>
          <w:b/>
          <w:noProof/>
          <w:sz w:val="24"/>
        </w:rPr>
        <w:t>kötelezettségszegési eljárások</w:t>
      </w:r>
      <w:r>
        <w:rPr>
          <w:noProof/>
        </w:rPr>
        <w:t xml:space="preserve"> </w:t>
      </w:r>
      <w:r>
        <w:rPr>
          <w:rFonts w:ascii="Times New Roman" w:hAnsi="Times New Roman"/>
          <w:noProof/>
          <w:sz w:val="24"/>
        </w:rPr>
        <w:t>megindításának mérlegelése során a Bizottság kiemelten kezeli majd a közelmúltban elfogadott menekültügyi jogszabályok átültetését és gyakorlati végrehajtását is</w:t>
      </w:r>
      <w:r>
        <w:rPr>
          <w:rStyle w:val="FootnoteReference"/>
          <w:rFonts w:ascii="Times New Roman" w:hAnsi="Times New Roman"/>
          <w:noProof/>
          <w:sz w:val="24"/>
        </w:rPr>
        <w:footnoteReference w:id="30"/>
      </w:r>
      <w:r>
        <w:rPr>
          <w:rFonts w:ascii="Times New Roman" w:hAnsi="Times New Roman"/>
          <w:noProof/>
          <w:sz w:val="24"/>
        </w:rPr>
        <w:t>.</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Az EASO egyidejűleg erősíteni kívánja a </w:t>
      </w:r>
      <w:r>
        <w:rPr>
          <w:rFonts w:ascii="Times New Roman" w:hAnsi="Times New Roman"/>
          <w:b/>
          <w:noProof/>
          <w:sz w:val="24"/>
        </w:rPr>
        <w:t>gyakorlati együttműködést</w:t>
      </w:r>
      <w:r>
        <w:rPr>
          <w:rFonts w:ascii="Times New Roman" w:hAnsi="Times New Roman"/>
          <w:noProof/>
          <w:sz w:val="24"/>
        </w:rPr>
        <w:t>, hogy erősítse a nemzeti származási országokra vonatkozó információk – vagyis a menekültügyi határozatok alapját jelentő ténybeli adatok – tekintetében információs központként betöltött szer</w:t>
      </w:r>
      <w:r>
        <w:rPr>
          <w:rFonts w:ascii="Times New Roman" w:hAnsi="Times New Roman"/>
          <w:noProof/>
          <w:sz w:val="24"/>
        </w:rPr>
        <w:t>epét. Mindez ösztönzi az egységesebb határozathozatalt. További kulcsfontosságú intézkedések a képzések</w:t>
      </w:r>
      <w:r>
        <w:rPr>
          <w:rStyle w:val="FootnoteReference"/>
          <w:rFonts w:ascii="Times New Roman" w:hAnsi="Times New Roman"/>
          <w:noProof/>
          <w:sz w:val="24"/>
        </w:rPr>
        <w:footnoteReference w:id="31"/>
      </w:r>
      <w:r>
        <w:rPr>
          <w:rFonts w:ascii="Times New Roman" w:hAnsi="Times New Roman"/>
          <w:noProof/>
          <w:sz w:val="24"/>
        </w:rPr>
        <w:t xml:space="preserve"> és a befogadási hatóságok egy új hálózata, amely le tudja fektetni az alapokat befogadási helyszínek vészhelyzet esetén történő összevonásához.</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A közös</w:t>
      </w:r>
      <w:r>
        <w:rPr>
          <w:rFonts w:ascii="Times New Roman" w:hAnsi="Times New Roman"/>
          <w:noProof/>
          <w:sz w:val="24"/>
        </w:rPr>
        <w:t xml:space="preserve"> európai menekültügyi rendszer erősítése a </w:t>
      </w:r>
      <w:r>
        <w:rPr>
          <w:rFonts w:ascii="Times New Roman" w:hAnsi="Times New Roman"/>
          <w:b/>
          <w:noProof/>
          <w:sz w:val="24"/>
        </w:rPr>
        <w:t>visszaélésekkel</w:t>
      </w:r>
      <w:r>
        <w:rPr>
          <w:rFonts w:ascii="Times New Roman" w:hAnsi="Times New Roman"/>
          <w:noProof/>
          <w:sz w:val="24"/>
        </w:rPr>
        <w:t xml:space="preserve"> szembeni hatékonyabb fellépést is magában foglalja. Túl sok a megalapozatlan kérelem: 2014-ben a menedékjog iránti kérelmek 55 %-a esetében született elutasító határozat, és egyes országok állampol</w:t>
      </w:r>
      <w:r>
        <w:rPr>
          <w:rFonts w:ascii="Times New Roman" w:hAnsi="Times New Roman"/>
          <w:noProof/>
          <w:sz w:val="24"/>
        </w:rPr>
        <w:t>gárai esetében szinte minden kérelem elutasításra került, ami leköti a tagállamok kapacitását és akadályozza őket abban, hogy gyors védelmet biztosítsanak az arra rászorulóknak. A jogi szabályozás különös rendelkezéseket tartalmaz a visszaélések elleni küz</w:t>
      </w:r>
      <w:r>
        <w:rPr>
          <w:rFonts w:ascii="Times New Roman" w:hAnsi="Times New Roman"/>
          <w:noProof/>
          <w:sz w:val="24"/>
        </w:rPr>
        <w:t>delemre vonatkozóan, így például engedélyezi a megalapozatlan menedékjog iránti kérelmek gyors feldolgozását. Ezt megerősítendő, a Bizottság az EASO-val és a tagállamokkal együttműködve iránymutatásokat dolgoz ki, hogy maximalizálja ezen lehetőségeket.</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Tov</w:t>
      </w:r>
      <w:r>
        <w:rPr>
          <w:rFonts w:ascii="Times New Roman" w:hAnsi="Times New Roman"/>
          <w:noProof/>
          <w:sz w:val="24"/>
        </w:rPr>
        <w:t>ábbi probléma jelentkezik azon harmadik országbeli állampolgárok menedékkérelme tekintetében, akik vízummentesen léphetnek be az EU-ba. Ezen ügyek vizsgálatára a vízumliberalizációt követő ellenőrzési rendszerek</w:t>
      </w:r>
      <w:r>
        <w:rPr>
          <w:rStyle w:val="FootnoteReference"/>
          <w:rFonts w:ascii="Times New Roman" w:hAnsi="Times New Roman"/>
          <w:noProof/>
          <w:sz w:val="24"/>
        </w:rPr>
        <w:footnoteReference w:id="32"/>
      </w:r>
      <w:r>
        <w:rPr>
          <w:rFonts w:ascii="Times New Roman" w:hAnsi="Times New Roman"/>
          <w:noProof/>
          <w:sz w:val="24"/>
        </w:rPr>
        <w:t xml:space="preserve"> részeként kerülhet sor. Ezt megerősítendő, </w:t>
      </w:r>
      <w:r>
        <w:rPr>
          <w:rFonts w:ascii="Times New Roman" w:hAnsi="Times New Roman"/>
          <w:noProof/>
          <w:sz w:val="24"/>
        </w:rPr>
        <w:t xml:space="preserve">a Bizottság javaslatot fog tenni a menekültügyi eljárásról szóló irányelven belül a </w:t>
      </w:r>
      <w:r>
        <w:rPr>
          <w:rFonts w:ascii="Times New Roman" w:hAnsi="Times New Roman"/>
          <w:b/>
          <w:noProof/>
          <w:sz w:val="24"/>
        </w:rPr>
        <w:t>biztonságos származási országra vonatkozó rendelkezések</w:t>
      </w:r>
      <w:r>
        <w:rPr>
          <w:rFonts w:ascii="Times New Roman" w:hAnsi="Times New Roman"/>
          <w:noProof/>
          <w:sz w:val="24"/>
        </w:rPr>
        <w:t xml:space="preserve"> megerősítésére annak érdekében, hogy elősegítse a biztonságos országokból származó menedékkérelmek gyors feldologozá</w:t>
      </w:r>
      <w:r>
        <w:rPr>
          <w:rFonts w:ascii="Times New Roman" w:hAnsi="Times New Roman"/>
          <w:noProof/>
          <w:sz w:val="24"/>
        </w:rPr>
        <w:t>sát</w:t>
      </w:r>
      <w:r>
        <w:rPr>
          <w:rStyle w:val="FootnoteReference"/>
          <w:rFonts w:ascii="Times New Roman" w:hAnsi="Times New Roman"/>
          <w:noProof/>
          <w:sz w:val="24"/>
        </w:rPr>
        <w:footnoteReference w:id="33"/>
      </w:r>
      <w:r>
        <w:rPr>
          <w:rFonts w:ascii="Times New Roman" w:hAnsi="Times New Roman"/>
          <w:noProof/>
          <w:sz w:val="24"/>
        </w:rPr>
        <w:t>.</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Dublini rendszer – nagyobb felelősségvállalás a tagállamok részéről</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Bár a jogi szabályozás legutóbbi javítására 2014-ben került sor, a felelősség elosztásának mechanizmusa a menedékjog iráni kérelmek megvizsgálása tekintetében („a dublini rendszer”</w:t>
      </w:r>
      <w:r>
        <w:rPr>
          <w:rStyle w:val="FootnoteReference"/>
          <w:rFonts w:ascii="Times New Roman" w:hAnsi="Times New Roman"/>
          <w:noProof/>
          <w:sz w:val="24"/>
        </w:rPr>
        <w:footnoteReference w:id="34"/>
      </w:r>
      <w:r>
        <w:rPr>
          <w:rFonts w:ascii="Times New Roman" w:hAnsi="Times New Roman"/>
          <w:noProof/>
          <w:sz w:val="24"/>
        </w:rPr>
        <w:t>)</w:t>
      </w:r>
      <w:r>
        <w:rPr>
          <w:rFonts w:ascii="Times New Roman" w:hAnsi="Times New Roman"/>
          <w:noProof/>
          <w:sz w:val="24"/>
        </w:rPr>
        <w:t xml:space="preserve"> nem működik megfelelően. 2014-ben öt tagállam kezelte az Unióban benyújtott összes menedékjog iránti kérelem 72 %-át. Az Unió további segítséget nyújthat, de a szabályokat teljes mértékben alkalmazni kell.</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A tagállamok felelősek a dublini rendszer alkalma</w:t>
      </w:r>
      <w:r>
        <w:rPr>
          <w:rFonts w:ascii="Times New Roman" w:hAnsi="Times New Roman"/>
          <w:noProof/>
          <w:sz w:val="24"/>
        </w:rPr>
        <w:t>zásáért. A tagállamoknak mindenekelőtt úgy kell elosztaniuk a szükséges erőforrásokat, hogy növeljék az áthelyezések számát és csökkentsék a késéseket, proaktív módon és következetesen alkalmazzák a családegyesítéshez kapcsolódó rendelkezéseket, és lehetőv</w:t>
      </w:r>
      <w:r>
        <w:rPr>
          <w:rFonts w:ascii="Times New Roman" w:hAnsi="Times New Roman"/>
          <w:noProof/>
          <w:sz w:val="24"/>
        </w:rPr>
        <w:t>é tegyék a mérlegelési záradékok szélesebb körű és rendszeresebb alkalmazását, lehetővé téve számukra, hogy ők is vizsgálhassanak menedékkérelmet és csökkentsék a leginkább érintett tagállamokra nehezedő nyomást. Uniós szinten az Európai Menekültügyi Támog</w:t>
      </w:r>
      <w:r>
        <w:rPr>
          <w:rFonts w:ascii="Times New Roman" w:hAnsi="Times New Roman"/>
          <w:noProof/>
          <w:sz w:val="24"/>
        </w:rPr>
        <w:t xml:space="preserve">atási Hivatal (EASO) egy a témának szentelt hálózat, a </w:t>
      </w:r>
      <w:r>
        <w:rPr>
          <w:rFonts w:ascii="Times New Roman" w:hAnsi="Times New Roman"/>
          <w:b/>
          <w:noProof/>
          <w:sz w:val="24"/>
        </w:rPr>
        <w:t xml:space="preserve">nemzeti Dublini Intézmények hálózatának </w:t>
      </w:r>
      <w:r>
        <w:rPr>
          <w:rFonts w:ascii="Times New Roman" w:hAnsi="Times New Roman"/>
          <w:noProof/>
          <w:sz w:val="24"/>
        </w:rPr>
        <w:t>létrehozásával fogja támogatni a tagállamokat.</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tagállamok ugyancsak kötelesek maradéktalanul végrehajtani a migránsok határokon történő </w:t>
      </w:r>
      <w:r>
        <w:rPr>
          <w:rFonts w:ascii="Times New Roman" w:hAnsi="Times New Roman"/>
          <w:b/>
          <w:noProof/>
          <w:sz w:val="24"/>
        </w:rPr>
        <w:t xml:space="preserve">ujjnyomatvételére </w:t>
      </w:r>
      <w:r>
        <w:rPr>
          <w:rStyle w:val="FootnoteReference"/>
          <w:rFonts w:ascii="Times New Roman" w:hAnsi="Times New Roman"/>
          <w:b/>
          <w:noProof/>
          <w:sz w:val="24"/>
        </w:rPr>
        <w:footnoteReference w:id="35"/>
      </w:r>
      <w:r>
        <w:rPr>
          <w:rFonts w:ascii="Times New Roman" w:hAnsi="Times New Roman"/>
          <w:noProof/>
          <w:sz w:val="24"/>
        </w:rPr>
        <w:t>vona</w:t>
      </w:r>
      <w:r>
        <w:rPr>
          <w:rFonts w:ascii="Times New Roman" w:hAnsi="Times New Roman"/>
          <w:noProof/>
          <w:sz w:val="24"/>
        </w:rPr>
        <w:t>tkozó szabályokat. A különösen nagy migrációs nyomás alá került tagállamok számára hasznos lesz a helyszíni operációs támogatást biztosító Hotspot rendszer (lásd fent). A Bizottság május végégig iránymutatással fog szolgálni az alapvető jogokat teljes mért</w:t>
      </w:r>
      <w:r>
        <w:rPr>
          <w:rFonts w:ascii="Times New Roman" w:hAnsi="Times New Roman"/>
          <w:noProof/>
          <w:sz w:val="24"/>
        </w:rPr>
        <w:t>ékben tiszteletben tartó szisztematikus ujjnyomatvétel megkönnyítéséhez, amit a gyakorlati együttműködés és a bevált gyakorlatok cseréje segít. A Bizottság meg fogja vizsgálni, hogyan lehetne több biometrikus azonosítót használni az Eurodac rendszeren kere</w:t>
      </w:r>
      <w:r>
        <w:rPr>
          <w:rFonts w:ascii="Times New Roman" w:hAnsi="Times New Roman"/>
          <w:noProof/>
          <w:sz w:val="24"/>
        </w:rPr>
        <w:t>sztül (például arcfelismerő technikák alkalmazása digitális fotókon).</w:t>
      </w:r>
    </w:p>
    <w:p w:rsidR="004C19BC" w:rsidRDefault="00F16D4C">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dublini rendszer kialakításakor Európa még a menekültügyi együttműködés egy másik szakaszában volt. A menekültek beáramlásának természete és nagyságrendje sem volt összehasonlítható a </w:t>
      </w:r>
      <w:r>
        <w:rPr>
          <w:rFonts w:ascii="Times New Roman" w:hAnsi="Times New Roman"/>
          <w:noProof/>
          <w:sz w:val="24"/>
        </w:rPr>
        <w:t xml:space="preserve">mai helyzettel. Amikor a Bizottság 2016-ban elvégzi </w:t>
      </w:r>
      <w:r>
        <w:rPr>
          <w:rFonts w:ascii="Times New Roman" w:hAnsi="Times New Roman"/>
          <w:b/>
          <w:noProof/>
          <w:sz w:val="24"/>
        </w:rPr>
        <w:t>a dublini rendszer értékelését</w:t>
      </w:r>
      <w:r>
        <w:rPr>
          <w:rFonts w:ascii="Times New Roman" w:hAnsi="Times New Roman"/>
          <w:noProof/>
          <w:sz w:val="24"/>
        </w:rPr>
        <w:t>, az áthelyezési és letelepítési mechanizmusok tanulságaira is tud támaszkodni. Ez elősegíti majd annak eldöntését, hogy a menedékkérők méltányosabb európai elosztásának megv</w:t>
      </w:r>
      <w:r>
        <w:rPr>
          <w:rFonts w:ascii="Times New Roman" w:hAnsi="Times New Roman"/>
          <w:noProof/>
          <w:sz w:val="24"/>
        </w:rPr>
        <w:t>alósításához felül kell-e vizsgálni a dublini rendszer jogi paramétereit</w:t>
      </w:r>
      <w:r>
        <w:rPr>
          <w:rStyle w:val="FootnoteReference"/>
          <w:rFonts w:ascii="Times New Roman" w:hAnsi="Times New Roman"/>
          <w:noProof/>
          <w:sz w:val="24"/>
        </w:rPr>
        <w:footnoteReference w:id="36"/>
      </w:r>
      <w:r>
        <w:rPr>
          <w:rFonts w:ascii="Times New Roman" w:hAnsi="Times New Roman"/>
          <w:noProof/>
          <w:sz w:val="24"/>
        </w:rPr>
        <w:t>.</w:t>
      </w:r>
    </w:p>
    <w:p w:rsidR="004C19BC" w:rsidRDefault="00F16D4C">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rsidR="004C19BC">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19BC" w:rsidRDefault="00F16D4C">
            <w:pPr>
              <w:jc w:val="center"/>
              <w:rPr>
                <w:rFonts w:ascii="Times New Roman" w:hAnsi="Times New Roman" w:cs="Times New Roman"/>
                <w:b/>
                <w:i/>
                <w:noProof/>
                <w:sz w:val="20"/>
                <w:szCs w:val="20"/>
              </w:rPr>
            </w:pPr>
            <w:r>
              <w:rPr>
                <w:rFonts w:ascii="Times New Roman" w:hAnsi="Times New Roman"/>
                <w:b/>
                <w:i/>
                <w:noProof/>
                <w:sz w:val="20"/>
              </w:rPr>
              <w:t>Fő intézkedések</w:t>
            </w:r>
          </w:p>
        </w:tc>
        <w:tc>
          <w:tcPr>
            <w:tcW w:w="7620" w:type="dxa"/>
            <w:tcBorders>
              <w:top w:val="single" w:sz="4" w:space="0" w:color="auto"/>
              <w:left w:val="single" w:sz="4" w:space="0" w:color="auto"/>
              <w:bottom w:val="single" w:sz="4" w:space="0" w:color="auto"/>
              <w:right w:val="single" w:sz="4" w:space="0" w:color="auto"/>
            </w:tcBorders>
          </w:tcPr>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A közös európai menekültügyi rendszer új monitoring- és értékelési rendszerének létrehozása és iránymutatás a befogadási feltételek és a menekültügyi eljárásokra </w:t>
            </w:r>
            <w:r>
              <w:rPr>
                <w:rFonts w:ascii="Times New Roman" w:hAnsi="Times New Roman"/>
                <w:noProof/>
                <w:sz w:val="20"/>
              </w:rPr>
              <w:t>vonatkozó szabályok fejlesztése érdekében.</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Iránymutatás a menekültügyi rendszerrel való visszaélések elleni fellépéshez.</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biztonságosnak nyilvánított országokból származó menedékkérők kérelmeinek gyorsabb elbírálását elősegítendő, a menekültügyi eljárásró</w:t>
            </w:r>
            <w:r>
              <w:rPr>
                <w:rFonts w:ascii="Times New Roman" w:hAnsi="Times New Roman"/>
                <w:noProof/>
                <w:sz w:val="20"/>
              </w:rPr>
              <w:t xml:space="preserve">l szóló irányelven belül a </w:t>
            </w:r>
            <w:r>
              <w:rPr>
                <w:rFonts w:ascii="Times New Roman" w:hAnsi="Times New Roman"/>
                <w:b/>
                <w:noProof/>
                <w:sz w:val="20"/>
              </w:rPr>
              <w:t xml:space="preserve">biztonságos származási országra vonatkozó rendelkezések </w:t>
            </w:r>
            <w:r>
              <w:rPr>
                <w:rFonts w:ascii="Times New Roman" w:hAnsi="Times New Roman"/>
                <w:noProof/>
                <w:sz w:val="20"/>
              </w:rPr>
              <w:t>megerősítése.</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Intézkedések a szisztematikus azonosítás és ujjnyomatvétel elősegítésére.</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További biometrikus azonosítók Eurodac általi bevezetése.</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Dublini Rendelet értékelé</w:t>
            </w:r>
            <w:r>
              <w:rPr>
                <w:rFonts w:ascii="Times New Roman" w:hAnsi="Times New Roman"/>
                <w:noProof/>
                <w:sz w:val="20"/>
              </w:rPr>
              <w:t>se és esetleges felülvizsgálata 2016-ban.</w:t>
            </w:r>
          </w:p>
        </w:tc>
      </w:tr>
    </w:tbl>
    <w:p w:rsidR="004C19BC" w:rsidRDefault="004C19BC">
      <w:pPr>
        <w:spacing w:before="120" w:after="0" w:line="240" w:lineRule="auto"/>
        <w:jc w:val="both"/>
        <w:rPr>
          <w:rFonts w:ascii="Times New Roman" w:hAnsi="Times New Roman" w:cs="Times New Roman"/>
          <w:b/>
          <w:noProof/>
          <w:sz w:val="20"/>
          <w:szCs w:val="20"/>
        </w:rPr>
      </w:pPr>
    </w:p>
    <w:p w:rsidR="004C19BC" w:rsidRDefault="00F16D4C">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A jogszerű migrációval kapcsolatos új szakpolitika</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Európa versenyben áll más gazdaságokkal abban, hogy magához vonzza a számára szükséges készségekkel rendelkező munkaerőt. Tekintettel azon változásokra, </w:t>
      </w:r>
      <w:r>
        <w:rPr>
          <w:rFonts w:ascii="Times New Roman" w:hAnsi="Times New Roman"/>
          <w:noProof/>
          <w:sz w:val="24"/>
        </w:rPr>
        <w:t>amelyeket az EU a munkaerő készségek szerinti összetételét illetően 2012 és 2025 között megkövetel, várhatóan ugrásszerűen (23 %-kal) növekedni fog a felsőfokú végzettséggel rendelkező munkaerőt foglalkoztató munkahelyek részaránya</w:t>
      </w:r>
      <w:r>
        <w:rPr>
          <w:rStyle w:val="FootnoteReference"/>
          <w:rFonts w:ascii="Times New Roman" w:hAnsi="Times New Roman"/>
          <w:noProof/>
          <w:sz w:val="24"/>
        </w:rPr>
        <w:footnoteReference w:id="37"/>
      </w:r>
      <w:r>
        <w:rPr>
          <w:rFonts w:ascii="Times New Roman" w:hAnsi="Times New Roman"/>
          <w:noProof/>
          <w:sz w:val="24"/>
        </w:rPr>
        <w:t>.</w:t>
      </w:r>
      <w:r>
        <w:rPr>
          <w:noProof/>
        </w:rPr>
        <w:t xml:space="preserve"> </w:t>
      </w:r>
      <w:r>
        <w:rPr>
          <w:rFonts w:ascii="Times New Roman" w:hAnsi="Times New Roman"/>
          <w:noProof/>
          <w:sz w:val="24"/>
        </w:rPr>
        <w:t xml:space="preserve">Egyes kulcsfontosságú </w:t>
      </w:r>
      <w:r>
        <w:rPr>
          <w:rFonts w:ascii="Times New Roman" w:hAnsi="Times New Roman"/>
          <w:noProof/>
          <w:sz w:val="24"/>
        </w:rPr>
        <w:t xml:space="preserve">ágazatokban – például a tudomány, a technológia, a műszaki tudományok és az egészségügyi ellátás területén – már most is munkaerőhiány tapasztalható. Európának ki kell építenie saját készségbázisát, és fel kell vérteznie lakosságát a jelen munkaerőpiacára </w:t>
      </w:r>
      <w:r>
        <w:rPr>
          <w:rFonts w:ascii="Times New Roman" w:hAnsi="Times New Roman"/>
          <w:noProof/>
          <w:sz w:val="24"/>
        </w:rPr>
        <w:t>való bekerüléshez szükséges készségekkel. A Bizottság 2015-ben új munkavállalói mobilitási csomagot és a készségekre vonatkozó új kezdeményezést</w:t>
      </w:r>
      <w:r>
        <w:rPr>
          <w:rStyle w:val="FootnoteReference"/>
          <w:rFonts w:ascii="Times New Roman" w:hAnsi="Times New Roman"/>
          <w:noProof/>
          <w:sz w:val="24"/>
        </w:rPr>
        <w:footnoteReference w:id="38"/>
      </w:r>
      <w:r>
        <w:rPr>
          <w:rFonts w:ascii="Times New Roman" w:hAnsi="Times New Roman"/>
          <w:noProof/>
          <w:sz w:val="24"/>
        </w:rPr>
        <w:t xml:space="preserve"> terjeszt elő, de nagy valószínűséggel még a leghatározottabb közép- és hosszú távú erőfeszítések árán sem lesz</w:t>
      </w:r>
      <w:r>
        <w:rPr>
          <w:rFonts w:ascii="Times New Roman" w:hAnsi="Times New Roman"/>
          <w:noProof/>
          <w:sz w:val="24"/>
        </w:rPr>
        <w:t>ünk képesek teljes mértékben kielégíteni a szükségleteket.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Az EU-nak emellett számos hosszú távú gazdasági és demográfiai kihívással is meg kell küzdenie. A lakossága idősödik, miközben a gazdasága egyre inkább függ a magas képzettséget igénylő munkahelyek</w:t>
      </w:r>
      <w:r>
        <w:rPr>
          <w:rFonts w:ascii="Times New Roman" w:hAnsi="Times New Roman"/>
          <w:noProof/>
          <w:sz w:val="24"/>
        </w:rPr>
        <w:t>től. Ezenfelül, migráció nélkül az EU munkaképes korú népessége a következő évtizedben 17,5 millió fővel csökken majd. A migráció egyre fontosabb eszköznek számít majd a szociális védőhálónk fenntarthatóságának javítását és az uniós gazdaság fenntartható n</w:t>
      </w:r>
      <w:r>
        <w:rPr>
          <w:rFonts w:ascii="Times New Roman" w:hAnsi="Times New Roman"/>
          <w:noProof/>
          <w:sz w:val="24"/>
        </w:rPr>
        <w:t>övekedésének biztosítását illetően.</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Ezért – még akkor is, ha a jogszerű migráció mindig is kényes kérdésnek számít majd a magas munkanélküliségi ráták és a társadalmi változások idején – fontos, hogy olyan egyértelmű és szigorú közös rendszerrel rendelkezz</w:t>
      </w:r>
      <w:r>
        <w:rPr>
          <w:rFonts w:ascii="Times New Roman" w:hAnsi="Times New Roman"/>
          <w:noProof/>
          <w:sz w:val="24"/>
        </w:rPr>
        <w:t>ünk, amely tükrözi az uniós érdekeket, többek között azáltal is, hogy továbbra is vonzó célponttá teszi Európát a migránsok számára</w:t>
      </w:r>
      <w:r>
        <w:rPr>
          <w:rStyle w:val="FootnoteReference"/>
          <w:rFonts w:ascii="Times New Roman" w:hAnsi="Times New Roman"/>
          <w:noProof/>
          <w:sz w:val="24"/>
        </w:rPr>
        <w:footnoteReference w:id="39"/>
      </w:r>
      <w:r>
        <w:rPr>
          <w:rFonts w:ascii="Times New Roman" w:hAnsi="Times New Roman"/>
          <w:noProof/>
          <w:sz w:val="24"/>
        </w:rPr>
        <w:t>.</w:t>
      </w:r>
    </w:p>
    <w:p w:rsidR="004C19BC" w:rsidRDefault="00F16D4C">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Megfelelően kezelt szabályos migráció és vízumpolitika</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Azok a döntések, hogy a tagállamok milyen számban fogadnak be </w:t>
      </w:r>
      <w:r>
        <w:rPr>
          <w:rFonts w:ascii="Times New Roman" w:hAnsi="Times New Roman"/>
          <w:noProof/>
          <w:sz w:val="24"/>
        </w:rPr>
        <w:t>munkavállalás céljából érkező harmadik országbeli állampolgárokat, a tagállamok kizárólagos hatáskörében maradnak. Az EU azonban konkrét szerepet játszik ebben. A következő hét év során az európai programok – köztük a Horizont 2020 és az Erasmus+ – Európáb</w:t>
      </w:r>
      <w:r>
        <w:rPr>
          <w:rFonts w:ascii="Times New Roman" w:hAnsi="Times New Roman"/>
          <w:noProof/>
          <w:sz w:val="24"/>
        </w:rPr>
        <w:t>a vonzzák majd tehetségeket. A diákokról és a kutatókról szóló irányelv, amelyről jelenleg tárgyalnak a társjogalkotók, új mobilitási és álláskeresési lehetőségeket kíván biztosítani az érintett csoportok számára. A jogszabály mielőbbi elfogadása révén e s</w:t>
      </w:r>
      <w:r>
        <w:rPr>
          <w:rFonts w:ascii="Times New Roman" w:hAnsi="Times New Roman"/>
          <w:noProof/>
          <w:sz w:val="24"/>
        </w:rPr>
        <w:t>tratégiailag fontos csoportok az EU-t olyan helynek tekinthetik majd, ahol szívesen látják őket munkavállalóként</w:t>
      </w:r>
      <w:r>
        <w:rPr>
          <w:rStyle w:val="FootnoteReference"/>
          <w:rFonts w:ascii="Times New Roman" w:hAnsi="Times New Roman"/>
          <w:noProof/>
          <w:sz w:val="24"/>
        </w:rPr>
        <w:footnoteReference w:id="40"/>
      </w:r>
      <w:r>
        <w:rPr>
          <w:rFonts w:ascii="Times New Roman" w:hAnsi="Times New Roman"/>
          <w:noProof/>
          <w:sz w:val="24"/>
        </w:rPr>
        <w:t>.</w:t>
      </w:r>
    </w:p>
    <w:p w:rsidR="004C19BC" w:rsidRDefault="00F16D4C">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A következő lépés egy vonzó uniós szintű rendszer kialakítása lesz a magasan képzett harmadik országbeli állampolgárok számára. A </w:t>
      </w:r>
      <w:r>
        <w:rPr>
          <w:rFonts w:ascii="Times New Roman" w:hAnsi="Times New Roman"/>
          <w:b/>
          <w:noProof/>
          <w:sz w:val="24"/>
        </w:rPr>
        <w:t>kékkártyáró</w:t>
      </w:r>
      <w:r>
        <w:rPr>
          <w:rFonts w:ascii="Times New Roman" w:hAnsi="Times New Roman"/>
          <w:b/>
          <w:noProof/>
          <w:sz w:val="24"/>
        </w:rPr>
        <w:t>l szóló irányelv</w:t>
      </w:r>
      <w:r>
        <w:rPr>
          <w:rStyle w:val="FootnoteReference"/>
          <w:rFonts w:ascii="Times New Roman" w:hAnsi="Times New Roman"/>
          <w:b/>
          <w:noProof/>
          <w:sz w:val="24"/>
        </w:rPr>
        <w:footnoteReference w:id="41"/>
      </w:r>
      <w:r>
        <w:rPr>
          <w:rFonts w:ascii="Times New Roman" w:hAnsi="Times New Roman"/>
          <w:noProof/>
          <w:sz w:val="24"/>
        </w:rPr>
        <w:t xml:space="preserve"> már létrehozott egy ilyen rendszert, de a bevezetését követő két évben mindössze 16 000 kékkártyát bocsátottak ki, amelyből 13 000-t egyetlen tagállam állított ki. A Bizottság május végén nyilvános konzultációt indít a kékkártyáról szóló </w:t>
      </w:r>
      <w:r>
        <w:rPr>
          <w:rFonts w:ascii="Times New Roman" w:hAnsi="Times New Roman"/>
          <w:noProof/>
          <w:sz w:val="24"/>
        </w:rPr>
        <w:t>irányelv jövőjéről. Az irányelv felülvizsgálata során áttekintik, hogy az miképpen vonzhatná hatékonyabban Európába a tehetségeket. A felülvizsgálat magában foglalja majd az alkalmazási körrel kapcsolatos kérdések áttekintését, mint például az Európában be</w:t>
      </w:r>
      <w:r>
        <w:rPr>
          <w:rFonts w:ascii="Times New Roman" w:hAnsi="Times New Roman"/>
          <w:noProof/>
          <w:sz w:val="24"/>
        </w:rPr>
        <w:t>fektetni hajlandó vállalkozókkal vagy a kékkártya-tulajdonosok Unión belüli mobilitási lehetőségeinek javításával kapcsolatos kérdéseket.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szolgáltatások</w:t>
      </w:r>
      <w:r>
        <w:rPr>
          <w:rFonts w:ascii="Times New Roman" w:hAnsi="Times New Roman"/>
          <w:noProof/>
          <w:sz w:val="24"/>
        </w:rPr>
        <w:t xml:space="preserve"> ugyancsak fontos gazdasági hatással bíró ágazatot alkotnak. A szolgáltatási ágazat megfelelően képzet</w:t>
      </w:r>
      <w:r>
        <w:rPr>
          <w:rFonts w:ascii="Times New Roman" w:hAnsi="Times New Roman"/>
          <w:noProof/>
          <w:sz w:val="24"/>
        </w:rPr>
        <w:t>t, kimagasló szakértelemmel rendelkező külföldi szakembereket is magában foglal, akiknek rövid időszakokra az EU-ba kell utazniuk, hogy szolgáltatásokat nyújtsanak a vállalkozásoknak vagy kormányzatoknak. A Bizottság értékelni fogja, milyen lehetséges módo</w:t>
      </w:r>
      <w:r>
        <w:rPr>
          <w:rFonts w:ascii="Times New Roman" w:hAnsi="Times New Roman"/>
          <w:noProof/>
          <w:sz w:val="24"/>
        </w:rPr>
        <w:t>kon nyújtható jogbiztonság a beutazók e kategóriái számára, annak érdekében is, hogy ezáltal az EU erősebb pozícióból kérhessen viszonosságot a szabadkereskedelmi megállapodásokról szóló tárgyalások során.</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tagállamok e döntésekben betöltött szerepe közve</w:t>
      </w:r>
      <w:r>
        <w:rPr>
          <w:rFonts w:ascii="Times New Roman" w:hAnsi="Times New Roman"/>
          <w:noProof/>
          <w:sz w:val="24"/>
        </w:rPr>
        <w:t>tlenebb és nyíltabb párbeszédet tesz szükségessé, hogy ezáltal közös gondolkodás és szakpolitikai megközelítés alakulhasson ki, továbbá lehető váljék a bevált gyakorlatok uniós szintű megosztása. A Bizottság támogatást nyújt a tagállamok számára az uniós s</w:t>
      </w:r>
      <w:r>
        <w:rPr>
          <w:rFonts w:ascii="Times New Roman" w:hAnsi="Times New Roman"/>
          <w:noProof/>
          <w:sz w:val="24"/>
        </w:rPr>
        <w:t>zintű állandó párbeszéd és szakértői értékelés előmozdítása révén, többek között a munkaerő-piaci résekkel, a munkahelyek szabályossá tételével és az integrációval kapcsolatos kérdésekben – vagyis az olyan kérdésekben, amelyeknél egy adott tagállam döntése</w:t>
      </w:r>
      <w:r>
        <w:rPr>
          <w:rFonts w:ascii="Times New Roman" w:hAnsi="Times New Roman"/>
          <w:noProof/>
          <w:sz w:val="24"/>
        </w:rPr>
        <w:t xml:space="preserve"> hatással van a többi tagállamra.</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Ezenfelül a Bizottság párbeszédre szolgáló fórumot hoz létre az üzleti szférából, a szakszervezetektől és más szociális partnerektől érkező észrevételek számára, hogy ezáltal az európai gazdaság és maguk a migránsok a lehe</w:t>
      </w:r>
      <w:r>
        <w:rPr>
          <w:rFonts w:ascii="Times New Roman" w:hAnsi="Times New Roman"/>
          <w:noProof/>
          <w:sz w:val="24"/>
        </w:rPr>
        <w:t>tő legjobban kiaknázhassák a migráció előnyeit.</w:t>
      </w:r>
    </w:p>
    <w:p w:rsidR="004C19BC" w:rsidRDefault="00F16D4C">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Az EU-nak olyan eszözökre van szüksége, amelyek segítségével azonosíthatja azokat a gazdasági ágazatokat és foglalkozásokat, amelyek esetében </w:t>
      </w:r>
      <w:r>
        <w:rPr>
          <w:rFonts w:ascii="Times New Roman" w:hAnsi="Times New Roman"/>
          <w:b/>
          <w:noProof/>
          <w:sz w:val="24"/>
        </w:rPr>
        <w:t>készséghiány</w:t>
      </w:r>
      <w:r>
        <w:rPr>
          <w:rFonts w:ascii="Times New Roman" w:hAnsi="Times New Roman"/>
          <w:noProof/>
          <w:sz w:val="24"/>
        </w:rPr>
        <w:t xml:space="preserve"> mutatkozik vagy </w:t>
      </w:r>
      <w:r>
        <w:rPr>
          <w:rFonts w:ascii="Times New Roman" w:hAnsi="Times New Roman"/>
          <w:b/>
          <w:noProof/>
          <w:sz w:val="24"/>
        </w:rPr>
        <w:t>munkaerő-felvételi nehézségek</w:t>
      </w:r>
      <w:r>
        <w:rPr>
          <w:rFonts w:ascii="Times New Roman" w:hAnsi="Times New Roman"/>
          <w:noProof/>
          <w:sz w:val="24"/>
        </w:rPr>
        <w:t xml:space="preserve"> tapaszt</w:t>
      </w:r>
      <w:r>
        <w:rPr>
          <w:rFonts w:ascii="Times New Roman" w:hAnsi="Times New Roman"/>
          <w:noProof/>
          <w:sz w:val="24"/>
        </w:rPr>
        <w:t>alhatók, vagy a jövőben erre lehet számítani. A meglévő eszközök már szolgáltatnak bizonyos információkat, de ennél teljesebb képre van szükségünk</w:t>
      </w:r>
      <w:r>
        <w:rPr>
          <w:rStyle w:val="FootnoteReference"/>
          <w:rFonts w:ascii="Times New Roman" w:hAnsi="Times New Roman"/>
          <w:noProof/>
          <w:sz w:val="24"/>
        </w:rPr>
        <w:footnoteReference w:id="42"/>
      </w:r>
      <w:r>
        <w:rPr>
          <w:rFonts w:ascii="Times New Roman" w:hAnsi="Times New Roman"/>
          <w:noProof/>
          <w:sz w:val="24"/>
        </w:rPr>
        <w:t>. A létező internetes portálok – például az EU migrációs portálja vagy az Európai Foglalkoztatási Mobilitás P</w:t>
      </w:r>
      <w:r>
        <w:rPr>
          <w:rFonts w:ascii="Times New Roman" w:hAnsi="Times New Roman"/>
          <w:noProof/>
          <w:sz w:val="24"/>
        </w:rPr>
        <w:t xml:space="preserve">ortálja (EURES) – ugyancsak fontos szerepet játszhatnak a rendelkezésre álló állások és a már az EU-ban tartózkodó harmadik országbeli állampolgárok egymáshoz rendelésének megkönnyítésében. Ami a szabad álláshelyeknek és a migránsok készségeinek egymáshoz </w:t>
      </w:r>
      <w:r>
        <w:rPr>
          <w:rFonts w:ascii="Times New Roman" w:hAnsi="Times New Roman"/>
          <w:noProof/>
          <w:sz w:val="24"/>
        </w:rPr>
        <w:t>rendelését illeti, különös problémát jelent a migránsok által a hazájukban megszerzett szakképzettség elismerésének hiánya. Az EU segítséget nyújthat az Unión kívül megszerzett szakképzettségek áttekinthetőségének javításában</w:t>
      </w:r>
      <w:r>
        <w:rPr>
          <w:rStyle w:val="FootnoteReference"/>
          <w:rFonts w:ascii="Times New Roman" w:hAnsi="Times New Roman"/>
          <w:noProof/>
          <w:sz w:val="24"/>
        </w:rPr>
        <w:footnoteReference w:id="43"/>
      </w:r>
      <w:r>
        <w:rPr>
          <w:rFonts w:ascii="Times New Roman" w:hAnsi="Times New Roman"/>
          <w:noProof/>
          <w:sz w:val="24"/>
        </w:rPr>
        <w: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jogszerű migrációra vonatk</w:t>
      </w:r>
      <w:r>
        <w:rPr>
          <w:rFonts w:ascii="Times New Roman" w:hAnsi="Times New Roman"/>
          <w:noProof/>
          <w:sz w:val="24"/>
        </w:rPr>
        <w:t xml:space="preserve">ozó új szakpolitikánk kidolgozására irányuló erőfeszítéseink összhangban állnak </w:t>
      </w:r>
      <w:r>
        <w:rPr>
          <w:rFonts w:ascii="Times New Roman" w:hAnsi="Times New Roman"/>
          <w:b/>
          <w:noProof/>
          <w:sz w:val="24"/>
        </w:rPr>
        <w:t>a vízumpolitikánk korszerűsítésével</w:t>
      </w:r>
      <w:r>
        <w:rPr>
          <w:rStyle w:val="FootnoteReference"/>
          <w:rFonts w:ascii="Times New Roman" w:hAnsi="Times New Roman"/>
          <w:noProof/>
          <w:sz w:val="24"/>
        </w:rPr>
        <w:footnoteReference w:id="44"/>
      </w:r>
      <w:r>
        <w:rPr>
          <w:rFonts w:ascii="Times New Roman" w:hAnsi="Times New Roman"/>
          <w:noProof/>
          <w:sz w:val="24"/>
        </w:rPr>
        <w:t>. A Bizottság 2014-ben javaslatot terjesztett elő a Vízumkódex felülvizsgálatára, és egy új vízumtípus, a schengeni körutazói vízum</w:t>
      </w:r>
      <w:r>
        <w:rPr>
          <w:rStyle w:val="FootnoteReference"/>
          <w:rFonts w:ascii="Times New Roman" w:hAnsi="Times New Roman"/>
          <w:noProof/>
          <w:sz w:val="24"/>
        </w:rPr>
        <w:footnoteReference w:id="45"/>
      </w:r>
      <w:r>
        <w:rPr>
          <w:rFonts w:ascii="Times New Roman" w:hAnsi="Times New Roman"/>
          <w:noProof/>
          <w:sz w:val="24"/>
        </w:rPr>
        <w:t>bevezeté</w:t>
      </w:r>
      <w:r>
        <w:rPr>
          <w:rFonts w:ascii="Times New Roman" w:hAnsi="Times New Roman"/>
          <w:noProof/>
          <w:sz w:val="24"/>
        </w:rPr>
        <w:t>sét javasolta. E javaslatok elfogadása rugalmasabb eszközöket biztosít az EU számára a vízumpolitikája alkalmazása során, ezáltal maximalizálva a nagyobb számban érkező turisták és a személyes vagy szakmai okokból az EU-t felkereső látogatók okozta pozitív</w:t>
      </w:r>
      <w:r>
        <w:rPr>
          <w:rFonts w:ascii="Times New Roman" w:hAnsi="Times New Roman"/>
          <w:noProof/>
          <w:sz w:val="24"/>
        </w:rPr>
        <w:t xml:space="preserve"> gazdasági hatást, az illegális migrációval és a biztonsággal kapcsolatos kockázatok lehető legalacsonyabb szintre történő csökkentésével egyidejűleg. A Bizottság emellett 2015 végéig befejezi jelenleg folyamatban lévő felülvizsgálatát, amelynek tárgya </w:t>
      </w:r>
      <w:r>
        <w:rPr>
          <w:rFonts w:ascii="Times New Roman" w:hAnsi="Times New Roman"/>
          <w:b/>
          <w:noProof/>
          <w:sz w:val="24"/>
        </w:rPr>
        <w:t>a v</w:t>
      </w:r>
      <w:r>
        <w:rPr>
          <w:rFonts w:ascii="Times New Roman" w:hAnsi="Times New Roman"/>
          <w:b/>
          <w:noProof/>
          <w:sz w:val="24"/>
        </w:rPr>
        <w:t>ízumkötelezettség alá tartozó állampolgárságok áttekintése</w:t>
      </w:r>
      <w:r>
        <w:rPr>
          <w:rFonts w:ascii="Times New Roman" w:hAnsi="Times New Roman"/>
          <w:noProof/>
          <w:sz w:val="24"/>
        </w:rPr>
        <w:t>, és egyes állampolgárságok esetében – viszonossági alapon – javaslatot tehet a vízumkötelezettség megszüntetésére, mások esetében pedig a vízumkötelezettség visszaállítására. Ennek során figyelembe</w:t>
      </w:r>
      <w:r>
        <w:rPr>
          <w:rFonts w:ascii="Times New Roman" w:hAnsi="Times New Roman"/>
          <w:noProof/>
          <w:sz w:val="24"/>
        </w:rPr>
        <w:t xml:space="preserve"> veszi a kulcsfontosságú országokkal a migrációs és mobilitási kérdésekben jelenleg folytatott politikai párbeszédet.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i/>
          <w:noProof/>
          <w:sz w:val="24"/>
        </w:rPr>
        <w:t>Eredményes integráció</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Migrációs politikánk akkor lesz sikeres, ha azt hatékony integrációs politikák támasztják alá. Jóllehet ez elsősorba</w:t>
      </w:r>
      <w:r>
        <w:rPr>
          <w:rFonts w:ascii="Times New Roman" w:hAnsi="Times New Roman"/>
          <w:noProof/>
          <w:sz w:val="24"/>
        </w:rPr>
        <w:t>n tagállami hatáskörbe tartozik, az Európai Unió támogathatja a nemzeti kormányok, a helyi hatóságok és az integrációt és a kölcsönös bizalmat erősítő összetett és hosszú távú folyamat iránt elkötelezett civil társadalom fellépéseit.</w:t>
      </w:r>
    </w:p>
    <w:p w:rsidR="004C19BC" w:rsidRDefault="00F16D4C">
      <w:pPr>
        <w:spacing w:before="120" w:after="0" w:line="240" w:lineRule="auto"/>
        <w:jc w:val="both"/>
        <w:rPr>
          <w:rFonts w:ascii="Times New Roman" w:hAnsi="Times New Roman"/>
          <w:noProof/>
          <w:sz w:val="24"/>
          <w:szCs w:val="24"/>
        </w:rPr>
      </w:pPr>
      <w:r>
        <w:rPr>
          <w:rFonts w:ascii="Times New Roman" w:hAnsi="Times New Roman"/>
          <w:noProof/>
          <w:sz w:val="24"/>
        </w:rPr>
        <w:t>Ennek finanszírozása a</w:t>
      </w:r>
      <w:r>
        <w:rPr>
          <w:rFonts w:ascii="Times New Roman" w:hAnsi="Times New Roman"/>
          <w:noProof/>
          <w:sz w:val="24"/>
        </w:rPr>
        <w:t xml:space="preserve"> Menekültügyi, Migrációs és Integrációs Alapból (AMIF) történik. Emellett az Európai Regionális Fejlesztési Alap (ERFA) és az Európai Szociális Alap (ESZA) hozzájárulása ugyancsak rendkívül jelentős lehet</w:t>
      </w:r>
      <w:r>
        <w:rPr>
          <w:rStyle w:val="FootnoteReference"/>
          <w:rFonts w:ascii="Times New Roman" w:hAnsi="Times New Roman"/>
          <w:noProof/>
          <w:sz w:val="24"/>
        </w:rPr>
        <w:footnoteReference w:id="46"/>
      </w:r>
      <w:r>
        <w:rPr>
          <w:rFonts w:ascii="Times New Roman" w:hAnsi="Times New Roman"/>
          <w:noProof/>
          <w:sz w:val="24"/>
        </w:rPr>
        <w:t>. Az új programozási időszakban (2014–2020) az ESZA</w:t>
      </w:r>
      <w:r>
        <w:rPr>
          <w:rFonts w:ascii="Times New Roman" w:hAnsi="Times New Roman"/>
          <w:noProof/>
          <w:sz w:val="24"/>
        </w:rPr>
        <w:t xml:space="preserve"> forrásainak legalább 20 %-a a társadalmi befogadás céljait szolgálja, amelyek közé tartoznak a </w:t>
      </w:r>
      <w:r>
        <w:rPr>
          <w:rFonts w:ascii="Times New Roman" w:hAnsi="Times New Roman"/>
          <w:b/>
          <w:noProof/>
          <w:sz w:val="24"/>
        </w:rPr>
        <w:t>migránsok integrációját</w:t>
      </w:r>
      <w:r>
        <w:rPr>
          <w:rFonts w:ascii="Times New Roman" w:hAnsi="Times New Roman"/>
          <w:noProof/>
          <w:sz w:val="24"/>
        </w:rPr>
        <w:t xml:space="preserve"> elősegítő intézkedések, különös hangsúlyt fektetve a menedékkérőkre és menekültekre, valamint a gyermekekre. A források olyan célzott kezdeményezéseket is támogathatnak, mint például a nyelvi és szakmai készségek fejlesztése, a szolgáltatásokhoz való hozz</w:t>
      </w:r>
      <w:r>
        <w:rPr>
          <w:rFonts w:ascii="Times New Roman" w:hAnsi="Times New Roman"/>
          <w:noProof/>
          <w:sz w:val="24"/>
        </w:rPr>
        <w:t>áférés javítása, a munkaerőpiacra jutás elősegítése, az inkluzív oktatás, az interkulturális cserék élénkítése és a tudatosságnövelő kampányok előmozdítása, mind a befogadó közösségek, mind a migránsok körében.</w:t>
      </w:r>
    </w:p>
    <w:p w:rsidR="004C19BC" w:rsidRDefault="00F16D4C">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 fejlesztés előnyeinek maximális kihasználás</w:t>
      </w:r>
      <w:r>
        <w:rPr>
          <w:rFonts w:ascii="Times New Roman" w:hAnsi="Times New Roman"/>
          <w:i/>
          <w:noProof/>
          <w:sz w:val="24"/>
        </w:rPr>
        <w:t>a a származási országok által</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 jogszerű migrációra vonatkozó uniós szakpolitikának támogatnia kell a származási országok fejlődését is</w:t>
      </w:r>
      <w:r>
        <w:rPr>
          <w:rStyle w:val="FootnoteReference"/>
          <w:rFonts w:ascii="Times New Roman" w:hAnsi="Times New Roman"/>
          <w:noProof/>
          <w:sz w:val="24"/>
        </w:rPr>
        <w:footnoteReference w:id="47"/>
      </w:r>
      <w:r>
        <w:rPr>
          <w:rFonts w:ascii="Times New Roman" w:hAnsi="Times New Roman"/>
          <w:noProof/>
          <w:sz w:val="24"/>
        </w:rPr>
        <w:t xml:space="preserve">. Az Egyesült Nemzetek Szervezete hamarosan elfogadja a </w:t>
      </w:r>
      <w:r>
        <w:rPr>
          <w:rFonts w:ascii="Times New Roman" w:hAnsi="Times New Roman"/>
          <w:b/>
          <w:noProof/>
          <w:sz w:val="24"/>
        </w:rPr>
        <w:t>fenntartható fejlesztési célokat</w:t>
      </w:r>
      <w:r>
        <w:rPr>
          <w:rFonts w:ascii="Times New Roman" w:hAnsi="Times New Roman"/>
          <w:noProof/>
          <w:sz w:val="24"/>
        </w:rPr>
        <w:t>, amelyekbe bele kell foglalni a</w:t>
      </w:r>
      <w:r>
        <w:rPr>
          <w:rFonts w:ascii="Times New Roman" w:hAnsi="Times New Roman"/>
          <w:noProof/>
          <w:sz w:val="24"/>
        </w:rPr>
        <w:t xml:space="preserve"> migrációval kapcsolatos célokat is, az olyan területekre vonatkozó célok mellett, mint a tisztességes foglalkoztatás előmozdítása, az ifjúsági foglalkoztatás, a bérezés és a szociális védelemmel kapcsolatos szakpolitikák, amelyek segíthetik a származási o</w:t>
      </w:r>
      <w:r>
        <w:rPr>
          <w:rFonts w:ascii="Times New Roman" w:hAnsi="Times New Roman"/>
          <w:noProof/>
          <w:sz w:val="24"/>
        </w:rPr>
        <w:t>rszágokat abban, hogy jobb gazdasági lehetőségeket kínáljanak a saját határaikon belül. Az EU továbbra is aktívan támogatja a migrációval kapcsolatos, a végleges átfogó keret részét képező célokat, és hangsúlyozza annak fontosságát, hogy a migrációval járó</w:t>
      </w:r>
      <w:r>
        <w:rPr>
          <w:rFonts w:ascii="Times New Roman" w:hAnsi="Times New Roman"/>
          <w:noProof/>
          <w:sz w:val="24"/>
        </w:rPr>
        <w:t xml:space="preserve"> kedvező hatásokat a 2015 utáni fejlesztési menetrend horizontális végrehajtási eszközeként használjuk fel. Mindez kiegészíti az EU </w:t>
      </w:r>
      <w:r>
        <w:rPr>
          <w:rFonts w:ascii="Times New Roman" w:hAnsi="Times New Roman"/>
          <w:b/>
          <w:noProof/>
          <w:sz w:val="24"/>
        </w:rPr>
        <w:t>mobilitási partnerségének</w:t>
      </w:r>
      <w:r>
        <w:rPr>
          <w:rStyle w:val="FootnoteReference"/>
          <w:rFonts w:ascii="Times New Roman" w:hAnsi="Times New Roman"/>
          <w:noProof/>
          <w:sz w:val="24"/>
        </w:rPr>
        <w:footnoteReference w:id="48"/>
      </w:r>
      <w:r>
        <w:rPr>
          <w:rFonts w:ascii="Times New Roman" w:hAnsi="Times New Roman"/>
          <w:noProof/>
          <w:sz w:val="24"/>
        </w:rPr>
        <w:t xml:space="preserve"> munkáját, és hozzájárul arra irányuló erőfeszítéseinkhez, hogy a migrációs kérdéseknek kellő font</w:t>
      </w:r>
      <w:r>
        <w:rPr>
          <w:rFonts w:ascii="Times New Roman" w:hAnsi="Times New Roman"/>
          <w:noProof/>
          <w:sz w:val="24"/>
        </w:rPr>
        <w:t>osságot tulajdonítsanak a kulcsfontosságú fejlesztési ágazatokon belül.</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 Bizottság ezenfelül legalább 30 millió EUR támogatást bocsát a partnerei rendelkezésére a </w:t>
      </w:r>
      <w:r>
        <w:rPr>
          <w:rFonts w:ascii="Times New Roman" w:hAnsi="Times New Roman"/>
          <w:b/>
          <w:noProof/>
          <w:sz w:val="24"/>
        </w:rPr>
        <w:t>munkaerő-migráció hatékony kezelését</w:t>
      </w:r>
      <w:r>
        <w:rPr>
          <w:rFonts w:ascii="Times New Roman" w:hAnsi="Times New Roman"/>
          <w:noProof/>
          <w:sz w:val="24"/>
        </w:rPr>
        <w:t xml:space="preserve"> szolgáló kapacitásépítés céljára, ennek keretében a fő </w:t>
      </w:r>
      <w:r>
        <w:rPr>
          <w:rFonts w:ascii="Times New Roman" w:hAnsi="Times New Roman"/>
          <w:noProof/>
          <w:sz w:val="24"/>
        </w:rPr>
        <w:t>hangsúlyt a migráns munkavállalók jogainak erősítése és a kizsákmányolás elleni küzdelem kapja. A foglalkozási mobilitásra épülő egységes európai piac sikeres létrehozásának analógiájára az EU 24 millió EUR költségvetésű kezdeményezést indított el a Nyugat</w:t>
      </w:r>
      <w:r>
        <w:rPr>
          <w:rFonts w:ascii="Times New Roman" w:hAnsi="Times New Roman"/>
          <w:noProof/>
          <w:sz w:val="24"/>
        </w:rPr>
        <w:t xml:space="preserve">-afrikai Államok Gazdasági Közösségén belüli szabad mozgás támogatására. A </w:t>
      </w:r>
      <w:r>
        <w:rPr>
          <w:rFonts w:ascii="Times New Roman" w:hAnsi="Times New Roman"/>
          <w:b/>
          <w:noProof/>
          <w:sz w:val="24"/>
        </w:rPr>
        <w:t>dél-dél irányú mobilitást</w:t>
      </w:r>
      <w:r>
        <w:rPr>
          <w:rFonts w:ascii="Times New Roman" w:hAnsi="Times New Roman"/>
          <w:noProof/>
          <w:sz w:val="24"/>
        </w:rPr>
        <w:t xml:space="preserve"> ösztönző regionális munkavállalói mobilitási programok jelentősen hozzájárulhatnak a helyi fejlődéshez. A Bizottság elősegíti továbbá – az adott területre </w:t>
      </w:r>
      <w:r>
        <w:rPr>
          <w:rFonts w:ascii="Times New Roman" w:hAnsi="Times New Roman"/>
          <w:noProof/>
          <w:sz w:val="24"/>
        </w:rPr>
        <w:t>vonatkozó nemzetközi kezdeményezések támogatása útján – az etikus munkaerő-toborzást azokban az ágazatokban, amelyekben a származási országok a képzett munkaerő hiányával küzdenek.</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Az EU többek között az </w:t>
      </w:r>
      <w:r>
        <w:rPr>
          <w:rFonts w:ascii="Times New Roman" w:hAnsi="Times New Roman"/>
          <w:b/>
          <w:noProof/>
          <w:sz w:val="24"/>
        </w:rPr>
        <w:t>olcsóbb, gyorsabb és biztonságosabb pénzátutalás</w:t>
      </w:r>
      <w:r>
        <w:rPr>
          <w:rFonts w:ascii="Times New Roman" w:hAnsi="Times New Roman"/>
          <w:noProof/>
          <w:sz w:val="24"/>
        </w:rPr>
        <w:t xml:space="preserve"> lehetővé tételével is biztosíthatja, hogy a származási országok kihasználják a migrációból fakadó előnyöket. A belső piaci pénzforgalmi szolgáltatásokról szóló második uniós irányelvre</w:t>
      </w:r>
      <w:r>
        <w:rPr>
          <w:rStyle w:val="FootnoteReference"/>
          <w:rFonts w:ascii="Times New Roman" w:hAnsi="Times New Roman"/>
          <w:noProof/>
          <w:sz w:val="24"/>
        </w:rPr>
        <w:footnoteReference w:id="49"/>
      </w:r>
      <w:r>
        <w:rPr>
          <w:rFonts w:ascii="Times New Roman" w:hAnsi="Times New Roman"/>
          <w:noProof/>
          <w:sz w:val="24"/>
        </w:rPr>
        <w:t xml:space="preserve"> irányuló javaslat elfogadása erősíti a pénzátutalások szabályozási kö</w:t>
      </w:r>
      <w:r>
        <w:rPr>
          <w:rFonts w:ascii="Times New Roman" w:hAnsi="Times New Roman"/>
          <w:noProof/>
          <w:sz w:val="24"/>
        </w:rPr>
        <w:t>rnyezetét, és legalább 15 millió EUR-t bocsátanak rendelkezésre a Fejlesztési Együttműködési Eszközön keresztül a fejlődő országokban megvalósuló kiemelt kezdeményezések támogatására.</w:t>
      </w:r>
    </w:p>
    <w:p w:rsidR="004C19BC" w:rsidRDefault="004C19BC">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4C19BC">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19BC" w:rsidRDefault="00F16D4C">
            <w:pPr>
              <w:jc w:val="center"/>
              <w:rPr>
                <w:rFonts w:ascii="Times New Roman" w:hAnsi="Times New Roman" w:cs="Times New Roman"/>
                <w:b/>
                <w:i/>
                <w:noProof/>
                <w:sz w:val="20"/>
                <w:szCs w:val="20"/>
              </w:rPr>
            </w:pPr>
            <w:r>
              <w:rPr>
                <w:rFonts w:ascii="Times New Roman" w:hAnsi="Times New Roman"/>
                <w:b/>
                <w:i/>
                <w:noProof/>
                <w:sz w:val="20"/>
              </w:rPr>
              <w:t>Fő intézkedések</w:t>
            </w:r>
          </w:p>
        </w:tc>
        <w:tc>
          <w:tcPr>
            <w:tcW w:w="7620" w:type="dxa"/>
            <w:tcBorders>
              <w:top w:val="single" w:sz="4" w:space="0" w:color="auto"/>
              <w:left w:val="single" w:sz="4" w:space="0" w:color="auto"/>
              <w:bottom w:val="single" w:sz="4" w:space="0" w:color="auto"/>
              <w:right w:val="single" w:sz="4" w:space="0" w:color="auto"/>
            </w:tcBorders>
          </w:tcPr>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 kékkártya-rendszer korszerűsítése és átdolgozása.</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Fór</w:t>
            </w:r>
            <w:r>
              <w:rPr>
                <w:rFonts w:ascii="Times New Roman" w:hAnsi="Times New Roman"/>
                <w:noProof/>
                <w:sz w:val="20"/>
              </w:rPr>
              <w:t>um a szociális partnerekkel a gazdasági migrációról folytatott párbeszéd számára.</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Határozottabb fellépés a migráció és a fejlesztési politika összekapcsolása érdekében.</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Az integrációs politikák finanszírozási prioritásainak újbóli meghatározása.</w:t>
            </w:r>
          </w:p>
          <w:p w:rsidR="004C19BC" w:rsidRDefault="00F16D4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Olcsóbb, g</w:t>
            </w:r>
            <w:r>
              <w:rPr>
                <w:rFonts w:ascii="Times New Roman" w:hAnsi="Times New Roman"/>
                <w:noProof/>
                <w:sz w:val="20"/>
              </w:rPr>
              <w:t>yorsabb és biztonságosabb készpénzátutalás.</w:t>
            </w:r>
          </w:p>
        </w:tc>
      </w:tr>
    </w:tbl>
    <w:p w:rsidR="004C19BC" w:rsidRDefault="004C19BC">
      <w:pPr>
        <w:tabs>
          <w:tab w:val="left" w:pos="6750"/>
        </w:tabs>
        <w:spacing w:line="240" w:lineRule="auto"/>
        <w:rPr>
          <w:rFonts w:ascii="Times New Roman" w:hAnsi="Times New Roman" w:cs="Times New Roman"/>
          <w:b/>
          <w:noProof/>
          <w:sz w:val="20"/>
          <w:szCs w:val="20"/>
        </w:rPr>
      </w:pPr>
    </w:p>
    <w:p w:rsidR="004C19BC" w:rsidRDefault="00F16D4C">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Merre tovább?</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Ez a stratégia elsősorban olyan megoldásokra összpontosít, amelyek révén Európa rövid és középtávon továbbléphet a szóban forgó területeken. Amennyiben azonban hatékonyan, fenntartható módon </w:t>
      </w:r>
      <w:r>
        <w:rPr>
          <w:rFonts w:ascii="Times New Roman" w:hAnsi="Times New Roman"/>
          <w:noProof/>
          <w:sz w:val="24"/>
        </w:rPr>
        <w:t>és hosszú távon kívánjuk orvosolni ezeket a problémákat, tovább kell fejlesztenünk a migráció területén kifejtett európai együttműködést.</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Az e stratégiában foglalt kezdeményezések alapvető fontosságúak lesznek az eredményes és kiegyensúlyozott európai migr</w:t>
      </w:r>
      <w:r>
        <w:rPr>
          <w:rFonts w:ascii="Times New Roman" w:hAnsi="Times New Roman"/>
          <w:noProof/>
          <w:sz w:val="24"/>
        </w:rPr>
        <w:t>ációs politika kialakítása során. A Szerződések és a vonatkozó jegyzőkönyvek hatályán belül a Bizottság párhuzamos gondolkozást indít el a következő területeken:</w:t>
      </w:r>
    </w:p>
    <w:p w:rsidR="004C19BC" w:rsidRDefault="00F16D4C">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rsidR="004C19BC" w:rsidRDefault="00F16D4C">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A közös európai menekültügyi rendszer kiépítésének befejezése</w:t>
      </w:r>
      <w:r>
        <w:rPr>
          <w:rFonts w:ascii="Times New Roman" w:hAnsi="Times New Roman"/>
          <w:noProof/>
          <w:sz w:val="24"/>
        </w:rPr>
        <w:t xml:space="preserve"> Az EU-Szerződések az egész Unióban érvényes, egységes menekültstátuszt vetítenek előre.</w:t>
      </w:r>
      <w:r>
        <w:rPr>
          <w:noProof/>
        </w:rPr>
        <w:t xml:space="preserve"> </w:t>
      </w:r>
      <w:r>
        <w:rPr>
          <w:rFonts w:ascii="Times New Roman" w:hAnsi="Times New Roman"/>
          <w:noProof/>
          <w:sz w:val="24"/>
        </w:rPr>
        <w:t>A Bizottság széles körű vitát indít a közös európai menekültügyi rendszer fejlesztésének következő lépéseiről, ideértve a közös menekültügyi törvénykönyvvel kapcsolato</w:t>
      </w:r>
      <w:r>
        <w:rPr>
          <w:rFonts w:ascii="Times New Roman" w:hAnsi="Times New Roman"/>
          <w:noProof/>
          <w:sz w:val="24"/>
        </w:rPr>
        <w:t>s kérdéseket, valamint a menekültügyi határozatok kölcsönös elismerését</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A vita keretében hosszabb távú gondolkodás kezdődik az egységes menekültügyi döntéshozatali eljárás kialakításáról is, amelynek az lenne a célja, hogy egész Európában garantálják a m</w:t>
      </w:r>
      <w:r>
        <w:rPr>
          <w:rFonts w:ascii="Times New Roman" w:hAnsi="Times New Roman"/>
          <w:noProof/>
          <w:sz w:val="24"/>
        </w:rPr>
        <w:t>enedékkérőkkel való egyenlő bánásmódot.</w:t>
      </w:r>
    </w:p>
    <w:p w:rsidR="004C19BC" w:rsidRDefault="004C19BC">
      <w:pPr>
        <w:pStyle w:val="ListParagraph"/>
        <w:spacing w:before="120" w:after="0" w:line="240" w:lineRule="auto"/>
        <w:jc w:val="both"/>
        <w:rPr>
          <w:rFonts w:ascii="Times New Roman" w:hAnsi="Times New Roman" w:cs="Times New Roman"/>
          <w:b/>
          <w:noProof/>
          <w:sz w:val="24"/>
          <w:szCs w:val="24"/>
        </w:rPr>
      </w:pPr>
    </w:p>
    <w:p w:rsidR="004C19BC" w:rsidRDefault="00F16D4C">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Az európai határok megosztott igazgatása:</w:t>
      </w:r>
      <w:r>
        <w:rPr>
          <w:rFonts w:ascii="Times New Roman" w:hAnsi="Times New Roman"/>
          <w:noProof/>
          <w:sz w:val="24"/>
        </w:rPr>
        <w:t xml:space="preserve"> A földközi-tengeri térségben végrehajtott fellépések számának emelkedésével nyilvánvalóvá vált, hogy a külső határok igazgatása egyre inkább megosztott felelősség. Ez az eur</w:t>
      </w:r>
      <w:r>
        <w:rPr>
          <w:rFonts w:ascii="Times New Roman" w:hAnsi="Times New Roman"/>
          <w:noProof/>
          <w:sz w:val="24"/>
        </w:rPr>
        <w:t>ópai határőrizeti rendszer</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51"/>
      </w:r>
      <w:r>
        <w:rPr>
          <w:rFonts w:ascii="Times New Roman" w:hAnsi="Times New Roman"/>
          <w:noProof/>
          <w:sz w:val="24"/>
        </w:rPr>
        <w:t xml:space="preserve"> létrehozásán túl kiterjed az EU-n belüli parti őrségi feladatokra vonatkozó új megközelítésre, olyan kezdeményezések vizsgálatára, mint az eszközök megosztása, a közös gyakorlatok és a források kettős felhasználása, valamint az</w:t>
      </w:r>
      <w:r>
        <w:rPr>
          <w:rFonts w:ascii="Times New Roman" w:hAnsi="Times New Roman"/>
          <w:noProof/>
          <w:sz w:val="24"/>
        </w:rPr>
        <w:t xml:space="preserve"> európai parti őrség felé történő elmozdulás lehetőségére.</w:t>
      </w:r>
    </w:p>
    <w:p w:rsidR="004C19BC" w:rsidRDefault="004C19BC">
      <w:pPr>
        <w:pStyle w:val="ListParagraph"/>
        <w:spacing w:line="240" w:lineRule="auto"/>
        <w:rPr>
          <w:rFonts w:ascii="Times New Roman" w:hAnsi="Times New Roman" w:cs="Times New Roman"/>
          <w:noProof/>
          <w:sz w:val="24"/>
          <w:szCs w:val="24"/>
        </w:rPr>
      </w:pPr>
    </w:p>
    <w:p w:rsidR="004C19BC" w:rsidRDefault="00F16D4C">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A jogszerű migráció új modellje:</w:t>
      </w:r>
      <w:r>
        <w:rPr>
          <w:rFonts w:ascii="Times New Roman" w:hAnsi="Times New Roman"/>
          <w:noProof/>
          <w:sz w:val="24"/>
        </w:rPr>
        <w:t xml:space="preserve"> Az EU-Szerződések alapján a gazdasági migránsok befogadásával kapcsolatos végső döntés a tagállamok hatáskörébe tartozik. Mindazonáltal az EU-nak meg kell vizsgáln</w:t>
      </w:r>
      <w:r>
        <w:rPr>
          <w:rFonts w:ascii="Times New Roman" w:hAnsi="Times New Roman"/>
          <w:noProof/>
          <w:sz w:val="24"/>
        </w:rPr>
        <w:t>ia, hogy ez a korlátozás miként egyeztetethető össze az uniós gazdaság közös érdekeivel. A Bizottságnak különösen egy, a tagállamokkal együtt létrehozandó „szándéknyilatkozati rendszer” lehetőségét kell mérlegelnie. Ez ellenőrizhető kritériumok alapján elő</w:t>
      </w:r>
      <w:r>
        <w:rPr>
          <w:rFonts w:ascii="Times New Roman" w:hAnsi="Times New Roman"/>
          <w:noProof/>
          <w:sz w:val="24"/>
        </w:rPr>
        <w:t>ször automatikusan kiválasztaná a potenciális migránsokat, majd a munkáltatók a pályázói állományból azonosítanák a prioritásaiknak megfelelő jelentkezőket, és a migrációra azt követően kerülne sor, hogy a migráns állásajánlatot kapott. Ez lehetővé tenné a</w:t>
      </w:r>
      <w:r>
        <w:rPr>
          <w:rFonts w:ascii="Times New Roman" w:hAnsi="Times New Roman"/>
          <w:noProof/>
          <w:sz w:val="24"/>
        </w:rPr>
        <w:t xml:space="preserve"> szakképzett migránsokból álló „uniós szintű pályázói állomány” létrehozását, amely a munkáltatók és a tagállami hatóságok számára egyaránt hozzáférhető – de a nemzeti hatáskörben maradó jelenlegi kiválasztási és befogadási eljárással, a tagállamok tényleg</w:t>
      </w:r>
      <w:r>
        <w:rPr>
          <w:rFonts w:ascii="Times New Roman" w:hAnsi="Times New Roman"/>
          <w:noProof/>
          <w:sz w:val="24"/>
        </w:rPr>
        <w:t>es munkaerő-piaci szükségletei alapján.</w:t>
      </w:r>
    </w:p>
    <w:p w:rsidR="004C19BC" w:rsidRDefault="004C19BC">
      <w:pPr>
        <w:rPr>
          <w:rFonts w:ascii="Times New Roman" w:hAnsi="Times New Roman" w:cs="Times New Roman"/>
          <w:noProof/>
          <w:sz w:val="24"/>
          <w:szCs w:val="24"/>
        </w:rPr>
      </w:pPr>
    </w:p>
    <w:p w:rsidR="004C19BC" w:rsidRDefault="00F16D4C">
      <w:pPr>
        <w:rPr>
          <w:rFonts w:ascii="Times New Roman" w:hAnsi="Times New Roman"/>
          <w:b/>
          <w:bCs/>
          <w:noProof/>
          <w:sz w:val="24"/>
          <w:szCs w:val="24"/>
        </w:rPr>
      </w:pPr>
      <w:r>
        <w:rPr>
          <w:noProof/>
        </w:rPr>
        <w:br w:type="page"/>
      </w:r>
    </w:p>
    <w:p w:rsidR="004C19BC" w:rsidRDefault="00F16D4C">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MELLÉKLET</w:t>
      </w:r>
    </w:p>
    <w:p w:rsidR="004C19BC" w:rsidRDefault="004C19BC">
      <w:pPr>
        <w:autoSpaceDE w:val="0"/>
        <w:autoSpaceDN w:val="0"/>
        <w:adjustRightInd w:val="0"/>
        <w:spacing w:after="0" w:line="360" w:lineRule="auto"/>
        <w:jc w:val="center"/>
        <w:rPr>
          <w:rFonts w:ascii="Times New Roman" w:hAnsi="Times New Roman"/>
          <w:b/>
          <w:bCs/>
          <w:noProof/>
          <w:sz w:val="24"/>
          <w:szCs w:val="24"/>
        </w:rPr>
      </w:pPr>
    </w:p>
    <w:p w:rsidR="004C19BC" w:rsidRDefault="00F16D4C">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Európai áthelyezési és letelepítési rendszerek</w:t>
      </w:r>
    </w:p>
    <w:p w:rsidR="004C19BC" w:rsidRDefault="00F16D4C">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Áthelyezés</w:t>
      </w:r>
    </w:p>
    <w:p w:rsidR="004C19BC" w:rsidRDefault="00F16D4C">
      <w:pPr>
        <w:spacing w:after="120" w:line="240" w:lineRule="auto"/>
        <w:jc w:val="both"/>
        <w:rPr>
          <w:rFonts w:ascii="Times New Roman" w:eastAsia="Times New Roman" w:hAnsi="Times New Roman"/>
          <w:noProof/>
          <w:sz w:val="24"/>
          <w:szCs w:val="24"/>
        </w:rPr>
      </w:pPr>
      <w:r>
        <w:rPr>
          <w:rFonts w:ascii="Times New Roman" w:hAnsi="Times New Roman"/>
          <w:noProof/>
          <w:sz w:val="24"/>
        </w:rPr>
        <w:t>Áthelyezés alatt az egyértelműen nemzetközi védelemre szoruló személyek tagállamok közötti elosztása értendő.</w:t>
      </w:r>
    </w:p>
    <w:p w:rsidR="004C19BC" w:rsidRDefault="00F16D4C">
      <w:pPr>
        <w:spacing w:before="120" w:after="120" w:line="240" w:lineRule="auto"/>
        <w:jc w:val="both"/>
        <w:rPr>
          <w:rFonts w:ascii="Times New Roman" w:hAnsi="Times New Roman"/>
          <w:noProof/>
          <w:sz w:val="24"/>
          <w:szCs w:val="24"/>
        </w:rPr>
      </w:pPr>
      <w:r>
        <w:rPr>
          <w:rFonts w:ascii="Times New Roman" w:hAnsi="Times New Roman"/>
          <w:noProof/>
          <w:sz w:val="24"/>
        </w:rPr>
        <w:t xml:space="preserve">A Bizottság május végéig javaslatot tesz az Európai Unió működéséről szóló szerződés 78. cikkének (3) bekezdése szerinti veszélyhelyzeti reagáló rendszer aktivizálására, és egy elosztási kulcs alapján működő, </w:t>
      </w:r>
      <w:r>
        <w:rPr>
          <w:rFonts w:ascii="Times New Roman" w:hAnsi="Times New Roman"/>
          <w:b/>
          <w:noProof/>
          <w:sz w:val="24"/>
        </w:rPr>
        <w:t>ideiglenes európai áthelyezési rendszert</w:t>
      </w:r>
      <w:r>
        <w:rPr>
          <w:rFonts w:ascii="Times New Roman" w:hAnsi="Times New Roman"/>
          <w:noProof/>
          <w:sz w:val="24"/>
        </w:rPr>
        <w:t xml:space="preserve"> vezet </w:t>
      </w:r>
      <w:r>
        <w:rPr>
          <w:rFonts w:ascii="Times New Roman" w:hAnsi="Times New Roman"/>
          <w:noProof/>
          <w:sz w:val="24"/>
        </w:rPr>
        <w:t>be az egyértelműen nemzetközi védelemre szoruló menedékkérők számára.</w:t>
      </w:r>
    </w:p>
    <w:p w:rsidR="004C19BC" w:rsidRDefault="00F16D4C">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Az elosztási kulcs</w:t>
      </w:r>
      <w:r>
        <w:rPr>
          <w:rFonts w:ascii="Times New Roman" w:hAnsi="Times New Roman"/>
          <w:noProof/>
          <w:sz w:val="24"/>
        </w:rPr>
        <w:t xml:space="preserve"> </w:t>
      </w:r>
      <w:r>
        <w:rPr>
          <w:rFonts w:ascii="Times New Roman" w:hAnsi="Times New Roman"/>
          <w:b/>
          <w:noProof/>
          <w:sz w:val="24"/>
        </w:rPr>
        <w:t>objektív, számszerűsíthető és ellenőrizhető kritériumokon</w:t>
      </w:r>
      <w:r>
        <w:rPr>
          <w:rFonts w:ascii="Times New Roman" w:hAnsi="Times New Roman"/>
          <w:noProof/>
          <w:sz w:val="24"/>
        </w:rPr>
        <w:t xml:space="preserve"> alapul majd, </w:t>
      </w:r>
      <w:r>
        <w:rPr>
          <w:rFonts w:ascii="Times New Roman" w:hAnsi="Times New Roman"/>
          <w:b/>
          <w:noProof/>
          <w:sz w:val="24"/>
        </w:rPr>
        <w:t>amely tükrözi a tagállamok menekültbefogadási és -integrálási kapacitását</w:t>
      </w:r>
      <w:r>
        <w:rPr>
          <w:rFonts w:ascii="Times New Roman" w:hAnsi="Times New Roman"/>
          <w:noProof/>
          <w:sz w:val="24"/>
        </w:rPr>
        <w:t>; a kritériumok relatív</w:t>
      </w:r>
      <w:r>
        <w:rPr>
          <w:rFonts w:ascii="Times New Roman" w:hAnsi="Times New Roman"/>
          <w:noProof/>
          <w:sz w:val="24"/>
        </w:rPr>
        <w:t xml:space="preserve"> fontosságát megfelelő súlyozó tényezők jelzik (</w:t>
      </w:r>
      <w:r>
        <w:rPr>
          <w:rFonts w:ascii="Times New Roman" w:hAnsi="Times New Roman"/>
          <w:i/>
          <w:noProof/>
          <w:sz w:val="24"/>
        </w:rPr>
        <w:t>lásd: 1. táblázat</w:t>
      </w:r>
      <w:r>
        <w:rPr>
          <w:rFonts w:ascii="Times New Roman" w:hAnsi="Times New Roman"/>
          <w:noProof/>
          <w:sz w:val="24"/>
        </w:rPr>
        <w:t>). E kulcs az alábbi elemeken alapul majd</w:t>
      </w:r>
      <w:r>
        <w:rPr>
          <w:rStyle w:val="FootnoteReference"/>
          <w:rFonts w:ascii="Times New Roman" w:hAnsi="Times New Roman"/>
          <w:noProof/>
          <w:sz w:val="24"/>
        </w:rPr>
        <w:footnoteReference w:id="52"/>
      </w:r>
      <w:r>
        <w:rPr>
          <w:rFonts w:ascii="Times New Roman" w:hAnsi="Times New Roman"/>
          <w:noProof/>
          <w:sz w:val="24"/>
        </w:rPr>
        <w:t>:</w:t>
      </w:r>
    </w:p>
    <w:p w:rsidR="004C19BC" w:rsidRDefault="00F16D4C">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a lakosság létszáma (40 %), mivel az tükrözi, hogy az adott tagállam milyen számú menekült fogadására képes;</w:t>
      </w:r>
    </w:p>
    <w:p w:rsidR="004C19BC" w:rsidRDefault="00F16D4C">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a teljes GDP</w:t>
      </w:r>
      <w:r>
        <w:rPr>
          <w:rStyle w:val="FootnoteReference"/>
          <w:rFonts w:ascii="Times New Roman" w:hAnsi="Times New Roman"/>
          <w:noProof/>
          <w:sz w:val="24"/>
        </w:rPr>
        <w:footnoteReference w:id="53"/>
      </w:r>
      <w:r>
        <w:rPr>
          <w:rFonts w:ascii="Times New Roman" w:hAnsi="Times New Roman"/>
          <w:noProof/>
          <w:sz w:val="24"/>
        </w:rPr>
        <w:t xml:space="preserve"> (40 %), mivel ebből köve</w:t>
      </w:r>
      <w:r>
        <w:rPr>
          <w:rFonts w:ascii="Times New Roman" w:hAnsi="Times New Roman"/>
          <w:noProof/>
          <w:sz w:val="24"/>
        </w:rPr>
        <w:t>tkeztetni lehet az ország abszolút jólétére, így arra is, hogy egy gazdaság milyen mértékben képes menekültek fogadására és integrálására;</w:t>
      </w:r>
    </w:p>
    <w:p w:rsidR="004C19BC" w:rsidRDefault="00F16D4C">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a spontán menedékkérelmek átlagos száma és az 1 millió lakosra jutó letelepített menekültek száma a 2010–2014 közötti</w:t>
      </w:r>
      <w:r>
        <w:rPr>
          <w:rFonts w:ascii="Times New Roman" w:hAnsi="Times New Roman"/>
          <w:noProof/>
          <w:sz w:val="24"/>
        </w:rPr>
        <w:t xml:space="preserve"> időszakban (10 %), mivel ez tükrözi az adott tagállam közelmúltbeli erőfeszítéseit;</w:t>
      </w:r>
    </w:p>
    <w:p w:rsidR="004C19BC" w:rsidRDefault="00F16D4C">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munkanélküliségi ráta (10 %), mivel ebből következtetni lehet a menekültek integrálásával kapcsolatos kapacitásra.</w:t>
      </w:r>
    </w:p>
    <w:p w:rsidR="004C19BC" w:rsidRDefault="00F16D4C">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Az egyes tagállamokba áthelyezendő menekültek tényleges </w:t>
      </w:r>
      <w:r>
        <w:rPr>
          <w:rFonts w:ascii="Times New Roman" w:hAnsi="Times New Roman"/>
          <w:noProof/>
          <w:sz w:val="24"/>
        </w:rPr>
        <w:t>száma az áthelyezendő menekültek összlétszámától függ, és ezt a jogszabályjavaslat tartalmazza majd.</w:t>
      </w:r>
    </w:p>
    <w:p w:rsidR="004C19BC" w:rsidRDefault="00F16D4C">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A megállapított szabályoknak és garanciáknak megfelelően a fogadó tagállam lesz felelős a menedékkérelmek vizsgálatáért.</w:t>
      </w:r>
    </w:p>
    <w:p w:rsidR="004C19BC" w:rsidRDefault="00F16D4C">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Az alapforgatókönyv szerinti elosz</w:t>
      </w:r>
      <w:r>
        <w:rPr>
          <w:rFonts w:ascii="Times New Roman" w:hAnsi="Times New Roman"/>
          <w:noProof/>
          <w:sz w:val="24"/>
        </w:rPr>
        <w:t>tási kulcs alkalmazása során számításba kell venni a konkrét válsághelyzetet. Az olyan tagállamok, ahonnan áthelyezés történik, nem vehetők figyelembe áthelyezési célországként. A javaslat tükrözi majd az Egyesült Királyság, Írország és Dánia helyzetét a S</w:t>
      </w:r>
      <w:r>
        <w:rPr>
          <w:rFonts w:ascii="Times New Roman" w:hAnsi="Times New Roman"/>
          <w:noProof/>
          <w:sz w:val="24"/>
        </w:rPr>
        <w:t>zerződések vonatkozó jegyzőkönyveiben foglaltaknak megfelelően.</w:t>
      </w:r>
    </w:p>
    <w:p w:rsidR="004C19BC" w:rsidRDefault="004C19BC">
      <w:pPr>
        <w:autoSpaceDE w:val="0"/>
        <w:autoSpaceDN w:val="0"/>
        <w:adjustRightInd w:val="0"/>
        <w:spacing w:after="120" w:line="240" w:lineRule="auto"/>
        <w:jc w:val="both"/>
        <w:rPr>
          <w:rFonts w:ascii="Times New Roman" w:hAnsi="Times New Roman"/>
          <w:noProof/>
          <w:sz w:val="24"/>
          <w:szCs w:val="24"/>
        </w:rPr>
      </w:pPr>
    </w:p>
    <w:p w:rsidR="004C19BC" w:rsidRDefault="00F16D4C">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Letelepítés</w:t>
      </w:r>
    </w:p>
    <w:p w:rsidR="004C19BC" w:rsidRDefault="00F16D4C">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Letelepítés alatt az egyértelműen nemzetközi védelemre szoruló, a lakóhelyüket egyénileg elhagyni kényszerült személyek átszállítása értendő valamely harmadik országból egy uniós </w:t>
      </w:r>
      <w:r>
        <w:rPr>
          <w:rFonts w:ascii="Times New Roman" w:hAnsi="Times New Roman"/>
          <w:noProof/>
          <w:sz w:val="24"/>
        </w:rPr>
        <w:t>tagállamba, amelyre az Egyesült Nemzetek menekültügyi főbiztosának kérelmére és a letelepítés helye szerinti ország beleegyezésével kerül sor, mely országban az érintett személyt befogadják, tartózkodási jogot, valamint minden más hasonló jogot biztosítana</w:t>
      </w:r>
      <w:r>
        <w:rPr>
          <w:rFonts w:ascii="Times New Roman" w:hAnsi="Times New Roman"/>
          <w:noProof/>
          <w:sz w:val="24"/>
        </w:rPr>
        <w:t>k számára, amely a nemzetközi védelemben részesülő személyeket megilleti.</w:t>
      </w:r>
    </w:p>
    <w:p w:rsidR="004C19BC" w:rsidRDefault="00F16D4C">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A Bizottság május végére ajánlást fogad el az </w:t>
      </w:r>
      <w:r>
        <w:rPr>
          <w:rFonts w:ascii="Times New Roman" w:hAnsi="Times New Roman"/>
          <w:b/>
          <w:noProof/>
          <w:sz w:val="24"/>
        </w:rPr>
        <w:t>európai letelepítési rendszerről</w:t>
      </w:r>
      <w:r>
        <w:rPr>
          <w:rFonts w:ascii="Times New Roman" w:hAnsi="Times New Roman"/>
          <w:noProof/>
          <w:sz w:val="24"/>
        </w:rPr>
        <w:t>.</w:t>
      </w:r>
    </w:p>
    <w:p w:rsidR="004C19BC" w:rsidRDefault="00F16D4C">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Ez az ajánlás valamennyi tagállamra kiterjed. A társult államokat</w:t>
      </w:r>
      <w:r>
        <w:rPr>
          <w:rFonts w:ascii="Times New Roman" w:hAnsi="Times New Roman"/>
          <w:noProof/>
          <w:sz w:val="24"/>
        </w:rPr>
        <w:t xml:space="preserve"> felkérik</w:t>
      </w:r>
      <w:r>
        <w:rPr>
          <w:rFonts w:ascii="Times New Roman" w:hAnsi="Times New Roman"/>
          <w:b/>
          <w:noProof/>
          <w:sz w:val="24"/>
        </w:rPr>
        <w:t xml:space="preserve"> a rendszerben való részvételre</w:t>
      </w:r>
      <w:r>
        <w:rPr>
          <w:noProof/>
        </w:rPr>
        <w:t>.</w:t>
      </w:r>
      <w:r>
        <w:rPr>
          <w:rFonts w:ascii="Times New Roman" w:hAnsi="Times New Roman"/>
          <w:noProof/>
          <w:sz w:val="24"/>
        </w:rPr>
        <w:t xml:space="preserve"> Az összes felajánlott letelepítési hely tagállamok közötti megoszlásának arányát a fentebb az áthelyezési rendszerre vonatkozó részben bemutatott </w:t>
      </w:r>
      <w:r>
        <w:rPr>
          <w:rFonts w:ascii="Times New Roman" w:hAnsi="Times New Roman"/>
          <w:b/>
          <w:noProof/>
          <w:sz w:val="24"/>
        </w:rPr>
        <w:t>elosztási kulcs</w:t>
      </w:r>
      <w:r>
        <w:rPr>
          <w:rFonts w:ascii="Times New Roman" w:hAnsi="Times New Roman"/>
          <w:noProof/>
          <w:sz w:val="24"/>
        </w:rPr>
        <w:t xml:space="preserve"> segítségével állapítják meg (</w:t>
      </w:r>
      <w:r>
        <w:rPr>
          <w:rFonts w:ascii="Times New Roman" w:hAnsi="Times New Roman"/>
          <w:i/>
          <w:noProof/>
          <w:sz w:val="24"/>
        </w:rPr>
        <w:t>lásd: 2. táblázat</w:t>
      </w:r>
      <w:r>
        <w:rPr>
          <w:rFonts w:ascii="Times New Roman" w:hAnsi="Times New Roman"/>
          <w:noProof/>
          <w:sz w:val="24"/>
        </w:rPr>
        <w:t>).</w:t>
      </w:r>
    </w:p>
    <w:p w:rsidR="004C19BC" w:rsidRDefault="00F16D4C">
      <w:pPr>
        <w:spacing w:after="120" w:line="240" w:lineRule="auto"/>
        <w:jc w:val="both"/>
        <w:rPr>
          <w:rFonts w:ascii="Times New Roman" w:hAnsi="Times New Roman"/>
          <w:noProof/>
          <w:sz w:val="24"/>
          <w:szCs w:val="24"/>
        </w:rPr>
      </w:pPr>
      <w:r>
        <w:rPr>
          <w:rFonts w:ascii="Times New Roman" w:hAnsi="Times New Roman"/>
          <w:noProof/>
          <w:sz w:val="24"/>
        </w:rPr>
        <w:t>A rendszer k</w:t>
      </w:r>
      <w:r>
        <w:rPr>
          <w:rFonts w:ascii="Times New Roman" w:hAnsi="Times New Roman"/>
          <w:noProof/>
          <w:sz w:val="24"/>
        </w:rPr>
        <w:t xml:space="preserve">eretében </w:t>
      </w:r>
      <w:r>
        <w:rPr>
          <w:rFonts w:ascii="Times New Roman" w:hAnsi="Times New Roman"/>
          <w:b/>
          <w:noProof/>
          <w:sz w:val="24"/>
        </w:rPr>
        <w:t>20 000</w:t>
      </w:r>
      <w:r>
        <w:rPr>
          <w:rFonts w:ascii="Times New Roman" w:hAnsi="Times New Roman"/>
          <w:noProof/>
          <w:sz w:val="24"/>
        </w:rPr>
        <w:t xml:space="preserve"> letelepítési helyből álló </w:t>
      </w:r>
      <w:r>
        <w:rPr>
          <w:rFonts w:ascii="Times New Roman" w:hAnsi="Times New Roman"/>
          <w:b/>
          <w:noProof/>
          <w:sz w:val="24"/>
        </w:rPr>
        <w:t xml:space="preserve">egységes európai felajánlásra </w:t>
      </w:r>
      <w:r>
        <w:rPr>
          <w:rFonts w:ascii="Times New Roman" w:hAnsi="Times New Roman"/>
          <w:noProof/>
          <w:sz w:val="24"/>
        </w:rPr>
        <w:t>kerül sor.</w:t>
      </w:r>
    </w:p>
    <w:p w:rsidR="004C19BC" w:rsidRDefault="00F16D4C">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A </w:t>
      </w:r>
      <w:r>
        <w:rPr>
          <w:rFonts w:ascii="Times New Roman" w:hAnsi="Times New Roman"/>
          <w:b/>
          <w:noProof/>
          <w:sz w:val="24"/>
        </w:rPr>
        <w:t>Bizottság</w:t>
      </w:r>
      <w:r>
        <w:rPr>
          <w:rFonts w:ascii="Times New Roman" w:hAnsi="Times New Roman"/>
          <w:noProof/>
          <w:sz w:val="24"/>
        </w:rPr>
        <w:t xml:space="preserve"> 2015-re és 2016-ra vonatkozóan összesen további 50 millió EUR rendelkezésre bocsátásával </w:t>
      </w:r>
      <w:r>
        <w:rPr>
          <w:rFonts w:ascii="Times New Roman" w:hAnsi="Times New Roman"/>
          <w:b/>
          <w:noProof/>
          <w:sz w:val="24"/>
        </w:rPr>
        <w:t>járul hozzá a rendszer működéséhez</w:t>
      </w:r>
      <w:r>
        <w:rPr>
          <w:rFonts w:ascii="Times New Roman" w:hAnsi="Times New Roman"/>
          <w:noProof/>
          <w:sz w:val="24"/>
        </w:rPr>
        <w:t>.</w:t>
      </w:r>
    </w:p>
    <w:p w:rsidR="004C19BC" w:rsidRDefault="00F16D4C">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A </w:t>
      </w:r>
      <w:r>
        <w:rPr>
          <w:rFonts w:ascii="Times New Roman" w:hAnsi="Times New Roman"/>
          <w:b/>
          <w:noProof/>
          <w:sz w:val="24"/>
        </w:rPr>
        <w:t>letelepítés szempontjából prioritá</w:t>
      </w:r>
      <w:r>
        <w:rPr>
          <w:rFonts w:ascii="Times New Roman" w:hAnsi="Times New Roman"/>
          <w:b/>
          <w:noProof/>
          <w:sz w:val="24"/>
        </w:rPr>
        <w:t>st élvező régiók</w:t>
      </w:r>
      <w:r>
        <w:rPr>
          <w:rFonts w:ascii="Times New Roman" w:hAnsi="Times New Roman"/>
          <w:noProof/>
          <w:sz w:val="24"/>
        </w:rPr>
        <w:t xml:space="preserve"> közé tartozik majd Észak-Afrika, a Közel-Kelet, Afrika szarva – különös hangsúlyt kapnak azok az országok, ahol folyamatban van a regionális fejlesztési és védelmi programok végrehajtása. A rendszer szoros kapcsolatot kíván kiépíteni e pro</w:t>
      </w:r>
      <w:r>
        <w:rPr>
          <w:rFonts w:ascii="Times New Roman" w:hAnsi="Times New Roman"/>
          <w:noProof/>
          <w:sz w:val="24"/>
        </w:rPr>
        <w:t>gramokkal.</w:t>
      </w:r>
    </w:p>
    <w:p w:rsidR="004C19BC" w:rsidRDefault="00F16D4C">
      <w:pPr>
        <w:pStyle w:val="Point123"/>
        <w:numPr>
          <w:ilvl w:val="0"/>
          <w:numId w:val="0"/>
        </w:numPr>
        <w:spacing w:before="0" w:line="240" w:lineRule="auto"/>
        <w:jc w:val="both"/>
        <w:rPr>
          <w:noProof/>
        </w:rPr>
      </w:pPr>
      <w:r>
        <w:rPr>
          <w:b/>
          <w:noProof/>
        </w:rPr>
        <w:t>Az ENSZ Menekültügyi Főbiztosának Hivatalát (UNHCR)</w:t>
      </w:r>
      <w:r>
        <w:rPr>
          <w:noProof/>
        </w:rPr>
        <w:t xml:space="preserve"> és más érintett szervezeteket felkérik majd, hogy a Bizottsággal </w:t>
      </w:r>
      <w:r>
        <w:rPr>
          <w:b/>
          <w:noProof/>
        </w:rPr>
        <w:t>együttműködve</w:t>
      </w:r>
      <w:r>
        <w:rPr>
          <w:noProof/>
        </w:rPr>
        <w:t>, a jelenlegi gyakorlattal összhangban (azonosítás, kérelem benyújtása, átszállítás stb.) segítsék a rendszer végre</w:t>
      </w:r>
      <w:r>
        <w:rPr>
          <w:noProof/>
        </w:rPr>
        <w:t xml:space="preserve">hajtását. A Bizottság emellett mérlegeli az </w:t>
      </w:r>
      <w:r>
        <w:rPr>
          <w:b/>
          <w:noProof/>
        </w:rPr>
        <w:t>Európai Menekültügyi Támogatási Hivatal</w:t>
      </w:r>
      <w:r>
        <w:rPr>
          <w:noProof/>
        </w:rPr>
        <w:t xml:space="preserve"> rendszerbe történő gyakorlati bevonását is. Az egyes tagállamok továbbra is felelősek maradnak az egyéni befogadási határozatokért.</w:t>
      </w:r>
    </w:p>
    <w:p w:rsidR="004C19BC" w:rsidRDefault="00F16D4C">
      <w:pPr>
        <w:spacing w:after="120" w:line="240" w:lineRule="auto"/>
        <w:jc w:val="both"/>
        <w:rPr>
          <w:rFonts w:ascii="Times New Roman" w:hAnsi="Times New Roman"/>
          <w:noProof/>
          <w:sz w:val="24"/>
          <w:szCs w:val="24"/>
        </w:rPr>
      </w:pPr>
      <w:r>
        <w:rPr>
          <w:rFonts w:ascii="Times New Roman" w:hAnsi="Times New Roman"/>
          <w:noProof/>
          <w:sz w:val="24"/>
        </w:rPr>
        <w:t>A Bizottság előtt ismeretes a letelepíte</w:t>
      </w:r>
      <w:r>
        <w:rPr>
          <w:rFonts w:ascii="Times New Roman" w:hAnsi="Times New Roman"/>
          <w:noProof/>
          <w:sz w:val="24"/>
        </w:rPr>
        <w:t xml:space="preserve">tt személyek </w:t>
      </w:r>
      <w:r>
        <w:rPr>
          <w:rFonts w:ascii="Times New Roman" w:hAnsi="Times New Roman"/>
          <w:b/>
          <w:noProof/>
          <w:sz w:val="24"/>
        </w:rPr>
        <w:t>spontán másodlagos migrációjának kockázata</w:t>
      </w:r>
      <w:r>
        <w:rPr>
          <w:rFonts w:ascii="Times New Roman" w:hAnsi="Times New Roman"/>
          <w:noProof/>
          <w:sz w:val="24"/>
        </w:rPr>
        <w:t>. Ennek kiküszöbölésére a letelepítést ahhoz a feltételhez kötik, miszerint a letelepített személy a beleegyezését adja ahhoz, hogy legalább 5 éves időtartamra a letelepítést biztosító tagállamban mara</w:t>
      </w:r>
      <w:r>
        <w:rPr>
          <w:rFonts w:ascii="Times New Roman" w:hAnsi="Times New Roman"/>
          <w:noProof/>
          <w:sz w:val="24"/>
        </w:rPr>
        <w:t>d, továbbá a letelepített személyt tájékoztatják az EU-n belüli továbbutazás következményeiről, illetve arról, hogy más tagállamban nem kaphat legális státuszt és nem férhet hozzá a szociális jogokhoz. Az uniós jog már lehetőséget nyújt az említett megálla</w:t>
      </w:r>
      <w:r>
        <w:rPr>
          <w:rFonts w:ascii="Times New Roman" w:hAnsi="Times New Roman"/>
          <w:noProof/>
          <w:sz w:val="24"/>
        </w:rPr>
        <w:t>podást megszegő személyek gyors azonosítására és visszatérésére. A Bizottság a tagállamokkal és az érintett Ügynökségekkel együttműködve további eszközöket fog kidolgozni ezen intézkedések gyakorlati alkalmazása érdekében.</w:t>
      </w:r>
    </w:p>
    <w:p w:rsidR="004C19BC" w:rsidRDefault="004C19BC">
      <w:pPr>
        <w:spacing w:after="120" w:line="240" w:lineRule="auto"/>
        <w:jc w:val="both"/>
        <w:rPr>
          <w:rFonts w:ascii="Times New Roman" w:hAnsi="Times New Roman"/>
          <w:noProof/>
          <w:sz w:val="24"/>
          <w:szCs w:val="24"/>
        </w:rPr>
      </w:pPr>
    </w:p>
    <w:p w:rsidR="004C19BC" w:rsidRDefault="004C19BC">
      <w:pPr>
        <w:spacing w:before="120" w:after="120" w:line="268" w:lineRule="auto"/>
        <w:jc w:val="both"/>
        <w:rPr>
          <w:rFonts w:ascii="Times New Roman" w:hAnsi="Times New Roman"/>
          <w:noProof/>
          <w:sz w:val="24"/>
          <w:szCs w:val="24"/>
        </w:rPr>
      </w:pPr>
    </w:p>
    <w:p w:rsidR="004C19BC" w:rsidRDefault="004C19BC">
      <w:pPr>
        <w:spacing w:before="120" w:after="120" w:line="269" w:lineRule="auto"/>
        <w:jc w:val="both"/>
        <w:rPr>
          <w:rFonts w:ascii="Times New Roman" w:hAnsi="Times New Roman"/>
          <w:noProof/>
          <w:sz w:val="24"/>
          <w:szCs w:val="24"/>
        </w:rPr>
      </w:pPr>
    </w:p>
    <w:p w:rsidR="004C19BC" w:rsidRDefault="004C19BC">
      <w:pPr>
        <w:spacing w:before="120" w:after="120" w:line="269" w:lineRule="auto"/>
        <w:jc w:val="both"/>
        <w:rPr>
          <w:rFonts w:ascii="Times New Roman" w:hAnsi="Times New Roman"/>
          <w:noProof/>
          <w:sz w:val="24"/>
          <w:szCs w:val="24"/>
        </w:rPr>
      </w:pPr>
    </w:p>
    <w:p w:rsidR="004C19BC" w:rsidRDefault="004C19BC">
      <w:pPr>
        <w:spacing w:before="120" w:after="120" w:line="269" w:lineRule="auto"/>
        <w:jc w:val="both"/>
        <w:rPr>
          <w:rFonts w:ascii="Times New Roman" w:hAnsi="Times New Roman"/>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4C19BC">
      <w:pPr>
        <w:spacing w:after="0" w:line="240" w:lineRule="auto"/>
        <w:rPr>
          <w:rFonts w:ascii="Times New Roman" w:hAnsi="Times New Roman"/>
          <w:b/>
          <w:noProof/>
          <w:sz w:val="24"/>
          <w:szCs w:val="24"/>
        </w:rPr>
      </w:pPr>
    </w:p>
    <w:p w:rsidR="004C19BC" w:rsidRDefault="00F16D4C">
      <w:pPr>
        <w:spacing w:before="120" w:after="120" w:line="269" w:lineRule="auto"/>
        <w:jc w:val="center"/>
        <w:rPr>
          <w:rFonts w:ascii="Times New Roman" w:hAnsi="Times New Roman"/>
          <w:b/>
          <w:noProof/>
          <w:sz w:val="24"/>
          <w:szCs w:val="24"/>
        </w:rPr>
      </w:pPr>
      <w:r>
        <w:rPr>
          <w:rFonts w:ascii="Times New Roman" w:hAnsi="Times New Roman"/>
          <w:b/>
          <w:noProof/>
          <w:sz w:val="24"/>
        </w:rPr>
        <w:t>1. táblázat</w:t>
      </w:r>
      <w:r>
        <w:rPr>
          <w:rFonts w:ascii="Times New Roman" w:hAnsi="Times New Roman"/>
          <w:b/>
          <w:noProof/>
          <w:sz w:val="24"/>
        </w:rPr>
        <w:t xml:space="preserve"> – Európai áthelyezési rendszer</w:t>
      </w:r>
    </w:p>
    <w:p w:rsidR="004C19BC" w:rsidRDefault="004C19BC">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4C19BC">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9BC" w:rsidRDefault="00F16D4C">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Tagállam</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4C19BC" w:rsidRDefault="00F16D4C">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Kulcs</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Ausztria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Belgium</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Bulgária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Horvátország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Ciprus</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Cseh Köztársaság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Észtország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Finnország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Franciaország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Németország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Görögország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Magyarország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Olaszország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Lettország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Litvánia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Málta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Hollandia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Lengyelország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Portugália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Románia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Szlovákia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Szlovénia</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Spanyolország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4C19BC">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Svédország</w:t>
            </w:r>
          </w:p>
        </w:tc>
        <w:tc>
          <w:tcPr>
            <w:tcW w:w="1498"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4C19BC" w:rsidRDefault="004C19BC">
      <w:pPr>
        <w:spacing w:after="0" w:line="240" w:lineRule="auto"/>
        <w:rPr>
          <w:rFonts w:ascii="Times New Roman" w:hAnsi="Times New Roman"/>
          <w:noProof/>
          <w:sz w:val="20"/>
          <w:szCs w:val="20"/>
        </w:rPr>
      </w:pPr>
    </w:p>
    <w:p w:rsidR="004C19BC" w:rsidRDefault="00F16D4C">
      <w:pPr>
        <w:spacing w:after="0" w:line="240" w:lineRule="auto"/>
        <w:ind w:left="-120"/>
        <w:rPr>
          <w:rFonts w:ascii="Times New Roman" w:hAnsi="Times New Roman"/>
          <w:noProof/>
          <w:sz w:val="20"/>
          <w:szCs w:val="20"/>
        </w:rPr>
      </w:pPr>
      <w:r>
        <w:rPr>
          <w:rFonts w:ascii="Times New Roman" w:hAnsi="Times New Roman"/>
          <w:noProof/>
          <w:sz w:val="20"/>
        </w:rPr>
        <w:t>A számítások az Eurostat által szolgáltatott statisztikai adatokon alapulnak (a konzultáció időpontja: 2015. április 8.).</w:t>
      </w:r>
    </w:p>
    <w:p w:rsidR="00F16D4C" w:rsidRDefault="00F16D4C">
      <w:pPr>
        <w:spacing w:before="120" w:after="120" w:line="269" w:lineRule="auto"/>
        <w:jc w:val="center"/>
        <w:rPr>
          <w:rFonts w:ascii="Times New Roman" w:hAnsi="Times New Roman"/>
          <w:b/>
          <w:noProof/>
          <w:sz w:val="24"/>
        </w:rPr>
      </w:pPr>
    </w:p>
    <w:p w:rsidR="004C19BC" w:rsidRDefault="00F16D4C">
      <w:pPr>
        <w:spacing w:before="120" w:after="120" w:line="269" w:lineRule="auto"/>
        <w:jc w:val="center"/>
        <w:rPr>
          <w:rFonts w:ascii="Times New Roman" w:hAnsi="Times New Roman"/>
          <w:b/>
          <w:noProof/>
          <w:sz w:val="24"/>
          <w:szCs w:val="24"/>
        </w:rPr>
      </w:pPr>
      <w:bookmarkStart w:id="2" w:name="_GoBack"/>
      <w:bookmarkEnd w:id="2"/>
      <w:r>
        <w:rPr>
          <w:rFonts w:ascii="Times New Roman" w:hAnsi="Times New Roman"/>
          <w:b/>
          <w:noProof/>
          <w:sz w:val="24"/>
        </w:rPr>
        <w:t>2. táblázat – Európai letelepítési rendszer</w:t>
      </w:r>
    </w:p>
    <w:p w:rsidR="004C19BC" w:rsidRDefault="004C19BC">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rsidR="004C19BC">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9BC" w:rsidRDefault="00F16D4C">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Tagállam</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C19BC" w:rsidRDefault="00F16D4C">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Kulcs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C19BC" w:rsidRDefault="00F16D4C">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Letelepítési helyek teljes száma 20 000 főre vetítve</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Ausztria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Belgium</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Bulgária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Horvátország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Ciprus</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Cseh Köztársaság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i/>
                <w:noProof/>
                <w:sz w:val="24"/>
                <w:szCs w:val="24"/>
              </w:rPr>
            </w:pPr>
            <w:r>
              <w:rPr>
                <w:rFonts w:ascii="Times New Roman" w:hAnsi="Times New Roman"/>
                <w:i/>
                <w:noProof/>
                <w:sz w:val="24"/>
              </w:rPr>
              <w:t>Dánia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Észtország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Finnország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Franciaország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Németország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Görögország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Magyarország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Írország</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Olaszország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Lettország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Litvánia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Málta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Hollandia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Lengyelország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Portugália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Románia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Szlovákia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Szlovénia</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Spanyolország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noProof/>
                <w:sz w:val="24"/>
                <w:szCs w:val="24"/>
              </w:rPr>
            </w:pPr>
            <w:r>
              <w:rPr>
                <w:rFonts w:ascii="Times New Roman" w:hAnsi="Times New Roman"/>
                <w:noProof/>
                <w:sz w:val="24"/>
              </w:rPr>
              <w:t>Svédország</w:t>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4C19BC">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4C19BC" w:rsidRDefault="00F16D4C">
            <w:pPr>
              <w:spacing w:after="0" w:line="240" w:lineRule="auto"/>
              <w:rPr>
                <w:rFonts w:ascii="Times New Roman" w:eastAsia="Times New Roman" w:hAnsi="Times New Roman"/>
                <w:i/>
                <w:noProof/>
                <w:sz w:val="24"/>
                <w:szCs w:val="24"/>
              </w:rPr>
            </w:pPr>
            <w:r>
              <w:rPr>
                <w:rFonts w:ascii="Times New Roman" w:hAnsi="Times New Roman"/>
                <w:i/>
                <w:noProof/>
                <w:sz w:val="24"/>
              </w:rPr>
              <w:t>Egyesült Királyság</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rsidR="004C19BC" w:rsidRDefault="00F16D4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rsidR="004C19BC" w:rsidRDefault="00F16D4C">
      <w:pPr>
        <w:spacing w:before="120" w:after="0" w:line="240" w:lineRule="auto"/>
        <w:rPr>
          <w:rFonts w:ascii="Times New Roman" w:hAnsi="Times New Roman"/>
          <w:noProof/>
          <w:sz w:val="20"/>
          <w:szCs w:val="20"/>
        </w:rPr>
      </w:pPr>
      <w:r>
        <w:rPr>
          <w:rFonts w:ascii="Times New Roman" w:hAnsi="Times New Roman"/>
          <w:noProof/>
          <w:sz w:val="20"/>
        </w:rPr>
        <w:t>A számítások az Eurostat által szolgáltatott statisztikai adatokon alapulnak (a konzultáció időpontja: 2015. április 8.).</w:t>
      </w:r>
    </w:p>
    <w:p w:rsidR="004C19BC" w:rsidRDefault="00F16D4C">
      <w:pPr>
        <w:spacing w:before="120" w:after="0" w:line="240" w:lineRule="auto"/>
        <w:rPr>
          <w:rFonts w:ascii="Times New Roman" w:hAnsi="Times New Roman"/>
          <w:noProof/>
          <w:sz w:val="20"/>
          <w:szCs w:val="20"/>
        </w:rPr>
      </w:pPr>
      <w:r>
        <w:rPr>
          <w:rFonts w:ascii="Times New Roman" w:hAnsi="Times New Roman"/>
          <w:noProof/>
          <w:sz w:val="20"/>
        </w:rPr>
        <w:t>A százalékszámítás öt</w:t>
      </w:r>
      <w:r>
        <w:rPr>
          <w:rFonts w:ascii="Times New Roman" w:hAnsi="Times New Roman"/>
          <w:noProof/>
          <w:sz w:val="20"/>
        </w:rPr>
        <w:t xml:space="preserve"> tizedesjegyig történt, majd a kapott értéket két tizedesjegyig felfelé vagy lefelé kerekítették a táblázatban való bemutatás céljából; a letelepítendő személyek számát az öt tizedesjegyet tartalmazó teljes érték alapján határozták meg.</w:t>
      </w:r>
    </w:p>
    <w:sectPr w:rsidR="004C19B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BC" w:rsidRDefault="00F16D4C">
      <w:pPr>
        <w:spacing w:after="0" w:line="240" w:lineRule="auto"/>
      </w:pPr>
      <w:r>
        <w:separator/>
      </w:r>
    </w:p>
  </w:endnote>
  <w:endnote w:type="continuationSeparator" w:id="0">
    <w:p w:rsidR="004C19BC" w:rsidRDefault="00F16D4C">
      <w:pPr>
        <w:spacing w:after="0" w:line="240" w:lineRule="auto"/>
      </w:pPr>
      <w:r>
        <w:continuationSeparator/>
      </w:r>
    </w:p>
  </w:endnote>
  <w:endnote w:type="continuationNotice" w:id="1">
    <w:p w:rsidR="004C19BC" w:rsidRDefault="004C1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F16D4C">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4C19BC" w:rsidRDefault="00F16D4C">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4C19BC" w:rsidRDefault="004C19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BC" w:rsidRDefault="00F16D4C">
      <w:pPr>
        <w:spacing w:after="0" w:line="240" w:lineRule="auto"/>
      </w:pPr>
      <w:r>
        <w:separator/>
      </w:r>
    </w:p>
  </w:footnote>
  <w:footnote w:type="continuationSeparator" w:id="0">
    <w:p w:rsidR="004C19BC" w:rsidRDefault="00F16D4C">
      <w:pPr>
        <w:spacing w:after="0" w:line="240" w:lineRule="auto"/>
      </w:pPr>
      <w:r>
        <w:continuationSeparator/>
      </w:r>
    </w:p>
  </w:footnote>
  <w:footnote w:type="continuationNotice" w:id="1">
    <w:p w:rsidR="004C19BC" w:rsidRDefault="004C19BC">
      <w:pPr>
        <w:spacing w:after="0" w:line="240" w:lineRule="auto"/>
      </w:pPr>
    </w:p>
  </w:footnote>
  <w:footnote w:id="2">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Európai Tanács 2015. április 23-i rendkívüli ülése – nyilatkozat: http://www.consilium.europa.eu/en/press/press-releases/2015/04/23-special-euco-statement/. Az európai migrációs stratégia e része beépíti és tová</w:t>
      </w:r>
      <w:r>
        <w:rPr>
          <w:rFonts w:ascii="Times New Roman" w:hAnsi="Times New Roman"/>
          <w:sz w:val="18"/>
        </w:rPr>
        <w:t>bbfejleszti az április 23-i európai tanácsi nyilatkozat nyomon követéseként a Bizottság által előterjesztett ütemtervbe foglalt kezdeményezéseket.</w:t>
      </w:r>
    </w:p>
  </w:footnote>
  <w:footnote w:id="3">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http://www.europarl.europa.eu/oeil/popups/ficheprocedure.do?lang=en&amp;reference=2015/2660(RSP).</w:t>
      </w:r>
    </w:p>
  </w:footnote>
  <w:footnote w:id="4">
    <w:p w:rsidR="004C19BC" w:rsidRDefault="00F16D4C">
      <w:pPr>
        <w:pStyle w:val="FootnoteText"/>
        <w:ind w:left="240" w:hanging="240"/>
        <w:jc w:val="both"/>
      </w:pPr>
      <w:r>
        <w:rPr>
          <w:rStyle w:val="FootnoteReference"/>
        </w:rPr>
        <w:footnoteRef/>
      </w:r>
      <w:r>
        <w:tab/>
      </w:r>
      <w:r>
        <w:rPr>
          <w:rFonts w:ascii="Times New Roman" w:hAnsi="Times New Roman"/>
          <w:sz w:val="18"/>
        </w:rPr>
        <w:t xml:space="preserve">Az Unió </w:t>
      </w:r>
      <w:r>
        <w:rPr>
          <w:rFonts w:ascii="Times New Roman" w:hAnsi="Times New Roman"/>
          <w:sz w:val="18"/>
        </w:rPr>
        <w:t>közös menekültügyi, bevándorlási, vízum- és külső határellenőrzési politikája az Európai Unió működéséről szóló szerződés (EUMSZ) V. címén (A szabadságon, a biztonságon és a jog érvényesülésén alapuló térség) alapul. A Szerződésekhez csatolt 21. és 22. jeg</w:t>
      </w:r>
      <w:r>
        <w:rPr>
          <w:rFonts w:ascii="Times New Roman" w:hAnsi="Times New Roman"/>
          <w:sz w:val="18"/>
        </w:rPr>
        <w:t>yzőkönyvnek megfelelően az Egyesült Királyság, Írország és Dánia nem vesz részt az EUMSZ V. cikke alapján javasolt intézkedéseknek a Tanács általi elfogadásában. Az Egyesült Királyság és Írország a javaslat vagy kezdeményezés előterjesztését követő három h</w:t>
      </w:r>
      <w:r>
        <w:rPr>
          <w:rFonts w:ascii="Times New Roman" w:hAnsi="Times New Roman"/>
          <w:sz w:val="18"/>
        </w:rPr>
        <w:t>ónapon belül, vagy annak elfogadása után bármikor értesítheti a Tanácsot arról, hogy részt kíván venni bármely javasolt intézkedés elfogadásában és alkalmazásában. Dánia – alkotmányos előírásainak megfelelően – bármikor értesítheti a többi tagállamot, hogy</w:t>
      </w:r>
      <w:r>
        <w:rPr>
          <w:rFonts w:ascii="Times New Roman" w:hAnsi="Times New Roman"/>
          <w:sz w:val="18"/>
        </w:rPr>
        <w:t xml:space="preserve"> teljes mértékben alkalmazni kívánja az EUMSZ V. cikke alapján elfogadott, összes releváns intézkedést.</w:t>
      </w:r>
    </w:p>
  </w:footnote>
  <w:footnote w:id="5">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Ez a támogatás kiegészíti azt a jelentős segítségnyújtást, amely e tagállamok rendelkezésére áll a belügyi alapokból, amelyeknek abszolút ártelemben O</w:t>
      </w:r>
      <w:r>
        <w:rPr>
          <w:rFonts w:ascii="Times New Roman" w:hAnsi="Times New Roman"/>
          <w:sz w:val="18"/>
        </w:rPr>
        <w:t>laszország, az egy főre jutó támogatást illetően pedig Málta a legnagyobb kedvezményezettje.</w:t>
      </w:r>
    </w:p>
  </w:footnote>
  <w:footnote w:id="6">
    <w:p w:rsidR="004C19BC" w:rsidRDefault="00F16D4C">
      <w:pPr>
        <w:pStyle w:val="FootnoteText"/>
        <w:ind w:left="240" w:hanging="240"/>
        <w:jc w:val="both"/>
        <w:rPr>
          <w:rFonts w:ascii="Times New Roman" w:hAnsi="Times New Roman" w:cs="Times New Roman"/>
          <w:sz w:val="18"/>
          <w:szCs w:val="18"/>
        </w:rPr>
      </w:pPr>
      <w:r>
        <w:rPr>
          <w:rStyle w:val="FootnoteReference"/>
        </w:rPr>
        <w:footnoteRef/>
      </w:r>
      <w:r>
        <w:tab/>
      </w:r>
      <w:r>
        <w:rPr>
          <w:rFonts w:ascii="Times New Roman" w:hAnsi="Times New Roman"/>
          <w:sz w:val="18"/>
        </w:rPr>
        <w:t xml:space="preserve">Mivel a Triton és a Poseidon a külső határok védelmére vonatkozó, Frontex által koordinált műveletek, a schengeni vívmányokra épülnek, amelyekben Írország és az </w:t>
      </w:r>
      <w:r>
        <w:rPr>
          <w:rFonts w:ascii="Times New Roman" w:hAnsi="Times New Roman"/>
          <w:sz w:val="18"/>
        </w:rPr>
        <w:t>Egyesült Királyság nem vesz részt (lásd a 25. lábjegyzetet). Ez nem zárja ki, hogy az Egyesült Királyság hajói részt vegyenek a Földközi-tenger medencéjében zajló, a Triton és a Poseidon keretében koordinált kutatási és mentési műveletekben.</w:t>
      </w:r>
    </w:p>
  </w:footnote>
  <w:footnote w:id="7">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Európai T</w:t>
      </w:r>
      <w:r>
        <w:rPr>
          <w:rFonts w:ascii="Times New Roman" w:hAnsi="Times New Roman"/>
          <w:sz w:val="18"/>
        </w:rPr>
        <w:t>engerészeti Biztonsági Ügynökségnek, az Európai Halászati Ellenőrző Hivatalnak és az Eurojustnak szintén részt kell vennie ebben a munkában.</w:t>
      </w:r>
    </w:p>
  </w:footnote>
  <w:footnote w:id="8">
    <w:p w:rsidR="004C19BC" w:rsidRDefault="00F16D4C">
      <w:pPr>
        <w:pStyle w:val="FootnoteText"/>
        <w:ind w:left="240" w:hanging="240"/>
        <w:jc w:val="both"/>
      </w:pPr>
      <w:r>
        <w:rPr>
          <w:rStyle w:val="FootnoteReference"/>
          <w:rFonts w:ascii="Times New Roman" w:hAnsi="Times New Roman"/>
          <w:sz w:val="18"/>
        </w:rPr>
        <w:footnoteRef/>
      </w:r>
      <w:r>
        <w:tab/>
      </w:r>
      <w:r>
        <w:rPr>
          <w:rFonts w:ascii="Times New Roman" w:hAnsi="Times New Roman"/>
          <w:sz w:val="18"/>
        </w:rPr>
        <w:t>Ez a javaslat nem vonatkozik Dániára, az Egyesült Királyságra és Írországra pedig kizárólag akkor alkalmazandó, h</w:t>
      </w:r>
      <w:r>
        <w:rPr>
          <w:rFonts w:ascii="Times New Roman" w:hAnsi="Times New Roman"/>
          <w:sz w:val="18"/>
        </w:rPr>
        <w:t>a az említett országok élnek megfelelő csatlakozási jogosultságukkal (lásd a 3. lábjegyzetet).</w:t>
      </w:r>
    </w:p>
  </w:footnote>
  <w:footnote w:id="9">
    <w:p w:rsidR="004C19BC" w:rsidRDefault="00F16D4C">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sz w:val="18"/>
        </w:rPr>
        <w:t>E javaslat hatályát illetően lásd a 3. lábjegyzetet.</w:t>
      </w:r>
    </w:p>
  </w:footnote>
  <w:footnote w:id="10">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ENSZ Menekültügyi Főbiztosának Hivatala igazgatóhelyettesének nyilatkozata, Az áttelepítésről szóló e</w:t>
      </w:r>
      <w:r>
        <w:rPr>
          <w:rFonts w:ascii="Times New Roman" w:hAnsi="Times New Roman"/>
          <w:sz w:val="18"/>
        </w:rPr>
        <w:t>redményjelentés, a Főbiztosi Program Végrehajtó Bizottsága Állandó Bizottságának ülése, Genf, 2012, 26-28. o.</w:t>
      </w:r>
    </w:p>
  </w:footnote>
  <w:footnote w:id="11">
    <w:p w:rsidR="004C19BC" w:rsidRDefault="00F16D4C">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E javaslat hatályát illetően lásd a 3. lábjegyzetet.</w:t>
      </w:r>
    </w:p>
  </w:footnote>
  <w:footnote w:id="12">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ab/>
        <w:t>Ebből a célból a tagállamok felhasználhatják a Menekültügyi, Migrációs és Integrációs Ala</w:t>
      </w:r>
      <w:r>
        <w:rPr>
          <w:rFonts w:ascii="Times New Roman" w:hAnsi="Times New Roman"/>
          <w:sz w:val="18"/>
        </w:rPr>
        <w:t>p keretében rendelkezésre álló pénzeszközöket. Azok az országok, amelyeket különösen érint a migránsok és a menedékkérők beáramlása, megfelelő esetben az uniós polgári védelmi mechanizmustól is kérhetnek segítséget.</w:t>
      </w:r>
    </w:p>
  </w:footnote>
  <w:footnote w:id="13">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már alkalmazandó és/vagy a stratégia</w:t>
      </w:r>
      <w:r>
        <w:rPr>
          <w:rFonts w:ascii="Times New Roman" w:hAnsi="Times New Roman"/>
          <w:sz w:val="18"/>
        </w:rPr>
        <w:t xml:space="preserve"> végrehajtása érdekében javasolandó, az EUMSZ V. címén alapuló intézkedések alkalmazási körét illetően lásd az Egyesült Királyság és Írország csatlakozási jogosultságára, és a Dánia kívülmaradási státuszára vonatkozó 3. lábjegyzetet.</w:t>
      </w:r>
    </w:p>
  </w:footnote>
  <w:footnote w:id="14">
    <w:p w:rsidR="004C19BC" w:rsidRDefault="00F16D4C">
      <w:pPr>
        <w:pStyle w:val="FootnoteText"/>
        <w:ind w:left="240" w:hanging="240"/>
        <w:jc w:val="both"/>
      </w:pPr>
      <w:r>
        <w:rPr>
          <w:rStyle w:val="FootnoteReference"/>
        </w:rPr>
        <w:footnoteRef/>
      </w:r>
      <w:r>
        <w:tab/>
      </w:r>
      <w:r>
        <w:rPr>
          <w:rFonts w:ascii="Times New Roman" w:hAnsi="Times New Roman"/>
          <w:sz w:val="18"/>
        </w:rPr>
        <w:t>A rabati folyamat, a</w:t>
      </w:r>
      <w:r>
        <w:rPr>
          <w:rFonts w:ascii="Times New Roman" w:hAnsi="Times New Roman"/>
          <w:sz w:val="18"/>
        </w:rPr>
        <w:t xml:space="preserve"> kartúmi folyamat, a budapesti folyamat, az EU-Afrika migrációs és mobilitási párbeszéd.</w:t>
      </w:r>
    </w:p>
  </w:footnote>
  <w:footnote w:id="15">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 xml:space="preserve">A Tanács 2004. február 19-i </w:t>
      </w:r>
      <w:hyperlink r:id="rId1" w:tooltip="full text of the act">
        <w:r>
          <w:rPr>
            <w:rFonts w:ascii="Times New Roman" w:hAnsi="Times New Roman"/>
            <w:sz w:val="18"/>
          </w:rPr>
          <w:t>377/2004/EK</w:t>
        </w:r>
      </w:hyperlink>
      <w:r>
        <w:rPr>
          <w:rFonts w:ascii="Times New Roman" w:hAnsi="Times New Roman"/>
          <w:sz w:val="18"/>
        </w:rPr>
        <w:t xml:space="preserve"> re</w:t>
      </w:r>
      <w:r>
        <w:rPr>
          <w:rFonts w:ascii="Times New Roman" w:hAnsi="Times New Roman"/>
          <w:sz w:val="18"/>
        </w:rPr>
        <w:t>ndelete. A bevándorlási összekötő tisztviselők a tagállamok képviselői, akiket egy harmadik országba küldenek ki az illegális migráció leküzdésére hozott uniós intézkedések elősegítésére (HL L 64., 2004.3.2., 1. o.). Az Egyesült Királyság és Írország csatl</w:t>
      </w:r>
      <w:r>
        <w:rPr>
          <w:rFonts w:ascii="Times New Roman" w:hAnsi="Times New Roman"/>
          <w:sz w:val="18"/>
        </w:rPr>
        <w:t>akozott ehhez a rendelethez (lásd a 3. lábjegyzetet).</w:t>
      </w:r>
    </w:p>
  </w:footnote>
  <w:footnote w:id="16">
    <w:p w:rsidR="004C19BC" w:rsidRDefault="00F16D4C">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tab/>
      </w:r>
      <w:r>
        <w:rPr>
          <w:rFonts w:ascii="Times New Roman" w:hAnsi="Times New Roman"/>
          <w:sz w:val="18"/>
        </w:rPr>
        <w:t xml:space="preserve">Az európai biztonsági stratégia és a tengerhajózási biztonsági stratégia keretében szintén ilyen irányú erőfeszítéseket tesznek. A migránsok csempészete és az embercsempészet a bűnszövetkezetek két </w:t>
      </w:r>
      <w:r>
        <w:rPr>
          <w:rFonts w:ascii="Times New Roman" w:hAnsi="Times New Roman"/>
          <w:sz w:val="18"/>
        </w:rPr>
        <w:t>különálló, mégis összefonódó bűnöző tevékenysége. Az a különbség a kettő között, hogy míg az előbbi esetében a migránsok önként vesznek rész az illegális migrációs folyamatban és a nemzetközi határok átlépése érdekében fizetnek a csempészek szolgáltatásaié</w:t>
      </w:r>
      <w:r>
        <w:rPr>
          <w:rFonts w:ascii="Times New Roman" w:hAnsi="Times New Roman"/>
          <w:sz w:val="18"/>
        </w:rPr>
        <w:t xml:space="preserve">rt, addig az utóbbi esetén olyan áldozatokról van szó, akiket kényszer alkalmazásával súlyosan kizsákmányolnak. E kizsákmányoláshoz adott esetben (de nem szükségszerűen) határátlépés is kapcsolódik. A valóságban nem könnyű szétválasztani a két jelenséget, </w:t>
      </w:r>
      <w:r>
        <w:rPr>
          <w:rFonts w:ascii="Times New Roman" w:hAnsi="Times New Roman"/>
          <w:sz w:val="18"/>
        </w:rPr>
        <w:t>mivel azok a személyek, akik önként kezdik meg utazásukat, ugyancsak kiszolgáltatottak a munkaerő- vagy szexuális kizsákmányolást folytató hálózatoknak.</w:t>
      </w:r>
    </w:p>
  </w:footnote>
  <w:footnote w:id="17">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Unió által 2009. december 1-je előtt elfogadott, a rendőrségi együttműködésre és a büntetőügyekben</w:t>
      </w:r>
      <w:r>
        <w:rPr>
          <w:rFonts w:ascii="Times New Roman" w:hAnsi="Times New Roman"/>
          <w:sz w:val="18"/>
        </w:rPr>
        <w:t xml:space="preserve"> folytatott igazságügyi együttműködésre vonatkozó egyes intézkedések a Szerződésekhez csatolt 36. jegyzőkönyv 9. és 10. cikke értelmében, amelyek különleges, csoportos kívülmaradási és újra csatlakozási eljárást határoznak meg, 2014. december 1-je óta már </w:t>
      </w:r>
      <w:r>
        <w:rPr>
          <w:rFonts w:ascii="Times New Roman" w:hAnsi="Times New Roman"/>
          <w:sz w:val="18"/>
        </w:rPr>
        <w:t>nem alkalmazandók az Egyesült Királyságra (lásd a Bizottság és a Tanács által elfogadott határozatokat az Egyesült Királyság által bejelentett intézkedésekről, HL L 345., 2012.12.1., 1. o., és HL C 430., 2014.12.1., 1. o.). 2002-ben az EU a migránsok csemp</w:t>
      </w:r>
      <w:r>
        <w:rPr>
          <w:rFonts w:ascii="Times New Roman" w:hAnsi="Times New Roman"/>
          <w:sz w:val="18"/>
        </w:rPr>
        <w:t>észetének felszámolására irányuló alábbi szabályokat fogadta el: a 2002/90/EK irányelv a jogellenes be- és átutazáshoz, valamint a jogellenes tartózkodáshoz történő segítségnyújtás meghatározásáról</w:t>
      </w:r>
      <w:r>
        <w:t xml:space="preserve"> (</w:t>
      </w:r>
      <w:r>
        <w:rPr>
          <w:rFonts w:ascii="Times New Roman" w:hAnsi="Times New Roman"/>
          <w:sz w:val="18"/>
        </w:rPr>
        <w:t>HL L 328., 2002.12.5., 17. o.), valamint a 2002/946/IB ke</w:t>
      </w:r>
      <w:r>
        <w:rPr>
          <w:rFonts w:ascii="Times New Roman" w:hAnsi="Times New Roman"/>
          <w:sz w:val="18"/>
        </w:rPr>
        <w:t>rethatározat a jogellenes be- és átutazáshoz, valamint a jogellenes tartózkodáshoz történő segítségnyújtás elleni küzdelem büntetőjogi keretének megerősítéséről (HL L 328., 2002.12.5., 1. o.). Az Egyesült Királyság és Írország csatlakozott az irányelvhez é</w:t>
      </w:r>
      <w:r>
        <w:rPr>
          <w:rFonts w:ascii="Times New Roman" w:hAnsi="Times New Roman"/>
          <w:sz w:val="18"/>
        </w:rPr>
        <w:t>s a kerethatározathoz. Mindazonáltal az Egyesült Királyság esetében a fent hivatkozott 36. jegyzőkönyvben előírt csoportos kívülmaradás miatt a kerethatározat már nem alkalmazandó. Az Egyesült Királyság azonban továbbra is dönthet úgy, hogy csatlakozik ehh</w:t>
      </w:r>
      <w:r>
        <w:rPr>
          <w:rFonts w:ascii="Times New Roman" w:hAnsi="Times New Roman"/>
          <w:sz w:val="18"/>
        </w:rPr>
        <w:t>ez a kerethatározathoz.</w:t>
      </w:r>
    </w:p>
  </w:footnote>
  <w:footnote w:id="18">
    <w:p w:rsidR="004C19BC" w:rsidRDefault="00F16D4C">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tab/>
      </w:r>
      <w:r>
        <w:rPr>
          <w:rFonts w:ascii="Times New Roman" w:hAnsi="Times New Roman"/>
          <w:sz w:val="18"/>
        </w:rPr>
        <w:t>Az említett kezdeményezések és a már hatályos intézkedések hatálya tekintetében, lásd a 3. és a 17. lábjegyzetet.</w:t>
      </w:r>
    </w:p>
  </w:footnote>
  <w:footnote w:id="19">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Európai Parlament és a Tanács 2009. június 18-i 2009/52/EK irányelve az illegálisan tartózkodó harmadik országb</w:t>
      </w:r>
      <w:r>
        <w:rPr>
          <w:rFonts w:ascii="Times New Roman" w:hAnsi="Times New Roman"/>
          <w:sz w:val="18"/>
        </w:rPr>
        <w:t>eli állampolgárokat foglalkoztató munkáltatókkal szembeni szankciókra és intézkedésekre vonatkozó minimumszabályokról, HL L 168., 2009.6.30., 24. o.</w:t>
      </w:r>
      <w:r>
        <w:t xml:space="preserve"> </w:t>
      </w:r>
      <w:r>
        <w:rPr>
          <w:rFonts w:ascii="Times New Roman" w:hAnsi="Times New Roman"/>
          <w:sz w:val="18"/>
        </w:rPr>
        <w:t xml:space="preserve">Az Egyesült Királyság és Írország nem csatlakozott ehhez az irányelvhez, ezért az irányelv nem kötelező és </w:t>
      </w:r>
      <w:r>
        <w:rPr>
          <w:rFonts w:ascii="Times New Roman" w:hAnsi="Times New Roman"/>
          <w:sz w:val="18"/>
        </w:rPr>
        <w:t>nem alkalmazandó az említett tagállamokra nézve.</w:t>
      </w:r>
    </w:p>
  </w:footnote>
  <w:footnote w:id="20">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Cotonoui Megállapodásban az AKCS-országokra vonatkozóan konkrét kötelezettség szerepel. A Cotonoui Megállapodás 13. cikke értelmében az Európai Unió valamennyi tagállama az érintett állam kérésére minden</w:t>
      </w:r>
      <w:r>
        <w:rPr>
          <w:rFonts w:ascii="Times New Roman" w:hAnsi="Times New Roman"/>
          <w:sz w:val="18"/>
        </w:rPr>
        <w:t xml:space="preserve"> további formaság nélkül elfogadja bármely, az AKCS-államok területén illegálisan tartózkodó állampolgárának hazatérését és visszafogadását; továbbá valamennyi AKCS-állam az érintett tagállam kérésére minden további formaság nélkül elfogadja bármely, az Eu</w:t>
      </w:r>
      <w:r>
        <w:rPr>
          <w:rFonts w:ascii="Times New Roman" w:hAnsi="Times New Roman"/>
          <w:sz w:val="18"/>
        </w:rPr>
        <w:t>rópai Unió valamely tagállama területén illegálisan tartózkodó állampolgárának hazatérését és visszafogadását.</w:t>
      </w:r>
    </w:p>
  </w:footnote>
  <w:footnote w:id="21">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Tanács uniós visszatérési politikára vonatkozó következtetései, amelyeket a Bel- és Igazságügyi Tanács 2014. június 5–6-i ülésén fogadtak el.</w:t>
      </w:r>
    </w:p>
  </w:footnote>
  <w:footnote w:id="22">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visszafogadási megállapodások elősegítik a harmadik országbeli állampolgárok visszatérését. A szerződő felek minden formaság nélkül visszafogadják az adott ország állampolgárságával rendelkező azon személyeket, akik engedély nélkül tartózkodnak a mási</w:t>
      </w:r>
      <w:r>
        <w:rPr>
          <w:rFonts w:ascii="Times New Roman" w:hAnsi="Times New Roman"/>
          <w:sz w:val="18"/>
        </w:rPr>
        <w:t>k országba vagy illegálisan lépték át annak határát.</w:t>
      </w:r>
    </w:p>
  </w:footnote>
  <w:footnote w:id="23">
    <w:p w:rsidR="004C19BC" w:rsidRDefault="00F16D4C">
      <w:pPr>
        <w:pStyle w:val="FootnoteText"/>
        <w:ind w:left="240" w:hanging="240"/>
        <w:jc w:val="both"/>
        <w:rPr>
          <w:rFonts w:ascii="Times New Roman" w:hAnsi="Times New Roman" w:cs="Times New Roman"/>
          <w:sz w:val="18"/>
          <w:szCs w:val="18"/>
        </w:rPr>
      </w:pPr>
      <w:r>
        <w:rPr>
          <w:rStyle w:val="FootnoteReference"/>
        </w:rPr>
        <w:footnoteRef/>
      </w:r>
      <w:r>
        <w:tab/>
      </w:r>
      <w:r>
        <w:rPr>
          <w:rFonts w:ascii="Times New Roman" w:hAnsi="Times New Roman"/>
          <w:sz w:val="18"/>
        </w:rPr>
        <w:t xml:space="preserve">A 2008. december 16-i 2008/115/EK irányelv a harmadik országok illegálisan tartózkodó állampolgárainak visszatérésével kapcsolatban a tagállamokban használt közös normákról és eljárásokról, HL L 348., </w:t>
      </w:r>
      <w:r>
        <w:rPr>
          <w:rFonts w:ascii="Times New Roman" w:hAnsi="Times New Roman"/>
          <w:sz w:val="18"/>
        </w:rPr>
        <w:t>2008.12.24., 98. o. Az Egyesült Királyság és Írország nem csatlakozott ehhez az irányelvhez, ezért az irányelv nem kötelező és nem alkalmazandó az említett tagállamokra nézve.</w:t>
      </w:r>
    </w:p>
  </w:footnote>
  <w:footnote w:id="24">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 xml:space="preserve">A </w:t>
      </w:r>
      <w:r>
        <w:rPr>
          <w:rFonts w:ascii="Times New Roman" w:hAnsi="Times New Roman"/>
          <w:i/>
          <w:sz w:val="18"/>
        </w:rPr>
        <w:t>visszaküldés tilalma</w:t>
      </w:r>
      <w:r>
        <w:rPr>
          <w:rFonts w:ascii="Times New Roman" w:hAnsi="Times New Roman"/>
          <w:sz w:val="18"/>
        </w:rPr>
        <w:t xml:space="preserve"> a nemzetközi közjognak az Alapjogi Charta által is elfo</w:t>
      </w:r>
      <w:r>
        <w:rPr>
          <w:rFonts w:ascii="Times New Roman" w:hAnsi="Times New Roman"/>
          <w:sz w:val="18"/>
        </w:rPr>
        <w:t>gadott elve, amely szerint senki sem küldhető vissza oda, ahol halálbüntetés, kínzás, embertelen vagy megalázó bánásmód súlyos veszélye fenyegetné.</w:t>
      </w:r>
    </w:p>
  </w:footnote>
  <w:footnote w:id="25">
    <w:p w:rsidR="004C19BC" w:rsidRDefault="00F16D4C">
      <w:pPr>
        <w:pStyle w:val="FootnoteText"/>
        <w:ind w:left="240" w:hanging="240"/>
        <w:jc w:val="both"/>
        <w:rPr>
          <w:rFonts w:ascii="Times New Roman" w:hAnsi="Times New Roman" w:cs="Times New Roman"/>
          <w:sz w:val="18"/>
          <w:szCs w:val="18"/>
        </w:rPr>
      </w:pPr>
      <w:r>
        <w:rPr>
          <w:rStyle w:val="FootnoteReference"/>
        </w:rPr>
        <w:footnoteRef/>
      </w:r>
      <w:r>
        <w:tab/>
      </w:r>
      <w:r>
        <w:rPr>
          <w:rFonts w:ascii="Times New Roman" w:hAnsi="Times New Roman"/>
          <w:sz w:val="18"/>
        </w:rPr>
        <w:t xml:space="preserve">A Frontexet a 2007/2004/EK rendelet hozta létre (HL 349., 2004.11.25., 1. o.). Mivel a schengeni </w:t>
      </w:r>
      <w:r>
        <w:rPr>
          <w:rFonts w:ascii="Times New Roman" w:hAnsi="Times New Roman"/>
          <w:i/>
          <w:sz w:val="18"/>
        </w:rPr>
        <w:t>vívmányok</w:t>
      </w:r>
      <w:r>
        <w:rPr>
          <w:rFonts w:ascii="Times New Roman" w:hAnsi="Times New Roman"/>
          <w:sz w:val="18"/>
        </w:rPr>
        <w:t xml:space="preserve"> továbbfejlesztését jelenti, amelyben Írország és az Egyesült Királyság nem vesz részt, az említett tagállamok nem vesznek részt a Frontexben. A rendelet 12. cikke alapján azonban együttműködést folytatnak Írországgal és az Egyesült Királysággal, különösen</w:t>
      </w:r>
      <w:r>
        <w:rPr>
          <w:rFonts w:ascii="Times New Roman" w:hAnsi="Times New Roman"/>
          <w:sz w:val="18"/>
        </w:rPr>
        <w:t xml:space="preserve"> a közös visszatérési műveletek szervezése tekintetében.</w:t>
      </w:r>
    </w:p>
  </w:footnote>
  <w:footnote w:id="26">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2013. október 22-i 1052/2013/EU rendelet az európai határőrizeti rendszer (EUROSUR) – az uniós külső határok igazgatásának javítása céljából kialakított információcsere-rendszer – létrehozásáról,</w:t>
      </w:r>
      <w:r>
        <w:rPr>
          <w:rFonts w:ascii="Times New Roman" w:hAnsi="Times New Roman"/>
          <w:sz w:val="18"/>
        </w:rPr>
        <w:t xml:space="preserve"> HL L 295., 2013.11.6., 1. o. Az EUROSUR lehetővé teszi a határokkal kapcsolatos adatok közel valós idejű megosztását a schengeni országokból és a Frontexből álló hálózat tagjai között. Mivel az EUROSUR schengeni vívmányok továbbfejlesztését jelenti, amely</w:t>
      </w:r>
      <w:r>
        <w:rPr>
          <w:rFonts w:ascii="Times New Roman" w:hAnsi="Times New Roman"/>
          <w:sz w:val="18"/>
        </w:rPr>
        <w:t>ben Írország és az Egyesült Királyság nem vesz részt, az említett tagállamok nem vesznek részt az EUROSUR-ban. A rendelet 19. cikkében előirányzott, korlátozott mértékű regionális együttműködést jelenleg a Bíróság vizsgálja (a folyamatban lévő C-88/14. sz.</w:t>
      </w:r>
      <w:r>
        <w:rPr>
          <w:rFonts w:ascii="Times New Roman" w:hAnsi="Times New Roman"/>
          <w:sz w:val="18"/>
        </w:rPr>
        <w:t xml:space="preserve"> ügyben).</w:t>
      </w:r>
    </w:p>
  </w:footnote>
  <w:footnote w:id="27">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Frontex koordinálta, az EASO, az Europol, az Európai Unió Műholdközpontja és az Európai Tengerészeti Biztonsági Ügynökség közreműködésével.</w:t>
      </w:r>
    </w:p>
  </w:footnote>
  <w:footnote w:id="28">
    <w:p w:rsidR="004C19BC" w:rsidRDefault="00F16D4C">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sz w:val="18"/>
        </w:rPr>
        <w:t>E javaslat hatályát illetően lásd a 3. lábjegyzetet.</w:t>
      </w:r>
    </w:p>
  </w:footnote>
  <w:footnote w:id="29">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Tekintetbe véve általában a gyermekek – nem c</w:t>
      </w:r>
      <w:r>
        <w:rPr>
          <w:rFonts w:ascii="Times New Roman" w:hAnsi="Times New Roman"/>
          <w:sz w:val="18"/>
        </w:rPr>
        <w:t>supán a migráns háttérrel rendelkezők – különös kiszolgáltatottságát, a Bizottság átfogó stratágiát alakít ki, hogy nyomon kövesse a kísérő nélküli kiskorúakra vonatkozó cselekvési tervet (2011-2014), lefedve az eltűnt és kísérő nélküli kiskorúakat is.</w:t>
      </w:r>
    </w:p>
  </w:footnote>
  <w:footnote w:id="30">
    <w:p w:rsidR="004C19BC" w:rsidRDefault="00F16D4C">
      <w:pPr>
        <w:pStyle w:val="FootnoteText"/>
        <w:ind w:left="240" w:hanging="240"/>
        <w:jc w:val="both"/>
        <w:rPr>
          <w:rFonts w:ascii="Times New Roman" w:hAnsi="Times New Roman" w:cs="Times New Roman"/>
          <w:sz w:val="18"/>
          <w:szCs w:val="18"/>
        </w:rPr>
      </w:pPr>
      <w:r>
        <w:rPr>
          <w:rStyle w:val="FootnoteReference"/>
        </w:rPr>
        <w:footnoteRef/>
      </w:r>
      <w:r>
        <w:tab/>
      </w:r>
      <w:r>
        <w:rPr>
          <w:rFonts w:ascii="Times New Roman" w:hAnsi="Times New Roman"/>
          <w:sz w:val="18"/>
        </w:rPr>
        <w:t>A</w:t>
      </w:r>
      <w:r>
        <w:rPr>
          <w:rFonts w:ascii="Times New Roman" w:hAnsi="Times New Roman"/>
          <w:sz w:val="18"/>
        </w:rPr>
        <w:t xml:space="preserve"> 2013. június 26-i 2013/32/EU irányelv a nemzetközi védelem megadására és visszavonására vonatkozó közös eljárásokról (HL L 180., 2013.6.29., 60. o.); a 2013. június 26-i 2013/33/EU irányelv a menedékkérők befogadása minimumszabályainak megállapításáról (H</w:t>
      </w:r>
      <w:r>
        <w:rPr>
          <w:rFonts w:ascii="Times New Roman" w:hAnsi="Times New Roman"/>
          <w:sz w:val="18"/>
        </w:rPr>
        <w:t>L L 180., 2013.6.29., 96. o.). Az Egyesült Királyság és Írország nem csatlakozott ezekhez az irányelvekhez.</w:t>
      </w:r>
    </w:p>
  </w:footnote>
  <w:footnote w:id="31">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EASO képzési tanterv egy közös szakképzési rendszer menekültügyi tisztviselők és egyéb célcsoportok, például a vezetők és a jogi tisztviselők s</w:t>
      </w:r>
      <w:r>
        <w:rPr>
          <w:rFonts w:ascii="Times New Roman" w:hAnsi="Times New Roman"/>
          <w:sz w:val="18"/>
        </w:rPr>
        <w:t>zámára az egész EU-ban.</w:t>
      </w:r>
    </w:p>
  </w:footnote>
  <w:footnote w:id="32">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Ez lehetővé teszi az Unió számára, hogy a származási országokkal együttműködve megelőző lépéseket tegyen, célzott tájékoztatási kampányokat dolgozzon ki és megerősítse az együttműködést a határigazgatás és az embercsempészek ellen</w:t>
      </w:r>
      <w:r>
        <w:rPr>
          <w:rFonts w:ascii="Times New Roman" w:hAnsi="Times New Roman"/>
          <w:sz w:val="18"/>
        </w:rPr>
        <w:t>i harc területén.</w:t>
      </w:r>
    </w:p>
  </w:footnote>
  <w:footnote w:id="33">
    <w:p w:rsidR="004C19BC" w:rsidRDefault="00F16D4C">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sz w:val="18"/>
        </w:rPr>
        <w:t>A korábban említett 2013/32/EU irányelv.</w:t>
      </w:r>
    </w:p>
  </w:footnote>
  <w:footnote w:id="34">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Európai Parlament és a Tanács 2013. június 26-i 604/2013/EU rendelete egy harmadik ország állampolgára, illetve hontalan személy által a tagállamok egyikében benyújtott nemzetközi védelem ir</w:t>
      </w:r>
      <w:r>
        <w:rPr>
          <w:rFonts w:ascii="Times New Roman" w:hAnsi="Times New Roman"/>
          <w:sz w:val="18"/>
        </w:rPr>
        <w:t xml:space="preserve">ánti kérelem megvizsgálásáért felelős tagállam meghatározására vonatkozó feltételek és eljárási szabályok megállapításáról (HL L 180., 2013.6.29., 31. o.). Az Egyesült Királyság és Írország bejelentették, hogy részt kívánnak venni a rendelet elfogadásában </w:t>
      </w:r>
      <w:r>
        <w:rPr>
          <w:rFonts w:ascii="Times New Roman" w:hAnsi="Times New Roman"/>
          <w:sz w:val="18"/>
        </w:rPr>
        <w:t>és alkalmazásában. Dánia a dublini rendszerben egy külön nemzetközi megállapodás alapján vesz részt, melyet 2006-ban kötött az Unióval. A felelősséget megállapító kritériumok hierarchikus sorrendben a családi szempontoktól az adott tagállamban vízum vagy t</w:t>
      </w:r>
      <w:r>
        <w:rPr>
          <w:rFonts w:ascii="Times New Roman" w:hAnsi="Times New Roman"/>
          <w:sz w:val="18"/>
        </w:rPr>
        <w:t>artózkodási engedély közelmúltbeli birtoklásán át a kérelmező EU-ba való belépésének szabályos vagy szabálytalan módjáig terjednek.</w:t>
      </w:r>
    </w:p>
  </w:footnote>
  <w:footnote w:id="35">
    <w:p w:rsidR="004C19BC" w:rsidRDefault="00F16D4C">
      <w:pPr>
        <w:pStyle w:val="FootnoteText"/>
        <w:ind w:left="240" w:hanging="240"/>
        <w:jc w:val="both"/>
        <w:rPr>
          <w:rFonts w:ascii="Times New Roman" w:hAnsi="Times New Roman" w:cs="Times New Roman"/>
          <w:sz w:val="18"/>
          <w:szCs w:val="18"/>
        </w:rPr>
      </w:pPr>
      <w:r>
        <w:rPr>
          <w:rStyle w:val="FootnoteReference"/>
        </w:rPr>
        <w:footnoteRef/>
      </w:r>
      <w:r>
        <w:tab/>
      </w:r>
      <w:r>
        <w:rPr>
          <w:rFonts w:ascii="Times New Roman" w:hAnsi="Times New Roman"/>
          <w:sz w:val="18"/>
        </w:rPr>
        <w:t>Az Európai Parlament és a Tanács 2013. június 26-i 603/2013/EU rendelete az Eurodac létrehozásáról (átdolgozás). Az Egyesü</w:t>
      </w:r>
      <w:r>
        <w:rPr>
          <w:rFonts w:ascii="Times New Roman" w:hAnsi="Times New Roman"/>
          <w:sz w:val="18"/>
        </w:rPr>
        <w:t>lt Királyság és Írország csatlakozott ehhez a rendelethez. Dánia az Eurodac rendszerben egy külön nemzetközi megállapodás alapján vesz részt, melyet 2006-ban kötött az Unióval.</w:t>
      </w:r>
    </w:p>
  </w:footnote>
  <w:footnote w:id="36">
    <w:p w:rsidR="004C19BC" w:rsidRDefault="00F16D4C">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sz w:val="18"/>
        </w:rPr>
        <w:t>E kezdeményezés alkalmazási köréhez lásd a 3. lábjegyzetet.</w:t>
      </w:r>
    </w:p>
  </w:footnote>
  <w:footnote w:id="37">
    <w:p w:rsidR="004C19BC" w:rsidRDefault="00F16D4C">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Descy, Pascalin</w:t>
      </w:r>
      <w:r>
        <w:rPr>
          <w:rFonts w:ascii="Times New Roman" w:hAnsi="Times New Roman"/>
          <w:sz w:val="18"/>
        </w:rPr>
        <w:t>e (2014), „Projected labour market imbalances in Europe: Policy challenges in meeting the Europe 2020 employment targets” (Előrejelzett munkaerő-piaci egyensúlyhiány Európában: az Európa 2020 stratégia foglalkoztatási céljainak elérésével kapcsolatos szakp</w:t>
      </w:r>
      <w:r>
        <w:rPr>
          <w:rFonts w:ascii="Times New Roman" w:hAnsi="Times New Roman"/>
          <w:sz w:val="18"/>
        </w:rPr>
        <w:t>olitikai kihívások), megjelent: OECD/Európai Unió, „Matching Economic Migration with Labour Market Needs” (A gazdasági migráció és a munkaerő-piaci szükségletek összeegyeztetése), OECD Publishing (</w:t>
      </w:r>
      <w:hyperlink r:id="rId2">
        <w:r>
          <w:rPr>
            <w:rFonts w:ascii="Times New Roman" w:hAnsi="Times New Roman"/>
            <w:sz w:val="18"/>
          </w:rPr>
          <w:t>http://dx.doi.org/10.1787/9789264216501-12-en</w:t>
        </w:r>
      </w:hyperlink>
      <w:r>
        <w:rPr>
          <w:rFonts w:ascii="Times New Roman" w:hAnsi="Times New Roman"/>
          <w:sz w:val="18"/>
        </w:rPr>
        <w:t>).</w:t>
      </w:r>
    </w:p>
  </w:footnote>
  <w:footnote w:id="38">
    <w:p w:rsidR="004C19BC" w:rsidRDefault="00F16D4C">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Már mindkét kezdeményezés szerepel a Bizottság 2015. évi munkaprogramjának 1. mellékletében.</w:t>
      </w:r>
    </w:p>
  </w:footnote>
  <w:footnote w:id="39">
    <w:p w:rsidR="004C19BC" w:rsidRDefault="00F16D4C">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Bizottság elvégzi majd a jogszerű migrációra vonatkozó meglévő vívmányok célravezetőségi vizsgálatát is</w:t>
      </w:r>
      <w:r>
        <w:rPr>
          <w:rFonts w:ascii="Times New Roman" w:hAnsi="Times New Roman"/>
          <w:sz w:val="18"/>
        </w:rPr>
        <w:t xml:space="preserve"> annak érdekében, hogy azonosítsa a hiányokat és következetlenségeket, valamint áttekintse a jelenlegi uniós keret egyszerűsítésének és korszerűsítésének lehetséges módjait, amelyek révén hozzájárulhat a jogszerű migrációs áramlás jobb kezeléséhez. E kezde</w:t>
      </w:r>
      <w:r>
        <w:rPr>
          <w:rFonts w:ascii="Times New Roman" w:hAnsi="Times New Roman"/>
          <w:sz w:val="18"/>
        </w:rPr>
        <w:t>ményezés alkalmazási köréhez lásd a 3. lábjegyzetet.</w:t>
      </w:r>
    </w:p>
  </w:footnote>
  <w:footnote w:id="40">
    <w:p w:rsidR="004C19BC" w:rsidRDefault="00F16D4C">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COM/2013/0151 final. E javaslat hatályát illetően lásd a 3. lábjegyzetet.</w:t>
      </w:r>
    </w:p>
  </w:footnote>
  <w:footnote w:id="41">
    <w:p w:rsidR="004C19BC" w:rsidRDefault="00F16D4C">
      <w:pPr>
        <w:pStyle w:val="FootnoteText"/>
        <w:ind w:left="240" w:hanging="240"/>
        <w:jc w:val="both"/>
        <w:rPr>
          <w:rFonts w:ascii="Times New Roman" w:hAnsi="Times New Roman" w:cs="Times New Roman"/>
          <w:sz w:val="18"/>
          <w:szCs w:val="18"/>
        </w:rPr>
      </w:pPr>
      <w:r>
        <w:rPr>
          <w:rStyle w:val="FootnoteReference"/>
        </w:rPr>
        <w:footnoteRef/>
      </w:r>
      <w:r>
        <w:rPr>
          <w:rFonts w:ascii="Times New Roman" w:hAnsi="Times New Roman"/>
          <w:sz w:val="18"/>
        </w:rPr>
        <w:t xml:space="preserve"> </w:t>
      </w:r>
      <w:r>
        <w:tab/>
      </w:r>
      <w:r>
        <w:rPr>
          <w:rFonts w:ascii="Times New Roman" w:hAnsi="Times New Roman"/>
          <w:sz w:val="18"/>
        </w:rPr>
        <w:t xml:space="preserve">A Tanács 2009. május 25-i 2009/50/EK irányelve a harmadik országbeli állampolgárok magas szintű képzettséget igénylő </w:t>
      </w:r>
      <w:r>
        <w:rPr>
          <w:rFonts w:ascii="Times New Roman" w:hAnsi="Times New Roman"/>
          <w:sz w:val="18"/>
        </w:rPr>
        <w:t>munkavállalás céljából való belépésének és tartózkodásának feltételeiről (HL L 155., 2009.6.18., 17. o.). Az Egyesült Királyság és Írország nem csatlakozott ehhez az irányelvhez, ezért az irányelv rájuk nézve nem kötelező és nem alkalmazandó.</w:t>
      </w:r>
    </w:p>
  </w:footnote>
  <w:footnote w:id="42">
    <w:p w:rsidR="004C19BC" w:rsidRDefault="00F16D4C">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Például a „</w:t>
      </w:r>
      <w:r>
        <w:rPr>
          <w:rFonts w:ascii="Times New Roman" w:hAnsi="Times New Roman"/>
          <w:sz w:val="18"/>
        </w:rPr>
        <w:t>készségkörkép” és a „szakképzettség-fejlesztési szövetségek” révén.</w:t>
      </w:r>
    </w:p>
  </w:footnote>
  <w:footnote w:id="43">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Köztük az európai képesítési keretrendszeren keresztül és az EUROPASS-rendszer küszöbön álló felülvizsgálatával összefüggésben.</w:t>
      </w:r>
    </w:p>
  </w:footnote>
  <w:footnote w:id="44">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Az elsősorban a Vízumkódexben (810/2009/EK rendelet) sza</w:t>
      </w:r>
      <w:r>
        <w:rPr>
          <w:rFonts w:ascii="Times New Roman" w:hAnsi="Times New Roman"/>
          <w:sz w:val="18"/>
        </w:rPr>
        <w:t xml:space="preserve">bályozott közös vízumpolitika megállapítja a pl. turizmus, üzleti tevékenység, magánjellegű családi/baráti látogatás, kulturális és sportesemény céljából utazó harmadik országbeli állampolgárok számára kiállított, rövid távú tartózkodásra jogosító vízumok </w:t>
      </w:r>
      <w:r>
        <w:rPr>
          <w:rFonts w:ascii="Times New Roman" w:hAnsi="Times New Roman"/>
          <w:sz w:val="18"/>
        </w:rPr>
        <w:t>kibocsátásának feltételeit. A közös vízumpolitika a schengeni vívmányok azon részéhez tartozik, amelynek végrehajtásában Írország és az Egyesült Királyság nem vesz részt. A schengeni államok 2014-ben megközelítőleg 15,8 millió vízumot bocsátottak ki, ami k</w:t>
      </w:r>
      <w:r>
        <w:rPr>
          <w:rFonts w:ascii="Times New Roman" w:hAnsi="Times New Roman"/>
          <w:sz w:val="18"/>
        </w:rPr>
        <w:t>b. 60 %-os emelkedést jelent 2009-hez képest. Az Európai Parlament és a Tanács jelenleg tárgyal a Vízumkódex átdolgozására irányuló javaslatról (COM(2014) 164).</w:t>
      </w:r>
    </w:p>
  </w:footnote>
  <w:footnote w:id="45">
    <w:p w:rsidR="004C19BC" w:rsidRDefault="00F16D4C">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Ez az új típusú vízum olyan, vízummentességet élvező és vízumkötelezettség alá tartozó harmad</w:t>
      </w:r>
      <w:r>
        <w:rPr>
          <w:rFonts w:ascii="Times New Roman" w:hAnsi="Times New Roman"/>
          <w:sz w:val="18"/>
        </w:rPr>
        <w:t>ik országbeli állampolgárok esetében bocsátható ki, akiknek jogos érdekeik fűződnek ahhoz, hogy bármely 180 napos időszakban 90 napnál hosszabb ideig utazzanak a schengeni térség területén (COM(2014)163). Ez a javaslat a schengeni vívmányok azon részére ép</w:t>
      </w:r>
      <w:r>
        <w:rPr>
          <w:rFonts w:ascii="Times New Roman" w:hAnsi="Times New Roman"/>
          <w:sz w:val="18"/>
        </w:rPr>
        <w:t>ül, amelynek végrehajtásában Írország és az Egyesült Királyság nem vesz részt.</w:t>
      </w:r>
    </w:p>
  </w:footnote>
  <w:footnote w:id="46">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Ezen intézkedések végrehajtását a Bizottság 2015 végén értékeli majd, hogy megbizonyosodjék arról, hogy a tagállamok milyen mértékben teljesítették célkitűzéseiket, valamint s</w:t>
      </w:r>
      <w:r>
        <w:rPr>
          <w:rFonts w:ascii="Times New Roman" w:hAnsi="Times New Roman"/>
          <w:sz w:val="18"/>
        </w:rPr>
        <w:t>zükséges-e az ESZA-források újraprogramozása.</w:t>
      </w:r>
    </w:p>
  </w:footnote>
  <w:footnote w:id="47">
    <w:p w:rsidR="004C19BC" w:rsidRDefault="00F16D4C">
      <w:pPr>
        <w:pStyle w:val="FootnoteText"/>
        <w:ind w:left="240" w:hanging="240"/>
        <w:jc w:val="both"/>
        <w:rPr>
          <w:sz w:val="18"/>
          <w:szCs w:val="18"/>
        </w:rPr>
      </w:pPr>
      <w:r>
        <w:rPr>
          <w:rStyle w:val="FootnoteReference"/>
        </w:rPr>
        <w:footnoteRef/>
      </w:r>
      <w:r>
        <w:tab/>
      </w:r>
      <w:r>
        <w:rPr>
          <w:rFonts w:ascii="Times New Roman" w:hAnsi="Times New Roman"/>
          <w:sz w:val="18"/>
        </w:rPr>
        <w:t>A Bizottság közleménye: „A migráció fejlesztésre gyakorolt hatásának maximalizálása” (COM(2013)292 final); a Tanács 2014. december 12-i, „A migráció az uniós fejlesztési együttműködés összefüggésében” című kö</w:t>
      </w:r>
      <w:r>
        <w:rPr>
          <w:rFonts w:ascii="Times New Roman" w:hAnsi="Times New Roman"/>
          <w:sz w:val="18"/>
        </w:rPr>
        <w:t>vetkeztetései.</w:t>
      </w:r>
    </w:p>
  </w:footnote>
  <w:footnote w:id="48">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Bizottság közleménye: „A migrációval és a mobilitással kapcsolatos általános megközelítés” (COM(2011)743 végleges). Ezek a migráció területére vonatkozó legkidolgozottabb kétoldalú együttműködési keretrendszerek. Politikai keretet biztos</w:t>
      </w:r>
      <w:r>
        <w:rPr>
          <w:rFonts w:ascii="Times New Roman" w:hAnsi="Times New Roman"/>
          <w:sz w:val="18"/>
        </w:rPr>
        <w:t>ítanak a partnerországokkal folytatott átfogó, megerősített és testreszabott párbeszéd és együttműködés számára, ideértve egy sor célt és kötelezettségvállalást, valamint az EU és az érdekelt tagállamok által felajánlott konkrét támogatási intézkedési csom</w:t>
      </w:r>
      <w:r>
        <w:rPr>
          <w:rFonts w:ascii="Times New Roman" w:hAnsi="Times New Roman"/>
          <w:sz w:val="18"/>
        </w:rPr>
        <w:t>agot. Magukban foglalják továbbá a vízumkönnyítési és visszafogadási megállapodásról szóló tárgyalásokat is.</w:t>
      </w:r>
    </w:p>
  </w:footnote>
  <w:footnote w:id="49">
    <w:p w:rsidR="004C19BC" w:rsidRDefault="00F16D4C">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sz w:val="18"/>
        </w:rPr>
        <w:t>COM(2013)0547 final.</w:t>
      </w:r>
    </w:p>
  </w:footnote>
  <w:footnote w:id="50">
    <w:p w:rsidR="004C19BC" w:rsidRDefault="00F16D4C">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tab/>
      </w:r>
      <w:r>
        <w:rPr>
          <w:rFonts w:ascii="Times New Roman" w:hAnsi="Times New Roman"/>
          <w:sz w:val="18"/>
        </w:rPr>
        <w:t>A menekültügyi határozatok kölcsönös elismerése azt jelenti, hogy valamely tagállam elismeri egy másik tagállam kérelemnek</w:t>
      </w:r>
      <w:r>
        <w:rPr>
          <w:rFonts w:ascii="Times New Roman" w:hAnsi="Times New Roman"/>
          <w:sz w:val="18"/>
        </w:rPr>
        <w:t xml:space="preserve"> helyt adó menekültügyi határozatát.</w:t>
      </w:r>
    </w:p>
  </w:footnote>
  <w:footnote w:id="51">
    <w:p w:rsidR="004C19BC" w:rsidRDefault="00F16D4C">
      <w:pPr>
        <w:ind w:left="240" w:hanging="240"/>
        <w:jc w:val="both"/>
      </w:pPr>
      <w:r>
        <w:rPr>
          <w:rStyle w:val="FootnoteReference"/>
          <w:rFonts w:ascii="Times New Roman" w:hAnsi="Times New Roman"/>
          <w:sz w:val="18"/>
        </w:rPr>
        <w:footnoteRef/>
      </w:r>
      <w:r>
        <w:tab/>
        <w:t>„</w:t>
      </w:r>
      <w:r>
        <w:rPr>
          <w:rFonts w:ascii="Times New Roman" w:hAnsi="Times New Roman"/>
          <w:sz w:val="18"/>
        </w:rPr>
        <w:t>Study on the feasibility of the creation of a European System of Border Guards” (Tanulmány az európai határőrizeti rendszer létrehozásának megvalósíthatóságáról) (</w:t>
      </w:r>
      <w:hyperlink r:id="rId3">
        <w:r>
          <w:rPr>
            <w:rStyle w:val="Hyperlink"/>
            <w:rFonts w:ascii="Times New Roman" w:hAnsi="Times New Roman"/>
            <w:sz w:val="18"/>
          </w:rPr>
          <w:t>http://ec.europa.eu/dgs/home-affairs/what-we-do/policies/borders-and-visas/border-crossing/docs/20141016_home_esbg_frp_001_esbg_final_rep</w:t>
        </w:r>
        <w:r>
          <w:rPr>
            <w:rStyle w:val="Hyperlink"/>
            <w:rFonts w:ascii="Times New Roman" w:hAnsi="Times New Roman"/>
            <w:sz w:val="18"/>
          </w:rPr>
          <w:t>ort_3_00_en.pdf</w:t>
        </w:r>
      </w:hyperlink>
      <w:r>
        <w:rPr>
          <w:rFonts w:ascii="Times New Roman" w:hAnsi="Times New Roman"/>
          <w:sz w:val="18"/>
        </w:rPr>
        <w:t>), folyamatban lévő tanulmány a Frontex jövőjéről.</w:t>
      </w:r>
    </w:p>
  </w:footnote>
  <w:footnote w:id="52">
    <w:p w:rsidR="004C19BC" w:rsidRDefault="004C19BC">
      <w:pPr>
        <w:pStyle w:val="FootnoteText"/>
      </w:pPr>
    </w:p>
    <w:p w:rsidR="004C19BC" w:rsidRDefault="00F16D4C">
      <w:pPr>
        <w:pStyle w:val="FootnoteText"/>
        <w:ind w:left="240" w:hanging="240"/>
        <w:rPr>
          <w:sz w:val="18"/>
          <w:szCs w:val="18"/>
        </w:rPr>
      </w:pPr>
      <w:r>
        <w:rPr>
          <w:rStyle w:val="FootnoteReference"/>
        </w:rPr>
        <w:footnoteRef/>
      </w:r>
      <w:r>
        <w:tab/>
      </w:r>
      <w:r>
        <w:rPr>
          <w:sz w:val="18"/>
        </w:rPr>
        <w:t>Az Áthelyezési és Letelepítési Fórum korábbi ülésein elhangzottak figyelembevételével.</w:t>
      </w:r>
    </w:p>
  </w:footnote>
  <w:footnote w:id="53">
    <w:p w:rsidR="004C19BC" w:rsidRDefault="00F16D4C">
      <w:pPr>
        <w:pStyle w:val="FootnoteText"/>
        <w:ind w:left="240" w:hanging="240"/>
        <w:jc w:val="both"/>
        <w:rPr>
          <w:sz w:val="18"/>
          <w:szCs w:val="18"/>
        </w:rPr>
      </w:pPr>
      <w:r>
        <w:rPr>
          <w:rStyle w:val="FootnoteReference"/>
          <w:sz w:val="18"/>
        </w:rPr>
        <w:footnoteRef/>
      </w:r>
      <w:r>
        <w:tab/>
      </w:r>
      <w:r>
        <w:rPr>
          <w:sz w:val="18"/>
        </w:rPr>
        <w:t xml:space="preserve">Az egy főre jutó GDP nem alkalmazandó, mivel a lakosság számára vonatkozó kritérium már tükrözi a </w:t>
      </w:r>
      <w:r>
        <w:rPr>
          <w:sz w:val="18"/>
        </w:rPr>
        <w:t>fejenkénti adatokat.</w:t>
      </w:r>
    </w:p>
  </w:footnote>
  <w:footnote w:id="54">
    <w:p w:rsidR="004C19BC" w:rsidRDefault="00F16D4C">
      <w:pPr>
        <w:pStyle w:val="FootnoteText"/>
        <w:ind w:left="240" w:hanging="240"/>
        <w:jc w:val="both"/>
        <w:rPr>
          <w:sz w:val="18"/>
          <w:szCs w:val="18"/>
        </w:rPr>
      </w:pPr>
      <w:r>
        <w:rPr>
          <w:rStyle w:val="FootnoteReference"/>
          <w:sz w:val="18"/>
        </w:rPr>
        <w:footnoteRef/>
      </w:r>
      <w:r>
        <w:tab/>
      </w:r>
      <w:r>
        <w:rPr>
          <w:sz w:val="18"/>
        </w:rPr>
        <w:t xml:space="preserve">Az Unió közös menekültügyi, bevándorlási, vízum- és külső határellenőrzési politikája az Európai Unió működéséről szóló szerződés (EUMSZ) V. címén (A szabadságon, a biztonságon és a jog érvényesülésén alapuló térség) alapul. A </w:t>
      </w:r>
      <w:r>
        <w:rPr>
          <w:sz w:val="18"/>
        </w:rPr>
        <w:t>Szerződésekhez csatolt 21. és 22. jegyzőkönyvnek megfelelően az Egyesült Királyság, Írország és Dánia nem vesz részt az EUMSZ V. cikke alapján javasolt intézkedéseknek a Tanács általi elfogadásában. Az Egyesült Királyság és Írország a javaslat vagy kezdemé</w:t>
      </w:r>
      <w:r>
        <w:rPr>
          <w:sz w:val="18"/>
        </w:rPr>
        <w:t>nyezés előterjesztését követő három hónapon belül, vagy annak elfogadása után bármikor értesítheti a Tanácsot arról, hogy részt kíván venni bármely javasolt intézkedés elfogadásában és alkalmazásában. Dánia – alkotmányos előírásainak megfelelően – bármikor</w:t>
      </w:r>
      <w:r>
        <w:rPr>
          <w:sz w:val="18"/>
        </w:rPr>
        <w:t xml:space="preserve"> értesítheti a többi tagállamot, hogy teljes mértékben alkalmazni kívánja az EUMSZ V. cikke alapján elfogadott, összes releváns intézkedést. Amennyiben az Egyesült Királyság vagy Írország úgy dönt, hogy csatlakozik az áthelyezési rendszerhez, a tagállami h</w:t>
      </w:r>
      <w:r>
        <w:rPr>
          <w:sz w:val="18"/>
        </w:rPr>
        <w:t>ozzájárulások százalékos aránya ennek megfelelően módosításra kerül. Amennyiben Dánia vagy a társult államok úgy döntenek, hogy önként részt vesznek az áthelyezési rendszerben, a tagállami hozzájárulások százalékos aránya ennek megfelelően módosításra kerü</w:t>
      </w:r>
      <w:r>
        <w:rPr>
          <w:sz w:val="18"/>
        </w:rPr>
        <w:t>l.</w:t>
      </w:r>
    </w:p>
  </w:footnote>
  <w:footnote w:id="55">
    <w:p w:rsidR="004C19BC" w:rsidRDefault="00F16D4C">
      <w:pPr>
        <w:pStyle w:val="FootnoteText"/>
        <w:ind w:left="240" w:hanging="240"/>
        <w:jc w:val="both"/>
        <w:rPr>
          <w:sz w:val="18"/>
          <w:szCs w:val="18"/>
        </w:rPr>
      </w:pPr>
      <w:r>
        <w:rPr>
          <w:rStyle w:val="FootnoteReference"/>
          <w:sz w:val="18"/>
        </w:rPr>
        <w:footnoteRef/>
      </w:r>
      <w:r>
        <w:tab/>
      </w:r>
      <w:r>
        <w:rPr>
          <w:sz w:val="18"/>
        </w:rPr>
        <w:t>Az elosztási kulcsban megállapított százalékos arányokat kiigazítják annak érdekében, hogy azok figyelembe vegyék az EUMSZ 78. cikkének (3) bekezdése szerinti veszélyhelyzeti áthelyezési rendszer által orvosolt konkrét válsághelyzetet. Az olyan tagáll</w:t>
      </w:r>
      <w:r>
        <w:rPr>
          <w:sz w:val="18"/>
        </w:rPr>
        <w:t>amok, ahonnan áthelyezés történik, nem vehetők figyelembe áthelyezési célországként.</w:t>
      </w:r>
    </w:p>
  </w:footnote>
  <w:footnote w:id="56">
    <w:p w:rsidR="004C19BC" w:rsidRDefault="00F16D4C">
      <w:pPr>
        <w:pStyle w:val="FootnoteText"/>
        <w:ind w:left="240" w:hanging="240"/>
        <w:jc w:val="both"/>
        <w:rPr>
          <w:sz w:val="18"/>
          <w:szCs w:val="18"/>
        </w:rPr>
      </w:pPr>
      <w:r>
        <w:rPr>
          <w:rStyle w:val="FootnoteReference"/>
          <w:sz w:val="18"/>
        </w:rPr>
        <w:footnoteRef/>
      </w:r>
      <w:r>
        <w:rPr>
          <w:sz w:val="18"/>
        </w:rPr>
        <w:t xml:space="preserve"> </w:t>
      </w:r>
      <w:r>
        <w:tab/>
      </w:r>
      <w:r>
        <w:rPr>
          <w:sz w:val="18"/>
        </w:rPr>
        <w:t>Amennyiben a társult államok úgy döntenek, hogy részt vesznek a rendszerben, a kulcs és a letelepítési helyek teljes száma ennek megfelelően módosításra kerül.</w:t>
      </w:r>
    </w:p>
  </w:footnote>
  <w:footnote w:id="57">
    <w:p w:rsidR="004C19BC" w:rsidRDefault="00F16D4C">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sz w:val="18"/>
          <w:szCs w:val="20"/>
        </w:rPr>
        <w:t>Bár a</w:t>
      </w:r>
      <w:r>
        <w:rPr>
          <w:sz w:val="18"/>
          <w:szCs w:val="20"/>
        </w:rPr>
        <w:t xml:space="preserve"> javasolt letelepítési rendszer ajánlás formájában kerül benyújtása, az Unió közös migrációs politikája az EUMSZ V. címén alapul. Ezért a Szerződések 21. és 22. jegyzőkönyvére vonatkozó, a 3. lábjegyzetben hivatkozott, az Egyesült Királyság, Írország és Dá</w:t>
      </w:r>
      <w:r>
        <w:rPr>
          <w:sz w:val="18"/>
          <w:szCs w:val="20"/>
        </w:rPr>
        <w:t>nia helyzetével kapcsolatos különös szempontokat figyelembe veszik.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F16D4C">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BC" w:rsidRDefault="004C1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953D435148447DDAF4A6B31D95601D1"/>
    <w:docVar w:name="LW_CROSSREFERENCE" w:val="&lt;UNUSED&gt;"/>
    <w:docVar w:name="LW_DocType" w:val="NORMAL"/>
    <w:docVar w:name="LW_EMISSION" w:val="2015.5.13."/>
    <w:docVar w:name="LW_EMISSION_ISODATE" w:val="2015-05-13"/>
    <w:docVar w:name="LW_EMISSION_LOCATION" w:val="BRX"/>
    <w:docVar w:name="LW_EMISSION_PREFIX" w:val="Brüsszel, "/>
    <w:docVar w:name="LW_EMISSION_SUFFIX" w:val=" "/>
    <w:docVar w:name="LW_ID_DOCTYPE_NONLW" w:val="CP-014"/>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URÓPAI MIGRÁCIÓS STRATÉGIA"/>
    <w:docVar w:name="LW_TYPE.DOC.CP" w:val="A BIZOTTSÁG KÖZLEMÉNYE AZ EURÓPAI PARLAMENTNEK, A TANÁCSNAK, AZ EURÓPAI GAZDASÁGI ÉS SZOCIÁLIS BIZOTTSÁGNAK ÉS A RÉGIÓK BIZOTTSÁGÁNAK"/>
    <w:docVar w:name="LW_TYPE.DOC.CP.USERTEXT" w:val="&lt;EMPTY&gt;"/>
  </w:docVars>
  <w:rsids>
    <w:rsidRoot w:val="004C19BC"/>
    <w:rsid w:val="004C19BC"/>
    <w:rsid w:val="00F16D4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hu-HU"/>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hu-HU"/>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HU: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C4568-8CE1-46BD-91B5-0A681345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10020</Words>
  <Characters>53208</Characters>
  <Application>Microsoft Office Word</Application>
  <DocSecurity>0</DocSecurity>
  <Lines>1108</Lines>
  <Paragraphs>645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