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AF6" w:rsidRDefault="007E0AAA">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23D363B32824E56BA42EA4E68A24016" style="width:450.8pt;height:320.35pt">
            <v:imagedata r:id="rId9" o:title=""/>
          </v:shape>
        </w:pict>
      </w:r>
    </w:p>
    <w:bookmarkEnd w:id="0"/>
    <w:p w:rsidR="00196AF6" w:rsidRDefault="00196AF6">
      <w:pPr>
        <w:rPr>
          <w:rFonts w:ascii="Times New Roman" w:hAnsi="Times New Roman"/>
          <w:noProof/>
        </w:rPr>
        <w:sectPr w:rsidR="00196AF6">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196AF6" w:rsidRDefault="007E0AAA">
      <w:pPr>
        <w:rPr>
          <w:rFonts w:ascii="Times New Roman" w:hAnsi="Times New Roman"/>
          <w:b/>
          <w:noProof/>
          <w:sz w:val="32"/>
          <w:szCs w:val="32"/>
          <w:lang w:val="pl-PL"/>
        </w:rPr>
      </w:pPr>
      <w:r>
        <w:rPr>
          <w:rFonts w:ascii="Times New Roman" w:hAnsi="Times New Roman"/>
          <w:b/>
          <w:noProof/>
          <w:sz w:val="32"/>
          <w:lang w:val="pl-PL"/>
        </w:rPr>
        <w:lastRenderedPageBreak/>
        <w:t>I. Wprowadzenie</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lang w:val="pl-PL"/>
        </w:rPr>
        <w:t xml:space="preserve">Od niepamiętnych czasów ludzie zawsze przenosili się miejsca na miejsce. Migranci </w:t>
      </w:r>
      <w:r>
        <w:rPr>
          <w:rFonts w:ascii="Times New Roman" w:hAnsi="Times New Roman"/>
          <w:noProof/>
          <w:sz w:val="24"/>
          <w:lang w:val="pl-PL"/>
        </w:rPr>
        <w:t>próbują docierać do wybrzeży Europy z różnych powodów i różnymi sposobami. Szukają legalnych możliwości, ale ryzykują też życiem, aby wymknąć się spod politycznego ucisku, uciec od wojny i nędzy, a także aby połączyć się z rodziną, podjąć działalność gospo</w:t>
      </w:r>
      <w:r>
        <w:rPr>
          <w:rFonts w:ascii="Times New Roman" w:hAnsi="Times New Roman"/>
          <w:noProof/>
          <w:sz w:val="24"/>
          <w:lang w:val="pl-PL"/>
        </w:rPr>
        <w:t>darczą, zdobyć wiedzę i wykształcenie. Każda decyzja o migracji jest osobną historią. W nieprzemyślanych i stereotypowych przekazach często wyraża się skłonność do skupienia się jedynie na niektórych typach fal migracyjnych, bez dostrzegania wewnętrznej zł</w:t>
      </w:r>
      <w:r>
        <w:rPr>
          <w:rFonts w:ascii="Times New Roman" w:hAnsi="Times New Roman"/>
          <w:noProof/>
          <w:sz w:val="24"/>
          <w:lang w:val="pl-PL"/>
        </w:rPr>
        <w:t>ożoności tego zjawiska, które na wiele różnych sposobów wpływa na społeczeństwo i wymaga zróżnicowanej reakcji. Przedkładany program zbiera różne działania, które Unia Europejska powinna podjąć obecnie i w nadchodzących latach w celu zbudowania spójnego po</w:t>
      </w:r>
      <w:r>
        <w:rPr>
          <w:rFonts w:ascii="Times New Roman" w:hAnsi="Times New Roman"/>
          <w:noProof/>
          <w:sz w:val="24"/>
          <w:lang w:val="pl-PL"/>
        </w:rPr>
        <w:t>dejścia, umożliwiającego osiągnięcie korzyści z migracji i sprostanie wynikającym z niej wyzwaniom.</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lang w:val="pl-PL"/>
        </w:rPr>
        <w:t>Nakazem chwili jest zapewnienie ochrony potrzebującym. Los tysięcy migrantów, ryzykujących życie przy próbie przebycia Morza Śródziemnego, zszokował nas wsz</w:t>
      </w:r>
      <w:r>
        <w:rPr>
          <w:rFonts w:ascii="Times New Roman" w:hAnsi="Times New Roman"/>
          <w:noProof/>
          <w:sz w:val="24"/>
          <w:lang w:val="pl-PL"/>
        </w:rPr>
        <w:t>ystkich. Pierwszą i natychmiastową reakcją Komisji było przygotowanie 10-punktowego planu natychmiastowych działań. Parlament Europejski i Rada Europejska poparły ten plan i państwa członkowskie zobowiązały się również do konkretnych działań, zwłaszcza w c</w:t>
      </w:r>
      <w:r>
        <w:rPr>
          <w:rFonts w:ascii="Times New Roman" w:hAnsi="Times New Roman"/>
          <w:noProof/>
          <w:sz w:val="24"/>
          <w:lang w:val="pl-PL"/>
        </w:rPr>
        <w:t>elu uniknięcia dalszych ofiar w ludziach.</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lang w:val="pl-PL"/>
        </w:rPr>
        <w:t>Odpowiedź była natychmiastowa, lecz niewystarczająca. Nie chodzi tu o jednorazowe działanie. Środki nadzwyczajne są konieczne, ponieważ wspólna europejska polityka w tej dziedzinie zawiodła. Większość Europejczyków</w:t>
      </w:r>
      <w:r>
        <w:rPr>
          <w:rFonts w:ascii="Times New Roman" w:hAnsi="Times New Roman"/>
          <w:noProof/>
          <w:sz w:val="24"/>
          <w:lang w:val="pl-PL"/>
        </w:rPr>
        <w:t xml:space="preserve"> zareagowała na dramat migrantów w Europie, jednak w obliczu realiów istnieją poważne wątpliwości co do tego, czy nasza polityka migracyjna potrafi sprostać presji tysięcy migrantów, konieczności integracji migrantów w społeczeństwach bądź ekonomicznym wym</w:t>
      </w:r>
      <w:r>
        <w:rPr>
          <w:rFonts w:ascii="Times New Roman" w:hAnsi="Times New Roman"/>
          <w:noProof/>
          <w:sz w:val="24"/>
          <w:lang w:val="pl-PL"/>
        </w:rPr>
        <w:t xml:space="preserve">aganiom niżu demograficznego w Europie. </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lang w:val="pl-PL"/>
        </w:rPr>
        <w:t>Podjęcie próby powstrzymania ludzkiego nieszczęścia powodowanego przez przestępców żerujących na imigrantach wymaga wykorzystania przez nas globalnej roli UE i szerokiego wachlarza narzędzi, aby zmierzyć się z podst</w:t>
      </w:r>
      <w:r>
        <w:rPr>
          <w:rFonts w:ascii="Times New Roman" w:hAnsi="Times New Roman"/>
          <w:noProof/>
          <w:sz w:val="24"/>
          <w:lang w:val="pl-PL"/>
        </w:rPr>
        <w:t>awowymi przyczynami migracji. Niektóre z nich są głęboko zakorzenione, ale musimy się nimi zająć. Globalizacja i rewolucja komunikacyjna stworzyły możliwości i spowodowały wzrost oczekiwań. Inne są konsekwencją wojny i kryzysów – od Ukrainy przez Bliski Ws</w:t>
      </w:r>
      <w:r>
        <w:rPr>
          <w:rFonts w:ascii="Times New Roman" w:hAnsi="Times New Roman"/>
          <w:noProof/>
          <w:sz w:val="24"/>
          <w:lang w:val="pl-PL"/>
        </w:rPr>
        <w:t>chód do Afryki Północnej. Skutków ubóstwa na świecie i konfliktów nie da się zamknąć w obrębie granic państw.</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lang w:val="pl-PL"/>
        </w:rPr>
        <w:t>Europa powinna pozostać bezpiecznym schronieniem dla uciekających przed prześladowaniami, a także atrakcyjnym punktem docelowym dla utalentowanych</w:t>
      </w:r>
      <w:r>
        <w:rPr>
          <w:rFonts w:ascii="Times New Roman" w:hAnsi="Times New Roman"/>
          <w:noProof/>
          <w:sz w:val="24"/>
          <w:lang w:val="pl-PL"/>
        </w:rPr>
        <w:t xml:space="preserve"> i przedsiębiorczych studentów, naukowców i pracowników. Warunkiem wywiązywania się z naszych międzynarodowych zobowiązań i obrony wartości, przy jednoczesnym zapewnieniu ochrony naszych granic, a zarazem stworzenia solidnych podstaw dobrobytu gospodarczeg</w:t>
      </w:r>
      <w:r>
        <w:rPr>
          <w:rFonts w:ascii="Times New Roman" w:hAnsi="Times New Roman"/>
          <w:noProof/>
          <w:sz w:val="24"/>
          <w:lang w:val="pl-PL"/>
        </w:rPr>
        <w:t xml:space="preserve">o i spójności społecznej, jest trudna do osiągnięcia równowaga, której uzyskanie wymaga skoordynowanego działania na szczeblu europejskim. </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lang w:val="pl-PL"/>
        </w:rPr>
        <w:t>Wymaga to zestawu podstawowych środków oraz konsekwentnej i jednoznacznej wspólnej polityki. Musimy odbudować zaufan</w:t>
      </w:r>
      <w:r>
        <w:rPr>
          <w:rFonts w:ascii="Times New Roman" w:hAnsi="Times New Roman"/>
          <w:noProof/>
          <w:sz w:val="24"/>
          <w:lang w:val="pl-PL"/>
        </w:rPr>
        <w:t>ie w naszą zdolność połączenia wysiłków krajowych i europejskich w dziedzinie migracji, aby sprostać naszym międzynarodowym zobowiązaniom oraz wartościom etycznym i skutecznie współpracować, zgodnie z zasadami solidarności i współodpowiedzialności. Żadne p</w:t>
      </w:r>
      <w:r>
        <w:rPr>
          <w:rFonts w:ascii="Times New Roman" w:hAnsi="Times New Roman"/>
          <w:noProof/>
          <w:sz w:val="24"/>
          <w:lang w:val="pl-PL"/>
        </w:rPr>
        <w:t xml:space="preserve">aństwo członkowskie nie zdoła samo poradzić sobie skutecznie z migracją. Jest oczywiste, że potrzebujemy nowego, bardziej europejskiego </w:t>
      </w:r>
      <w:r>
        <w:rPr>
          <w:rFonts w:ascii="Times New Roman" w:hAnsi="Times New Roman"/>
          <w:noProof/>
          <w:sz w:val="24"/>
          <w:lang w:val="pl-PL"/>
        </w:rPr>
        <w:lastRenderedPageBreak/>
        <w:t>podejścia. Wymaga to wykorzystania wszystkich polityk i zastosowania wszystkich narzędzi, którymi dysponujemy – połączen</w:t>
      </w:r>
      <w:r>
        <w:rPr>
          <w:rFonts w:ascii="Times New Roman" w:hAnsi="Times New Roman"/>
          <w:noProof/>
          <w:sz w:val="24"/>
          <w:lang w:val="pl-PL"/>
        </w:rPr>
        <w:t>ia w sposób optymalny polityki wewnętrznej i zewnętrznej. Wszystkie podmioty: państwa członkowskie, instytucje UE, organizacje międzynarodowe, społeczeństwo obywatelskie, samorządy terytorialne i państwa trzecie powinny współpracować, aby wspólna europejsk</w:t>
      </w:r>
      <w:r>
        <w:rPr>
          <w:rFonts w:ascii="Times New Roman" w:hAnsi="Times New Roman"/>
          <w:noProof/>
          <w:sz w:val="24"/>
          <w:lang w:val="pl-PL"/>
        </w:rPr>
        <w:t xml:space="preserve">a polityka migracyjna stała się faktem. </w:t>
      </w:r>
    </w:p>
    <w:p w:rsidR="00196AF6" w:rsidRDefault="00196AF6">
      <w:pPr>
        <w:rPr>
          <w:rFonts w:ascii="Times New Roman" w:hAnsi="Times New Roman"/>
          <w:b/>
          <w:noProof/>
          <w:sz w:val="36"/>
          <w:szCs w:val="36"/>
          <w:lang w:val="pl-PL"/>
        </w:rPr>
      </w:pPr>
    </w:p>
    <w:p w:rsidR="00196AF6" w:rsidRDefault="007E0AAA">
      <w:pPr>
        <w:rPr>
          <w:rFonts w:ascii="Times New Roman" w:hAnsi="Times New Roman"/>
          <w:b/>
          <w:noProof/>
          <w:sz w:val="32"/>
          <w:szCs w:val="32"/>
          <w:u w:val="single"/>
          <w:lang w:val="pl-PL"/>
        </w:rPr>
      </w:pPr>
      <w:r>
        <w:rPr>
          <w:rFonts w:ascii="Times New Roman" w:hAnsi="Times New Roman"/>
          <w:noProof/>
          <w:lang w:val="pl-PL"/>
        </w:rPr>
        <w:br w:type="page"/>
      </w:r>
      <w:r>
        <w:rPr>
          <w:rFonts w:ascii="Times New Roman" w:hAnsi="Times New Roman"/>
          <w:b/>
          <w:noProof/>
          <w:sz w:val="32"/>
          <w:lang w:val="pl-PL"/>
        </w:rPr>
        <w:t xml:space="preserve">II. </w:t>
      </w:r>
      <w:r>
        <w:rPr>
          <w:rFonts w:ascii="Times New Roman" w:hAnsi="Times New Roman"/>
          <w:b/>
          <w:noProof/>
          <w:sz w:val="32"/>
          <w:u w:val="single"/>
          <w:lang w:val="pl-PL"/>
        </w:rPr>
        <w:t>Działania niezwłoczne</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szCs w:val="24"/>
          <w:lang w:val="pl-PL"/>
        </w:rPr>
        <w:t xml:space="preserve">Pierwsza część europejskiego programu w zakresie migracji stanowi odpowiedź na potrzebę sprawnego i pełnego determinacji działania w reakcji na ludzką tragedię w obszarze Morza </w:t>
      </w:r>
      <w:r>
        <w:rPr>
          <w:rFonts w:ascii="Times New Roman" w:hAnsi="Times New Roman"/>
          <w:noProof/>
          <w:sz w:val="24"/>
          <w:szCs w:val="24"/>
          <w:lang w:val="pl-PL"/>
        </w:rPr>
        <w:t>Śródziemnego. Oświadczenie Rady Europejskiej z dnia 23 kwietnia 2015 r.</w:t>
      </w:r>
      <w:r>
        <w:rPr>
          <w:rFonts w:ascii="Times New Roman" w:hAnsi="Times New Roman"/>
          <w:noProof/>
          <w:sz w:val="24"/>
          <w:szCs w:val="24"/>
          <w:vertAlign w:val="superscript"/>
        </w:rPr>
        <w:footnoteReference w:id="2"/>
      </w:r>
      <w:r>
        <w:rPr>
          <w:rFonts w:ascii="Times New Roman" w:hAnsi="Times New Roman"/>
          <w:noProof/>
          <w:sz w:val="24"/>
          <w:szCs w:val="24"/>
          <w:lang w:val="pl-PL"/>
        </w:rPr>
        <w:t xml:space="preserve"> i późniejsza o kilka dni rezolucja Parlamentu Europejskiego</w:t>
      </w:r>
      <w:r>
        <w:rPr>
          <w:rFonts w:ascii="Times New Roman" w:hAnsi="Times New Roman"/>
          <w:noProof/>
          <w:sz w:val="24"/>
          <w:szCs w:val="24"/>
          <w:vertAlign w:val="superscript"/>
        </w:rPr>
        <w:footnoteReference w:id="3"/>
      </w:r>
      <w:r>
        <w:rPr>
          <w:rFonts w:ascii="Times New Roman" w:hAnsi="Times New Roman"/>
          <w:noProof/>
          <w:sz w:val="24"/>
          <w:szCs w:val="24"/>
          <w:lang w:val="pl-PL"/>
        </w:rPr>
        <w:t xml:space="preserve"> potwierdziły zgodne stanowisko w kwestii szybkiego działania na rzecz ratowania życia oraz zintensyfikowania działań UE</w:t>
      </w:r>
      <w:r>
        <w:rPr>
          <w:rStyle w:val="FootnoteReference"/>
          <w:rFonts w:ascii="Times New Roman" w:hAnsi="Times New Roman"/>
          <w:noProof/>
          <w:sz w:val="24"/>
          <w:szCs w:val="24"/>
        </w:rPr>
        <w:footnoteReference w:id="4"/>
      </w:r>
      <w:r>
        <w:rPr>
          <w:rFonts w:ascii="Times New Roman" w:hAnsi="Times New Roman"/>
          <w:noProof/>
          <w:sz w:val="24"/>
          <w:szCs w:val="24"/>
          <w:lang w:val="pl-PL"/>
        </w:rPr>
        <w:t xml:space="preserve">. </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szCs w:val="24"/>
          <w:lang w:val="pl-PL"/>
        </w:rPr>
        <w:t xml:space="preserve">Ta szybka reakcja musi również służyć jako wzorzec reagowania UE na przyszłe kryzysy, niezależnie od tego, której części wspólnych granic zewnętrznych będzie dotyczyć presja. </w:t>
      </w:r>
    </w:p>
    <w:p w:rsidR="00196AF6" w:rsidRDefault="007E0AAA">
      <w:pPr>
        <w:spacing w:line="240" w:lineRule="auto"/>
        <w:jc w:val="both"/>
        <w:rPr>
          <w:rFonts w:ascii="Times New Roman" w:hAnsi="Times New Roman"/>
          <w:i/>
          <w:noProof/>
          <w:sz w:val="24"/>
          <w:szCs w:val="24"/>
          <w:lang w:val="pl-PL"/>
        </w:rPr>
      </w:pPr>
      <w:r>
        <w:rPr>
          <w:rFonts w:ascii="Times New Roman" w:hAnsi="Times New Roman"/>
          <w:i/>
          <w:noProof/>
          <w:sz w:val="24"/>
          <w:szCs w:val="24"/>
          <w:lang w:val="pl-PL"/>
        </w:rPr>
        <w:t>Ratowanie życia na morzu</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szCs w:val="24"/>
          <w:lang w:val="pl-PL"/>
        </w:rPr>
        <w:t>Europa nie może przyglądać się bezczynnie, gdy na morzu giną ludzie. Działania poszukiwawcze i ratownicze zostaną zintensyfikowane w celu przywrócenia poziomu interwencji zapewnionego wcześniej w ramach włoskiej operacji „Mare Nostrum”. Aby trzykrotnie zwi</w:t>
      </w:r>
      <w:r>
        <w:rPr>
          <w:rFonts w:ascii="Times New Roman" w:hAnsi="Times New Roman"/>
          <w:noProof/>
          <w:sz w:val="24"/>
          <w:szCs w:val="24"/>
          <w:lang w:val="pl-PL"/>
        </w:rPr>
        <w:t xml:space="preserve">ększyć budżet </w:t>
      </w:r>
      <w:r>
        <w:rPr>
          <w:rFonts w:ascii="Times New Roman" w:hAnsi="Times New Roman"/>
          <w:b/>
          <w:noProof/>
          <w:sz w:val="24"/>
          <w:szCs w:val="24"/>
          <w:lang w:val="pl-PL"/>
        </w:rPr>
        <w:t>wspólnych operacji „Tryton” i „Posejdon” agencji Frontex</w:t>
      </w:r>
      <w:r>
        <w:rPr>
          <w:rFonts w:ascii="Times New Roman" w:hAnsi="Times New Roman"/>
          <w:noProof/>
          <w:sz w:val="24"/>
          <w:szCs w:val="24"/>
          <w:lang w:val="pl-PL"/>
        </w:rPr>
        <w:t>, Komisja przedstawiła już budżet korygujący na 2015 r. i pod koniec maja przedstawi wniosek w sprawie budżetu na 2016 r. Po jego wdrożeniu wzrośnie zarówno zdolność, jak i zasięg geogra</w:t>
      </w:r>
      <w:r>
        <w:rPr>
          <w:rFonts w:ascii="Times New Roman" w:hAnsi="Times New Roman"/>
          <w:noProof/>
          <w:sz w:val="24"/>
          <w:szCs w:val="24"/>
          <w:lang w:val="pl-PL"/>
        </w:rPr>
        <w:t>ficzny tych działań, tak aby Frontex mógł spełniać podwójną rolę w zakresie koordynacji operacyjnego wsparcia granic państw członkowskich poddanych presji oraz pomocy w celu ratowania życia migrantów na morzu</w:t>
      </w:r>
      <w:r>
        <w:rPr>
          <w:rFonts w:ascii="Times New Roman" w:hAnsi="Times New Roman"/>
          <w:noProof/>
          <w:sz w:val="24"/>
          <w:szCs w:val="24"/>
          <w:vertAlign w:val="superscript"/>
        </w:rPr>
        <w:footnoteReference w:id="5"/>
      </w:r>
      <w:r>
        <w:rPr>
          <w:rFonts w:ascii="Times New Roman" w:hAnsi="Times New Roman"/>
          <w:noProof/>
          <w:sz w:val="24"/>
          <w:szCs w:val="24"/>
          <w:lang w:val="pl-PL"/>
        </w:rPr>
        <w:t>. Równolegle do tego zwiększenia finansowania z</w:t>
      </w:r>
      <w:r>
        <w:rPr>
          <w:rFonts w:ascii="Times New Roman" w:hAnsi="Times New Roman"/>
          <w:noProof/>
          <w:sz w:val="24"/>
          <w:szCs w:val="24"/>
          <w:lang w:val="pl-PL"/>
        </w:rPr>
        <w:t>e strony UE niektóre państwa członkowskie zaangażowały swoje zasoby (statki i samoloty). Tę mile widzianą solidarność należy utrzymać dopóty, dopóki utrzymuje się presja migracyjna. Nowa wersja planu operacyjnego „Tryton” zostanie przedstawiona do końca ma</w:t>
      </w:r>
      <w:r>
        <w:rPr>
          <w:rFonts w:ascii="Times New Roman" w:hAnsi="Times New Roman"/>
          <w:noProof/>
          <w:sz w:val="24"/>
          <w:szCs w:val="24"/>
          <w:lang w:val="pl-PL"/>
        </w:rPr>
        <w:t>ja</w:t>
      </w:r>
      <w:r>
        <w:rPr>
          <w:rStyle w:val="FootnoteReference"/>
          <w:rFonts w:ascii="Times New Roman" w:hAnsi="Times New Roman"/>
          <w:noProof/>
          <w:sz w:val="24"/>
          <w:szCs w:val="24"/>
        </w:rPr>
        <w:footnoteReference w:id="6"/>
      </w:r>
      <w:r>
        <w:rPr>
          <w:rFonts w:ascii="Times New Roman" w:hAnsi="Times New Roman"/>
          <w:noProof/>
          <w:sz w:val="24"/>
          <w:szCs w:val="24"/>
          <w:lang w:val="pl-PL"/>
        </w:rPr>
        <w:t xml:space="preserve">. </w:t>
      </w:r>
    </w:p>
    <w:p w:rsidR="00196AF6" w:rsidRDefault="007E0AAA">
      <w:pPr>
        <w:spacing w:line="240" w:lineRule="auto"/>
        <w:jc w:val="both"/>
        <w:rPr>
          <w:rFonts w:ascii="Times New Roman" w:hAnsi="Times New Roman"/>
          <w:i/>
          <w:noProof/>
          <w:sz w:val="24"/>
          <w:szCs w:val="24"/>
          <w:lang w:val="pl-PL"/>
        </w:rPr>
      </w:pPr>
      <w:r>
        <w:rPr>
          <w:rFonts w:ascii="Times New Roman" w:hAnsi="Times New Roman"/>
          <w:i/>
          <w:noProof/>
          <w:sz w:val="24"/>
          <w:szCs w:val="24"/>
          <w:lang w:val="pl-PL"/>
        </w:rPr>
        <w:t>Ukierunkowane działania przeciwko przestępczym sieciom przemytniczym</w:t>
      </w:r>
    </w:p>
    <w:p w:rsidR="00196AF6" w:rsidRDefault="007E0AAA">
      <w:pPr>
        <w:spacing w:line="240" w:lineRule="auto"/>
        <w:jc w:val="both"/>
        <w:rPr>
          <w:rFonts w:ascii="Times New Roman" w:hAnsi="Times New Roman"/>
          <w:bCs/>
          <w:noProof/>
          <w:sz w:val="24"/>
          <w:szCs w:val="24"/>
          <w:lang w:val="pl-PL"/>
        </w:rPr>
      </w:pPr>
      <w:r>
        <w:rPr>
          <w:rFonts w:ascii="Times New Roman" w:hAnsi="Times New Roman"/>
          <w:noProof/>
          <w:sz w:val="24"/>
          <w:szCs w:val="24"/>
          <w:lang w:val="pl-PL"/>
        </w:rPr>
        <w:t>Należy podjąć ukierunkowane działania przeciwko sieciom przestępczym, które wykorzystują migrantów znajdujących się w trudnej sytuacji. Wysoka przedstawiciel/wiceprzewodnicząca Komi</w:t>
      </w:r>
      <w:r>
        <w:rPr>
          <w:rFonts w:ascii="Times New Roman" w:hAnsi="Times New Roman"/>
          <w:noProof/>
          <w:sz w:val="24"/>
          <w:szCs w:val="24"/>
          <w:lang w:val="pl-PL"/>
        </w:rPr>
        <w:t xml:space="preserve">sji przedstawiła już możliwe warianty działań w ramach </w:t>
      </w:r>
      <w:r>
        <w:rPr>
          <w:rFonts w:ascii="Times New Roman" w:hAnsi="Times New Roman"/>
          <w:b/>
          <w:noProof/>
          <w:sz w:val="24"/>
          <w:szCs w:val="24"/>
          <w:lang w:val="pl-PL"/>
        </w:rPr>
        <w:t>wspólnej polityki bezpieczeństwa i obrony (WPBiO)</w:t>
      </w:r>
      <w:r>
        <w:rPr>
          <w:rFonts w:ascii="Times New Roman" w:hAnsi="Times New Roman"/>
          <w:noProof/>
          <w:sz w:val="24"/>
          <w:szCs w:val="24"/>
          <w:lang w:val="pl-PL"/>
        </w:rPr>
        <w:t xml:space="preserve"> w celu systematycznego identyfikowania, przechwytywania i niszczenia statków wykorzystywanych przez przemytników. Taka aktywność na mocy prawa międzyna</w:t>
      </w:r>
      <w:r>
        <w:rPr>
          <w:rFonts w:ascii="Times New Roman" w:hAnsi="Times New Roman"/>
          <w:noProof/>
          <w:sz w:val="24"/>
          <w:szCs w:val="24"/>
          <w:lang w:val="pl-PL"/>
        </w:rPr>
        <w:t>rodowego będzie silnym wyrazem determinacji UE do działania.</w:t>
      </w:r>
    </w:p>
    <w:p w:rsidR="00196AF6" w:rsidRDefault="007E0AAA">
      <w:pPr>
        <w:spacing w:line="240" w:lineRule="auto"/>
        <w:jc w:val="both"/>
        <w:rPr>
          <w:rFonts w:ascii="Times New Roman" w:hAnsi="Times New Roman"/>
          <w:bCs/>
          <w:noProof/>
          <w:sz w:val="24"/>
          <w:szCs w:val="24"/>
          <w:lang w:val="pl-PL"/>
        </w:rPr>
      </w:pPr>
      <w:r>
        <w:rPr>
          <w:rFonts w:ascii="Times New Roman" w:hAnsi="Times New Roman"/>
          <w:noProof/>
          <w:sz w:val="24"/>
          <w:szCs w:val="24"/>
          <w:lang w:val="pl-PL"/>
        </w:rPr>
        <w:t xml:space="preserve">Zostaną podjęte większe wysiłki mające na celu pozyskiwanie i lepsze </w:t>
      </w:r>
      <w:r>
        <w:rPr>
          <w:rFonts w:ascii="Times New Roman" w:hAnsi="Times New Roman"/>
          <w:b/>
          <w:noProof/>
          <w:sz w:val="24"/>
          <w:szCs w:val="24"/>
          <w:lang w:val="pl-PL"/>
        </w:rPr>
        <w:t>wykorzystanie informacji służących identyfikacji i lokalizacji przemytników</w:t>
      </w:r>
      <w:r>
        <w:rPr>
          <w:rFonts w:ascii="Times New Roman" w:hAnsi="Times New Roman"/>
          <w:noProof/>
          <w:sz w:val="24"/>
          <w:szCs w:val="24"/>
          <w:lang w:val="pl-PL"/>
        </w:rPr>
        <w:t>. Europol niezwłocznie wzmocni niedawno utworzony w</w:t>
      </w:r>
      <w:r>
        <w:rPr>
          <w:rFonts w:ascii="Times New Roman" w:hAnsi="Times New Roman"/>
          <w:noProof/>
          <w:sz w:val="24"/>
          <w:szCs w:val="24"/>
          <w:lang w:val="pl-PL"/>
        </w:rPr>
        <w:t>spólny zespół operacyjny MARE (JOT MARE) – i silniej ukierunkuje jego działalność na przemyt migrantów. Wynikiem będzie pojedynczy punkt kontaktowy służący współpracy między agencjami w zakresie walki z przemytem ludzi</w:t>
      </w:r>
      <w:r>
        <w:rPr>
          <w:rStyle w:val="FootnoteReference"/>
          <w:rFonts w:ascii="Times New Roman" w:hAnsi="Times New Roman"/>
          <w:noProof/>
          <w:sz w:val="24"/>
          <w:szCs w:val="24"/>
        </w:rPr>
        <w:footnoteReference w:id="7"/>
      </w:r>
      <w:r>
        <w:rPr>
          <w:rFonts w:ascii="Times New Roman" w:hAnsi="Times New Roman"/>
          <w:noProof/>
          <w:sz w:val="24"/>
          <w:szCs w:val="24"/>
          <w:lang w:val="pl-PL"/>
        </w:rPr>
        <w:t xml:space="preserve">. Frontex i Europol opracują również </w:t>
      </w:r>
      <w:r>
        <w:rPr>
          <w:rFonts w:ascii="Times New Roman" w:hAnsi="Times New Roman"/>
          <w:noProof/>
          <w:sz w:val="24"/>
          <w:szCs w:val="24"/>
          <w:lang w:val="pl-PL"/>
        </w:rPr>
        <w:t>profile statków, które mogłyby być wykorzystywane przez przemytników, dążąc do identyfikacji tych jednostek oraz monitorowania ich ruchów. Wreszcie Europol ustali nielegalne treści w internecie wykorzystywane przez przemytników w celu przyciągnięcia migran</w:t>
      </w:r>
      <w:r>
        <w:rPr>
          <w:rFonts w:ascii="Times New Roman" w:hAnsi="Times New Roman"/>
          <w:noProof/>
          <w:sz w:val="24"/>
          <w:szCs w:val="24"/>
          <w:lang w:val="pl-PL"/>
        </w:rPr>
        <w:t xml:space="preserve">tów i uchodźców i zwróci się o ich usunięcie. </w:t>
      </w:r>
    </w:p>
    <w:p w:rsidR="00196AF6" w:rsidRDefault="007E0AAA">
      <w:pPr>
        <w:spacing w:line="240" w:lineRule="auto"/>
        <w:jc w:val="both"/>
        <w:rPr>
          <w:rFonts w:ascii="Times New Roman" w:hAnsi="Times New Roman"/>
          <w:i/>
          <w:noProof/>
          <w:sz w:val="24"/>
          <w:szCs w:val="24"/>
          <w:lang w:val="pl-PL"/>
        </w:rPr>
      </w:pPr>
      <w:r>
        <w:rPr>
          <w:rFonts w:ascii="Times New Roman" w:hAnsi="Times New Roman"/>
          <w:i/>
          <w:noProof/>
          <w:sz w:val="24"/>
          <w:szCs w:val="24"/>
          <w:lang w:val="pl-PL"/>
        </w:rPr>
        <w:t>Reagowanie na wysoką liczbę przybyszów na terytorium UE: relokacja</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szCs w:val="24"/>
          <w:lang w:val="pl-PL"/>
        </w:rPr>
        <w:t xml:space="preserve">Systemy azylowe państw członkowskich stają dziś w obliczu bezprecedensowej presji, a nadejście lata sprawia, że napływ osób do państw </w:t>
      </w:r>
      <w:r>
        <w:rPr>
          <w:rFonts w:ascii="Times New Roman" w:hAnsi="Times New Roman"/>
          <w:noProof/>
          <w:sz w:val="24"/>
          <w:szCs w:val="24"/>
          <w:lang w:val="pl-PL"/>
        </w:rPr>
        <w:t>członkowskich pierwszej linii będzie się utrzymywał w kolejnych miesiącach. UE nie powinna czekać z działaniem do momentu, gdy presja stanie się nie do zaakceptowania: liczba przybywających osób sprawia, że lokalne zdolności przyjmowania i obsługi są już b</w:t>
      </w:r>
      <w:r>
        <w:rPr>
          <w:rFonts w:ascii="Times New Roman" w:hAnsi="Times New Roman"/>
          <w:noProof/>
          <w:sz w:val="24"/>
          <w:szCs w:val="24"/>
          <w:lang w:val="pl-PL"/>
        </w:rPr>
        <w:t>liskie granic wytrzymałości. Aby zaradzić tej sytuacji w regionie Morza Śródziemnego, Komisja zaproponuje do końca maja uruchomienie systemu reagowania w sytuacji nadzwyczajnej zgodnie z art. 78 ust. 3 TFUE</w:t>
      </w:r>
      <w:r>
        <w:rPr>
          <w:rStyle w:val="FootnoteReference"/>
          <w:rFonts w:ascii="Times New Roman" w:hAnsi="Times New Roman"/>
          <w:noProof/>
          <w:sz w:val="24"/>
          <w:szCs w:val="24"/>
        </w:rPr>
        <w:footnoteReference w:id="8"/>
      </w:r>
      <w:r>
        <w:rPr>
          <w:rFonts w:ascii="Times New Roman" w:hAnsi="Times New Roman"/>
          <w:noProof/>
          <w:sz w:val="24"/>
          <w:szCs w:val="24"/>
          <w:lang w:val="pl-PL"/>
        </w:rPr>
        <w:t>.</w:t>
      </w:r>
      <w:r>
        <w:rPr>
          <w:rFonts w:ascii="Times New Roman" w:hAnsi="Times New Roman"/>
          <w:b/>
          <w:noProof/>
          <w:sz w:val="24"/>
          <w:szCs w:val="24"/>
          <w:lang w:val="pl-PL"/>
        </w:rPr>
        <w:t xml:space="preserve"> </w:t>
      </w:r>
      <w:r>
        <w:rPr>
          <w:rFonts w:ascii="Times New Roman" w:hAnsi="Times New Roman"/>
          <w:noProof/>
          <w:sz w:val="24"/>
          <w:szCs w:val="24"/>
          <w:lang w:val="pl-PL"/>
        </w:rPr>
        <w:t>Wniosek będzie zawierać tymczasowy schemat rozm</w:t>
      </w:r>
      <w:r>
        <w:rPr>
          <w:rFonts w:ascii="Times New Roman" w:hAnsi="Times New Roman"/>
          <w:noProof/>
          <w:sz w:val="24"/>
          <w:szCs w:val="24"/>
          <w:lang w:val="pl-PL"/>
        </w:rPr>
        <w:t>ieszczenia osób wyraźnie wymagających ochrony międzynarodowej, by zapewnić sprawiedliwy i zrównoważony udział wszystkich państw członkowskich w tym wspólnym wysiłku. Przyjmujące państwo członkowskie będzie odpowiedzialne za rozpatrzenie wniosku migranta zg</w:t>
      </w:r>
      <w:r>
        <w:rPr>
          <w:rFonts w:ascii="Times New Roman" w:hAnsi="Times New Roman"/>
          <w:noProof/>
          <w:sz w:val="24"/>
          <w:szCs w:val="24"/>
          <w:lang w:val="pl-PL"/>
        </w:rPr>
        <w:t>odnie z ustalonymi zasadami i gwarancjami. Klucz redystrybucji oparty na kryteriach takich jak: PKB, liczba ludności, stopa bezrobocia oraz liczba osób ubiegających się w przeszłości o azyl i przesiedlonych w przeszłości uchodźców znajduje się w załączniku</w:t>
      </w:r>
      <w:r>
        <w:rPr>
          <w:rFonts w:ascii="Times New Roman" w:hAnsi="Times New Roman"/>
          <w:noProof/>
          <w:sz w:val="24"/>
          <w:szCs w:val="24"/>
          <w:lang w:val="pl-PL"/>
        </w:rPr>
        <w:t>.</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szCs w:val="24"/>
          <w:lang w:val="pl-PL"/>
        </w:rPr>
        <w:t>Ten krok będzie poprzedzał trwałe rozwiązanie. UE potrzebuje stałego systemu podziału odpowiedzialności za dużą liczbę uchodźców i osób ubiegających się o azyl między państwa członkowskie. Komisja przedłoży do końca 2015 r. wniosek ustawodawczy w celu za</w:t>
      </w:r>
      <w:r>
        <w:rPr>
          <w:rFonts w:ascii="Times New Roman" w:hAnsi="Times New Roman"/>
          <w:noProof/>
          <w:sz w:val="24"/>
          <w:szCs w:val="24"/>
          <w:lang w:val="pl-PL"/>
        </w:rPr>
        <w:t>pewnienia obowiązkowego i uruchamianego automatycznie systemu relokacji służącego rozmieszczeniu na terytorium UE osób wyraźnie potrzebujących ochrony międzynarodowej w przypadku masowego napływu migrantów</w:t>
      </w:r>
      <w:r>
        <w:rPr>
          <w:rStyle w:val="FootnoteReference"/>
          <w:rFonts w:ascii="Times New Roman" w:hAnsi="Times New Roman"/>
          <w:noProof/>
          <w:sz w:val="24"/>
          <w:szCs w:val="24"/>
        </w:rPr>
        <w:footnoteReference w:id="9"/>
      </w:r>
      <w:r>
        <w:rPr>
          <w:rFonts w:ascii="Times New Roman" w:hAnsi="Times New Roman"/>
          <w:noProof/>
          <w:sz w:val="24"/>
          <w:szCs w:val="24"/>
          <w:lang w:val="pl-PL"/>
        </w:rPr>
        <w:t>. W systemie tym zostaną uwzględnione działania ju</w:t>
      </w:r>
      <w:r>
        <w:rPr>
          <w:rFonts w:ascii="Times New Roman" w:hAnsi="Times New Roman"/>
          <w:noProof/>
          <w:sz w:val="24"/>
          <w:szCs w:val="24"/>
          <w:lang w:val="pl-PL"/>
        </w:rPr>
        <w:t xml:space="preserve">ż podjęte przez państwa członkowskie na zasadzie dobrowolności. </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szCs w:val="24"/>
          <w:lang w:val="pl-PL"/>
        </w:rPr>
        <w:t>Do czasu wprowadzenia tych środków państwa członkowskie będą musiały wykazać się solidarnością i zdwoić wysiłki mające na celu wsparcie</w:t>
      </w:r>
      <w:r>
        <w:rPr>
          <w:rFonts w:ascii="Times New Roman" w:hAnsi="Times New Roman"/>
          <w:noProof/>
          <w:sz w:val="24"/>
          <w:lang w:val="pl-PL"/>
        </w:rPr>
        <w:t xml:space="preserve"> krajów w pierwszym rzędzie dotkniętych tym problemem.</w:t>
      </w:r>
    </w:p>
    <w:p w:rsidR="00196AF6" w:rsidRDefault="007E0AAA">
      <w:pPr>
        <w:spacing w:line="240" w:lineRule="auto"/>
        <w:jc w:val="both"/>
        <w:rPr>
          <w:rFonts w:ascii="Times New Roman" w:hAnsi="Times New Roman"/>
          <w:i/>
          <w:noProof/>
          <w:sz w:val="24"/>
          <w:szCs w:val="24"/>
          <w:lang w:val="pl-PL"/>
        </w:rPr>
      </w:pPr>
      <w:r>
        <w:rPr>
          <w:rFonts w:ascii="Times New Roman" w:hAnsi="Times New Roman"/>
          <w:i/>
          <w:noProof/>
          <w:sz w:val="24"/>
          <w:lang w:val="pl-PL"/>
        </w:rPr>
        <w:t>W</w:t>
      </w:r>
      <w:r>
        <w:rPr>
          <w:rFonts w:ascii="Times New Roman" w:hAnsi="Times New Roman"/>
          <w:i/>
          <w:noProof/>
          <w:sz w:val="24"/>
          <w:lang w:val="pl-PL"/>
        </w:rPr>
        <w:t>spólne podejście do przyznawania ochrony uchodźcom potrzebującym ochrony: przesiedlenia</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lang w:val="pl-PL"/>
        </w:rPr>
        <w:t>Oprócz relokacji tych, którzy już są na terytorium UE, UE ma obowiązek udziału w pomocy uchodźcom wyraźnie potrzebującym ochrony międzynarodowej. Jest to wspólna odpowi</w:t>
      </w:r>
      <w:r>
        <w:rPr>
          <w:rFonts w:ascii="Times New Roman" w:hAnsi="Times New Roman"/>
          <w:noProof/>
          <w:sz w:val="24"/>
          <w:lang w:val="pl-PL"/>
        </w:rPr>
        <w:t>edzialność wspólnoty międzynarodowej, w związku z czym Wysokiemu Komisarzowi Narodów Zjednoczonych ds. Uchodźców (UNHCR) powierzono zadanie określenia sytuacji, w której ludzie nie mogą przebywać bezpiecznie w swoich własnych krajach. Nie można pozwolić, a</w:t>
      </w:r>
      <w:r>
        <w:rPr>
          <w:rFonts w:ascii="Times New Roman" w:hAnsi="Times New Roman"/>
          <w:noProof/>
          <w:sz w:val="24"/>
          <w:lang w:val="pl-PL"/>
        </w:rPr>
        <w:t>by tak pokrzywdzone osoby były zdane na korzystanie z przestępczych sieci przemytników i handlarzy ludźmi. Należy stworzyć im bezpieczne i legalne sposoby dotarcia do UE. UNHCR zatwierdził docelową dla UE liczbę 20 000 miejsc przeznaczonych dla przesiedlon</w:t>
      </w:r>
      <w:r>
        <w:rPr>
          <w:rFonts w:ascii="Times New Roman" w:hAnsi="Times New Roman"/>
          <w:noProof/>
          <w:sz w:val="24"/>
          <w:lang w:val="pl-PL"/>
        </w:rPr>
        <w:t>ych rocznie do roku 2020</w:t>
      </w:r>
      <w:r>
        <w:rPr>
          <w:rFonts w:ascii="Times New Roman" w:hAnsi="Times New Roman"/>
          <w:noProof/>
          <w:sz w:val="24"/>
          <w:vertAlign w:val="superscript"/>
        </w:rPr>
        <w:footnoteReference w:id="10"/>
      </w:r>
      <w:r>
        <w:rPr>
          <w:rFonts w:ascii="Times New Roman" w:hAnsi="Times New Roman"/>
          <w:noProof/>
          <w:sz w:val="24"/>
          <w:lang w:val="pl-PL"/>
        </w:rPr>
        <w:t xml:space="preserve">. Niektóre państwa członkowskie wniosły już znaczący wkład w globalne działania w zakresie przesiedleń. Inne nie oferują jednak niczego, a w wielu przypadkach nie uczestniczą w sposób alternatywny w zakresie odbioru i przyjmowania </w:t>
      </w:r>
      <w:r>
        <w:rPr>
          <w:rFonts w:ascii="Times New Roman" w:hAnsi="Times New Roman"/>
          <w:noProof/>
          <w:sz w:val="24"/>
          <w:lang w:val="pl-PL"/>
        </w:rPr>
        <w:t xml:space="preserve">wniosków o udzielenie azylu i nie pomagają w finansowaniu wysiłków podejmowanych przez inne podmioty. </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lang w:val="pl-PL"/>
        </w:rPr>
        <w:t xml:space="preserve">Do końca maja Komisja przedstawi zalecenie zawierające propozycję </w:t>
      </w:r>
      <w:r>
        <w:rPr>
          <w:rFonts w:ascii="Times New Roman" w:hAnsi="Times New Roman"/>
          <w:b/>
          <w:noProof/>
          <w:sz w:val="24"/>
          <w:lang w:val="pl-PL"/>
        </w:rPr>
        <w:t>programu przesiedleń w skali unijnej obejmującego 20 000 miejsc.</w:t>
      </w:r>
      <w:r>
        <w:rPr>
          <w:rFonts w:ascii="Times New Roman" w:hAnsi="Times New Roman"/>
          <w:noProof/>
          <w:sz w:val="24"/>
          <w:lang w:val="pl-PL"/>
        </w:rPr>
        <w:t xml:space="preserve"> Program ten, z kryteri</w:t>
      </w:r>
      <w:r>
        <w:rPr>
          <w:rFonts w:ascii="Times New Roman" w:hAnsi="Times New Roman"/>
          <w:noProof/>
          <w:sz w:val="24"/>
          <w:lang w:val="pl-PL"/>
        </w:rPr>
        <w:t>ami rozmieszczenia, które znajdują się w załączniku, takimi jak: PKB, liczba ludności, stopa bezrobocia i liczby osób ubiegających się w przeszłości o udzielenie azylu oraz przesiedlonych uchodźców, obejmie wszystkie państwa członkowskie oraz będzie uwzglę</w:t>
      </w:r>
      <w:r>
        <w:rPr>
          <w:rFonts w:ascii="Times New Roman" w:hAnsi="Times New Roman"/>
          <w:noProof/>
          <w:sz w:val="24"/>
          <w:lang w:val="pl-PL"/>
        </w:rPr>
        <w:t xml:space="preserve">dniać działania już podjęte przez państwa członkowskie na zasadzie dobrowolności. W latach 2015–2016 z budżetu UE zostanie przeznaczona </w:t>
      </w:r>
      <w:r>
        <w:rPr>
          <w:rFonts w:ascii="Times New Roman" w:hAnsi="Times New Roman"/>
          <w:b/>
          <w:noProof/>
          <w:sz w:val="24"/>
          <w:lang w:val="pl-PL"/>
        </w:rPr>
        <w:t>dodatkowa kwota 50 mln EUR</w:t>
      </w:r>
      <w:r>
        <w:rPr>
          <w:rFonts w:ascii="Times New Roman" w:hAnsi="Times New Roman"/>
          <w:noProof/>
          <w:sz w:val="24"/>
          <w:lang w:val="pl-PL"/>
        </w:rPr>
        <w:t xml:space="preserve"> na wsparcie tego programu. </w:t>
      </w:r>
      <w:r>
        <w:rPr>
          <w:rFonts w:ascii="Times New Roman" w:hAnsi="Times New Roman"/>
          <w:noProof/>
          <w:lang w:val="pl-PL"/>
        </w:rPr>
        <w:t>Jeżeli okaże się to konieczne, kolejnym krokiem będzie wniosek dot</w:t>
      </w:r>
      <w:r>
        <w:rPr>
          <w:rFonts w:ascii="Times New Roman" w:hAnsi="Times New Roman"/>
          <w:noProof/>
          <w:lang w:val="pl-PL"/>
        </w:rPr>
        <w:t>yczący wiążącego i obowiązkowego podejścia legislacyjnego na okres po roku 2016</w:t>
      </w:r>
      <w:r>
        <w:rPr>
          <w:rStyle w:val="FootnoteReference"/>
          <w:rFonts w:ascii="Times New Roman" w:hAnsi="Times New Roman"/>
          <w:noProof/>
          <w:sz w:val="24"/>
        </w:rPr>
        <w:footnoteReference w:id="11"/>
      </w:r>
      <w:r>
        <w:rPr>
          <w:rFonts w:ascii="Times New Roman" w:hAnsi="Times New Roman"/>
          <w:noProof/>
          <w:lang w:val="pl-PL"/>
        </w:rPr>
        <w:t>.</w:t>
      </w:r>
      <w:r>
        <w:rPr>
          <w:rFonts w:ascii="Times New Roman" w:hAnsi="Times New Roman"/>
          <w:noProof/>
          <w:sz w:val="24"/>
          <w:lang w:val="pl-PL"/>
        </w:rPr>
        <w:t xml:space="preserve"> W uzupełnieniu tych wspólnych ustaleń Komisja wzywa państwa członkowskie, aby korzystały z istniejących możliwości dostępnych w ramach Funduszu Azylu, Migracji i Integracji, </w:t>
      </w:r>
      <w:r>
        <w:rPr>
          <w:rFonts w:ascii="Times New Roman" w:hAnsi="Times New Roman"/>
          <w:noProof/>
          <w:sz w:val="24"/>
          <w:lang w:val="pl-PL"/>
        </w:rPr>
        <w:t xml:space="preserve">a także zobowiązały sie do utworzenia dalszych miejsc dla przesiedlonych w ramach swoich programów krajowych, przy szybkim dostosowaniu finansowania. </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lang w:val="pl-PL"/>
        </w:rPr>
        <w:t>Ponadto państwa członkowskie powinny w pełni wykorzystywać inne środki prawne dostępne dla osób, potrzebu</w:t>
      </w:r>
      <w:r>
        <w:rPr>
          <w:rFonts w:ascii="Times New Roman" w:hAnsi="Times New Roman"/>
          <w:noProof/>
          <w:sz w:val="24"/>
          <w:lang w:val="pl-PL"/>
        </w:rPr>
        <w:t xml:space="preserve">jących ochrony, w tym: sponsorowanie prywatne i pozarządowe, zgody na pobyt ze względów humanitarnych oraz klauzule łączenia rodzin. </w:t>
      </w:r>
    </w:p>
    <w:p w:rsidR="00196AF6" w:rsidRDefault="007E0AAA">
      <w:pPr>
        <w:spacing w:line="240" w:lineRule="auto"/>
        <w:jc w:val="both"/>
        <w:rPr>
          <w:rFonts w:ascii="Times New Roman" w:hAnsi="Times New Roman"/>
          <w:i/>
          <w:noProof/>
          <w:sz w:val="24"/>
          <w:szCs w:val="24"/>
          <w:lang w:val="pl-PL"/>
        </w:rPr>
      </w:pPr>
      <w:r>
        <w:rPr>
          <w:rFonts w:ascii="Times New Roman" w:hAnsi="Times New Roman"/>
          <w:i/>
          <w:noProof/>
          <w:sz w:val="24"/>
          <w:lang w:val="pl-PL"/>
        </w:rPr>
        <w:t>Współpraca z państwami trzecimi w celu opanowania migracji w państwach pochodzenia i tranzytu</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lang w:val="pl-PL"/>
        </w:rPr>
        <w:t>UE może również przedsięwzią</w:t>
      </w:r>
      <w:r>
        <w:rPr>
          <w:rFonts w:ascii="Times New Roman" w:hAnsi="Times New Roman"/>
          <w:noProof/>
          <w:sz w:val="24"/>
          <w:lang w:val="pl-PL"/>
        </w:rPr>
        <w:t>ć natychmiastowe kroki w celu podjęcia działań w regionach pochodzenia i tranzytu. Komisja i Europejska Służba Działań Zewnętrznych (ESDZ) będą współpracować z krajami partnerskimi przy opracowaniu środków zapobiegania ryzykownym podróżom.</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lang w:val="pl-PL"/>
        </w:rPr>
        <w:t xml:space="preserve">Po pierwsze: UE </w:t>
      </w:r>
      <w:r>
        <w:rPr>
          <w:rFonts w:ascii="Times New Roman" w:hAnsi="Times New Roman"/>
          <w:noProof/>
          <w:sz w:val="24"/>
          <w:lang w:val="pl-PL"/>
        </w:rPr>
        <w:t xml:space="preserve">powinna zwiększyć swoje wsparcie dla krajów ponoszących największy ciężar związany z obecnością przesiedlonych uchodźców. </w:t>
      </w:r>
      <w:r>
        <w:rPr>
          <w:rFonts w:ascii="Times New Roman" w:hAnsi="Times New Roman"/>
          <w:b/>
          <w:noProof/>
          <w:sz w:val="24"/>
          <w:lang w:val="pl-PL"/>
        </w:rPr>
        <w:t>Regionalne programy rozwoju i ochrony</w:t>
      </w:r>
      <w:r>
        <w:rPr>
          <w:rFonts w:ascii="Times New Roman" w:hAnsi="Times New Roman"/>
          <w:noProof/>
          <w:sz w:val="24"/>
          <w:lang w:val="pl-PL"/>
        </w:rPr>
        <w:t xml:space="preserve"> zostaną utworzone lub pogłębione, począwszy od Afryki Północnej i Rogu Afryki. Rozbudowany zostanie też istniejący program na Bliskim Wschodzie. W latach 2015–2016 udostępnione zostanie na ten cel 30 mln EUR, które powinny zostać uzupełnione o dodatkowe w</w:t>
      </w:r>
      <w:r>
        <w:rPr>
          <w:rFonts w:ascii="Times New Roman" w:hAnsi="Times New Roman"/>
          <w:noProof/>
          <w:sz w:val="24"/>
          <w:lang w:val="pl-PL"/>
        </w:rPr>
        <w:t xml:space="preserve">kłady ze strony państw członkowskich. </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lang w:val="pl-PL"/>
        </w:rPr>
        <w:t xml:space="preserve">Po drugie: do końca roku </w:t>
      </w:r>
      <w:r>
        <w:rPr>
          <w:rFonts w:ascii="Times New Roman" w:hAnsi="Times New Roman"/>
          <w:b/>
          <w:noProof/>
          <w:sz w:val="24"/>
          <w:lang w:val="pl-PL"/>
        </w:rPr>
        <w:t>w Nigrze zostanie utworzone wielofunkcyjne centrum pilotażowe</w:t>
      </w:r>
      <w:r>
        <w:rPr>
          <w:rFonts w:ascii="Times New Roman" w:hAnsi="Times New Roman"/>
          <w:noProof/>
          <w:sz w:val="24"/>
          <w:lang w:val="pl-PL"/>
        </w:rPr>
        <w:t>. We współpracy z Międzynarodową Organizacją ds. Migracji (IOM), Wysokim Komisarzem ONZ ds. Uchodźców i władzami Nigru centrum będz</w:t>
      </w:r>
      <w:r>
        <w:rPr>
          <w:rFonts w:ascii="Times New Roman" w:hAnsi="Times New Roman"/>
          <w:noProof/>
          <w:sz w:val="24"/>
          <w:lang w:val="pl-PL"/>
        </w:rPr>
        <w:t xml:space="preserve">ie łączyć zadania zapewniania osobom potrzebującym informacji, lokalnej ochrony i możliwości przesiedlenia. Takie ośrodki w krajach pochodzenia i tranzytu pomogą zapewnić realistyczny obraz szans powodzenia podróży migrantów oraz będą oferować nielegalnym </w:t>
      </w:r>
      <w:r>
        <w:rPr>
          <w:rFonts w:ascii="Times New Roman" w:hAnsi="Times New Roman"/>
          <w:noProof/>
          <w:sz w:val="24"/>
          <w:lang w:val="pl-PL"/>
        </w:rPr>
        <w:t>migrantom możliwość dobrowolnego powrotu.</w:t>
      </w:r>
    </w:p>
    <w:p w:rsidR="00196AF6" w:rsidRDefault="007E0AAA">
      <w:pPr>
        <w:spacing w:line="240" w:lineRule="auto"/>
        <w:jc w:val="both"/>
        <w:rPr>
          <w:rFonts w:ascii="Times New Roman" w:hAnsi="Times New Roman"/>
          <w:bCs/>
          <w:noProof/>
          <w:sz w:val="24"/>
          <w:szCs w:val="24"/>
          <w:lang w:val="pl-PL"/>
        </w:rPr>
      </w:pPr>
      <w:r>
        <w:rPr>
          <w:rFonts w:ascii="Times New Roman" w:hAnsi="Times New Roman"/>
          <w:noProof/>
          <w:sz w:val="24"/>
          <w:lang w:val="pl-PL"/>
        </w:rPr>
        <w:t xml:space="preserve">Po trzecie: migracja stanie się konkretnym elementem bieżących wspólnych misji w dziedzinie </w:t>
      </w:r>
      <w:r>
        <w:rPr>
          <w:rFonts w:ascii="Times New Roman" w:hAnsi="Times New Roman"/>
          <w:b/>
          <w:noProof/>
          <w:sz w:val="24"/>
          <w:lang w:val="pl-PL"/>
        </w:rPr>
        <w:t>wspólnej polityki bezpieczeństwa i obrony (WPBiO)</w:t>
      </w:r>
      <w:r>
        <w:rPr>
          <w:rFonts w:ascii="Times New Roman" w:hAnsi="Times New Roman"/>
          <w:noProof/>
          <w:sz w:val="24"/>
          <w:lang w:val="pl-PL"/>
        </w:rPr>
        <w:t>, będących już w toku w takich krajach jak Niger i Mali, które zostaną wz</w:t>
      </w:r>
      <w:r>
        <w:rPr>
          <w:rFonts w:ascii="Times New Roman" w:hAnsi="Times New Roman"/>
          <w:noProof/>
          <w:sz w:val="24"/>
          <w:lang w:val="pl-PL"/>
        </w:rPr>
        <w:t>mocnione w zakresie zarządzania granicami. Jesienią na Malcie zostanie zorganizowany poświęcony tej sprawie szczyt z udziałem kluczowych partnerów, w tym Unii Afrykańskiej, w celu opracowania wspólnego z regionem podejścia do rozwiązania kwestii nielegalne</w:t>
      </w:r>
      <w:r>
        <w:rPr>
          <w:rFonts w:ascii="Times New Roman" w:hAnsi="Times New Roman"/>
          <w:noProof/>
          <w:sz w:val="24"/>
          <w:lang w:val="pl-PL"/>
        </w:rPr>
        <w:t xml:space="preserve">j migracji oraz ochrony osób jej potrzebujących, a także przemytu ludzi i handlu nimi. </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lang w:val="pl-PL"/>
        </w:rPr>
        <w:t>Prace te będą ściśle powiązane z szerszymi inicjatywami politycznymi na rzecz stabilności. Szczególną wagę przywiązuje się do działań prowadzonych przez wysoką przedsta</w:t>
      </w:r>
      <w:r>
        <w:rPr>
          <w:rFonts w:ascii="Times New Roman" w:hAnsi="Times New Roman"/>
          <w:noProof/>
          <w:sz w:val="24"/>
          <w:lang w:val="pl-PL"/>
        </w:rPr>
        <w:t xml:space="preserve">wiciel/wiceprzewodniczącą Komisji w celu zajęcia się sytuacją w </w:t>
      </w:r>
      <w:r>
        <w:rPr>
          <w:rFonts w:ascii="Times New Roman" w:hAnsi="Times New Roman"/>
          <w:b/>
          <w:noProof/>
          <w:sz w:val="24"/>
          <w:lang w:val="pl-PL"/>
        </w:rPr>
        <w:t>Libii</w:t>
      </w:r>
      <w:r>
        <w:rPr>
          <w:rFonts w:ascii="Times New Roman" w:hAnsi="Times New Roman"/>
          <w:noProof/>
          <w:sz w:val="24"/>
          <w:lang w:val="pl-PL"/>
        </w:rPr>
        <w:t>, z pełnym poparciem dla prowadzonych pod kierunkiem ONZ działań na rzecz procesu tworzenia rządu jedności narodowej. Wytrwałe wysiłki zmierzające do rozwiązania kryzysu w Syrii zostały w</w:t>
      </w:r>
      <w:r>
        <w:rPr>
          <w:rFonts w:ascii="Times New Roman" w:hAnsi="Times New Roman"/>
          <w:noProof/>
          <w:sz w:val="24"/>
          <w:lang w:val="pl-PL"/>
        </w:rPr>
        <w:t>sparte kwotą 3,6 mld EUR na pomoc humanitarną, stabilizacyjną i rozwojową na terytorium Syrii oraz na rzecz syryjskich uchodźców w Libanie, Jordanii, Turcji i Iraku. Są to tylko niektóre z najbardziej palących kryzysów politycznych, które będą miały głębok</w:t>
      </w:r>
      <w:r>
        <w:rPr>
          <w:rFonts w:ascii="Times New Roman" w:hAnsi="Times New Roman"/>
          <w:noProof/>
          <w:sz w:val="24"/>
          <w:lang w:val="pl-PL"/>
        </w:rPr>
        <w:t xml:space="preserve">i wpływ na migrację do UE w nadchodzących miesiącach. Baczna uwaga zostanie też zwrócona na naszych wschodnich partnerów, Bałkany Zachodnie i państwa Azji, w celu wsparcia istniejących ram współpracy. </w:t>
      </w:r>
    </w:p>
    <w:p w:rsidR="00196AF6" w:rsidRDefault="00196AF6">
      <w:pPr>
        <w:spacing w:line="240" w:lineRule="auto"/>
        <w:jc w:val="both"/>
        <w:rPr>
          <w:rFonts w:ascii="Times New Roman" w:hAnsi="Times New Roman"/>
          <w:noProof/>
          <w:sz w:val="24"/>
          <w:szCs w:val="24"/>
          <w:lang w:val="pl-PL"/>
        </w:rPr>
      </w:pPr>
    </w:p>
    <w:p w:rsidR="00196AF6" w:rsidRDefault="007E0AAA">
      <w:pPr>
        <w:spacing w:line="240" w:lineRule="auto"/>
        <w:jc w:val="both"/>
        <w:rPr>
          <w:rFonts w:ascii="Times New Roman" w:hAnsi="Times New Roman"/>
          <w:i/>
          <w:noProof/>
          <w:sz w:val="24"/>
          <w:szCs w:val="24"/>
          <w:lang w:val="pl-PL"/>
        </w:rPr>
      </w:pPr>
      <w:r>
        <w:rPr>
          <w:rFonts w:ascii="Times New Roman" w:hAnsi="Times New Roman"/>
          <w:i/>
          <w:noProof/>
          <w:sz w:val="24"/>
          <w:lang w:val="pl-PL"/>
        </w:rPr>
        <w:t>Wykorzystanie unijnych narzędzi do pomocy państwom cz</w:t>
      </w:r>
      <w:r>
        <w:rPr>
          <w:rFonts w:ascii="Times New Roman" w:hAnsi="Times New Roman"/>
          <w:i/>
          <w:noProof/>
          <w:sz w:val="24"/>
          <w:lang w:val="pl-PL"/>
        </w:rPr>
        <w:t>łonkowskim pierwszej linii</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lang w:val="pl-PL"/>
        </w:rPr>
        <w:t xml:space="preserve">Podjęte zostaną większe wysiłki na rzecz udzielenia pomocy w uporaniu się z wyzwaniem, przed którym stanęły państwa członkowskie pierwszej linii borykające się z napływem migrantów. </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lang w:val="pl-PL"/>
        </w:rPr>
        <w:t xml:space="preserve">Po pierwsze, Komisja ustanowi nowe podejście </w:t>
      </w:r>
      <w:r>
        <w:rPr>
          <w:rFonts w:ascii="Times New Roman" w:hAnsi="Times New Roman"/>
          <w:b/>
          <w:noProof/>
          <w:sz w:val="24"/>
          <w:lang w:val="pl-PL"/>
        </w:rPr>
        <w:t>„</w:t>
      </w:r>
      <w:r>
        <w:rPr>
          <w:rFonts w:ascii="Times New Roman" w:hAnsi="Times New Roman"/>
          <w:b/>
          <w:noProof/>
          <w:sz w:val="24"/>
          <w:lang w:val="pl-PL"/>
        </w:rPr>
        <w:t>Hotspot”</w:t>
      </w:r>
      <w:r>
        <w:rPr>
          <w:rFonts w:ascii="Times New Roman" w:hAnsi="Times New Roman"/>
          <w:noProof/>
          <w:sz w:val="24"/>
          <w:lang w:val="pl-PL"/>
        </w:rPr>
        <w:t xml:space="preserve">, w ramach którego Europejski Urząd Wsparcia w dziedzinie Azylu (EASO), Frontex i Europol będą pracować w terenie z państwami członkowskimi pierwszej linii w celu szybkiej identyfikacji i rejestracji napływających migrantów oraz pobierania od nich </w:t>
      </w:r>
      <w:r>
        <w:rPr>
          <w:rFonts w:ascii="Times New Roman" w:hAnsi="Times New Roman"/>
          <w:noProof/>
          <w:sz w:val="24"/>
          <w:lang w:val="pl-PL"/>
        </w:rPr>
        <w:t>odcisków palców. Działalność poszczególnych agencji będzie się wzajemnie uzupełniać. Osoby ubiegające się o azyl będą niezwłocznie kierowane do procedury azylowej, a zespoły wsparcia EASO będą pomagać w możliwie jak najszybszym rozpatrywaniu spraw. W przyp</w:t>
      </w:r>
      <w:r>
        <w:rPr>
          <w:rFonts w:ascii="Times New Roman" w:hAnsi="Times New Roman"/>
          <w:noProof/>
          <w:sz w:val="24"/>
          <w:lang w:val="pl-PL"/>
        </w:rPr>
        <w:t>adku osób niepotrzebujących ochrony Frontex będzie udzielał państwom członkowskim pomocy przez koordynowanie powrotów nielegalnych migrantów. Europol i Eurojust pomogą przyjmującym państwom członkowskim w dochodzeniach mających na celu rozbicie sieci przem</w:t>
      </w:r>
      <w:r>
        <w:rPr>
          <w:rFonts w:ascii="Times New Roman" w:hAnsi="Times New Roman"/>
          <w:noProof/>
          <w:sz w:val="24"/>
          <w:lang w:val="pl-PL"/>
        </w:rPr>
        <w:t>ytu i handlu ludźmi.</w:t>
      </w:r>
    </w:p>
    <w:p w:rsidR="00196AF6" w:rsidRDefault="007E0AAA">
      <w:pPr>
        <w:spacing w:line="240" w:lineRule="auto"/>
        <w:jc w:val="both"/>
        <w:rPr>
          <w:rFonts w:ascii="Times New Roman" w:hAnsi="Times New Roman"/>
          <w:noProof/>
          <w:sz w:val="24"/>
          <w:szCs w:val="24"/>
        </w:rPr>
      </w:pPr>
      <w:r>
        <w:rPr>
          <w:rFonts w:ascii="Times New Roman" w:hAnsi="Times New Roman"/>
          <w:noProof/>
          <w:sz w:val="24"/>
          <w:lang w:val="pl-PL"/>
        </w:rPr>
        <w:t xml:space="preserve">Po drugie: Komisja przeznaczy dodatkowe 60 mln EUR na </w:t>
      </w:r>
      <w:r>
        <w:rPr>
          <w:rFonts w:ascii="Times New Roman" w:hAnsi="Times New Roman"/>
          <w:b/>
          <w:noProof/>
          <w:sz w:val="24"/>
          <w:lang w:val="pl-PL"/>
        </w:rPr>
        <w:t xml:space="preserve">fundusz nadzwyczajny, </w:t>
      </w:r>
      <w:r>
        <w:rPr>
          <w:rFonts w:ascii="Times New Roman" w:hAnsi="Times New Roman"/>
          <w:noProof/>
          <w:sz w:val="24"/>
          <w:lang w:val="pl-PL"/>
        </w:rPr>
        <w:t>przeznaczony m.in. na wsparcie systemu przyjmowania migrantów i zapewnianie im opieki zdrowotnej w państwach członkowskich znajdujących się pod szczególną pres</w:t>
      </w:r>
      <w:r>
        <w:rPr>
          <w:rFonts w:ascii="Times New Roman" w:hAnsi="Times New Roman"/>
          <w:noProof/>
          <w:sz w:val="24"/>
          <w:lang w:val="pl-PL"/>
        </w:rPr>
        <w:t>ją</w:t>
      </w:r>
      <w:r>
        <w:rPr>
          <w:rFonts w:ascii="Times New Roman" w:hAnsi="Times New Roman"/>
          <w:noProof/>
          <w:vertAlign w:val="superscript"/>
        </w:rPr>
        <w:footnoteReference w:id="12"/>
      </w:r>
      <w:r>
        <w:rPr>
          <w:rFonts w:ascii="Times New Roman" w:hAnsi="Times New Roman"/>
          <w:noProof/>
          <w:sz w:val="24"/>
          <w:lang w:val="pl-PL"/>
        </w:rPr>
        <w:t xml:space="preserve">. </w:t>
      </w:r>
      <w:r>
        <w:rPr>
          <w:rFonts w:ascii="Times New Roman" w:hAnsi="Times New Roman"/>
          <w:noProof/>
          <w:sz w:val="24"/>
        </w:rPr>
        <w:t xml:space="preserve">Ocena potrzeb jest w toku. </w:t>
      </w:r>
    </w:p>
    <w:p w:rsidR="00196AF6" w:rsidRDefault="00196AF6">
      <w:pPr>
        <w:rPr>
          <w:rFonts w:ascii="Times New Roman" w:hAnsi="Times New Roman"/>
          <w:bCs/>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7595"/>
      </w:tblGrid>
      <w:tr w:rsidR="00196AF6">
        <w:trPr>
          <w:trHeight w:val="425"/>
        </w:trPr>
        <w:tc>
          <w:tcPr>
            <w:tcW w:w="1663" w:type="dxa"/>
            <w:tcBorders>
              <w:top w:val="single" w:sz="4" w:space="0" w:color="auto"/>
              <w:left w:val="single" w:sz="4" w:space="0" w:color="auto"/>
              <w:bottom w:val="single" w:sz="4" w:space="0" w:color="auto"/>
              <w:right w:val="single" w:sz="4" w:space="0" w:color="auto"/>
            </w:tcBorders>
            <w:shd w:val="clear" w:color="auto" w:fill="D9D9D9"/>
            <w:vAlign w:val="center"/>
          </w:tcPr>
          <w:p w:rsidR="00196AF6" w:rsidRDefault="007E0AAA">
            <w:pPr>
              <w:rPr>
                <w:rFonts w:ascii="Times New Roman" w:hAnsi="Times New Roman"/>
                <w:b/>
                <w:i/>
                <w:noProof/>
                <w:sz w:val="20"/>
                <w:szCs w:val="20"/>
              </w:rPr>
            </w:pPr>
            <w:r>
              <w:rPr>
                <w:rFonts w:ascii="Times New Roman" w:hAnsi="Times New Roman"/>
                <w:b/>
                <w:i/>
                <w:noProof/>
                <w:sz w:val="20"/>
              </w:rPr>
              <w:t>Kluczowe działania</w:t>
            </w:r>
          </w:p>
        </w:tc>
        <w:tc>
          <w:tcPr>
            <w:tcW w:w="7595" w:type="dxa"/>
            <w:tcBorders>
              <w:top w:val="single" w:sz="4" w:space="0" w:color="auto"/>
              <w:left w:val="single" w:sz="4" w:space="0" w:color="auto"/>
              <w:bottom w:val="single" w:sz="4" w:space="0" w:color="auto"/>
              <w:right w:val="single" w:sz="4" w:space="0" w:color="auto"/>
            </w:tcBorders>
            <w:shd w:val="clear" w:color="auto" w:fill="auto"/>
          </w:tcPr>
          <w:p w:rsidR="00196AF6" w:rsidRDefault="007E0AAA">
            <w:pPr>
              <w:pStyle w:val="ListParagraph"/>
              <w:rPr>
                <w:rFonts w:ascii="Times New Roman" w:hAnsi="Times New Roman"/>
                <w:noProof/>
                <w:sz w:val="20"/>
                <w:szCs w:val="20"/>
                <w:lang w:val="pl-PL"/>
              </w:rPr>
            </w:pPr>
            <w:r>
              <w:rPr>
                <w:rFonts w:ascii="Times New Roman" w:hAnsi="Times New Roman"/>
                <w:noProof/>
                <w:sz w:val="20"/>
                <w:lang w:val="pl-PL"/>
              </w:rPr>
              <w:t>Pakiet finansowania w celu potrojenia przydziału na operacje „Tryton” i „Posejdon” w latach 2015–2016 oraz na finansowanie ogólnounijnego programu przesiedleń.</w:t>
            </w:r>
          </w:p>
          <w:p w:rsidR="00196AF6" w:rsidRDefault="007E0AAA">
            <w:pPr>
              <w:pStyle w:val="ListParagraph"/>
              <w:rPr>
                <w:rFonts w:ascii="Times New Roman" w:hAnsi="Times New Roman"/>
                <w:noProof/>
                <w:sz w:val="20"/>
                <w:szCs w:val="20"/>
                <w:lang w:val="pl-PL"/>
              </w:rPr>
            </w:pPr>
            <w:r>
              <w:rPr>
                <w:rFonts w:ascii="Times New Roman" w:hAnsi="Times New Roman"/>
                <w:noProof/>
                <w:sz w:val="20"/>
                <w:lang w:val="pl-PL"/>
              </w:rPr>
              <w:t xml:space="preserve">Natychmiastowe wsparcie ewentualnej misji </w:t>
            </w:r>
            <w:r>
              <w:rPr>
                <w:rFonts w:ascii="Times New Roman" w:hAnsi="Times New Roman"/>
                <w:noProof/>
                <w:sz w:val="20"/>
                <w:lang w:val="pl-PL"/>
              </w:rPr>
              <w:t>WPBiO w zakresie walki z przemytem migrantów.</w:t>
            </w:r>
          </w:p>
          <w:p w:rsidR="00196AF6" w:rsidRDefault="007E0AAA">
            <w:pPr>
              <w:pStyle w:val="ListParagraph"/>
              <w:rPr>
                <w:rFonts w:ascii="Times New Roman" w:hAnsi="Times New Roman"/>
                <w:noProof/>
                <w:sz w:val="20"/>
                <w:szCs w:val="20"/>
                <w:lang w:val="pl-PL"/>
              </w:rPr>
            </w:pPr>
            <w:r>
              <w:rPr>
                <w:rFonts w:ascii="Times New Roman" w:hAnsi="Times New Roman"/>
                <w:noProof/>
                <w:sz w:val="20"/>
                <w:lang w:val="pl-PL"/>
              </w:rPr>
              <w:t>Do końca maja przedstawiony zostanie wniosek ustawodawczy w sprawie uruchomienia systemu reagowania w sytuacji nadzwyczajnej zgodnie z art. 78 ust. 3 TFUE w oparciu o określony w załączniku klucz rozmieszczenia</w:t>
            </w:r>
            <w:r>
              <w:rPr>
                <w:rFonts w:ascii="Times New Roman" w:hAnsi="Times New Roman"/>
                <w:noProof/>
                <w:sz w:val="20"/>
                <w:lang w:val="pl-PL"/>
              </w:rPr>
              <w:t>.</w:t>
            </w:r>
          </w:p>
          <w:p w:rsidR="00196AF6" w:rsidRDefault="007E0AAA">
            <w:pPr>
              <w:pStyle w:val="ListParagraph"/>
              <w:rPr>
                <w:rFonts w:ascii="Times New Roman" w:hAnsi="Times New Roman"/>
                <w:noProof/>
                <w:sz w:val="20"/>
                <w:szCs w:val="20"/>
                <w:lang w:val="pl-PL"/>
              </w:rPr>
            </w:pPr>
            <w:r>
              <w:rPr>
                <w:rFonts w:ascii="Times New Roman" w:hAnsi="Times New Roman"/>
                <w:noProof/>
                <w:sz w:val="20"/>
                <w:lang w:val="pl-PL"/>
              </w:rPr>
              <w:t>Do końca 2015 r. przedstawiony zostanie wniosek dotyczący trwałego wspólnego unijnego systemu relokacji.</w:t>
            </w:r>
          </w:p>
          <w:p w:rsidR="00196AF6" w:rsidRDefault="007E0AAA">
            <w:pPr>
              <w:pStyle w:val="ListParagraph"/>
              <w:rPr>
                <w:rFonts w:ascii="Times New Roman" w:hAnsi="Times New Roman"/>
                <w:noProof/>
                <w:sz w:val="20"/>
                <w:szCs w:val="20"/>
                <w:lang w:val="pl-PL"/>
              </w:rPr>
            </w:pPr>
            <w:r>
              <w:rPr>
                <w:rFonts w:ascii="Times New Roman" w:hAnsi="Times New Roman"/>
                <w:noProof/>
                <w:sz w:val="20"/>
                <w:lang w:val="pl-PL"/>
              </w:rPr>
              <w:t>Zalecenia dotyczące unijnego programu przesiedleń do końca maja, a następnie – w razie potrzeby – wniosek w sprawie bardziej stałego podejścia po 201</w:t>
            </w:r>
            <w:r>
              <w:rPr>
                <w:rFonts w:ascii="Times New Roman" w:hAnsi="Times New Roman"/>
                <w:noProof/>
                <w:sz w:val="20"/>
                <w:lang w:val="pl-PL"/>
              </w:rPr>
              <w:t>6 r.</w:t>
            </w:r>
          </w:p>
          <w:p w:rsidR="00196AF6" w:rsidRDefault="007E0AAA">
            <w:pPr>
              <w:pStyle w:val="ListParagraph"/>
              <w:rPr>
                <w:rFonts w:ascii="Times New Roman" w:hAnsi="Times New Roman"/>
                <w:noProof/>
                <w:sz w:val="20"/>
                <w:szCs w:val="20"/>
                <w:lang w:val="pl-PL"/>
              </w:rPr>
            </w:pPr>
            <w:r>
              <w:rPr>
                <w:rFonts w:ascii="Times New Roman" w:hAnsi="Times New Roman"/>
                <w:noProof/>
                <w:sz w:val="20"/>
                <w:lang w:val="pl-PL"/>
              </w:rPr>
              <w:t>30 mln EUR na rzecz programów rozwoju regionalnego i ochrony.</w:t>
            </w:r>
          </w:p>
          <w:p w:rsidR="00196AF6" w:rsidRDefault="007E0AAA">
            <w:pPr>
              <w:pStyle w:val="ListParagraph"/>
              <w:rPr>
                <w:rFonts w:ascii="Times New Roman" w:hAnsi="Times New Roman"/>
                <w:noProof/>
                <w:sz w:val="20"/>
                <w:szCs w:val="20"/>
                <w:lang w:val="pl-PL"/>
              </w:rPr>
            </w:pPr>
            <w:r>
              <w:rPr>
                <w:rFonts w:ascii="Times New Roman" w:hAnsi="Times New Roman"/>
                <w:noProof/>
                <w:sz w:val="20"/>
                <w:lang w:val="pl-PL"/>
              </w:rPr>
              <w:t>Do końca 2015 r. utworzone zostanie wielofunkcyjne centrum pilotażowe w Nigrze.</w:t>
            </w:r>
          </w:p>
        </w:tc>
      </w:tr>
    </w:tbl>
    <w:p w:rsidR="00196AF6" w:rsidRDefault="00196AF6">
      <w:pPr>
        <w:rPr>
          <w:rFonts w:ascii="Times New Roman" w:eastAsia="Calibri" w:hAnsi="Times New Roman"/>
          <w:noProof/>
          <w:sz w:val="24"/>
          <w:szCs w:val="24"/>
          <w:lang w:val="pl-PL"/>
        </w:rPr>
      </w:pPr>
    </w:p>
    <w:p w:rsidR="00196AF6" w:rsidRDefault="007E0AAA">
      <w:pPr>
        <w:rPr>
          <w:rFonts w:ascii="Times New Roman" w:hAnsi="Times New Roman"/>
          <w:b/>
          <w:noProof/>
          <w:sz w:val="32"/>
          <w:szCs w:val="32"/>
          <w:u w:val="single"/>
          <w:lang w:val="pl-PL"/>
        </w:rPr>
      </w:pPr>
      <w:r>
        <w:rPr>
          <w:rFonts w:ascii="Times New Roman" w:hAnsi="Times New Roman"/>
          <w:b/>
          <w:noProof/>
          <w:sz w:val="32"/>
          <w:lang w:val="pl-PL"/>
        </w:rPr>
        <w:t>II. Cztery filary lepszego zarządzania migracją</w:t>
      </w:r>
    </w:p>
    <w:p w:rsidR="00196AF6" w:rsidRDefault="007E0AAA">
      <w:pPr>
        <w:spacing w:line="240" w:lineRule="auto"/>
        <w:jc w:val="both"/>
        <w:rPr>
          <w:rFonts w:ascii="Times New Roman" w:eastAsia="Calibri" w:hAnsi="Times New Roman"/>
          <w:noProof/>
          <w:sz w:val="24"/>
          <w:szCs w:val="24"/>
          <w:lang w:val="pl-PL"/>
        </w:rPr>
      </w:pPr>
      <w:r>
        <w:rPr>
          <w:rFonts w:ascii="Times New Roman" w:eastAsia="Calibri" w:hAnsi="Times New Roman"/>
          <w:noProof/>
          <w:sz w:val="24"/>
          <w:szCs w:val="24"/>
          <w:lang w:val="pl-PL"/>
        </w:rPr>
        <w:t xml:space="preserve">Kryzys migracyjny na Morzu Śródziemnym wysunął na pierwszy </w:t>
      </w:r>
      <w:r>
        <w:rPr>
          <w:rFonts w:ascii="Times New Roman" w:eastAsia="Calibri" w:hAnsi="Times New Roman"/>
          <w:noProof/>
          <w:sz w:val="24"/>
          <w:szCs w:val="24"/>
          <w:lang w:val="pl-PL"/>
        </w:rPr>
        <w:t>plan najpilniejsze potrzeby. Wykazał jednak również wiele ograniczeń strukturalnych polityki migracyjnej UE oraz narzędzi, którymi Unia dysponuje. Jest to szansa dla UE na uporanie się z potrzebą znalezienia właściwej równowagi w jej polityce migracyjnej o</w:t>
      </w:r>
      <w:r>
        <w:rPr>
          <w:rFonts w:ascii="Times New Roman" w:eastAsia="Calibri" w:hAnsi="Times New Roman"/>
          <w:noProof/>
          <w:sz w:val="24"/>
          <w:szCs w:val="24"/>
          <w:lang w:val="pl-PL"/>
        </w:rPr>
        <w:t>raz wysłanie wyraźnego sygnału dla obywateli, że migracja może być lepiej zarządzana wspólnie przez wszystkie właściwe podmioty unijne.</w:t>
      </w:r>
    </w:p>
    <w:p w:rsidR="00196AF6" w:rsidRDefault="007E0AAA">
      <w:pPr>
        <w:spacing w:line="240" w:lineRule="auto"/>
        <w:jc w:val="both"/>
        <w:rPr>
          <w:rFonts w:ascii="Times New Roman" w:eastAsia="Calibri" w:hAnsi="Times New Roman"/>
          <w:noProof/>
          <w:sz w:val="24"/>
          <w:szCs w:val="24"/>
          <w:lang w:val="pl-PL"/>
        </w:rPr>
      </w:pPr>
      <w:r>
        <w:rPr>
          <w:rFonts w:ascii="Times New Roman" w:eastAsia="Calibri" w:hAnsi="Times New Roman"/>
          <w:noProof/>
          <w:sz w:val="24"/>
          <w:szCs w:val="24"/>
          <w:lang w:val="pl-PL"/>
        </w:rPr>
        <w:t>Jak to ujął przewodniczący Jean Claude Juncker w swoich wytycznych politycznych, zdecydowana walka z nielegalną migracją</w:t>
      </w:r>
      <w:r>
        <w:rPr>
          <w:rFonts w:ascii="Times New Roman" w:eastAsia="Calibri" w:hAnsi="Times New Roman"/>
          <w:noProof/>
          <w:sz w:val="24"/>
          <w:szCs w:val="24"/>
          <w:lang w:val="pl-PL"/>
        </w:rPr>
        <w:t>, handlarzami i przemytnikami ludzi oraz zapewnienie bezpieczeństwa europejskich granic zewnętrznych musi iść w parze z silną wspólną polityką w zakresie azylu oraz nową polityką europejską w dziedzinie legalnej migracji. Wymaga to oczywiście zwiększenia s</w:t>
      </w:r>
      <w:r>
        <w:rPr>
          <w:rFonts w:ascii="Times New Roman" w:eastAsia="Calibri" w:hAnsi="Times New Roman"/>
          <w:noProof/>
          <w:sz w:val="24"/>
          <w:szCs w:val="24"/>
          <w:lang w:val="pl-PL"/>
        </w:rPr>
        <w:t>pójności między różnymi sektorami polityki, takimi jak współpraca rozwojowa, handel, zatrudnienie, polityka zagraniczna i wewnętrzna.</w:t>
      </w:r>
    </w:p>
    <w:p w:rsidR="00196AF6" w:rsidRDefault="007E0AAA">
      <w:pPr>
        <w:spacing w:line="240" w:lineRule="auto"/>
        <w:jc w:val="both"/>
        <w:rPr>
          <w:rFonts w:ascii="Times New Roman" w:eastAsia="Calibri" w:hAnsi="Times New Roman"/>
          <w:noProof/>
          <w:sz w:val="24"/>
          <w:szCs w:val="24"/>
          <w:lang w:val="pl-PL"/>
        </w:rPr>
      </w:pPr>
      <w:r>
        <w:rPr>
          <w:rFonts w:ascii="Times New Roman" w:eastAsia="Calibri" w:hAnsi="Times New Roman"/>
          <w:noProof/>
          <w:sz w:val="24"/>
          <w:szCs w:val="24"/>
          <w:lang w:val="pl-PL"/>
        </w:rPr>
        <w:t>Wyraźne i dobrze stosowane ramy legalnego wjazdu na teren UE (zarówno poprzez skuteczną politykę azylową, jak i system wiz</w:t>
      </w:r>
      <w:r>
        <w:rPr>
          <w:rFonts w:ascii="Times New Roman" w:eastAsia="Calibri" w:hAnsi="Times New Roman"/>
          <w:noProof/>
          <w:sz w:val="24"/>
          <w:szCs w:val="24"/>
          <w:lang w:val="pl-PL"/>
        </w:rPr>
        <w:t>owy) ograniczą czynniki wypychające powodujące nielegalny pobyt i wjazd, przyczyniając się do poprawy ochrony europejskich granic oraz zwiększenia bezpieczeństwa fal migracji.</w:t>
      </w:r>
    </w:p>
    <w:p w:rsidR="00196AF6" w:rsidRDefault="007E0AAA">
      <w:pPr>
        <w:spacing w:line="240" w:lineRule="auto"/>
        <w:jc w:val="both"/>
        <w:rPr>
          <w:rFonts w:ascii="Times New Roman" w:eastAsia="Calibri" w:hAnsi="Times New Roman"/>
          <w:noProof/>
          <w:sz w:val="24"/>
          <w:szCs w:val="24"/>
          <w:lang w:val="pl-PL"/>
        </w:rPr>
      </w:pPr>
      <w:r>
        <w:rPr>
          <w:rFonts w:ascii="Times New Roman" w:eastAsia="Calibri" w:hAnsi="Times New Roman"/>
          <w:noProof/>
          <w:sz w:val="24"/>
          <w:szCs w:val="24"/>
          <w:lang w:val="pl-PL"/>
        </w:rPr>
        <w:t>UE musi nadal zapewniać ochronę potrzebującym. Należy również uznać, że umiejętn</w:t>
      </w:r>
      <w:r>
        <w:rPr>
          <w:rFonts w:ascii="Times New Roman" w:eastAsia="Calibri" w:hAnsi="Times New Roman"/>
          <w:noProof/>
          <w:sz w:val="24"/>
          <w:szCs w:val="24"/>
          <w:lang w:val="pl-PL"/>
        </w:rPr>
        <w:t>ości niezbędne do budowy prężnej gospodarki nie zawsze można niezwłocznie znaleźć w obrębie unijnego rynku pracy lub ich wykształcenie będzie wymagać czasu. Migranci legalnie przyjmowani przez państwa członkowskie nie powinni spotykać się z niechęcią i opo</w:t>
      </w:r>
      <w:r>
        <w:rPr>
          <w:rFonts w:ascii="Times New Roman" w:eastAsia="Calibri" w:hAnsi="Times New Roman"/>
          <w:noProof/>
          <w:sz w:val="24"/>
          <w:szCs w:val="24"/>
          <w:lang w:val="pl-PL"/>
        </w:rPr>
        <w:t>rem – należy im udzielić wszelkiej pomocy we włączeniu się w nową społeczność. Powinno to być postrzegane jako kluczowe dla wartości, z których Europejczycy powinni być dumni i którymi powinni się dzielić z partnerami na całym świecie.</w:t>
      </w:r>
    </w:p>
    <w:p w:rsidR="00196AF6" w:rsidRDefault="007E0AAA">
      <w:pPr>
        <w:spacing w:line="240" w:lineRule="auto"/>
        <w:jc w:val="both"/>
        <w:rPr>
          <w:rFonts w:ascii="Times New Roman" w:eastAsia="Calibri" w:hAnsi="Times New Roman"/>
          <w:noProof/>
          <w:sz w:val="24"/>
          <w:szCs w:val="24"/>
          <w:lang w:val="pl-PL"/>
        </w:rPr>
      </w:pPr>
      <w:r>
        <w:rPr>
          <w:rFonts w:ascii="Times New Roman" w:eastAsia="Calibri" w:hAnsi="Times New Roman"/>
          <w:noProof/>
          <w:sz w:val="24"/>
          <w:szCs w:val="24"/>
          <w:lang w:val="pl-PL"/>
        </w:rPr>
        <w:t>Jednak z tego samego</w:t>
      </w:r>
      <w:r>
        <w:rPr>
          <w:rFonts w:ascii="Times New Roman" w:eastAsia="Calibri" w:hAnsi="Times New Roman"/>
          <w:noProof/>
          <w:sz w:val="24"/>
          <w:szCs w:val="24"/>
          <w:lang w:val="pl-PL"/>
        </w:rPr>
        <w:t xml:space="preserve"> powodu UE musi wyciągać konsekwencje, gdy migranci nie spełniają kryteriów pobytu. Osoby, które starają się uniknąć powrotu, mimo że ich wnioski o udzielenie azylu odrzucono, osoby nadmiernie przedłużające pobyt oraz migranci, których status jest całkowic</w:t>
      </w:r>
      <w:r>
        <w:rPr>
          <w:rFonts w:ascii="Times New Roman" w:eastAsia="Calibri" w:hAnsi="Times New Roman"/>
          <w:noProof/>
          <w:sz w:val="24"/>
          <w:szCs w:val="24"/>
          <w:lang w:val="pl-PL"/>
        </w:rPr>
        <w:t>ie nielegalny, stanowią poważny problem. Zjawiska te powodują erozję zaufania do systemu. Dają silne argumenty tym, którzy chcą krytykować lub stygmatyzować migrację. To utrudnia integrację migrantów przebywających w UE z mocy prawa.</w:t>
      </w:r>
    </w:p>
    <w:p w:rsidR="00196AF6" w:rsidRDefault="007E0AAA">
      <w:pPr>
        <w:spacing w:line="240" w:lineRule="auto"/>
        <w:jc w:val="both"/>
        <w:rPr>
          <w:rFonts w:ascii="Times New Roman" w:hAnsi="Times New Roman"/>
          <w:noProof/>
          <w:sz w:val="24"/>
          <w:szCs w:val="24"/>
          <w:lang w:val="pl-PL"/>
        </w:rPr>
      </w:pPr>
      <w:r>
        <w:rPr>
          <w:rFonts w:ascii="Times New Roman" w:eastAsia="Calibri" w:hAnsi="Times New Roman"/>
          <w:noProof/>
          <w:sz w:val="24"/>
          <w:szCs w:val="24"/>
          <w:lang w:val="pl-PL"/>
        </w:rPr>
        <w:t>UE musi nadal angażowa</w:t>
      </w:r>
      <w:r>
        <w:rPr>
          <w:rFonts w:ascii="Times New Roman" w:eastAsia="Calibri" w:hAnsi="Times New Roman"/>
          <w:noProof/>
          <w:sz w:val="24"/>
          <w:szCs w:val="24"/>
          <w:lang w:val="pl-PL"/>
        </w:rPr>
        <w:t>ć się poza swoim terytorium i wzmacniać współpracę z partnerami globalnymi, podejmować kwestie podstawowych przyczyn migracji i propagować sposoby legalnej migracji, które sprzyjają rozprzestrzenianiu wzrostu gospodarczego i rozwoju w krajach pochodzenia i</w:t>
      </w:r>
      <w:r>
        <w:rPr>
          <w:rFonts w:ascii="Times New Roman" w:eastAsia="Calibri" w:hAnsi="Times New Roman"/>
          <w:noProof/>
          <w:sz w:val="24"/>
          <w:szCs w:val="24"/>
          <w:lang w:val="pl-PL"/>
        </w:rPr>
        <w:t xml:space="preserve"> w krajach docelowych. Kwestia ta zostanie szerzej rozpatrzona w ramach strategicznego przeglądu zainicjowanego przez wysoką przedstawiciel/ wiceprzewodniczącą Komisji w celu dokonania oceny skutków zmian w środowisku globalnym. Celem zbliżającego się prze</w:t>
      </w:r>
      <w:r>
        <w:rPr>
          <w:rFonts w:ascii="Times New Roman" w:eastAsia="Calibri" w:hAnsi="Times New Roman"/>
          <w:noProof/>
          <w:sz w:val="24"/>
          <w:szCs w:val="24"/>
          <w:lang w:val="pl-PL"/>
        </w:rPr>
        <w:t>glądu europejskiej polityki sąsiedztwa będzie również określenie w ścisłym partnerstwie z naszymi sąsiadami propozycji współpracy ukierunkowanej w większym stopniu na zagadnienia będące przedmiotem wspólnego zainteresowania, w tym na migrację.</w:t>
      </w:r>
    </w:p>
    <w:p w:rsidR="00196AF6" w:rsidRDefault="007E0AAA">
      <w:pPr>
        <w:spacing w:line="240" w:lineRule="auto"/>
        <w:jc w:val="both"/>
        <w:rPr>
          <w:rFonts w:ascii="Times New Roman" w:eastAsia="Calibri" w:hAnsi="Times New Roman"/>
          <w:noProof/>
          <w:sz w:val="24"/>
          <w:szCs w:val="24"/>
          <w:lang w:val="pl-PL"/>
        </w:rPr>
      </w:pPr>
      <w:r>
        <w:rPr>
          <w:rFonts w:ascii="Times New Roman" w:eastAsia="Calibri" w:hAnsi="Times New Roman"/>
          <w:noProof/>
          <w:sz w:val="24"/>
          <w:szCs w:val="24"/>
          <w:lang w:val="pl-PL"/>
        </w:rPr>
        <w:t>W niniejszym</w:t>
      </w:r>
      <w:r>
        <w:rPr>
          <w:rFonts w:ascii="Times New Roman" w:eastAsia="Calibri" w:hAnsi="Times New Roman"/>
          <w:noProof/>
          <w:sz w:val="24"/>
          <w:szCs w:val="24"/>
          <w:lang w:val="pl-PL"/>
        </w:rPr>
        <w:t xml:space="preserve"> programie określono cztery poziomy działań służących realizacji uczciwej, solidnej i realistycznej polityki migracyjnej UE. </w:t>
      </w:r>
      <w:r>
        <w:rPr>
          <w:rFonts w:ascii="Times New Roman" w:hAnsi="Times New Roman"/>
          <w:noProof/>
          <w:sz w:val="24"/>
          <w:szCs w:val="24"/>
          <w:lang w:val="pl-PL"/>
        </w:rPr>
        <w:t xml:space="preserve">Ich wdrożenie spowoduje, że polityka UE w dziedzinie migracji będzie szanować prawo do ubiegania się o azyl, stanowić odpowiedź na </w:t>
      </w:r>
      <w:r>
        <w:rPr>
          <w:rFonts w:ascii="Times New Roman" w:hAnsi="Times New Roman"/>
          <w:noProof/>
          <w:sz w:val="24"/>
          <w:szCs w:val="24"/>
          <w:lang w:val="pl-PL"/>
        </w:rPr>
        <w:t>wyzwanie związane z pomocą humanitarną, ustanowi jasno określone ramy europejskie dla wspólnej polityki migracyjnej i wytrzyma próbę czasu</w:t>
      </w:r>
      <w:r>
        <w:rPr>
          <w:rStyle w:val="FootnoteReference"/>
          <w:rFonts w:ascii="Times New Roman" w:eastAsia="Calibri" w:hAnsi="Times New Roman"/>
          <w:noProof/>
          <w:sz w:val="24"/>
          <w:szCs w:val="24"/>
        </w:rPr>
        <w:footnoteReference w:id="13"/>
      </w:r>
      <w:r>
        <w:rPr>
          <w:rFonts w:ascii="Times New Roman" w:hAnsi="Times New Roman"/>
          <w:noProof/>
          <w:sz w:val="24"/>
          <w:szCs w:val="24"/>
          <w:lang w:val="pl-PL"/>
        </w:rPr>
        <w:t>.</w:t>
      </w:r>
    </w:p>
    <w:p w:rsidR="00196AF6" w:rsidRDefault="007E0AAA">
      <w:pPr>
        <w:spacing w:line="240" w:lineRule="auto"/>
        <w:rPr>
          <w:rFonts w:ascii="Times New Roman" w:hAnsi="Times New Roman"/>
          <w:b/>
          <w:noProof/>
          <w:sz w:val="28"/>
          <w:szCs w:val="28"/>
          <w:lang w:val="pl-PL"/>
        </w:rPr>
      </w:pPr>
      <w:r>
        <w:rPr>
          <w:rFonts w:ascii="Times New Roman" w:hAnsi="Times New Roman"/>
          <w:noProof/>
          <w:sz w:val="24"/>
          <w:lang w:val="pl-PL"/>
        </w:rPr>
        <w:t xml:space="preserve"> </w:t>
      </w:r>
      <w:r>
        <w:rPr>
          <w:rFonts w:ascii="Times New Roman" w:hAnsi="Times New Roman"/>
          <w:b/>
          <w:noProof/>
          <w:sz w:val="28"/>
          <w:lang w:val="pl-PL"/>
        </w:rPr>
        <w:t xml:space="preserve">III.1 </w:t>
      </w:r>
      <w:r>
        <w:rPr>
          <w:rFonts w:ascii="Times New Roman" w:hAnsi="Times New Roman"/>
          <w:noProof/>
          <w:lang w:val="pl-PL"/>
        </w:rPr>
        <w:tab/>
      </w:r>
      <w:r>
        <w:rPr>
          <w:rFonts w:ascii="Times New Roman" w:hAnsi="Times New Roman"/>
          <w:b/>
          <w:noProof/>
          <w:sz w:val="28"/>
          <w:lang w:val="pl-PL"/>
        </w:rPr>
        <w:t>Ograniczenie zachęt dla nielegalnych migrantów</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szCs w:val="24"/>
          <w:lang w:val="pl-PL"/>
        </w:rPr>
        <w:t xml:space="preserve">Istnieje wiele różnych powodów leżących u podstaw </w:t>
      </w:r>
      <w:r>
        <w:rPr>
          <w:rFonts w:ascii="Times New Roman" w:hAnsi="Times New Roman"/>
          <w:noProof/>
          <w:sz w:val="24"/>
          <w:szCs w:val="24"/>
          <w:lang w:val="pl-PL"/>
        </w:rPr>
        <w:t>nielegalnej migracji. Jednak często kończy się ona głębokim rozczarowaniem. Podróż jest często bardziej niebezpieczna niż oczekiwano, a migranci są często zdani na łaskę i niełaskę sieci przestępczych, przedkładających zysk nad ludzkie życie. Ci, którym od</w:t>
      </w:r>
      <w:r>
        <w:rPr>
          <w:rFonts w:ascii="Times New Roman" w:hAnsi="Times New Roman"/>
          <w:noProof/>
          <w:sz w:val="24"/>
          <w:szCs w:val="24"/>
          <w:lang w:val="pl-PL"/>
        </w:rPr>
        <w:t>mówiono azylu, stoją w obliczu konieczności powrotu. Ci, którzy żyją w Europie nielegalnie, pozostają w niepewności i łatwo mogą paść ofiarą wyzysku. W interesie wszystkich leży, aby zająć się podstawowymi przyczynami, które powodują, że ludzie poszukują ż</w:t>
      </w:r>
      <w:r>
        <w:rPr>
          <w:rFonts w:ascii="Times New Roman" w:hAnsi="Times New Roman"/>
          <w:noProof/>
          <w:sz w:val="24"/>
          <w:szCs w:val="24"/>
          <w:lang w:val="pl-PL"/>
        </w:rPr>
        <w:t>ycia gdzie indziej, wyeliminować przemyt i handel ludźmi oraz zapewnić przejrzystość i przewidywalność polityki dotyczącej powrotu migrantów.</w:t>
      </w:r>
    </w:p>
    <w:p w:rsidR="00196AF6" w:rsidRDefault="007E0AAA">
      <w:pPr>
        <w:spacing w:line="240" w:lineRule="auto"/>
        <w:jc w:val="both"/>
        <w:rPr>
          <w:rFonts w:ascii="Times New Roman" w:hAnsi="Times New Roman"/>
          <w:i/>
          <w:noProof/>
          <w:sz w:val="24"/>
          <w:szCs w:val="24"/>
          <w:lang w:val="pl-PL"/>
        </w:rPr>
      </w:pPr>
      <w:r>
        <w:rPr>
          <w:rFonts w:ascii="Times New Roman" w:hAnsi="Times New Roman"/>
          <w:i/>
          <w:noProof/>
          <w:sz w:val="24"/>
          <w:szCs w:val="24"/>
          <w:lang w:val="pl-PL"/>
        </w:rPr>
        <w:t>Zajęcie się pierwotnymi przyczynami nielegalnej i wymuszonej migracji po stronie państw trzecich</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szCs w:val="24"/>
          <w:lang w:val="pl-PL"/>
        </w:rPr>
        <w:t>Wiele pierwotnych</w:t>
      </w:r>
      <w:r>
        <w:rPr>
          <w:rFonts w:ascii="Times New Roman" w:hAnsi="Times New Roman"/>
          <w:noProof/>
          <w:sz w:val="24"/>
          <w:szCs w:val="24"/>
          <w:lang w:val="pl-PL"/>
        </w:rPr>
        <w:t xml:space="preserve"> przyczyn migracji leży w kwestiach globalnych, którymi UE stara się zajmować od wielu lat. Migrację należy uznać za jeden z podstawowych obszarów, w których aktywna i zaangażowana polityka zewnętrzna UE ma bezpośrednie znaczenie dla obywateli UE. Wojny do</w:t>
      </w:r>
      <w:r>
        <w:rPr>
          <w:rFonts w:ascii="Times New Roman" w:hAnsi="Times New Roman"/>
          <w:noProof/>
          <w:sz w:val="24"/>
          <w:szCs w:val="24"/>
          <w:lang w:val="pl-PL"/>
        </w:rPr>
        <w:t xml:space="preserve">mowe, ubóstwo, prześladowania i zmiana klimatu wpływają bezpośrednio i niezwłocznie na migrację – zapobieganie tym zagrożeniom i łagodzenie ich jest zatem niezwykle ważne dla debaty na temat migracji. </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szCs w:val="24"/>
          <w:lang w:val="pl-PL"/>
        </w:rPr>
        <w:t>Partnerstwa z krajami pochodzenia i krajami tranzytu m</w:t>
      </w:r>
      <w:r>
        <w:rPr>
          <w:rFonts w:ascii="Times New Roman" w:hAnsi="Times New Roman"/>
          <w:noProof/>
          <w:sz w:val="24"/>
          <w:szCs w:val="24"/>
          <w:lang w:val="pl-PL"/>
        </w:rPr>
        <w:t>ają olbrzymie znaczenie i istnieje szereg sformalizowanych dwustronnych i regionalnych ram współpracy w dziedzinie migracji</w:t>
      </w:r>
      <w:r>
        <w:rPr>
          <w:rStyle w:val="FootnoteReference"/>
          <w:rFonts w:ascii="Times New Roman" w:hAnsi="Times New Roman"/>
          <w:noProof/>
          <w:sz w:val="24"/>
          <w:szCs w:val="24"/>
        </w:rPr>
        <w:footnoteReference w:id="14"/>
      </w:r>
      <w:r>
        <w:rPr>
          <w:rFonts w:ascii="Times New Roman" w:hAnsi="Times New Roman"/>
          <w:noProof/>
          <w:sz w:val="24"/>
          <w:szCs w:val="24"/>
          <w:lang w:val="pl-PL"/>
        </w:rPr>
        <w:t xml:space="preserve">. Zostaną one wzbogacone poprzez zwiększenie roli </w:t>
      </w:r>
      <w:r>
        <w:rPr>
          <w:rFonts w:ascii="Times New Roman" w:hAnsi="Times New Roman"/>
          <w:b/>
          <w:noProof/>
          <w:sz w:val="24"/>
          <w:szCs w:val="24"/>
          <w:lang w:val="pl-PL"/>
        </w:rPr>
        <w:t>delegatur UE</w:t>
      </w:r>
      <w:r>
        <w:rPr>
          <w:rFonts w:ascii="Times New Roman" w:hAnsi="Times New Roman"/>
          <w:noProof/>
          <w:sz w:val="24"/>
          <w:szCs w:val="24"/>
          <w:lang w:val="pl-PL"/>
        </w:rPr>
        <w:t xml:space="preserve"> w zakresie migracji w kluczowych krajach. Delegatury będą w szczególn</w:t>
      </w:r>
      <w:r>
        <w:rPr>
          <w:rFonts w:ascii="Times New Roman" w:hAnsi="Times New Roman"/>
          <w:noProof/>
          <w:sz w:val="24"/>
          <w:szCs w:val="24"/>
          <w:lang w:val="pl-PL"/>
        </w:rPr>
        <w:t>ości składać sprawozdania dotyczące najważniejszych kwestii związanych z migracją w krajach przyjmujących, przyczyniać się do włączania kwestii migracji do współpracy na rzecz rozwoju i nawiązywać kontakt z krajami przyjmującymi w celu zapewnienia skoordyn</w:t>
      </w:r>
      <w:r>
        <w:rPr>
          <w:rFonts w:ascii="Times New Roman" w:hAnsi="Times New Roman"/>
          <w:noProof/>
          <w:sz w:val="24"/>
          <w:szCs w:val="24"/>
          <w:lang w:val="pl-PL"/>
        </w:rPr>
        <w:t xml:space="preserve">owanych działań. </w:t>
      </w:r>
      <w:r>
        <w:rPr>
          <w:rFonts w:ascii="Times New Roman" w:hAnsi="Times New Roman"/>
          <w:b/>
          <w:noProof/>
          <w:sz w:val="24"/>
          <w:szCs w:val="24"/>
          <w:lang w:val="pl-PL"/>
        </w:rPr>
        <w:t>Europejscy oficerowie łącznikowi ds. migracji</w:t>
      </w:r>
      <w:r>
        <w:rPr>
          <w:rFonts w:ascii="Times New Roman" w:hAnsi="Times New Roman"/>
          <w:noProof/>
          <w:sz w:val="24"/>
          <w:szCs w:val="24"/>
          <w:lang w:val="pl-PL"/>
        </w:rPr>
        <w:t xml:space="preserve"> zostaną oddelegowani do delegatur UE w kluczowych państwach trzecich – w ścisłej współpracy z siecią oficerów łącznikowych ds. imigracji</w:t>
      </w:r>
      <w:r>
        <w:rPr>
          <w:rStyle w:val="FootnoteReference"/>
          <w:rFonts w:ascii="Times New Roman" w:hAnsi="Times New Roman"/>
          <w:noProof/>
          <w:sz w:val="24"/>
          <w:szCs w:val="24"/>
        </w:rPr>
        <w:footnoteReference w:id="15"/>
      </w:r>
      <w:r>
        <w:rPr>
          <w:rFonts w:ascii="Times New Roman" w:hAnsi="Times New Roman"/>
          <w:noProof/>
          <w:sz w:val="24"/>
          <w:szCs w:val="24"/>
          <w:lang w:val="pl-PL"/>
        </w:rPr>
        <w:t xml:space="preserve"> oraz z lokalnymi władzami i społeczeństwem obywatelskim</w:t>
      </w:r>
      <w:r>
        <w:rPr>
          <w:rFonts w:ascii="Times New Roman" w:hAnsi="Times New Roman"/>
          <w:noProof/>
          <w:sz w:val="24"/>
          <w:szCs w:val="24"/>
          <w:lang w:val="pl-PL"/>
        </w:rPr>
        <w:t xml:space="preserve"> – w celu gromadzenia, wymiany i analizy informacji. </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szCs w:val="24"/>
          <w:lang w:val="pl-PL"/>
        </w:rPr>
        <w:t xml:space="preserve">Dobrym przykładem znacznych korzyści wynikających z zacieśnienia współpracy jest </w:t>
      </w:r>
      <w:r>
        <w:rPr>
          <w:rFonts w:ascii="Times New Roman" w:hAnsi="Times New Roman"/>
          <w:b/>
          <w:noProof/>
          <w:sz w:val="24"/>
          <w:szCs w:val="24"/>
          <w:lang w:val="pl-PL"/>
        </w:rPr>
        <w:t>Turcja</w:t>
      </w:r>
      <w:r>
        <w:rPr>
          <w:rFonts w:ascii="Times New Roman" w:hAnsi="Times New Roman"/>
          <w:noProof/>
          <w:sz w:val="24"/>
          <w:szCs w:val="24"/>
          <w:lang w:val="pl-PL"/>
        </w:rPr>
        <w:t>. Od początku 2014 r. Turcji przekazano 79 mln EUR w celu wsparcia jej wysiłków na rzecz rozwiązania problemu presj</w:t>
      </w:r>
      <w:r>
        <w:rPr>
          <w:rFonts w:ascii="Times New Roman" w:hAnsi="Times New Roman"/>
          <w:noProof/>
          <w:sz w:val="24"/>
          <w:szCs w:val="24"/>
          <w:lang w:val="pl-PL"/>
        </w:rPr>
        <w:t>i na system zarządzania napływem uchodźców oraz udzielenia pomocy w zapobieganiu niebezpiecznym podróżom we wschodniej części regionu Morza Śródziemnego. Ustanowienie specjalnego oficera łącznikowego Fronteksu w Turcji przeniesie współpracę na kolejny pozi</w:t>
      </w:r>
      <w:r>
        <w:rPr>
          <w:rFonts w:ascii="Times New Roman" w:hAnsi="Times New Roman"/>
          <w:noProof/>
          <w:sz w:val="24"/>
          <w:szCs w:val="24"/>
          <w:lang w:val="pl-PL"/>
        </w:rPr>
        <w:t>om.</w:t>
      </w:r>
    </w:p>
    <w:p w:rsidR="00196AF6" w:rsidRDefault="007E0AAA">
      <w:pPr>
        <w:spacing w:line="240" w:lineRule="auto"/>
        <w:jc w:val="both"/>
        <w:rPr>
          <w:rFonts w:ascii="Times New Roman" w:hAnsi="Times New Roman"/>
          <w:iCs/>
          <w:noProof/>
          <w:sz w:val="24"/>
          <w:szCs w:val="24"/>
          <w:lang w:val="pl-PL"/>
        </w:rPr>
      </w:pPr>
      <w:r>
        <w:rPr>
          <w:rFonts w:ascii="Times New Roman" w:hAnsi="Times New Roman"/>
          <w:noProof/>
          <w:sz w:val="24"/>
          <w:szCs w:val="24"/>
          <w:lang w:val="pl-PL"/>
        </w:rPr>
        <w:t xml:space="preserve">Dzięki budżetowi w wysokości 96,8 mld EUR na lata 2014–2020 </w:t>
      </w:r>
      <w:r>
        <w:rPr>
          <w:rFonts w:ascii="Times New Roman" w:hAnsi="Times New Roman"/>
          <w:b/>
          <w:noProof/>
          <w:sz w:val="24"/>
          <w:szCs w:val="24"/>
          <w:lang w:val="pl-PL"/>
        </w:rPr>
        <w:t>unijna pomoc w zakresie współpracy zewnętrznej</w:t>
      </w:r>
      <w:r>
        <w:rPr>
          <w:rFonts w:ascii="Times New Roman" w:hAnsi="Times New Roman"/>
          <w:noProof/>
          <w:sz w:val="24"/>
          <w:szCs w:val="24"/>
          <w:lang w:val="pl-PL"/>
        </w:rPr>
        <w:t>, a w szczególności pomoc rozwojowa, odgrywa ważną rolę w rozwiązywaniu takich światowych problemów jak ubóstwo, brak bezpieczeństwa, nierówność i</w:t>
      </w:r>
      <w:r>
        <w:rPr>
          <w:rFonts w:ascii="Times New Roman" w:hAnsi="Times New Roman"/>
          <w:noProof/>
          <w:sz w:val="24"/>
          <w:szCs w:val="24"/>
          <w:lang w:val="pl-PL"/>
        </w:rPr>
        <w:t xml:space="preserve"> bezrobocie, które należą do głównych pierwotnych przyczyn nielegalnej i wymuszonej migracji. Pomoc ta kierowana jest też do regionów w Afryce, Azji i Europie Wschodniej, skąd pochodzi większość przybywających do UE migrantów.</w:t>
      </w:r>
    </w:p>
    <w:p w:rsidR="00196AF6" w:rsidRDefault="007E0AAA">
      <w:pPr>
        <w:spacing w:line="240" w:lineRule="auto"/>
        <w:jc w:val="both"/>
        <w:rPr>
          <w:rFonts w:ascii="Times New Roman" w:hAnsi="Times New Roman"/>
          <w:noProof/>
          <w:sz w:val="24"/>
          <w:szCs w:val="24"/>
          <w:lang w:val="pl-PL"/>
        </w:rPr>
      </w:pPr>
      <w:r>
        <w:rPr>
          <w:rFonts w:ascii="Times New Roman" w:hAnsi="Times New Roman"/>
          <w:noProof/>
          <w:sz w:val="24"/>
          <w:szCs w:val="24"/>
          <w:lang w:val="pl-PL"/>
        </w:rPr>
        <w:t>Oprócz podejmowania długofalo</w:t>
      </w:r>
      <w:r>
        <w:rPr>
          <w:rFonts w:ascii="Times New Roman" w:hAnsi="Times New Roman"/>
          <w:noProof/>
          <w:sz w:val="24"/>
          <w:szCs w:val="24"/>
          <w:lang w:val="pl-PL"/>
        </w:rPr>
        <w:t>wych kwestii podstawowych przyczyn UE przyczynia się do złagodzenia wpływu kryzysu na szczeblu lokalnym. Wymaga to stałych wysiłków: ponad 70 % uchodźców i osób wewnętrznie przesiedlonych (IDP) na świecie to ludzie pozostający poza swoim miejscem zamieszka</w:t>
      </w:r>
      <w:r>
        <w:rPr>
          <w:rFonts w:ascii="Times New Roman" w:hAnsi="Times New Roman"/>
          <w:noProof/>
          <w:sz w:val="24"/>
          <w:szCs w:val="24"/>
          <w:lang w:val="pl-PL"/>
        </w:rPr>
        <w:t>nia przez pięć lub więcej lat. UE jest czołowym międzynarodowym podmiotem wspierającym uchodźców; jej wkład wynosi 200 mln EUR w projektach bieżących z zakresu pomocy rozwojowej i ponad 1 mld EUR w ramach pomocy humanitarnej przeznaczonej dla uchodźców i o</w:t>
      </w:r>
      <w:r>
        <w:rPr>
          <w:rFonts w:ascii="Times New Roman" w:hAnsi="Times New Roman"/>
          <w:noProof/>
          <w:sz w:val="24"/>
          <w:szCs w:val="24"/>
          <w:lang w:val="pl-PL"/>
        </w:rPr>
        <w:t xml:space="preserve">sób wewnętrznie przesiedlonych od początku 2014 r. Obecnie trwa strategiczna analiza mająca na celu maksymalizację wpływu tego wsparcia, a wyników można się spodziewać w 2016 r. </w:t>
      </w:r>
    </w:p>
    <w:p w:rsidR="00196AF6" w:rsidRDefault="007E0AAA">
      <w:pPr>
        <w:spacing w:line="240" w:lineRule="auto"/>
        <w:jc w:val="both"/>
        <w:rPr>
          <w:rFonts w:ascii="Times New Roman" w:hAnsi="Times New Roman"/>
          <w:i/>
          <w:noProof/>
          <w:sz w:val="24"/>
          <w:szCs w:val="24"/>
          <w:lang w:val="pl-PL"/>
        </w:rPr>
      </w:pPr>
      <w:r>
        <w:rPr>
          <w:rFonts w:ascii="Times New Roman" w:hAnsi="Times New Roman"/>
          <w:i/>
          <w:noProof/>
          <w:sz w:val="24"/>
          <w:szCs w:val="24"/>
          <w:lang w:val="pl-PL"/>
        </w:rPr>
        <w:t>Walka z przemytnikami i handlarzami ludźmi</w:t>
      </w:r>
    </w:p>
    <w:p w:rsidR="00196AF6" w:rsidRDefault="007E0AAA">
      <w:pPr>
        <w:spacing w:line="240" w:lineRule="auto"/>
        <w:jc w:val="both"/>
        <w:rPr>
          <w:rFonts w:ascii="Times New Roman" w:hAnsi="Times New Roman"/>
          <w:bCs/>
          <w:noProof/>
          <w:sz w:val="24"/>
          <w:szCs w:val="24"/>
          <w:lang w:val="pl-PL"/>
        </w:rPr>
      </w:pPr>
      <w:r>
        <w:rPr>
          <w:rFonts w:ascii="Times New Roman" w:hAnsi="Times New Roman"/>
          <w:noProof/>
          <w:sz w:val="24"/>
          <w:szCs w:val="24"/>
          <w:lang w:val="pl-PL"/>
        </w:rPr>
        <w:t xml:space="preserve">Działania mające na celu </w:t>
      </w:r>
      <w:r>
        <w:rPr>
          <w:rFonts w:ascii="Times New Roman" w:hAnsi="Times New Roman"/>
          <w:noProof/>
          <w:sz w:val="24"/>
          <w:szCs w:val="24"/>
          <w:lang w:val="pl-PL"/>
        </w:rPr>
        <w:t>zwalczanie siatek przestępczych przemytników i handlarzy ludźmi są przede wszystkim sposobem zapobiegania wykorzystywaniu migrantów przez sieci przestępcze</w:t>
      </w:r>
      <w:r>
        <w:rPr>
          <w:rStyle w:val="FootnoteReference"/>
          <w:rFonts w:ascii="Times New Roman" w:hAnsi="Times New Roman"/>
          <w:noProof/>
          <w:sz w:val="24"/>
          <w:szCs w:val="24"/>
        </w:rPr>
        <w:footnoteReference w:id="16"/>
      </w:r>
      <w:r>
        <w:rPr>
          <w:rFonts w:ascii="Times New Roman" w:hAnsi="Times New Roman"/>
          <w:noProof/>
          <w:sz w:val="24"/>
          <w:szCs w:val="24"/>
          <w:lang w:val="pl-PL"/>
        </w:rPr>
        <w:t>. Mają one również zniechęcać do nielegalnej migracji. Celem musi być zmiana charakteru sieci przemy</w:t>
      </w:r>
      <w:r>
        <w:rPr>
          <w:rFonts w:ascii="Times New Roman" w:hAnsi="Times New Roman"/>
          <w:noProof/>
          <w:sz w:val="24"/>
          <w:szCs w:val="24"/>
          <w:lang w:val="pl-PL"/>
        </w:rPr>
        <w:t>tniczych z przedsięwzięć o niskim ryzyku i wysokich zyskach dla przestępców w operacje wysokiego ryzyka przynoszące małe zyski. Komisja przedstawi do końca maja plan działania.</w:t>
      </w:r>
    </w:p>
    <w:p w:rsidR="00196AF6" w:rsidRDefault="007E0AAA">
      <w:pPr>
        <w:spacing w:line="240" w:lineRule="auto"/>
        <w:jc w:val="both"/>
        <w:rPr>
          <w:rFonts w:ascii="Times New Roman" w:hAnsi="Times New Roman"/>
          <w:bCs/>
          <w:noProof/>
          <w:sz w:val="24"/>
          <w:szCs w:val="24"/>
          <w:lang w:val="pl-PL"/>
        </w:rPr>
      </w:pPr>
      <w:r>
        <w:rPr>
          <w:rFonts w:ascii="Times New Roman" w:hAnsi="Times New Roman"/>
          <w:b/>
          <w:noProof/>
          <w:sz w:val="24"/>
          <w:szCs w:val="24"/>
          <w:lang w:val="pl-PL"/>
        </w:rPr>
        <w:t>Współpraca z państwami trzecimi</w:t>
      </w:r>
      <w:r>
        <w:rPr>
          <w:rFonts w:ascii="Times New Roman" w:hAnsi="Times New Roman"/>
          <w:noProof/>
          <w:sz w:val="24"/>
          <w:szCs w:val="24"/>
          <w:lang w:val="pl-PL"/>
        </w:rPr>
        <w:t xml:space="preserve"> ma kluczowe znaczenie. Większość przemytników n</w:t>
      </w:r>
      <w:r>
        <w:rPr>
          <w:rFonts w:ascii="Times New Roman" w:hAnsi="Times New Roman"/>
          <w:noProof/>
          <w:sz w:val="24"/>
          <w:szCs w:val="24"/>
          <w:lang w:val="pl-PL"/>
        </w:rPr>
        <w:t>ie ma swoich baz w Europie, a zatrzymywani na statkach na Morzu Śródziemnym, są zwykle ostatnim ogniwem łańcucha. Współpraca mająca na celu zniszczenie lokalnych i międzynarodowych grup przestępczych, które kontrolują szlaki przemytu, będzie głównym przedm</w:t>
      </w:r>
      <w:r>
        <w:rPr>
          <w:rFonts w:ascii="Times New Roman" w:hAnsi="Times New Roman"/>
          <w:noProof/>
          <w:sz w:val="24"/>
          <w:szCs w:val="24"/>
          <w:lang w:val="pl-PL"/>
        </w:rPr>
        <w:t>iotem zainteresowania zintensyfikowanej współpracy określonej powyżej.</w:t>
      </w:r>
    </w:p>
    <w:p w:rsidR="00196AF6" w:rsidRDefault="007E0AAA">
      <w:pPr>
        <w:spacing w:line="240" w:lineRule="auto"/>
        <w:jc w:val="both"/>
        <w:rPr>
          <w:rFonts w:ascii="Times New Roman" w:hAnsi="Times New Roman"/>
          <w:bCs/>
          <w:noProof/>
          <w:sz w:val="24"/>
          <w:szCs w:val="24"/>
          <w:lang w:val="pl-PL"/>
        </w:rPr>
      </w:pPr>
      <w:r>
        <w:rPr>
          <w:rFonts w:ascii="Times New Roman" w:hAnsi="Times New Roman"/>
          <w:noProof/>
          <w:sz w:val="24"/>
          <w:szCs w:val="24"/>
          <w:lang w:val="pl-PL"/>
        </w:rPr>
        <w:t xml:space="preserve">Agencje UE mogą również pomóc organom państw członkowskich w zintensyfikowaniu ich działań przeciwko sieciom </w:t>
      </w:r>
      <w:r>
        <w:rPr>
          <w:rFonts w:ascii="Times New Roman" w:hAnsi="Times New Roman"/>
          <w:b/>
          <w:noProof/>
          <w:sz w:val="24"/>
          <w:szCs w:val="24"/>
          <w:lang w:val="pl-PL"/>
        </w:rPr>
        <w:t>przestępczym przemytników</w:t>
      </w:r>
      <w:r>
        <w:rPr>
          <w:rFonts w:ascii="Times New Roman" w:hAnsi="Times New Roman"/>
          <w:noProof/>
          <w:sz w:val="24"/>
          <w:szCs w:val="24"/>
          <w:lang w:val="pl-PL"/>
        </w:rPr>
        <w:t>.</w:t>
      </w:r>
      <w:r>
        <w:rPr>
          <w:rFonts w:ascii="Times New Roman" w:hAnsi="Times New Roman"/>
          <w:b/>
          <w:noProof/>
          <w:sz w:val="24"/>
          <w:szCs w:val="24"/>
          <w:lang w:val="pl-PL"/>
        </w:rPr>
        <w:t xml:space="preserve"> </w:t>
      </w:r>
      <w:r>
        <w:rPr>
          <w:rFonts w:ascii="Times New Roman" w:hAnsi="Times New Roman"/>
          <w:noProof/>
          <w:sz w:val="24"/>
          <w:szCs w:val="24"/>
          <w:lang w:val="pl-PL"/>
        </w:rPr>
        <w:t>Agencje pomagają w identyfikacji przemytników, pr</w:t>
      </w:r>
      <w:r>
        <w:rPr>
          <w:rFonts w:ascii="Times New Roman" w:hAnsi="Times New Roman"/>
          <w:noProof/>
          <w:sz w:val="24"/>
          <w:szCs w:val="24"/>
          <w:lang w:val="pl-PL"/>
        </w:rPr>
        <w:t>owadzeniu dochodzeń w ich sprawie, ściganiu ich i zamrażaniu oraz konfiskowaniu ich aktywów. Działania będą oparte na bezpośrednim zaangażowaniu mającym na celu zidentyfikowanie, przechwycenie i zniszczenie statków, zanim zostaną one wykorzystane przez sie</w:t>
      </w:r>
      <w:r>
        <w:rPr>
          <w:rFonts w:ascii="Times New Roman" w:hAnsi="Times New Roman"/>
          <w:noProof/>
          <w:sz w:val="24"/>
          <w:szCs w:val="24"/>
          <w:lang w:val="pl-PL"/>
        </w:rPr>
        <w:t xml:space="preserve">ci przestępcze (zob. powyżej). Proaktywne dochodzenia finansowe, mające na celu konfiskaty i odzyskiwanie mienia pochodzącego z działalności przestępczej oraz działania w zakresie zwalczania prania pieniędzy związanych z przemytem migrantów wspierane będą </w:t>
      </w:r>
      <w:r>
        <w:rPr>
          <w:rFonts w:ascii="Times New Roman" w:hAnsi="Times New Roman"/>
          <w:noProof/>
          <w:sz w:val="24"/>
          <w:szCs w:val="24"/>
          <w:lang w:val="pl-PL"/>
        </w:rPr>
        <w:t>poprzez ściślejszą współpracę z jednostkami wywiadu finansowego w zakresie przepływów finansowych i nawiązywanie współpracy z instytucjami finansowymi, takimi jak banki i podmioty świadczące międzynarodowe usługi w zakresie przelewów pieniężnych oraz przed</w:t>
      </w:r>
      <w:r>
        <w:rPr>
          <w:rFonts w:ascii="Times New Roman" w:hAnsi="Times New Roman"/>
          <w:noProof/>
          <w:sz w:val="24"/>
          <w:szCs w:val="24"/>
          <w:lang w:val="pl-PL"/>
        </w:rPr>
        <w:t xml:space="preserve">siębiorstwa emitujące karty kredytowe. Pozwoli to również na lepszą wymianę informacji określonych w Europejskiej agendzie bezpieczeństwa. </w:t>
      </w:r>
    </w:p>
    <w:p w:rsidR="00196AF6" w:rsidRDefault="007E0AAA">
      <w:pPr>
        <w:spacing w:line="240" w:lineRule="auto"/>
        <w:jc w:val="both"/>
        <w:rPr>
          <w:rFonts w:ascii="Times New Roman" w:hAnsi="Times New Roman"/>
          <w:noProof/>
          <w:lang w:val="pl-PL"/>
        </w:rPr>
      </w:pPr>
      <w:r>
        <w:rPr>
          <w:rFonts w:ascii="Times New Roman" w:hAnsi="Times New Roman"/>
          <w:noProof/>
          <w:sz w:val="24"/>
          <w:szCs w:val="24"/>
          <w:lang w:val="pl-PL"/>
        </w:rPr>
        <w:t>W celu wzmocnienia instrumentów dostępnych dla prokuratorów prowadzących sprawy związane z sieciami przemytników Kom</w:t>
      </w:r>
      <w:r>
        <w:rPr>
          <w:rFonts w:ascii="Times New Roman" w:hAnsi="Times New Roman"/>
          <w:noProof/>
          <w:sz w:val="24"/>
          <w:szCs w:val="24"/>
          <w:lang w:val="pl-PL"/>
        </w:rPr>
        <w:t xml:space="preserve">isja usprawni istniejące unijne ramy prawne umożliwiające walkę z </w:t>
      </w:r>
      <w:r>
        <w:rPr>
          <w:rFonts w:ascii="Times New Roman" w:hAnsi="Times New Roman"/>
          <w:b/>
          <w:noProof/>
          <w:sz w:val="24"/>
          <w:szCs w:val="24"/>
          <w:lang w:val="pl-PL"/>
        </w:rPr>
        <w:t>przemytem migrantów</w:t>
      </w:r>
      <w:r>
        <w:rPr>
          <w:rFonts w:ascii="Times New Roman" w:hAnsi="Times New Roman"/>
          <w:noProof/>
          <w:sz w:val="24"/>
          <w:szCs w:val="24"/>
          <w:lang w:val="pl-PL"/>
        </w:rPr>
        <w:t xml:space="preserve"> i osobami, które odnoszą z niego korzyści</w:t>
      </w:r>
      <w:r>
        <w:rPr>
          <w:rStyle w:val="FootnoteReference"/>
          <w:rFonts w:ascii="Times New Roman" w:hAnsi="Times New Roman"/>
          <w:noProof/>
          <w:sz w:val="24"/>
          <w:szCs w:val="24"/>
        </w:rPr>
        <w:footnoteReference w:id="17"/>
      </w:r>
      <w:r>
        <w:rPr>
          <w:rFonts w:ascii="Times New Roman" w:hAnsi="Times New Roman"/>
          <w:noProof/>
          <w:sz w:val="24"/>
          <w:szCs w:val="24"/>
          <w:lang w:val="pl-PL"/>
        </w:rPr>
        <w:t>. Aby podjąć konkretne działania przeciwko sieciom handlarzy ludźmi oraz zapewnić wsparcie ich ofiarom, Komisja uzupełni również</w:t>
      </w:r>
      <w:r>
        <w:rPr>
          <w:rFonts w:ascii="Times New Roman" w:hAnsi="Times New Roman"/>
          <w:noProof/>
          <w:sz w:val="24"/>
          <w:szCs w:val="24"/>
          <w:lang w:val="pl-PL"/>
        </w:rPr>
        <w:t xml:space="preserve"> inicjatywy określone w obecnej strategii przeciwko </w:t>
      </w:r>
      <w:r>
        <w:rPr>
          <w:rFonts w:ascii="Times New Roman" w:hAnsi="Times New Roman"/>
          <w:b/>
          <w:noProof/>
          <w:sz w:val="24"/>
          <w:szCs w:val="24"/>
          <w:lang w:val="pl-PL"/>
        </w:rPr>
        <w:t>handlowi ludźmi</w:t>
      </w:r>
      <w:r>
        <w:rPr>
          <w:rFonts w:ascii="Times New Roman" w:hAnsi="Times New Roman"/>
          <w:noProof/>
          <w:sz w:val="24"/>
          <w:szCs w:val="24"/>
          <w:lang w:val="pl-PL"/>
        </w:rPr>
        <w:t xml:space="preserve"> i zastanowi się, w jaki sposób można udoskonalić działania w roku 2016</w:t>
      </w:r>
      <w:r>
        <w:rPr>
          <w:rStyle w:val="FootnoteReference"/>
          <w:rFonts w:ascii="Times New Roman" w:hAnsi="Times New Roman"/>
          <w:noProof/>
          <w:sz w:val="24"/>
          <w:szCs w:val="24"/>
        </w:rPr>
        <w:footnoteReference w:id="18"/>
      </w:r>
      <w:r>
        <w:rPr>
          <w:rFonts w:ascii="Times New Roman" w:hAnsi="Times New Roman"/>
          <w:noProof/>
          <w:sz w:val="24"/>
          <w:szCs w:val="24"/>
          <w:lang w:val="pl-PL"/>
        </w:rPr>
        <w:t>. Kolejnym potencjalnym źródłem eksploatacji są pracodawcy na terytorium UE. Propagując lepszą integrację legalnych i</w:t>
      </w:r>
      <w:r>
        <w:rPr>
          <w:rFonts w:ascii="Times New Roman" w:hAnsi="Times New Roman"/>
          <w:noProof/>
          <w:sz w:val="24"/>
          <w:szCs w:val="24"/>
          <w:lang w:val="pl-PL"/>
        </w:rPr>
        <w:t xml:space="preserve">migrantów na rynku pracy, Komisja zintensyfikuje działania przeciwko nielegalnemu zatrudnianiu obywateli państw trzecich, między innymi przez lepsze egzekwowanie </w:t>
      </w:r>
      <w:r>
        <w:rPr>
          <w:rFonts w:ascii="Times New Roman" w:hAnsi="Times New Roman"/>
          <w:b/>
          <w:noProof/>
          <w:sz w:val="24"/>
          <w:szCs w:val="24"/>
          <w:lang w:val="pl-PL"/>
        </w:rPr>
        <w:t>dyrektywy w sprawie kar stosowanych wobec pracodawców</w:t>
      </w:r>
      <w:r>
        <w:rPr>
          <w:rStyle w:val="FootnoteReference"/>
          <w:rFonts w:ascii="Times New Roman" w:hAnsi="Times New Roman"/>
          <w:noProof/>
          <w:sz w:val="24"/>
          <w:szCs w:val="24"/>
        </w:rPr>
        <w:footnoteReference w:id="19"/>
      </w:r>
      <w:r>
        <w:rPr>
          <w:rFonts w:ascii="Times New Roman" w:hAnsi="Times New Roman"/>
          <w:noProof/>
          <w:sz w:val="24"/>
          <w:szCs w:val="24"/>
          <w:lang w:val="pl-PL"/>
        </w:rPr>
        <w:t xml:space="preserve">, która zakazuje zatrudniania obywateli </w:t>
      </w:r>
      <w:r>
        <w:rPr>
          <w:rFonts w:ascii="Times New Roman" w:hAnsi="Times New Roman"/>
          <w:noProof/>
          <w:sz w:val="24"/>
          <w:szCs w:val="24"/>
          <w:lang w:val="pl-PL"/>
        </w:rPr>
        <w:t>państw trzecich nieposiadających prawa pobytu w UE.</w:t>
      </w:r>
      <w:r>
        <w:rPr>
          <w:rFonts w:ascii="Times New Roman" w:hAnsi="Times New Roman"/>
          <w:b/>
          <w:noProof/>
          <w:sz w:val="24"/>
          <w:szCs w:val="24"/>
          <w:lang w:val="pl-PL"/>
        </w:rPr>
        <w:t xml:space="preserve"> </w:t>
      </w:r>
      <w:r>
        <w:rPr>
          <w:rFonts w:ascii="Times New Roman" w:hAnsi="Times New Roman"/>
          <w:noProof/>
          <w:sz w:val="24"/>
          <w:szCs w:val="24"/>
          <w:lang w:val="pl-PL"/>
        </w:rPr>
        <w:t>Komisja nada również priorytet postępowaniom w sprawie uchybienia zobowiązaniom państwa członkowskiego odnoszącym się do wspomnianej dyrektywy.</w:t>
      </w:r>
    </w:p>
    <w:p w:rsidR="00196AF6" w:rsidRDefault="007E0AAA">
      <w:pPr>
        <w:autoSpaceDE w:val="0"/>
        <w:autoSpaceDN w:val="0"/>
        <w:adjustRightInd w:val="0"/>
        <w:spacing w:before="120" w:after="0" w:line="240" w:lineRule="auto"/>
        <w:jc w:val="both"/>
        <w:rPr>
          <w:rFonts w:ascii="Times New Roman" w:hAnsi="Times New Roman"/>
          <w:noProof/>
          <w:sz w:val="24"/>
          <w:szCs w:val="24"/>
          <w:lang w:val="pl-PL"/>
        </w:rPr>
      </w:pPr>
      <w:r>
        <w:rPr>
          <w:rFonts w:ascii="Times New Roman" w:hAnsi="Times New Roman"/>
          <w:i/>
          <w:noProof/>
          <w:sz w:val="24"/>
          <w:lang w:val="pl-PL"/>
        </w:rPr>
        <w:t>Powroty</w:t>
      </w:r>
    </w:p>
    <w:p w:rsidR="00196AF6" w:rsidRDefault="007E0AAA">
      <w:pPr>
        <w:spacing w:before="120" w:after="0" w:line="240" w:lineRule="auto"/>
        <w:jc w:val="both"/>
        <w:rPr>
          <w:rFonts w:ascii="Times New Roman" w:hAnsi="Times New Roman"/>
          <w:bCs/>
          <w:noProof/>
          <w:sz w:val="24"/>
          <w:szCs w:val="24"/>
          <w:lang w:val="pl-PL"/>
        </w:rPr>
      </w:pPr>
      <w:r>
        <w:rPr>
          <w:rFonts w:ascii="Times New Roman" w:hAnsi="Times New Roman"/>
          <w:noProof/>
          <w:sz w:val="24"/>
          <w:lang w:val="pl-PL"/>
        </w:rPr>
        <w:t>Nielegalnych migrantów zachęca do działania między i</w:t>
      </w:r>
      <w:r>
        <w:rPr>
          <w:rFonts w:ascii="Times New Roman" w:hAnsi="Times New Roman"/>
          <w:noProof/>
          <w:sz w:val="24"/>
          <w:lang w:val="pl-PL"/>
        </w:rPr>
        <w:t>nnymi świadomość, że unijny system powrotów nielegalnych migrantów lub osób, których wnioski o azyl zostały odrzucone, jest niedoskonały. Siatki przemytnicze często korzystają z faktu, że egzekwuje się stosunkowo niewiele decyzji nakazujących powrót – skut</w:t>
      </w:r>
      <w:r>
        <w:rPr>
          <w:rFonts w:ascii="Times New Roman" w:hAnsi="Times New Roman"/>
          <w:noProof/>
          <w:sz w:val="24"/>
          <w:lang w:val="pl-PL"/>
        </w:rPr>
        <w:t>ecznych było zaledwie 39,2 % decyzji nakazujących powrót wydanych w 2013 r.</w:t>
      </w:r>
    </w:p>
    <w:p w:rsidR="00196AF6" w:rsidRDefault="007E0AAA">
      <w:pPr>
        <w:spacing w:before="120" w:after="0" w:line="240" w:lineRule="auto"/>
        <w:jc w:val="both"/>
        <w:rPr>
          <w:rFonts w:ascii="Times New Roman" w:hAnsi="Times New Roman"/>
          <w:bCs/>
          <w:noProof/>
          <w:sz w:val="24"/>
          <w:szCs w:val="24"/>
          <w:lang w:val="pl-PL"/>
        </w:rPr>
      </w:pPr>
      <w:r>
        <w:rPr>
          <w:rFonts w:ascii="Times New Roman" w:hAnsi="Times New Roman"/>
          <w:noProof/>
          <w:sz w:val="24"/>
          <w:lang w:val="pl-PL"/>
        </w:rPr>
        <w:t>Aby zwiększyć wskaźnik egzekwowania musimy przede wszystkim zapewnić, aby państwa trzecie wypełniały swoje zobowiązania międzynarodowe w zakresie przyjęcia z powrotem swoich obywat</w:t>
      </w:r>
      <w:r>
        <w:rPr>
          <w:rFonts w:ascii="Times New Roman" w:hAnsi="Times New Roman"/>
          <w:noProof/>
          <w:sz w:val="24"/>
          <w:lang w:val="pl-PL"/>
        </w:rPr>
        <w:t>eli przebywających nielegalnie w Europie</w:t>
      </w:r>
      <w:r>
        <w:rPr>
          <w:rStyle w:val="FootnoteReference"/>
          <w:rFonts w:ascii="Times New Roman" w:hAnsi="Times New Roman"/>
          <w:noProof/>
          <w:sz w:val="24"/>
        </w:rPr>
        <w:footnoteReference w:id="20"/>
      </w:r>
      <w:r>
        <w:rPr>
          <w:rFonts w:ascii="Times New Roman" w:hAnsi="Times New Roman"/>
          <w:noProof/>
          <w:sz w:val="24"/>
          <w:lang w:val="pl-PL"/>
        </w:rPr>
        <w:t>. UE powinna być gotowa do wykorzystania wszelkich środków perswazji i zachęty, którymi dysponuje. Uzgodniony niedawno</w:t>
      </w:r>
      <w:r>
        <w:rPr>
          <w:rFonts w:ascii="Times New Roman" w:hAnsi="Times New Roman"/>
          <w:b/>
          <w:noProof/>
          <w:sz w:val="24"/>
          <w:lang w:val="pl-PL"/>
        </w:rPr>
        <w:t xml:space="preserve"> projekt pilotażowy dotyczący powrotów</w:t>
      </w:r>
      <w:r>
        <w:rPr>
          <w:rFonts w:ascii="Times New Roman" w:hAnsi="Times New Roman"/>
          <w:noProof/>
          <w:sz w:val="24"/>
          <w:lang w:val="pl-PL"/>
        </w:rPr>
        <w:t xml:space="preserve"> do Pakistanu i Bangladeszu będzie stanowił istotną praktyc</w:t>
      </w:r>
      <w:r>
        <w:rPr>
          <w:rFonts w:ascii="Times New Roman" w:hAnsi="Times New Roman"/>
          <w:noProof/>
          <w:sz w:val="24"/>
          <w:lang w:val="pl-PL"/>
        </w:rPr>
        <w:t>zną demonstrację dalszych działań</w:t>
      </w:r>
      <w:r>
        <w:rPr>
          <w:rStyle w:val="FootnoteReference"/>
          <w:rFonts w:ascii="Times New Roman" w:hAnsi="Times New Roman"/>
          <w:noProof/>
          <w:sz w:val="24"/>
        </w:rPr>
        <w:footnoteReference w:id="21"/>
      </w:r>
      <w:r>
        <w:rPr>
          <w:rFonts w:ascii="Times New Roman" w:hAnsi="Times New Roman"/>
          <w:noProof/>
          <w:sz w:val="24"/>
          <w:lang w:val="pl-PL"/>
        </w:rPr>
        <w:t xml:space="preserve">. UE będzie </w:t>
      </w:r>
      <w:r>
        <w:rPr>
          <w:rFonts w:ascii="Times New Roman" w:hAnsi="Times New Roman"/>
          <w:b/>
          <w:noProof/>
          <w:sz w:val="24"/>
          <w:lang w:val="pl-PL"/>
        </w:rPr>
        <w:t>pomagać państwom trzecim w wypełnianiu obowiązków</w:t>
      </w:r>
      <w:r>
        <w:rPr>
          <w:rFonts w:ascii="Times New Roman" w:hAnsi="Times New Roman"/>
          <w:noProof/>
          <w:sz w:val="24"/>
          <w:lang w:val="pl-PL"/>
        </w:rPr>
        <w:t xml:space="preserve"> poprzez oferowanie wsparcia takiego jak: budowanie potencjału w zakresie zarządzania powrotami, kampanie informacyjne i uświadamiające oraz wspieranie działań n</w:t>
      </w:r>
      <w:r>
        <w:rPr>
          <w:rFonts w:ascii="Times New Roman" w:hAnsi="Times New Roman"/>
          <w:noProof/>
          <w:sz w:val="24"/>
          <w:lang w:val="pl-PL"/>
        </w:rPr>
        <w:t>a rzecz reintegracji. Komisja zrewiduje również swoje podejście do umów o readmisji</w:t>
      </w:r>
      <w:r>
        <w:rPr>
          <w:rStyle w:val="FootnoteReference"/>
          <w:rFonts w:ascii="Times New Roman" w:hAnsi="Times New Roman"/>
          <w:noProof/>
          <w:sz w:val="24"/>
        </w:rPr>
        <w:footnoteReference w:id="22"/>
      </w:r>
      <w:r>
        <w:rPr>
          <w:rFonts w:ascii="Times New Roman" w:hAnsi="Times New Roman"/>
          <w:noProof/>
          <w:sz w:val="24"/>
          <w:lang w:val="pl-PL"/>
        </w:rPr>
        <w:t xml:space="preserve">, zwłaszcza z głównymi krajami pochodzenia nielegalnych migrantów. </w:t>
      </w:r>
    </w:p>
    <w:p w:rsidR="00196AF6" w:rsidRDefault="007E0AAA">
      <w:pPr>
        <w:spacing w:before="120" w:after="0" w:line="240" w:lineRule="auto"/>
        <w:jc w:val="both"/>
        <w:rPr>
          <w:rFonts w:ascii="Times New Roman" w:hAnsi="Times New Roman"/>
          <w:bCs/>
          <w:noProof/>
          <w:sz w:val="24"/>
          <w:szCs w:val="24"/>
          <w:lang w:val="pl-PL"/>
        </w:rPr>
      </w:pPr>
      <w:r>
        <w:rPr>
          <w:rFonts w:ascii="Times New Roman" w:hAnsi="Times New Roman"/>
          <w:noProof/>
          <w:lang w:val="pl-PL"/>
        </w:rPr>
        <w:t xml:space="preserve">Jednocześnie państwa członkowskie muszą stosować </w:t>
      </w:r>
      <w:r>
        <w:rPr>
          <w:rFonts w:ascii="Times New Roman" w:hAnsi="Times New Roman"/>
          <w:b/>
          <w:noProof/>
          <w:sz w:val="24"/>
          <w:lang w:val="pl-PL"/>
        </w:rPr>
        <w:t>dyrektywę w sprawie powrotów</w:t>
      </w:r>
      <w:r>
        <w:rPr>
          <w:rStyle w:val="FootnoteReference"/>
          <w:rFonts w:ascii="Times New Roman" w:hAnsi="Times New Roman"/>
          <w:noProof/>
          <w:sz w:val="24"/>
        </w:rPr>
        <w:footnoteReference w:id="23"/>
      </w:r>
      <w:r>
        <w:rPr>
          <w:rFonts w:ascii="Times New Roman" w:hAnsi="Times New Roman"/>
          <w:noProof/>
          <w:lang w:val="pl-PL"/>
        </w:rPr>
        <w:t>.</w:t>
      </w:r>
      <w:r>
        <w:rPr>
          <w:rFonts w:ascii="Times New Roman" w:hAnsi="Times New Roman"/>
          <w:noProof/>
          <w:sz w:val="24"/>
          <w:lang w:val="pl-PL"/>
        </w:rPr>
        <w:t xml:space="preserve"> Komisja będzie traktować priorytetowo monitorowanie wdrażania dyrektywy, przy czym szybko działający system powrotów będzie współgrał z poszanowaniem procedur i norm umożliwiających Europie zapewnienie ludzkiego i godnego traktowania osób powracających or</w:t>
      </w:r>
      <w:r>
        <w:rPr>
          <w:rFonts w:ascii="Times New Roman" w:hAnsi="Times New Roman"/>
          <w:noProof/>
          <w:sz w:val="24"/>
          <w:lang w:val="pl-PL"/>
        </w:rPr>
        <w:t xml:space="preserve">az proporcjonalne stosowanie środków przymusu, zgodnie z prawami podstawowymi i zasadą </w:t>
      </w:r>
      <w:r>
        <w:rPr>
          <w:rFonts w:ascii="Times New Roman" w:hAnsi="Times New Roman"/>
          <w:i/>
          <w:noProof/>
          <w:sz w:val="24"/>
          <w:lang w:val="pl-PL"/>
        </w:rPr>
        <w:t>non-refoulement</w:t>
      </w:r>
      <w:r>
        <w:rPr>
          <w:rStyle w:val="FootnoteReference"/>
          <w:rFonts w:ascii="Times New Roman" w:hAnsi="Times New Roman"/>
          <w:i/>
          <w:noProof/>
          <w:sz w:val="24"/>
        </w:rPr>
        <w:footnoteReference w:id="24"/>
      </w:r>
      <w:r>
        <w:rPr>
          <w:rFonts w:ascii="Times New Roman" w:hAnsi="Times New Roman"/>
          <w:noProof/>
          <w:sz w:val="24"/>
          <w:lang w:val="pl-PL"/>
        </w:rPr>
        <w:t>. Realizacja przepisów unijnych w sprawie powrotu nielegalnych migrantów jest obecnie poddawana ocenie w ramach mechanizmu oceny Schengen, zaś wspólne wy</w:t>
      </w:r>
      <w:r>
        <w:rPr>
          <w:rFonts w:ascii="Times New Roman" w:hAnsi="Times New Roman"/>
          <w:noProof/>
          <w:sz w:val="24"/>
          <w:lang w:val="pl-PL"/>
        </w:rPr>
        <w:t>tyczne, najlepsze praktyki i zalecenia dla państw członkowskich będą dostępne w „</w:t>
      </w:r>
      <w:r>
        <w:rPr>
          <w:rFonts w:ascii="Times New Roman" w:hAnsi="Times New Roman"/>
          <w:b/>
          <w:noProof/>
          <w:sz w:val="24"/>
          <w:lang w:val="pl-PL"/>
        </w:rPr>
        <w:t>Podręczniku powrotów</w:t>
      </w:r>
      <w:r>
        <w:rPr>
          <w:rFonts w:ascii="Times New Roman" w:hAnsi="Times New Roman"/>
          <w:noProof/>
          <w:sz w:val="24"/>
          <w:lang w:val="pl-PL"/>
        </w:rPr>
        <w:t xml:space="preserve">”. </w:t>
      </w:r>
    </w:p>
    <w:p w:rsidR="00196AF6" w:rsidRDefault="007E0AAA">
      <w:pPr>
        <w:pStyle w:val="BodyText"/>
        <w:spacing w:before="120" w:after="0" w:line="240" w:lineRule="auto"/>
        <w:jc w:val="both"/>
        <w:rPr>
          <w:rFonts w:ascii="Times New Roman" w:hAnsi="Times New Roman"/>
          <w:bCs/>
          <w:noProof/>
          <w:sz w:val="24"/>
          <w:szCs w:val="24"/>
          <w:lang w:val="pl-PL"/>
        </w:rPr>
      </w:pPr>
      <w:r>
        <w:rPr>
          <w:rFonts w:ascii="Times New Roman" w:hAnsi="Times New Roman"/>
          <w:noProof/>
          <w:sz w:val="24"/>
          <w:lang w:val="pl-PL"/>
        </w:rPr>
        <w:t>Chociaż w UE obowiązują wspólne zasady dotyczące powrotów, brakuje skutecznej współpracy operacyjnej. Frontex oferuje obecnie znaczne wsparcie dla pańs</w:t>
      </w:r>
      <w:r>
        <w:rPr>
          <w:rFonts w:ascii="Times New Roman" w:hAnsi="Times New Roman"/>
          <w:noProof/>
          <w:sz w:val="24"/>
          <w:lang w:val="pl-PL"/>
        </w:rPr>
        <w:t>tw członkowskich, należy jednak wzmocnić jego mandat w celu zwiększenia zdolności do świadczenia kompleksowej pomocy operacyjnej. Obecnie Frontex może jedynie koordynować misje w zakresie powrotów, ale nie może sam ich inicjować. Na podstawie prowadzonej o</w:t>
      </w:r>
      <w:r>
        <w:rPr>
          <w:rFonts w:ascii="Times New Roman" w:hAnsi="Times New Roman"/>
          <w:noProof/>
          <w:sz w:val="24"/>
          <w:lang w:val="pl-PL"/>
        </w:rPr>
        <w:t xml:space="preserve">becnie oceny, która ma zostać zakończona w bieżącym roku, Komisja zaproponuje zmiany </w:t>
      </w:r>
      <w:r>
        <w:rPr>
          <w:rFonts w:ascii="Times New Roman" w:hAnsi="Times New Roman"/>
          <w:b/>
          <w:noProof/>
          <w:sz w:val="24"/>
          <w:lang w:val="pl-PL"/>
        </w:rPr>
        <w:t>w podstawie prawnej Fronteksu</w:t>
      </w:r>
      <w:r>
        <w:rPr>
          <w:rFonts w:ascii="Times New Roman" w:hAnsi="Times New Roman"/>
          <w:noProof/>
          <w:sz w:val="24"/>
          <w:lang w:val="pl-PL"/>
        </w:rPr>
        <w:t>, aby zwiększyć jego rolę w zakresie powrotów</w:t>
      </w:r>
      <w:bookmarkStart w:id="1" w:name="_Ref419122858"/>
      <w:r>
        <w:rPr>
          <w:rStyle w:val="FootnoteReference"/>
          <w:rFonts w:ascii="Times New Roman" w:hAnsi="Times New Roman"/>
          <w:noProof/>
          <w:sz w:val="24"/>
        </w:rPr>
        <w:footnoteReference w:id="25"/>
      </w:r>
      <w:bookmarkEnd w:id="1"/>
      <w:r>
        <w:rPr>
          <w:rFonts w:ascii="Times New Roman" w:hAnsi="Times New Roman"/>
          <w:noProof/>
          <w:sz w:val="24"/>
          <w:lang w:val="pl-PL"/>
        </w:rPr>
        <w:t xml:space="preserve">. </w:t>
      </w:r>
    </w:p>
    <w:p w:rsidR="00196AF6" w:rsidRDefault="00196AF6">
      <w:pPr>
        <w:pStyle w:val="BodyText"/>
        <w:spacing w:before="120" w:after="0" w:line="240" w:lineRule="auto"/>
        <w:jc w:val="both"/>
        <w:rPr>
          <w:rFonts w:ascii="Times New Roman" w:hAnsi="Times New Roman"/>
          <w:bCs/>
          <w:noProof/>
          <w:sz w:val="24"/>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96AF6">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vAlign w:val="center"/>
          </w:tcPr>
          <w:p w:rsidR="00196AF6" w:rsidRDefault="007E0AAA">
            <w:pPr>
              <w:jc w:val="center"/>
              <w:rPr>
                <w:rFonts w:ascii="Times New Roman" w:hAnsi="Times New Roman"/>
                <w:b/>
                <w:i/>
                <w:noProof/>
                <w:sz w:val="20"/>
                <w:szCs w:val="20"/>
              </w:rPr>
            </w:pPr>
            <w:r>
              <w:rPr>
                <w:rFonts w:ascii="Times New Roman" w:hAnsi="Times New Roman"/>
                <w:b/>
                <w:i/>
                <w:noProof/>
                <w:sz w:val="20"/>
              </w:rPr>
              <w:t>Kluczowe działania</w:t>
            </w:r>
          </w:p>
          <w:p w:rsidR="00196AF6" w:rsidRDefault="00196AF6">
            <w:pPr>
              <w:rPr>
                <w:rFonts w:ascii="Times New Roman" w:hAnsi="Times New Roman"/>
                <w:noProof/>
                <w:sz w:val="20"/>
                <w:szCs w:val="20"/>
              </w:rPr>
            </w:pPr>
          </w:p>
          <w:p w:rsidR="00196AF6" w:rsidRDefault="00196AF6">
            <w:pPr>
              <w:rPr>
                <w:rFonts w:ascii="Times New Roman" w:hAnsi="Times New Roman"/>
                <w:noProof/>
                <w:sz w:val="20"/>
                <w:szCs w:val="20"/>
              </w:rPr>
            </w:pPr>
          </w:p>
          <w:p w:rsidR="00196AF6" w:rsidRDefault="00196AF6">
            <w:pPr>
              <w:rPr>
                <w:rFonts w:ascii="Times New Roman" w:hAnsi="Times New Roman"/>
                <w:noProof/>
                <w:sz w:val="20"/>
                <w:szCs w:val="20"/>
              </w:rPr>
            </w:pPr>
          </w:p>
          <w:p w:rsidR="00196AF6" w:rsidRDefault="00196AF6">
            <w:pPr>
              <w:rPr>
                <w:rFonts w:ascii="Times New Roman" w:hAnsi="Times New Roman"/>
                <w:noProof/>
                <w:sz w:val="20"/>
                <w:szCs w:val="20"/>
              </w:rPr>
            </w:pPr>
          </w:p>
          <w:p w:rsidR="00196AF6" w:rsidRDefault="00196AF6">
            <w:pPr>
              <w:rPr>
                <w:rFonts w:ascii="Times New Roman" w:hAnsi="Times New Roman"/>
                <w:noProof/>
                <w:sz w:val="20"/>
                <w:szCs w:val="20"/>
              </w:rPr>
            </w:pP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196AF6" w:rsidRDefault="007E0AAA">
            <w:pPr>
              <w:pStyle w:val="ListParagraph"/>
              <w:numPr>
                <w:ilvl w:val="0"/>
                <w:numId w:val="2"/>
              </w:numPr>
              <w:spacing w:after="0" w:line="240" w:lineRule="auto"/>
              <w:jc w:val="both"/>
              <w:rPr>
                <w:rFonts w:ascii="Times New Roman" w:hAnsi="Times New Roman"/>
                <w:noProof/>
                <w:sz w:val="20"/>
                <w:szCs w:val="20"/>
                <w:lang w:val="pl-PL"/>
              </w:rPr>
            </w:pPr>
            <w:r>
              <w:rPr>
                <w:rFonts w:ascii="Times New Roman" w:hAnsi="Times New Roman"/>
                <w:noProof/>
                <w:sz w:val="20"/>
                <w:lang w:val="pl-PL"/>
              </w:rPr>
              <w:t xml:space="preserve">Zajęcie się podstawowymi przyczynami przez współpracę na rzecz </w:t>
            </w:r>
            <w:r>
              <w:rPr>
                <w:rFonts w:ascii="Times New Roman" w:hAnsi="Times New Roman"/>
                <w:noProof/>
                <w:sz w:val="20"/>
                <w:lang w:val="pl-PL"/>
              </w:rPr>
              <w:t>rozwoju i pomoc humanitarną.</w:t>
            </w:r>
          </w:p>
          <w:p w:rsidR="00196AF6" w:rsidRDefault="007E0AAA">
            <w:pPr>
              <w:pStyle w:val="ListParagraph"/>
              <w:numPr>
                <w:ilvl w:val="0"/>
                <w:numId w:val="2"/>
              </w:numPr>
              <w:spacing w:after="0" w:line="240" w:lineRule="auto"/>
              <w:jc w:val="both"/>
              <w:rPr>
                <w:rFonts w:ascii="Times New Roman" w:hAnsi="Times New Roman"/>
                <w:noProof/>
                <w:sz w:val="20"/>
                <w:szCs w:val="20"/>
                <w:lang w:val="pl-PL"/>
              </w:rPr>
            </w:pPr>
            <w:r>
              <w:rPr>
                <w:rFonts w:ascii="Times New Roman" w:hAnsi="Times New Roman"/>
                <w:noProof/>
                <w:sz w:val="20"/>
                <w:lang w:val="pl-PL"/>
              </w:rPr>
              <w:t>Uczynienie migracji kwestią kluczową dla delegatur UE.</w:t>
            </w:r>
          </w:p>
          <w:p w:rsidR="00196AF6" w:rsidRDefault="007E0AAA">
            <w:pPr>
              <w:pStyle w:val="ListParagraph"/>
              <w:numPr>
                <w:ilvl w:val="0"/>
                <w:numId w:val="2"/>
              </w:numPr>
              <w:spacing w:after="0" w:line="240" w:lineRule="auto"/>
              <w:jc w:val="both"/>
              <w:rPr>
                <w:rFonts w:ascii="Times New Roman" w:hAnsi="Times New Roman"/>
                <w:noProof/>
                <w:sz w:val="20"/>
                <w:szCs w:val="20"/>
                <w:lang w:val="pl-PL"/>
              </w:rPr>
            </w:pPr>
            <w:r>
              <w:rPr>
                <w:rFonts w:ascii="Times New Roman" w:hAnsi="Times New Roman"/>
                <w:noProof/>
                <w:sz w:val="20"/>
                <w:lang w:val="pl-PL"/>
              </w:rPr>
              <w:t>Plan działania w zakresie walki z przemytem ludzi w maju 2015 r.</w:t>
            </w:r>
          </w:p>
          <w:p w:rsidR="00196AF6" w:rsidRDefault="007E0AAA">
            <w:pPr>
              <w:pStyle w:val="ListParagraph"/>
              <w:numPr>
                <w:ilvl w:val="0"/>
                <w:numId w:val="2"/>
              </w:numPr>
              <w:spacing w:after="0" w:line="240" w:lineRule="auto"/>
              <w:jc w:val="both"/>
              <w:rPr>
                <w:rFonts w:ascii="Times New Roman" w:hAnsi="Times New Roman"/>
                <w:noProof/>
                <w:sz w:val="20"/>
                <w:szCs w:val="20"/>
                <w:lang w:val="pl-PL"/>
              </w:rPr>
            </w:pPr>
            <w:r>
              <w:rPr>
                <w:rFonts w:ascii="Times New Roman" w:hAnsi="Times New Roman"/>
                <w:noProof/>
                <w:sz w:val="20"/>
                <w:lang w:val="pl-PL"/>
              </w:rPr>
              <w:t>Bardziej zdecydowane działania, dzięki którym państwa trzecie wypełnią swoje zobowiązania w zakresie przyję</w:t>
            </w:r>
            <w:r>
              <w:rPr>
                <w:rFonts w:ascii="Times New Roman" w:hAnsi="Times New Roman"/>
                <w:noProof/>
                <w:sz w:val="20"/>
                <w:lang w:val="pl-PL"/>
              </w:rPr>
              <w:t>cia z powrotem swoich obywateli.</w:t>
            </w:r>
          </w:p>
          <w:p w:rsidR="00196AF6" w:rsidRDefault="007E0AAA">
            <w:pPr>
              <w:pStyle w:val="ListParagraph"/>
              <w:numPr>
                <w:ilvl w:val="0"/>
                <w:numId w:val="2"/>
              </w:numPr>
              <w:spacing w:after="0" w:line="240" w:lineRule="auto"/>
              <w:jc w:val="both"/>
              <w:rPr>
                <w:rFonts w:ascii="Times New Roman" w:hAnsi="Times New Roman"/>
                <w:noProof/>
                <w:sz w:val="20"/>
                <w:szCs w:val="20"/>
                <w:lang w:val="pl-PL"/>
              </w:rPr>
            </w:pPr>
            <w:r>
              <w:rPr>
                <w:rFonts w:ascii="Times New Roman" w:hAnsi="Times New Roman"/>
                <w:noProof/>
                <w:sz w:val="20"/>
                <w:lang w:val="pl-PL"/>
              </w:rPr>
              <w:t>Opracowanie „Podręcznika powrotów” i monitorowanie wdrażania dyrektywy w sprawie powrotów.</w:t>
            </w:r>
          </w:p>
          <w:p w:rsidR="00196AF6" w:rsidRDefault="007E0AAA">
            <w:pPr>
              <w:pStyle w:val="ListParagraph"/>
              <w:numPr>
                <w:ilvl w:val="0"/>
                <w:numId w:val="2"/>
              </w:numPr>
              <w:spacing w:after="0" w:line="240" w:lineRule="auto"/>
              <w:jc w:val="both"/>
              <w:rPr>
                <w:rFonts w:ascii="Times New Roman" w:hAnsi="Times New Roman"/>
                <w:noProof/>
                <w:sz w:val="20"/>
                <w:szCs w:val="20"/>
                <w:lang w:val="pl-PL"/>
              </w:rPr>
            </w:pPr>
            <w:r>
              <w:rPr>
                <w:rFonts w:ascii="Times New Roman" w:hAnsi="Times New Roman"/>
                <w:noProof/>
                <w:sz w:val="20"/>
                <w:lang w:val="pl-PL"/>
              </w:rPr>
              <w:t>Wzmocnienie i zmiana podstawy prawnej Fronteksu w celu zwiększenia jego roli w zakresie powrotów.</w:t>
            </w:r>
          </w:p>
        </w:tc>
      </w:tr>
    </w:tbl>
    <w:p w:rsidR="00196AF6" w:rsidRDefault="00196AF6">
      <w:pPr>
        <w:pStyle w:val="BodyText"/>
        <w:spacing w:before="120" w:after="0" w:line="240" w:lineRule="auto"/>
        <w:jc w:val="both"/>
        <w:rPr>
          <w:rFonts w:ascii="Times New Roman" w:hAnsi="Times New Roman"/>
          <w:bCs/>
          <w:noProof/>
          <w:sz w:val="20"/>
          <w:szCs w:val="20"/>
          <w:lang w:val="pl-PL"/>
        </w:rPr>
      </w:pPr>
    </w:p>
    <w:p w:rsidR="00196AF6" w:rsidRDefault="007E0AAA">
      <w:pPr>
        <w:spacing w:line="240" w:lineRule="auto"/>
        <w:rPr>
          <w:rFonts w:ascii="Times New Roman" w:hAnsi="Times New Roman"/>
          <w:b/>
          <w:noProof/>
          <w:sz w:val="28"/>
          <w:szCs w:val="28"/>
          <w:u w:val="single"/>
          <w:lang w:val="pl-PL"/>
        </w:rPr>
      </w:pPr>
      <w:r>
        <w:rPr>
          <w:rFonts w:ascii="Times New Roman" w:hAnsi="Times New Roman"/>
          <w:b/>
          <w:noProof/>
          <w:sz w:val="28"/>
          <w:lang w:val="pl-PL"/>
        </w:rPr>
        <w:t xml:space="preserve">III.2 </w:t>
      </w:r>
      <w:r>
        <w:rPr>
          <w:rFonts w:ascii="Times New Roman" w:hAnsi="Times New Roman"/>
          <w:noProof/>
          <w:lang w:val="pl-PL"/>
        </w:rPr>
        <w:tab/>
      </w:r>
      <w:r>
        <w:rPr>
          <w:rFonts w:ascii="Times New Roman" w:hAnsi="Times New Roman"/>
          <w:b/>
          <w:noProof/>
          <w:sz w:val="28"/>
          <w:lang w:val="pl-PL"/>
        </w:rPr>
        <w:t xml:space="preserve">Zarządzanie granicami – ratowanie życia i zabezpieczanie granic zewnętrznych </w:t>
      </w:r>
    </w:p>
    <w:p w:rsidR="00196AF6" w:rsidRDefault="007E0AAA">
      <w:pPr>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Opisane powyżej środki mające na celu rozwiązanie sytuacji w regionie Morza Śródziemnego zostały opracowane jako środki nadzwyczajne w odpowiedzi na konkretny kryzys. Złudne było</w:t>
      </w:r>
      <w:r>
        <w:rPr>
          <w:rFonts w:ascii="Times New Roman" w:hAnsi="Times New Roman"/>
          <w:noProof/>
          <w:sz w:val="24"/>
          <w:lang w:val="pl-PL"/>
        </w:rPr>
        <w:t xml:space="preserve">by myślenie, że jest to problem krótkoterminowy, który się nie powtórzy. Wzmocnienie Fronteksu oraz ustanowienie nowych form współpracy z państwami członkowskimi należy postrzegać jako poziom wsparcia i solidarności, który należy utrzymać. </w:t>
      </w:r>
    </w:p>
    <w:p w:rsidR="00196AF6" w:rsidRDefault="007E0AAA">
      <w:pPr>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Zasady zaangażo</w:t>
      </w:r>
      <w:r>
        <w:rPr>
          <w:rFonts w:ascii="Times New Roman" w:hAnsi="Times New Roman"/>
          <w:noProof/>
          <w:sz w:val="24"/>
          <w:lang w:val="pl-PL"/>
        </w:rPr>
        <w:t>wania uzgodnione w odniesieniu do operacji „</w:t>
      </w:r>
      <w:r>
        <w:rPr>
          <w:rFonts w:ascii="Times New Roman" w:hAnsi="Times New Roman"/>
          <w:b/>
          <w:noProof/>
          <w:sz w:val="24"/>
          <w:lang w:val="pl-PL"/>
        </w:rPr>
        <w:t>Tryton</w:t>
      </w:r>
      <w:r>
        <w:rPr>
          <w:rFonts w:ascii="Times New Roman" w:hAnsi="Times New Roman"/>
          <w:noProof/>
          <w:sz w:val="24"/>
          <w:lang w:val="pl-PL"/>
        </w:rPr>
        <w:t>” powinny być wzorem dla przyszłych działań na całej zewnętrznej granicy lądowej i morskiej. Każdy kryzys jest inny, ale UE musi wyciągać wnioski i przygotować się do działania przed wystąpieniem kryzysu, a</w:t>
      </w:r>
      <w:r>
        <w:rPr>
          <w:rFonts w:ascii="Times New Roman" w:hAnsi="Times New Roman"/>
          <w:noProof/>
          <w:sz w:val="24"/>
          <w:lang w:val="pl-PL"/>
        </w:rPr>
        <w:t xml:space="preserve"> nie tylko w reakcji na niego. </w:t>
      </w:r>
    </w:p>
    <w:p w:rsidR="00196AF6" w:rsidRDefault="007E0AAA">
      <w:pPr>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Straż przybrzeżna odgrywa kluczową rolę zarówno w zakresie ratowania życia, jak i zabezpieczenia granic morskich. Ściślejsza współpraca zwiększyłaby jej skuteczność.. Komisja wraz z odpowiednimi agencjami będzie wspierać tak</w:t>
      </w:r>
      <w:r>
        <w:rPr>
          <w:rFonts w:ascii="Times New Roman" w:hAnsi="Times New Roman"/>
          <w:noProof/>
          <w:sz w:val="24"/>
          <w:lang w:val="pl-PL"/>
        </w:rPr>
        <w:t xml:space="preserve">ą współpracę oraz, w stosownych przypadkach, dalszą wspólną realizację niektórych zadań straży przybrzeżnej na szczeblu UE. </w:t>
      </w:r>
    </w:p>
    <w:p w:rsidR="00196AF6" w:rsidRDefault="007E0AAA">
      <w:pPr>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 xml:space="preserve">Określenie </w:t>
      </w:r>
      <w:r>
        <w:rPr>
          <w:rFonts w:ascii="Times New Roman" w:hAnsi="Times New Roman"/>
          <w:b/>
          <w:noProof/>
          <w:sz w:val="24"/>
          <w:lang w:val="pl-PL"/>
        </w:rPr>
        <w:t>tendencji związanych z ryzykiem</w:t>
      </w:r>
      <w:r>
        <w:rPr>
          <w:rFonts w:ascii="Times New Roman" w:hAnsi="Times New Roman"/>
          <w:noProof/>
          <w:sz w:val="24"/>
          <w:lang w:val="pl-PL"/>
        </w:rPr>
        <w:t xml:space="preserve"> jest coraz bardziej niezbędne dla skutecznej gotowości operacyjnej.</w:t>
      </w:r>
      <w:r>
        <w:rPr>
          <w:rFonts w:ascii="Times New Roman" w:hAnsi="Times New Roman"/>
          <w:b/>
          <w:noProof/>
          <w:sz w:val="24"/>
          <w:lang w:val="pl-PL"/>
        </w:rPr>
        <w:t xml:space="preserve"> </w:t>
      </w:r>
      <w:r>
        <w:rPr>
          <w:rFonts w:ascii="Times New Roman" w:hAnsi="Times New Roman"/>
          <w:noProof/>
          <w:sz w:val="24"/>
          <w:lang w:val="pl-PL"/>
        </w:rPr>
        <w:t>Wprowadzenie Eurosur</w:t>
      </w:r>
      <w:r>
        <w:rPr>
          <w:rFonts w:ascii="Times New Roman" w:hAnsi="Times New Roman"/>
          <w:noProof/>
          <w:sz w:val="24"/>
          <w:vertAlign w:val="superscript"/>
        </w:rPr>
        <w:footnoteReference w:id="26"/>
      </w:r>
      <w:r>
        <w:rPr>
          <w:rFonts w:ascii="Times New Roman" w:hAnsi="Times New Roman"/>
          <w:noProof/>
          <w:sz w:val="24"/>
          <w:lang w:val="pl-PL"/>
        </w:rPr>
        <w:t xml:space="preserve"> stanowi dobry wzór, na którym można się oprzeć; powinien on być w pełni wykorzystywany przez wszystkie władze cywilne i wojskowe odpowiedzialne za nadzór granic morskich. Odpowiednie agencje powinny uzyskać lepszy obraz sytuacji, co pozwoli na lepsze prz</w:t>
      </w:r>
      <w:r>
        <w:rPr>
          <w:rFonts w:ascii="Times New Roman" w:hAnsi="Times New Roman"/>
          <w:noProof/>
          <w:sz w:val="24"/>
          <w:lang w:val="pl-PL"/>
        </w:rPr>
        <w:t>ygotowanie i reagowanie na poziomie krajowym i europejskim</w:t>
      </w:r>
      <w:r>
        <w:rPr>
          <w:rStyle w:val="FootnoteReference"/>
          <w:rFonts w:ascii="Times New Roman" w:hAnsi="Times New Roman"/>
          <w:noProof/>
          <w:sz w:val="24"/>
        </w:rPr>
        <w:footnoteReference w:id="27"/>
      </w:r>
      <w:r>
        <w:rPr>
          <w:rFonts w:ascii="Times New Roman" w:hAnsi="Times New Roman"/>
          <w:noProof/>
          <w:sz w:val="24"/>
          <w:lang w:val="pl-PL"/>
        </w:rPr>
        <w:t xml:space="preserve">. </w:t>
      </w:r>
    </w:p>
    <w:p w:rsidR="00196AF6" w:rsidRDefault="007E0AAA">
      <w:pPr>
        <w:spacing w:before="120" w:after="120" w:line="240" w:lineRule="auto"/>
        <w:jc w:val="both"/>
        <w:rPr>
          <w:rFonts w:ascii="Times New Roman" w:hAnsi="Times New Roman"/>
          <w:noProof/>
          <w:sz w:val="24"/>
          <w:szCs w:val="24"/>
          <w:lang w:val="pl-PL"/>
        </w:rPr>
      </w:pPr>
      <w:r>
        <w:rPr>
          <w:rFonts w:ascii="Times New Roman" w:hAnsi="Times New Roman"/>
          <w:noProof/>
          <w:sz w:val="24"/>
          <w:lang w:val="pl-PL"/>
        </w:rPr>
        <w:t>UE od dawna prowadzi politykę pomocy państwom członkowskim w tworzeniu solidnych i spójnych granic zewnętrznych. Fundusz Bezpieczeństwa Wewnętrznego oferuje już państwom członkowskim ponad 2,7 m</w:t>
      </w:r>
      <w:r>
        <w:rPr>
          <w:rFonts w:ascii="Times New Roman" w:hAnsi="Times New Roman"/>
          <w:noProof/>
          <w:sz w:val="24"/>
          <w:lang w:val="pl-PL"/>
        </w:rPr>
        <w:t xml:space="preserve">ld EUR na lata 2014-2020. Chociaż istnieją przepisy dotyczące kontroli granicznej, zarządzanie granicami jest zróżnicowane i opiera się na zbiorze dokumentów i instrumentów sektorowych. W 2016 r. Komisja skonsoliduje je w </w:t>
      </w:r>
      <w:r>
        <w:rPr>
          <w:rFonts w:ascii="Times New Roman" w:hAnsi="Times New Roman"/>
          <w:b/>
          <w:noProof/>
          <w:sz w:val="24"/>
          <w:lang w:val="pl-PL"/>
        </w:rPr>
        <w:t>unijną normę dotyczącą zarządzania</w:t>
      </w:r>
      <w:r>
        <w:rPr>
          <w:rFonts w:ascii="Times New Roman" w:hAnsi="Times New Roman"/>
          <w:b/>
          <w:noProof/>
          <w:sz w:val="24"/>
          <w:lang w:val="pl-PL"/>
        </w:rPr>
        <w:t xml:space="preserve"> granicami</w:t>
      </w:r>
      <w:r>
        <w:rPr>
          <w:rFonts w:ascii="Times New Roman" w:hAnsi="Times New Roman"/>
          <w:noProof/>
          <w:sz w:val="24"/>
          <w:lang w:val="pl-PL"/>
        </w:rPr>
        <w:t xml:space="preserve"> w celu uwzględnienia wszystkich aspektów zarządzania granicami zewnętrznymi Unii. </w:t>
      </w:r>
    </w:p>
    <w:p w:rsidR="00196AF6" w:rsidRDefault="007E0AAA">
      <w:pPr>
        <w:spacing w:before="120" w:after="120" w:line="240" w:lineRule="auto"/>
        <w:jc w:val="both"/>
        <w:rPr>
          <w:rFonts w:ascii="Times New Roman" w:hAnsi="Times New Roman"/>
          <w:noProof/>
          <w:sz w:val="24"/>
          <w:lang w:val="pl-PL"/>
        </w:rPr>
      </w:pPr>
      <w:r>
        <w:rPr>
          <w:rFonts w:ascii="Times New Roman" w:hAnsi="Times New Roman"/>
          <w:noProof/>
          <w:sz w:val="24"/>
          <w:lang w:val="pl-PL"/>
        </w:rPr>
        <w:t xml:space="preserve">Skuteczniejsze zarządzanie naszymi granicami wymaga również lepszego wykorzystania możliwości stwarzanych przez systemy i technologie informatyczne. UE dysponuje </w:t>
      </w:r>
      <w:r>
        <w:rPr>
          <w:rFonts w:ascii="Times New Roman" w:hAnsi="Times New Roman"/>
          <w:noProof/>
          <w:sz w:val="24"/>
          <w:lang w:val="pl-PL"/>
        </w:rPr>
        <w:t>obecnie trzema wielkoskalowymi systemami informatycznymi do celów zarządzania wnioskami o udzielenie azylu (Eurodac), zarządzania wnioskami wizowymi (wizowy system informacyjny) oraz wymiany informacji na temat osób lub przedmiotów, w odniesieniu do któryc</w:t>
      </w:r>
      <w:r>
        <w:rPr>
          <w:rFonts w:ascii="Times New Roman" w:hAnsi="Times New Roman"/>
          <w:noProof/>
          <w:sz w:val="24"/>
          <w:lang w:val="pl-PL"/>
        </w:rPr>
        <w:t>h właściwe organy dokonały wpisu w Systemie Informacyjnym Schengen. Pełne wykorzystanie tych systemów może przynieść korzyści dla zarządzania granicami, a także zwiększyć zdolność Europy do ograniczania nielegalnej migracji i zapewnienia powrotów nielegaln</w:t>
      </w:r>
      <w:r>
        <w:rPr>
          <w:rFonts w:ascii="Times New Roman" w:hAnsi="Times New Roman"/>
          <w:noProof/>
          <w:sz w:val="24"/>
          <w:lang w:val="pl-PL"/>
        </w:rPr>
        <w:t>ych migrantów. Nowy etap byłby związany z inicjatywą „</w:t>
      </w:r>
      <w:r>
        <w:rPr>
          <w:rFonts w:ascii="Times New Roman" w:hAnsi="Times New Roman"/>
          <w:b/>
          <w:noProof/>
          <w:sz w:val="24"/>
          <w:lang w:val="pl-PL"/>
        </w:rPr>
        <w:t>inteligentnych granic</w:t>
      </w:r>
      <w:r>
        <w:rPr>
          <w:rFonts w:ascii="Times New Roman" w:hAnsi="Times New Roman"/>
          <w:noProof/>
          <w:sz w:val="24"/>
          <w:lang w:val="pl-PL"/>
        </w:rPr>
        <w:t>”, której celem jest zwiększenie skuteczności przejść granicznych, co ułatwiłoby przekraczanie granic większości osób z państw trzecich podróżujących w dobrej wierze, a jednocześnie</w:t>
      </w:r>
      <w:r>
        <w:rPr>
          <w:rFonts w:ascii="Times New Roman" w:hAnsi="Times New Roman"/>
          <w:noProof/>
          <w:sz w:val="24"/>
          <w:lang w:val="pl-PL"/>
        </w:rPr>
        <w:t xml:space="preserve"> wzmocnienie walki z nielegalną migracją poprzez utworzenie rejestru wszystkich przypadków przekroczenia granicy przez obywateli państw trzecich, z pełnym poszanowaniem proporcjonalności. Po wstępnych dyskusjach na temat pierwszego wniosku oraz w celu uwzg</w:t>
      </w:r>
      <w:r>
        <w:rPr>
          <w:rFonts w:ascii="Times New Roman" w:hAnsi="Times New Roman"/>
          <w:noProof/>
          <w:sz w:val="24"/>
          <w:lang w:val="pl-PL"/>
        </w:rPr>
        <w:t>lędnienia obaw wyrażonych przez współustawodawców, Komisja zamierza przedstawić zmieniony wniosek dotyczący inteligentnych granic najpóźniej na początku 2016 r.</w:t>
      </w:r>
      <w:r>
        <w:rPr>
          <w:rStyle w:val="FootnoteReference"/>
          <w:rFonts w:ascii="Times New Roman" w:hAnsi="Times New Roman"/>
          <w:noProof/>
          <w:sz w:val="24"/>
        </w:rPr>
        <w:footnoteReference w:id="28"/>
      </w:r>
      <w:r>
        <w:rPr>
          <w:rFonts w:ascii="Times New Roman" w:hAnsi="Times New Roman"/>
          <w:noProof/>
          <w:sz w:val="24"/>
          <w:lang w:val="pl-PL"/>
        </w:rPr>
        <w:t xml:space="preserve">. </w:t>
      </w:r>
    </w:p>
    <w:p w:rsidR="00196AF6" w:rsidRDefault="007E0AAA">
      <w:pPr>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Opracowanie rygorystycznych norm obowiązujących na terytorium UE ułatwi również Europie wspi</w:t>
      </w:r>
      <w:r>
        <w:rPr>
          <w:rFonts w:ascii="Times New Roman" w:hAnsi="Times New Roman"/>
          <w:noProof/>
          <w:sz w:val="24"/>
          <w:lang w:val="pl-PL"/>
        </w:rPr>
        <w:t>eranie państw trzecich opracowujących własne rozwiązania w zakresie lepszej kontroli granic.</w:t>
      </w:r>
      <w:r>
        <w:rPr>
          <w:rFonts w:ascii="Times New Roman" w:hAnsi="Times New Roman"/>
          <w:b/>
          <w:noProof/>
          <w:sz w:val="24"/>
          <w:lang w:val="pl-PL"/>
        </w:rPr>
        <w:t xml:space="preserve"> </w:t>
      </w:r>
      <w:r>
        <w:rPr>
          <w:rFonts w:ascii="Times New Roman" w:hAnsi="Times New Roman"/>
          <w:noProof/>
          <w:sz w:val="24"/>
          <w:lang w:val="pl-PL"/>
        </w:rPr>
        <w:t xml:space="preserve">Inicjatywy w najważniejszych państwach afrykańskich i sąsiadujących mogłyby być wspierane przez Frontex oraz przez fundusze UE i powiązane inicjatywy w kontekście </w:t>
      </w:r>
      <w:r>
        <w:rPr>
          <w:rFonts w:ascii="Times New Roman" w:hAnsi="Times New Roman"/>
          <w:noProof/>
          <w:sz w:val="24"/>
          <w:lang w:val="pl-PL"/>
        </w:rPr>
        <w:t xml:space="preserve">unijnej polityki sąsiedztwa i rozwoju. Celem powinny być bardziej bezpieczne granice, ale również </w:t>
      </w:r>
      <w:r>
        <w:rPr>
          <w:rFonts w:ascii="Times New Roman" w:hAnsi="Times New Roman"/>
          <w:b/>
          <w:noProof/>
          <w:sz w:val="24"/>
          <w:lang w:val="pl-PL"/>
        </w:rPr>
        <w:t>zwiększanie potencjału krajów Afryki Północnej</w:t>
      </w:r>
      <w:r>
        <w:rPr>
          <w:rFonts w:ascii="Times New Roman" w:hAnsi="Times New Roman"/>
          <w:noProof/>
          <w:sz w:val="24"/>
          <w:lang w:val="pl-PL"/>
        </w:rPr>
        <w:t xml:space="preserve"> w zakresie interwencji i ratowania życia migrantów będących w niebezpieczeństwie. </w:t>
      </w:r>
    </w:p>
    <w:p w:rsidR="00196AF6" w:rsidRDefault="00196AF6">
      <w:pPr>
        <w:spacing w:before="120" w:after="0" w:line="240" w:lineRule="auto"/>
        <w:jc w:val="both"/>
        <w:rPr>
          <w:rFonts w:ascii="Times New Roman" w:hAnsi="Times New Roman"/>
          <w:noProof/>
          <w:sz w:val="24"/>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96AF6">
        <w:trPr>
          <w:trHeight w:val="1364"/>
        </w:trPr>
        <w:tc>
          <w:tcPr>
            <w:tcW w:w="1668" w:type="dxa"/>
            <w:tcBorders>
              <w:top w:val="single" w:sz="4" w:space="0" w:color="auto"/>
              <w:left w:val="single" w:sz="4" w:space="0" w:color="auto"/>
              <w:bottom w:val="single" w:sz="4" w:space="0" w:color="auto"/>
              <w:right w:val="single" w:sz="4" w:space="0" w:color="auto"/>
            </w:tcBorders>
            <w:shd w:val="clear" w:color="auto" w:fill="D9D9D9"/>
            <w:vAlign w:val="center"/>
          </w:tcPr>
          <w:p w:rsidR="00196AF6" w:rsidRDefault="007E0AAA">
            <w:pPr>
              <w:jc w:val="center"/>
              <w:rPr>
                <w:rFonts w:ascii="Times New Roman" w:hAnsi="Times New Roman"/>
                <w:b/>
                <w:i/>
                <w:noProof/>
                <w:sz w:val="20"/>
                <w:szCs w:val="20"/>
              </w:rPr>
            </w:pPr>
            <w:r>
              <w:rPr>
                <w:rFonts w:ascii="Times New Roman" w:hAnsi="Times New Roman"/>
                <w:b/>
                <w:i/>
                <w:noProof/>
                <w:sz w:val="20"/>
              </w:rPr>
              <w:t>Kluczowe działania</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196AF6" w:rsidRDefault="007E0AAA">
            <w:pPr>
              <w:pStyle w:val="ListParagraph"/>
              <w:numPr>
                <w:ilvl w:val="0"/>
                <w:numId w:val="2"/>
              </w:numPr>
              <w:spacing w:after="0" w:line="240" w:lineRule="auto"/>
              <w:jc w:val="both"/>
              <w:rPr>
                <w:rFonts w:ascii="Times New Roman" w:hAnsi="Times New Roman"/>
                <w:noProof/>
                <w:sz w:val="20"/>
                <w:szCs w:val="20"/>
                <w:lang w:val="pl-PL"/>
              </w:rPr>
            </w:pPr>
            <w:r>
              <w:rPr>
                <w:rFonts w:ascii="Times New Roman" w:hAnsi="Times New Roman"/>
                <w:noProof/>
                <w:sz w:val="20"/>
                <w:lang w:val="pl-PL"/>
              </w:rPr>
              <w:t>Wzmocnienie roli i zdolności Fronteksu.</w:t>
            </w:r>
          </w:p>
          <w:p w:rsidR="00196AF6" w:rsidRDefault="007E0AAA">
            <w:pPr>
              <w:pStyle w:val="ListParagraph"/>
              <w:numPr>
                <w:ilvl w:val="0"/>
                <w:numId w:val="2"/>
              </w:numPr>
              <w:spacing w:after="0" w:line="240" w:lineRule="auto"/>
              <w:jc w:val="both"/>
              <w:rPr>
                <w:rFonts w:ascii="Times New Roman" w:hAnsi="Times New Roman"/>
                <w:noProof/>
                <w:sz w:val="20"/>
                <w:szCs w:val="20"/>
                <w:lang w:val="pl-PL"/>
              </w:rPr>
            </w:pPr>
            <w:r>
              <w:rPr>
                <w:rFonts w:ascii="Times New Roman" w:hAnsi="Times New Roman"/>
                <w:noProof/>
                <w:sz w:val="20"/>
                <w:lang w:val="pl-PL"/>
              </w:rPr>
              <w:t>Norma unijna w zakresie zarządzania granicami.</w:t>
            </w:r>
          </w:p>
          <w:p w:rsidR="00196AF6" w:rsidRDefault="007E0AAA">
            <w:pPr>
              <w:pStyle w:val="ListParagraph"/>
              <w:numPr>
                <w:ilvl w:val="0"/>
                <w:numId w:val="2"/>
              </w:numPr>
              <w:spacing w:after="0" w:line="240" w:lineRule="auto"/>
              <w:jc w:val="both"/>
              <w:rPr>
                <w:rFonts w:ascii="Times New Roman" w:hAnsi="Times New Roman"/>
                <w:noProof/>
                <w:sz w:val="20"/>
                <w:szCs w:val="20"/>
                <w:lang w:val="pl-PL"/>
              </w:rPr>
            </w:pPr>
            <w:r>
              <w:rPr>
                <w:rFonts w:ascii="Times New Roman" w:hAnsi="Times New Roman"/>
                <w:noProof/>
                <w:sz w:val="20"/>
                <w:lang w:val="pl-PL"/>
              </w:rPr>
              <w:t>Wzmocnienie koordynacji UE w odniesieniu do zadań straży przybrzeżnej.</w:t>
            </w:r>
          </w:p>
          <w:p w:rsidR="00196AF6" w:rsidRDefault="007E0AAA">
            <w:pPr>
              <w:pStyle w:val="ListParagraph"/>
              <w:numPr>
                <w:ilvl w:val="0"/>
                <w:numId w:val="2"/>
              </w:numPr>
              <w:spacing w:after="0" w:line="240" w:lineRule="auto"/>
              <w:jc w:val="both"/>
              <w:rPr>
                <w:rFonts w:ascii="Times New Roman" w:hAnsi="Times New Roman"/>
                <w:noProof/>
                <w:sz w:val="20"/>
                <w:szCs w:val="20"/>
                <w:lang w:val="pl-PL"/>
              </w:rPr>
            </w:pPr>
            <w:r>
              <w:rPr>
                <w:rFonts w:ascii="Times New Roman" w:hAnsi="Times New Roman"/>
                <w:noProof/>
                <w:sz w:val="20"/>
                <w:lang w:val="pl-PL"/>
              </w:rPr>
              <w:t>Zmieniony wniosek w sprawie inteligentnych granic.</w:t>
            </w:r>
          </w:p>
          <w:p w:rsidR="00196AF6" w:rsidRDefault="007E0AAA">
            <w:pPr>
              <w:pStyle w:val="ListParagraph"/>
              <w:numPr>
                <w:ilvl w:val="0"/>
                <w:numId w:val="2"/>
              </w:numPr>
              <w:spacing w:after="0" w:line="240" w:lineRule="auto"/>
              <w:jc w:val="both"/>
              <w:rPr>
                <w:rFonts w:ascii="Times New Roman" w:hAnsi="Times New Roman"/>
                <w:noProof/>
                <w:sz w:val="20"/>
                <w:szCs w:val="20"/>
                <w:lang w:val="pl-PL"/>
              </w:rPr>
            </w:pPr>
            <w:r>
              <w:rPr>
                <w:rFonts w:ascii="Times New Roman" w:hAnsi="Times New Roman"/>
                <w:noProof/>
                <w:sz w:val="20"/>
                <w:lang w:val="pl-PL"/>
              </w:rPr>
              <w:t>Wzmocnienie zdolności państw trzecich do zarząd</w:t>
            </w:r>
            <w:r>
              <w:rPr>
                <w:rFonts w:ascii="Times New Roman" w:hAnsi="Times New Roman"/>
                <w:noProof/>
                <w:sz w:val="20"/>
                <w:lang w:val="pl-PL"/>
              </w:rPr>
              <w:t>zania własnymi granicami.</w:t>
            </w:r>
          </w:p>
        </w:tc>
      </w:tr>
    </w:tbl>
    <w:p w:rsidR="00196AF6" w:rsidRDefault="00196AF6">
      <w:pPr>
        <w:autoSpaceDE w:val="0"/>
        <w:autoSpaceDN w:val="0"/>
        <w:adjustRightInd w:val="0"/>
        <w:spacing w:after="120" w:line="240" w:lineRule="auto"/>
        <w:jc w:val="both"/>
        <w:rPr>
          <w:rFonts w:ascii="Times New Roman" w:hAnsi="Times New Roman"/>
          <w:b/>
          <w:noProof/>
          <w:sz w:val="20"/>
          <w:szCs w:val="20"/>
          <w:lang w:val="pl-PL"/>
        </w:rPr>
      </w:pPr>
    </w:p>
    <w:p w:rsidR="00196AF6" w:rsidRDefault="007E0AAA">
      <w:pPr>
        <w:autoSpaceDE w:val="0"/>
        <w:autoSpaceDN w:val="0"/>
        <w:adjustRightInd w:val="0"/>
        <w:spacing w:after="120" w:line="240" w:lineRule="auto"/>
        <w:jc w:val="both"/>
        <w:rPr>
          <w:rFonts w:ascii="Times New Roman" w:hAnsi="Times New Roman"/>
          <w:b/>
          <w:noProof/>
          <w:sz w:val="28"/>
          <w:szCs w:val="28"/>
          <w:lang w:val="pl-PL"/>
        </w:rPr>
      </w:pPr>
      <w:r>
        <w:rPr>
          <w:rFonts w:ascii="Times New Roman" w:hAnsi="Times New Roman"/>
          <w:b/>
          <w:noProof/>
          <w:sz w:val="28"/>
          <w:lang w:val="pl-PL"/>
        </w:rPr>
        <w:t>III.3.</w:t>
      </w:r>
      <w:r>
        <w:rPr>
          <w:rFonts w:ascii="Times New Roman" w:hAnsi="Times New Roman"/>
          <w:noProof/>
          <w:lang w:val="pl-PL"/>
        </w:rPr>
        <w:tab/>
      </w:r>
      <w:r>
        <w:rPr>
          <w:rFonts w:ascii="Times New Roman" w:hAnsi="Times New Roman"/>
          <w:b/>
          <w:noProof/>
          <w:sz w:val="28"/>
          <w:lang w:val="pl-PL"/>
        </w:rPr>
        <w:t xml:space="preserve"> Obowiązek Europy w zakresie ochrony: zdecydowana wspólna polityka azylowa</w:t>
      </w:r>
    </w:p>
    <w:p w:rsidR="00196AF6" w:rsidRDefault="007E0AAA">
      <w:pPr>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 xml:space="preserve">UE potrzebuje jasnego systemu przyjmowania osób ubiegających się o azyl. W 2014 r. o udzielenie azylu w UE ubiegała się rekordowa liczba 600 000 </w:t>
      </w:r>
      <w:r>
        <w:rPr>
          <w:rFonts w:ascii="Times New Roman" w:hAnsi="Times New Roman"/>
          <w:noProof/>
          <w:sz w:val="24"/>
          <w:lang w:val="pl-PL"/>
        </w:rPr>
        <w:t>osób. Wszystkie wnioski o udzielenie azylu muszą zostać rozpatrzone, a osobom uprawnionym musi zostać przyznana ochrona. Jednym z niedociągnięć obecnej polityki jest brak wzajemnego zaufania między państwami członkowskimi, szczególnie ze względu na utrzymu</w:t>
      </w:r>
      <w:r>
        <w:rPr>
          <w:rFonts w:ascii="Times New Roman" w:hAnsi="Times New Roman"/>
          <w:noProof/>
          <w:sz w:val="24"/>
          <w:lang w:val="pl-PL"/>
        </w:rPr>
        <w:t>jące się rozdrobnienie systemu azylowego. Ma to bezpośredni wpływ na sytuację osób ubiegających się o azyl, które uprawiają „turystykę azylową”, ale również na opinię publiczną w UE, skłaniając do myślenia, że obecny system jest zasadniczo niesprawiedliwy.</w:t>
      </w:r>
      <w:r>
        <w:rPr>
          <w:rFonts w:ascii="Times New Roman" w:hAnsi="Times New Roman"/>
          <w:noProof/>
          <w:sz w:val="24"/>
          <w:lang w:val="pl-PL"/>
        </w:rPr>
        <w:t xml:space="preserve"> UE dysponuje jednak wspólnymi zasadami, które powinny stanowić podstawę wzajemnego zaufania; dalszy rozwój tych przepisów pozwoli nam uzdrowić podstawy.</w:t>
      </w:r>
    </w:p>
    <w:p w:rsidR="00196AF6" w:rsidRDefault="007E0AAA">
      <w:pPr>
        <w:spacing w:before="120" w:after="0" w:line="240" w:lineRule="auto"/>
        <w:jc w:val="both"/>
        <w:rPr>
          <w:rFonts w:ascii="Times New Roman" w:hAnsi="Times New Roman"/>
          <w:i/>
          <w:noProof/>
          <w:sz w:val="24"/>
          <w:szCs w:val="24"/>
          <w:lang w:val="pl-PL"/>
        </w:rPr>
      </w:pPr>
      <w:r>
        <w:rPr>
          <w:rFonts w:ascii="Times New Roman" w:hAnsi="Times New Roman"/>
          <w:i/>
          <w:noProof/>
          <w:sz w:val="24"/>
          <w:lang w:val="pl-PL"/>
        </w:rPr>
        <w:t>Spójne wdrożenie wspólnego europejskiego systemu azylowego</w:t>
      </w:r>
    </w:p>
    <w:p w:rsidR="00196AF6" w:rsidRDefault="007E0AAA">
      <w:pPr>
        <w:spacing w:before="120" w:after="120" w:line="240" w:lineRule="auto"/>
        <w:jc w:val="both"/>
        <w:rPr>
          <w:rFonts w:ascii="Times New Roman" w:hAnsi="Times New Roman"/>
          <w:noProof/>
          <w:sz w:val="24"/>
          <w:szCs w:val="24"/>
          <w:lang w:val="pl-PL"/>
        </w:rPr>
      </w:pPr>
      <w:r>
        <w:rPr>
          <w:rFonts w:ascii="Times New Roman" w:hAnsi="Times New Roman"/>
          <w:noProof/>
          <w:sz w:val="24"/>
          <w:lang w:val="pl-PL"/>
        </w:rPr>
        <w:t>Priorytetem jest zapewnienie pełnego i spój</w:t>
      </w:r>
      <w:r>
        <w:rPr>
          <w:rFonts w:ascii="Times New Roman" w:hAnsi="Times New Roman"/>
          <w:noProof/>
          <w:sz w:val="24"/>
          <w:lang w:val="pl-PL"/>
        </w:rPr>
        <w:t xml:space="preserve">nego wdrożenia wspólnego europejskiego systemu azylowego. Działania te będą wspierane przez </w:t>
      </w:r>
      <w:r>
        <w:rPr>
          <w:rFonts w:ascii="Times New Roman" w:hAnsi="Times New Roman"/>
          <w:b/>
          <w:noProof/>
          <w:sz w:val="24"/>
          <w:lang w:val="pl-PL"/>
        </w:rPr>
        <w:t>nowy systematyczny proces monitorowania</w:t>
      </w:r>
      <w:r>
        <w:rPr>
          <w:rFonts w:ascii="Times New Roman" w:hAnsi="Times New Roman"/>
          <w:noProof/>
          <w:sz w:val="24"/>
          <w:lang w:val="pl-PL"/>
        </w:rPr>
        <w:t xml:space="preserve"> pozwalający na ocenę wdrażania i stosowania przepisów w dziedzinie azylu i budowanie wzajemnego zaufania. Ponadto wspólnie z państwami członkowskimi oraz Europejskim Urzędem Wsparcia w dziedzinie Azylu (EASO), Komisja przedstawi dalsze wytyczne w celu pop</w:t>
      </w:r>
      <w:r>
        <w:rPr>
          <w:rFonts w:ascii="Times New Roman" w:hAnsi="Times New Roman"/>
          <w:noProof/>
          <w:sz w:val="24"/>
          <w:lang w:val="pl-PL"/>
        </w:rPr>
        <w:t xml:space="preserve">rawy </w:t>
      </w:r>
      <w:r>
        <w:rPr>
          <w:rFonts w:ascii="Times New Roman" w:hAnsi="Times New Roman"/>
          <w:b/>
          <w:noProof/>
          <w:sz w:val="24"/>
          <w:lang w:val="pl-PL"/>
        </w:rPr>
        <w:t>norm</w:t>
      </w:r>
      <w:r>
        <w:rPr>
          <w:rFonts w:ascii="Times New Roman" w:hAnsi="Times New Roman"/>
          <w:noProof/>
          <w:sz w:val="24"/>
          <w:lang w:val="pl-PL"/>
        </w:rPr>
        <w:t xml:space="preserve"> dotyczących warunków przyjmowania i procedur azylowych, aby zapewnić państwom członkowskim dobrze zdefiniowane i proste wskaźniki jakości oraz wzmocnić ochronę podstawowych praw osób ubiegających się o azyl, przy zwróceniu szczególnej uwagi na po</w:t>
      </w:r>
      <w:r>
        <w:rPr>
          <w:rFonts w:ascii="Times New Roman" w:hAnsi="Times New Roman"/>
          <w:noProof/>
          <w:sz w:val="24"/>
          <w:lang w:val="pl-PL"/>
        </w:rPr>
        <w:t>trzeby grup szczególnie wrażliwych, takich jak dzieci</w:t>
      </w:r>
      <w:r>
        <w:rPr>
          <w:rStyle w:val="FootnoteReference"/>
          <w:rFonts w:ascii="Times New Roman" w:hAnsi="Times New Roman"/>
          <w:noProof/>
          <w:sz w:val="24"/>
        </w:rPr>
        <w:footnoteReference w:id="29"/>
      </w:r>
      <w:r>
        <w:rPr>
          <w:rFonts w:ascii="Times New Roman" w:hAnsi="Times New Roman"/>
          <w:noProof/>
          <w:sz w:val="24"/>
          <w:lang w:val="pl-PL"/>
        </w:rPr>
        <w:t xml:space="preserve">. Priorytetem Komisji przy rozpatrywaniu </w:t>
      </w:r>
      <w:r>
        <w:rPr>
          <w:rFonts w:ascii="Times New Roman" w:hAnsi="Times New Roman"/>
          <w:b/>
          <w:noProof/>
          <w:sz w:val="24"/>
          <w:lang w:val="pl-PL"/>
        </w:rPr>
        <w:t>postępowań w sprawie uchybienia zobowiązaniom państwa członkowskiego</w:t>
      </w:r>
      <w:r>
        <w:rPr>
          <w:rFonts w:ascii="Times New Roman" w:hAnsi="Times New Roman"/>
          <w:noProof/>
          <w:sz w:val="24"/>
          <w:lang w:val="pl-PL"/>
        </w:rPr>
        <w:t xml:space="preserve"> będzie transpozycja i praktyczne wdrożenie ostatnio przyjętego prawodawstwa w dziedzinie azy</w:t>
      </w:r>
      <w:r>
        <w:rPr>
          <w:rFonts w:ascii="Times New Roman" w:hAnsi="Times New Roman"/>
          <w:noProof/>
          <w:sz w:val="24"/>
          <w:lang w:val="pl-PL"/>
        </w:rPr>
        <w:t>lu</w:t>
      </w:r>
      <w:r>
        <w:rPr>
          <w:rStyle w:val="FootnoteReference"/>
          <w:rFonts w:ascii="Times New Roman" w:hAnsi="Times New Roman"/>
          <w:noProof/>
          <w:sz w:val="24"/>
        </w:rPr>
        <w:footnoteReference w:id="30"/>
      </w:r>
      <w:r>
        <w:rPr>
          <w:rFonts w:ascii="Times New Roman" w:hAnsi="Times New Roman"/>
          <w:noProof/>
          <w:sz w:val="24"/>
          <w:lang w:val="pl-PL"/>
        </w:rPr>
        <w:t>.</w:t>
      </w:r>
    </w:p>
    <w:p w:rsidR="00196AF6" w:rsidRDefault="007E0AAA">
      <w:pPr>
        <w:autoSpaceDE w:val="0"/>
        <w:autoSpaceDN w:val="0"/>
        <w:adjustRightInd w:val="0"/>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 xml:space="preserve">Jednocześnie EASO wzmocni </w:t>
      </w:r>
      <w:r>
        <w:rPr>
          <w:rFonts w:ascii="Times New Roman" w:hAnsi="Times New Roman"/>
          <w:b/>
          <w:noProof/>
          <w:sz w:val="24"/>
          <w:lang w:val="pl-PL"/>
        </w:rPr>
        <w:t>praktyczną współpracę</w:t>
      </w:r>
      <w:r>
        <w:rPr>
          <w:rFonts w:ascii="Times New Roman" w:hAnsi="Times New Roman"/>
          <w:noProof/>
          <w:sz w:val="24"/>
          <w:lang w:val="pl-PL"/>
        </w:rPr>
        <w:t>, stając się platformą koordynacyjną krajowych systemów informacji o krajach pochodzenia – rzeczowych danych, na których opierają się decyzje azylowe. Przyczyni się to do zwiększenia spójności decyzji. In</w:t>
      </w:r>
      <w:r>
        <w:rPr>
          <w:rFonts w:ascii="Times New Roman" w:hAnsi="Times New Roman"/>
          <w:noProof/>
          <w:sz w:val="24"/>
          <w:lang w:val="pl-PL"/>
        </w:rPr>
        <w:t>ne podstawowe środki to szkolenia</w:t>
      </w:r>
      <w:r>
        <w:rPr>
          <w:rStyle w:val="FootnoteReference"/>
          <w:rFonts w:ascii="Times New Roman" w:hAnsi="Times New Roman"/>
          <w:noProof/>
          <w:sz w:val="24"/>
        </w:rPr>
        <w:footnoteReference w:id="31"/>
      </w:r>
      <w:r>
        <w:rPr>
          <w:rFonts w:ascii="Times New Roman" w:hAnsi="Times New Roman"/>
          <w:noProof/>
          <w:sz w:val="24"/>
          <w:lang w:val="pl-PL"/>
        </w:rPr>
        <w:t xml:space="preserve"> oraz nowa specjalna sieć organów ds. przyjmowania, która może stworzyć podstawy mobilizowania większej liczby ośrodków przyjęć w nagłych przypadkach. </w:t>
      </w:r>
    </w:p>
    <w:p w:rsidR="00196AF6" w:rsidRDefault="007E0AAA">
      <w:pPr>
        <w:autoSpaceDE w:val="0"/>
        <w:autoSpaceDN w:val="0"/>
        <w:adjustRightInd w:val="0"/>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 xml:space="preserve">Wzmocnienie wspólnego europejskiego systemu azylowego oznacza również </w:t>
      </w:r>
      <w:r>
        <w:rPr>
          <w:rFonts w:ascii="Times New Roman" w:hAnsi="Times New Roman"/>
          <w:noProof/>
          <w:sz w:val="24"/>
          <w:lang w:val="pl-PL"/>
        </w:rPr>
        <w:t xml:space="preserve">bardziej skuteczne podejście do </w:t>
      </w:r>
      <w:r>
        <w:rPr>
          <w:rFonts w:ascii="Times New Roman" w:hAnsi="Times New Roman"/>
          <w:b/>
          <w:noProof/>
          <w:sz w:val="24"/>
          <w:lang w:val="pl-PL"/>
        </w:rPr>
        <w:t>nadużyć</w:t>
      </w:r>
      <w:r>
        <w:rPr>
          <w:rFonts w:ascii="Times New Roman" w:hAnsi="Times New Roman"/>
          <w:noProof/>
          <w:sz w:val="24"/>
          <w:lang w:val="pl-PL"/>
        </w:rPr>
        <w:t>. Zbyt wiele wniosków jest bezpodstawnych: w 2014 r. w odniesieniu do 55 proc. wniosków o udzielenie azylu przyjęto decyzję negatywną, a w przypadku niektórych narodowości odrzucono prawie wszystkie wnioski; taka sytu</w:t>
      </w:r>
      <w:r>
        <w:rPr>
          <w:rFonts w:ascii="Times New Roman" w:hAnsi="Times New Roman"/>
          <w:noProof/>
          <w:sz w:val="24"/>
          <w:lang w:val="pl-PL"/>
        </w:rPr>
        <w:t>acja ogranicza zdolność państw członkowskich do szybkiego zapewnienia ochrony osobom potrzebującym. Ustawodawstwo zawiera szczegółowe przepisy w zakresie zwalczania nadużyć, na przykład poprzez umożliwienie szybkiego rozpatrywania bezzasadnych wniosków azy</w:t>
      </w:r>
      <w:r>
        <w:rPr>
          <w:rFonts w:ascii="Times New Roman" w:hAnsi="Times New Roman"/>
          <w:noProof/>
          <w:sz w:val="24"/>
          <w:lang w:val="pl-PL"/>
        </w:rPr>
        <w:t xml:space="preserve">lowych. Aby przyśpieszyć osiągnięcie tego celu, Komisja będzie współpracować z EASO i państwami członkowskimi, dążąc do opracowania wytycznych pozwalających na zwiększenie tych możliwości. </w:t>
      </w:r>
    </w:p>
    <w:p w:rsidR="00196AF6" w:rsidRDefault="007E0AAA">
      <w:pPr>
        <w:autoSpaceDE w:val="0"/>
        <w:autoSpaceDN w:val="0"/>
        <w:adjustRightInd w:val="0"/>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Inny problem związany jest z wnioskami o udzielenie azylu obywatel</w:t>
      </w:r>
      <w:r>
        <w:rPr>
          <w:rFonts w:ascii="Times New Roman" w:hAnsi="Times New Roman"/>
          <w:noProof/>
          <w:sz w:val="24"/>
          <w:lang w:val="pl-PL"/>
        </w:rPr>
        <w:t>i państw trzecich, którzy nie muszą posiadać wizy na wjazd na terytorium UE. Przypadki te mogą częściowo zostać rozwiązane w ramach mechanizmu monitorowania sytuacji po liberalizacji reżimu wizowego</w:t>
      </w:r>
      <w:r>
        <w:rPr>
          <w:rStyle w:val="FootnoteReference"/>
          <w:rFonts w:ascii="Times New Roman" w:hAnsi="Times New Roman"/>
          <w:noProof/>
          <w:sz w:val="24"/>
        </w:rPr>
        <w:footnoteReference w:id="32"/>
      </w:r>
      <w:r>
        <w:rPr>
          <w:rFonts w:ascii="Times New Roman" w:hAnsi="Times New Roman"/>
          <w:noProof/>
          <w:sz w:val="24"/>
          <w:lang w:val="pl-PL"/>
        </w:rPr>
        <w:t>. Komisja zaproponuje również wzmocnienie przepisów dotyc</w:t>
      </w:r>
      <w:r>
        <w:rPr>
          <w:rFonts w:ascii="Times New Roman" w:hAnsi="Times New Roman"/>
          <w:noProof/>
          <w:sz w:val="24"/>
          <w:lang w:val="pl-PL"/>
        </w:rPr>
        <w:t xml:space="preserve">zących </w:t>
      </w:r>
      <w:r>
        <w:rPr>
          <w:rFonts w:ascii="Times New Roman" w:hAnsi="Times New Roman"/>
          <w:b/>
          <w:noProof/>
          <w:sz w:val="24"/>
          <w:lang w:val="pl-PL"/>
        </w:rPr>
        <w:t>bezpiecznego kraju pochodzenia</w:t>
      </w:r>
      <w:r>
        <w:rPr>
          <w:rFonts w:ascii="Times New Roman" w:hAnsi="Times New Roman"/>
          <w:noProof/>
          <w:sz w:val="24"/>
          <w:lang w:val="pl-PL"/>
        </w:rPr>
        <w:t xml:space="preserve"> zawartych w dyrektywie w sprawie procedur azylowych, aby wesprzeć sprawne rozpatrywanie wniosków osób ubiegających się o azyl pochodzących z krajów uznanych za bezpieczne</w:t>
      </w:r>
      <w:r>
        <w:rPr>
          <w:rStyle w:val="FootnoteReference"/>
          <w:rFonts w:ascii="Times New Roman" w:hAnsi="Times New Roman"/>
          <w:noProof/>
          <w:sz w:val="24"/>
        </w:rPr>
        <w:footnoteReference w:id="33"/>
      </w:r>
      <w:r>
        <w:rPr>
          <w:rFonts w:ascii="Times New Roman" w:hAnsi="Times New Roman"/>
          <w:noProof/>
          <w:sz w:val="24"/>
          <w:lang w:val="pl-PL"/>
        </w:rPr>
        <w:t xml:space="preserve">. </w:t>
      </w:r>
    </w:p>
    <w:p w:rsidR="00196AF6" w:rsidRDefault="007E0AAA">
      <w:pPr>
        <w:spacing w:before="120" w:after="0" w:line="240" w:lineRule="auto"/>
        <w:jc w:val="both"/>
        <w:rPr>
          <w:rFonts w:ascii="Times New Roman" w:hAnsi="Times New Roman"/>
          <w:i/>
          <w:noProof/>
          <w:sz w:val="24"/>
          <w:szCs w:val="24"/>
          <w:lang w:val="pl-PL"/>
        </w:rPr>
      </w:pPr>
      <w:r>
        <w:rPr>
          <w:rFonts w:ascii="Times New Roman" w:hAnsi="Times New Roman"/>
          <w:i/>
          <w:noProof/>
          <w:sz w:val="24"/>
          <w:lang w:val="pl-PL"/>
        </w:rPr>
        <w:t>System dubliński – lepszy podział odpowiedzi</w:t>
      </w:r>
      <w:r>
        <w:rPr>
          <w:rFonts w:ascii="Times New Roman" w:hAnsi="Times New Roman"/>
          <w:i/>
          <w:noProof/>
          <w:sz w:val="24"/>
          <w:lang w:val="pl-PL"/>
        </w:rPr>
        <w:t>alności między państwami członkowskimi</w:t>
      </w:r>
    </w:p>
    <w:p w:rsidR="00196AF6" w:rsidRDefault="007E0AAA">
      <w:pPr>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Chociaż ostatnie zmiany prawne wprowadzono dopiero w 2014 r., mechanizm podziału obowiązków w zakresie badania wniosków o udzielenie azylu („system dubliński”</w:t>
      </w:r>
      <w:r>
        <w:rPr>
          <w:rStyle w:val="FootnoteReference"/>
          <w:rFonts w:ascii="Times New Roman" w:hAnsi="Times New Roman"/>
          <w:noProof/>
          <w:sz w:val="24"/>
        </w:rPr>
        <w:footnoteReference w:id="34"/>
      </w:r>
      <w:r>
        <w:rPr>
          <w:rFonts w:ascii="Times New Roman" w:hAnsi="Times New Roman"/>
          <w:noProof/>
          <w:sz w:val="24"/>
          <w:lang w:val="pl-PL"/>
        </w:rPr>
        <w:t>) nie działa tak, jak powinien. W 2014 r. pięć państw czło</w:t>
      </w:r>
      <w:r>
        <w:rPr>
          <w:rFonts w:ascii="Times New Roman" w:hAnsi="Times New Roman"/>
          <w:noProof/>
          <w:sz w:val="24"/>
          <w:lang w:val="pl-PL"/>
        </w:rPr>
        <w:t xml:space="preserve">nkowskich zajmowało się 72 % wszystkich wniosków o udzielenie azylu w całej UE. UE może udzielić dalszej pomocy, ale konieczne jest pełne stosowanie przepisów. </w:t>
      </w:r>
    </w:p>
    <w:p w:rsidR="00196AF6" w:rsidRDefault="007E0AAA">
      <w:pPr>
        <w:autoSpaceDE w:val="0"/>
        <w:autoSpaceDN w:val="0"/>
        <w:adjustRightInd w:val="0"/>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Państwa członkowskie odpowiadają za stosowanie systemu dublińskiego. W szczególności państwa cz</w:t>
      </w:r>
      <w:r>
        <w:rPr>
          <w:rFonts w:ascii="Times New Roman" w:hAnsi="Times New Roman"/>
          <w:noProof/>
          <w:sz w:val="24"/>
          <w:lang w:val="pl-PL"/>
        </w:rPr>
        <w:t>łonkowskie powinny przydzielić zasoby potrzebne, aby zwiększyć liczbę przeniesień i zredukować opóźnienia, aktywnie i konsekwentnie stosować klauzule dotyczące łączenia rodzin i częściej oraz bardziej regularnie stosować klauzule dyskrecjonalne, co umożliw</w:t>
      </w:r>
      <w:r>
        <w:rPr>
          <w:rFonts w:ascii="Times New Roman" w:hAnsi="Times New Roman"/>
          <w:noProof/>
          <w:sz w:val="24"/>
          <w:lang w:val="pl-PL"/>
        </w:rPr>
        <w:t xml:space="preserve">i im rozpatrywanie wniosków o o udzielenie azylu i złagodzenie presji na graniczne państwa członkowskie. Na poziomie Unii EASO będzie wspierać państwa członkowskie poprzez ustanowienie wyspecjalizowanej sieci </w:t>
      </w:r>
      <w:r>
        <w:rPr>
          <w:rFonts w:ascii="Times New Roman" w:hAnsi="Times New Roman"/>
          <w:b/>
          <w:noProof/>
          <w:sz w:val="24"/>
          <w:lang w:val="pl-PL"/>
        </w:rPr>
        <w:t>krajowych jednostek dublińskich</w:t>
      </w:r>
      <w:r>
        <w:rPr>
          <w:rFonts w:ascii="Times New Roman" w:hAnsi="Times New Roman"/>
          <w:noProof/>
          <w:sz w:val="24"/>
          <w:lang w:val="pl-PL"/>
        </w:rPr>
        <w:t xml:space="preserve">. </w:t>
      </w:r>
    </w:p>
    <w:p w:rsidR="00196AF6" w:rsidRDefault="007E0AAA">
      <w:pPr>
        <w:autoSpaceDE w:val="0"/>
        <w:autoSpaceDN w:val="0"/>
        <w:adjustRightInd w:val="0"/>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Państwa człon</w:t>
      </w:r>
      <w:r>
        <w:rPr>
          <w:rFonts w:ascii="Times New Roman" w:hAnsi="Times New Roman"/>
          <w:noProof/>
          <w:sz w:val="24"/>
          <w:lang w:val="pl-PL"/>
        </w:rPr>
        <w:t xml:space="preserve">kowskie muszą również w pełni wdrożyć przepisy dotyczące pobierania </w:t>
      </w:r>
      <w:r>
        <w:rPr>
          <w:rFonts w:ascii="Times New Roman" w:hAnsi="Times New Roman"/>
          <w:b/>
          <w:noProof/>
          <w:sz w:val="24"/>
          <w:lang w:val="pl-PL"/>
        </w:rPr>
        <w:t>odcisków palców</w:t>
      </w:r>
      <w:r>
        <w:rPr>
          <w:rStyle w:val="FootnoteReference"/>
          <w:rFonts w:ascii="Times New Roman" w:hAnsi="Times New Roman"/>
          <w:b/>
          <w:noProof/>
          <w:sz w:val="24"/>
        </w:rPr>
        <w:footnoteReference w:id="35"/>
      </w:r>
      <w:r>
        <w:rPr>
          <w:rFonts w:ascii="Times New Roman" w:hAnsi="Times New Roman"/>
          <w:noProof/>
          <w:sz w:val="24"/>
          <w:lang w:val="pl-PL"/>
        </w:rPr>
        <w:t xml:space="preserve"> od migrantów na granicach. Państwa członkowskie znajdujące się pod szczególną presją skorzystają z systemu „Hotspot” zapewniającego wsparcie operacyjne w terenie (zob. pow</w:t>
      </w:r>
      <w:r>
        <w:rPr>
          <w:rFonts w:ascii="Times New Roman" w:hAnsi="Times New Roman"/>
          <w:noProof/>
          <w:sz w:val="24"/>
          <w:lang w:val="pl-PL"/>
        </w:rPr>
        <w:t>yżej). Do końca maja Komisja przedstawi wytyczne mające ułatwić systematyczne pobieranie odcisków palców, przy pełnym poszanowaniu praw podstawowych, z którymi związana będzie praktyczna współpraca i wymiana najlepszych praktyk. Komisja zbada także, w jaki</w:t>
      </w:r>
      <w:r>
        <w:rPr>
          <w:rFonts w:ascii="Times New Roman" w:hAnsi="Times New Roman"/>
          <w:noProof/>
          <w:sz w:val="24"/>
          <w:lang w:val="pl-PL"/>
        </w:rPr>
        <w:t xml:space="preserve"> sposób identyfikatory biometryczne mogą być lepiej wykorzystywane w ramach systemu Eurodac (np. stosowanie techniki rozpoznawania twarzy na podstawie fotografii cyfrowych).</w:t>
      </w:r>
    </w:p>
    <w:p w:rsidR="00196AF6" w:rsidRDefault="007E0AAA">
      <w:pPr>
        <w:autoSpaceDE w:val="0"/>
        <w:autoSpaceDN w:val="0"/>
        <w:adjustRightInd w:val="0"/>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 xml:space="preserve">W momencie tworzenia systemu dublińskiego Europa znajdowała się na innym etapie współpracy w dziedzinie azylu. Napływ do Europy miał inny charakter i skalę. Podczas </w:t>
      </w:r>
      <w:r>
        <w:rPr>
          <w:rFonts w:ascii="Times New Roman" w:hAnsi="Times New Roman"/>
          <w:b/>
          <w:noProof/>
          <w:sz w:val="24"/>
          <w:lang w:val="pl-PL"/>
        </w:rPr>
        <w:t>oceny systemu dublińskiego</w:t>
      </w:r>
      <w:r>
        <w:rPr>
          <w:rFonts w:ascii="Times New Roman" w:hAnsi="Times New Roman"/>
          <w:noProof/>
          <w:sz w:val="24"/>
          <w:lang w:val="pl-PL"/>
        </w:rPr>
        <w:t xml:space="preserve"> w 2016 r. Komisja będzie mogła skorzystać z doświadczeń wynikają</w:t>
      </w:r>
      <w:r>
        <w:rPr>
          <w:rFonts w:ascii="Times New Roman" w:hAnsi="Times New Roman"/>
          <w:noProof/>
          <w:sz w:val="24"/>
          <w:lang w:val="pl-PL"/>
        </w:rPr>
        <w:t>cych z mechanizmów relokacji i przesiedlenia. Pomoże to ocenić, czy do osiągnięcia bardziej sprawiedliwego rozdziału osób ubiegających się o azyl w Europie konieczna będzie zmiana parametrów prawnych systemu dublińskiego</w:t>
      </w:r>
      <w:r>
        <w:rPr>
          <w:rStyle w:val="FootnoteReference"/>
          <w:rFonts w:ascii="Times New Roman" w:hAnsi="Times New Roman"/>
          <w:noProof/>
          <w:sz w:val="24"/>
        </w:rPr>
        <w:footnoteReference w:id="36"/>
      </w:r>
      <w:r>
        <w:rPr>
          <w:rFonts w:ascii="Times New Roman" w:hAnsi="Times New Roman"/>
          <w:noProof/>
          <w:sz w:val="24"/>
          <w:lang w:val="pl-PL"/>
        </w:rPr>
        <w:t xml:space="preserve">. </w:t>
      </w:r>
    </w:p>
    <w:p w:rsidR="00196AF6" w:rsidRDefault="007E0AAA">
      <w:pPr>
        <w:autoSpaceDE w:val="0"/>
        <w:autoSpaceDN w:val="0"/>
        <w:adjustRightInd w:val="0"/>
        <w:spacing w:before="120" w:after="0" w:line="240" w:lineRule="auto"/>
        <w:jc w:val="both"/>
        <w:rPr>
          <w:rFonts w:ascii="Times New Roman" w:hAnsi="Times New Roman"/>
          <w:b/>
          <w:noProof/>
          <w:sz w:val="24"/>
          <w:szCs w:val="24"/>
          <w:lang w:val="pl-PL"/>
        </w:rPr>
      </w:pPr>
      <w:r>
        <w:rPr>
          <w:rFonts w:ascii="Times New Roman" w:hAnsi="Times New Roman"/>
          <w:b/>
          <w:noProof/>
          <w:sz w:val="24"/>
          <w:lang w:val="pl-P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96AF6">
        <w:trPr>
          <w:trHeight w:val="1765"/>
        </w:trPr>
        <w:tc>
          <w:tcPr>
            <w:tcW w:w="1668" w:type="dxa"/>
            <w:tcBorders>
              <w:top w:val="single" w:sz="4" w:space="0" w:color="auto"/>
              <w:left w:val="single" w:sz="4" w:space="0" w:color="auto"/>
              <w:bottom w:val="single" w:sz="4" w:space="0" w:color="auto"/>
              <w:right w:val="single" w:sz="4" w:space="0" w:color="auto"/>
            </w:tcBorders>
            <w:shd w:val="clear" w:color="auto" w:fill="D9D9D9"/>
            <w:vAlign w:val="center"/>
          </w:tcPr>
          <w:p w:rsidR="00196AF6" w:rsidRDefault="007E0AAA">
            <w:pPr>
              <w:jc w:val="center"/>
              <w:rPr>
                <w:rFonts w:ascii="Times New Roman" w:hAnsi="Times New Roman"/>
                <w:b/>
                <w:i/>
                <w:noProof/>
                <w:sz w:val="20"/>
                <w:szCs w:val="20"/>
              </w:rPr>
            </w:pPr>
            <w:r>
              <w:rPr>
                <w:rFonts w:ascii="Times New Roman" w:hAnsi="Times New Roman"/>
                <w:b/>
                <w:i/>
                <w:noProof/>
                <w:sz w:val="20"/>
              </w:rPr>
              <w:t>Kluczowe działania</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196AF6" w:rsidRDefault="007E0AAA">
            <w:pPr>
              <w:pStyle w:val="ListParagraph"/>
              <w:numPr>
                <w:ilvl w:val="0"/>
                <w:numId w:val="2"/>
              </w:numPr>
              <w:spacing w:after="0" w:line="240" w:lineRule="auto"/>
              <w:jc w:val="both"/>
              <w:rPr>
                <w:rFonts w:ascii="Times New Roman" w:hAnsi="Times New Roman"/>
                <w:noProof/>
                <w:sz w:val="20"/>
                <w:szCs w:val="20"/>
                <w:lang w:val="pl-PL"/>
              </w:rPr>
            </w:pPr>
            <w:r>
              <w:rPr>
                <w:rFonts w:ascii="Times New Roman" w:hAnsi="Times New Roman"/>
                <w:noProof/>
                <w:sz w:val="20"/>
                <w:lang w:val="pl-PL"/>
              </w:rPr>
              <w:t>Ustanowienie nowego systemu monitorowania i oceny wspólnego europejskiego systemu azylowego oraz wytycznych w celu poprawienia norm dotyczących warunków przyjmowania i procedur azylowych.</w:t>
            </w:r>
          </w:p>
          <w:p w:rsidR="00196AF6" w:rsidRDefault="007E0AAA">
            <w:pPr>
              <w:pStyle w:val="ListParagraph"/>
              <w:numPr>
                <w:ilvl w:val="0"/>
                <w:numId w:val="2"/>
              </w:numPr>
              <w:spacing w:after="0" w:line="240" w:lineRule="auto"/>
              <w:jc w:val="both"/>
              <w:rPr>
                <w:rFonts w:ascii="Times New Roman" w:hAnsi="Times New Roman"/>
                <w:noProof/>
                <w:sz w:val="20"/>
                <w:szCs w:val="20"/>
                <w:lang w:val="pl-PL"/>
              </w:rPr>
            </w:pPr>
            <w:r>
              <w:rPr>
                <w:rFonts w:ascii="Times New Roman" w:hAnsi="Times New Roman"/>
                <w:noProof/>
                <w:sz w:val="20"/>
                <w:lang w:val="pl-PL"/>
              </w:rPr>
              <w:t>Wytyczne w zakresie walki z nadużywaniem systemu azylowego.</w:t>
            </w:r>
          </w:p>
          <w:p w:rsidR="00196AF6" w:rsidRDefault="007E0AAA">
            <w:pPr>
              <w:pStyle w:val="ListParagraph"/>
              <w:numPr>
                <w:ilvl w:val="0"/>
                <w:numId w:val="2"/>
              </w:numPr>
              <w:spacing w:after="0" w:line="240" w:lineRule="auto"/>
              <w:jc w:val="both"/>
              <w:rPr>
                <w:rFonts w:ascii="Times New Roman" w:hAnsi="Times New Roman"/>
                <w:noProof/>
                <w:sz w:val="20"/>
                <w:szCs w:val="20"/>
                <w:lang w:val="pl-PL"/>
              </w:rPr>
            </w:pPr>
            <w:r>
              <w:rPr>
                <w:rFonts w:ascii="Times New Roman" w:hAnsi="Times New Roman"/>
                <w:noProof/>
                <w:sz w:val="20"/>
                <w:lang w:val="pl-PL"/>
              </w:rPr>
              <w:t>Wzmocnie</w:t>
            </w:r>
            <w:r>
              <w:rPr>
                <w:rFonts w:ascii="Times New Roman" w:hAnsi="Times New Roman"/>
                <w:noProof/>
                <w:sz w:val="20"/>
                <w:lang w:val="pl-PL"/>
              </w:rPr>
              <w:t xml:space="preserve">nie przepisów dotyczących </w:t>
            </w:r>
            <w:r>
              <w:rPr>
                <w:rFonts w:ascii="Times New Roman" w:hAnsi="Times New Roman"/>
                <w:b/>
                <w:noProof/>
                <w:sz w:val="20"/>
                <w:lang w:val="pl-PL"/>
              </w:rPr>
              <w:t>bezpiecznego kraju pochodzenia</w:t>
            </w:r>
            <w:r>
              <w:rPr>
                <w:rFonts w:ascii="Times New Roman" w:hAnsi="Times New Roman"/>
                <w:noProof/>
                <w:sz w:val="20"/>
                <w:lang w:val="pl-PL"/>
              </w:rPr>
              <w:t xml:space="preserve"> zawartych w dyrektywie w sprawie procedur azylowych, aby wspierać sprawne rozpatrywanie wniosków osób ubiegających się o azyl z krajów uznanych za bezpieczne.</w:t>
            </w:r>
          </w:p>
          <w:p w:rsidR="00196AF6" w:rsidRDefault="007E0AAA">
            <w:pPr>
              <w:pStyle w:val="ListParagraph"/>
              <w:numPr>
                <w:ilvl w:val="0"/>
                <w:numId w:val="2"/>
              </w:numPr>
              <w:spacing w:after="0" w:line="240" w:lineRule="auto"/>
              <w:jc w:val="both"/>
              <w:rPr>
                <w:rFonts w:ascii="Times New Roman" w:hAnsi="Times New Roman"/>
                <w:noProof/>
                <w:sz w:val="20"/>
                <w:szCs w:val="20"/>
                <w:lang w:val="pl-PL"/>
              </w:rPr>
            </w:pPr>
            <w:r>
              <w:rPr>
                <w:rFonts w:ascii="Times New Roman" w:hAnsi="Times New Roman"/>
                <w:noProof/>
                <w:sz w:val="20"/>
                <w:lang w:val="pl-PL"/>
              </w:rPr>
              <w:t>Środki promujące systematyczną identyfik</w:t>
            </w:r>
            <w:r>
              <w:rPr>
                <w:rFonts w:ascii="Times New Roman" w:hAnsi="Times New Roman"/>
                <w:noProof/>
                <w:sz w:val="20"/>
                <w:lang w:val="pl-PL"/>
              </w:rPr>
              <w:t>ację oraz pobieranie odcisków palców.</w:t>
            </w:r>
          </w:p>
          <w:p w:rsidR="00196AF6" w:rsidRDefault="007E0AAA">
            <w:pPr>
              <w:pStyle w:val="ListParagraph"/>
              <w:numPr>
                <w:ilvl w:val="0"/>
                <w:numId w:val="2"/>
              </w:numPr>
              <w:spacing w:after="0" w:line="240" w:lineRule="auto"/>
              <w:jc w:val="both"/>
              <w:rPr>
                <w:rFonts w:ascii="Times New Roman" w:hAnsi="Times New Roman"/>
                <w:noProof/>
                <w:sz w:val="20"/>
                <w:szCs w:val="20"/>
                <w:lang w:val="pl-PL"/>
              </w:rPr>
            </w:pPr>
            <w:r>
              <w:rPr>
                <w:rFonts w:ascii="Times New Roman" w:hAnsi="Times New Roman"/>
                <w:noProof/>
                <w:sz w:val="20"/>
                <w:lang w:val="pl-PL"/>
              </w:rPr>
              <w:t xml:space="preserve">Więcej identyfikatorów biometrycznych w Eurodac. </w:t>
            </w:r>
          </w:p>
          <w:p w:rsidR="00196AF6" w:rsidRDefault="007E0AAA">
            <w:pPr>
              <w:pStyle w:val="ListParagraph"/>
              <w:numPr>
                <w:ilvl w:val="0"/>
                <w:numId w:val="2"/>
              </w:numPr>
              <w:spacing w:after="0" w:line="240" w:lineRule="auto"/>
              <w:jc w:val="both"/>
              <w:rPr>
                <w:rFonts w:ascii="Times New Roman" w:hAnsi="Times New Roman"/>
                <w:noProof/>
                <w:sz w:val="20"/>
                <w:szCs w:val="20"/>
                <w:lang w:val="pl-PL"/>
              </w:rPr>
            </w:pPr>
            <w:r>
              <w:rPr>
                <w:rFonts w:ascii="Times New Roman" w:hAnsi="Times New Roman"/>
                <w:noProof/>
                <w:sz w:val="20"/>
                <w:lang w:val="pl-PL"/>
              </w:rPr>
              <w:t>Ocena i ewentualny przegląd rozporządzenia dublińskiego w 2016 r.</w:t>
            </w:r>
          </w:p>
        </w:tc>
      </w:tr>
    </w:tbl>
    <w:p w:rsidR="00196AF6" w:rsidRDefault="00196AF6">
      <w:pPr>
        <w:spacing w:before="120" w:after="0" w:line="240" w:lineRule="auto"/>
        <w:jc w:val="both"/>
        <w:rPr>
          <w:rFonts w:ascii="Times New Roman" w:hAnsi="Times New Roman"/>
          <w:b/>
          <w:noProof/>
          <w:sz w:val="20"/>
          <w:szCs w:val="20"/>
          <w:lang w:val="pl-PL"/>
        </w:rPr>
      </w:pPr>
    </w:p>
    <w:p w:rsidR="00196AF6" w:rsidRDefault="007E0AAA">
      <w:pPr>
        <w:spacing w:before="120" w:after="0" w:line="240" w:lineRule="auto"/>
        <w:jc w:val="both"/>
        <w:rPr>
          <w:rFonts w:ascii="Times New Roman" w:hAnsi="Times New Roman"/>
          <w:b/>
          <w:noProof/>
          <w:sz w:val="28"/>
          <w:szCs w:val="28"/>
          <w:lang w:val="pl-PL"/>
        </w:rPr>
      </w:pPr>
      <w:r>
        <w:rPr>
          <w:rFonts w:ascii="Times New Roman" w:hAnsi="Times New Roman"/>
          <w:b/>
          <w:noProof/>
          <w:sz w:val="28"/>
          <w:lang w:val="pl-PL"/>
        </w:rPr>
        <w:t xml:space="preserve">III.4 </w:t>
      </w:r>
      <w:r>
        <w:rPr>
          <w:rFonts w:ascii="Times New Roman" w:hAnsi="Times New Roman"/>
          <w:noProof/>
          <w:lang w:val="pl-PL"/>
        </w:rPr>
        <w:tab/>
      </w:r>
      <w:r>
        <w:rPr>
          <w:rFonts w:ascii="Times New Roman" w:hAnsi="Times New Roman"/>
          <w:b/>
          <w:noProof/>
          <w:sz w:val="28"/>
          <w:lang w:val="pl-PL"/>
        </w:rPr>
        <w:t>Nowa polityka dotycząca legalnej migracji</w:t>
      </w:r>
    </w:p>
    <w:p w:rsidR="00196AF6" w:rsidRDefault="007E0AAA">
      <w:pPr>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 xml:space="preserve">Europa konkuruje z innymi gospodarkami o </w:t>
      </w:r>
      <w:r>
        <w:rPr>
          <w:rFonts w:ascii="Times New Roman" w:hAnsi="Times New Roman"/>
          <w:noProof/>
          <w:sz w:val="24"/>
          <w:lang w:val="pl-PL"/>
        </w:rPr>
        <w:t>pracowników posiadających wymagane umiejętności. Należy się spodziewać, że zmiany w rodzaju umiejętności wymaganych w UE w latach 2012-2025 spowodują gwałtowny wzrost zapotrzebowania na pracowników z wyższym wykształceniem (o 23 %)</w:t>
      </w:r>
      <w:r>
        <w:rPr>
          <w:rStyle w:val="FootnoteReference"/>
          <w:rFonts w:ascii="Times New Roman" w:hAnsi="Times New Roman"/>
          <w:noProof/>
          <w:sz w:val="24"/>
        </w:rPr>
        <w:footnoteReference w:id="37"/>
      </w:r>
      <w:r>
        <w:rPr>
          <w:rFonts w:ascii="Times New Roman" w:hAnsi="Times New Roman"/>
          <w:noProof/>
          <w:sz w:val="24"/>
          <w:lang w:val="pl-PL"/>
        </w:rPr>
        <w:t>.</w:t>
      </w:r>
      <w:r>
        <w:rPr>
          <w:rFonts w:ascii="Times New Roman" w:hAnsi="Times New Roman"/>
          <w:b/>
          <w:noProof/>
          <w:sz w:val="24"/>
          <w:lang w:val="pl-PL"/>
        </w:rPr>
        <w:t xml:space="preserve"> </w:t>
      </w:r>
      <w:r>
        <w:rPr>
          <w:rFonts w:ascii="Times New Roman" w:hAnsi="Times New Roman"/>
          <w:noProof/>
          <w:sz w:val="24"/>
          <w:lang w:val="pl-PL"/>
        </w:rPr>
        <w:t>W kluczowych sektorach</w:t>
      </w:r>
      <w:r>
        <w:rPr>
          <w:rFonts w:ascii="Times New Roman" w:hAnsi="Times New Roman"/>
          <w:noProof/>
          <w:sz w:val="24"/>
          <w:lang w:val="pl-PL"/>
        </w:rPr>
        <w:t xml:space="preserve"> takich jak nauka, technologia, inżynieria i opieka zdrowotna już teraz widoczne są niedobory. Europa musi stworzyć własną bazę umiejętności i przygotować ludzi do wejścia na dzisiejszy rynek pracy. Jeszcze w 2015 r. Komisja przedstawi nowy pakiet dotycząc</w:t>
      </w:r>
      <w:r>
        <w:rPr>
          <w:rFonts w:ascii="Times New Roman" w:hAnsi="Times New Roman"/>
          <w:noProof/>
          <w:sz w:val="24"/>
          <w:lang w:val="pl-PL"/>
        </w:rPr>
        <w:t>y mobilności pracowników i nową inicjatywę w zakresie umiejętności</w:t>
      </w:r>
      <w:r>
        <w:rPr>
          <w:rStyle w:val="FootnoteReference"/>
          <w:rFonts w:ascii="Times New Roman" w:hAnsi="Times New Roman"/>
          <w:noProof/>
          <w:sz w:val="24"/>
        </w:rPr>
        <w:footnoteReference w:id="38"/>
      </w:r>
      <w:r>
        <w:rPr>
          <w:rFonts w:ascii="Times New Roman" w:hAnsi="Times New Roman"/>
          <w:noProof/>
          <w:sz w:val="24"/>
          <w:lang w:val="pl-PL"/>
        </w:rPr>
        <w:t xml:space="preserve">, ale nawet przy zdecydowanych działaniach w perspektywie średnio- i długoterminowej prawdopodobnie nie uda się zaspokoić wszystkich potrzeb. </w:t>
      </w:r>
    </w:p>
    <w:p w:rsidR="00196AF6" w:rsidRDefault="007E0AAA">
      <w:pPr>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UE stoi w obliczu szeregu długoterminowych wyz</w:t>
      </w:r>
      <w:r>
        <w:rPr>
          <w:rFonts w:ascii="Times New Roman" w:hAnsi="Times New Roman"/>
          <w:noProof/>
          <w:sz w:val="24"/>
          <w:lang w:val="pl-PL"/>
        </w:rPr>
        <w:t>wań gospodarczych i demograficznych. Społeczeństwo się starzeje, a gospodarka jest coraz bardziej uzależniona od miejsc pracy wymagających wysokich kwalifikacji. Bez migracji liczba ludności w UE w wieku produkcyjnym zmniejszy się w nadchodzącym dziesięcio</w:t>
      </w:r>
      <w:r>
        <w:rPr>
          <w:rFonts w:ascii="Times New Roman" w:hAnsi="Times New Roman"/>
          <w:noProof/>
          <w:sz w:val="24"/>
          <w:lang w:val="pl-PL"/>
        </w:rPr>
        <w:t xml:space="preserve">leciu o 17,5 mln. Migracja będzie coraz ważniejszym sposobem na poprawę stabilności naszego systemu opieki społecznej oraz zapewnienie trwałego wzrostu gospodarczego UE. </w:t>
      </w:r>
    </w:p>
    <w:p w:rsidR="00196AF6" w:rsidRDefault="007E0AAA">
      <w:pPr>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Dlatego też, nawet jeśli przekonanie społeczeństwa do zaakceptowania legalnej migracj</w:t>
      </w:r>
      <w:r>
        <w:rPr>
          <w:rFonts w:ascii="Times New Roman" w:hAnsi="Times New Roman"/>
          <w:noProof/>
          <w:sz w:val="24"/>
          <w:lang w:val="pl-PL"/>
        </w:rPr>
        <w:t>i jest zawsze trudne w czasach wysokiego bezrobocia i zmian społecznych, ważne jest wprowadzenie jasnego i rygorystycznego wspólnego systemu, który odzwierciedla interesy UE, w tym poprzez utrzymanie statusu Europy jako atrakcyjnego miejsca dla migrantów</w:t>
      </w:r>
      <w:r>
        <w:rPr>
          <w:rStyle w:val="FootnoteReference"/>
          <w:rFonts w:ascii="Times New Roman" w:hAnsi="Times New Roman"/>
          <w:noProof/>
          <w:sz w:val="24"/>
        </w:rPr>
        <w:footnoteReference w:id="39"/>
      </w:r>
      <w:r>
        <w:rPr>
          <w:rFonts w:ascii="Times New Roman" w:hAnsi="Times New Roman"/>
          <w:noProof/>
          <w:sz w:val="24"/>
          <w:lang w:val="pl-PL"/>
        </w:rPr>
        <w:t>.</w:t>
      </w:r>
      <w:r>
        <w:rPr>
          <w:rFonts w:ascii="Times New Roman" w:hAnsi="Times New Roman"/>
          <w:noProof/>
          <w:sz w:val="24"/>
          <w:lang w:val="pl-PL"/>
        </w:rPr>
        <w:t xml:space="preserve"> </w:t>
      </w:r>
    </w:p>
    <w:p w:rsidR="00196AF6" w:rsidRDefault="007E0AAA">
      <w:pPr>
        <w:spacing w:before="120" w:after="0" w:line="240" w:lineRule="auto"/>
        <w:jc w:val="both"/>
        <w:rPr>
          <w:rFonts w:ascii="Times New Roman" w:hAnsi="Times New Roman"/>
          <w:b/>
          <w:i/>
          <w:noProof/>
          <w:sz w:val="28"/>
          <w:szCs w:val="24"/>
          <w:lang w:val="pl-PL"/>
        </w:rPr>
      </w:pPr>
      <w:r>
        <w:rPr>
          <w:rFonts w:ascii="Times New Roman" w:hAnsi="Times New Roman"/>
          <w:noProof/>
          <w:sz w:val="24"/>
          <w:lang w:val="pl-PL"/>
        </w:rPr>
        <w:t xml:space="preserve"> </w:t>
      </w:r>
      <w:r>
        <w:rPr>
          <w:rFonts w:ascii="Times New Roman" w:hAnsi="Times New Roman"/>
          <w:i/>
          <w:noProof/>
          <w:sz w:val="24"/>
          <w:lang w:val="pl-PL"/>
        </w:rPr>
        <w:t>Dobrze zarządzana legalna migracja i polityka wizowa</w:t>
      </w:r>
    </w:p>
    <w:p w:rsidR="00196AF6" w:rsidRDefault="007E0AAA">
      <w:pPr>
        <w:spacing w:before="120" w:after="0" w:line="240" w:lineRule="auto"/>
        <w:jc w:val="both"/>
        <w:rPr>
          <w:rFonts w:ascii="Times New Roman" w:hAnsi="Times New Roman"/>
          <w:bCs/>
          <w:noProof/>
          <w:sz w:val="24"/>
          <w:szCs w:val="24"/>
          <w:lang w:val="pl-PL"/>
        </w:rPr>
      </w:pPr>
      <w:r>
        <w:rPr>
          <w:rFonts w:ascii="Times New Roman" w:hAnsi="Times New Roman"/>
          <w:noProof/>
          <w:sz w:val="24"/>
          <w:lang w:val="pl-PL"/>
        </w:rPr>
        <w:t>Decyzje w sprawie liczby przyjęć obywateli państw trzecich przybywających w poszukiwaniu pracy pozostaną w wyłącznej kompetencji państw członkowskich. UE ma jednak do odegrania szczególną rolę. W ciąg</w:t>
      </w:r>
      <w:r>
        <w:rPr>
          <w:rFonts w:ascii="Times New Roman" w:hAnsi="Times New Roman"/>
          <w:noProof/>
          <w:sz w:val="24"/>
          <w:lang w:val="pl-PL"/>
        </w:rPr>
        <w:t xml:space="preserve">u najbliższych siedmiu lat europejskie programy takie jak „Horyzont 2020” i „Erasmus+” będą przyciągać do UE utalentowane osoby. Dyrektywa w sprawie studentów i naukowców, która obecnie jest negocjowana przez współustawodawców, ma na celu zaoferowanie tym </w:t>
      </w:r>
      <w:r>
        <w:rPr>
          <w:rFonts w:ascii="Times New Roman" w:hAnsi="Times New Roman"/>
          <w:noProof/>
          <w:sz w:val="24"/>
          <w:lang w:val="pl-PL"/>
        </w:rPr>
        <w:t>grupom nowych możliwości w zakresie mobilności i poszukiwania pracy. Dzięki szybkiemu przyjęciu wspomnianego aktu te strategicznie ważne grupy będą postrzegać Unię Europejską jako przyjazne im miejsce pracy</w:t>
      </w:r>
      <w:r>
        <w:rPr>
          <w:rStyle w:val="FootnoteReference"/>
          <w:rFonts w:ascii="Times New Roman" w:hAnsi="Times New Roman"/>
          <w:noProof/>
          <w:sz w:val="24"/>
        </w:rPr>
        <w:footnoteReference w:id="40"/>
      </w:r>
      <w:r>
        <w:rPr>
          <w:rFonts w:ascii="Times New Roman" w:hAnsi="Times New Roman"/>
          <w:noProof/>
          <w:sz w:val="24"/>
          <w:lang w:val="pl-PL"/>
        </w:rPr>
        <w:t xml:space="preserve">. </w:t>
      </w:r>
    </w:p>
    <w:p w:rsidR="00196AF6" w:rsidRDefault="007E0AAA">
      <w:pPr>
        <w:spacing w:before="120" w:after="0" w:line="240" w:lineRule="auto"/>
        <w:jc w:val="both"/>
        <w:rPr>
          <w:rFonts w:ascii="Times New Roman" w:hAnsi="Times New Roman"/>
          <w:bCs/>
          <w:noProof/>
          <w:sz w:val="24"/>
          <w:szCs w:val="24"/>
          <w:lang w:val="pl-PL"/>
        </w:rPr>
      </w:pPr>
      <w:r>
        <w:rPr>
          <w:rFonts w:ascii="Times New Roman" w:hAnsi="Times New Roman"/>
          <w:noProof/>
          <w:sz w:val="24"/>
          <w:lang w:val="pl-PL"/>
        </w:rPr>
        <w:t>Kolejnym krokiem powinien być atrakcyjny progr</w:t>
      </w:r>
      <w:r>
        <w:rPr>
          <w:rFonts w:ascii="Times New Roman" w:hAnsi="Times New Roman"/>
          <w:noProof/>
          <w:sz w:val="24"/>
          <w:lang w:val="pl-PL"/>
        </w:rPr>
        <w:t xml:space="preserve">am dla wysoko wykwalifikowanych obywateli państw trzecich obejmujący całą UE. </w:t>
      </w:r>
      <w:r>
        <w:rPr>
          <w:rFonts w:ascii="Times New Roman" w:hAnsi="Times New Roman"/>
          <w:b/>
          <w:noProof/>
          <w:sz w:val="24"/>
          <w:lang w:val="pl-PL"/>
        </w:rPr>
        <w:t>Dyrektywa w sprawie niebieskiej karty</w:t>
      </w:r>
      <w:r>
        <w:rPr>
          <w:rStyle w:val="FootnoteReference"/>
          <w:rFonts w:ascii="Times New Roman" w:hAnsi="Times New Roman"/>
          <w:b/>
          <w:noProof/>
          <w:sz w:val="24"/>
        </w:rPr>
        <w:footnoteReference w:id="41"/>
      </w:r>
      <w:r>
        <w:rPr>
          <w:rFonts w:ascii="Times New Roman" w:hAnsi="Times New Roman"/>
          <w:noProof/>
          <w:sz w:val="24"/>
          <w:lang w:val="pl-PL"/>
        </w:rPr>
        <w:t xml:space="preserve"> przewiduje już taki system, ale w ciągu pierwszych dwóch lat wydano tylko 16 000 niebieskich kart, z czego 13 000 zostało wydanych przez je</w:t>
      </w:r>
      <w:r>
        <w:rPr>
          <w:rFonts w:ascii="Times New Roman" w:hAnsi="Times New Roman"/>
          <w:noProof/>
          <w:sz w:val="24"/>
          <w:lang w:val="pl-PL"/>
        </w:rPr>
        <w:t>dno państwo członkowskie. Do końca maja Komisja otworzy konsultacje publiczne dotyczące przyszłości dyrektywy w sprawie niebieskiej karty. Przegląd dyrektywy posłuży do zastanowienia się, w jaki sposób można zwiększyć jej skuteczność w przyciąganiu talentó</w:t>
      </w:r>
      <w:r>
        <w:rPr>
          <w:rFonts w:ascii="Times New Roman" w:hAnsi="Times New Roman"/>
          <w:noProof/>
          <w:sz w:val="24"/>
          <w:lang w:val="pl-PL"/>
        </w:rPr>
        <w:t xml:space="preserve">w do Europy. Przegląd obejmie kwestie dotyczące zakresu dyrektywy, np. uwzględnienie przedsiębiorców, którzy są chętni do inwestowania w Europie lub zwiększenie możliwości w zakresie mobilności posiadaczy niebieskiej karty w obrębie UE. </w:t>
      </w:r>
    </w:p>
    <w:p w:rsidR="00196AF6" w:rsidRDefault="007E0AAA">
      <w:pPr>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Innym sektorom o d</w:t>
      </w:r>
      <w:r>
        <w:rPr>
          <w:rFonts w:ascii="Times New Roman" w:hAnsi="Times New Roman"/>
          <w:noProof/>
          <w:sz w:val="24"/>
          <w:lang w:val="pl-PL"/>
        </w:rPr>
        <w:t xml:space="preserve">użym znaczeniu dla gospodarki są </w:t>
      </w:r>
      <w:r>
        <w:rPr>
          <w:rFonts w:ascii="Times New Roman" w:hAnsi="Times New Roman"/>
          <w:b/>
          <w:noProof/>
          <w:sz w:val="24"/>
          <w:lang w:val="pl-PL"/>
        </w:rPr>
        <w:t>usługi</w:t>
      </w:r>
      <w:r>
        <w:rPr>
          <w:rFonts w:ascii="Times New Roman" w:hAnsi="Times New Roman"/>
          <w:noProof/>
          <w:sz w:val="24"/>
          <w:lang w:val="pl-PL"/>
        </w:rPr>
        <w:t>. Sektor usług zatrudnia dobrze wyszkolonych i wysoko wykwalifikowanych pracowników zagranicznych, którzy muszą podróżować do UE na krótkie okresy w celu świadczenia usług dla przedsiębiorstw lub rządów. Komisja zbada</w:t>
      </w:r>
      <w:r>
        <w:rPr>
          <w:rFonts w:ascii="Times New Roman" w:hAnsi="Times New Roman"/>
          <w:noProof/>
          <w:sz w:val="24"/>
          <w:lang w:val="pl-PL"/>
        </w:rPr>
        <w:t xml:space="preserve"> możliwość zapewnienia pewności prawnej dla tych kategorii osób, także w celu wzmocnienia pozycji Unii w odniesieniu do wzajemności wizowej przy negocjacji umów o wolnym handlu (FTA).</w:t>
      </w:r>
    </w:p>
    <w:p w:rsidR="00196AF6" w:rsidRDefault="007E0AAA">
      <w:pPr>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Państwa członkowskie muszą prowadzić bardziej bezpośredni i otwarty dial</w:t>
      </w:r>
      <w:r>
        <w:rPr>
          <w:rFonts w:ascii="Times New Roman" w:hAnsi="Times New Roman"/>
          <w:noProof/>
          <w:sz w:val="24"/>
          <w:lang w:val="pl-PL"/>
        </w:rPr>
        <w:t>og w odniesieniu do tych decyzji w celu tworzenia wspólnych koncepcji i rozwiązań politycznych oraz wymiany najlepszych praktyk na poziomie europejskim. Komisja będzie wspierać państwa członkowskie w promowaniu stałego dialogu i wzajemnej oceny na szczeblu</w:t>
      </w:r>
      <w:r>
        <w:rPr>
          <w:rFonts w:ascii="Times New Roman" w:hAnsi="Times New Roman"/>
          <w:noProof/>
          <w:sz w:val="24"/>
          <w:lang w:val="pl-PL"/>
        </w:rPr>
        <w:t xml:space="preserve"> europejskim w sprawie takich kwestii, jak niedobory na rynku pracy, uregulowanie statusu i integracja – spraw, w których decyzje jednego państwa członkowskiego mają wpływ na pozostałe. </w:t>
      </w:r>
    </w:p>
    <w:p w:rsidR="00196AF6" w:rsidRDefault="007E0AAA">
      <w:pPr>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Komisja stworzy również platformę dialogu, zapraszając do dyskusji pr</w:t>
      </w:r>
      <w:r>
        <w:rPr>
          <w:rFonts w:ascii="Times New Roman" w:hAnsi="Times New Roman"/>
          <w:noProof/>
          <w:sz w:val="24"/>
          <w:lang w:val="pl-PL"/>
        </w:rPr>
        <w:t xml:space="preserve">zedsiębiorstwa, związki zawodowe oraz innych partnerów społecznych, w celu maksymalizacji korzyści płynących z migracji dla europejskiej gospodarki i dla samych migrantów. </w:t>
      </w:r>
    </w:p>
    <w:p w:rsidR="00196AF6" w:rsidRDefault="007E0AAA">
      <w:pPr>
        <w:spacing w:before="120" w:line="240" w:lineRule="auto"/>
        <w:jc w:val="both"/>
        <w:rPr>
          <w:rFonts w:ascii="Times New Roman" w:hAnsi="Times New Roman"/>
          <w:noProof/>
          <w:sz w:val="24"/>
          <w:szCs w:val="24"/>
          <w:lang w:val="pl-PL"/>
        </w:rPr>
      </w:pPr>
      <w:r>
        <w:rPr>
          <w:rFonts w:ascii="Times New Roman" w:hAnsi="Times New Roman"/>
          <w:noProof/>
          <w:sz w:val="24"/>
          <w:lang w:val="pl-PL"/>
        </w:rPr>
        <w:t>UE potrzebuje narzędzi do wskazania tych sektorów gospodarki i zawodów, których dot</w:t>
      </w:r>
      <w:r>
        <w:rPr>
          <w:rFonts w:ascii="Times New Roman" w:hAnsi="Times New Roman"/>
          <w:noProof/>
          <w:sz w:val="24"/>
          <w:lang w:val="pl-PL"/>
        </w:rPr>
        <w:t xml:space="preserve">yczą lub będą dotyczyć </w:t>
      </w:r>
      <w:r>
        <w:rPr>
          <w:rFonts w:ascii="Times New Roman" w:hAnsi="Times New Roman"/>
          <w:b/>
          <w:noProof/>
          <w:sz w:val="24"/>
          <w:lang w:val="pl-PL"/>
        </w:rPr>
        <w:t>problemy w rekrutacji pracowników lub niedobór wykwalifikowanych pracowników</w:t>
      </w:r>
      <w:r>
        <w:rPr>
          <w:rFonts w:ascii="Times New Roman" w:hAnsi="Times New Roman"/>
          <w:noProof/>
          <w:sz w:val="24"/>
          <w:lang w:val="pl-PL"/>
        </w:rPr>
        <w:t>. Istniejące narzędzia dostarczają już pewnych informacji, jednak niezbędne jest uzyskanie pełniejszego obrazu</w:t>
      </w:r>
      <w:r>
        <w:rPr>
          <w:rStyle w:val="FootnoteReference"/>
          <w:rFonts w:ascii="Times New Roman" w:hAnsi="Times New Roman"/>
          <w:noProof/>
          <w:sz w:val="24"/>
        </w:rPr>
        <w:footnoteReference w:id="42"/>
      </w:r>
      <w:r>
        <w:rPr>
          <w:rFonts w:ascii="Times New Roman" w:hAnsi="Times New Roman"/>
          <w:noProof/>
          <w:sz w:val="24"/>
          <w:lang w:val="pl-PL"/>
        </w:rPr>
        <w:t>. Istniejące portale internetowe, takie jak po</w:t>
      </w:r>
      <w:r>
        <w:rPr>
          <w:rFonts w:ascii="Times New Roman" w:hAnsi="Times New Roman"/>
          <w:noProof/>
          <w:sz w:val="24"/>
          <w:lang w:val="pl-PL"/>
        </w:rPr>
        <w:t>rtal migracyjny UE i Europejski Portal Mobilności Zawodowej (EURES) mogą również odgrywać ważną rolę w ułatwianiu pośrednictwa pracy dla obywateli państw trzecich już przebywających w UE. Jeśli chodzi o dopasowywanie umiejętności migrantów głównym probleme</w:t>
      </w:r>
      <w:r>
        <w:rPr>
          <w:rFonts w:ascii="Times New Roman" w:hAnsi="Times New Roman"/>
          <w:noProof/>
          <w:sz w:val="24"/>
          <w:lang w:val="pl-PL"/>
        </w:rPr>
        <w:t>m jest brak uznawania kwalifikacji zdobytych przez migrantów w ich kraju pochodzenia. UE może pomóc w lepszym zrozumieniu kwalifikacji zdobytych poza nią</w:t>
      </w:r>
      <w:r>
        <w:rPr>
          <w:rStyle w:val="FootnoteReference"/>
          <w:rFonts w:ascii="Times New Roman" w:hAnsi="Times New Roman"/>
          <w:noProof/>
          <w:sz w:val="24"/>
        </w:rPr>
        <w:footnoteReference w:id="43"/>
      </w:r>
      <w:r>
        <w:rPr>
          <w:rFonts w:ascii="Times New Roman" w:hAnsi="Times New Roman"/>
          <w:noProof/>
          <w:sz w:val="24"/>
          <w:lang w:val="pl-PL"/>
        </w:rPr>
        <w:t xml:space="preserve">. </w:t>
      </w:r>
    </w:p>
    <w:p w:rsidR="00196AF6" w:rsidRDefault="007E0AAA">
      <w:pPr>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 xml:space="preserve">Działania zmierzające do opracowania nowej polityki w dziedzinie legalnej migracji odzwierciedlają </w:t>
      </w:r>
      <w:r>
        <w:rPr>
          <w:rFonts w:ascii="Times New Roman" w:hAnsi="Times New Roman"/>
          <w:b/>
          <w:noProof/>
          <w:sz w:val="24"/>
          <w:lang w:val="pl-PL"/>
        </w:rPr>
        <w:t>modernizację polityki wizowej</w:t>
      </w:r>
      <w:r>
        <w:rPr>
          <w:rStyle w:val="FootnoteReference"/>
          <w:rFonts w:ascii="Times New Roman" w:hAnsi="Times New Roman"/>
          <w:noProof/>
          <w:sz w:val="24"/>
        </w:rPr>
        <w:footnoteReference w:id="44"/>
      </w:r>
      <w:r>
        <w:rPr>
          <w:rFonts w:ascii="Times New Roman" w:hAnsi="Times New Roman"/>
          <w:noProof/>
          <w:sz w:val="24"/>
          <w:lang w:val="pl-PL"/>
        </w:rPr>
        <w:t>. W 2014 r. Komisja przedłożyła przegląd kodeksu wizowego i zaproponowała ustanowienie nowego rodzaju wizy: wizy objazdowej</w:t>
      </w:r>
      <w:r>
        <w:rPr>
          <w:rStyle w:val="FootnoteReference"/>
          <w:rFonts w:ascii="Times New Roman" w:hAnsi="Times New Roman"/>
          <w:noProof/>
          <w:sz w:val="24"/>
        </w:rPr>
        <w:footnoteReference w:id="45"/>
      </w:r>
      <w:r>
        <w:rPr>
          <w:rFonts w:ascii="Times New Roman" w:hAnsi="Times New Roman"/>
          <w:noProof/>
          <w:sz w:val="24"/>
          <w:lang w:val="pl-PL"/>
        </w:rPr>
        <w:t>. Przyjęcie tych wniosków zapewni UE bardziej elastyczne narzędzia polityki wizowej w celu maksymaliza</w:t>
      </w:r>
      <w:r>
        <w:rPr>
          <w:rFonts w:ascii="Times New Roman" w:hAnsi="Times New Roman"/>
          <w:noProof/>
          <w:sz w:val="24"/>
          <w:lang w:val="pl-PL"/>
        </w:rPr>
        <w:t xml:space="preserve">cji pozytywnego wpływu gospodarczego w wyniku przyciągnięcia większej liczby turystów oraz osób przyjeżdżających ze względów osobistych lub zawodowych, przy jednoczesnym ograniczeniu ryzyka nielegalnej migracji i zagrożeń dla bezpieczeństwa. Do końca 2015 </w:t>
      </w:r>
      <w:r>
        <w:rPr>
          <w:rFonts w:ascii="Times New Roman" w:hAnsi="Times New Roman"/>
          <w:noProof/>
          <w:sz w:val="24"/>
          <w:lang w:val="pl-PL"/>
        </w:rPr>
        <w:t xml:space="preserve">r. Komisja zakończy również </w:t>
      </w:r>
      <w:r>
        <w:rPr>
          <w:rFonts w:ascii="Times New Roman" w:hAnsi="Times New Roman"/>
          <w:b/>
          <w:noProof/>
          <w:sz w:val="24"/>
          <w:lang w:val="pl-PL"/>
        </w:rPr>
        <w:t>przegląd państw, których obywatele podlegają obowiązkowi wizowemu</w:t>
      </w:r>
      <w:r>
        <w:rPr>
          <w:rFonts w:ascii="Times New Roman" w:hAnsi="Times New Roman"/>
          <w:noProof/>
          <w:sz w:val="24"/>
          <w:lang w:val="pl-PL"/>
        </w:rPr>
        <w:t xml:space="preserve"> oraz może zaproponować zniesienie obowiązku wizowego dla pewnych narodowości, na zasadzie wzajemności, lub przywrócenie obowiązku wizowego dla innych. Działania t</w:t>
      </w:r>
      <w:r>
        <w:rPr>
          <w:rFonts w:ascii="Times New Roman" w:hAnsi="Times New Roman"/>
          <w:noProof/>
          <w:sz w:val="24"/>
          <w:lang w:val="pl-PL"/>
        </w:rPr>
        <w:t xml:space="preserve">e uwzględnią prowadzony obecnie z najważniejszymi państwami dialog polityczny w kwestiach migracji i mobilności.  </w:t>
      </w:r>
    </w:p>
    <w:p w:rsidR="00196AF6" w:rsidRDefault="007E0AAA">
      <w:pPr>
        <w:spacing w:before="120" w:after="0" w:line="240" w:lineRule="auto"/>
        <w:jc w:val="both"/>
        <w:rPr>
          <w:rFonts w:ascii="Times New Roman" w:hAnsi="Times New Roman"/>
          <w:noProof/>
          <w:sz w:val="24"/>
          <w:szCs w:val="24"/>
          <w:lang w:val="pl-PL"/>
        </w:rPr>
      </w:pPr>
      <w:r>
        <w:rPr>
          <w:rFonts w:ascii="Times New Roman" w:hAnsi="Times New Roman"/>
          <w:i/>
          <w:noProof/>
          <w:sz w:val="24"/>
          <w:lang w:val="pl-PL"/>
        </w:rPr>
        <w:t>Skuteczna integracja</w:t>
      </w:r>
    </w:p>
    <w:p w:rsidR="00196AF6" w:rsidRDefault="007E0AAA">
      <w:pPr>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Nasza polityka imigracyjna będzie skuteczna, jeżeli będzie się opierać na skutecznej polityce integracyjnej. Choć kompet</w:t>
      </w:r>
      <w:r>
        <w:rPr>
          <w:rFonts w:ascii="Times New Roman" w:hAnsi="Times New Roman"/>
          <w:noProof/>
          <w:sz w:val="24"/>
          <w:lang w:val="pl-PL"/>
        </w:rPr>
        <w:t>encje leżą przede wszystkim w gestii państw członkowskich, Unia Europejska może wspierać działania rządów krajowych, władz lokalnych i społeczeństwa obywatelskiego, zaangażowanych w złożony i długoterminowy proces propagowania integracji i wzajemnego zaufa</w:t>
      </w:r>
      <w:r>
        <w:rPr>
          <w:rFonts w:ascii="Times New Roman" w:hAnsi="Times New Roman"/>
          <w:noProof/>
          <w:sz w:val="24"/>
          <w:lang w:val="pl-PL"/>
        </w:rPr>
        <w:t xml:space="preserve">nia. </w:t>
      </w:r>
    </w:p>
    <w:p w:rsidR="00196AF6" w:rsidRDefault="007E0AAA">
      <w:pPr>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Finansowanie pochodzi z Funduszu Azylu, Migracji i Integracji (AMIF). Szczególne znaczenie mogą mieć również Europejski Fundusz Rozwoju Regionalnego (EFRR) i Europejski Fundusz Społeczny (EFS)</w:t>
      </w:r>
      <w:r>
        <w:rPr>
          <w:rStyle w:val="FootnoteReference"/>
          <w:rFonts w:ascii="Times New Roman" w:hAnsi="Times New Roman"/>
          <w:noProof/>
          <w:sz w:val="24"/>
        </w:rPr>
        <w:footnoteReference w:id="46"/>
      </w:r>
      <w:r>
        <w:rPr>
          <w:rFonts w:ascii="Times New Roman" w:hAnsi="Times New Roman"/>
          <w:noProof/>
          <w:sz w:val="24"/>
          <w:lang w:val="pl-PL"/>
        </w:rPr>
        <w:t xml:space="preserve">. W nowym okresie programowania (2014–2020), przynajmniej 20 % zasobów EFS zostanie przeznaczone na integrację społeczną; kwota ta obejmie środki na rzecz </w:t>
      </w:r>
      <w:r>
        <w:rPr>
          <w:rFonts w:ascii="Times New Roman" w:hAnsi="Times New Roman"/>
          <w:b/>
          <w:noProof/>
          <w:sz w:val="24"/>
          <w:lang w:val="pl-PL"/>
        </w:rPr>
        <w:t>integracji migrantów</w:t>
      </w:r>
      <w:r>
        <w:rPr>
          <w:rFonts w:ascii="Times New Roman" w:hAnsi="Times New Roman"/>
          <w:noProof/>
          <w:sz w:val="24"/>
          <w:lang w:val="pl-PL"/>
        </w:rPr>
        <w:t xml:space="preserve"> ze szczególnym uwzględnieniem osób ubiegających się o azyl i uchodźców, jak równ</w:t>
      </w:r>
      <w:r>
        <w:rPr>
          <w:rFonts w:ascii="Times New Roman" w:hAnsi="Times New Roman"/>
          <w:noProof/>
          <w:sz w:val="24"/>
          <w:lang w:val="pl-PL"/>
        </w:rPr>
        <w:t>ież dzieci. Fundusze mogą wspierać ukierunkowane inicjatywy mające na celu doskonalenie znajomości języka i umiejętności zawodowych, poprawę dostępu do usług, wspieranie dostępu do rynku pracy, edukacji integracyjnej, wymiany kulturowej oraz promowanie kam</w:t>
      </w:r>
      <w:r>
        <w:rPr>
          <w:rFonts w:ascii="Times New Roman" w:hAnsi="Times New Roman"/>
          <w:noProof/>
          <w:sz w:val="24"/>
          <w:lang w:val="pl-PL"/>
        </w:rPr>
        <w:t xml:space="preserve">panii uświadamiających skierowanych zarówno do społeczności przyjmujących, jak i do migrantów. </w:t>
      </w:r>
    </w:p>
    <w:p w:rsidR="00196AF6" w:rsidRDefault="007E0AAA">
      <w:pPr>
        <w:spacing w:before="120" w:after="0" w:line="240" w:lineRule="auto"/>
        <w:jc w:val="both"/>
        <w:rPr>
          <w:rFonts w:ascii="Times New Roman" w:hAnsi="Times New Roman"/>
          <w:i/>
          <w:noProof/>
          <w:sz w:val="24"/>
          <w:szCs w:val="24"/>
          <w:lang w:val="pl-PL"/>
        </w:rPr>
      </w:pPr>
      <w:r>
        <w:rPr>
          <w:rFonts w:ascii="Times New Roman" w:hAnsi="Times New Roman"/>
          <w:i/>
          <w:noProof/>
          <w:sz w:val="24"/>
          <w:lang w:val="pl-PL"/>
        </w:rPr>
        <w:t>Maksymalizacja korzyści rozwojowych w krajach pochodzenia</w:t>
      </w:r>
    </w:p>
    <w:p w:rsidR="00196AF6" w:rsidRDefault="007E0AAA">
      <w:pPr>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Unijna polityka w dziedzinie legalnej migracji powinna wspierać rozwój krajów pochodzenia</w:t>
      </w:r>
      <w:r>
        <w:rPr>
          <w:rStyle w:val="FootnoteReference"/>
          <w:rFonts w:ascii="Times New Roman" w:hAnsi="Times New Roman"/>
          <w:noProof/>
          <w:sz w:val="24"/>
        </w:rPr>
        <w:footnoteReference w:id="47"/>
      </w:r>
      <w:r>
        <w:rPr>
          <w:rFonts w:ascii="Times New Roman" w:hAnsi="Times New Roman"/>
          <w:noProof/>
          <w:sz w:val="24"/>
          <w:lang w:val="pl-PL"/>
        </w:rPr>
        <w:t>. Organizacj</w:t>
      </w:r>
      <w:r>
        <w:rPr>
          <w:rFonts w:ascii="Times New Roman" w:hAnsi="Times New Roman"/>
          <w:noProof/>
          <w:sz w:val="24"/>
          <w:lang w:val="pl-PL"/>
        </w:rPr>
        <w:t xml:space="preserve">a Narodów Zjednoczonych przyjmie wkrótce </w:t>
      </w:r>
      <w:r>
        <w:rPr>
          <w:rFonts w:ascii="Times New Roman" w:hAnsi="Times New Roman"/>
          <w:b/>
          <w:noProof/>
          <w:sz w:val="24"/>
          <w:lang w:val="pl-PL"/>
        </w:rPr>
        <w:t>cele zrównoważonego rozwoju</w:t>
      </w:r>
      <w:r>
        <w:rPr>
          <w:rFonts w:ascii="Times New Roman" w:hAnsi="Times New Roman"/>
          <w:noProof/>
          <w:sz w:val="24"/>
          <w:lang w:val="pl-PL"/>
        </w:rPr>
        <w:t>, które powinny obejmować cele związane z migracją, jak również cele w obszarach takich jak promowanie godnej pracy, zatrudnienie młodzieży, wynagrodzenia i ochrona socjalna, co może pomóc</w:t>
      </w:r>
      <w:r>
        <w:rPr>
          <w:rFonts w:ascii="Times New Roman" w:hAnsi="Times New Roman"/>
          <w:noProof/>
          <w:sz w:val="24"/>
          <w:lang w:val="pl-PL"/>
        </w:rPr>
        <w:t xml:space="preserve"> krajom pochodzenia w zapewnieniu lepszych możliwości gospodarczych. UE będzie nadal aktywnie wspierać cele związane z migracją stanowiące część ostatecznej wersji ogólnych ram oraz podkreślać znaczenie wykorzystania pozytywnych efektów migracji jako pomoc</w:t>
      </w:r>
      <w:r>
        <w:rPr>
          <w:rFonts w:ascii="Times New Roman" w:hAnsi="Times New Roman"/>
          <w:noProof/>
          <w:sz w:val="24"/>
          <w:lang w:val="pl-PL"/>
        </w:rPr>
        <w:t xml:space="preserve">niczego środka wykonawczego w Agendzie rozwoju po roku 2015. Byłoby to uzupełnieniem prac UE w zakresie </w:t>
      </w:r>
      <w:r>
        <w:rPr>
          <w:rFonts w:ascii="Times New Roman" w:hAnsi="Times New Roman"/>
          <w:b/>
          <w:noProof/>
          <w:sz w:val="24"/>
          <w:lang w:val="pl-PL"/>
        </w:rPr>
        <w:t>partnerstw na rzecz mobilności</w:t>
      </w:r>
      <w:r>
        <w:rPr>
          <w:rStyle w:val="FootnoteReference"/>
          <w:rFonts w:ascii="Times New Roman" w:hAnsi="Times New Roman"/>
          <w:noProof/>
          <w:sz w:val="24"/>
        </w:rPr>
        <w:footnoteReference w:id="48"/>
      </w:r>
      <w:r>
        <w:rPr>
          <w:rFonts w:ascii="Times New Roman" w:hAnsi="Times New Roman"/>
          <w:noProof/>
          <w:sz w:val="24"/>
          <w:lang w:val="pl-PL"/>
        </w:rPr>
        <w:t xml:space="preserve"> oraz naszych starań mających na celu włączenie zagadnień związanych z migracją do najważniejszych sektorów rozwoju.</w:t>
      </w:r>
    </w:p>
    <w:p w:rsidR="00196AF6" w:rsidRDefault="007E0AAA">
      <w:pPr>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Komi</w:t>
      </w:r>
      <w:r>
        <w:rPr>
          <w:rFonts w:ascii="Times New Roman" w:hAnsi="Times New Roman"/>
          <w:noProof/>
          <w:sz w:val="24"/>
          <w:lang w:val="pl-PL"/>
        </w:rPr>
        <w:t xml:space="preserve">sja udostępni też co najmniej 30 mln EUR, aby pomóc krajom partnerskim w rozwijaniu zdolności w zakresie </w:t>
      </w:r>
      <w:r>
        <w:rPr>
          <w:rFonts w:ascii="Times New Roman" w:hAnsi="Times New Roman"/>
          <w:b/>
          <w:noProof/>
          <w:sz w:val="24"/>
          <w:lang w:val="pl-PL"/>
        </w:rPr>
        <w:t>skutecznego zarządzania migracją zarobkową</w:t>
      </w:r>
      <w:r>
        <w:rPr>
          <w:rFonts w:ascii="Times New Roman" w:hAnsi="Times New Roman"/>
          <w:noProof/>
          <w:sz w:val="24"/>
          <w:lang w:val="pl-PL"/>
        </w:rPr>
        <w:t>, koncentrując się na wzmocnieniu pozycji pracowników migrujących oraz zwalczaniu wyzysku. Aby odzwierciedlić</w:t>
      </w:r>
      <w:r>
        <w:rPr>
          <w:rFonts w:ascii="Times New Roman" w:hAnsi="Times New Roman"/>
          <w:noProof/>
          <w:sz w:val="24"/>
          <w:lang w:val="pl-PL"/>
        </w:rPr>
        <w:t xml:space="preserve"> sukces Europy w tworzeniu jednolitego rynku, którego podstawę stanowi mobilność pracowników, UE uruchomiła również inicjatywę o wartości 24 mln EUR na rzecz swobodnego przepływu w ramach Wspólnoty Gospodarczej Państw Afryki Zachodniej. Regionalne programy</w:t>
      </w:r>
      <w:r>
        <w:rPr>
          <w:rFonts w:ascii="Times New Roman" w:hAnsi="Times New Roman"/>
          <w:noProof/>
          <w:sz w:val="24"/>
          <w:lang w:val="pl-PL"/>
        </w:rPr>
        <w:t xml:space="preserve"> mobilności pracowników wspierające </w:t>
      </w:r>
      <w:r>
        <w:rPr>
          <w:rFonts w:ascii="Times New Roman" w:hAnsi="Times New Roman"/>
          <w:b/>
          <w:noProof/>
          <w:sz w:val="24"/>
          <w:lang w:val="pl-PL"/>
        </w:rPr>
        <w:t>mobilność Południe-Południe</w:t>
      </w:r>
      <w:r>
        <w:rPr>
          <w:rFonts w:ascii="Times New Roman" w:hAnsi="Times New Roman"/>
          <w:noProof/>
          <w:sz w:val="24"/>
          <w:lang w:val="pl-PL"/>
        </w:rPr>
        <w:t xml:space="preserve"> mogą wnieść istotny wkład w rozwój lokalny. Komisja będzie również wspierać etyczną rekrutację w sektorach cierpiących na niedobór wykwalifikowanych pracowników w państwach pochodzenia, wspier</w:t>
      </w:r>
      <w:r>
        <w:rPr>
          <w:rFonts w:ascii="Times New Roman" w:hAnsi="Times New Roman"/>
          <w:noProof/>
          <w:sz w:val="24"/>
          <w:lang w:val="pl-PL"/>
        </w:rPr>
        <w:t>ając inicjatywy międzynarodowe w tym zakresie.</w:t>
      </w:r>
    </w:p>
    <w:p w:rsidR="00196AF6" w:rsidRDefault="007E0AAA">
      <w:pPr>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 xml:space="preserve">Jednym ze sposobów, w jaki UE może przyczynić się do zagwarantowania, że kraje pochodzenia skorzystają z migracji jest ułatwianie </w:t>
      </w:r>
      <w:r>
        <w:rPr>
          <w:rFonts w:ascii="Times New Roman" w:hAnsi="Times New Roman"/>
          <w:b/>
          <w:noProof/>
          <w:sz w:val="24"/>
          <w:lang w:val="pl-PL"/>
        </w:rPr>
        <w:t>tańszych, szybszych i bezpieczniejszych przekazów pieniężnych</w:t>
      </w:r>
      <w:r>
        <w:rPr>
          <w:rFonts w:ascii="Times New Roman" w:hAnsi="Times New Roman"/>
          <w:noProof/>
          <w:sz w:val="24"/>
          <w:lang w:val="pl-PL"/>
        </w:rPr>
        <w:t>. Przyjęcie wniosk</w:t>
      </w:r>
      <w:r>
        <w:rPr>
          <w:rFonts w:ascii="Times New Roman" w:hAnsi="Times New Roman"/>
          <w:noProof/>
          <w:sz w:val="24"/>
          <w:lang w:val="pl-PL"/>
        </w:rPr>
        <w:t>u dotyczącego unijnej dyrektywy w sprawie usług płatniczych II</w:t>
      </w:r>
      <w:r>
        <w:rPr>
          <w:rStyle w:val="FootnoteReference"/>
          <w:rFonts w:ascii="Times New Roman" w:hAnsi="Times New Roman"/>
          <w:noProof/>
          <w:sz w:val="24"/>
        </w:rPr>
        <w:footnoteReference w:id="49"/>
      </w:r>
      <w:r>
        <w:rPr>
          <w:rFonts w:ascii="Times New Roman" w:hAnsi="Times New Roman"/>
          <w:noProof/>
          <w:sz w:val="24"/>
          <w:lang w:val="pl-PL"/>
        </w:rPr>
        <w:t xml:space="preserve"> mogłoby przyczynić się do poprawy otoczenia regulacyjnego w odniesieniu do przekazów pieniężnych, a w ramach Instrumentu Finansowania Współpracy na rzecz Rozwoju udostępnione zostanie co najmn</w:t>
      </w:r>
      <w:r>
        <w:rPr>
          <w:rFonts w:ascii="Times New Roman" w:hAnsi="Times New Roman"/>
          <w:noProof/>
          <w:sz w:val="24"/>
          <w:lang w:val="pl-PL"/>
        </w:rPr>
        <w:t xml:space="preserve">iej 15 mln EUR w celu wsparcia inicjatyw przewodnich w krajach rozwijających się. </w:t>
      </w:r>
    </w:p>
    <w:p w:rsidR="00196AF6" w:rsidRDefault="00196AF6">
      <w:pPr>
        <w:spacing w:before="120" w:after="0" w:line="240" w:lineRule="auto"/>
        <w:jc w:val="both"/>
        <w:rPr>
          <w:rFonts w:ascii="Times New Roman" w:hAnsi="Times New Roman"/>
          <w:noProof/>
          <w:sz w:val="24"/>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96AF6">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vAlign w:val="center"/>
          </w:tcPr>
          <w:p w:rsidR="00196AF6" w:rsidRDefault="007E0AAA">
            <w:pPr>
              <w:jc w:val="center"/>
              <w:rPr>
                <w:rFonts w:ascii="Times New Roman" w:hAnsi="Times New Roman"/>
                <w:b/>
                <w:i/>
                <w:noProof/>
                <w:sz w:val="20"/>
                <w:szCs w:val="20"/>
              </w:rPr>
            </w:pPr>
            <w:r>
              <w:rPr>
                <w:rFonts w:ascii="Times New Roman" w:hAnsi="Times New Roman"/>
                <w:b/>
                <w:i/>
                <w:noProof/>
                <w:sz w:val="20"/>
              </w:rPr>
              <w:t>Kluczowe działania</w:t>
            </w:r>
          </w:p>
        </w:tc>
        <w:tc>
          <w:tcPr>
            <w:tcW w:w="7620" w:type="dxa"/>
            <w:tcBorders>
              <w:top w:val="single" w:sz="4" w:space="0" w:color="auto"/>
              <w:left w:val="single" w:sz="4" w:space="0" w:color="auto"/>
              <w:bottom w:val="single" w:sz="4" w:space="0" w:color="auto"/>
              <w:right w:val="single" w:sz="4" w:space="0" w:color="auto"/>
            </w:tcBorders>
            <w:shd w:val="clear" w:color="auto" w:fill="auto"/>
          </w:tcPr>
          <w:p w:rsidR="00196AF6" w:rsidRDefault="007E0AAA">
            <w:pPr>
              <w:pStyle w:val="ListParagraph"/>
              <w:numPr>
                <w:ilvl w:val="0"/>
                <w:numId w:val="2"/>
              </w:numPr>
              <w:spacing w:after="0" w:line="240" w:lineRule="auto"/>
              <w:jc w:val="both"/>
              <w:rPr>
                <w:rFonts w:ascii="Times New Roman" w:hAnsi="Times New Roman"/>
                <w:noProof/>
                <w:sz w:val="20"/>
                <w:szCs w:val="20"/>
                <w:lang w:val="pl-PL"/>
              </w:rPr>
            </w:pPr>
            <w:r>
              <w:rPr>
                <w:rFonts w:ascii="Times New Roman" w:hAnsi="Times New Roman"/>
                <w:noProof/>
                <w:sz w:val="20"/>
                <w:lang w:val="pl-PL"/>
              </w:rPr>
              <w:t>Modernizacja i przekształcenie systemu niebieskiej karty.</w:t>
            </w:r>
          </w:p>
          <w:p w:rsidR="00196AF6" w:rsidRDefault="007E0AAA">
            <w:pPr>
              <w:pStyle w:val="ListParagraph"/>
              <w:numPr>
                <w:ilvl w:val="0"/>
                <w:numId w:val="2"/>
              </w:numPr>
              <w:spacing w:after="0" w:line="240" w:lineRule="auto"/>
              <w:jc w:val="both"/>
              <w:rPr>
                <w:rFonts w:ascii="Times New Roman" w:hAnsi="Times New Roman"/>
                <w:noProof/>
                <w:sz w:val="20"/>
                <w:szCs w:val="20"/>
                <w:lang w:val="pl-PL"/>
              </w:rPr>
            </w:pPr>
            <w:r>
              <w:rPr>
                <w:rFonts w:ascii="Times New Roman" w:hAnsi="Times New Roman"/>
                <w:noProof/>
                <w:sz w:val="20"/>
                <w:lang w:val="pl-PL"/>
              </w:rPr>
              <w:t>Platforma dialogu z partnerami społecznymi w sprawie migracji ekonomicznej.</w:t>
            </w:r>
          </w:p>
          <w:p w:rsidR="00196AF6" w:rsidRDefault="007E0AAA">
            <w:pPr>
              <w:pStyle w:val="ListParagraph"/>
              <w:numPr>
                <w:ilvl w:val="0"/>
                <w:numId w:val="2"/>
              </w:numPr>
              <w:spacing w:after="0" w:line="240" w:lineRule="auto"/>
              <w:jc w:val="both"/>
              <w:rPr>
                <w:rFonts w:ascii="Times New Roman" w:hAnsi="Times New Roman"/>
                <w:noProof/>
                <w:sz w:val="20"/>
                <w:szCs w:val="20"/>
                <w:lang w:val="pl-PL"/>
              </w:rPr>
            </w:pPr>
            <w:r>
              <w:rPr>
                <w:rFonts w:ascii="Times New Roman" w:hAnsi="Times New Roman"/>
                <w:noProof/>
                <w:sz w:val="20"/>
                <w:lang w:val="pl-PL"/>
              </w:rPr>
              <w:t xml:space="preserve">Bardziej </w:t>
            </w:r>
            <w:r>
              <w:rPr>
                <w:rFonts w:ascii="Times New Roman" w:hAnsi="Times New Roman"/>
                <w:noProof/>
                <w:sz w:val="20"/>
                <w:lang w:val="pl-PL"/>
              </w:rPr>
              <w:t>zdecydowane działania w celu powiązania polityki w zakresie migracji i rozwoju.</w:t>
            </w:r>
          </w:p>
          <w:p w:rsidR="00196AF6" w:rsidRDefault="007E0AAA">
            <w:pPr>
              <w:pStyle w:val="ListParagraph"/>
              <w:numPr>
                <w:ilvl w:val="0"/>
                <w:numId w:val="2"/>
              </w:numPr>
              <w:spacing w:after="0" w:line="240" w:lineRule="auto"/>
              <w:jc w:val="both"/>
              <w:rPr>
                <w:rFonts w:ascii="Times New Roman" w:hAnsi="Times New Roman"/>
                <w:noProof/>
                <w:sz w:val="20"/>
                <w:szCs w:val="20"/>
                <w:lang w:val="pl-PL"/>
              </w:rPr>
            </w:pPr>
            <w:r>
              <w:rPr>
                <w:rFonts w:ascii="Times New Roman" w:hAnsi="Times New Roman"/>
                <w:noProof/>
                <w:sz w:val="20"/>
                <w:lang w:val="pl-PL"/>
              </w:rPr>
              <w:t>Zmiana priorytetów finansowania polityki integracyjnej.</w:t>
            </w:r>
          </w:p>
          <w:p w:rsidR="00196AF6" w:rsidRDefault="007E0AAA">
            <w:pPr>
              <w:pStyle w:val="ListParagraph"/>
              <w:numPr>
                <w:ilvl w:val="0"/>
                <w:numId w:val="2"/>
              </w:numPr>
              <w:spacing w:after="0" w:line="240" w:lineRule="auto"/>
              <w:jc w:val="both"/>
              <w:rPr>
                <w:rFonts w:ascii="Times New Roman" w:hAnsi="Times New Roman"/>
                <w:noProof/>
                <w:sz w:val="20"/>
                <w:szCs w:val="20"/>
                <w:lang w:val="pl-PL"/>
              </w:rPr>
            </w:pPr>
            <w:r>
              <w:rPr>
                <w:rFonts w:ascii="Times New Roman" w:hAnsi="Times New Roman"/>
                <w:noProof/>
                <w:sz w:val="20"/>
                <w:lang w:val="pl-PL"/>
              </w:rPr>
              <w:t>Tańsze, szybsze i bezpieczniejsze przekazy pieniężne.</w:t>
            </w:r>
          </w:p>
        </w:tc>
      </w:tr>
    </w:tbl>
    <w:p w:rsidR="00196AF6" w:rsidRDefault="00196AF6">
      <w:pPr>
        <w:tabs>
          <w:tab w:val="left" w:pos="6750"/>
        </w:tabs>
        <w:spacing w:line="240" w:lineRule="auto"/>
        <w:rPr>
          <w:rFonts w:ascii="Times New Roman" w:hAnsi="Times New Roman"/>
          <w:b/>
          <w:noProof/>
          <w:sz w:val="20"/>
          <w:szCs w:val="20"/>
          <w:lang w:val="pl-PL"/>
        </w:rPr>
      </w:pPr>
    </w:p>
    <w:p w:rsidR="00196AF6" w:rsidRDefault="007E0AAA">
      <w:pPr>
        <w:tabs>
          <w:tab w:val="left" w:pos="6750"/>
        </w:tabs>
        <w:spacing w:line="240" w:lineRule="auto"/>
        <w:rPr>
          <w:rFonts w:ascii="Times New Roman" w:hAnsi="Times New Roman"/>
          <w:b/>
          <w:noProof/>
          <w:sz w:val="36"/>
          <w:szCs w:val="36"/>
          <w:u w:val="single"/>
          <w:lang w:val="pl-PL"/>
        </w:rPr>
      </w:pPr>
      <w:r>
        <w:rPr>
          <w:rFonts w:ascii="Times New Roman" w:hAnsi="Times New Roman"/>
          <w:b/>
          <w:noProof/>
          <w:sz w:val="36"/>
          <w:lang w:val="pl-PL"/>
        </w:rPr>
        <w:t xml:space="preserve">IV. </w:t>
      </w:r>
      <w:r>
        <w:rPr>
          <w:rFonts w:ascii="Times New Roman" w:hAnsi="Times New Roman"/>
          <w:b/>
          <w:noProof/>
          <w:sz w:val="36"/>
          <w:u w:val="single"/>
          <w:lang w:val="pl-PL"/>
        </w:rPr>
        <w:t>Dalsze działania</w:t>
      </w:r>
    </w:p>
    <w:p w:rsidR="00196AF6" w:rsidRDefault="007E0AAA">
      <w:pPr>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 xml:space="preserve">Niniejszy program koncentruje się przede </w:t>
      </w:r>
      <w:r>
        <w:rPr>
          <w:rFonts w:ascii="Times New Roman" w:hAnsi="Times New Roman"/>
          <w:noProof/>
          <w:sz w:val="24"/>
          <w:lang w:val="pl-PL"/>
        </w:rPr>
        <w:t>wszystkim na oferowaniu rozwiązań, które pozwolą Europie na poczynienie postępów w omawianych dziedzinach w perspektywie krótko- i średnioterminowej. Jeśli jednak mamy rozwiązać przedmiotowe kwestie w sposób efektywny i zrównoważony w perspektywie długoter</w:t>
      </w:r>
      <w:r>
        <w:rPr>
          <w:rFonts w:ascii="Times New Roman" w:hAnsi="Times New Roman"/>
          <w:noProof/>
          <w:sz w:val="24"/>
          <w:lang w:val="pl-PL"/>
        </w:rPr>
        <w:t>minowej, współpraca europejska w dziedzinie migracji musi pójść jeszcze dalej.</w:t>
      </w:r>
    </w:p>
    <w:p w:rsidR="00196AF6" w:rsidRDefault="007E0AAA">
      <w:pPr>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Inicjatywy zawarte w programie będą miały kluczowe znaczenie dla tworzenia skutecznej i zrównoważonej europejskiej polityki migracyjnej. Komisja rozpocznie równoległe dyskusje w</w:t>
      </w:r>
      <w:r>
        <w:rPr>
          <w:rFonts w:ascii="Times New Roman" w:hAnsi="Times New Roman"/>
          <w:noProof/>
          <w:sz w:val="24"/>
          <w:lang w:val="pl-PL"/>
        </w:rPr>
        <w:t xml:space="preserve"> następujących dziedzinach, w zakresie, w jakim są one objęte traktatami i ich protokołami:</w:t>
      </w:r>
    </w:p>
    <w:p w:rsidR="00196AF6" w:rsidRDefault="007E0AAA">
      <w:pPr>
        <w:spacing w:before="120" w:after="0" w:line="240" w:lineRule="auto"/>
        <w:jc w:val="both"/>
        <w:rPr>
          <w:rFonts w:ascii="Times New Roman" w:hAnsi="Times New Roman"/>
          <w:noProof/>
          <w:sz w:val="24"/>
          <w:szCs w:val="24"/>
          <w:lang w:val="pl-PL"/>
        </w:rPr>
      </w:pPr>
      <w:r>
        <w:rPr>
          <w:rFonts w:ascii="Times New Roman" w:hAnsi="Times New Roman"/>
          <w:noProof/>
          <w:sz w:val="24"/>
          <w:lang w:val="pl-PL"/>
        </w:rPr>
        <w:t xml:space="preserve"> </w:t>
      </w:r>
    </w:p>
    <w:p w:rsidR="00196AF6" w:rsidRDefault="007E0AAA">
      <w:pPr>
        <w:pStyle w:val="ListParagraph"/>
        <w:numPr>
          <w:ilvl w:val="0"/>
          <w:numId w:val="31"/>
        </w:numPr>
        <w:spacing w:after="0" w:line="240" w:lineRule="auto"/>
        <w:ind w:left="425" w:hanging="357"/>
        <w:jc w:val="both"/>
        <w:rPr>
          <w:rFonts w:ascii="Times New Roman" w:hAnsi="Times New Roman"/>
          <w:b/>
          <w:noProof/>
          <w:sz w:val="24"/>
          <w:szCs w:val="24"/>
          <w:lang w:val="pl-PL"/>
        </w:rPr>
      </w:pPr>
      <w:r>
        <w:rPr>
          <w:rFonts w:ascii="Times New Roman" w:hAnsi="Times New Roman"/>
          <w:i/>
          <w:noProof/>
          <w:sz w:val="24"/>
          <w:lang w:val="pl-PL"/>
        </w:rPr>
        <w:t>Zakończenie tworzenia wspólnego europejskiego systemu azylowego</w:t>
      </w:r>
      <w:r>
        <w:rPr>
          <w:rFonts w:ascii="Times New Roman" w:hAnsi="Times New Roman"/>
          <w:noProof/>
          <w:sz w:val="24"/>
          <w:lang w:val="pl-PL"/>
        </w:rPr>
        <w:t>: Traktaty UE stworzyły podstawę jednolitego statusu w zakresie azylu, ważnego w całej Unii.</w:t>
      </w:r>
      <w:r>
        <w:rPr>
          <w:rFonts w:ascii="Times New Roman" w:hAnsi="Times New Roman"/>
          <w:b/>
          <w:noProof/>
          <w:sz w:val="24"/>
          <w:lang w:val="pl-PL"/>
        </w:rPr>
        <w:t xml:space="preserve"> </w:t>
      </w:r>
      <w:r>
        <w:rPr>
          <w:rFonts w:ascii="Times New Roman" w:hAnsi="Times New Roman"/>
          <w:noProof/>
          <w:sz w:val="24"/>
          <w:lang w:val="pl-PL"/>
        </w:rPr>
        <w:t>Komisj</w:t>
      </w:r>
      <w:r>
        <w:rPr>
          <w:rFonts w:ascii="Times New Roman" w:hAnsi="Times New Roman"/>
          <w:noProof/>
          <w:sz w:val="24"/>
          <w:lang w:val="pl-PL"/>
        </w:rPr>
        <w:t>a zapoczątkuje szeroko zakrojoną debatę na temat kolejnych etapów rozwoju wspólnego europejskiego systemu azylowego, w tym możliwości opracowania wspólnego kodeksu azylowego oraz wzajemnego uznawania decyzji o udzieleniu azylu</w:t>
      </w:r>
      <w:r>
        <w:rPr>
          <w:rStyle w:val="FootnoteReference"/>
          <w:rFonts w:ascii="Times New Roman" w:hAnsi="Times New Roman"/>
          <w:noProof/>
          <w:sz w:val="24"/>
        </w:rPr>
        <w:footnoteReference w:id="50"/>
      </w:r>
      <w:r>
        <w:rPr>
          <w:rFonts w:ascii="Times New Roman" w:hAnsi="Times New Roman"/>
          <w:noProof/>
          <w:sz w:val="24"/>
          <w:lang w:val="pl-PL"/>
        </w:rPr>
        <w:t>. Częścią debaty będzie równi</w:t>
      </w:r>
      <w:r>
        <w:rPr>
          <w:rFonts w:ascii="Times New Roman" w:hAnsi="Times New Roman"/>
          <w:noProof/>
          <w:sz w:val="24"/>
          <w:lang w:val="pl-PL"/>
        </w:rPr>
        <w:t>eż długofalowa refleksja nad ustanowieniem jednego procesu decyzyjnego dotyczącego azylu, celem zagwarantowania równego traktowania osób ubiegających się o azyl w całej Europie.</w:t>
      </w:r>
      <w:r>
        <w:rPr>
          <w:rFonts w:ascii="Times New Roman" w:hAnsi="Times New Roman"/>
          <w:b/>
          <w:noProof/>
          <w:sz w:val="24"/>
          <w:lang w:val="pl-PL"/>
        </w:rPr>
        <w:t xml:space="preserve"> </w:t>
      </w:r>
    </w:p>
    <w:p w:rsidR="00196AF6" w:rsidRDefault="00196AF6">
      <w:pPr>
        <w:pStyle w:val="ListParagraph"/>
        <w:spacing w:before="120" w:after="0" w:line="240" w:lineRule="auto"/>
        <w:jc w:val="both"/>
        <w:rPr>
          <w:rFonts w:ascii="Times New Roman" w:hAnsi="Times New Roman"/>
          <w:b/>
          <w:noProof/>
          <w:sz w:val="24"/>
          <w:szCs w:val="24"/>
          <w:lang w:val="pl-PL"/>
        </w:rPr>
      </w:pPr>
    </w:p>
    <w:p w:rsidR="00196AF6" w:rsidRDefault="007E0AAA">
      <w:pPr>
        <w:pStyle w:val="ListParagraph"/>
        <w:numPr>
          <w:ilvl w:val="0"/>
          <w:numId w:val="31"/>
        </w:numPr>
        <w:spacing w:before="120" w:after="0" w:line="240" w:lineRule="auto"/>
        <w:ind w:left="426"/>
        <w:jc w:val="both"/>
        <w:rPr>
          <w:rFonts w:ascii="Times New Roman" w:hAnsi="Times New Roman"/>
          <w:noProof/>
          <w:sz w:val="24"/>
          <w:szCs w:val="24"/>
          <w:lang w:val="pl-PL"/>
        </w:rPr>
      </w:pPr>
      <w:r>
        <w:rPr>
          <w:rFonts w:ascii="Times New Roman" w:hAnsi="Times New Roman"/>
          <w:i/>
          <w:noProof/>
          <w:sz w:val="24"/>
          <w:lang w:val="pl-PL"/>
        </w:rPr>
        <w:t>Wspólne zarządzanie granicami europejskimi</w:t>
      </w:r>
      <w:r>
        <w:rPr>
          <w:rFonts w:ascii="Times New Roman" w:hAnsi="Times New Roman"/>
          <w:noProof/>
          <w:sz w:val="24"/>
          <w:lang w:val="pl-PL"/>
        </w:rPr>
        <w:t xml:space="preserve">: Intensyfikacja działań w </w:t>
      </w:r>
      <w:r>
        <w:rPr>
          <w:rFonts w:ascii="Times New Roman" w:hAnsi="Times New Roman"/>
          <w:noProof/>
          <w:sz w:val="24"/>
          <w:lang w:val="pl-PL"/>
        </w:rPr>
        <w:t>regionie Morza Śródziemnego pokazuje, że zarządzanie granicami zewnętrznymi w coraz większym stopniu stanowi wspólną odpowiedzialność. Oprócz stworzenia europejskiego systemu straży granicznej</w:t>
      </w:r>
      <w:r>
        <w:rPr>
          <w:rStyle w:val="FootnoteReference"/>
          <w:rFonts w:ascii="Times New Roman" w:hAnsi="Times New Roman"/>
          <w:noProof/>
          <w:sz w:val="24"/>
          <w:lang w:val="pl-PL"/>
        </w:rPr>
        <w:t xml:space="preserve"> </w:t>
      </w:r>
      <w:r>
        <w:rPr>
          <w:rStyle w:val="FootnoteReference"/>
          <w:rFonts w:ascii="Times New Roman" w:hAnsi="Times New Roman"/>
          <w:noProof/>
          <w:sz w:val="24"/>
        </w:rPr>
        <w:footnoteReference w:id="51"/>
      </w:r>
      <w:r>
        <w:rPr>
          <w:rFonts w:ascii="Times New Roman" w:hAnsi="Times New Roman"/>
          <w:noProof/>
          <w:sz w:val="24"/>
          <w:lang w:val="pl-PL"/>
        </w:rPr>
        <w:t xml:space="preserve"> współpraca ta objęłaby nowe podejście do funkcji straży przyb</w:t>
      </w:r>
      <w:r>
        <w:rPr>
          <w:rFonts w:ascii="Times New Roman" w:hAnsi="Times New Roman"/>
          <w:noProof/>
          <w:sz w:val="24"/>
          <w:lang w:val="pl-PL"/>
        </w:rPr>
        <w:t>rzeżnej w UE, z uwzględnieniem inicjatyw takich jak: wspólne wykorzystywanie zasobów cywilnych i wojskowych, wspólne ćwiczenia i wspólne korzystanie z zasobów, jak również możliwość stworzenia europejskiej straży przybrzeżnej.</w:t>
      </w:r>
    </w:p>
    <w:p w:rsidR="00196AF6" w:rsidRDefault="00196AF6">
      <w:pPr>
        <w:pStyle w:val="ListParagraph"/>
        <w:spacing w:line="240" w:lineRule="auto"/>
        <w:rPr>
          <w:rFonts w:ascii="Times New Roman" w:hAnsi="Times New Roman"/>
          <w:noProof/>
          <w:sz w:val="24"/>
          <w:szCs w:val="24"/>
          <w:lang w:val="pl-PL"/>
        </w:rPr>
      </w:pPr>
    </w:p>
    <w:p w:rsidR="00196AF6" w:rsidRDefault="007E0AAA">
      <w:pPr>
        <w:pStyle w:val="ListParagraph"/>
        <w:numPr>
          <w:ilvl w:val="0"/>
          <w:numId w:val="31"/>
        </w:numPr>
        <w:spacing w:before="120" w:after="0" w:line="240" w:lineRule="auto"/>
        <w:ind w:left="426"/>
        <w:jc w:val="both"/>
        <w:rPr>
          <w:rFonts w:ascii="Times New Roman" w:hAnsi="Times New Roman"/>
          <w:noProof/>
          <w:sz w:val="24"/>
          <w:szCs w:val="24"/>
          <w:lang w:val="pl-PL"/>
        </w:rPr>
      </w:pPr>
      <w:r>
        <w:rPr>
          <w:rFonts w:ascii="Times New Roman" w:hAnsi="Times New Roman"/>
          <w:i/>
          <w:noProof/>
          <w:sz w:val="24"/>
          <w:lang w:val="pl-PL"/>
        </w:rPr>
        <w:t>Nowy model legalnej migracji</w:t>
      </w:r>
      <w:r>
        <w:rPr>
          <w:rFonts w:ascii="Times New Roman" w:hAnsi="Times New Roman"/>
          <w:i/>
          <w:noProof/>
          <w:sz w:val="24"/>
          <w:lang w:val="pl-PL"/>
        </w:rPr>
        <w:t>:</w:t>
      </w:r>
      <w:r>
        <w:rPr>
          <w:rFonts w:ascii="Times New Roman" w:hAnsi="Times New Roman"/>
          <w:noProof/>
          <w:sz w:val="24"/>
          <w:lang w:val="pl-PL"/>
        </w:rPr>
        <w:t xml:space="preserve"> Zgodnie z traktatami UE ostateczną decyzję w sprawie przyjmowania imigrantów zarobkowych podejmują państwa członkowskie. UE musi jednak sprawdzić, w jaki sposób można pogodzić to ograniczenie ze zbiorowymi potrzebami gospodarki UE. W szczególności Komisj</w:t>
      </w:r>
      <w:r>
        <w:rPr>
          <w:rFonts w:ascii="Times New Roman" w:hAnsi="Times New Roman"/>
          <w:noProof/>
          <w:sz w:val="24"/>
          <w:lang w:val="pl-PL"/>
        </w:rPr>
        <w:t>a zbada możliwość opracowania wraz z państwami członkowskimi „systemu wyrażania zainteresowania”. System ten stosowałby możliwe do zweryfikowania kryteria w celu wstępnego wyboru potencjalnych migrantów; następnie pracodawcy określiliby priorytetowych kand</w:t>
      </w:r>
      <w:r>
        <w:rPr>
          <w:rFonts w:ascii="Times New Roman" w:hAnsi="Times New Roman"/>
          <w:noProof/>
          <w:sz w:val="24"/>
          <w:lang w:val="pl-PL"/>
        </w:rPr>
        <w:t>ydatów z dostępnej puli, a migracja miałaby miejsce po zaoferowaniu zatrudnienia. Pozwoliłoby to na stworzenie ogólnounijnej puli wykwalifikowanych migrantów, dostępnej zarówno dla pracodawców, jak i organów państw członkowskich, natomiast sam wybór i proc</w:t>
      </w:r>
      <w:r>
        <w:rPr>
          <w:rFonts w:ascii="Times New Roman" w:hAnsi="Times New Roman"/>
          <w:noProof/>
          <w:sz w:val="24"/>
          <w:lang w:val="pl-PL"/>
        </w:rPr>
        <w:t>edura przyjmowania pozostałyby w gestii krajowej, w oparciu o rzeczywiste potrzeby rynku pracy państw członkowskich.</w:t>
      </w:r>
    </w:p>
    <w:p w:rsidR="00196AF6" w:rsidRDefault="00196AF6">
      <w:pPr>
        <w:rPr>
          <w:rFonts w:ascii="Times New Roman" w:hAnsi="Times New Roman"/>
          <w:noProof/>
          <w:sz w:val="24"/>
          <w:szCs w:val="24"/>
          <w:lang w:val="pl-PL"/>
        </w:rPr>
      </w:pPr>
    </w:p>
    <w:p w:rsidR="00196AF6" w:rsidRDefault="007E0AAA">
      <w:pPr>
        <w:rPr>
          <w:rFonts w:ascii="Times New Roman" w:hAnsi="Times New Roman"/>
          <w:b/>
          <w:bCs/>
          <w:noProof/>
          <w:sz w:val="24"/>
          <w:szCs w:val="24"/>
          <w:lang w:val="pl-PL"/>
        </w:rPr>
      </w:pPr>
      <w:r>
        <w:rPr>
          <w:rFonts w:ascii="Times New Roman" w:hAnsi="Times New Roman"/>
          <w:noProof/>
          <w:lang w:val="pl-PL"/>
        </w:rPr>
        <w:br w:type="page"/>
      </w:r>
    </w:p>
    <w:p w:rsidR="00196AF6" w:rsidRDefault="007E0AAA">
      <w:pPr>
        <w:autoSpaceDE w:val="0"/>
        <w:autoSpaceDN w:val="0"/>
        <w:adjustRightInd w:val="0"/>
        <w:spacing w:after="0" w:line="360" w:lineRule="auto"/>
        <w:jc w:val="center"/>
        <w:rPr>
          <w:rFonts w:ascii="Times New Roman" w:hAnsi="Times New Roman"/>
          <w:b/>
          <w:bCs/>
          <w:noProof/>
          <w:sz w:val="24"/>
          <w:szCs w:val="24"/>
          <w:lang w:val="pl-PL"/>
        </w:rPr>
      </w:pPr>
      <w:r>
        <w:rPr>
          <w:rFonts w:ascii="Times New Roman" w:hAnsi="Times New Roman"/>
          <w:b/>
          <w:noProof/>
          <w:sz w:val="24"/>
          <w:lang w:val="pl-PL"/>
        </w:rPr>
        <w:t>ZAŁĄCZNIK</w:t>
      </w:r>
    </w:p>
    <w:p w:rsidR="00196AF6" w:rsidRDefault="00196AF6">
      <w:pPr>
        <w:autoSpaceDE w:val="0"/>
        <w:autoSpaceDN w:val="0"/>
        <w:adjustRightInd w:val="0"/>
        <w:spacing w:after="0" w:line="360" w:lineRule="auto"/>
        <w:jc w:val="center"/>
        <w:rPr>
          <w:rFonts w:ascii="Times New Roman" w:hAnsi="Times New Roman"/>
          <w:b/>
          <w:bCs/>
          <w:noProof/>
          <w:sz w:val="24"/>
          <w:szCs w:val="24"/>
          <w:lang w:val="pl-PL"/>
        </w:rPr>
      </w:pPr>
    </w:p>
    <w:p w:rsidR="00196AF6" w:rsidRDefault="007E0AAA">
      <w:pPr>
        <w:autoSpaceDE w:val="0"/>
        <w:autoSpaceDN w:val="0"/>
        <w:adjustRightInd w:val="0"/>
        <w:spacing w:after="0" w:line="360" w:lineRule="auto"/>
        <w:jc w:val="center"/>
        <w:rPr>
          <w:rFonts w:ascii="Times New Roman" w:hAnsi="Times New Roman"/>
          <w:b/>
          <w:bCs/>
          <w:noProof/>
          <w:sz w:val="24"/>
          <w:szCs w:val="24"/>
          <w:lang w:val="pl-PL"/>
        </w:rPr>
      </w:pPr>
      <w:r>
        <w:rPr>
          <w:rFonts w:ascii="Times New Roman" w:hAnsi="Times New Roman"/>
          <w:b/>
          <w:noProof/>
          <w:sz w:val="24"/>
          <w:lang w:val="pl-PL"/>
        </w:rPr>
        <w:t xml:space="preserve">Europejskie programy w zakresie przesiedleń i relokacji </w:t>
      </w:r>
    </w:p>
    <w:p w:rsidR="00196AF6" w:rsidRDefault="007E0AAA">
      <w:pPr>
        <w:spacing w:after="120" w:line="240" w:lineRule="auto"/>
        <w:jc w:val="both"/>
        <w:rPr>
          <w:rFonts w:ascii="Times New Roman" w:hAnsi="Times New Roman"/>
          <w:b/>
          <w:noProof/>
          <w:sz w:val="24"/>
          <w:szCs w:val="24"/>
          <w:u w:val="single"/>
          <w:lang w:val="pl-PL"/>
        </w:rPr>
      </w:pPr>
      <w:r>
        <w:rPr>
          <w:rFonts w:ascii="Times New Roman" w:hAnsi="Times New Roman"/>
          <w:b/>
          <w:noProof/>
          <w:sz w:val="24"/>
          <w:u w:val="single"/>
          <w:lang w:val="pl-PL"/>
        </w:rPr>
        <w:t>Relokacja</w:t>
      </w:r>
    </w:p>
    <w:p w:rsidR="00196AF6" w:rsidRDefault="007E0AAA">
      <w:pPr>
        <w:spacing w:after="120" w:line="240" w:lineRule="auto"/>
        <w:jc w:val="both"/>
        <w:rPr>
          <w:rFonts w:ascii="Times New Roman" w:eastAsia="Times New Roman" w:hAnsi="Times New Roman"/>
          <w:noProof/>
          <w:sz w:val="24"/>
          <w:szCs w:val="24"/>
          <w:lang w:val="pl-PL"/>
        </w:rPr>
      </w:pPr>
      <w:r>
        <w:rPr>
          <w:rFonts w:ascii="Times New Roman" w:hAnsi="Times New Roman"/>
          <w:noProof/>
          <w:sz w:val="24"/>
          <w:lang w:val="pl-PL"/>
        </w:rPr>
        <w:t xml:space="preserve">„Relokacja” oznacza rozmieszczenie między państwa członkowskie osób, które wyraźnie potrzebują ochrony międzynarodowej. </w:t>
      </w:r>
    </w:p>
    <w:p w:rsidR="00196AF6" w:rsidRDefault="007E0AAA">
      <w:pPr>
        <w:spacing w:before="120" w:after="120" w:line="240" w:lineRule="auto"/>
        <w:jc w:val="both"/>
        <w:rPr>
          <w:rFonts w:ascii="Times New Roman" w:hAnsi="Times New Roman"/>
          <w:noProof/>
          <w:sz w:val="24"/>
          <w:szCs w:val="24"/>
          <w:lang w:val="pl-PL"/>
        </w:rPr>
      </w:pPr>
      <w:r>
        <w:rPr>
          <w:rFonts w:ascii="Times New Roman" w:hAnsi="Times New Roman"/>
          <w:noProof/>
          <w:sz w:val="24"/>
          <w:lang w:val="pl-PL"/>
        </w:rPr>
        <w:t xml:space="preserve">Na podstawie klucza podziału Komisja zaproponuje do końca maja uruchomienie systemu reagowania w nadzwyczajnej sytuacji przewidzianego </w:t>
      </w:r>
      <w:r>
        <w:rPr>
          <w:rFonts w:ascii="Times New Roman" w:hAnsi="Times New Roman"/>
          <w:noProof/>
          <w:sz w:val="24"/>
          <w:lang w:val="pl-PL"/>
        </w:rPr>
        <w:t xml:space="preserve">w art. 78 ust. 3 Traktatu o funkcjonowaniu Unii Europejskiej oraz wprowadzenie </w:t>
      </w:r>
      <w:r>
        <w:rPr>
          <w:rFonts w:ascii="Times New Roman" w:hAnsi="Times New Roman"/>
          <w:b/>
          <w:noProof/>
          <w:sz w:val="24"/>
          <w:lang w:val="pl-PL"/>
        </w:rPr>
        <w:t>tymczasowego europejskiego programu relokacji</w:t>
      </w:r>
      <w:r>
        <w:rPr>
          <w:rFonts w:ascii="Times New Roman" w:hAnsi="Times New Roman"/>
          <w:noProof/>
          <w:sz w:val="24"/>
          <w:lang w:val="pl-PL"/>
        </w:rPr>
        <w:t xml:space="preserve"> dla osób ubiegających się o azyl, które wyraźnie potrzebują ochrony międzynarodowej. </w:t>
      </w:r>
    </w:p>
    <w:p w:rsidR="00196AF6" w:rsidRDefault="007E0AAA">
      <w:pPr>
        <w:spacing w:before="120" w:after="120" w:line="240" w:lineRule="auto"/>
        <w:jc w:val="both"/>
        <w:rPr>
          <w:rFonts w:ascii="Times New Roman" w:eastAsia="Times New Roman" w:hAnsi="Times New Roman"/>
          <w:noProof/>
          <w:sz w:val="24"/>
          <w:szCs w:val="24"/>
        </w:rPr>
      </w:pPr>
      <w:r>
        <w:rPr>
          <w:rFonts w:ascii="Times New Roman" w:hAnsi="Times New Roman"/>
          <w:b/>
          <w:noProof/>
          <w:sz w:val="24"/>
          <w:lang w:val="pl-PL"/>
        </w:rPr>
        <w:t>Klucz podziału</w:t>
      </w:r>
      <w:r>
        <w:rPr>
          <w:rFonts w:ascii="Times New Roman" w:hAnsi="Times New Roman"/>
          <w:noProof/>
          <w:sz w:val="24"/>
          <w:lang w:val="pl-PL"/>
        </w:rPr>
        <w:t xml:space="preserve"> zostanie opracowany w oparciu </w:t>
      </w:r>
      <w:r>
        <w:rPr>
          <w:rFonts w:ascii="Times New Roman" w:hAnsi="Times New Roman"/>
          <w:noProof/>
          <w:sz w:val="24"/>
          <w:lang w:val="pl-PL"/>
        </w:rPr>
        <w:t xml:space="preserve">o </w:t>
      </w:r>
      <w:r>
        <w:rPr>
          <w:rFonts w:ascii="Times New Roman" w:hAnsi="Times New Roman"/>
          <w:b/>
          <w:noProof/>
          <w:sz w:val="24"/>
          <w:lang w:val="pl-PL"/>
        </w:rPr>
        <w:t>obiektywne, wymierne i możliwe do sprawdzenia kryteria, które odzwierciedlają zdolności państw członkowskich do przyjmowania i integracji uchodźców</w:t>
      </w:r>
      <w:r>
        <w:rPr>
          <w:rFonts w:ascii="Times New Roman" w:hAnsi="Times New Roman"/>
          <w:noProof/>
          <w:sz w:val="24"/>
          <w:lang w:val="pl-PL"/>
        </w:rPr>
        <w:t>, z zastosowaniem odpowiednich współczynników ważenia odzwierciedlających względne znaczenie tych kryteriów</w:t>
      </w:r>
      <w:r>
        <w:rPr>
          <w:rFonts w:ascii="Times New Roman" w:hAnsi="Times New Roman"/>
          <w:noProof/>
          <w:sz w:val="24"/>
          <w:lang w:val="pl-PL"/>
        </w:rPr>
        <w:t xml:space="preserve"> (</w:t>
      </w:r>
      <w:r>
        <w:rPr>
          <w:rFonts w:ascii="Times New Roman" w:hAnsi="Times New Roman"/>
          <w:i/>
          <w:noProof/>
          <w:sz w:val="24"/>
          <w:lang w:val="pl-PL"/>
        </w:rPr>
        <w:t>zob. tabela 1 poniżej</w:t>
      </w:r>
      <w:r>
        <w:rPr>
          <w:rFonts w:ascii="Times New Roman" w:hAnsi="Times New Roman"/>
          <w:noProof/>
          <w:sz w:val="24"/>
          <w:lang w:val="pl-PL"/>
        </w:rPr>
        <w:t xml:space="preserve">). </w:t>
      </w:r>
      <w:r>
        <w:rPr>
          <w:rFonts w:ascii="Times New Roman" w:hAnsi="Times New Roman"/>
          <w:noProof/>
          <w:sz w:val="24"/>
        </w:rPr>
        <w:t>Klucz ten opiera się na następujących elementach</w:t>
      </w:r>
      <w:r>
        <w:rPr>
          <w:rStyle w:val="FootnoteReference"/>
          <w:rFonts w:ascii="Times New Roman" w:hAnsi="Times New Roman"/>
          <w:noProof/>
          <w:sz w:val="24"/>
        </w:rPr>
        <w:footnoteReference w:id="52"/>
      </w:r>
      <w:r>
        <w:rPr>
          <w:rFonts w:ascii="Times New Roman" w:hAnsi="Times New Roman"/>
          <w:noProof/>
          <w:sz w:val="24"/>
        </w:rPr>
        <w:t>:</w:t>
      </w:r>
    </w:p>
    <w:p w:rsidR="00196AF6" w:rsidRDefault="007E0AAA">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lang w:val="pl-PL"/>
        </w:rPr>
      </w:pPr>
      <w:r>
        <w:rPr>
          <w:rFonts w:ascii="Times New Roman" w:hAnsi="Times New Roman"/>
          <w:noProof/>
          <w:sz w:val="24"/>
          <w:lang w:val="pl-PL"/>
        </w:rPr>
        <w:t>wielkość populacji (40 %), gdyż odzwierciedla ona zdolność przyjęcia pewnej liczby uchodźców;</w:t>
      </w:r>
    </w:p>
    <w:p w:rsidR="00196AF6" w:rsidRDefault="007E0AAA">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lang w:val="pl-PL"/>
        </w:rPr>
      </w:pPr>
      <w:r>
        <w:rPr>
          <w:rFonts w:ascii="Times New Roman" w:hAnsi="Times New Roman"/>
          <w:noProof/>
          <w:sz w:val="24"/>
          <w:lang w:val="pl-PL"/>
        </w:rPr>
        <w:t>całkowity PKB</w:t>
      </w:r>
      <w:r>
        <w:rPr>
          <w:rStyle w:val="FootnoteReference"/>
          <w:rFonts w:ascii="Times New Roman" w:hAnsi="Times New Roman"/>
          <w:noProof/>
          <w:sz w:val="24"/>
        </w:rPr>
        <w:footnoteReference w:id="53"/>
      </w:r>
      <w:r>
        <w:rPr>
          <w:rFonts w:ascii="Times New Roman" w:hAnsi="Times New Roman"/>
          <w:noProof/>
          <w:sz w:val="24"/>
          <w:lang w:val="pl-PL"/>
        </w:rPr>
        <w:t xml:space="preserve"> (40 %), który odzwierciedla bezwzględną zamożność państwa i wskazuje n</w:t>
      </w:r>
      <w:r>
        <w:rPr>
          <w:rFonts w:ascii="Times New Roman" w:hAnsi="Times New Roman"/>
          <w:noProof/>
          <w:sz w:val="24"/>
          <w:lang w:val="pl-PL"/>
        </w:rPr>
        <w:t xml:space="preserve">a zdolność gospodarki do przyjmowania i integracji uchodźców; </w:t>
      </w:r>
    </w:p>
    <w:p w:rsidR="00196AF6" w:rsidRDefault="007E0AAA">
      <w:pPr>
        <w:pStyle w:val="ListParagraph"/>
        <w:numPr>
          <w:ilvl w:val="0"/>
          <w:numId w:val="35"/>
        </w:numPr>
        <w:autoSpaceDE w:val="0"/>
        <w:autoSpaceDN w:val="0"/>
        <w:adjustRightInd w:val="0"/>
        <w:spacing w:after="120" w:line="240" w:lineRule="auto"/>
        <w:jc w:val="both"/>
        <w:rPr>
          <w:rFonts w:ascii="Times New Roman" w:eastAsia="Times New Roman" w:hAnsi="Times New Roman"/>
          <w:noProof/>
          <w:sz w:val="24"/>
          <w:szCs w:val="24"/>
          <w:lang w:val="pl-PL"/>
        </w:rPr>
      </w:pPr>
      <w:r>
        <w:rPr>
          <w:rFonts w:ascii="Times New Roman" w:hAnsi="Times New Roman"/>
          <w:noProof/>
          <w:sz w:val="24"/>
          <w:lang w:val="pl-PL"/>
        </w:rPr>
        <w:t>średnia liczba spontanicznych wniosków o udzielenie azylu i liczba przesiedlonych uchodźców na 1 mln mieszkańców w latach 2010-2014 (10 %), gdyż odzwierciedla ona wysiłki państw członkowskich w</w:t>
      </w:r>
      <w:r>
        <w:rPr>
          <w:rFonts w:ascii="Times New Roman" w:hAnsi="Times New Roman"/>
          <w:noProof/>
          <w:sz w:val="24"/>
          <w:lang w:val="pl-PL"/>
        </w:rPr>
        <w:t xml:space="preserve"> ostatnich latach;</w:t>
      </w:r>
    </w:p>
    <w:p w:rsidR="00196AF6" w:rsidRDefault="007E0AAA">
      <w:pPr>
        <w:pStyle w:val="ListParagraph"/>
        <w:numPr>
          <w:ilvl w:val="0"/>
          <w:numId w:val="35"/>
        </w:numPr>
        <w:autoSpaceDE w:val="0"/>
        <w:autoSpaceDN w:val="0"/>
        <w:adjustRightInd w:val="0"/>
        <w:spacing w:after="120" w:line="240" w:lineRule="auto"/>
        <w:jc w:val="both"/>
        <w:rPr>
          <w:rFonts w:ascii="Times New Roman" w:hAnsi="Times New Roman"/>
          <w:noProof/>
          <w:sz w:val="24"/>
          <w:szCs w:val="24"/>
          <w:lang w:val="pl-PL"/>
        </w:rPr>
      </w:pPr>
      <w:r>
        <w:rPr>
          <w:rFonts w:ascii="Times New Roman" w:hAnsi="Times New Roman"/>
          <w:noProof/>
          <w:sz w:val="24"/>
          <w:lang w:val="pl-PL"/>
        </w:rPr>
        <w:t xml:space="preserve">stopa bezrobocia (10 %) jako wskaźnik odzwierciedlający zdolność do integracji uchodźców. </w:t>
      </w:r>
    </w:p>
    <w:p w:rsidR="00196AF6" w:rsidRDefault="007E0AAA">
      <w:pPr>
        <w:autoSpaceDE w:val="0"/>
        <w:autoSpaceDN w:val="0"/>
        <w:adjustRightInd w:val="0"/>
        <w:spacing w:after="120" w:line="240" w:lineRule="auto"/>
        <w:jc w:val="both"/>
        <w:rPr>
          <w:rFonts w:ascii="Times New Roman" w:hAnsi="Times New Roman"/>
          <w:noProof/>
          <w:sz w:val="24"/>
          <w:szCs w:val="24"/>
          <w:lang w:val="pl-PL"/>
        </w:rPr>
      </w:pPr>
      <w:r>
        <w:rPr>
          <w:rFonts w:ascii="Times New Roman" w:hAnsi="Times New Roman"/>
          <w:noProof/>
          <w:sz w:val="24"/>
          <w:lang w:val="pl-PL"/>
        </w:rPr>
        <w:t xml:space="preserve">Liczba osób faktycznie objętych relokacją do każdego państwa członkowskiego będzie zależeć od całkowitej liczby osób, które mają zostać objęte </w:t>
      </w:r>
      <w:r>
        <w:rPr>
          <w:rFonts w:ascii="Times New Roman" w:hAnsi="Times New Roman"/>
          <w:noProof/>
          <w:sz w:val="24"/>
          <w:lang w:val="pl-PL"/>
        </w:rPr>
        <w:t>relokacją i zostanie uwzględniona we wniosku ustawodawczym.</w:t>
      </w:r>
    </w:p>
    <w:p w:rsidR="00196AF6" w:rsidRDefault="007E0AAA">
      <w:pPr>
        <w:autoSpaceDE w:val="0"/>
        <w:autoSpaceDN w:val="0"/>
        <w:adjustRightInd w:val="0"/>
        <w:spacing w:after="120" w:line="240" w:lineRule="auto"/>
        <w:jc w:val="both"/>
        <w:rPr>
          <w:rFonts w:ascii="Times New Roman" w:hAnsi="Times New Roman"/>
          <w:noProof/>
          <w:sz w:val="24"/>
          <w:szCs w:val="24"/>
          <w:lang w:val="pl-PL"/>
        </w:rPr>
      </w:pPr>
      <w:r>
        <w:rPr>
          <w:rFonts w:ascii="Times New Roman" w:hAnsi="Times New Roman"/>
          <w:noProof/>
          <w:sz w:val="24"/>
          <w:lang w:val="pl-PL"/>
        </w:rPr>
        <w:t>Przyjmujące państwo członkowskie będzie odpowiedzialne za rozpatrzenie wniosków o udzielenie azylu zgodnie z ustalonymi zasadami i gwarancjami.</w:t>
      </w:r>
    </w:p>
    <w:p w:rsidR="00196AF6" w:rsidRDefault="007E0AAA">
      <w:pPr>
        <w:autoSpaceDE w:val="0"/>
        <w:autoSpaceDN w:val="0"/>
        <w:adjustRightInd w:val="0"/>
        <w:spacing w:after="120" w:line="240" w:lineRule="auto"/>
        <w:jc w:val="both"/>
        <w:rPr>
          <w:rFonts w:ascii="Times New Roman" w:hAnsi="Times New Roman"/>
          <w:noProof/>
          <w:sz w:val="24"/>
          <w:szCs w:val="24"/>
          <w:lang w:val="pl-PL"/>
        </w:rPr>
      </w:pPr>
      <w:r>
        <w:rPr>
          <w:rFonts w:ascii="Times New Roman" w:hAnsi="Times New Roman"/>
          <w:noProof/>
          <w:sz w:val="24"/>
          <w:lang w:val="pl-PL"/>
        </w:rPr>
        <w:t>Podczas stosowania podstawowego klucza podziału uwzg</w:t>
      </w:r>
      <w:r>
        <w:rPr>
          <w:rFonts w:ascii="Times New Roman" w:hAnsi="Times New Roman"/>
          <w:noProof/>
          <w:sz w:val="24"/>
          <w:lang w:val="pl-PL"/>
        </w:rPr>
        <w:t>lędniane będą konkretne sytuacje kryzysowe. Państwa członkowskie, z których nastąpi relokacja, nie powinny brać udziału jako państwa członkowskie dokonujące relokacji. Wniosek będzie odzwierciedlać stanowiska Zjednoczonego Królestwa, Irlandii i Danii zgodn</w:t>
      </w:r>
      <w:r>
        <w:rPr>
          <w:rFonts w:ascii="Times New Roman" w:hAnsi="Times New Roman"/>
          <w:noProof/>
          <w:sz w:val="24"/>
          <w:lang w:val="pl-PL"/>
        </w:rPr>
        <w:t>ie z odpowiednimi protokołami do traktatów.</w:t>
      </w:r>
    </w:p>
    <w:p w:rsidR="00196AF6" w:rsidRDefault="00196AF6">
      <w:pPr>
        <w:autoSpaceDE w:val="0"/>
        <w:autoSpaceDN w:val="0"/>
        <w:adjustRightInd w:val="0"/>
        <w:spacing w:after="120" w:line="240" w:lineRule="auto"/>
        <w:jc w:val="both"/>
        <w:rPr>
          <w:rFonts w:ascii="Times New Roman" w:hAnsi="Times New Roman"/>
          <w:noProof/>
          <w:sz w:val="24"/>
          <w:szCs w:val="24"/>
          <w:lang w:val="pl-PL"/>
        </w:rPr>
      </w:pPr>
    </w:p>
    <w:p w:rsidR="00196AF6" w:rsidRDefault="007E0AAA">
      <w:pPr>
        <w:autoSpaceDE w:val="0"/>
        <w:autoSpaceDN w:val="0"/>
        <w:adjustRightInd w:val="0"/>
        <w:spacing w:after="120" w:line="240" w:lineRule="auto"/>
        <w:jc w:val="both"/>
        <w:rPr>
          <w:rFonts w:ascii="Times New Roman" w:eastAsia="Times New Roman" w:hAnsi="Times New Roman"/>
          <w:b/>
          <w:noProof/>
          <w:sz w:val="24"/>
          <w:szCs w:val="24"/>
          <w:u w:val="single"/>
          <w:lang w:val="pl-PL"/>
        </w:rPr>
      </w:pPr>
      <w:r>
        <w:rPr>
          <w:rFonts w:ascii="Times New Roman" w:hAnsi="Times New Roman"/>
          <w:b/>
          <w:noProof/>
          <w:sz w:val="24"/>
          <w:u w:val="single"/>
          <w:lang w:val="pl-PL"/>
        </w:rPr>
        <w:t>Przesiedlenia</w:t>
      </w:r>
    </w:p>
    <w:p w:rsidR="00196AF6" w:rsidRDefault="007E0AAA">
      <w:pPr>
        <w:spacing w:after="120" w:line="240" w:lineRule="auto"/>
        <w:jc w:val="both"/>
        <w:rPr>
          <w:rFonts w:ascii="Times New Roman" w:eastAsia="Times New Roman" w:hAnsi="Times New Roman"/>
          <w:noProof/>
          <w:sz w:val="24"/>
          <w:szCs w:val="24"/>
          <w:lang w:val="pl-PL"/>
        </w:rPr>
      </w:pPr>
      <w:r>
        <w:rPr>
          <w:rFonts w:ascii="Times New Roman" w:hAnsi="Times New Roman"/>
          <w:noProof/>
          <w:sz w:val="24"/>
          <w:lang w:val="pl-PL"/>
        </w:rPr>
        <w:t>„Przesiedlenie” oznacza przekazanie poszczególnych osób przesiedlonych wyraźnie potrzebujących ochrony międzynarodowej, na wniosek Wysokiego Komisarza Narodów Zjednoczonych ds. Uchodźców i w porozu</w:t>
      </w:r>
      <w:r>
        <w:rPr>
          <w:rFonts w:ascii="Times New Roman" w:hAnsi="Times New Roman"/>
          <w:noProof/>
          <w:sz w:val="24"/>
          <w:lang w:val="pl-PL"/>
        </w:rPr>
        <w:t xml:space="preserve">mieniu z danym państwem przesiedlenia, z państwa trzeciego do państwa członkowskiego, w którym zostaną one przyjęte i uzyskają prawo do pobytu i wszelkie inne prawa porównywalne do tych, które udziela się beneficjentowi ochrony międzynarodowej. </w:t>
      </w:r>
    </w:p>
    <w:p w:rsidR="00196AF6" w:rsidRDefault="007E0AAA">
      <w:pPr>
        <w:autoSpaceDE w:val="0"/>
        <w:autoSpaceDN w:val="0"/>
        <w:adjustRightInd w:val="0"/>
        <w:spacing w:after="120" w:line="240" w:lineRule="auto"/>
        <w:jc w:val="both"/>
        <w:rPr>
          <w:rFonts w:ascii="Times New Roman" w:hAnsi="Times New Roman"/>
          <w:noProof/>
          <w:sz w:val="24"/>
          <w:szCs w:val="24"/>
          <w:lang w:val="pl-PL"/>
        </w:rPr>
      </w:pPr>
      <w:r>
        <w:rPr>
          <w:rFonts w:ascii="Times New Roman" w:hAnsi="Times New Roman"/>
          <w:noProof/>
          <w:sz w:val="24"/>
          <w:lang w:val="pl-PL"/>
        </w:rPr>
        <w:t>Do końca m</w:t>
      </w:r>
      <w:r>
        <w:rPr>
          <w:rFonts w:ascii="Times New Roman" w:hAnsi="Times New Roman"/>
          <w:noProof/>
          <w:sz w:val="24"/>
          <w:lang w:val="pl-PL"/>
        </w:rPr>
        <w:t xml:space="preserve">aja Komisja przyjmie zalecenie dotyczące </w:t>
      </w:r>
      <w:r>
        <w:rPr>
          <w:rFonts w:ascii="Times New Roman" w:hAnsi="Times New Roman"/>
          <w:b/>
          <w:noProof/>
          <w:sz w:val="24"/>
          <w:lang w:val="pl-PL"/>
        </w:rPr>
        <w:t>europejskiego programu przesiedleń</w:t>
      </w:r>
      <w:r>
        <w:rPr>
          <w:rFonts w:ascii="Times New Roman" w:hAnsi="Times New Roman"/>
          <w:noProof/>
          <w:sz w:val="24"/>
          <w:lang w:val="pl-PL"/>
        </w:rPr>
        <w:t xml:space="preserve">. </w:t>
      </w:r>
    </w:p>
    <w:p w:rsidR="00196AF6" w:rsidRDefault="007E0AAA">
      <w:pPr>
        <w:autoSpaceDE w:val="0"/>
        <w:autoSpaceDN w:val="0"/>
        <w:adjustRightInd w:val="0"/>
        <w:spacing w:after="120" w:line="240" w:lineRule="auto"/>
        <w:jc w:val="both"/>
        <w:rPr>
          <w:rFonts w:ascii="Times New Roman" w:hAnsi="Times New Roman"/>
          <w:noProof/>
          <w:sz w:val="24"/>
          <w:szCs w:val="24"/>
          <w:lang w:val="pl-PL"/>
        </w:rPr>
      </w:pPr>
      <w:r>
        <w:rPr>
          <w:rFonts w:ascii="Times New Roman" w:hAnsi="Times New Roman"/>
          <w:b/>
          <w:noProof/>
          <w:sz w:val="24"/>
          <w:lang w:val="pl-PL"/>
        </w:rPr>
        <w:t>Program ten obejmie wszystkie państwa członkowskie. Państwa stowarzyszone zostaną zaproszone do udziału</w:t>
      </w:r>
      <w:r>
        <w:rPr>
          <w:rFonts w:ascii="Times New Roman" w:hAnsi="Times New Roman"/>
          <w:noProof/>
          <w:sz w:val="24"/>
          <w:lang w:val="pl-PL"/>
        </w:rPr>
        <w:t xml:space="preserve"> w programie. Łączna liczba zadeklarowanych miejsc dla przesiedleńców zosta</w:t>
      </w:r>
      <w:r>
        <w:rPr>
          <w:rFonts w:ascii="Times New Roman" w:hAnsi="Times New Roman"/>
          <w:noProof/>
          <w:sz w:val="24"/>
          <w:lang w:val="pl-PL"/>
        </w:rPr>
        <w:t xml:space="preserve">nie rozdzielona między państwa członkowskie na podstawie tego samego </w:t>
      </w:r>
      <w:r>
        <w:rPr>
          <w:rFonts w:ascii="Times New Roman" w:hAnsi="Times New Roman"/>
          <w:b/>
          <w:noProof/>
          <w:sz w:val="24"/>
          <w:lang w:val="pl-PL"/>
        </w:rPr>
        <w:t>klucza podziału</w:t>
      </w:r>
      <w:r>
        <w:rPr>
          <w:rFonts w:ascii="Times New Roman" w:hAnsi="Times New Roman"/>
          <w:noProof/>
          <w:sz w:val="24"/>
          <w:lang w:val="pl-PL"/>
        </w:rPr>
        <w:t>, którego działanie wyjaśniono powyżej w odniesieniu do relokacji (</w:t>
      </w:r>
      <w:r>
        <w:rPr>
          <w:rFonts w:ascii="Times New Roman" w:hAnsi="Times New Roman"/>
          <w:i/>
          <w:noProof/>
          <w:sz w:val="24"/>
          <w:lang w:val="pl-PL"/>
        </w:rPr>
        <w:t>zob. tabela 2 poniżej</w:t>
      </w:r>
      <w:r>
        <w:rPr>
          <w:rFonts w:ascii="Times New Roman" w:hAnsi="Times New Roman"/>
          <w:noProof/>
          <w:sz w:val="24"/>
          <w:lang w:val="pl-PL"/>
        </w:rPr>
        <w:t>).</w:t>
      </w:r>
    </w:p>
    <w:p w:rsidR="00196AF6" w:rsidRDefault="007E0AAA">
      <w:pPr>
        <w:spacing w:after="120" w:line="240" w:lineRule="auto"/>
        <w:jc w:val="both"/>
        <w:rPr>
          <w:rFonts w:ascii="Times New Roman" w:hAnsi="Times New Roman"/>
          <w:noProof/>
          <w:sz w:val="24"/>
          <w:szCs w:val="24"/>
          <w:lang w:val="pl-PL"/>
        </w:rPr>
      </w:pPr>
      <w:r>
        <w:rPr>
          <w:rFonts w:ascii="Times New Roman" w:hAnsi="Times New Roman"/>
          <w:noProof/>
          <w:sz w:val="24"/>
          <w:lang w:val="pl-PL"/>
        </w:rPr>
        <w:t xml:space="preserve">Program będzie obejmował </w:t>
      </w:r>
      <w:r>
        <w:rPr>
          <w:rFonts w:ascii="Times New Roman" w:hAnsi="Times New Roman"/>
          <w:b/>
          <w:noProof/>
          <w:sz w:val="24"/>
          <w:lang w:val="pl-PL"/>
        </w:rPr>
        <w:t>jedno zobowiązanie europejskie</w:t>
      </w:r>
      <w:r>
        <w:rPr>
          <w:rFonts w:ascii="Times New Roman" w:hAnsi="Times New Roman"/>
          <w:noProof/>
          <w:sz w:val="24"/>
          <w:lang w:val="pl-PL"/>
        </w:rPr>
        <w:t xml:space="preserve"> dotyczące zapewnienia </w:t>
      </w:r>
      <w:r>
        <w:rPr>
          <w:rFonts w:ascii="Times New Roman" w:hAnsi="Times New Roman"/>
          <w:b/>
          <w:noProof/>
          <w:sz w:val="24"/>
          <w:lang w:val="pl-PL"/>
        </w:rPr>
        <w:t xml:space="preserve">20 </w:t>
      </w:r>
      <w:r>
        <w:rPr>
          <w:rFonts w:ascii="Times New Roman" w:hAnsi="Times New Roman"/>
          <w:b/>
          <w:noProof/>
          <w:sz w:val="24"/>
          <w:lang w:val="pl-PL"/>
        </w:rPr>
        <w:t>000</w:t>
      </w:r>
      <w:r>
        <w:rPr>
          <w:rFonts w:ascii="Times New Roman" w:hAnsi="Times New Roman"/>
          <w:noProof/>
          <w:sz w:val="24"/>
          <w:lang w:val="pl-PL"/>
        </w:rPr>
        <w:t xml:space="preserve"> miejsc dla przesiedleńców. </w:t>
      </w:r>
    </w:p>
    <w:p w:rsidR="00196AF6" w:rsidRDefault="007E0AAA">
      <w:pPr>
        <w:autoSpaceDE w:val="0"/>
        <w:autoSpaceDN w:val="0"/>
        <w:adjustRightInd w:val="0"/>
        <w:spacing w:after="120" w:line="240" w:lineRule="auto"/>
        <w:jc w:val="both"/>
        <w:rPr>
          <w:rFonts w:ascii="Times New Roman" w:hAnsi="Times New Roman"/>
          <w:noProof/>
          <w:sz w:val="24"/>
          <w:szCs w:val="24"/>
          <w:lang w:val="pl-PL"/>
        </w:rPr>
      </w:pPr>
      <w:r>
        <w:rPr>
          <w:rFonts w:ascii="Times New Roman" w:hAnsi="Times New Roman"/>
          <w:b/>
          <w:noProof/>
          <w:sz w:val="24"/>
          <w:lang w:val="pl-PL"/>
        </w:rPr>
        <w:t>Komisja wesprze program</w:t>
      </w:r>
      <w:r>
        <w:rPr>
          <w:rFonts w:ascii="Times New Roman" w:hAnsi="Times New Roman"/>
          <w:noProof/>
          <w:sz w:val="24"/>
          <w:lang w:val="pl-PL"/>
        </w:rPr>
        <w:t xml:space="preserve"> udostępniając dodatkowo łączną kwotę 50 mln EUR w latach 2015 i 2016. </w:t>
      </w:r>
    </w:p>
    <w:p w:rsidR="00196AF6" w:rsidRDefault="007E0AAA">
      <w:pPr>
        <w:autoSpaceDE w:val="0"/>
        <w:autoSpaceDN w:val="0"/>
        <w:adjustRightInd w:val="0"/>
        <w:spacing w:after="120" w:line="240" w:lineRule="auto"/>
        <w:jc w:val="both"/>
        <w:rPr>
          <w:rFonts w:ascii="Times New Roman" w:hAnsi="Times New Roman"/>
          <w:noProof/>
          <w:sz w:val="24"/>
          <w:szCs w:val="24"/>
          <w:lang w:val="pl-PL"/>
        </w:rPr>
      </w:pPr>
      <w:r>
        <w:rPr>
          <w:rFonts w:ascii="Times New Roman" w:hAnsi="Times New Roman"/>
          <w:b/>
          <w:noProof/>
          <w:sz w:val="24"/>
          <w:lang w:val="pl-PL"/>
        </w:rPr>
        <w:t>Priorytetowe regiony w zakresie przesiedleń</w:t>
      </w:r>
      <w:r>
        <w:rPr>
          <w:rFonts w:ascii="Times New Roman" w:hAnsi="Times New Roman"/>
          <w:noProof/>
          <w:sz w:val="24"/>
          <w:lang w:val="pl-PL"/>
        </w:rPr>
        <w:t xml:space="preserve"> obejmą Afrykę Północną, Bliski Wschód i Róg Afryki, koncentrując się na krajach, w kt</w:t>
      </w:r>
      <w:r>
        <w:rPr>
          <w:rFonts w:ascii="Times New Roman" w:hAnsi="Times New Roman"/>
          <w:noProof/>
          <w:sz w:val="24"/>
          <w:lang w:val="pl-PL"/>
        </w:rPr>
        <w:t xml:space="preserve">órych realizowane są regionalne programy rozwoju i ochrony. W ramach omawianego programu należy ustanowić silne powiązania z tymi programami. </w:t>
      </w:r>
    </w:p>
    <w:p w:rsidR="00196AF6" w:rsidRDefault="007E0AAA">
      <w:pPr>
        <w:pStyle w:val="Point123"/>
        <w:numPr>
          <w:ilvl w:val="0"/>
          <w:numId w:val="0"/>
        </w:numPr>
        <w:spacing w:before="0" w:line="240" w:lineRule="auto"/>
        <w:jc w:val="both"/>
        <w:rPr>
          <w:noProof/>
          <w:lang w:val="pl-PL"/>
        </w:rPr>
      </w:pPr>
      <w:r>
        <w:rPr>
          <w:b/>
          <w:noProof/>
          <w:lang w:val="pl-PL"/>
        </w:rPr>
        <w:t>Wysoki Komisarz Narodów Zjednoczonych ds. Uchodźców</w:t>
      </w:r>
      <w:r>
        <w:rPr>
          <w:noProof/>
          <w:lang w:val="pl-PL"/>
        </w:rPr>
        <w:t xml:space="preserve"> (UNHCR) i inne ważne organizacje zostaną wezwane do współprac</w:t>
      </w:r>
      <w:r>
        <w:rPr>
          <w:noProof/>
          <w:lang w:val="pl-PL"/>
        </w:rPr>
        <w:t xml:space="preserve">y przy realizacji programu, zgodnie z obecną praktyką (identyfikacja, złożenie wniosku, transfer itd.). Przewiduje się również praktyczne </w:t>
      </w:r>
      <w:r>
        <w:rPr>
          <w:b/>
          <w:noProof/>
          <w:lang w:val="pl-PL"/>
        </w:rPr>
        <w:t>zaangażowanie Europejskiego Urzędu Wsparcia w dziedzinie Azylu</w:t>
      </w:r>
      <w:r>
        <w:rPr>
          <w:noProof/>
          <w:lang w:val="pl-PL"/>
        </w:rPr>
        <w:t xml:space="preserve"> w programie. Każde państwo członkowskie pozostanie odpo</w:t>
      </w:r>
      <w:r>
        <w:rPr>
          <w:noProof/>
          <w:lang w:val="pl-PL"/>
        </w:rPr>
        <w:t>wiedzialne za indywidualne decyzje o przyjęciu.</w:t>
      </w:r>
    </w:p>
    <w:p w:rsidR="00196AF6" w:rsidRDefault="007E0AAA">
      <w:pPr>
        <w:spacing w:after="120" w:line="240" w:lineRule="auto"/>
        <w:jc w:val="both"/>
        <w:rPr>
          <w:rFonts w:ascii="Times New Roman" w:hAnsi="Times New Roman"/>
          <w:noProof/>
          <w:sz w:val="24"/>
          <w:szCs w:val="24"/>
          <w:lang w:val="pl-PL"/>
        </w:rPr>
      </w:pPr>
      <w:r>
        <w:rPr>
          <w:rFonts w:ascii="Times New Roman" w:hAnsi="Times New Roman"/>
          <w:noProof/>
          <w:sz w:val="24"/>
          <w:lang w:val="pl-PL"/>
        </w:rPr>
        <w:t>Komisja jest świadoma</w:t>
      </w:r>
      <w:r>
        <w:rPr>
          <w:rFonts w:ascii="Times New Roman" w:hAnsi="Times New Roman"/>
          <w:b/>
          <w:noProof/>
          <w:sz w:val="24"/>
          <w:lang w:val="pl-PL"/>
        </w:rPr>
        <w:t xml:space="preserve"> ryzyka spontanicznego wtórnego przepływu</w:t>
      </w:r>
      <w:r>
        <w:rPr>
          <w:rFonts w:ascii="Times New Roman" w:hAnsi="Times New Roman"/>
          <w:noProof/>
          <w:sz w:val="24"/>
          <w:lang w:val="pl-PL"/>
        </w:rPr>
        <w:t xml:space="preserve"> osób przesiedlonych. Rozwiązaniem tej kwestii będzie uzależnienie przesiedlenia od zgody osoby przesiedlonej na przebywanie w przyjmującym państw</w:t>
      </w:r>
      <w:r>
        <w:rPr>
          <w:rFonts w:ascii="Times New Roman" w:hAnsi="Times New Roman"/>
          <w:noProof/>
          <w:sz w:val="24"/>
          <w:lang w:val="pl-PL"/>
        </w:rPr>
        <w:t>ie przez okres co najmniej 5 lat, poinformowanie jej o konsekwencjach dalszego przemieszczania się w obrębie UE oraz fakt, że w innym państwie członkowskim nie będzie możliwe uzyskanie statusu prawnego ani uzyskanie dostępu do praw socjalnych. Szybka ident</w:t>
      </w:r>
      <w:r>
        <w:rPr>
          <w:rFonts w:ascii="Times New Roman" w:hAnsi="Times New Roman"/>
          <w:noProof/>
          <w:sz w:val="24"/>
          <w:lang w:val="pl-PL"/>
        </w:rPr>
        <w:t>yfikacja oraz odesłanie osób, które nie będą przestrzegać takiego porozumienia, już teraz są możliwe na mocy prawa UE. Komisja, we współpracy z państwami członkowskimi i odpowiednimi agencjami, będzie dalej rozwijać narzędzia służące do praktycznego stosow</w:t>
      </w:r>
      <w:r>
        <w:rPr>
          <w:rFonts w:ascii="Times New Roman" w:hAnsi="Times New Roman"/>
          <w:noProof/>
          <w:sz w:val="24"/>
          <w:lang w:val="pl-PL"/>
        </w:rPr>
        <w:t xml:space="preserve">ania tych środków. </w:t>
      </w:r>
    </w:p>
    <w:p w:rsidR="00196AF6" w:rsidRDefault="00196AF6">
      <w:pPr>
        <w:spacing w:after="0" w:line="240" w:lineRule="auto"/>
        <w:rPr>
          <w:rFonts w:ascii="Times New Roman" w:hAnsi="Times New Roman"/>
          <w:b/>
          <w:noProof/>
          <w:sz w:val="24"/>
          <w:szCs w:val="24"/>
          <w:lang w:val="pl-PL"/>
        </w:rPr>
      </w:pPr>
      <w:bookmarkStart w:id="2" w:name="_GoBack"/>
      <w:bookmarkEnd w:id="2"/>
    </w:p>
    <w:p w:rsidR="00196AF6" w:rsidRDefault="00196AF6">
      <w:pPr>
        <w:spacing w:after="0" w:line="240" w:lineRule="auto"/>
        <w:rPr>
          <w:rFonts w:ascii="Times New Roman" w:hAnsi="Times New Roman"/>
          <w:b/>
          <w:noProof/>
          <w:sz w:val="24"/>
          <w:szCs w:val="24"/>
          <w:lang w:val="pl-PL"/>
        </w:rPr>
      </w:pPr>
    </w:p>
    <w:p w:rsidR="00196AF6" w:rsidRDefault="00196AF6">
      <w:pPr>
        <w:spacing w:after="0" w:line="240" w:lineRule="auto"/>
        <w:rPr>
          <w:rFonts w:ascii="Times New Roman" w:hAnsi="Times New Roman"/>
          <w:b/>
          <w:noProof/>
          <w:sz w:val="24"/>
          <w:szCs w:val="24"/>
          <w:lang w:val="pl-PL"/>
        </w:rPr>
      </w:pPr>
    </w:p>
    <w:p w:rsidR="00196AF6" w:rsidRDefault="00196AF6">
      <w:pPr>
        <w:spacing w:after="0" w:line="240" w:lineRule="auto"/>
        <w:rPr>
          <w:rFonts w:ascii="Times New Roman" w:hAnsi="Times New Roman"/>
          <w:b/>
          <w:noProof/>
          <w:sz w:val="24"/>
          <w:szCs w:val="24"/>
          <w:lang w:val="pl-PL"/>
        </w:rPr>
      </w:pPr>
    </w:p>
    <w:p w:rsidR="00196AF6" w:rsidRDefault="00196AF6">
      <w:pPr>
        <w:spacing w:after="0" w:line="240" w:lineRule="auto"/>
        <w:rPr>
          <w:rFonts w:ascii="Times New Roman" w:hAnsi="Times New Roman"/>
          <w:b/>
          <w:noProof/>
          <w:sz w:val="24"/>
          <w:szCs w:val="24"/>
          <w:lang w:val="pl-PL"/>
        </w:rPr>
      </w:pPr>
    </w:p>
    <w:p w:rsidR="00196AF6" w:rsidRDefault="00196AF6">
      <w:pPr>
        <w:spacing w:after="0" w:line="240" w:lineRule="auto"/>
        <w:rPr>
          <w:rFonts w:ascii="Times New Roman" w:hAnsi="Times New Roman"/>
          <w:b/>
          <w:noProof/>
          <w:sz w:val="24"/>
          <w:szCs w:val="24"/>
          <w:lang w:val="pl-PL"/>
        </w:rPr>
      </w:pPr>
    </w:p>
    <w:p w:rsidR="00196AF6" w:rsidRDefault="00196AF6">
      <w:pPr>
        <w:spacing w:after="0" w:line="240" w:lineRule="auto"/>
        <w:rPr>
          <w:rFonts w:ascii="Times New Roman" w:hAnsi="Times New Roman"/>
          <w:b/>
          <w:noProof/>
          <w:sz w:val="24"/>
          <w:szCs w:val="24"/>
          <w:lang w:val="pl-PL"/>
        </w:rPr>
      </w:pPr>
    </w:p>
    <w:p w:rsidR="00196AF6" w:rsidRDefault="00196AF6">
      <w:pPr>
        <w:spacing w:after="0" w:line="240" w:lineRule="auto"/>
        <w:rPr>
          <w:rFonts w:ascii="Times New Roman" w:hAnsi="Times New Roman"/>
          <w:b/>
          <w:noProof/>
          <w:sz w:val="24"/>
          <w:szCs w:val="24"/>
          <w:lang w:val="pl-PL"/>
        </w:rPr>
      </w:pPr>
    </w:p>
    <w:p w:rsidR="00196AF6" w:rsidRDefault="00196AF6">
      <w:pPr>
        <w:spacing w:after="0" w:line="240" w:lineRule="auto"/>
        <w:rPr>
          <w:rFonts w:ascii="Times New Roman" w:hAnsi="Times New Roman"/>
          <w:b/>
          <w:noProof/>
          <w:sz w:val="24"/>
          <w:szCs w:val="24"/>
          <w:lang w:val="pl-PL"/>
        </w:rPr>
      </w:pPr>
    </w:p>
    <w:p w:rsidR="00196AF6" w:rsidRDefault="00196AF6">
      <w:pPr>
        <w:spacing w:after="0" w:line="240" w:lineRule="auto"/>
        <w:rPr>
          <w:rFonts w:ascii="Times New Roman" w:hAnsi="Times New Roman"/>
          <w:b/>
          <w:noProof/>
          <w:sz w:val="24"/>
          <w:szCs w:val="24"/>
          <w:lang w:val="pl-PL"/>
        </w:rPr>
      </w:pPr>
    </w:p>
    <w:p w:rsidR="00196AF6" w:rsidRDefault="00196AF6">
      <w:pPr>
        <w:spacing w:after="0" w:line="240" w:lineRule="auto"/>
        <w:rPr>
          <w:rFonts w:ascii="Times New Roman" w:hAnsi="Times New Roman"/>
          <w:b/>
          <w:noProof/>
          <w:sz w:val="24"/>
          <w:szCs w:val="24"/>
          <w:lang w:val="pl-PL"/>
        </w:rPr>
      </w:pPr>
    </w:p>
    <w:p w:rsidR="00196AF6" w:rsidRDefault="00196AF6">
      <w:pPr>
        <w:spacing w:after="0" w:line="240" w:lineRule="auto"/>
        <w:rPr>
          <w:rFonts w:ascii="Times New Roman" w:hAnsi="Times New Roman"/>
          <w:b/>
          <w:noProof/>
          <w:sz w:val="24"/>
          <w:szCs w:val="24"/>
          <w:lang w:val="pl-PL"/>
        </w:rPr>
      </w:pPr>
    </w:p>
    <w:p w:rsidR="00196AF6" w:rsidRDefault="00196AF6">
      <w:pPr>
        <w:spacing w:after="0" w:line="240" w:lineRule="auto"/>
        <w:rPr>
          <w:rFonts w:ascii="Times New Roman" w:hAnsi="Times New Roman"/>
          <w:b/>
          <w:noProof/>
          <w:sz w:val="24"/>
          <w:szCs w:val="24"/>
          <w:lang w:val="pl-PL"/>
        </w:rPr>
      </w:pPr>
    </w:p>
    <w:p w:rsidR="00196AF6" w:rsidRDefault="00196AF6">
      <w:pPr>
        <w:spacing w:after="0" w:line="240" w:lineRule="auto"/>
        <w:rPr>
          <w:rFonts w:ascii="Times New Roman" w:hAnsi="Times New Roman"/>
          <w:b/>
          <w:noProof/>
          <w:sz w:val="24"/>
          <w:szCs w:val="24"/>
          <w:lang w:val="pl-PL"/>
        </w:rPr>
      </w:pPr>
    </w:p>
    <w:p w:rsidR="00196AF6" w:rsidRDefault="00196AF6">
      <w:pPr>
        <w:spacing w:after="0" w:line="240" w:lineRule="auto"/>
        <w:rPr>
          <w:rFonts w:ascii="Times New Roman" w:hAnsi="Times New Roman"/>
          <w:b/>
          <w:noProof/>
          <w:sz w:val="24"/>
          <w:szCs w:val="24"/>
          <w:lang w:val="pl-PL"/>
        </w:rPr>
      </w:pPr>
    </w:p>
    <w:p w:rsidR="00196AF6" w:rsidRDefault="00196AF6">
      <w:pPr>
        <w:spacing w:after="0" w:line="240" w:lineRule="auto"/>
        <w:rPr>
          <w:rFonts w:ascii="Times New Roman" w:hAnsi="Times New Roman"/>
          <w:b/>
          <w:noProof/>
          <w:sz w:val="24"/>
          <w:szCs w:val="24"/>
          <w:lang w:val="pl-PL"/>
        </w:rPr>
      </w:pPr>
    </w:p>
    <w:p w:rsidR="00196AF6" w:rsidRDefault="00196AF6">
      <w:pPr>
        <w:spacing w:after="0" w:line="240" w:lineRule="auto"/>
        <w:rPr>
          <w:rFonts w:ascii="Times New Roman" w:hAnsi="Times New Roman"/>
          <w:b/>
          <w:noProof/>
          <w:sz w:val="24"/>
          <w:szCs w:val="24"/>
          <w:lang w:val="pl-PL"/>
        </w:rPr>
      </w:pPr>
    </w:p>
    <w:p w:rsidR="00196AF6" w:rsidRDefault="007E0AAA">
      <w:pPr>
        <w:spacing w:before="120" w:after="120" w:line="269" w:lineRule="auto"/>
        <w:jc w:val="center"/>
        <w:rPr>
          <w:rFonts w:ascii="Times New Roman" w:hAnsi="Times New Roman"/>
          <w:b/>
          <w:noProof/>
          <w:sz w:val="24"/>
          <w:szCs w:val="24"/>
        </w:rPr>
      </w:pPr>
      <w:r>
        <w:rPr>
          <w:rFonts w:ascii="Times New Roman" w:hAnsi="Times New Roman"/>
          <w:b/>
          <w:noProof/>
          <w:sz w:val="24"/>
        </w:rPr>
        <w:t>Tabela 1 – europejski program relokacji</w:t>
      </w:r>
    </w:p>
    <w:p w:rsidR="00196AF6" w:rsidRDefault="00196AF6">
      <w:pPr>
        <w:spacing w:before="120" w:after="120" w:line="269" w:lineRule="auto"/>
        <w:jc w:val="center"/>
        <w:rPr>
          <w:rFonts w:ascii="Times New Roman" w:hAnsi="Times New Roman"/>
          <w:b/>
          <w:noProof/>
          <w:sz w:val="24"/>
          <w:szCs w:val="24"/>
        </w:rPr>
      </w:pPr>
    </w:p>
    <w:tbl>
      <w:tblPr>
        <w:tblW w:w="4125" w:type="dxa"/>
        <w:tblLook w:val="04A0" w:firstRow="1" w:lastRow="0" w:firstColumn="1" w:lastColumn="0" w:noHBand="0" w:noVBand="1"/>
      </w:tblPr>
      <w:tblGrid>
        <w:gridCol w:w="2627"/>
        <w:gridCol w:w="1498"/>
      </w:tblGrid>
      <w:tr w:rsidR="00196AF6">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6AF6" w:rsidRDefault="007E0AAA">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Państwa członkowskie</w:t>
            </w:r>
            <w:r>
              <w:rPr>
                <w:rStyle w:val="FootnoteReference"/>
                <w:rFonts w:ascii="Times New Roman" w:hAnsi="Times New Roman"/>
                <w:noProof/>
                <w:sz w:val="24"/>
              </w:rPr>
              <w:footnoteReference w:id="54"/>
            </w:r>
            <w:r>
              <w:rPr>
                <w:rFonts w:ascii="Times New Roman" w:hAnsi="Times New Roman"/>
                <w:noProof/>
                <w:color w:val="000000"/>
                <w:sz w:val="24"/>
              </w:rPr>
              <w:t xml:space="preserve"> </w:t>
            </w:r>
            <w:r>
              <w:rPr>
                <w:rStyle w:val="FootnoteReference"/>
                <w:rFonts w:ascii="Times New Roman" w:hAnsi="Times New Roman"/>
                <w:noProof/>
                <w:sz w:val="24"/>
              </w:rPr>
              <w:footnoteReference w:id="55"/>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rsidR="00196AF6" w:rsidRDefault="007E0AAA">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Klucz podziału</w:t>
            </w:r>
          </w:p>
        </w:tc>
      </w:tr>
      <w:tr w:rsidR="00196AF6">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Austria</w:t>
            </w:r>
          </w:p>
        </w:tc>
        <w:tc>
          <w:tcPr>
            <w:tcW w:w="1498"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2,62 %</w:t>
            </w:r>
          </w:p>
        </w:tc>
      </w:tr>
      <w:tr w:rsidR="00196AF6">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Belgia</w:t>
            </w:r>
          </w:p>
        </w:tc>
        <w:tc>
          <w:tcPr>
            <w:tcW w:w="1498"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2,91 %</w:t>
            </w:r>
          </w:p>
        </w:tc>
      </w:tr>
      <w:tr w:rsidR="00196AF6">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Bułgaria</w:t>
            </w:r>
          </w:p>
        </w:tc>
        <w:tc>
          <w:tcPr>
            <w:tcW w:w="1498"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1,25 %</w:t>
            </w:r>
          </w:p>
        </w:tc>
      </w:tr>
      <w:tr w:rsidR="00196AF6">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Chorwacja</w:t>
            </w:r>
          </w:p>
        </w:tc>
        <w:tc>
          <w:tcPr>
            <w:tcW w:w="1498"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1,73 %</w:t>
            </w:r>
          </w:p>
        </w:tc>
      </w:tr>
      <w:tr w:rsidR="00196AF6">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Cypr</w:t>
            </w:r>
          </w:p>
        </w:tc>
        <w:tc>
          <w:tcPr>
            <w:tcW w:w="1498"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0,39 %</w:t>
            </w:r>
          </w:p>
        </w:tc>
      </w:tr>
      <w:tr w:rsidR="00196AF6">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Republika Czeska</w:t>
            </w:r>
          </w:p>
        </w:tc>
        <w:tc>
          <w:tcPr>
            <w:tcW w:w="1498"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2,98 %</w:t>
            </w:r>
          </w:p>
        </w:tc>
      </w:tr>
      <w:tr w:rsidR="00196AF6">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Estonia</w:t>
            </w:r>
          </w:p>
        </w:tc>
        <w:tc>
          <w:tcPr>
            <w:tcW w:w="1498"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1,76 %</w:t>
            </w:r>
          </w:p>
        </w:tc>
      </w:tr>
      <w:tr w:rsidR="00196AF6">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Finlandia</w:t>
            </w:r>
          </w:p>
        </w:tc>
        <w:tc>
          <w:tcPr>
            <w:tcW w:w="1498"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1,72 %</w:t>
            </w:r>
          </w:p>
        </w:tc>
      </w:tr>
      <w:tr w:rsidR="00196AF6">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Francja</w:t>
            </w:r>
          </w:p>
        </w:tc>
        <w:tc>
          <w:tcPr>
            <w:tcW w:w="1498"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14,17 %</w:t>
            </w:r>
          </w:p>
        </w:tc>
      </w:tr>
      <w:tr w:rsidR="00196AF6">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Niemcy</w:t>
            </w:r>
          </w:p>
        </w:tc>
        <w:tc>
          <w:tcPr>
            <w:tcW w:w="1498"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18,42 %</w:t>
            </w:r>
          </w:p>
        </w:tc>
      </w:tr>
      <w:tr w:rsidR="00196AF6">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Grecja</w:t>
            </w:r>
          </w:p>
        </w:tc>
        <w:tc>
          <w:tcPr>
            <w:tcW w:w="1498"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1,90 %</w:t>
            </w:r>
          </w:p>
        </w:tc>
      </w:tr>
      <w:tr w:rsidR="00196AF6">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Węgry</w:t>
            </w:r>
          </w:p>
        </w:tc>
        <w:tc>
          <w:tcPr>
            <w:tcW w:w="1498"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1,79 %</w:t>
            </w:r>
          </w:p>
        </w:tc>
      </w:tr>
      <w:tr w:rsidR="00196AF6">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Włochy</w:t>
            </w:r>
          </w:p>
        </w:tc>
        <w:tc>
          <w:tcPr>
            <w:tcW w:w="1498"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11,84 %</w:t>
            </w:r>
          </w:p>
        </w:tc>
      </w:tr>
      <w:tr w:rsidR="00196AF6">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Łotwa</w:t>
            </w:r>
          </w:p>
        </w:tc>
        <w:tc>
          <w:tcPr>
            <w:tcW w:w="1498"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1,21 %</w:t>
            </w:r>
          </w:p>
        </w:tc>
      </w:tr>
      <w:tr w:rsidR="00196AF6">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Litwa</w:t>
            </w:r>
          </w:p>
        </w:tc>
        <w:tc>
          <w:tcPr>
            <w:tcW w:w="1498"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1,16 %</w:t>
            </w:r>
          </w:p>
        </w:tc>
      </w:tr>
      <w:tr w:rsidR="00196AF6">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Luksemburg</w:t>
            </w:r>
          </w:p>
        </w:tc>
        <w:tc>
          <w:tcPr>
            <w:tcW w:w="1498"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0,85 %</w:t>
            </w:r>
          </w:p>
        </w:tc>
      </w:tr>
      <w:tr w:rsidR="00196AF6">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498"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0,69 %</w:t>
            </w:r>
          </w:p>
        </w:tc>
      </w:tr>
      <w:tr w:rsidR="00196AF6">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Niderlandy</w:t>
            </w:r>
          </w:p>
        </w:tc>
        <w:tc>
          <w:tcPr>
            <w:tcW w:w="1498"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4,35 %</w:t>
            </w:r>
          </w:p>
        </w:tc>
      </w:tr>
      <w:tr w:rsidR="00196AF6">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Polska</w:t>
            </w:r>
          </w:p>
        </w:tc>
        <w:tc>
          <w:tcPr>
            <w:tcW w:w="1498"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5,64 %</w:t>
            </w:r>
          </w:p>
        </w:tc>
      </w:tr>
      <w:tr w:rsidR="00196AF6">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Portugalia</w:t>
            </w:r>
          </w:p>
        </w:tc>
        <w:tc>
          <w:tcPr>
            <w:tcW w:w="1498"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3,89 %</w:t>
            </w:r>
          </w:p>
        </w:tc>
      </w:tr>
      <w:tr w:rsidR="00196AF6">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Rumunia</w:t>
            </w:r>
          </w:p>
        </w:tc>
        <w:tc>
          <w:tcPr>
            <w:tcW w:w="1498"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3,75 %</w:t>
            </w:r>
          </w:p>
        </w:tc>
      </w:tr>
      <w:tr w:rsidR="00196AF6">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Słowacja</w:t>
            </w:r>
          </w:p>
        </w:tc>
        <w:tc>
          <w:tcPr>
            <w:tcW w:w="1498"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1,78 %</w:t>
            </w:r>
          </w:p>
        </w:tc>
      </w:tr>
      <w:tr w:rsidR="00196AF6">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Słowenia</w:t>
            </w:r>
          </w:p>
        </w:tc>
        <w:tc>
          <w:tcPr>
            <w:tcW w:w="1498"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1,15 %</w:t>
            </w:r>
          </w:p>
        </w:tc>
      </w:tr>
      <w:tr w:rsidR="00196AF6">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Hiszpania</w:t>
            </w:r>
          </w:p>
        </w:tc>
        <w:tc>
          <w:tcPr>
            <w:tcW w:w="1498"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9,10 %</w:t>
            </w:r>
          </w:p>
        </w:tc>
      </w:tr>
      <w:tr w:rsidR="00196AF6">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Szwecja</w:t>
            </w:r>
          </w:p>
        </w:tc>
        <w:tc>
          <w:tcPr>
            <w:tcW w:w="1498"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2,92 %</w:t>
            </w:r>
          </w:p>
        </w:tc>
      </w:tr>
    </w:tbl>
    <w:p w:rsidR="00196AF6" w:rsidRDefault="00196AF6">
      <w:pPr>
        <w:spacing w:after="0" w:line="240" w:lineRule="auto"/>
        <w:rPr>
          <w:rFonts w:ascii="Times New Roman" w:hAnsi="Times New Roman"/>
          <w:noProof/>
          <w:sz w:val="20"/>
          <w:szCs w:val="20"/>
        </w:rPr>
      </w:pPr>
    </w:p>
    <w:p w:rsidR="00196AF6" w:rsidRDefault="007E0AAA">
      <w:pPr>
        <w:spacing w:after="0" w:line="240" w:lineRule="auto"/>
        <w:ind w:left="-120"/>
        <w:rPr>
          <w:rFonts w:ascii="Times New Roman" w:hAnsi="Times New Roman"/>
          <w:noProof/>
          <w:sz w:val="20"/>
          <w:szCs w:val="20"/>
          <w:lang w:val="pl-PL"/>
        </w:rPr>
      </w:pPr>
      <w:r>
        <w:rPr>
          <w:rFonts w:ascii="Times New Roman" w:hAnsi="Times New Roman"/>
          <w:noProof/>
          <w:sz w:val="20"/>
          <w:lang w:val="pl-PL"/>
        </w:rPr>
        <w:t>Obliczenia opierają się na danych statystycznych dostarczonych przez Eurostat (z dnia 8 kwietnia 2015 r.).</w:t>
      </w:r>
    </w:p>
    <w:p w:rsidR="00196AF6" w:rsidRDefault="007E0AAA">
      <w:pPr>
        <w:spacing w:before="120" w:after="120" w:line="269" w:lineRule="auto"/>
        <w:jc w:val="center"/>
        <w:rPr>
          <w:rFonts w:ascii="Times New Roman" w:hAnsi="Times New Roman"/>
          <w:b/>
          <w:noProof/>
          <w:sz w:val="24"/>
          <w:szCs w:val="24"/>
        </w:rPr>
      </w:pPr>
      <w:r>
        <w:rPr>
          <w:rFonts w:ascii="Times New Roman" w:hAnsi="Times New Roman"/>
          <w:b/>
          <w:noProof/>
          <w:sz w:val="24"/>
        </w:rPr>
        <w:t>Tabela 2 – europejski program przesiedleń</w:t>
      </w:r>
    </w:p>
    <w:p w:rsidR="00196AF6" w:rsidRDefault="00196AF6">
      <w:pPr>
        <w:spacing w:before="120" w:after="120" w:line="269" w:lineRule="auto"/>
        <w:jc w:val="both"/>
        <w:rPr>
          <w:rFonts w:ascii="Times New Roman" w:hAnsi="Times New Roman"/>
          <w:noProof/>
          <w:sz w:val="24"/>
          <w:szCs w:val="24"/>
        </w:rPr>
      </w:pPr>
    </w:p>
    <w:tbl>
      <w:tblPr>
        <w:tblW w:w="5260" w:type="dxa"/>
        <w:tblInd w:w="93" w:type="dxa"/>
        <w:tblLook w:val="04A0" w:firstRow="1" w:lastRow="0" w:firstColumn="1" w:lastColumn="0" w:noHBand="0" w:noVBand="1"/>
      </w:tblPr>
      <w:tblGrid>
        <w:gridCol w:w="2000"/>
        <w:gridCol w:w="1134"/>
        <w:gridCol w:w="2126"/>
      </w:tblGrid>
      <w:tr w:rsidR="00196AF6">
        <w:trPr>
          <w:trHeight w:val="302"/>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6AF6" w:rsidRDefault="007E0AAA">
            <w:pPr>
              <w:jc w:val="center"/>
              <w:rPr>
                <w:rFonts w:ascii="Times New Roman" w:eastAsia="Times New Roman" w:hAnsi="Times New Roman"/>
                <w:noProof/>
                <w:color w:val="000000"/>
                <w:sz w:val="24"/>
                <w:szCs w:val="24"/>
              </w:rPr>
            </w:pPr>
            <w:r>
              <w:rPr>
                <w:rFonts w:ascii="Times New Roman" w:hAnsi="Times New Roman"/>
                <w:noProof/>
                <w:color w:val="000000"/>
                <w:sz w:val="24"/>
              </w:rPr>
              <w:t> </w:t>
            </w:r>
            <w:r>
              <w:rPr>
                <w:rFonts w:ascii="Times New Roman" w:hAnsi="Times New Roman"/>
                <w:b/>
                <w:noProof/>
                <w:color w:val="000000"/>
                <w:sz w:val="24"/>
              </w:rPr>
              <w:t>Państwa członkowskie</w:t>
            </w:r>
            <w:r>
              <w:rPr>
                <w:rStyle w:val="FootnoteReference"/>
                <w:rFonts w:ascii="Times New Roman" w:hAnsi="Times New Roman"/>
                <w:noProof/>
                <w:color w:val="000000"/>
                <w:sz w:val="24"/>
              </w:rPr>
              <w:footnoteReference w:id="56"/>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96AF6" w:rsidRDefault="007E0AAA">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Klucz podziału</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96AF6" w:rsidRDefault="007E0AAA">
            <w:pPr>
              <w:spacing w:after="0" w:line="240" w:lineRule="auto"/>
              <w:jc w:val="center"/>
              <w:rPr>
                <w:rFonts w:ascii="Times New Roman" w:eastAsia="Times New Roman" w:hAnsi="Times New Roman"/>
                <w:noProof/>
                <w:color w:val="000000"/>
                <w:sz w:val="24"/>
                <w:szCs w:val="24"/>
                <w:lang w:val="pl-PL"/>
              </w:rPr>
            </w:pPr>
            <w:r>
              <w:rPr>
                <w:rFonts w:ascii="Times New Roman" w:hAnsi="Times New Roman"/>
                <w:b/>
                <w:noProof/>
                <w:color w:val="000000"/>
                <w:sz w:val="24"/>
                <w:lang w:val="pl-PL"/>
              </w:rPr>
              <w:t>Całkowita liczba miejsc w oparciu</w:t>
            </w:r>
            <w:r>
              <w:rPr>
                <w:rFonts w:ascii="Times New Roman" w:hAnsi="Times New Roman"/>
                <w:b/>
                <w:noProof/>
                <w:color w:val="000000"/>
                <w:sz w:val="24"/>
                <w:lang w:val="pl-PL"/>
              </w:rPr>
              <w:t xml:space="preserve"> o 20 000 osób</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Austria</w:t>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2,22 %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444</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Belgia</w:t>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2,45 %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490</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Bułgaria</w:t>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1,08 %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216</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Chorwacja</w:t>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1,58 %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315</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Cypr</w:t>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0,34 %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69</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Republika Czeska</w:t>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2,63 %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525</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i/>
                <w:noProof/>
                <w:sz w:val="24"/>
                <w:szCs w:val="24"/>
              </w:rPr>
            </w:pPr>
            <w:r>
              <w:rPr>
                <w:rFonts w:ascii="Times New Roman" w:hAnsi="Times New Roman"/>
                <w:i/>
                <w:noProof/>
                <w:sz w:val="24"/>
              </w:rPr>
              <w:t>Dania</w:t>
            </w:r>
            <w:bookmarkStart w:id="3" w:name="_Ref419184354"/>
            <w:r>
              <w:rPr>
                <w:rStyle w:val="FootnoteReference"/>
                <w:rFonts w:ascii="Times New Roman" w:hAnsi="Times New Roman"/>
                <w:i/>
                <w:noProof/>
                <w:sz w:val="24"/>
              </w:rPr>
              <w:footnoteReference w:id="57"/>
            </w:r>
            <w:bookmarkEnd w:id="3"/>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1,73 %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345</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Estonia</w:t>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1,63 %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326</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Finlandia</w:t>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1,46 %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293</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Francja</w:t>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11,87 %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2 375</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Niemcy</w:t>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15,43 %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3086</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Grecja</w:t>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1,61 %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323</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Węgry</w:t>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1,53 %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307</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i/>
                <w:noProof/>
                <w:sz w:val="24"/>
                <w:szCs w:val="24"/>
                <w:vertAlign w:val="superscript"/>
              </w:rPr>
            </w:pPr>
            <w:r>
              <w:rPr>
                <w:rFonts w:ascii="Times New Roman" w:hAnsi="Times New Roman"/>
                <w:i/>
                <w:noProof/>
                <w:sz w:val="24"/>
              </w:rPr>
              <w:t>Irlandia</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 MERGEFORMAT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rFonts w:ascii="Times New Roman" w:hAnsi="Times New Roman"/>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1,36 %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272</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Włochy</w:t>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9,94 %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1989</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Łotwa</w:t>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1,10 %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220</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Litwa</w:t>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Luksemburg</w:t>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0,74 %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147</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0,60 %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Niderlandy</w:t>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3,66 %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732</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Polska</w:t>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4,81 %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962</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Portugalia</w:t>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3,52 %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704</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Rumunia</w:t>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3,29 %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657</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Słowacja</w:t>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1,60 %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319</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Słowenia</w:t>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Hiszpania</w:t>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7,75 %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1549</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noProof/>
                <w:sz w:val="24"/>
                <w:szCs w:val="24"/>
              </w:rPr>
            </w:pPr>
            <w:r>
              <w:rPr>
                <w:rFonts w:ascii="Times New Roman" w:hAnsi="Times New Roman"/>
                <w:noProof/>
                <w:sz w:val="24"/>
              </w:rPr>
              <w:t>Szwecja</w:t>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2,46 %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491</w:t>
            </w:r>
          </w:p>
        </w:tc>
      </w:tr>
      <w:tr w:rsidR="00196AF6">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rsidR="00196AF6" w:rsidRDefault="007E0AAA">
            <w:pPr>
              <w:spacing w:after="0" w:line="240" w:lineRule="auto"/>
              <w:rPr>
                <w:rFonts w:ascii="Times New Roman" w:eastAsia="Times New Roman" w:hAnsi="Times New Roman"/>
                <w:i/>
                <w:noProof/>
                <w:sz w:val="24"/>
                <w:szCs w:val="24"/>
              </w:rPr>
            </w:pPr>
            <w:r>
              <w:rPr>
                <w:rFonts w:ascii="Times New Roman" w:hAnsi="Times New Roman"/>
                <w:i/>
                <w:noProof/>
                <w:sz w:val="24"/>
              </w:rPr>
              <w:t>Zjednoczone Królestwo</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 MERGEFORMAT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rFonts w:ascii="Times New Roman" w:hAnsi="Times New Roman"/>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11,54 %</w:t>
            </w:r>
          </w:p>
        </w:tc>
        <w:tc>
          <w:tcPr>
            <w:tcW w:w="2126" w:type="dxa"/>
            <w:tcBorders>
              <w:top w:val="nil"/>
              <w:left w:val="nil"/>
              <w:bottom w:val="single" w:sz="4" w:space="0" w:color="auto"/>
              <w:right w:val="single" w:sz="4" w:space="0" w:color="auto"/>
            </w:tcBorders>
            <w:shd w:val="clear" w:color="auto" w:fill="auto"/>
            <w:noWrap/>
            <w:vAlign w:val="bottom"/>
            <w:hideMark/>
          </w:tcPr>
          <w:p w:rsidR="00196AF6" w:rsidRDefault="007E0AAA">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2309</w:t>
            </w:r>
          </w:p>
        </w:tc>
      </w:tr>
    </w:tbl>
    <w:p w:rsidR="00196AF6" w:rsidRDefault="007E0AAA">
      <w:pPr>
        <w:spacing w:before="120" w:after="0" w:line="240" w:lineRule="auto"/>
        <w:rPr>
          <w:rFonts w:ascii="Times New Roman" w:hAnsi="Times New Roman"/>
          <w:noProof/>
          <w:sz w:val="20"/>
          <w:szCs w:val="20"/>
          <w:lang w:val="pl-PL"/>
        </w:rPr>
      </w:pPr>
      <w:r>
        <w:rPr>
          <w:rFonts w:ascii="Times New Roman" w:hAnsi="Times New Roman"/>
          <w:noProof/>
          <w:sz w:val="20"/>
          <w:lang w:val="pl-PL"/>
        </w:rPr>
        <w:t>Obliczenia opierają się na danych statystycznych dostarczonych przez Eurostat (z dnia 8 kwietnia 2015 r.).</w:t>
      </w:r>
    </w:p>
    <w:p w:rsidR="00196AF6" w:rsidRDefault="007E0AAA">
      <w:pPr>
        <w:spacing w:before="120" w:after="0" w:line="240" w:lineRule="auto"/>
        <w:rPr>
          <w:rFonts w:ascii="Times New Roman" w:hAnsi="Times New Roman"/>
          <w:noProof/>
          <w:sz w:val="20"/>
          <w:szCs w:val="20"/>
          <w:lang w:val="pl-PL"/>
        </w:rPr>
      </w:pPr>
      <w:r>
        <w:rPr>
          <w:rFonts w:ascii="Times New Roman" w:hAnsi="Times New Roman"/>
          <w:noProof/>
          <w:sz w:val="20"/>
          <w:lang w:val="pl-PL"/>
        </w:rPr>
        <w:t>Obliczeń procentowych dokonano z dokładnością do pięciu miejsc po przecinku i zaokrąglono w górę lub w dół do dwóch miejsc po przecinku w celu ich przedstawienia w tabeli; Przydziały osób zostały dokonane w oparciu o pełne liczby z dokładnością do pięciu m</w:t>
      </w:r>
      <w:r>
        <w:rPr>
          <w:rFonts w:ascii="Times New Roman" w:hAnsi="Times New Roman"/>
          <w:noProof/>
          <w:sz w:val="20"/>
          <w:lang w:val="pl-PL"/>
        </w:rPr>
        <w:t xml:space="preserve">iejsc po przecinku. </w:t>
      </w:r>
    </w:p>
    <w:p w:rsidR="00196AF6" w:rsidRDefault="00196AF6">
      <w:pPr>
        <w:autoSpaceDE w:val="0"/>
        <w:autoSpaceDN w:val="0"/>
        <w:adjustRightInd w:val="0"/>
        <w:spacing w:before="120" w:after="0" w:line="240" w:lineRule="auto"/>
        <w:jc w:val="both"/>
        <w:rPr>
          <w:rFonts w:ascii="Times New Roman" w:hAnsi="Times New Roman"/>
          <w:noProof/>
          <w:sz w:val="20"/>
          <w:szCs w:val="20"/>
          <w:lang w:val="pl-PL"/>
        </w:rPr>
      </w:pPr>
    </w:p>
    <w:sectPr w:rsidR="00196AF6">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AF6" w:rsidRDefault="007E0AAA">
      <w:pPr>
        <w:spacing w:after="0" w:line="240" w:lineRule="auto"/>
      </w:pPr>
      <w:r>
        <w:separator/>
      </w:r>
    </w:p>
  </w:endnote>
  <w:endnote w:type="continuationSeparator" w:id="0">
    <w:p w:rsidR="00196AF6" w:rsidRDefault="007E0AAA">
      <w:pPr>
        <w:spacing w:after="0" w:line="240" w:lineRule="auto"/>
      </w:pPr>
      <w:r>
        <w:continuationSeparator/>
      </w:r>
    </w:p>
  </w:endnote>
  <w:endnote w:type="continuationNotice" w:id="1">
    <w:p w:rsidR="00196AF6" w:rsidRDefault="00196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F6" w:rsidRDefault="00196A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F6" w:rsidRDefault="007E0AAA">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F6" w:rsidRDefault="00196AF6">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F6" w:rsidRDefault="00196AF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F6" w:rsidRDefault="007E0AAA">
    <w:pPr>
      <w:pStyle w:val="Footer"/>
      <w:jc w:val="center"/>
    </w:pPr>
    <w:r>
      <w:fldChar w:fldCharType="begin"/>
    </w:r>
    <w:r>
      <w:instrText xml:space="preserve"> PAGE   \* MERGEFORMAT </w:instrText>
    </w:r>
    <w:r>
      <w:fldChar w:fldCharType="separate"/>
    </w:r>
    <w:r>
      <w:rPr>
        <w:noProof/>
      </w:rPr>
      <w:t>26</w:t>
    </w:r>
    <w:r>
      <w:rPr>
        <w:noProof/>
      </w:rPr>
      <w:fldChar w:fldCharType="end"/>
    </w:r>
  </w:p>
  <w:p w:rsidR="00196AF6" w:rsidRDefault="00196AF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F6" w:rsidRDefault="00196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AF6" w:rsidRDefault="007E0AAA">
      <w:pPr>
        <w:spacing w:after="0" w:line="240" w:lineRule="auto"/>
      </w:pPr>
      <w:r>
        <w:separator/>
      </w:r>
    </w:p>
  </w:footnote>
  <w:footnote w:type="continuationSeparator" w:id="0">
    <w:p w:rsidR="00196AF6" w:rsidRDefault="007E0AAA">
      <w:pPr>
        <w:spacing w:after="0" w:line="240" w:lineRule="auto"/>
      </w:pPr>
      <w:r>
        <w:continuationSeparator/>
      </w:r>
    </w:p>
  </w:footnote>
  <w:footnote w:type="continuationNotice" w:id="1">
    <w:p w:rsidR="00196AF6" w:rsidRDefault="00196AF6">
      <w:pPr>
        <w:spacing w:after="0" w:line="240" w:lineRule="auto"/>
      </w:pPr>
    </w:p>
  </w:footnote>
  <w:footnote w:id="2">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lang w:val="pl-PL"/>
        </w:rPr>
        <w:tab/>
      </w:r>
      <w:r>
        <w:rPr>
          <w:rFonts w:ascii="Times New Roman" w:hAnsi="Times New Roman"/>
          <w:sz w:val="18"/>
          <w:lang w:val="pl-PL"/>
        </w:rPr>
        <w:t xml:space="preserve">Specjalne posiedzenie Rady Europejskiej w dniu 23 kwietnia 2015 r. – oświadczenie: http://www.consilium.europa.eu/pl/press/press-releases/2015/04/23-special-euco-statement/ W tej części </w:t>
      </w:r>
      <w:r>
        <w:rPr>
          <w:rFonts w:ascii="Times New Roman" w:hAnsi="Times New Roman"/>
          <w:sz w:val="18"/>
          <w:lang w:val="pl-PL"/>
        </w:rPr>
        <w:t>europejskiego programu w zakresie migracji uwzględniono i rozwinięto inicjatywy ujęte w ramach planu działania będącego wynikiem oświadczenia Rady Europejskiej z 23 kwietnia.</w:t>
      </w:r>
    </w:p>
  </w:footnote>
  <w:footnote w:id="3">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rFonts w:ascii="Times New Roman" w:hAnsi="Times New Roman"/>
          <w:lang w:val="pl-PL"/>
        </w:rPr>
        <w:tab/>
      </w:r>
      <w:r>
        <w:rPr>
          <w:rFonts w:ascii="Times New Roman" w:hAnsi="Times New Roman"/>
          <w:sz w:val="18"/>
          <w:lang w:val="pl-PL"/>
        </w:rPr>
        <w:t>http://www.europarl.europa.eu/oeil/popups/ficheprocedure.do?lang=en&amp;reference=</w:t>
      </w:r>
      <w:r>
        <w:rPr>
          <w:rFonts w:ascii="Times New Roman" w:hAnsi="Times New Roman"/>
          <w:sz w:val="18"/>
          <w:lang w:val="pl-PL"/>
        </w:rPr>
        <w:t>2015/2660(RSP).</w:t>
      </w:r>
    </w:p>
  </w:footnote>
  <w:footnote w:id="4">
    <w:p w:rsidR="00196AF6" w:rsidRDefault="007E0AAA">
      <w:pPr>
        <w:pStyle w:val="FootnoteText"/>
        <w:ind w:left="240" w:hanging="240"/>
        <w:jc w:val="both"/>
        <w:rPr>
          <w:rFonts w:ascii="Times New Roman" w:hAnsi="Times New Roman"/>
          <w:lang w:val="pl-PL"/>
        </w:rPr>
      </w:pPr>
      <w:r>
        <w:rPr>
          <w:rStyle w:val="FootnoteReference"/>
          <w:rFonts w:ascii="Times New Roman" w:hAnsi="Times New Roman"/>
        </w:rPr>
        <w:footnoteRef/>
      </w:r>
      <w:r>
        <w:rPr>
          <w:rFonts w:ascii="Times New Roman" w:hAnsi="Times New Roman"/>
          <w:lang w:val="pl-PL"/>
        </w:rPr>
        <w:t xml:space="preserve"> </w:t>
      </w:r>
      <w:r>
        <w:rPr>
          <w:rFonts w:ascii="Times New Roman" w:hAnsi="Times New Roman"/>
          <w:lang w:val="pl-PL"/>
        </w:rPr>
        <w:tab/>
      </w:r>
      <w:r>
        <w:rPr>
          <w:rFonts w:ascii="Times New Roman" w:hAnsi="Times New Roman"/>
          <w:sz w:val="18"/>
          <w:lang w:val="pl-PL"/>
        </w:rPr>
        <w:t xml:space="preserve">Wspólna polityka Unii Europejskiej w dziedzinie azylu, imigracji i kontroli granic zewnętrznych jest oparta na postanowieniach tytułu V (Przestrzeń wolności, bezpieczeństwa i sprawiedliwości) Traktatu o funkcjonowaniu Unii Europejskiej </w:t>
      </w:r>
      <w:r>
        <w:rPr>
          <w:rFonts w:ascii="Times New Roman" w:hAnsi="Times New Roman"/>
          <w:sz w:val="18"/>
          <w:lang w:val="pl-PL"/>
        </w:rPr>
        <w:t>(TFUE). Zgodnie z protokołami 21 i 22 do traktatów Zjednoczone Królestwo, Irlandia i Dania nie uczestniczą w przyjęciu przez Radę środków proponowanych zgodnie z tytułem V TFUE. Zjednoczone Królestwo lub Irlandia mogą pisemnie powiadomić Radę, w terminie t</w:t>
      </w:r>
      <w:r>
        <w:rPr>
          <w:rFonts w:ascii="Times New Roman" w:hAnsi="Times New Roman"/>
          <w:sz w:val="18"/>
          <w:lang w:val="pl-PL"/>
        </w:rPr>
        <w:t>rzech miesięcy od przedstawienia propozycji lub inicjatywy, lub w każdym czasie po przyjęciu środka, że pragną uczestniczyć w przyjmowaniu i stosowaniu każdego proponowanego środka. Dania może w każdej chwili, zgodnie ze swymi odpowiednimi wymogami konstyt</w:t>
      </w:r>
      <w:r>
        <w:rPr>
          <w:rFonts w:ascii="Times New Roman" w:hAnsi="Times New Roman"/>
          <w:sz w:val="18"/>
          <w:lang w:val="pl-PL"/>
        </w:rPr>
        <w:t>ucyjnymi, powiadomić pozostałe państwa członkowskie, że będzie w pełni stosować wszystkie obowiązujące w tym momencie właściwe środki podjęte na podstawie tytułu V TFUE.</w:t>
      </w:r>
    </w:p>
  </w:footnote>
  <w:footnote w:id="5">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rFonts w:ascii="Times New Roman" w:hAnsi="Times New Roman"/>
          <w:lang w:val="pl-PL"/>
        </w:rPr>
        <w:tab/>
      </w:r>
      <w:r>
        <w:rPr>
          <w:rFonts w:ascii="Times New Roman" w:hAnsi="Times New Roman"/>
          <w:sz w:val="18"/>
          <w:lang w:val="pl-PL"/>
        </w:rPr>
        <w:t>Wsparcie to jest dodatkiem do znaczącej pomocy dla tych państw członkowskich z fund</w:t>
      </w:r>
      <w:r>
        <w:rPr>
          <w:rFonts w:ascii="Times New Roman" w:hAnsi="Times New Roman"/>
          <w:sz w:val="18"/>
          <w:lang w:val="pl-PL"/>
        </w:rPr>
        <w:t>uszy przeznaczonych na sprawy wewnętrzne, których Włochy są głównym beneficjentem w wartościach bezwzględnych, Malta zaś – w przeliczeniu na jednego mieszkańca.</w:t>
      </w:r>
    </w:p>
  </w:footnote>
  <w:footnote w:id="6">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rPr>
        <w:footnoteRef/>
      </w:r>
      <w:r>
        <w:rPr>
          <w:rFonts w:ascii="Times New Roman" w:hAnsi="Times New Roman"/>
          <w:lang w:val="pl-PL"/>
        </w:rPr>
        <w:t xml:space="preserve"> </w:t>
      </w:r>
      <w:r>
        <w:rPr>
          <w:rFonts w:ascii="Times New Roman" w:hAnsi="Times New Roman"/>
          <w:lang w:val="pl-PL"/>
        </w:rPr>
        <w:tab/>
      </w:r>
      <w:r>
        <w:rPr>
          <w:rFonts w:ascii="Times New Roman" w:hAnsi="Times New Roman"/>
          <w:sz w:val="18"/>
          <w:lang w:val="pl-PL"/>
        </w:rPr>
        <w:t>Koordynowane przez agencję Frontex operacje „Tryton” i „Posejdon”, które odnoszą się do ochr</w:t>
      </w:r>
      <w:r>
        <w:rPr>
          <w:rFonts w:ascii="Times New Roman" w:hAnsi="Times New Roman"/>
          <w:sz w:val="18"/>
          <w:lang w:val="pl-PL"/>
        </w:rPr>
        <w:t xml:space="preserve">ony granic zewnętrznych, oparte są na dorobku Schengen, w którym Wielka Brytania i Irlandia nie uczestniczą (zob. przypis 25). Nie wyklucza to możliwości uczestniczenia okrętów Zjednoczonego Królestwa w operacjach poszukiwawczych i ratowniczych w obszarze </w:t>
      </w:r>
      <w:r>
        <w:rPr>
          <w:rFonts w:ascii="Times New Roman" w:hAnsi="Times New Roman"/>
          <w:sz w:val="18"/>
          <w:lang w:val="pl-PL"/>
        </w:rPr>
        <w:t>Morza Śródziemnego, skoordynowanych z operacjami „Tryton” i „Posejdon”.</w:t>
      </w:r>
    </w:p>
  </w:footnote>
  <w:footnote w:id="7">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rFonts w:ascii="Times New Roman" w:hAnsi="Times New Roman"/>
          <w:lang w:val="pl-PL"/>
        </w:rPr>
        <w:tab/>
      </w:r>
      <w:r>
        <w:rPr>
          <w:rFonts w:ascii="Times New Roman" w:hAnsi="Times New Roman"/>
          <w:sz w:val="18"/>
          <w:lang w:val="pl-PL"/>
        </w:rPr>
        <w:t>Europejska Agencja Bezpieczeństwa Morskiego, Europejska Agencja Kontroli Rybołówstwa i Eurojust powinny również włączyć się do tych działań.</w:t>
      </w:r>
    </w:p>
  </w:footnote>
  <w:footnote w:id="8">
    <w:p w:rsidR="00196AF6" w:rsidRDefault="007E0AAA">
      <w:pPr>
        <w:pStyle w:val="FootnoteText"/>
        <w:ind w:left="240" w:hanging="240"/>
        <w:jc w:val="both"/>
        <w:rPr>
          <w:rFonts w:ascii="Times New Roman" w:hAnsi="Times New Roman"/>
          <w:lang w:val="pl-PL"/>
        </w:rPr>
      </w:pPr>
      <w:r>
        <w:rPr>
          <w:rStyle w:val="FootnoteReference"/>
          <w:rFonts w:ascii="Times New Roman" w:hAnsi="Times New Roman"/>
          <w:sz w:val="18"/>
        </w:rPr>
        <w:footnoteRef/>
      </w:r>
      <w:r>
        <w:rPr>
          <w:rFonts w:ascii="Times New Roman" w:hAnsi="Times New Roman"/>
          <w:sz w:val="18"/>
          <w:lang w:val="pl-PL"/>
        </w:rPr>
        <w:t xml:space="preserve"> </w:t>
      </w:r>
      <w:r>
        <w:rPr>
          <w:rFonts w:ascii="Times New Roman" w:hAnsi="Times New Roman"/>
          <w:lang w:val="pl-PL"/>
        </w:rPr>
        <w:tab/>
      </w:r>
      <w:r>
        <w:rPr>
          <w:rFonts w:ascii="Times New Roman" w:hAnsi="Times New Roman"/>
          <w:sz w:val="18"/>
          <w:lang w:val="pl-PL"/>
        </w:rPr>
        <w:t>Przedmiotowy wniosek ustawodawczy nie</w:t>
      </w:r>
      <w:r>
        <w:rPr>
          <w:rFonts w:ascii="Times New Roman" w:hAnsi="Times New Roman"/>
          <w:sz w:val="18"/>
          <w:lang w:val="pl-PL"/>
        </w:rPr>
        <w:t xml:space="preserve"> będzie mieć zastosowania w odniesieniu do Danii i znajdzie zastosowanie w odniesieniu do Zjednoczonego Królestwa o Irlandii jedynie w przypadku, jeśli skorzystają one z przysługującego im prawa „opt-in” (zob. przypis 3).</w:t>
      </w:r>
    </w:p>
  </w:footnote>
  <w:footnote w:id="9">
    <w:p w:rsidR="00196AF6" w:rsidRDefault="007E0AAA">
      <w:pPr>
        <w:pStyle w:val="FootnoteText"/>
        <w:ind w:left="240" w:hanging="240"/>
        <w:rPr>
          <w:rFonts w:ascii="Times New Roman" w:hAnsi="Times New Roman"/>
          <w:sz w:val="18"/>
          <w:szCs w:val="18"/>
          <w:lang w:val="pl-PL"/>
        </w:rPr>
      </w:pPr>
      <w:r>
        <w:rPr>
          <w:rStyle w:val="FootnoteReference"/>
          <w:rFonts w:ascii="Times New Roman" w:hAnsi="Times New Roman"/>
        </w:rPr>
        <w:footnoteRef/>
      </w:r>
      <w:r>
        <w:rPr>
          <w:rFonts w:ascii="Times New Roman" w:hAnsi="Times New Roman"/>
          <w:lang w:val="pl-PL"/>
        </w:rPr>
        <w:t xml:space="preserve"> </w:t>
      </w:r>
      <w:r>
        <w:rPr>
          <w:rFonts w:ascii="Times New Roman" w:hAnsi="Times New Roman"/>
          <w:lang w:val="pl-PL"/>
        </w:rPr>
        <w:tab/>
      </w:r>
      <w:r>
        <w:rPr>
          <w:rFonts w:ascii="Times New Roman" w:hAnsi="Times New Roman"/>
          <w:sz w:val="18"/>
          <w:lang w:val="pl-PL"/>
        </w:rPr>
        <w:t>Zakres takiego wniosku: zob. pr</w:t>
      </w:r>
      <w:r>
        <w:rPr>
          <w:rFonts w:ascii="Times New Roman" w:hAnsi="Times New Roman"/>
          <w:sz w:val="18"/>
          <w:lang w:val="pl-PL"/>
        </w:rPr>
        <w:t>zypis 3.</w:t>
      </w:r>
    </w:p>
  </w:footnote>
  <w:footnote w:id="10">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rFonts w:ascii="Times New Roman" w:hAnsi="Times New Roman"/>
          <w:lang w:val="pl-PL"/>
        </w:rPr>
        <w:tab/>
      </w:r>
      <w:r>
        <w:rPr>
          <w:rFonts w:ascii="Times New Roman" w:hAnsi="Times New Roman"/>
          <w:sz w:val="18"/>
          <w:lang w:val="pl-PL"/>
        </w:rPr>
        <w:t>Oświadczenie Zastępcy Dyrektora Biura Wysokiego Komisarza Narodów Zjednoczonych ds. Uchodźców, sprawozdanie na temat przesiedleń, posiedzenie Stałego Komitetu Komitetu Wykonawczego Programu Wysokiego Komisarza, Genewa, 26–28 czerwca 2012 r.</w:t>
      </w:r>
    </w:p>
  </w:footnote>
  <w:footnote w:id="11">
    <w:p w:rsidR="00196AF6" w:rsidRDefault="007E0AAA">
      <w:pPr>
        <w:pStyle w:val="FootnoteText"/>
        <w:ind w:left="240" w:hanging="240"/>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rFonts w:ascii="Times New Roman" w:hAnsi="Times New Roman"/>
          <w:lang w:val="pl-PL"/>
        </w:rPr>
        <w:tab/>
      </w:r>
      <w:r>
        <w:rPr>
          <w:rFonts w:ascii="Times New Roman" w:hAnsi="Times New Roman"/>
          <w:sz w:val="18"/>
          <w:lang w:val="pl-PL"/>
        </w:rPr>
        <w:t>Zakres takiego wniosku: zob. przypis 3.</w:t>
      </w:r>
    </w:p>
  </w:footnote>
  <w:footnote w:id="12">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 tym celu państwa członkowskie mogą wykorzystać fundusze dostępne w ramach Funduszu Azylu, Migracji i Integracji. Państwa szczególnie dotknięte napływem migrantów i osób ubiegających się o azyl w stosownych przypa</w:t>
      </w:r>
      <w:r>
        <w:rPr>
          <w:rFonts w:ascii="Times New Roman" w:hAnsi="Times New Roman"/>
          <w:sz w:val="18"/>
          <w:lang w:val="pl-PL"/>
        </w:rPr>
        <w:t>dkach mogą również zwrócić się o pomoc w ramach unijnego mechanizmu ochrony ludności.</w:t>
      </w:r>
    </w:p>
  </w:footnote>
  <w:footnote w:id="13">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rFonts w:ascii="Times New Roman" w:hAnsi="Times New Roman"/>
          <w:lang w:val="pl-PL"/>
        </w:rPr>
        <w:tab/>
      </w:r>
      <w:r>
        <w:rPr>
          <w:rFonts w:ascii="Times New Roman" w:hAnsi="Times New Roman"/>
          <w:sz w:val="18"/>
          <w:lang w:val="pl-PL"/>
        </w:rPr>
        <w:t>Zakres środków, które już są stosowane lub które zostaną zaproponowane, zgodnie z tytułem V TFUE, w celu realizacji programu: zob. przypis 3 na temat prawa „opt-in” pr</w:t>
      </w:r>
      <w:r>
        <w:rPr>
          <w:rFonts w:ascii="Times New Roman" w:hAnsi="Times New Roman"/>
          <w:sz w:val="18"/>
          <w:lang w:val="pl-PL"/>
        </w:rPr>
        <w:t>zysługującego Zjednoczonemu Królestwu i Irlandii oraz prawa „opt-out” przysługującego Danii.</w:t>
      </w:r>
    </w:p>
  </w:footnote>
  <w:footnote w:id="14">
    <w:p w:rsidR="00196AF6" w:rsidRDefault="007E0AAA">
      <w:pPr>
        <w:pStyle w:val="FootnoteText"/>
        <w:ind w:left="240" w:hanging="240"/>
        <w:jc w:val="both"/>
        <w:rPr>
          <w:rFonts w:ascii="Times New Roman" w:hAnsi="Times New Roman"/>
          <w:lang w:val="pl-PL"/>
        </w:rPr>
      </w:pPr>
      <w:r>
        <w:rPr>
          <w:rStyle w:val="FootnoteReference"/>
          <w:rFonts w:ascii="Times New Roman" w:hAnsi="Times New Roman"/>
        </w:rPr>
        <w:footnoteRef/>
      </w:r>
      <w:r>
        <w:rPr>
          <w:rFonts w:ascii="Times New Roman" w:hAnsi="Times New Roman"/>
          <w:lang w:val="pl-PL"/>
        </w:rPr>
        <w:t xml:space="preserve"> </w:t>
      </w:r>
      <w:r>
        <w:rPr>
          <w:rFonts w:ascii="Times New Roman" w:hAnsi="Times New Roman"/>
          <w:lang w:val="pl-PL"/>
        </w:rPr>
        <w:tab/>
      </w:r>
      <w:r>
        <w:rPr>
          <w:rFonts w:ascii="Times New Roman" w:hAnsi="Times New Roman"/>
          <w:sz w:val="18"/>
          <w:lang w:val="pl-PL"/>
        </w:rPr>
        <w:t>Proces z Rabatu, proces chartumski, proces budapeszteński, dialog UE–Afryka w zakresie migracji i mobilności.</w:t>
      </w:r>
    </w:p>
  </w:footnote>
  <w:footnote w:id="15">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rFonts w:ascii="Times New Roman" w:hAnsi="Times New Roman"/>
          <w:lang w:val="pl-PL"/>
        </w:rPr>
        <w:tab/>
        <w:t>Rozporządzenie Rady (WE) nr </w:t>
      </w:r>
      <w:hyperlink r:id="rId1" w:tooltip="pełny tekst aktu prawnego">
        <w:r>
          <w:rPr>
            <w:rFonts w:ascii="Times New Roman" w:hAnsi="Times New Roman"/>
            <w:sz w:val="18"/>
            <w:lang w:val="pl-PL"/>
          </w:rPr>
          <w:t>377/2004</w:t>
        </w:r>
      </w:hyperlink>
      <w:r>
        <w:rPr>
          <w:rFonts w:ascii="Times New Roman" w:hAnsi="Times New Roman"/>
          <w:lang w:val="pl-PL"/>
        </w:rPr>
        <w:t xml:space="preserve"> z dnia 19 lutego 2004 r.</w:t>
      </w:r>
      <w:r>
        <w:rPr>
          <w:rFonts w:ascii="Times New Roman" w:hAnsi="Times New Roman"/>
          <w:sz w:val="18"/>
          <w:lang w:val="pl-PL"/>
        </w:rPr>
        <w:t xml:space="preserve"> Oficerami łącznikowymi ds. imigracji są przedstawiciele państw członkowskich, którzy zostali odd</w:t>
      </w:r>
      <w:r>
        <w:rPr>
          <w:rFonts w:ascii="Times New Roman" w:hAnsi="Times New Roman"/>
          <w:sz w:val="18"/>
          <w:lang w:val="pl-PL"/>
        </w:rPr>
        <w:t>elegowani do państw nie będących członkami UE w celu ułatwienia działań podejmowanych przez UE w celu zwalczania nielegalnej imigracji (Dz.U. L 64 z 2.3.2004, s.1). Zjednoczone Królestwo i Irlandia skorzystały z prawa „opt-in” w odniesieniu do tego rozporz</w:t>
      </w:r>
      <w:r>
        <w:rPr>
          <w:rFonts w:ascii="Times New Roman" w:hAnsi="Times New Roman"/>
          <w:sz w:val="18"/>
          <w:lang w:val="pl-PL"/>
        </w:rPr>
        <w:t xml:space="preserve">ądzenia (zob. przypis 3). </w:t>
      </w:r>
    </w:p>
  </w:footnote>
  <w:footnote w:id="16">
    <w:p w:rsidR="00196AF6" w:rsidRDefault="007E0AAA">
      <w:pPr>
        <w:spacing w:after="0" w:line="240" w:lineRule="auto"/>
        <w:ind w:left="240" w:hanging="240"/>
        <w:jc w:val="both"/>
        <w:rPr>
          <w:rFonts w:ascii="Times New Roman" w:hAnsi="Times New Roman"/>
          <w:bCs/>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rFonts w:ascii="Times New Roman" w:hAnsi="Times New Roman"/>
          <w:lang w:val="pl-PL"/>
        </w:rPr>
        <w:tab/>
      </w:r>
      <w:r>
        <w:rPr>
          <w:rFonts w:ascii="Times New Roman" w:hAnsi="Times New Roman"/>
          <w:sz w:val="18"/>
          <w:lang w:val="pl-PL"/>
        </w:rPr>
        <w:t>Działania te będą również realizowane w ramach europejskiej strategii bezpieczeństwa oraz strategii bezpieczeństwa morskiego. Przemyt migrantów i handel ludźmi są dwiema różnymi choć powiązanymi formami działalności przestępcz</w:t>
      </w:r>
      <w:r>
        <w:rPr>
          <w:rFonts w:ascii="Times New Roman" w:hAnsi="Times New Roman"/>
          <w:sz w:val="18"/>
          <w:lang w:val="pl-PL"/>
        </w:rPr>
        <w:t>ej prowadzonej przez sieci przestępcze. Różnica między obiema formami polega na tym, że w pierwszym przypadku migranci dobrowolnie angażują się w proces nielegalnej migracji, opłacając usługi przemytnika w celu przekroczenia granicy, w drugim zaś są ofiara</w:t>
      </w:r>
      <w:r>
        <w:rPr>
          <w:rFonts w:ascii="Times New Roman" w:hAnsi="Times New Roman"/>
          <w:sz w:val="18"/>
          <w:lang w:val="pl-PL"/>
        </w:rPr>
        <w:t>mi brutalnego wyzysku, który może – ale nie musi – być związany z przekroczeniem granicy. W rzeczywistości rozróżnienie między obydwoma zjawiskami jest trudne, gdyż osoby, które podejmują podróż na zasadzie dobrowolności, są również łatwo narażone na dział</w:t>
      </w:r>
      <w:r>
        <w:rPr>
          <w:rFonts w:ascii="Times New Roman" w:hAnsi="Times New Roman"/>
          <w:sz w:val="18"/>
          <w:lang w:val="pl-PL"/>
        </w:rPr>
        <w:t xml:space="preserve">anie sieci wyzysku pracowniczego lub seksualnego. </w:t>
      </w:r>
    </w:p>
  </w:footnote>
  <w:footnote w:id="17">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rFonts w:ascii="Times New Roman" w:hAnsi="Times New Roman"/>
          <w:lang w:val="pl-PL"/>
        </w:rPr>
        <w:tab/>
      </w:r>
      <w:r>
        <w:rPr>
          <w:rFonts w:ascii="Times New Roman" w:hAnsi="Times New Roman"/>
          <w:sz w:val="18"/>
          <w:lang w:val="pl-PL"/>
        </w:rPr>
        <w:t>Niektóre ze środków przyjętych przez UE przed dniem 1 grudnia 2009 r. w odniesieniu do współpracy policyjnej i sądowej w sprawach kryminalnych nie mają już zastosowania do Zjednoczonego Królestwa od dni</w:t>
      </w:r>
      <w:r>
        <w:rPr>
          <w:rFonts w:ascii="Times New Roman" w:hAnsi="Times New Roman"/>
          <w:sz w:val="18"/>
          <w:lang w:val="pl-PL"/>
        </w:rPr>
        <w:t>a 1 grudnia 2014 r. na podstawie art. 9 i 10 protokołu 36 do traktatów, w których ustanowiono szczegółowe procedury zbiorczego zastosowania klauzuli „opt-out” i przywrócenia „opt-in” (zob. decyzje przyjęte przez Komisję i Radę w sprawie środków zgłoszonych</w:t>
      </w:r>
      <w:r>
        <w:rPr>
          <w:rFonts w:ascii="Times New Roman" w:hAnsi="Times New Roman"/>
          <w:sz w:val="18"/>
          <w:lang w:val="pl-PL"/>
        </w:rPr>
        <w:t xml:space="preserve"> przez Zjednoczone Królestwo, Dz.U. L 345 z 1.12. 2012, s. 1 i Dz.U. C 430 z 1.12.2014, s. 1). W 2002 r. UE przyjęła przepisy mające na celu zwalczenie przemytu migrantów: </w:t>
      </w:r>
      <w:r>
        <w:rPr>
          <w:rFonts w:ascii="Times New Roman" w:hAnsi="Times New Roman"/>
          <w:lang w:val="pl-PL"/>
        </w:rPr>
        <w:t>dyrektywę 2002/90/WE ustanawiającą wspólną definicję ułatwiania nielegalnego wjazdu,</w:t>
      </w:r>
      <w:r>
        <w:rPr>
          <w:rFonts w:ascii="Times New Roman" w:hAnsi="Times New Roman"/>
          <w:lang w:val="pl-PL"/>
        </w:rPr>
        <w:t xml:space="preserve"> tranzytu i pobytu (Dz.U. L 328 z 5.12.2002, s. 17) oraz decyzję ramową 2002/946/JHA w sprawie wzmocnienia systemu karnego w celu zapobiegania ułatwiania nielegalnego wjazdu, tranzytu i pobytu (Dz.U. L 328 z 5.12.2002, s. 1).</w:t>
      </w:r>
      <w:r>
        <w:rPr>
          <w:rFonts w:ascii="Times New Roman" w:hAnsi="Times New Roman"/>
          <w:sz w:val="18"/>
          <w:lang w:val="pl-PL"/>
        </w:rPr>
        <w:t xml:space="preserve"> Zjednoczone Królestwo i Irland</w:t>
      </w:r>
      <w:r>
        <w:rPr>
          <w:rFonts w:ascii="Times New Roman" w:hAnsi="Times New Roman"/>
          <w:sz w:val="18"/>
          <w:lang w:val="pl-PL"/>
        </w:rPr>
        <w:t>ia zgłosiły swój „opt-in” w odniesieniu do dyrektywy oraz decyzji ramowej. Mimo to w odniesieniu do Zjednoczonego Królestwa decyzja ramowa nie ma już zastosowania na mocy zbiorczego zastosowania klauzuli „opt-out” przewidzianego w protokole 36, o którym mo</w:t>
      </w:r>
      <w:r>
        <w:rPr>
          <w:rFonts w:ascii="Times New Roman" w:hAnsi="Times New Roman"/>
          <w:sz w:val="18"/>
          <w:lang w:val="pl-PL"/>
        </w:rPr>
        <w:t xml:space="preserve">wa wyżej. Zjednoczone Królestwo może jednak nadal podjąć decyzję o przystąpieniu („opt-in”) do decyzji ramowej. </w:t>
      </w:r>
    </w:p>
  </w:footnote>
  <w:footnote w:id="18">
    <w:p w:rsidR="00196AF6" w:rsidRDefault="007E0AAA">
      <w:pPr>
        <w:pStyle w:val="FootnoteText"/>
        <w:ind w:left="240" w:hanging="240"/>
        <w:rPr>
          <w:rFonts w:ascii="Times New Roman" w:hAnsi="Times New Roman"/>
          <w:sz w:val="18"/>
          <w:szCs w:val="18"/>
          <w:lang w:val="pl-PL"/>
        </w:rPr>
      </w:pPr>
      <w:r>
        <w:rPr>
          <w:rStyle w:val="FootnoteReference"/>
          <w:rFonts w:ascii="Times New Roman" w:hAnsi="Times New Roman"/>
        </w:rPr>
        <w:footnoteRef/>
      </w:r>
      <w:r>
        <w:rPr>
          <w:rFonts w:ascii="Times New Roman" w:hAnsi="Times New Roman"/>
          <w:lang w:val="pl-PL"/>
        </w:rPr>
        <w:t xml:space="preserve"> </w:t>
      </w:r>
      <w:r>
        <w:rPr>
          <w:rFonts w:ascii="Times New Roman" w:hAnsi="Times New Roman"/>
          <w:lang w:val="pl-PL"/>
        </w:rPr>
        <w:tab/>
      </w:r>
      <w:r>
        <w:rPr>
          <w:rFonts w:ascii="Times New Roman" w:hAnsi="Times New Roman"/>
          <w:sz w:val="18"/>
          <w:lang w:val="pl-PL"/>
        </w:rPr>
        <w:t>Zakres tych inicjatyw i już obowiązujące środki: zob. przypisy 3 i 17.</w:t>
      </w:r>
    </w:p>
  </w:footnote>
  <w:footnote w:id="19">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rFonts w:ascii="Times New Roman" w:hAnsi="Times New Roman"/>
          <w:lang w:val="pl-PL"/>
        </w:rPr>
        <w:tab/>
      </w:r>
      <w:r>
        <w:rPr>
          <w:rFonts w:ascii="Times New Roman" w:hAnsi="Times New Roman"/>
          <w:sz w:val="18"/>
          <w:lang w:val="pl-PL"/>
        </w:rPr>
        <w:t>Dyrektywa Parlamentu Europejskiego i Rady 2009/52/WE z dnia 18 cze</w:t>
      </w:r>
      <w:r>
        <w:rPr>
          <w:rFonts w:ascii="Times New Roman" w:hAnsi="Times New Roman"/>
          <w:sz w:val="18"/>
          <w:lang w:val="pl-PL"/>
        </w:rPr>
        <w:t>rwca 2009 r. przewidująca minimalne normy w odniesieniu do kar i środków stosowanych wobec pracodawców zatrudniających nielegalnie przebywających obywateli krajów trzecich (Dz.U. L 168 z 30.6.2009, s. 24).</w:t>
      </w:r>
      <w:r>
        <w:rPr>
          <w:rFonts w:ascii="Times New Roman" w:hAnsi="Times New Roman"/>
          <w:lang w:val="pl-PL"/>
        </w:rPr>
        <w:t xml:space="preserve"> </w:t>
      </w:r>
      <w:r>
        <w:rPr>
          <w:rFonts w:ascii="Times New Roman" w:hAnsi="Times New Roman"/>
          <w:sz w:val="18"/>
          <w:lang w:val="pl-PL"/>
        </w:rPr>
        <w:t>Zjednoczone Królestwo i Irlandia nie zgłosiły swoj</w:t>
      </w:r>
      <w:r>
        <w:rPr>
          <w:rFonts w:ascii="Times New Roman" w:hAnsi="Times New Roman"/>
          <w:sz w:val="18"/>
          <w:lang w:val="pl-PL"/>
        </w:rPr>
        <w:t>ego „opt-in” w odniesieniu do tej dyrektywy i dlatego nią są związane jej postanowieniami i nie ma ona w stosunku do nich zastosowania.</w:t>
      </w:r>
    </w:p>
  </w:footnote>
  <w:footnote w:id="20">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lang w:val="pl-PL"/>
        </w:rPr>
        <w:tab/>
      </w:r>
      <w:r>
        <w:rPr>
          <w:rFonts w:ascii="Times New Roman" w:hAnsi="Times New Roman"/>
          <w:sz w:val="18"/>
          <w:lang w:val="pl-PL"/>
        </w:rPr>
        <w:t>Szczególny obowiązek zawarto w umowie z Kotonu z państwami AKP. Zgodnie z art. 13 umowy z Kotonu na wniosek państwa A</w:t>
      </w:r>
      <w:r>
        <w:rPr>
          <w:rFonts w:ascii="Times New Roman" w:hAnsi="Times New Roman"/>
          <w:sz w:val="18"/>
          <w:lang w:val="pl-PL"/>
        </w:rPr>
        <w:t>KP i bez żadnych dodatkowych formalności każde państwo członkowskie Unii Europejskiej akceptuje powrót oraz ponownie przyjmuje swoich obywateli przebywających nielegalnie na terytorium tego państwa; na wniosek państwa członkowskiego i bez żadnych dodatkowy</w:t>
      </w:r>
      <w:r>
        <w:rPr>
          <w:rFonts w:ascii="Times New Roman" w:hAnsi="Times New Roman"/>
          <w:sz w:val="18"/>
          <w:lang w:val="pl-PL"/>
        </w:rPr>
        <w:t>ch formalności każde z państw AKP akceptuje powrót i ponownie przyjmuje swoich obywateli przebywających nielegalnie na terytorium państwa członkowskiego Unii Europejskiej.</w:t>
      </w:r>
    </w:p>
  </w:footnote>
  <w:footnote w:id="21">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lang w:val="pl-PL"/>
        </w:rPr>
        <w:tab/>
      </w:r>
      <w:r>
        <w:rPr>
          <w:rFonts w:ascii="Times New Roman" w:hAnsi="Times New Roman"/>
          <w:sz w:val="18"/>
          <w:lang w:val="pl-PL"/>
        </w:rPr>
        <w:t>Konkluzje Rady w sprawie unijnej polityki dotyczącej powrotów przyjęte na posiedz</w:t>
      </w:r>
      <w:r>
        <w:rPr>
          <w:rFonts w:ascii="Times New Roman" w:hAnsi="Times New Roman"/>
          <w:sz w:val="18"/>
          <w:lang w:val="pl-PL"/>
        </w:rPr>
        <w:t>eniu Rady ds. Wymiaru Sprawiedliwości i Spraw Wewnętrznych w dniach 5 i 6 czerwca 2014 r.</w:t>
      </w:r>
    </w:p>
  </w:footnote>
  <w:footnote w:id="22">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lang w:val="pl-PL"/>
        </w:rPr>
        <w:tab/>
      </w:r>
      <w:r>
        <w:rPr>
          <w:rFonts w:ascii="Times New Roman" w:hAnsi="Times New Roman"/>
          <w:sz w:val="18"/>
          <w:lang w:val="pl-PL"/>
        </w:rPr>
        <w:t>Umowa o readmisji ułatwia powrót obywateli państw trzecich. Umawiające się Strony ponownie przyjmują na swoje terytorium bez żadnych formalności osoby będące obywa</w:t>
      </w:r>
      <w:r>
        <w:rPr>
          <w:rFonts w:ascii="Times New Roman" w:hAnsi="Times New Roman"/>
          <w:sz w:val="18"/>
          <w:lang w:val="pl-PL"/>
        </w:rPr>
        <w:t xml:space="preserve">telami danego państwa, które przebywają nielegalnie w innym państwie lub które nielegalnie przekroczyły jego granice. </w:t>
      </w:r>
    </w:p>
  </w:footnote>
  <w:footnote w:id="23">
    <w:p w:rsidR="00196AF6" w:rsidRDefault="007E0AAA">
      <w:pPr>
        <w:pStyle w:val="FootnoteText"/>
        <w:ind w:left="240" w:hanging="240"/>
        <w:jc w:val="both"/>
        <w:rPr>
          <w:rFonts w:ascii="Times New Roman" w:hAnsi="Times New Roman"/>
          <w:sz w:val="18"/>
          <w:szCs w:val="18"/>
          <w:lang w:val="pl-PL"/>
        </w:rPr>
      </w:pPr>
      <w:r>
        <w:rPr>
          <w:rStyle w:val="FootnoteReference"/>
        </w:rPr>
        <w:footnoteRef/>
      </w:r>
      <w:r>
        <w:rPr>
          <w:lang w:val="pl-PL"/>
        </w:rPr>
        <w:t xml:space="preserve"> </w:t>
      </w:r>
      <w:r>
        <w:rPr>
          <w:lang w:val="pl-PL"/>
        </w:rPr>
        <w:tab/>
      </w:r>
      <w:r>
        <w:rPr>
          <w:rFonts w:ascii="Times New Roman" w:hAnsi="Times New Roman"/>
          <w:sz w:val="18"/>
          <w:lang w:val="pl-PL"/>
        </w:rPr>
        <w:t xml:space="preserve">Dyrektywa Parlamentu Europejskiego i Rady 2008/115/WE z dnia 16 grudnia 2008 r. w sprawie wspólnych norm i procedur stosowanych przez </w:t>
      </w:r>
      <w:r>
        <w:rPr>
          <w:rFonts w:ascii="Times New Roman" w:hAnsi="Times New Roman"/>
          <w:sz w:val="18"/>
          <w:lang w:val="pl-PL"/>
        </w:rPr>
        <w:t>państwa członkowskie w odniesieniu do powrotów nielegalnie przebywających obywateli państw trzecich, Dz.U. L 348 z 24.12.2008, s. 98. Zjednoczone Królestwo i Irlandia nie zastosowały klauzuli „opt-in” zobowiązującej do stosowania tej dyrektywy, w związku z</w:t>
      </w:r>
      <w:r>
        <w:rPr>
          <w:rFonts w:ascii="Times New Roman" w:hAnsi="Times New Roman"/>
          <w:sz w:val="18"/>
          <w:lang w:val="pl-PL"/>
        </w:rPr>
        <w:t xml:space="preserve"> czym nie są nią związane.</w:t>
      </w:r>
    </w:p>
  </w:footnote>
  <w:footnote w:id="24">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lang w:val="pl-PL"/>
        </w:rPr>
        <w:tab/>
      </w:r>
      <w:r>
        <w:rPr>
          <w:rFonts w:ascii="Times New Roman" w:hAnsi="Times New Roman"/>
          <w:sz w:val="18"/>
          <w:lang w:val="pl-PL"/>
        </w:rPr>
        <w:t xml:space="preserve">Zasada </w:t>
      </w:r>
      <w:r>
        <w:rPr>
          <w:rFonts w:ascii="Times New Roman" w:hAnsi="Times New Roman"/>
          <w:i/>
          <w:sz w:val="18"/>
          <w:lang w:val="pl-PL"/>
        </w:rPr>
        <w:t>non-refoulement</w:t>
      </w:r>
      <w:r>
        <w:rPr>
          <w:rFonts w:ascii="Times New Roman" w:hAnsi="Times New Roman"/>
          <w:sz w:val="18"/>
          <w:lang w:val="pl-PL"/>
        </w:rPr>
        <w:t xml:space="preserve"> jest zasadą prawa międzynarodowego, zatwierdzoną w Karcie praw podstawowych, zgodnie z którą nikogo nie można deportować do miejsca, w którym istnieje poważne ryzyko kary śmierci, tortur lub nieludzkiego</w:t>
      </w:r>
      <w:r>
        <w:rPr>
          <w:rFonts w:ascii="Times New Roman" w:hAnsi="Times New Roman"/>
          <w:sz w:val="18"/>
          <w:lang w:val="pl-PL"/>
        </w:rPr>
        <w:t xml:space="preserve"> bądź poniżającego traktowania. </w:t>
      </w:r>
    </w:p>
  </w:footnote>
  <w:footnote w:id="25">
    <w:p w:rsidR="00196AF6" w:rsidRDefault="007E0AAA">
      <w:pPr>
        <w:pStyle w:val="FootnoteText"/>
        <w:ind w:left="240" w:hanging="240"/>
        <w:jc w:val="both"/>
        <w:rPr>
          <w:rFonts w:ascii="Times New Roman" w:hAnsi="Times New Roman"/>
          <w:sz w:val="18"/>
          <w:szCs w:val="18"/>
          <w:lang w:val="pl-PL"/>
        </w:rPr>
      </w:pPr>
      <w:r>
        <w:rPr>
          <w:rStyle w:val="FootnoteReference"/>
        </w:rPr>
        <w:footnoteRef/>
      </w:r>
      <w:r>
        <w:rPr>
          <w:lang w:val="pl-PL"/>
        </w:rPr>
        <w:t xml:space="preserve"> </w:t>
      </w:r>
      <w:r>
        <w:rPr>
          <w:lang w:val="pl-PL"/>
        </w:rPr>
        <w:tab/>
      </w:r>
      <w:r>
        <w:rPr>
          <w:rFonts w:ascii="Times New Roman" w:hAnsi="Times New Roman"/>
          <w:sz w:val="18"/>
          <w:lang w:val="pl-PL"/>
        </w:rPr>
        <w:t>Frontex został ustanowiony rozporządzeniem (WE) nr 2007/2004 (Dz.U. L 349 z 25.11.2004, s. 1). Stanowi on rozwinięcie dorobku Schengen, w którym nie uczestniczą Irlandia i Zjednoczone Królestwo, zatem te państwa członkow</w:t>
      </w:r>
      <w:r>
        <w:rPr>
          <w:rFonts w:ascii="Times New Roman" w:hAnsi="Times New Roman"/>
          <w:sz w:val="18"/>
          <w:lang w:val="pl-PL"/>
        </w:rPr>
        <w:t>skie nie należą do Fronteksu. Jednak zgodnie z art. 12 tego rozporządzenia ma miejsce współpraca z Irlandią i Zjednoczonym Królestwem, w szczególności w odniesieniu do organizacji wspólnych działań dotyczących powrotów.</w:t>
      </w:r>
    </w:p>
  </w:footnote>
  <w:footnote w:id="26">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lang w:val="pl-PL"/>
        </w:rPr>
        <w:tab/>
      </w:r>
      <w:r>
        <w:rPr>
          <w:rFonts w:ascii="Times New Roman" w:hAnsi="Times New Roman"/>
          <w:sz w:val="18"/>
          <w:lang w:val="pl-PL"/>
        </w:rPr>
        <w:t xml:space="preserve">Rozporządzenie (UE) nr 1052/2013 </w:t>
      </w:r>
      <w:r>
        <w:rPr>
          <w:rFonts w:ascii="Times New Roman" w:hAnsi="Times New Roman"/>
          <w:sz w:val="18"/>
          <w:lang w:val="pl-PL"/>
        </w:rPr>
        <w:t>z dnia 22 października 2013 r. ustanawiające europejski system nadzorowania granic (EUROSUR), Dz.U. L 295 z 6.11.2013, s.1. EUROSUR – system wymiany informacji mających na celu poprawę zarządzania zewnętrznymi granicami UE – umożliwia wymianę odnośnych dan</w:t>
      </w:r>
      <w:r>
        <w:rPr>
          <w:rFonts w:ascii="Times New Roman" w:hAnsi="Times New Roman"/>
          <w:sz w:val="18"/>
          <w:lang w:val="pl-PL"/>
        </w:rPr>
        <w:t>ych niemal w czasie rzeczywistym między Fronteksem a państwami strefy Schengen. EUROSUR stanowi rozwinięcie dorobku Schengen, w którym nie uczestniczą Irlandia i Zjednoczone Królestwo, zatem te państwa członkowskie nie należą do tego systemu. Ograniczona w</w:t>
      </w:r>
      <w:r>
        <w:rPr>
          <w:rFonts w:ascii="Times New Roman" w:hAnsi="Times New Roman"/>
          <w:sz w:val="18"/>
          <w:lang w:val="pl-PL"/>
        </w:rPr>
        <w:t>spółpraca na poziomie regionalnym przewidziana w art. 19 rozporządzenia jest obecnie analizowana przez Trybunał Sprawiedliwości (sprawa C-88/14).</w:t>
      </w:r>
    </w:p>
  </w:footnote>
  <w:footnote w:id="27">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lang w:val="pl-PL"/>
        </w:rPr>
        <w:tab/>
      </w:r>
      <w:r>
        <w:rPr>
          <w:rFonts w:ascii="Times New Roman" w:hAnsi="Times New Roman"/>
          <w:sz w:val="18"/>
          <w:lang w:val="pl-PL"/>
        </w:rPr>
        <w:t>Jest on kordynowany przez Frontex z udziałem EASO, Europolu, Centrum Satelitarnego UE i Europejskiej Agencj</w:t>
      </w:r>
      <w:r>
        <w:rPr>
          <w:rFonts w:ascii="Times New Roman" w:hAnsi="Times New Roman"/>
          <w:sz w:val="18"/>
          <w:lang w:val="pl-PL"/>
        </w:rPr>
        <w:t>i ds. Bezpieczeństwa na Morzu.</w:t>
      </w:r>
    </w:p>
  </w:footnote>
  <w:footnote w:id="28">
    <w:p w:rsidR="00196AF6" w:rsidRDefault="007E0AAA">
      <w:pPr>
        <w:pStyle w:val="FootnoteText"/>
        <w:ind w:left="240" w:hanging="240"/>
        <w:rPr>
          <w:rFonts w:ascii="Times New Roman" w:hAnsi="Times New Roman"/>
          <w:sz w:val="18"/>
          <w:szCs w:val="18"/>
          <w:lang w:val="pl-PL"/>
        </w:rPr>
      </w:pPr>
      <w:r>
        <w:rPr>
          <w:rStyle w:val="FootnoteReference"/>
        </w:rPr>
        <w:footnoteRef/>
      </w:r>
      <w:r>
        <w:rPr>
          <w:lang w:val="pl-PL"/>
        </w:rPr>
        <w:t xml:space="preserve"> </w:t>
      </w:r>
      <w:r>
        <w:rPr>
          <w:lang w:val="pl-PL"/>
        </w:rPr>
        <w:tab/>
      </w:r>
      <w:r>
        <w:rPr>
          <w:rFonts w:ascii="Times New Roman" w:hAnsi="Times New Roman"/>
          <w:sz w:val="18"/>
          <w:lang w:val="pl-PL"/>
        </w:rPr>
        <w:t>W odniesieniu do zakresu stosowania tego wniosku zob. przypis 3.</w:t>
      </w:r>
    </w:p>
  </w:footnote>
  <w:footnote w:id="29">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lang w:val="pl-PL"/>
        </w:rPr>
        <w:tab/>
      </w:r>
      <w:r>
        <w:rPr>
          <w:rFonts w:ascii="Times New Roman" w:hAnsi="Times New Roman"/>
          <w:sz w:val="18"/>
          <w:lang w:val="pl-PL"/>
        </w:rPr>
        <w:t>W celu przyjrzenia się szczególnie trudnej sytuacji dzieci, nie tylko ze środowisk migrantów, Komisja opracuje kompleksową strategię mającą na celu kontyn</w:t>
      </w:r>
      <w:r>
        <w:rPr>
          <w:rFonts w:ascii="Times New Roman" w:hAnsi="Times New Roman"/>
          <w:sz w:val="18"/>
          <w:lang w:val="pl-PL"/>
        </w:rPr>
        <w:t>uację planu działania w zakresie małoletnich bez opieki (2011-2014), która to strategia dotyczyć będzie problemu dzieci zaginionych i bez opieki.</w:t>
      </w:r>
    </w:p>
  </w:footnote>
  <w:footnote w:id="30">
    <w:p w:rsidR="00196AF6" w:rsidRDefault="007E0AAA">
      <w:pPr>
        <w:pStyle w:val="FootnoteText"/>
        <w:ind w:left="240" w:hanging="240"/>
        <w:jc w:val="both"/>
        <w:rPr>
          <w:rFonts w:ascii="Times New Roman" w:hAnsi="Times New Roman"/>
          <w:sz w:val="18"/>
          <w:szCs w:val="18"/>
          <w:lang w:val="pl-PL"/>
        </w:rPr>
      </w:pPr>
      <w:r>
        <w:rPr>
          <w:rStyle w:val="FootnoteReference"/>
        </w:rPr>
        <w:footnoteRef/>
      </w:r>
      <w:r>
        <w:rPr>
          <w:lang w:val="pl-PL"/>
        </w:rPr>
        <w:t xml:space="preserve"> </w:t>
      </w:r>
      <w:r>
        <w:rPr>
          <w:lang w:val="pl-PL"/>
        </w:rPr>
        <w:tab/>
      </w:r>
      <w:r>
        <w:rPr>
          <w:rFonts w:ascii="Times New Roman" w:hAnsi="Times New Roman"/>
          <w:sz w:val="18"/>
          <w:lang w:val="pl-PL"/>
        </w:rPr>
        <w:t>Dyrektywa 2013/32/UE z dnia 26 czerwca 2013 r. w sprawie wspólnych procedur udzielania i cofania ochrony mi</w:t>
      </w:r>
      <w:r>
        <w:rPr>
          <w:rFonts w:ascii="Times New Roman" w:hAnsi="Times New Roman"/>
          <w:sz w:val="18"/>
          <w:lang w:val="pl-PL"/>
        </w:rPr>
        <w:t>ędzynarodowej , Dz.U. L 180 z 29.6.2013, s. 60; dyrektywa 2013/33/UE z dnia 26 czerwca 2013 r. w sprawie ustanowienia norm dotyczących przyjmowania wnioskodawców ubiegających się o ochronę międzynarodową , Dz.U. L 180 z 29.6.2013, s. 96. Zjednoczone Króles</w:t>
      </w:r>
      <w:r>
        <w:rPr>
          <w:rFonts w:ascii="Times New Roman" w:hAnsi="Times New Roman"/>
          <w:sz w:val="18"/>
          <w:lang w:val="pl-PL"/>
        </w:rPr>
        <w:t xml:space="preserve">two i Irlandia nie zastosowały klauzuli „opt-in” w odniesieniu do tych dyrektyw. </w:t>
      </w:r>
    </w:p>
  </w:footnote>
  <w:footnote w:id="31">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lang w:val="pl-PL"/>
        </w:rPr>
        <w:tab/>
      </w:r>
      <w:r>
        <w:rPr>
          <w:rFonts w:ascii="Times New Roman" w:hAnsi="Times New Roman"/>
          <w:sz w:val="18"/>
          <w:lang w:val="pl-PL"/>
        </w:rPr>
        <w:t>Program szkoleniowy EASO – wspólny system szkoleń zawodowych przeznaczony dla pracowników służb azylowych i innych grup docelowych, takich jak przedstawiciele kadry kierow</w:t>
      </w:r>
      <w:r>
        <w:rPr>
          <w:rFonts w:ascii="Times New Roman" w:hAnsi="Times New Roman"/>
          <w:sz w:val="18"/>
          <w:lang w:val="pl-PL"/>
        </w:rPr>
        <w:t>niczej czy prawników w całej UE.</w:t>
      </w:r>
    </w:p>
  </w:footnote>
  <w:footnote w:id="32">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lang w:val="pl-PL"/>
        </w:rPr>
        <w:tab/>
      </w:r>
      <w:r>
        <w:rPr>
          <w:rFonts w:ascii="Times New Roman" w:hAnsi="Times New Roman"/>
          <w:sz w:val="18"/>
          <w:lang w:val="pl-PL"/>
        </w:rPr>
        <w:t xml:space="preserve">Pozwoli to UE na podejmowanie działań zapobiegawczych w partnerstwie z państwami pochodzenia, opracowanie ukierunkowanych kampanii informacyjnych i zacieśnienie współpracy w zarządzaniu granicami i walce z przemytem </w:t>
      </w:r>
      <w:r>
        <w:rPr>
          <w:rFonts w:ascii="Times New Roman" w:hAnsi="Times New Roman"/>
          <w:sz w:val="18"/>
          <w:lang w:val="pl-PL"/>
        </w:rPr>
        <w:t>ludźmi.</w:t>
      </w:r>
    </w:p>
  </w:footnote>
  <w:footnote w:id="33">
    <w:p w:rsidR="00196AF6" w:rsidRDefault="007E0AAA">
      <w:pPr>
        <w:pStyle w:val="FootnoteText"/>
        <w:ind w:left="240" w:hanging="240"/>
        <w:rPr>
          <w:rFonts w:ascii="Times New Roman" w:hAnsi="Times New Roman"/>
          <w:sz w:val="18"/>
          <w:szCs w:val="18"/>
          <w:lang w:val="pl-PL"/>
        </w:rPr>
      </w:pPr>
      <w:r>
        <w:rPr>
          <w:rStyle w:val="FootnoteReference"/>
        </w:rPr>
        <w:footnoteRef/>
      </w:r>
      <w:r>
        <w:rPr>
          <w:lang w:val="pl-PL"/>
        </w:rPr>
        <w:t xml:space="preserve"> </w:t>
      </w:r>
      <w:r>
        <w:rPr>
          <w:lang w:val="pl-PL"/>
        </w:rPr>
        <w:tab/>
      </w:r>
      <w:r>
        <w:rPr>
          <w:rFonts w:ascii="Times New Roman" w:hAnsi="Times New Roman"/>
          <w:sz w:val="18"/>
          <w:lang w:val="pl-PL"/>
        </w:rPr>
        <w:t xml:space="preserve">Dyrektywa 2013/32/UE, cytowana powyżej. </w:t>
      </w:r>
    </w:p>
  </w:footnote>
  <w:footnote w:id="34">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lang w:val="pl-PL"/>
        </w:rPr>
        <w:tab/>
      </w:r>
      <w:r>
        <w:rPr>
          <w:rFonts w:ascii="Times New Roman" w:hAnsi="Times New Roman"/>
          <w:sz w:val="18"/>
          <w:lang w:val="pl-PL"/>
        </w:rPr>
        <w:t>Rozporządzenie (UE) nr 604/2013 z dnia 26 czerwca 2013 r. w sprawie ustanowienia kryteriów i mechanizmów ustalania państwa członkowskiego odpowiedzialnego za rozpatrzenie wniosku o udzielenie ochrony m</w:t>
      </w:r>
      <w:r>
        <w:rPr>
          <w:rFonts w:ascii="Times New Roman" w:hAnsi="Times New Roman"/>
          <w:sz w:val="18"/>
          <w:lang w:val="pl-PL"/>
        </w:rPr>
        <w:t>iędzynarodowej złożonego w jednym z państw członkowskich przez obywatela państwa trzeciego lub bezpaństwowca (Dz.U. L 180 z 29.6.2013, s. 31). Zjednoczone Królestwo i Irlandia powiadomiły o swoim zamiarze uczestniczenia w przyjęciu i stosowaniu niniejszego</w:t>
      </w:r>
      <w:r>
        <w:rPr>
          <w:rFonts w:ascii="Times New Roman" w:hAnsi="Times New Roman"/>
          <w:sz w:val="18"/>
          <w:lang w:val="pl-PL"/>
        </w:rPr>
        <w:t xml:space="preserve"> rozporządzenia. Dania uczestniczy w systemie dublińskim za pośrednictwem odrębnego porozumienia, które zawarła z UE w 2006 r. Kryteria w zakresie ustalenia obowiązków, w porządku hierarchicznym, to: względy rodzinne, ostatnio wydane wizy lub pozwolenia na</w:t>
      </w:r>
      <w:r>
        <w:rPr>
          <w:rFonts w:ascii="Times New Roman" w:hAnsi="Times New Roman"/>
          <w:sz w:val="18"/>
          <w:lang w:val="pl-PL"/>
        </w:rPr>
        <w:t xml:space="preserve"> pobyt w państwie członkowskim oraz to, czy osoba składająca wniosek przybyła na terytorium UE legalnie czy nielegalnie.</w:t>
      </w:r>
    </w:p>
  </w:footnote>
  <w:footnote w:id="35">
    <w:p w:rsidR="00196AF6" w:rsidRDefault="007E0AAA">
      <w:pPr>
        <w:pStyle w:val="FootnoteText"/>
        <w:ind w:left="240" w:hanging="240"/>
        <w:jc w:val="both"/>
        <w:rPr>
          <w:rFonts w:ascii="Times New Roman" w:hAnsi="Times New Roman"/>
          <w:sz w:val="18"/>
          <w:szCs w:val="18"/>
          <w:lang w:val="pl-PL"/>
        </w:rPr>
      </w:pPr>
      <w:r>
        <w:rPr>
          <w:rStyle w:val="FootnoteReference"/>
        </w:rPr>
        <w:footnoteRef/>
      </w:r>
      <w:r>
        <w:rPr>
          <w:lang w:val="pl-PL"/>
        </w:rPr>
        <w:t xml:space="preserve"> </w:t>
      </w:r>
      <w:r>
        <w:rPr>
          <w:lang w:val="pl-PL"/>
        </w:rPr>
        <w:tab/>
      </w:r>
      <w:r>
        <w:rPr>
          <w:rFonts w:ascii="Times New Roman" w:hAnsi="Times New Roman"/>
          <w:sz w:val="18"/>
          <w:lang w:val="pl-PL"/>
        </w:rPr>
        <w:t>Rozporządzenie (UE) nr 603/2013 z dnia 26 czerwca 2013 r. w sprawie ustanowienia systemu Eurodac (wersja przekształcona). Zjednoczon</w:t>
      </w:r>
      <w:r>
        <w:rPr>
          <w:rFonts w:ascii="Times New Roman" w:hAnsi="Times New Roman"/>
          <w:sz w:val="18"/>
          <w:lang w:val="pl-PL"/>
        </w:rPr>
        <w:t>e Królestwo i Irlandia zastosowały klauzulę „opt-in” w odniesieniu do tego rozporządzenia. Dania uczestniczy w systemie Eurodac za pośrednictwem odrębnego porozumienia, które zawarła z UE w 2006 r.</w:t>
      </w:r>
    </w:p>
  </w:footnote>
  <w:footnote w:id="36">
    <w:p w:rsidR="00196AF6" w:rsidRDefault="007E0AAA">
      <w:pPr>
        <w:pStyle w:val="FootnoteText"/>
        <w:ind w:left="240" w:hanging="240"/>
        <w:rPr>
          <w:rFonts w:ascii="Times New Roman" w:hAnsi="Times New Roman"/>
          <w:sz w:val="18"/>
          <w:szCs w:val="18"/>
          <w:lang w:val="pl-PL"/>
        </w:rPr>
      </w:pPr>
      <w:r>
        <w:rPr>
          <w:rStyle w:val="FootnoteReference"/>
        </w:rPr>
        <w:footnoteRef/>
      </w:r>
      <w:r>
        <w:rPr>
          <w:lang w:val="pl-PL"/>
        </w:rPr>
        <w:t xml:space="preserve"> </w:t>
      </w:r>
      <w:r>
        <w:rPr>
          <w:lang w:val="pl-PL"/>
        </w:rPr>
        <w:tab/>
      </w:r>
      <w:r>
        <w:rPr>
          <w:rFonts w:ascii="Times New Roman" w:hAnsi="Times New Roman"/>
          <w:sz w:val="18"/>
          <w:lang w:val="pl-PL"/>
        </w:rPr>
        <w:t>W odniesieniu do zakresu tej nowej inicjatywy, zob. prz</w:t>
      </w:r>
      <w:r>
        <w:rPr>
          <w:rFonts w:ascii="Times New Roman" w:hAnsi="Times New Roman"/>
          <w:sz w:val="18"/>
          <w:lang w:val="pl-PL"/>
        </w:rPr>
        <w:t>ypis 3.</w:t>
      </w:r>
    </w:p>
  </w:footnote>
  <w:footnote w:id="37">
    <w:p w:rsidR="00196AF6" w:rsidRDefault="007E0AAA">
      <w:pPr>
        <w:spacing w:after="0" w:line="240" w:lineRule="auto"/>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Descy, Pascaline (2014), “Projected labour market imbalances in Europe: Policy challenges in meeting the Europe 2020 employment targets”, OECD/Unia Europejska, Matching Economic Migration with Labour Market Needs, OECD Publishing.(</w:t>
      </w:r>
      <w:hyperlink r:id="rId2">
        <w:r>
          <w:rPr>
            <w:rFonts w:ascii="Times New Roman" w:hAnsi="Times New Roman"/>
            <w:sz w:val="18"/>
            <w:lang w:val="pl-PL"/>
          </w:rPr>
          <w:t>http://dx.doi.org/10.1787/9789264216501-12-en</w:t>
        </w:r>
      </w:hyperlink>
      <w:r>
        <w:rPr>
          <w:rFonts w:ascii="Times New Roman" w:hAnsi="Times New Roman"/>
          <w:sz w:val="18"/>
          <w:lang w:val="pl-PL"/>
        </w:rPr>
        <w:t xml:space="preserve">). </w:t>
      </w:r>
    </w:p>
  </w:footnote>
  <w:footnote w:id="38">
    <w:p w:rsidR="00196AF6" w:rsidRDefault="007E0AAA">
      <w:pPr>
        <w:pStyle w:val="FootnoteText"/>
        <w:ind w:left="240" w:hanging="240"/>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lang w:val="pl-PL"/>
        </w:rPr>
        <w:tab/>
      </w:r>
      <w:r>
        <w:rPr>
          <w:rFonts w:ascii="Times New Roman" w:hAnsi="Times New Roman"/>
          <w:sz w:val="18"/>
          <w:lang w:val="pl-PL"/>
        </w:rPr>
        <w:t>Obie inicjatywy zostały już przewidziane w załączniku 1 do programu prac Komisji na rok 2015.</w:t>
      </w:r>
    </w:p>
  </w:footnote>
  <w:footnote w:id="39">
    <w:p w:rsidR="00196AF6" w:rsidRDefault="007E0AAA">
      <w:pPr>
        <w:spacing w:after="0" w:line="240" w:lineRule="auto"/>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lang w:val="pl-PL"/>
        </w:rPr>
        <w:tab/>
      </w:r>
      <w:r>
        <w:rPr>
          <w:rFonts w:ascii="Times New Roman" w:hAnsi="Times New Roman"/>
          <w:sz w:val="18"/>
          <w:lang w:val="pl-PL"/>
        </w:rPr>
        <w:t xml:space="preserve">Komisja przeprowadzi również </w:t>
      </w:r>
      <w:r>
        <w:rPr>
          <w:rFonts w:ascii="Times New Roman" w:hAnsi="Times New Roman"/>
          <w:b/>
          <w:sz w:val="18"/>
          <w:lang w:val="pl-PL"/>
        </w:rPr>
        <w:t>ocenę adekwatności</w:t>
      </w:r>
      <w:r>
        <w:rPr>
          <w:rFonts w:ascii="Times New Roman" w:hAnsi="Times New Roman"/>
          <w:sz w:val="18"/>
          <w:lang w:val="pl-PL"/>
        </w:rPr>
        <w:t xml:space="preserve"> obowiązującego dorobku prawnego dotyczącego legalnej migracji w celu zidentyfikowania luk i niespójności oraz rozważy możliwe sposoby uproszczenia i usprawnienia obecnych unijnych ram prawnych, co przyczyni się do lepszego zarządzania legalnymi przepływam</w:t>
      </w:r>
      <w:r>
        <w:rPr>
          <w:rFonts w:ascii="Times New Roman" w:hAnsi="Times New Roman"/>
          <w:sz w:val="18"/>
          <w:lang w:val="pl-PL"/>
        </w:rPr>
        <w:t>i migracyjnymi. W odniesieniu do zakresu tej nowej inicjatywy, zob. przypis 3.</w:t>
      </w:r>
      <w:r>
        <w:rPr>
          <w:rFonts w:ascii="Times New Roman" w:hAnsi="Times New Roman"/>
          <w:color w:val="000000"/>
          <w:sz w:val="18"/>
          <w:lang w:val="pl-PL"/>
        </w:rPr>
        <w:t xml:space="preserve"> </w:t>
      </w:r>
    </w:p>
  </w:footnote>
  <w:footnote w:id="40">
    <w:p w:rsidR="00196AF6" w:rsidRDefault="007E0AAA">
      <w:pPr>
        <w:pStyle w:val="FootnoteText"/>
        <w:ind w:left="240" w:hanging="240"/>
        <w:rPr>
          <w:rFonts w:ascii="Times New Roman" w:hAnsi="Times New Roman"/>
          <w:sz w:val="18"/>
          <w:szCs w:val="18"/>
          <w:lang w:val="pl-PL"/>
        </w:rPr>
      </w:pPr>
      <w:r>
        <w:rPr>
          <w:rStyle w:val="FootnoteReference"/>
        </w:rPr>
        <w:footnoteRef/>
      </w:r>
      <w:r>
        <w:rPr>
          <w:lang w:val="pl-PL"/>
        </w:rPr>
        <w:t xml:space="preserve"> </w:t>
      </w:r>
      <w:r>
        <w:rPr>
          <w:lang w:val="pl-PL"/>
        </w:rPr>
        <w:tab/>
      </w:r>
      <w:r>
        <w:rPr>
          <w:rFonts w:ascii="Times New Roman" w:hAnsi="Times New Roman"/>
          <w:sz w:val="18"/>
          <w:lang w:val="pl-PL"/>
        </w:rPr>
        <w:t xml:space="preserve">COM(2013) 0151 final. W odniesieniu do zakresu tego wniosku, zob. przypis 3. </w:t>
      </w:r>
    </w:p>
  </w:footnote>
  <w:footnote w:id="41">
    <w:p w:rsidR="00196AF6" w:rsidRDefault="007E0AAA">
      <w:pPr>
        <w:pStyle w:val="FootnoteText"/>
        <w:ind w:left="240" w:hanging="240"/>
        <w:jc w:val="both"/>
        <w:rPr>
          <w:rFonts w:ascii="Times New Roman" w:hAnsi="Times New Roman"/>
          <w:sz w:val="18"/>
          <w:szCs w:val="18"/>
          <w:lang w:val="pl-PL"/>
        </w:rPr>
      </w:pPr>
      <w:r>
        <w:rPr>
          <w:rStyle w:val="FootnoteReference"/>
        </w:rPr>
        <w:footnoteRef/>
      </w:r>
      <w:r>
        <w:rPr>
          <w:lang w:val="pl-PL"/>
        </w:rPr>
        <w:t xml:space="preserve"> </w:t>
      </w:r>
      <w:r>
        <w:rPr>
          <w:lang w:val="pl-PL"/>
        </w:rPr>
        <w:tab/>
      </w:r>
      <w:r>
        <w:rPr>
          <w:rFonts w:ascii="Times New Roman" w:hAnsi="Times New Roman"/>
          <w:sz w:val="18"/>
          <w:lang w:val="pl-PL"/>
        </w:rPr>
        <w:t>Dyrektywa Rady 2009/50/WE z dnia 25 maja 2009 r. w sprawie warunków wjazdu i pobytu obywatel</w:t>
      </w:r>
      <w:r>
        <w:rPr>
          <w:rFonts w:ascii="Times New Roman" w:hAnsi="Times New Roman"/>
          <w:sz w:val="18"/>
          <w:lang w:val="pl-PL"/>
        </w:rPr>
        <w:t xml:space="preserve">i państw trzecich w celu podjęcia pracy w zawodzie wymagającym wysokich kwalifikacji, Dz.U. L 155 z 18.6.2009, s. 17. Zjednoczone Królestwo i Irlandia nie zgodziły się na stosowanie tej dyrektywy (klauzula „opt-in”), w związku z czym nie są nią związane. </w:t>
      </w:r>
    </w:p>
  </w:footnote>
  <w:footnote w:id="42">
    <w:p w:rsidR="00196AF6" w:rsidRDefault="007E0AAA">
      <w:pPr>
        <w:pStyle w:val="FootnoteText"/>
        <w:ind w:left="240" w:hanging="240"/>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lang w:val="pl-PL"/>
        </w:rPr>
        <w:tab/>
      </w:r>
      <w:r>
        <w:rPr>
          <w:rFonts w:ascii="Times New Roman" w:hAnsi="Times New Roman"/>
          <w:sz w:val="18"/>
          <w:lang w:val="pl-PL"/>
        </w:rPr>
        <w:t>Np. poprzez panoramę umiejętności i sojusze na rzecz umiejętności.</w:t>
      </w:r>
    </w:p>
  </w:footnote>
  <w:footnote w:id="43">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lang w:val="pl-PL"/>
        </w:rPr>
        <w:tab/>
      </w:r>
      <w:r>
        <w:rPr>
          <w:rFonts w:ascii="Times New Roman" w:hAnsi="Times New Roman"/>
          <w:sz w:val="18"/>
          <w:lang w:val="pl-PL"/>
        </w:rPr>
        <w:t>Np. poprzez europejskie ramy kwalifikacji oraz w kontekście zbliżającego się przeglądu systemu EUROPASS.</w:t>
      </w:r>
    </w:p>
  </w:footnote>
  <w:footnote w:id="44">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lang w:val="pl-PL"/>
        </w:rPr>
        <w:tab/>
      </w:r>
      <w:r>
        <w:rPr>
          <w:rFonts w:ascii="Times New Roman" w:hAnsi="Times New Roman"/>
          <w:sz w:val="18"/>
          <w:lang w:val="pl-PL"/>
        </w:rPr>
        <w:t>Wspólna polityka wizowa, przewidziana głównie w kodeksie wizowym (rozporząd</w:t>
      </w:r>
      <w:r>
        <w:rPr>
          <w:rFonts w:ascii="Times New Roman" w:hAnsi="Times New Roman"/>
          <w:sz w:val="18"/>
          <w:lang w:val="pl-PL"/>
        </w:rPr>
        <w:t>zenie (WE) nr 810/2009), określa przepisy dotyczące wydawania wiz krótkoterminowych obywatelom państw trzecich podróżującym przykładowo w celach turystycznych, zawodowych, odwiedzin rodziny lub znajomych, uczestnictwa w wydarzeniach kulturalnych i sportowy</w:t>
      </w:r>
      <w:r>
        <w:rPr>
          <w:rFonts w:ascii="Times New Roman" w:hAnsi="Times New Roman"/>
          <w:sz w:val="18"/>
          <w:lang w:val="pl-PL"/>
        </w:rPr>
        <w:t xml:space="preserve">ch. Stanowi ona część dorobku Schengen, w którym nie uczestniczą Irlandia i Zjednoczone Królestwo. W 2014 r. państwa strefy Schengen wydały około 15,8 mln wiz, co stanowi wzrost o ok. 60 % w stosunku do roku 2009. Wniosek dotyczący przekształcenia kodeksu </w:t>
      </w:r>
      <w:r>
        <w:rPr>
          <w:rFonts w:ascii="Times New Roman" w:hAnsi="Times New Roman"/>
          <w:sz w:val="18"/>
          <w:lang w:val="pl-PL"/>
        </w:rPr>
        <w:t>wizowego jest obecnie przedmiotem dyskusji w Parlamencie i Radzie (COM(2014) 164).</w:t>
      </w:r>
    </w:p>
  </w:footnote>
  <w:footnote w:id="45">
    <w:p w:rsidR="00196AF6" w:rsidRDefault="007E0AAA">
      <w:pPr>
        <w:autoSpaceDE w:val="0"/>
        <w:autoSpaceDN w:val="0"/>
        <w:spacing w:after="0" w:line="240" w:lineRule="auto"/>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lang w:val="pl-PL"/>
        </w:rPr>
        <w:tab/>
      </w:r>
      <w:r>
        <w:rPr>
          <w:rFonts w:ascii="Times New Roman" w:hAnsi="Times New Roman"/>
          <w:sz w:val="18"/>
          <w:lang w:val="pl-PL"/>
        </w:rPr>
        <w:t>Jest to nowy rodzaj wizy dla obywateli państw trzecich zwolnionych z obowiązku wizowego i objętych tym obowiązkiem, mających uzasadniony interes w odbywaniu podróży w obr</w:t>
      </w:r>
      <w:r>
        <w:rPr>
          <w:rFonts w:ascii="Times New Roman" w:hAnsi="Times New Roman"/>
          <w:sz w:val="18"/>
          <w:lang w:val="pl-PL"/>
        </w:rPr>
        <w:t>ębie strefy Schengen przez ponad 90 dni w dowolnym 180-dniowym okresie (COM(2014) 163). Wniosek opiera się na części dorobku Schengen, w którym nie uczestniczą Irlandia i Zjednoczone Królestwo.</w:t>
      </w:r>
    </w:p>
  </w:footnote>
  <w:footnote w:id="46">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lang w:val="pl-PL"/>
        </w:rPr>
        <w:tab/>
      </w:r>
      <w:r>
        <w:rPr>
          <w:rFonts w:ascii="Times New Roman" w:hAnsi="Times New Roman"/>
          <w:sz w:val="18"/>
          <w:lang w:val="pl-PL"/>
        </w:rPr>
        <w:t xml:space="preserve">Realizacja tych środków zostanie oceniona do końca 2015 r. </w:t>
      </w:r>
      <w:r>
        <w:rPr>
          <w:rFonts w:ascii="Times New Roman" w:hAnsi="Times New Roman"/>
          <w:sz w:val="18"/>
          <w:lang w:val="pl-PL"/>
        </w:rPr>
        <w:t>pod kątem tego, czy państwa członkowskie osiągnęły swoje cele i czy wymagane jest przeprogramowanie środków z EFS.</w:t>
      </w:r>
    </w:p>
  </w:footnote>
  <w:footnote w:id="47">
    <w:p w:rsidR="00196AF6" w:rsidRDefault="007E0AAA">
      <w:pPr>
        <w:pStyle w:val="FootnoteText"/>
        <w:ind w:left="240" w:hanging="240"/>
        <w:jc w:val="both"/>
        <w:rPr>
          <w:sz w:val="18"/>
          <w:szCs w:val="18"/>
          <w:lang w:val="pl-PL"/>
        </w:rPr>
      </w:pPr>
      <w:r>
        <w:rPr>
          <w:rStyle w:val="FootnoteReference"/>
        </w:rPr>
        <w:footnoteRef/>
      </w:r>
      <w:r>
        <w:rPr>
          <w:lang w:val="pl-PL"/>
        </w:rPr>
        <w:t xml:space="preserve"> </w:t>
      </w:r>
      <w:r>
        <w:rPr>
          <w:lang w:val="pl-PL"/>
        </w:rPr>
        <w:tab/>
      </w:r>
      <w:r>
        <w:rPr>
          <w:rFonts w:ascii="Times New Roman" w:hAnsi="Times New Roman"/>
          <w:sz w:val="18"/>
          <w:lang w:val="pl-PL"/>
        </w:rPr>
        <w:t>Komunikat Komisji: Maksymalizacja wpływu migracji na rozwój (COM(2013) 292 final). Konkluzje Rady w sprawie migracji w ramach unijnej wspó</w:t>
      </w:r>
      <w:r>
        <w:rPr>
          <w:rFonts w:ascii="Times New Roman" w:hAnsi="Times New Roman"/>
          <w:sz w:val="18"/>
          <w:lang w:val="pl-PL"/>
        </w:rPr>
        <w:t>łpracy na rzecz rozwoju z dnia 12 grudnia 2014 r.</w:t>
      </w:r>
    </w:p>
  </w:footnote>
  <w:footnote w:id="48">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lang w:val="pl-PL"/>
        </w:rPr>
        <w:tab/>
      </w:r>
      <w:r>
        <w:rPr>
          <w:rFonts w:ascii="Times New Roman" w:hAnsi="Times New Roman"/>
          <w:sz w:val="18"/>
          <w:lang w:val="pl-PL"/>
        </w:rPr>
        <w:t>Komunikat Komisji: Globalne podejście do kwestii migracji i mobilności (COM(2011) 743 final). Są to najlepiej opracowane ramy współpracy dwustronnej w dziedzinie migracji. Stanowią one ramy polityczne ko</w:t>
      </w:r>
      <w:r>
        <w:rPr>
          <w:rFonts w:ascii="Times New Roman" w:hAnsi="Times New Roman"/>
          <w:sz w:val="18"/>
          <w:lang w:val="pl-PL"/>
        </w:rPr>
        <w:t>mpleksowego, wzmocnionego i dostosowanego do uwarunkowań poszczególnych krajów dialogu oraz współpracy z krajami partnerskimi, oraz obejmują zbiór celów i zobowiązań, jak również pakiet konkretnych środków wsparcia oferowanych przez UE i zainteresowane pań</w:t>
      </w:r>
      <w:r>
        <w:rPr>
          <w:rFonts w:ascii="Times New Roman" w:hAnsi="Times New Roman"/>
          <w:sz w:val="18"/>
          <w:lang w:val="pl-PL"/>
        </w:rPr>
        <w:t>stwa członkowskie. Obejmują one negocjacje w sprawie umów o ułatwieniach wizowych i readmisji.</w:t>
      </w:r>
    </w:p>
  </w:footnote>
  <w:footnote w:id="49">
    <w:p w:rsidR="00196AF6" w:rsidRDefault="007E0AAA">
      <w:pPr>
        <w:pStyle w:val="FootnoteText"/>
        <w:ind w:left="240" w:hanging="240"/>
        <w:rPr>
          <w:rFonts w:ascii="Times New Roman" w:hAnsi="Times New Roman"/>
          <w:sz w:val="18"/>
          <w:szCs w:val="18"/>
          <w:lang w:val="pl-PL"/>
        </w:rPr>
      </w:pPr>
      <w:r>
        <w:rPr>
          <w:rStyle w:val="FootnoteReference"/>
        </w:rPr>
        <w:footnoteRef/>
      </w:r>
      <w:r>
        <w:rPr>
          <w:lang w:val="pl-PL"/>
        </w:rPr>
        <w:t xml:space="preserve"> </w:t>
      </w:r>
      <w:r>
        <w:rPr>
          <w:lang w:val="pl-PL"/>
        </w:rPr>
        <w:tab/>
      </w:r>
      <w:r>
        <w:rPr>
          <w:rFonts w:ascii="Times New Roman" w:hAnsi="Times New Roman"/>
          <w:sz w:val="18"/>
          <w:lang w:val="pl-PL"/>
        </w:rPr>
        <w:t>COM(2013) 0547 final.</w:t>
      </w:r>
    </w:p>
  </w:footnote>
  <w:footnote w:id="50">
    <w:p w:rsidR="00196AF6" w:rsidRDefault="007E0AAA">
      <w:pPr>
        <w:pStyle w:val="FootnoteText"/>
        <w:ind w:left="240" w:hanging="240"/>
        <w:jc w:val="both"/>
        <w:rPr>
          <w:rFonts w:ascii="Times New Roman" w:hAnsi="Times New Roman"/>
          <w:sz w:val="18"/>
          <w:szCs w:val="18"/>
          <w:lang w:val="pl-PL"/>
        </w:rPr>
      </w:pPr>
      <w:r>
        <w:rPr>
          <w:rStyle w:val="FootnoteReference"/>
          <w:rFonts w:ascii="Times New Roman" w:hAnsi="Times New Roman"/>
          <w:sz w:val="18"/>
        </w:rPr>
        <w:footnoteRef/>
      </w:r>
      <w:r>
        <w:rPr>
          <w:rFonts w:ascii="Times New Roman" w:hAnsi="Times New Roman"/>
          <w:sz w:val="18"/>
          <w:lang w:val="pl-PL"/>
        </w:rPr>
        <w:t xml:space="preserve"> </w:t>
      </w:r>
      <w:r>
        <w:rPr>
          <w:lang w:val="pl-PL"/>
        </w:rPr>
        <w:tab/>
      </w:r>
      <w:r>
        <w:rPr>
          <w:rFonts w:ascii="Times New Roman" w:hAnsi="Times New Roman"/>
          <w:sz w:val="18"/>
          <w:lang w:val="pl-PL"/>
        </w:rPr>
        <w:t xml:space="preserve">Wzajemne uznawanie pozytywnych decyzji o udzieleniu azylu oznacza uznanie przez państwo członkowskie pozytywnej decyzji o udzieleniu </w:t>
      </w:r>
      <w:r>
        <w:rPr>
          <w:rFonts w:ascii="Times New Roman" w:hAnsi="Times New Roman"/>
          <w:sz w:val="18"/>
          <w:lang w:val="pl-PL"/>
        </w:rPr>
        <w:t>azylu wydanej przez inne państwo członkowskie.</w:t>
      </w:r>
    </w:p>
  </w:footnote>
  <w:footnote w:id="51">
    <w:p w:rsidR="00196AF6" w:rsidRDefault="007E0AAA">
      <w:pPr>
        <w:ind w:left="240" w:hanging="240"/>
        <w:jc w:val="both"/>
        <w:rPr>
          <w:lang w:val="pl-PL"/>
        </w:rPr>
      </w:pPr>
      <w:r>
        <w:rPr>
          <w:rStyle w:val="FootnoteReference"/>
          <w:rFonts w:ascii="Times New Roman" w:hAnsi="Times New Roman"/>
          <w:sz w:val="18"/>
        </w:rPr>
        <w:footnoteRef/>
      </w:r>
      <w:r>
        <w:rPr>
          <w:rFonts w:ascii="Times New Roman" w:hAnsi="Times New Roman"/>
          <w:sz w:val="18"/>
          <w:lang w:val="pl-PL"/>
        </w:rPr>
        <w:t xml:space="preserve"> </w:t>
      </w:r>
      <w:r>
        <w:rPr>
          <w:lang w:val="pl-PL"/>
        </w:rPr>
        <w:tab/>
      </w:r>
      <w:r>
        <w:rPr>
          <w:rFonts w:ascii="Times New Roman" w:hAnsi="Times New Roman"/>
          <w:sz w:val="18"/>
          <w:lang w:val="pl-PL"/>
        </w:rPr>
        <w:t>Analiza możliwości utworzenia europejskiego systemu straży granicznej (</w:t>
      </w:r>
      <w:hyperlink r:id="rId3">
        <w:r>
          <w:rPr>
            <w:rStyle w:val="Hyperlink"/>
            <w:rFonts w:ascii="Times New Roman" w:hAnsi="Times New Roman"/>
            <w:sz w:val="18"/>
            <w:lang w:val="pl-PL"/>
          </w:rPr>
          <w:t>http://ec.europa.eu/dgs/home-affairs/what-we-do/policies/borders-and-visas/border-crossing/docs/20141016_home_esbg_frp_001_esbg_final_report_3_00_en.pdf</w:t>
        </w:r>
      </w:hyperlink>
      <w:r>
        <w:rPr>
          <w:lang w:val="pl-PL"/>
        </w:rPr>
        <w:t>), prowadzone obecnie badanie na temat przyszłości Fronteksu.</w:t>
      </w:r>
    </w:p>
  </w:footnote>
  <w:footnote w:id="52">
    <w:p w:rsidR="00196AF6" w:rsidRDefault="00196AF6">
      <w:pPr>
        <w:pStyle w:val="FootnoteText"/>
        <w:rPr>
          <w:lang w:val="pl-PL"/>
        </w:rPr>
      </w:pPr>
    </w:p>
    <w:p w:rsidR="00196AF6" w:rsidRDefault="007E0AAA">
      <w:pPr>
        <w:pStyle w:val="FootnoteText"/>
        <w:ind w:left="240" w:hanging="240"/>
        <w:rPr>
          <w:sz w:val="18"/>
          <w:szCs w:val="18"/>
          <w:lang w:val="pl-PL"/>
        </w:rPr>
      </w:pPr>
      <w:r>
        <w:rPr>
          <w:rStyle w:val="FootnoteReference"/>
        </w:rPr>
        <w:footnoteRef/>
      </w:r>
      <w:r>
        <w:rPr>
          <w:lang w:val="pl-PL"/>
        </w:rPr>
        <w:t xml:space="preserve"> </w:t>
      </w:r>
      <w:r>
        <w:rPr>
          <w:lang w:val="pl-PL"/>
        </w:rPr>
        <w:tab/>
      </w:r>
      <w:r>
        <w:rPr>
          <w:sz w:val="18"/>
          <w:lang w:val="pl-PL"/>
        </w:rPr>
        <w:t>Z</w:t>
      </w:r>
      <w:r>
        <w:rPr>
          <w:sz w:val="18"/>
          <w:lang w:val="pl-PL"/>
        </w:rPr>
        <w:t xml:space="preserve"> uwzględnieniem wcześniejszych dyskusji w ramach forum przesiedlenia i relokacji.</w:t>
      </w:r>
    </w:p>
  </w:footnote>
  <w:footnote w:id="53">
    <w:p w:rsidR="00196AF6" w:rsidRDefault="007E0AAA">
      <w:pPr>
        <w:pStyle w:val="FootnoteText"/>
        <w:ind w:left="240" w:hanging="240"/>
        <w:rPr>
          <w:sz w:val="18"/>
          <w:szCs w:val="18"/>
          <w:lang w:val="pl-PL"/>
        </w:rPr>
      </w:pPr>
      <w:r>
        <w:rPr>
          <w:rStyle w:val="FootnoteReference"/>
          <w:sz w:val="18"/>
        </w:rPr>
        <w:footnoteRef/>
      </w:r>
      <w:r>
        <w:rPr>
          <w:sz w:val="18"/>
          <w:lang w:val="pl-PL"/>
        </w:rPr>
        <w:t xml:space="preserve"> </w:t>
      </w:r>
      <w:r>
        <w:rPr>
          <w:lang w:val="pl-PL"/>
        </w:rPr>
        <w:tab/>
      </w:r>
      <w:r>
        <w:rPr>
          <w:sz w:val="18"/>
          <w:lang w:val="pl-PL"/>
        </w:rPr>
        <w:t>Nie należy stosować PKB na mieszkańca, ponieważ jednostkowe względy zostały już ujęte w kryteriach dotyczących liczby ludności.</w:t>
      </w:r>
    </w:p>
  </w:footnote>
  <w:footnote w:id="54">
    <w:p w:rsidR="00196AF6" w:rsidRDefault="007E0AAA">
      <w:pPr>
        <w:pStyle w:val="FootnoteText"/>
        <w:ind w:left="240" w:hanging="240"/>
        <w:rPr>
          <w:sz w:val="18"/>
          <w:szCs w:val="18"/>
          <w:lang w:val="pl-PL"/>
        </w:rPr>
      </w:pPr>
      <w:r>
        <w:rPr>
          <w:rStyle w:val="FootnoteReference"/>
          <w:sz w:val="18"/>
        </w:rPr>
        <w:footnoteRef/>
      </w:r>
      <w:r>
        <w:rPr>
          <w:sz w:val="18"/>
          <w:lang w:val="pl-PL"/>
        </w:rPr>
        <w:t xml:space="preserve"> </w:t>
      </w:r>
      <w:r>
        <w:rPr>
          <w:lang w:val="pl-PL"/>
        </w:rPr>
        <w:tab/>
      </w:r>
      <w:r>
        <w:rPr>
          <w:sz w:val="18"/>
          <w:lang w:val="pl-PL"/>
        </w:rPr>
        <w:t>Unijna wspólna polityka w zakresie azylu</w:t>
      </w:r>
      <w:r>
        <w:rPr>
          <w:sz w:val="18"/>
          <w:lang w:val="pl-PL"/>
        </w:rPr>
        <w:t>, imigracji, wiz i kontroli na granicach zewnętrznych opiera się na tytule V (przestrzeń wolności, bezpieczeństwa i sprawiedliwości) Traktatu o funkcjonowaniu Unii Europejskiej (TFUE). Na mocy protokołów 21 i 22 do traktatów Zjednoczone Królestwo, Irlandia</w:t>
      </w:r>
      <w:r>
        <w:rPr>
          <w:sz w:val="18"/>
          <w:lang w:val="pl-PL"/>
        </w:rPr>
        <w:t xml:space="preserve"> i Dania nie uczestniczą w przyjmowaniu przez Radę środków na mocy tytułu V TFUE. Zjednoczone Królestwo i Irlandia mogą powiadomić Radę, w ciągu trzech miesięcy od przedłożenia wniosku lub inicjatywy, lub w każdej chwili po ich przyjęciu, że chcą uczestnic</w:t>
      </w:r>
      <w:r>
        <w:rPr>
          <w:sz w:val="18"/>
          <w:lang w:val="pl-PL"/>
        </w:rPr>
        <w:t xml:space="preserve">zyć w przyjęciu i stosowaniu proponowanego środka. Dania może w każdej chwili, zgodnie ze swymi wymogami konstytucyjnymi, powiadomić pozostałe państwa członkowskie, że chce w pełni stosować wszystkie odpowiednie środki przyjęte na podstawie tytułu V TFUE. </w:t>
      </w:r>
      <w:r>
        <w:rPr>
          <w:sz w:val="18"/>
          <w:lang w:val="pl-PL"/>
        </w:rPr>
        <w:t>Jeśli Zjednoczone Królestwo i Irlandia zdecydują o zastosowaniu klauzuli „opt-in” w odniesieniu do programu relokacji, odsetek uczestnictwa państw członkowskich zostanie odpowiednio dostosowany. Jeżeli Dania i państwa stowarzyszone zdecydują się na dobrowo</w:t>
      </w:r>
      <w:r>
        <w:rPr>
          <w:sz w:val="18"/>
          <w:lang w:val="pl-PL"/>
        </w:rPr>
        <w:t xml:space="preserve">lne uczestnictwo w programie relokacji, odsetek uczestnictwa państw członkowskich również zostanie odpowiednio dostosowany. </w:t>
      </w:r>
    </w:p>
  </w:footnote>
  <w:footnote w:id="55">
    <w:p w:rsidR="00196AF6" w:rsidRDefault="007E0AAA">
      <w:pPr>
        <w:pStyle w:val="FootnoteText"/>
        <w:ind w:left="240" w:hanging="240"/>
        <w:rPr>
          <w:sz w:val="18"/>
          <w:szCs w:val="18"/>
          <w:lang w:val="pl-PL"/>
        </w:rPr>
      </w:pPr>
      <w:r>
        <w:rPr>
          <w:rStyle w:val="FootnoteReference"/>
          <w:sz w:val="18"/>
        </w:rPr>
        <w:footnoteRef/>
      </w:r>
      <w:r>
        <w:rPr>
          <w:sz w:val="18"/>
          <w:lang w:val="pl-PL"/>
        </w:rPr>
        <w:t xml:space="preserve"> </w:t>
      </w:r>
      <w:r>
        <w:rPr>
          <w:lang w:val="pl-PL"/>
        </w:rPr>
        <w:tab/>
      </w:r>
      <w:r>
        <w:rPr>
          <w:sz w:val="18"/>
          <w:lang w:val="pl-PL"/>
        </w:rPr>
        <w:t>Wartości procentowe określone w kluczu podziału zostaną dostosowane w celu uwzględnienia szczególnej sytuacji kryzysowej w ramac</w:t>
      </w:r>
      <w:r>
        <w:rPr>
          <w:sz w:val="18"/>
          <w:lang w:val="pl-PL"/>
        </w:rPr>
        <w:t>h programu relokacji w nadzwyczajnej sytuacji na mocy art. 78 ust. 3 TFUE. Państwa członkowskie, z których nastąpi relokacja, nie powinny same brać udziału jako państwa członkowskie dokonujące relokacji.</w:t>
      </w:r>
    </w:p>
  </w:footnote>
  <w:footnote w:id="56">
    <w:p w:rsidR="00196AF6" w:rsidRDefault="007E0AAA">
      <w:pPr>
        <w:pStyle w:val="FootnoteText"/>
        <w:ind w:left="240" w:hanging="240"/>
        <w:rPr>
          <w:sz w:val="18"/>
          <w:szCs w:val="18"/>
          <w:lang w:val="pl-PL"/>
        </w:rPr>
      </w:pPr>
      <w:r>
        <w:rPr>
          <w:rStyle w:val="FootnoteReference"/>
          <w:sz w:val="18"/>
        </w:rPr>
        <w:footnoteRef/>
      </w:r>
      <w:r>
        <w:rPr>
          <w:sz w:val="18"/>
          <w:lang w:val="pl-PL"/>
        </w:rPr>
        <w:t xml:space="preserve"> </w:t>
      </w:r>
      <w:r>
        <w:rPr>
          <w:lang w:val="pl-PL"/>
        </w:rPr>
        <w:tab/>
      </w:r>
      <w:r>
        <w:rPr>
          <w:sz w:val="18"/>
          <w:lang w:val="pl-PL"/>
        </w:rPr>
        <w:t>Jeżeli państwa stowarzyszone zdecydują się na ucz</w:t>
      </w:r>
      <w:r>
        <w:rPr>
          <w:sz w:val="18"/>
          <w:lang w:val="pl-PL"/>
        </w:rPr>
        <w:t>estnictwo w programie przesiedleń, klucz i całkowita liczba miejsc zostaną odpowiednio zmienione.</w:t>
      </w:r>
    </w:p>
  </w:footnote>
  <w:footnote w:id="57">
    <w:p w:rsidR="00196AF6" w:rsidRDefault="007E0AAA">
      <w:pPr>
        <w:spacing w:line="240" w:lineRule="auto"/>
        <w:ind w:left="240" w:hanging="240"/>
        <w:jc w:val="both"/>
        <w:rPr>
          <w:rFonts w:ascii="Times New Roman" w:hAnsi="Times New Roman"/>
          <w:sz w:val="18"/>
          <w:szCs w:val="18"/>
          <w:lang w:val="pl-PL"/>
        </w:rPr>
      </w:pPr>
      <w:r>
        <w:rPr>
          <w:rStyle w:val="FootnoteReference"/>
          <w:sz w:val="18"/>
        </w:rPr>
        <w:footnoteRef/>
      </w:r>
      <w:r>
        <w:rPr>
          <w:sz w:val="18"/>
          <w:lang w:val="pl-PL"/>
        </w:rPr>
        <w:t xml:space="preserve"> </w:t>
      </w:r>
      <w:r>
        <w:rPr>
          <w:lang w:val="pl-PL"/>
        </w:rPr>
        <w:tab/>
      </w:r>
      <w:r>
        <w:rPr>
          <w:rFonts w:ascii="Times New Roman" w:hAnsi="Times New Roman"/>
          <w:sz w:val="18"/>
          <w:lang w:val="pl-PL"/>
        </w:rPr>
        <w:t xml:space="preserve">Chociaż proponowany program przesiedleń będzie mieć formę zalecenia, wspólna unijna polityka w zakresie migracji opiera się na tytule V TFUE. W związku z </w:t>
      </w:r>
      <w:r>
        <w:rPr>
          <w:rFonts w:ascii="Times New Roman" w:hAnsi="Times New Roman"/>
          <w:sz w:val="18"/>
          <w:lang w:val="pl-PL"/>
        </w:rPr>
        <w:t>powyższym uwzględnione zostaną szczególne aspekty, o których mowa w przypisie 3, odnoszące się do protokołów 21 i 22 do traktatów, dotyczące stanowiska Zjednoczonego Królestwa, Irlandii i Danii.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F6" w:rsidRDefault="00196A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F6" w:rsidRDefault="00196AF6">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F6" w:rsidRDefault="00196AF6">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F6" w:rsidRDefault="00196AF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F6" w:rsidRDefault="007E0AAA">
    <w:pPr>
      <w:pStyle w:val="Header"/>
      <w:jc w:val="center"/>
      <w:rPr>
        <w:b/>
      </w:rPr>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F6" w:rsidRDefault="00196A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F2133A"/>
    <w:lvl w:ilvl="0">
      <w:start w:val="1"/>
      <w:numFmt w:val="decimal"/>
      <w:lvlText w:val="%1."/>
      <w:lvlJc w:val="left"/>
      <w:pPr>
        <w:tabs>
          <w:tab w:val="num" w:pos="1492"/>
        </w:tabs>
        <w:ind w:left="1492" w:hanging="360"/>
      </w:pPr>
    </w:lvl>
  </w:abstractNum>
  <w:abstractNum w:abstractNumId="1">
    <w:nsid w:val="FFFFFF7D"/>
    <w:multiLevelType w:val="singleLevel"/>
    <w:tmpl w:val="703C4CB8"/>
    <w:lvl w:ilvl="0">
      <w:start w:val="1"/>
      <w:numFmt w:val="decimal"/>
      <w:lvlText w:val="%1."/>
      <w:lvlJc w:val="left"/>
      <w:pPr>
        <w:tabs>
          <w:tab w:val="num" w:pos="1209"/>
        </w:tabs>
        <w:ind w:left="1209" w:hanging="360"/>
      </w:pPr>
    </w:lvl>
  </w:abstractNum>
  <w:abstractNum w:abstractNumId="2">
    <w:nsid w:val="FFFFFF7E"/>
    <w:multiLevelType w:val="singleLevel"/>
    <w:tmpl w:val="2B70D8B6"/>
    <w:lvl w:ilvl="0">
      <w:start w:val="1"/>
      <w:numFmt w:val="decimal"/>
      <w:lvlText w:val="%1."/>
      <w:lvlJc w:val="left"/>
      <w:pPr>
        <w:tabs>
          <w:tab w:val="num" w:pos="926"/>
        </w:tabs>
        <w:ind w:left="926" w:hanging="360"/>
      </w:pPr>
    </w:lvl>
  </w:abstractNum>
  <w:abstractNum w:abstractNumId="3">
    <w:nsid w:val="FFFFFF7F"/>
    <w:multiLevelType w:val="singleLevel"/>
    <w:tmpl w:val="9B940CCC"/>
    <w:lvl w:ilvl="0">
      <w:start w:val="1"/>
      <w:numFmt w:val="decimal"/>
      <w:lvlText w:val="%1."/>
      <w:lvlJc w:val="left"/>
      <w:pPr>
        <w:tabs>
          <w:tab w:val="num" w:pos="643"/>
        </w:tabs>
        <w:ind w:left="643" w:hanging="360"/>
      </w:pPr>
    </w:lvl>
  </w:abstractNum>
  <w:abstractNum w:abstractNumId="4">
    <w:nsid w:val="FFFFFF80"/>
    <w:multiLevelType w:val="singleLevel"/>
    <w:tmpl w:val="877AF7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A002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26EC8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86AA5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46F2D6"/>
    <w:lvl w:ilvl="0">
      <w:start w:val="1"/>
      <w:numFmt w:val="decimal"/>
      <w:lvlText w:val="%1."/>
      <w:lvlJc w:val="left"/>
      <w:pPr>
        <w:tabs>
          <w:tab w:val="num" w:pos="360"/>
        </w:tabs>
        <w:ind w:left="360" w:hanging="360"/>
      </w:pPr>
    </w:lvl>
  </w:abstractNum>
  <w:abstractNum w:abstractNumId="9">
    <w:nsid w:val="FFFFFF89"/>
    <w:multiLevelType w:val="singleLevel"/>
    <w:tmpl w:val="74CE6FF8"/>
    <w:lvl w:ilvl="0">
      <w:start w:val="1"/>
      <w:numFmt w:val="bullet"/>
      <w:lvlText w:val=""/>
      <w:lvlJc w:val="left"/>
      <w:pPr>
        <w:tabs>
          <w:tab w:val="num" w:pos="360"/>
        </w:tabs>
        <w:ind w:left="360" w:hanging="360"/>
      </w:pPr>
      <w:rPr>
        <w:rFonts w:ascii="Symbol" w:hAnsi="Symbol" w:hint="default"/>
      </w:rPr>
    </w:lvl>
  </w:abstractNum>
  <w:abstractNum w:abstractNumId="10">
    <w:nsid w:val="06923D2D"/>
    <w:multiLevelType w:val="hybridMultilevel"/>
    <w:tmpl w:val="30C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A656830"/>
    <w:multiLevelType w:val="hybridMultilevel"/>
    <w:tmpl w:val="A9D25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0E492B90"/>
    <w:multiLevelType w:val="hybridMultilevel"/>
    <w:tmpl w:val="EA7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EBD20DB"/>
    <w:multiLevelType w:val="hybridMultilevel"/>
    <w:tmpl w:val="0BE24688"/>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21018E2"/>
    <w:multiLevelType w:val="hybridMultilevel"/>
    <w:tmpl w:val="9606C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59E0968"/>
    <w:multiLevelType w:val="hybridMultilevel"/>
    <w:tmpl w:val="2F448F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7C1095E"/>
    <w:multiLevelType w:val="hybridMultilevel"/>
    <w:tmpl w:val="FCC6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CA76B5F"/>
    <w:multiLevelType w:val="hybridMultilevel"/>
    <w:tmpl w:val="DB084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30367B6"/>
    <w:multiLevelType w:val="hybridMultilevel"/>
    <w:tmpl w:val="FE965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6D565C9"/>
    <w:multiLevelType w:val="hybridMultilevel"/>
    <w:tmpl w:val="C928C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AA2409D"/>
    <w:multiLevelType w:val="hybridMultilevel"/>
    <w:tmpl w:val="3008FF0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1">
    <w:nsid w:val="2EBB099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3661903"/>
    <w:multiLevelType w:val="hybridMultilevel"/>
    <w:tmpl w:val="9D0434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3712816"/>
    <w:multiLevelType w:val="hybridMultilevel"/>
    <w:tmpl w:val="423EB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35025A35"/>
    <w:multiLevelType w:val="hybridMultilevel"/>
    <w:tmpl w:val="7152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8055A54"/>
    <w:multiLevelType w:val="hybridMultilevel"/>
    <w:tmpl w:val="384A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8A71B2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8">
    <w:nsid w:val="3B196934"/>
    <w:multiLevelType w:val="hybridMultilevel"/>
    <w:tmpl w:val="747C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EA3228E"/>
    <w:multiLevelType w:val="hybridMultilevel"/>
    <w:tmpl w:val="BDF2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4342723C"/>
    <w:multiLevelType w:val="hybridMultilevel"/>
    <w:tmpl w:val="6E2888EE"/>
    <w:lvl w:ilvl="0" w:tplc="15A812FA">
      <w:start w:val="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4351401E"/>
    <w:multiLevelType w:val="hybridMultilevel"/>
    <w:tmpl w:val="E7DC80E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32">
    <w:nsid w:val="46A273F8"/>
    <w:multiLevelType w:val="hybridMultilevel"/>
    <w:tmpl w:val="6DDCF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4E944EE2"/>
    <w:multiLevelType w:val="hybridMultilevel"/>
    <w:tmpl w:val="98EAE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0F627D1"/>
    <w:multiLevelType w:val="hybridMultilevel"/>
    <w:tmpl w:val="9D346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51006EA"/>
    <w:multiLevelType w:val="hybridMultilevel"/>
    <w:tmpl w:val="68E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51A7CA4"/>
    <w:multiLevelType w:val="hybridMultilevel"/>
    <w:tmpl w:val="0EE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57F1E4D"/>
    <w:multiLevelType w:val="hybridMultilevel"/>
    <w:tmpl w:val="6592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6EF4975"/>
    <w:multiLevelType w:val="hybridMultilevel"/>
    <w:tmpl w:val="C5EA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1EE40DA"/>
    <w:multiLevelType w:val="hybridMultilevel"/>
    <w:tmpl w:val="77A46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64C9477C"/>
    <w:multiLevelType w:val="hybridMultilevel"/>
    <w:tmpl w:val="6200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64E85CB0"/>
    <w:multiLevelType w:val="hybridMultilevel"/>
    <w:tmpl w:val="0F28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8275363"/>
    <w:multiLevelType w:val="hybridMultilevel"/>
    <w:tmpl w:val="97A04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7B676751"/>
    <w:multiLevelType w:val="hybridMultilevel"/>
    <w:tmpl w:val="BFFC9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43"/>
  </w:num>
  <w:num w:numId="3">
    <w:abstractNumId w:val="42"/>
  </w:num>
  <w:num w:numId="4">
    <w:abstractNumId w:val="28"/>
  </w:num>
  <w:num w:numId="5">
    <w:abstractNumId w:val="33"/>
  </w:num>
  <w:num w:numId="6">
    <w:abstractNumId w:val="11"/>
  </w:num>
  <w:num w:numId="7">
    <w:abstractNumId w:val="24"/>
  </w:num>
  <w:num w:numId="8">
    <w:abstractNumId w:val="39"/>
  </w:num>
  <w:num w:numId="9">
    <w:abstractNumId w:val="29"/>
  </w:num>
  <w:num w:numId="10">
    <w:abstractNumId w:val="20"/>
  </w:num>
  <w:num w:numId="11">
    <w:abstractNumId w:val="31"/>
  </w:num>
  <w:num w:numId="12">
    <w:abstractNumId w:val="36"/>
  </w:num>
  <w:num w:numId="13">
    <w:abstractNumId w:val="37"/>
  </w:num>
  <w:num w:numId="14">
    <w:abstractNumId w:val="40"/>
  </w:num>
  <w:num w:numId="15">
    <w:abstractNumId w:val="23"/>
  </w:num>
  <w:num w:numId="16">
    <w:abstractNumId w:val="18"/>
  </w:num>
  <w:num w:numId="17">
    <w:abstractNumId w:val="10"/>
  </w:num>
  <w:num w:numId="18">
    <w:abstractNumId w:val="12"/>
  </w:num>
  <w:num w:numId="19">
    <w:abstractNumId w:val="35"/>
  </w:num>
  <w:num w:numId="20">
    <w:abstractNumId w:val="14"/>
  </w:num>
  <w:num w:numId="21">
    <w:abstractNumId w:val="16"/>
  </w:num>
  <w:num w:numId="22">
    <w:abstractNumId w:val="30"/>
  </w:num>
  <w:num w:numId="23">
    <w:abstractNumId w:val="43"/>
  </w:num>
  <w:num w:numId="24">
    <w:abstractNumId w:val="34"/>
  </w:num>
  <w:num w:numId="25">
    <w:abstractNumId w:val="22"/>
  </w:num>
  <w:num w:numId="26">
    <w:abstractNumId w:val="41"/>
  </w:num>
  <w:num w:numId="27">
    <w:abstractNumId w:val="26"/>
  </w:num>
  <w:num w:numId="28">
    <w:abstractNumId w:val="21"/>
  </w:num>
  <w:num w:numId="29">
    <w:abstractNumId w:val="13"/>
  </w:num>
  <w:num w:numId="30">
    <w:abstractNumId w:val="38"/>
  </w:num>
  <w:num w:numId="31">
    <w:abstractNumId w:val="15"/>
  </w:num>
  <w:num w:numId="32">
    <w:abstractNumId w:val="19"/>
  </w:num>
  <w:num w:numId="33">
    <w:abstractNumId w:val="32"/>
  </w:num>
  <w:num w:numId="34">
    <w:abstractNumId w:val="27"/>
  </w:num>
  <w:num w:numId="35">
    <w:abstractNumId w:val="17"/>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removePersonalInformation/>
  <w:removeDateAndTime/>
  <w:hideSpellingErrors/>
  <w:hideGrammaticalErrors/>
  <w:defaultTabStop w:val="720"/>
  <w:hyphenationZone w:val="283"/>
  <w:characterSpacingControl w:val="doNotCompress"/>
  <w:hdrShapeDefaults>
    <o:shapedefaults v:ext="edit" spidmax="716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223D363B32824E56BA42EA4E68A24016"/>
    <w:docVar w:name="LW_CROSSREFERENCE" w:val="&lt;UNUSED&gt;"/>
    <w:docVar w:name="LW_DocType" w:val="NORMAL"/>
    <w:docVar w:name="LW_EMISSION" w:val="13.5.2015"/>
    <w:docVar w:name="LW_EMISSION_ISODATE" w:val="2015-05-13"/>
    <w:docVar w:name="LW_EMISSION_LOCATION" w:val="BRX"/>
    <w:docVar w:name="LW_EMISSION_PREFIX" w:val="Bruksela, dnia "/>
    <w:docVar w:name="LW_EMISSION_SUFFIX" w:val=" r."/>
    <w:docVar w:name="LW_ID_DOCTYPE_NONLW" w:val="CP-014"/>
    <w:docVar w:name="LW_LANGUE" w:val="PL"/>
    <w:docVar w:name="LW_MARKING" w:val="&lt;UNUSED&g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15) 240"/>
    <w:docVar w:name="LW_REF.INTERNE" w:val="&lt;UNUSED&gt;"/>
    <w:docVar w:name="LW_SOUS.TITRE.OBJ" w:val="A comprehensive response"/>
    <w:docVar w:name="LW_SOUS.TITRE.OBJ.CP" w:val="&lt;UNUSED&gt;"/>
    <w:docVar w:name="LW_SUPERTITRE" w:val="&lt;UNUSED&gt;"/>
    <w:docVar w:name="LW_TITRE.OBJ.CP" w:val="EUROPEJSKI PROGRAM W ZAKRESIE MIGRACJI"/>
    <w:docVar w:name="LW_TYPE.DOC.CP" w:val="KOMUNIKAT KOMISJI DO PARLAMENTU EUROPEJSKIEGO, RADY, EUROPEJSKIEGO KOMITETU EKONOMICZNO-SPO\u321?ECZNEGO I KOMITETU REGIONÓW"/>
    <w:docVar w:name="LW_TYPE.DOC.CP.USERTEXT" w:val="&lt;EMPTY&gt;"/>
  </w:docVars>
  <w:rsids>
    <w:rsidRoot w:val="00196AF6"/>
    <w:rsid w:val="00196AF6"/>
    <w:rsid w:val="007E0AA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0"/>
    </w:rPr>
  </w:style>
  <w:style w:type="character" w:customStyle="1" w:styleId="FooterCoverPageChar">
    <w:name w:val="Footer Cover Page Char"/>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0"/>
    </w:rPr>
  </w:style>
  <w:style w:type="character" w:customStyle="1" w:styleId="HeaderCoverPageChar">
    <w:name w:val="Header Cover Page Char"/>
    <w:link w:val="HeaderCoverPage"/>
    <w:rPr>
      <w:rFonts w:ascii="Times New Roman" w:hAnsi="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paragraph" w:styleId="Revision">
    <w:name w:val="Revision"/>
    <w:hidden/>
    <w:uiPriority w:val="99"/>
    <w:semiHidden/>
    <w:rPr>
      <w:sz w:val="22"/>
      <w:szCs w:val="22"/>
    </w:rPr>
  </w:style>
  <w:style w:type="paragraph" w:customStyle="1" w:styleId="point1230">
    <w:name w:val="point123"/>
    <w:basedOn w:val="Normal"/>
    <w:pPr>
      <w:spacing w:before="120" w:after="120" w:line="360" w:lineRule="auto"/>
      <w:ind w:left="567" w:hanging="567"/>
    </w:pPr>
    <w:rPr>
      <w:rFonts w:ascii="Times New Roman" w:eastAsia="Times New Roman" w:hAnsi="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3399"/>
      <w:u w:val="single"/>
    </w:rPr>
  </w:style>
  <w:style w:type="character" w:styleId="Emphasis">
    <w:name w:val="Emphasis"/>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eastAsia="Calibri"/>
      <w:szCs w:val="21"/>
      <w:lang w:eastAsia="en-US"/>
    </w:rPr>
  </w:style>
  <w:style w:type="character" w:customStyle="1" w:styleId="PlainTextChar">
    <w:name w:val="Plain Text Char"/>
    <w:link w:val="PlainText"/>
    <w:uiPriority w:val="99"/>
    <w:rPr>
      <w:rFonts w:ascii="Calibri" w:eastAsia="Calibri" w:hAnsi="Calibri"/>
      <w:szCs w:val="21"/>
      <w:lang w:eastAsia="en-US"/>
    </w:rPr>
  </w:style>
  <w:style w:type="character" w:styleId="FollowedHyperlink">
    <w:name w:val="FollowedHyperlink"/>
    <w:uiPriority w:val="99"/>
    <w:semiHidden/>
    <w:unhideWhenUsed/>
    <w:rPr>
      <w:color w:val="800080"/>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sz w:val="24"/>
      <w:szCs w:val="24"/>
      <w:lang w:eastAsia="en-US"/>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sz w:val="24"/>
      <w:szCs w:val="24"/>
      <w:lang w:eastAsia="en-US"/>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sz w:val="24"/>
      <w:szCs w:val="24"/>
      <w:lang w:eastAsia="en-US"/>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sz w:val="24"/>
      <w:szCs w:val="24"/>
      <w:lang w:eastAsia="en-US"/>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sz w:val="24"/>
      <w:szCs w:val="24"/>
      <w:lang w:eastAsia="en-US"/>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sz w:val="24"/>
      <w:szCs w:val="24"/>
      <w:lang w:eastAsia="en-US"/>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sz w:val="24"/>
      <w:szCs w:val="24"/>
      <w:lang w:eastAsia="en-US"/>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sz w:val="24"/>
      <w:szCs w:val="24"/>
      <w:lang w:eastAsia="en-US"/>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szCs w:val="20"/>
    </w:rPr>
  </w:style>
  <w:style w:type="character" w:customStyle="1" w:styleId="FooterCoverPageChar">
    <w:name w:val="Footer Cover Page Char"/>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szCs w:val="20"/>
    </w:rPr>
  </w:style>
  <w:style w:type="character" w:customStyle="1" w:styleId="HeaderCoverPageChar">
    <w:name w:val="Header Cover Page Char"/>
    <w:link w:val="HeaderCoverPage"/>
    <w:rPr>
      <w:rFonts w:ascii="Times New Roman" w:hAnsi="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sz w:val="20"/>
      <w:szCs w:val="20"/>
    </w:rPr>
  </w:style>
  <w:style w:type="paragraph" w:styleId="Revision">
    <w:name w:val="Revision"/>
    <w:hidden/>
    <w:uiPriority w:val="99"/>
    <w:semiHidden/>
    <w:rPr>
      <w:sz w:val="22"/>
      <w:szCs w:val="22"/>
    </w:rPr>
  </w:style>
  <w:style w:type="paragraph" w:customStyle="1" w:styleId="point1230">
    <w:name w:val="point123"/>
    <w:basedOn w:val="Normal"/>
    <w:pPr>
      <w:spacing w:before="120" w:after="120" w:line="360" w:lineRule="auto"/>
      <w:ind w:left="567" w:hanging="567"/>
    </w:pPr>
    <w:rPr>
      <w:rFonts w:ascii="Times New Roman" w:eastAsia="Times New Roman" w:hAnsi="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3399"/>
      <w:u w:val="single"/>
    </w:rPr>
  </w:style>
  <w:style w:type="character" w:styleId="Emphasis">
    <w:name w:val="Emphasis"/>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eastAsia="Calibri"/>
      <w:szCs w:val="21"/>
      <w:lang w:eastAsia="en-US"/>
    </w:rPr>
  </w:style>
  <w:style w:type="character" w:customStyle="1" w:styleId="PlainTextChar">
    <w:name w:val="Plain Text Char"/>
    <w:link w:val="PlainText"/>
    <w:uiPriority w:val="99"/>
    <w:rPr>
      <w:rFonts w:ascii="Calibri" w:eastAsia="Calibri" w:hAnsi="Calibri"/>
      <w:szCs w:val="21"/>
      <w:lang w:eastAsia="en-US"/>
    </w:rPr>
  </w:style>
  <w:style w:type="character" w:styleId="FollowedHyperlink">
    <w:name w:val="FollowedHyperlink"/>
    <w:uiPriority w:val="99"/>
    <w:semiHidden/>
    <w:unhideWhenUsed/>
    <w:rPr>
      <w:color w:val="800080"/>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sz w:val="24"/>
      <w:szCs w:val="24"/>
      <w:lang w:eastAsia="en-US"/>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sz w:val="24"/>
      <w:szCs w:val="24"/>
      <w:lang w:eastAsia="en-US"/>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sz w:val="24"/>
      <w:szCs w:val="24"/>
      <w:lang w:eastAsia="en-US"/>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sz w:val="24"/>
      <w:szCs w:val="24"/>
      <w:lang w:eastAsia="en-US"/>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sz w:val="24"/>
      <w:szCs w:val="24"/>
      <w:lang w:eastAsia="en-US"/>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sz w:val="24"/>
      <w:szCs w:val="24"/>
      <w:lang w:eastAsia="en-US"/>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sz w:val="24"/>
      <w:szCs w:val="24"/>
      <w:lang w:eastAsia="en-US"/>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sz w:val="24"/>
      <w:szCs w:val="24"/>
      <w:lang w:eastAsia="en-US"/>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6521">
      <w:bodyDiv w:val="1"/>
      <w:marLeft w:val="0"/>
      <w:marRight w:val="0"/>
      <w:marTop w:val="0"/>
      <w:marBottom w:val="0"/>
      <w:divBdr>
        <w:top w:val="none" w:sz="0" w:space="0" w:color="auto"/>
        <w:left w:val="none" w:sz="0" w:space="0" w:color="auto"/>
        <w:bottom w:val="none" w:sz="0" w:space="0" w:color="auto"/>
        <w:right w:val="none" w:sz="0" w:space="0" w:color="auto"/>
      </w:divBdr>
    </w:div>
    <w:div w:id="192766117">
      <w:bodyDiv w:val="1"/>
      <w:marLeft w:val="0"/>
      <w:marRight w:val="0"/>
      <w:marTop w:val="0"/>
      <w:marBottom w:val="0"/>
      <w:divBdr>
        <w:top w:val="none" w:sz="0" w:space="0" w:color="auto"/>
        <w:left w:val="none" w:sz="0" w:space="0" w:color="auto"/>
        <w:bottom w:val="none" w:sz="0" w:space="0" w:color="auto"/>
        <w:right w:val="none" w:sz="0" w:space="0" w:color="auto"/>
      </w:divBdr>
    </w:div>
    <w:div w:id="239797774">
      <w:bodyDiv w:val="1"/>
      <w:marLeft w:val="0"/>
      <w:marRight w:val="0"/>
      <w:marTop w:val="0"/>
      <w:marBottom w:val="0"/>
      <w:divBdr>
        <w:top w:val="none" w:sz="0" w:space="0" w:color="auto"/>
        <w:left w:val="none" w:sz="0" w:space="0" w:color="auto"/>
        <w:bottom w:val="none" w:sz="0" w:space="0" w:color="auto"/>
        <w:right w:val="none" w:sz="0" w:space="0" w:color="auto"/>
      </w:divBdr>
    </w:div>
    <w:div w:id="300841687">
      <w:bodyDiv w:val="1"/>
      <w:marLeft w:val="0"/>
      <w:marRight w:val="0"/>
      <w:marTop w:val="0"/>
      <w:marBottom w:val="0"/>
      <w:divBdr>
        <w:top w:val="none" w:sz="0" w:space="0" w:color="auto"/>
        <w:left w:val="none" w:sz="0" w:space="0" w:color="auto"/>
        <w:bottom w:val="none" w:sz="0" w:space="0" w:color="auto"/>
        <w:right w:val="none" w:sz="0" w:space="0" w:color="auto"/>
      </w:divBdr>
    </w:div>
    <w:div w:id="343825991">
      <w:bodyDiv w:val="1"/>
      <w:marLeft w:val="0"/>
      <w:marRight w:val="0"/>
      <w:marTop w:val="0"/>
      <w:marBottom w:val="0"/>
      <w:divBdr>
        <w:top w:val="none" w:sz="0" w:space="0" w:color="auto"/>
        <w:left w:val="none" w:sz="0" w:space="0" w:color="auto"/>
        <w:bottom w:val="none" w:sz="0" w:space="0" w:color="auto"/>
        <w:right w:val="none" w:sz="0" w:space="0" w:color="auto"/>
      </w:divBdr>
    </w:div>
    <w:div w:id="440229734">
      <w:bodyDiv w:val="1"/>
      <w:marLeft w:val="0"/>
      <w:marRight w:val="0"/>
      <w:marTop w:val="0"/>
      <w:marBottom w:val="0"/>
      <w:divBdr>
        <w:top w:val="none" w:sz="0" w:space="0" w:color="auto"/>
        <w:left w:val="none" w:sz="0" w:space="0" w:color="auto"/>
        <w:bottom w:val="none" w:sz="0" w:space="0" w:color="auto"/>
        <w:right w:val="none" w:sz="0" w:space="0" w:color="auto"/>
      </w:divBdr>
    </w:div>
    <w:div w:id="486869832">
      <w:bodyDiv w:val="1"/>
      <w:marLeft w:val="0"/>
      <w:marRight w:val="0"/>
      <w:marTop w:val="0"/>
      <w:marBottom w:val="0"/>
      <w:divBdr>
        <w:top w:val="none" w:sz="0" w:space="0" w:color="auto"/>
        <w:left w:val="none" w:sz="0" w:space="0" w:color="auto"/>
        <w:bottom w:val="none" w:sz="0" w:space="0" w:color="auto"/>
        <w:right w:val="none" w:sz="0" w:space="0" w:color="auto"/>
      </w:divBdr>
    </w:div>
    <w:div w:id="495851468">
      <w:bodyDiv w:val="1"/>
      <w:marLeft w:val="0"/>
      <w:marRight w:val="0"/>
      <w:marTop w:val="0"/>
      <w:marBottom w:val="0"/>
      <w:divBdr>
        <w:top w:val="none" w:sz="0" w:space="0" w:color="auto"/>
        <w:left w:val="none" w:sz="0" w:space="0" w:color="auto"/>
        <w:bottom w:val="none" w:sz="0" w:space="0" w:color="auto"/>
        <w:right w:val="none" w:sz="0" w:space="0" w:color="auto"/>
      </w:divBdr>
    </w:div>
    <w:div w:id="523904018">
      <w:bodyDiv w:val="1"/>
      <w:marLeft w:val="0"/>
      <w:marRight w:val="0"/>
      <w:marTop w:val="0"/>
      <w:marBottom w:val="0"/>
      <w:divBdr>
        <w:top w:val="none" w:sz="0" w:space="0" w:color="auto"/>
        <w:left w:val="none" w:sz="0" w:space="0" w:color="auto"/>
        <w:bottom w:val="none" w:sz="0" w:space="0" w:color="auto"/>
        <w:right w:val="none" w:sz="0" w:space="0" w:color="auto"/>
      </w:divBdr>
    </w:div>
    <w:div w:id="584606054">
      <w:bodyDiv w:val="1"/>
      <w:marLeft w:val="0"/>
      <w:marRight w:val="0"/>
      <w:marTop w:val="0"/>
      <w:marBottom w:val="0"/>
      <w:divBdr>
        <w:top w:val="none" w:sz="0" w:space="0" w:color="auto"/>
        <w:left w:val="none" w:sz="0" w:space="0" w:color="auto"/>
        <w:bottom w:val="none" w:sz="0" w:space="0" w:color="auto"/>
        <w:right w:val="none" w:sz="0" w:space="0" w:color="auto"/>
      </w:divBdr>
    </w:div>
    <w:div w:id="767851189">
      <w:bodyDiv w:val="1"/>
      <w:marLeft w:val="0"/>
      <w:marRight w:val="0"/>
      <w:marTop w:val="0"/>
      <w:marBottom w:val="0"/>
      <w:divBdr>
        <w:top w:val="none" w:sz="0" w:space="0" w:color="auto"/>
        <w:left w:val="none" w:sz="0" w:space="0" w:color="auto"/>
        <w:bottom w:val="none" w:sz="0" w:space="0" w:color="auto"/>
        <w:right w:val="none" w:sz="0" w:space="0" w:color="auto"/>
      </w:divBdr>
    </w:div>
    <w:div w:id="969017109">
      <w:bodyDiv w:val="1"/>
      <w:marLeft w:val="0"/>
      <w:marRight w:val="0"/>
      <w:marTop w:val="0"/>
      <w:marBottom w:val="0"/>
      <w:divBdr>
        <w:top w:val="none" w:sz="0" w:space="0" w:color="auto"/>
        <w:left w:val="none" w:sz="0" w:space="0" w:color="auto"/>
        <w:bottom w:val="none" w:sz="0" w:space="0" w:color="auto"/>
        <w:right w:val="none" w:sz="0" w:space="0" w:color="auto"/>
      </w:divBdr>
    </w:div>
    <w:div w:id="1031953443">
      <w:bodyDiv w:val="1"/>
      <w:marLeft w:val="0"/>
      <w:marRight w:val="0"/>
      <w:marTop w:val="0"/>
      <w:marBottom w:val="0"/>
      <w:divBdr>
        <w:top w:val="none" w:sz="0" w:space="0" w:color="auto"/>
        <w:left w:val="none" w:sz="0" w:space="0" w:color="auto"/>
        <w:bottom w:val="none" w:sz="0" w:space="0" w:color="auto"/>
        <w:right w:val="none" w:sz="0" w:space="0" w:color="auto"/>
      </w:divBdr>
    </w:div>
    <w:div w:id="1272009720">
      <w:bodyDiv w:val="1"/>
      <w:marLeft w:val="0"/>
      <w:marRight w:val="0"/>
      <w:marTop w:val="0"/>
      <w:marBottom w:val="0"/>
      <w:divBdr>
        <w:top w:val="none" w:sz="0" w:space="0" w:color="auto"/>
        <w:left w:val="none" w:sz="0" w:space="0" w:color="auto"/>
        <w:bottom w:val="none" w:sz="0" w:space="0" w:color="auto"/>
        <w:right w:val="none" w:sz="0" w:space="0" w:color="auto"/>
      </w:divBdr>
    </w:div>
    <w:div w:id="1316766189">
      <w:bodyDiv w:val="1"/>
      <w:marLeft w:val="0"/>
      <w:marRight w:val="0"/>
      <w:marTop w:val="0"/>
      <w:marBottom w:val="0"/>
      <w:divBdr>
        <w:top w:val="none" w:sz="0" w:space="0" w:color="auto"/>
        <w:left w:val="none" w:sz="0" w:space="0" w:color="auto"/>
        <w:bottom w:val="none" w:sz="0" w:space="0" w:color="auto"/>
        <w:right w:val="none" w:sz="0" w:space="0" w:color="auto"/>
      </w:divBdr>
    </w:div>
    <w:div w:id="1752963500">
      <w:bodyDiv w:val="1"/>
      <w:marLeft w:val="0"/>
      <w:marRight w:val="0"/>
      <w:marTop w:val="0"/>
      <w:marBottom w:val="0"/>
      <w:divBdr>
        <w:top w:val="none" w:sz="0" w:space="0" w:color="auto"/>
        <w:left w:val="none" w:sz="0" w:space="0" w:color="auto"/>
        <w:bottom w:val="none" w:sz="0" w:space="0" w:color="auto"/>
        <w:right w:val="none" w:sz="0" w:space="0" w:color="auto"/>
      </w:divBdr>
    </w:div>
    <w:div w:id="1844977531">
      <w:bodyDiv w:val="1"/>
      <w:marLeft w:val="0"/>
      <w:marRight w:val="0"/>
      <w:marTop w:val="0"/>
      <w:marBottom w:val="0"/>
      <w:divBdr>
        <w:top w:val="none" w:sz="0" w:space="0" w:color="auto"/>
        <w:left w:val="none" w:sz="0" w:space="0" w:color="auto"/>
        <w:bottom w:val="none" w:sz="0" w:space="0" w:color="auto"/>
        <w:right w:val="none" w:sz="0" w:space="0" w:color="auto"/>
      </w:divBdr>
    </w:div>
    <w:div w:id="1947731817">
      <w:bodyDiv w:val="1"/>
      <w:marLeft w:val="0"/>
      <w:marRight w:val="0"/>
      <w:marTop w:val="0"/>
      <w:marBottom w:val="0"/>
      <w:divBdr>
        <w:top w:val="none" w:sz="0" w:space="0" w:color="auto"/>
        <w:left w:val="none" w:sz="0" w:space="0" w:color="auto"/>
        <w:bottom w:val="none" w:sz="0" w:space="0" w:color="auto"/>
        <w:right w:val="none" w:sz="0" w:space="0" w:color="auto"/>
      </w:divBdr>
    </w:div>
    <w:div w:id="2053847674">
      <w:bodyDiv w:val="1"/>
      <w:marLeft w:val="0"/>
      <w:marRight w:val="0"/>
      <w:marTop w:val="0"/>
      <w:marBottom w:val="0"/>
      <w:divBdr>
        <w:top w:val="none" w:sz="0" w:space="0" w:color="auto"/>
        <w:left w:val="none" w:sz="0" w:space="0" w:color="auto"/>
        <w:bottom w:val="none" w:sz="0" w:space="0" w:color="auto"/>
        <w:right w:val="none" w:sz="0" w:space="0" w:color="auto"/>
      </w:divBdr>
      <w:divsChild>
        <w:div w:id="687633509">
          <w:marLeft w:val="0"/>
          <w:marRight w:val="0"/>
          <w:marTop w:val="0"/>
          <w:marBottom w:val="0"/>
          <w:divBdr>
            <w:top w:val="none" w:sz="0" w:space="0" w:color="auto"/>
            <w:left w:val="none" w:sz="0" w:space="0" w:color="auto"/>
            <w:bottom w:val="none" w:sz="0" w:space="0" w:color="auto"/>
            <w:right w:val="none" w:sz="0" w:space="0" w:color="auto"/>
          </w:divBdr>
          <w:divsChild>
            <w:div w:id="875852545">
              <w:marLeft w:val="0"/>
              <w:marRight w:val="0"/>
              <w:marTop w:val="0"/>
              <w:marBottom w:val="0"/>
              <w:divBdr>
                <w:top w:val="none" w:sz="0" w:space="0" w:color="auto"/>
                <w:left w:val="none" w:sz="0" w:space="0" w:color="auto"/>
                <w:bottom w:val="none" w:sz="0" w:space="0" w:color="auto"/>
                <w:right w:val="none" w:sz="0" w:space="0" w:color="auto"/>
              </w:divBdr>
              <w:divsChild>
                <w:div w:id="711731091">
                  <w:marLeft w:val="0"/>
                  <w:marRight w:val="0"/>
                  <w:marTop w:val="0"/>
                  <w:marBottom w:val="0"/>
                  <w:divBdr>
                    <w:top w:val="none" w:sz="0" w:space="0" w:color="auto"/>
                    <w:left w:val="none" w:sz="0" w:space="0" w:color="auto"/>
                    <w:bottom w:val="none" w:sz="0" w:space="0" w:color="auto"/>
                    <w:right w:val="none" w:sz="0" w:space="0" w:color="auto"/>
                  </w:divBdr>
                  <w:divsChild>
                    <w:div w:id="1039208754">
                      <w:marLeft w:val="0"/>
                      <w:marRight w:val="0"/>
                      <w:marTop w:val="0"/>
                      <w:marBottom w:val="0"/>
                      <w:divBdr>
                        <w:top w:val="none" w:sz="0" w:space="0" w:color="auto"/>
                        <w:left w:val="none" w:sz="0" w:space="0" w:color="auto"/>
                        <w:bottom w:val="none" w:sz="0" w:space="0" w:color="auto"/>
                        <w:right w:val="none" w:sz="0" w:space="0" w:color="auto"/>
                      </w:divBdr>
                      <w:divsChild>
                        <w:div w:id="560796828">
                          <w:marLeft w:val="0"/>
                          <w:marRight w:val="0"/>
                          <w:marTop w:val="0"/>
                          <w:marBottom w:val="0"/>
                          <w:divBdr>
                            <w:top w:val="none" w:sz="0" w:space="0" w:color="auto"/>
                            <w:left w:val="none" w:sz="0" w:space="0" w:color="auto"/>
                            <w:bottom w:val="none" w:sz="0" w:space="0" w:color="auto"/>
                            <w:right w:val="none" w:sz="0" w:space="0" w:color="auto"/>
                          </w:divBdr>
                          <w:divsChild>
                            <w:div w:id="1768186668">
                              <w:marLeft w:val="0"/>
                              <w:marRight w:val="0"/>
                              <w:marTop w:val="0"/>
                              <w:marBottom w:val="0"/>
                              <w:divBdr>
                                <w:top w:val="single" w:sz="8" w:space="3" w:color="B5C4DF"/>
                                <w:left w:val="none" w:sz="0" w:space="0" w:color="auto"/>
                                <w:bottom w:val="none" w:sz="0" w:space="0" w:color="auto"/>
                                <w:right w:val="none" w:sz="0" w:space="0" w:color="auto"/>
                              </w:divBdr>
                            </w:div>
                          </w:divsChild>
                        </w:div>
                        <w:div w:id="1496190629">
                          <w:marLeft w:val="0"/>
                          <w:marRight w:val="0"/>
                          <w:marTop w:val="0"/>
                          <w:marBottom w:val="0"/>
                          <w:divBdr>
                            <w:top w:val="none" w:sz="0" w:space="0" w:color="auto"/>
                            <w:left w:val="none" w:sz="0" w:space="0" w:color="auto"/>
                            <w:bottom w:val="none" w:sz="0" w:space="0" w:color="auto"/>
                            <w:right w:val="none" w:sz="0" w:space="0" w:color="auto"/>
                          </w:divBdr>
                          <w:divsChild>
                            <w:div w:id="697895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gs/home-affairs/what-we-do/policies/borders-and-visas/border-crossing/docs/20141016_home_esbg_frp_001_esbg_final_report_3_00_en.pdf" TargetMode="External"/><Relationship Id="rId2" Type="http://schemas.openxmlformats.org/officeDocument/2006/relationships/hyperlink" Target="http://dx.doi.org/10.1787/9789264216501-12-en" TargetMode="External"/><Relationship Id="rId1" Type="http://schemas.openxmlformats.org/officeDocument/2006/relationships/hyperlink" Target="http://eur-lex.europa.eu/LexUriServ/LexUriServ.do?uri=CELEX:32004R0377:EN:N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1DBFA-0655-4386-A6D2-A718A377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8676</Words>
  <Characters>51537</Characters>
  <Application>Microsoft Office Word</Application>
  <DocSecurity>0</DocSecurity>
  <Lines>991</Lines>
  <Paragraphs>348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59865</CharactersWithSpaces>
  <SharedDoc>false</SharedDoc>
  <HLinks>
    <vt:vector size="18" baseType="variant">
      <vt:variant>
        <vt:i4>196631</vt:i4>
      </vt:variant>
      <vt:variant>
        <vt:i4>6</vt:i4>
      </vt:variant>
      <vt:variant>
        <vt:i4>0</vt:i4>
      </vt:variant>
      <vt:variant>
        <vt:i4>5</vt:i4>
      </vt:variant>
      <vt:variant>
        <vt:lpwstr>http://ec.europa.eu/dgs/home-affairs/what-we-do/policies/borders-and-visas/border-crossing/docs/20141016_home_esbg_frp_001_esbg_final_report_3_00_en.pdf</vt:lpwstr>
      </vt:variant>
      <vt:variant>
        <vt:lpwstr/>
      </vt:variant>
      <vt:variant>
        <vt:i4>1900613</vt:i4>
      </vt:variant>
      <vt:variant>
        <vt:i4>3</vt:i4>
      </vt:variant>
      <vt:variant>
        <vt:i4>0</vt:i4>
      </vt:variant>
      <vt:variant>
        <vt:i4>5</vt:i4>
      </vt:variant>
      <vt:variant>
        <vt:lpwstr>http://dx.doi.org/10.1787/9789264216501-12-en</vt:lpwstr>
      </vt:variant>
      <vt:variant>
        <vt:lpwstr/>
      </vt:variant>
      <vt:variant>
        <vt:i4>6029318</vt:i4>
      </vt:variant>
      <vt:variant>
        <vt:i4>0</vt:i4>
      </vt:variant>
      <vt:variant>
        <vt:i4>0</vt:i4>
      </vt:variant>
      <vt:variant>
        <vt:i4>5</vt:i4>
      </vt:variant>
      <vt:variant>
        <vt:lpwstr>http://eur-lex.europa.eu/LexUriServ/LexUriServ.do?uri=CELEX:32004R0377:EN:NOT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2015-05-19T09:07:00Z</dcterms:created>
  <dcterms:modified xsi:type="dcterms:W3CDTF">2015-05-19T12:56:00Z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