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70" w:rsidRDefault="00E0409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1275A94C05F425088F24964CE5A9527" style="width:450.8pt;height:321.4pt">
            <v:imagedata r:id="rId9" o:title=""/>
          </v:shape>
        </w:pict>
      </w:r>
    </w:p>
    <w:bookmarkEnd w:id="0"/>
    <w:p w:rsidR="00300A70" w:rsidRDefault="00300A70">
      <w:pPr>
        <w:spacing w:line="240" w:lineRule="auto"/>
        <w:rPr>
          <w:noProof/>
        </w:rPr>
        <w:sectPr w:rsidR="00300A7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300A70" w:rsidRDefault="00E04097">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Introduzzjoni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Matul l-istorja, in-nies emigraw minn post għall-ieħor. Persuni li jippruvaw </w:t>
      </w:r>
      <w:r>
        <w:rPr>
          <w:rFonts w:ascii="Times New Roman" w:hAnsi="Times New Roman"/>
          <w:noProof/>
          <w:sz w:val="24"/>
        </w:rPr>
        <w:t>jilħqu x-xtut Ewropej jagħmlu dan għal raġunijiet differenti u permezz ta’ mezzi differenti. Huma jfittxu modi legali, iżda huma jirriskjaw ħajjithom ukoll, biex jaħarbu minn oppressjoni politika, gwerer u faqar, kif ukoll biex isibu r-riunifikazzjoni tal-</w:t>
      </w:r>
      <w:r>
        <w:rPr>
          <w:rFonts w:ascii="Times New Roman" w:hAnsi="Times New Roman"/>
          <w:noProof/>
          <w:sz w:val="24"/>
        </w:rPr>
        <w:t>familja, l-intraprenditorija, l-għarfien u l-edukazzjoni. Il-migrazzjoni ta' kull persuna tirrakkonta l-istorja tagħha. In-narrattivi żbaljati u sterjotipati spiss għandhom it-tendenza li jiffokaw biss fuq ċerti tipi ta’ flussi, u jinjoraw il-kumplessità i</w:t>
      </w:r>
      <w:r>
        <w:rPr>
          <w:rFonts w:ascii="Times New Roman" w:hAnsi="Times New Roman"/>
          <w:noProof/>
          <w:sz w:val="24"/>
        </w:rPr>
        <w:t>nerenti ta’ dan il-fenomenu, li jħalli impatt fuq is-soċjetà b’ħafna modi differenti u jitlob għal varjetà ta’ reazzjonijiet. Din l-Aġenda tlaqqa' l-passi differenti li l-Unjoni Ewropea għandha tieħu issa, u fis-snin li ġejjin, sabiex tibni approċċ koerent</w:t>
      </w:r>
      <w:r>
        <w:rPr>
          <w:rFonts w:ascii="Times New Roman" w:hAnsi="Times New Roman"/>
          <w:noProof/>
          <w:sz w:val="24"/>
        </w:rPr>
        <w:t>i u komprensiv biex taħsad il-benefiċċji u tindirizza l-isfidi li jirriżultaw mill-migrazzjoni.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Dak li huwa importanti f'dan il-mument huwa d-dmir li jiġu protetti dawk fil-bżonn. Is-sitwazzjoni ta’ eluf ta’ migranti li jpoġġu ħajjithom fil-periklu biex ja</w:t>
      </w:r>
      <w:r>
        <w:rPr>
          <w:rFonts w:ascii="Times New Roman" w:hAnsi="Times New Roman"/>
          <w:noProof/>
          <w:sz w:val="24"/>
        </w:rPr>
        <w:t>qsmu l-Mediterran kienet ta’ xokk għalina lkoll. Bħala rispons tal-ewwel u immedjat, il-Kummissjoni ressqet pjan b'għaxar punti għal azzjoni immedjata. Il-Parlament Ewropew u l-Kunsill Ewropew taw l-appoġġ tagħhom lil dan il-pjan u l-Istati Membri impenjaw</w:t>
      </w:r>
      <w:r>
        <w:rPr>
          <w:rFonts w:ascii="Times New Roman" w:hAnsi="Times New Roman"/>
          <w:noProof/>
          <w:sz w:val="24"/>
        </w:rPr>
        <w:t xml:space="preserve"> ruħhom ukoll għal passi konkreti, notevolment biex jiġi evitat aktar telf ta’ ħajjiet.</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Ir-rispons kien immedjat, iżda mhux biżżejjed. Dan ma jistax ikun biss rispons ta’ darba. Kienu meħtieġa miżuri ta’ emerġenza għax il-politika Ewropea kollettiva dwar i</w:t>
      </w:r>
      <w:r>
        <w:rPr>
          <w:rFonts w:ascii="Times New Roman" w:hAnsi="Times New Roman"/>
          <w:noProof/>
          <w:sz w:val="24"/>
        </w:rPr>
        <w:t>l-kwistjoni naqset milli tagħti r-riżultati mixtieqa. Filwaqt li l-biċċa l-kbira tal-Ewropej wieġbu għas-sitwazzjoni tal-migranti, ir-realtà hija li madwar l-Ewropa, hemm dubji serji dwar jekk il-politika dwar il-migrazzjoni tagħna hijiex ugwali għall-pres</w:t>
      </w:r>
      <w:r>
        <w:rPr>
          <w:rFonts w:ascii="Times New Roman" w:hAnsi="Times New Roman"/>
          <w:noProof/>
          <w:sz w:val="24"/>
        </w:rPr>
        <w:t xml:space="preserve">sjoni ta’ eluf ta’ migranti, għall-bżonn li jiġu integrati l-migranti fis-soċjetajiet tagħna, jew għall-ħtiġijiet ekonomiċi ta’ Ewropa fi tnaqqis demografiku. </w:t>
      </w:r>
    </w:p>
    <w:p w:rsidR="00300A70" w:rsidRDefault="00E04097">
      <w:pPr>
        <w:spacing w:before="120" w:after="0" w:line="240" w:lineRule="auto"/>
        <w:jc w:val="both"/>
        <w:rPr>
          <w:rFonts w:ascii="Times New Roman" w:hAnsi="Times New Roman"/>
          <w:noProof/>
          <w:sz w:val="24"/>
          <w:szCs w:val="24"/>
        </w:rPr>
      </w:pPr>
      <w:r>
        <w:rPr>
          <w:rFonts w:ascii="Times New Roman" w:hAnsi="Times New Roman"/>
          <w:noProof/>
          <w:sz w:val="24"/>
        </w:rPr>
        <w:t xml:space="preserve">Biex nippruvaw inwaqqfu l-miżerja umana maħluqa minn dawk li jisfruttaw il-migranti, jeħtiġilna </w:t>
      </w:r>
      <w:r>
        <w:rPr>
          <w:rFonts w:ascii="Times New Roman" w:hAnsi="Times New Roman"/>
          <w:noProof/>
          <w:sz w:val="24"/>
        </w:rPr>
        <w:t>nużaw ir-rwol globali tal-UE u l-firxa wiesgħa ta’ għodod biex nindirizzaw il-kawżi bażiċi tal-migrazzjoni. Xi wħud minn dawn huma profondi iżda jridu jiġu indirizzati. Il-globalizzazzjoni u r-revoluzzjoni tal-komunikazzjoni ħolqu opportunitajiet u għollew</w:t>
      </w:r>
      <w:r>
        <w:rPr>
          <w:rFonts w:ascii="Times New Roman" w:hAnsi="Times New Roman"/>
          <w:noProof/>
          <w:sz w:val="24"/>
        </w:rPr>
        <w:t xml:space="preserve"> l-aspettattivi. Oħrajn huma l-konsegwenza ta’ gwerer u kriżijiet mill-Ukraina sal-Lvant Nofsani, l-Asja u l-Afrika ta’ Fuq. L-impatt tal-faqar u l-kunflitt globali ma jintemmx mal-fruntieri nazzjonali.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L-Ewropa għandha tkompli tkun rifuġju sikur għal dawk</w:t>
      </w:r>
      <w:r>
        <w:rPr>
          <w:rFonts w:ascii="Times New Roman" w:hAnsi="Times New Roman"/>
          <w:noProof/>
          <w:sz w:val="24"/>
        </w:rPr>
        <w:t xml:space="preserve"> li qed jaħarbu l-persekuzzjoni kif ukoll destinazzjoni attraenti għat-talent u l-intraprenditorija ta’ studenti, riċerkaturi u ħaddiema. Iż-żamma tal-impenji u l-valuri internazzjonali tagħna filwaqt li nipproteġu l-fruntieri tagħna u fl-istess ħin noħolq</w:t>
      </w:r>
      <w:r>
        <w:rPr>
          <w:rFonts w:ascii="Times New Roman" w:hAnsi="Times New Roman"/>
          <w:noProof/>
          <w:sz w:val="24"/>
        </w:rPr>
        <w:t xml:space="preserve">u l-kundizzjonijiet it-tajba għall-prosperità ekonomika u l-koeżjoni tas-soċjetà tal-Ewropa huwa bilanċ diffiċli li jeħtieġ azzjoni koordinata fuq livell Ewropew. </w:t>
      </w:r>
    </w:p>
    <w:p w:rsidR="00300A70" w:rsidRDefault="00E04097">
      <w:pPr>
        <w:spacing w:before="120" w:after="0" w:line="240" w:lineRule="auto"/>
        <w:jc w:val="both"/>
        <w:rPr>
          <w:rFonts w:ascii="Times New Roman" w:hAnsi="Times New Roman"/>
          <w:noProof/>
          <w:sz w:val="24"/>
        </w:rPr>
      </w:pPr>
      <w:r>
        <w:rPr>
          <w:rFonts w:ascii="Times New Roman" w:hAnsi="Times New Roman"/>
          <w:noProof/>
          <w:sz w:val="24"/>
        </w:rPr>
        <w:t>Dan jitlob li jkun hemm sensiela ta’ miżuri ċentrali u politika komuni ċara u konsistenti. J</w:t>
      </w:r>
      <w:r>
        <w:rPr>
          <w:rFonts w:ascii="Times New Roman" w:hAnsi="Times New Roman"/>
          <w:noProof/>
          <w:sz w:val="24"/>
        </w:rPr>
        <w:t xml:space="preserve">eħtieġ li nirkupraw il-fiduċja fil-kapaċità tagħna li nlaqqgħu l-isforzi Ewropej u dawk nazzjonali biex nindirizzaw il-migrazzjoni, nissodisfaw l-obbligi internazzjonali u etiċi tagħna u naħdmu flimkien b’mod effettiv, skont il-prinċipji tas-solidarjetà u </w:t>
      </w:r>
      <w:r>
        <w:rPr>
          <w:rFonts w:ascii="Times New Roman" w:hAnsi="Times New Roman"/>
          <w:noProof/>
          <w:sz w:val="24"/>
        </w:rPr>
        <w:t>r-responsabbiltà kondiviża. L-ebda Stat Membru waħdu ma jista’ jindirizza b’mod effettiv il-migrazzjoni. Huwa ċar li għandna bżonn approċċ ġdid u iktar Ewropew. Dan jeħtieġ l-użu tal-politiki u l-għodod kollha għad-dispożizzjoni tagħna — filwaqt li ngħaqqd</w:t>
      </w:r>
      <w:r>
        <w:rPr>
          <w:rFonts w:ascii="Times New Roman" w:hAnsi="Times New Roman"/>
          <w:noProof/>
          <w:sz w:val="24"/>
        </w:rPr>
        <w:t xml:space="preserve">u politiki interni u esterni sabiex jinkiseb l-aħjar effett. L-atturi kollha: L-Istati Membri, l-istituzzjonijiet tal-UE, l-Organizzazzjonijiet Internazzjonali, is-soċjetà ċivili, l-awtoritajiet lokali u l-pajjiżi terzi </w:t>
      </w:r>
      <w:r>
        <w:rPr>
          <w:rFonts w:ascii="Times New Roman" w:hAnsi="Times New Roman"/>
          <w:noProof/>
          <w:sz w:val="24"/>
        </w:rPr>
        <w:lastRenderedPageBreak/>
        <w:t>jeħtieġ li jaħdmu flimkien biex jagħ</w:t>
      </w:r>
      <w:r>
        <w:rPr>
          <w:rFonts w:ascii="Times New Roman" w:hAnsi="Times New Roman"/>
          <w:noProof/>
          <w:sz w:val="24"/>
        </w:rPr>
        <w:t xml:space="preserve">mlu l-politika Ewropea komuni dwar il-migrazzjoni realtà. </w:t>
      </w:r>
    </w:p>
    <w:p w:rsidR="00300A70" w:rsidRDefault="00300A70">
      <w:pPr>
        <w:spacing w:before="120" w:after="0" w:line="240" w:lineRule="auto"/>
        <w:jc w:val="both"/>
        <w:rPr>
          <w:rFonts w:ascii="Times New Roman" w:hAnsi="Times New Roman" w:cs="Times New Roman"/>
          <w:noProof/>
          <w:sz w:val="24"/>
          <w:szCs w:val="24"/>
        </w:rPr>
      </w:pPr>
    </w:p>
    <w:p w:rsidR="00300A70" w:rsidRDefault="00E04097">
      <w:pPr>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Azzjoni Immedjata</w:t>
      </w:r>
    </w:p>
    <w:p w:rsidR="00300A70" w:rsidRDefault="00E04097">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L-ewwel parti ta’ din l-Aġenda Ewropea dwar il-Migrazzjoni twieġeb għall-ħtieġa ta’ azzjoni ta' malajr u determinata b’rispons għat-traġedja umana fil-Mediterran sħiħ. </w:t>
      </w:r>
      <w:r>
        <w:rPr>
          <w:rFonts w:ascii="Times New Roman" w:hAnsi="Times New Roman"/>
          <w:noProof/>
          <w:sz w:val="24"/>
        </w:rPr>
        <w:t>Id-dikjarazzjoni tal-Kunsill Ewropew tat-23 ta’ April 2015</w:t>
      </w:r>
      <w:r>
        <w:rPr>
          <w:rFonts w:ascii="Times New Roman" w:hAnsi="Times New Roman"/>
          <w:noProof/>
          <w:sz w:val="24"/>
          <w:vertAlign w:val="superscript"/>
        </w:rPr>
        <w:footnoteReference w:id="2"/>
      </w:r>
      <w:r>
        <w:rPr>
          <w:rFonts w:ascii="Times New Roman" w:hAnsi="Times New Roman"/>
          <w:noProof/>
          <w:sz w:val="24"/>
        </w:rPr>
        <w:t xml:space="preserve"> u r-Riżoluzzjoni tal-Parlament Ewropew ftit jiem wara</w:t>
      </w:r>
      <w:r>
        <w:rPr>
          <w:rFonts w:ascii="Times New Roman" w:hAnsi="Times New Roman"/>
          <w:noProof/>
          <w:sz w:val="24"/>
          <w:vertAlign w:val="superscript"/>
        </w:rPr>
        <w:footnoteReference w:id="3"/>
      </w:r>
      <w:r>
        <w:rPr>
          <w:rFonts w:ascii="Times New Roman" w:hAnsi="Times New Roman"/>
          <w:noProof/>
          <w:sz w:val="24"/>
        </w:rPr>
        <w:t>, urew il-kunsens għal azzjoni rapida biex jiġu salvati l-ħajjiet u biex tingħata spinta lill-azzjoni tal-UE</w:t>
      </w:r>
      <w:r>
        <w:rPr>
          <w:rStyle w:val="FootnoteReference"/>
          <w:rFonts w:ascii="Times New Roman" w:hAnsi="Times New Roman"/>
          <w:noProof/>
          <w:sz w:val="24"/>
        </w:rPr>
        <w:footnoteReference w:id="4"/>
      </w:r>
      <w:r>
        <w:rPr>
          <w:rFonts w:ascii="Times New Roman" w:hAnsi="Times New Roman"/>
          <w:noProof/>
          <w:sz w:val="24"/>
        </w:rPr>
        <w:t xml:space="preserve">. </w:t>
      </w:r>
    </w:p>
    <w:p w:rsidR="00300A70" w:rsidRDefault="00E04097">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Dan ir-rispons rapidu jrid ise</w:t>
      </w:r>
      <w:r>
        <w:rPr>
          <w:rFonts w:ascii="Times New Roman" w:hAnsi="Times New Roman"/>
          <w:noProof/>
          <w:sz w:val="24"/>
        </w:rPr>
        <w:t xml:space="preserve">rvi wkoll bħala l-pjan ta’ azzjoni għar-reazzjoni tal-UE għal kriżijiet futuri, tkun liem tkun il-parti tal-fruntiera esterna komuni li tiġi taħt pressjoni mil-Lvant sal-Punent u mit-Tramuntana san-Nofsinhar. </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Salvataġġ tal-persuni mill-baħar</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L-Ewropa ma t</w:t>
      </w:r>
      <w:r>
        <w:rPr>
          <w:rFonts w:ascii="Times New Roman" w:hAnsi="Times New Roman"/>
          <w:noProof/>
          <w:sz w:val="24"/>
        </w:rPr>
        <w:t>istax ma tagħmel xejn meta qed jintilfu l-ħajjiet. It-tiftix u s-salvataġġ ser jiġu intensifikati biex jiġi mreġġa' lura l-livell ta’ intervent ipprovdut taħt l-operazzjoni Taljana “Mare Nostrum”. Sabiex jiġi triplat il-baġit għall-</w:t>
      </w:r>
      <w:r>
        <w:rPr>
          <w:rFonts w:ascii="Times New Roman" w:hAnsi="Times New Roman"/>
          <w:b/>
          <w:noProof/>
          <w:sz w:val="24"/>
        </w:rPr>
        <w:t>operazzjonijiet konġunti</w:t>
      </w:r>
      <w:r>
        <w:rPr>
          <w:rFonts w:ascii="Times New Roman" w:hAnsi="Times New Roman"/>
          <w:b/>
          <w:noProof/>
          <w:sz w:val="24"/>
        </w:rPr>
        <w:t xml:space="preserve"> ta' Frontex Triton u Poseidon</w:t>
      </w:r>
      <w:r>
        <w:rPr>
          <w:rFonts w:ascii="Times New Roman" w:hAnsi="Times New Roman"/>
          <w:noProof/>
          <w:sz w:val="24"/>
        </w:rPr>
        <w:t>, il-Kummissjoni diġà ppreżentat baġit emendatorju għall-2015 u se tippreżenta l-proposta tagħha għall-2016 sal-aħħar ta’ Mejju. Meta tkun implimentata, din se tespandi kemm il-kapaċità kif ukoll l-ambitu ġeografiku ta’ dawn l</w:t>
      </w:r>
      <w:r>
        <w:rPr>
          <w:rFonts w:ascii="Times New Roman" w:hAnsi="Times New Roman"/>
          <w:noProof/>
          <w:sz w:val="24"/>
        </w:rPr>
        <w:t>-operazzjonijiet, biex b'hekk il-Frontex tkun tista’ tissodisfa r-rwol doppju tagħha ta’ koordinazzjoni tal-appoġġ operattiv fil-fruntieri lill-Istati Membri taħt pressjoni, u tgħin biex jiġu salvati l-ħajjiet tal-migranti fuq il-baħar</w:t>
      </w:r>
      <w:r>
        <w:rPr>
          <w:rFonts w:ascii="Times New Roman" w:hAnsi="Times New Roman"/>
          <w:noProof/>
          <w:sz w:val="24"/>
          <w:vertAlign w:val="superscript"/>
        </w:rPr>
        <w:footnoteReference w:id="5"/>
      </w:r>
      <w:r>
        <w:rPr>
          <w:rFonts w:ascii="Times New Roman" w:hAnsi="Times New Roman"/>
          <w:noProof/>
          <w:sz w:val="24"/>
        </w:rPr>
        <w:t>. B’mod parallel ma’</w:t>
      </w:r>
      <w:r>
        <w:rPr>
          <w:rFonts w:ascii="Times New Roman" w:hAnsi="Times New Roman"/>
          <w:noProof/>
          <w:sz w:val="24"/>
        </w:rPr>
        <w:t xml:space="preserve"> din iż-żieda fil-fondi tal-UE, qed jintużaw assi (vapuri u inġenji tal-ajru) minn diversi Stati Membri. Din is-solidarjetà mixtieqa teħtieġ li tinżamm sakemm il-pressjoni migratorja tippersisti. Il-Pjan Operazzjonali Triton il-ġdid ser jiġi ppreżentat sal</w:t>
      </w:r>
      <w:r>
        <w:rPr>
          <w:rFonts w:ascii="Times New Roman" w:hAnsi="Times New Roman"/>
          <w:noProof/>
          <w:sz w:val="24"/>
        </w:rPr>
        <w:t>-aħħar ta’ Mejju</w:t>
      </w:r>
      <w:r>
        <w:rPr>
          <w:rStyle w:val="FootnoteReference"/>
          <w:rFonts w:ascii="Times New Roman" w:hAnsi="Times New Roman"/>
          <w:noProof/>
          <w:sz w:val="24"/>
        </w:rPr>
        <w:footnoteReference w:id="6"/>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L-immirar tan-netwerks tal-kuntrabandu kriminali</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Iridu jiġu mmirati n-netwerks kriminali li jisfruttaw lill-migranti vulnerabbli. Ir-Rappreżentant Għoli/Viċi President (RGħ/VP) diġà ppreżentat għażliet għal </w:t>
      </w:r>
      <w:r>
        <w:rPr>
          <w:rFonts w:ascii="Times New Roman" w:hAnsi="Times New Roman"/>
          <w:b/>
          <w:noProof/>
          <w:sz w:val="24"/>
        </w:rPr>
        <w:t xml:space="preserve">operazzjonijiet ta' Politika </w:t>
      </w:r>
      <w:r>
        <w:rPr>
          <w:rFonts w:ascii="Times New Roman" w:hAnsi="Times New Roman"/>
          <w:b/>
          <w:noProof/>
          <w:sz w:val="24"/>
        </w:rPr>
        <w:t>ta' Sigurtà u Difiża Komuni (PSDK)</w:t>
      </w:r>
      <w:r>
        <w:rPr>
          <w:rFonts w:ascii="Times New Roman" w:hAnsi="Times New Roman"/>
          <w:noProof/>
          <w:sz w:val="24"/>
        </w:rPr>
        <w:t xml:space="preserve"> possibbli biex jiġu identifikati, maqbuda u </w:t>
      </w:r>
      <w:r>
        <w:rPr>
          <w:rFonts w:ascii="Times New Roman" w:hAnsi="Times New Roman"/>
          <w:noProof/>
          <w:sz w:val="24"/>
        </w:rPr>
        <w:lastRenderedPageBreak/>
        <w:t>meqruda sistematikament bastimenti użati minn kuntrabandisti. Tali azzjoni skont il-liġi internazzjonali se tkun dimostrazzjoni qawwija tad-determinazzjoni tal-UE li tieħu azzjo</w:t>
      </w:r>
      <w:r>
        <w:rPr>
          <w:rFonts w:ascii="Times New Roman" w:hAnsi="Times New Roman"/>
          <w:noProof/>
          <w:sz w:val="24"/>
        </w:rPr>
        <w:t>ni.</w:t>
      </w:r>
    </w:p>
    <w:p w:rsidR="00300A70" w:rsidRDefault="00E04097">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Se jsir aktar sforz biex tinġabar u </w:t>
      </w:r>
      <w:r>
        <w:rPr>
          <w:rFonts w:ascii="Times New Roman" w:hAnsi="Times New Roman"/>
          <w:b/>
          <w:noProof/>
          <w:sz w:val="24"/>
        </w:rPr>
        <w:t>tintuża aħjar informazzjoni biex jiġu identifikati u mmirati l-kuntrabandisti</w:t>
      </w:r>
      <w:r>
        <w:rPr>
          <w:rFonts w:ascii="Times New Roman" w:hAnsi="Times New Roman"/>
          <w:noProof/>
          <w:sz w:val="24"/>
        </w:rPr>
        <w:t>. Il-Europol minnufih se jsaħħaħ l-operazzjoni ta’ informazzjoni marittima konġunta li ġiet stabbilita dan l-aħħar (JOT MARE) — u l-punt fo</w:t>
      </w:r>
      <w:r>
        <w:rPr>
          <w:rFonts w:ascii="Times New Roman" w:hAnsi="Times New Roman"/>
          <w:noProof/>
          <w:sz w:val="24"/>
        </w:rPr>
        <w:t>kali tagħha dwar il-kuntrabandu tal-migranti. Ir-riżultat se jkun punt ta’ waqfa waħda għal kooperazzjoni bejn l-aġenziji dwar il-kuntrabandu</w:t>
      </w:r>
      <w:r>
        <w:rPr>
          <w:rStyle w:val="FootnoteReference"/>
          <w:rFonts w:ascii="Times New Roman" w:hAnsi="Times New Roman"/>
          <w:noProof/>
          <w:sz w:val="24"/>
        </w:rPr>
        <w:footnoteReference w:id="7"/>
      </w:r>
      <w:r>
        <w:rPr>
          <w:rFonts w:ascii="Times New Roman" w:hAnsi="Times New Roman"/>
          <w:noProof/>
          <w:sz w:val="24"/>
        </w:rPr>
        <w:t>. Il-Frontex u l-Europol se jiżviluppaw ukoll profili ta’ bastimenti li jistgħu jintużaw minn kuntrabandisti, wara</w:t>
      </w:r>
      <w:r>
        <w:rPr>
          <w:rFonts w:ascii="Times New Roman" w:hAnsi="Times New Roman"/>
          <w:noProof/>
          <w:sz w:val="24"/>
        </w:rPr>
        <w:t xml:space="preserve"> li jiġu segwiti tendenzi biex jiġu identifikati bastimenti  potenzjali u jiġu ssorveljati l-movimenti tagħhom. Fl-aħħar nett, il-Europol se jidentifika kontenut illegali fuq l-internet użat minn kuntrabandisti biex jattiraw migranti u rifuġjati, u jitlob </w:t>
      </w:r>
      <w:r>
        <w:rPr>
          <w:rFonts w:ascii="Times New Roman" w:hAnsi="Times New Roman"/>
          <w:noProof/>
          <w:sz w:val="24"/>
        </w:rPr>
        <w:t xml:space="preserve">għat-tneħħija tiegħu. </w:t>
      </w:r>
    </w:p>
    <w:p w:rsidR="00300A70" w:rsidRDefault="00E04097">
      <w:pPr>
        <w:spacing w:before="120" w:line="240" w:lineRule="auto"/>
        <w:rPr>
          <w:rFonts w:ascii="Times New Roman" w:hAnsi="Times New Roman" w:cs="Times New Roman"/>
          <w:i/>
          <w:noProof/>
          <w:sz w:val="24"/>
          <w:szCs w:val="24"/>
        </w:rPr>
      </w:pPr>
      <w:r>
        <w:rPr>
          <w:rFonts w:ascii="Times New Roman" w:hAnsi="Times New Roman"/>
          <w:i/>
          <w:noProof/>
          <w:sz w:val="24"/>
        </w:rPr>
        <w:t>Ir-reazzjoni għal volumi għoljin ta’ wasliet ġewwa l-UE: Rilokazzjoni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Is-sistemi ta’ ażil tal-Istati Membri llum qed jiffaċċjaw pressjoni bla preċedent u, bis-sajf kważi magħna, il-fluss ta’ nies lejn l-Istati Membri li huma l-iktar </w:t>
      </w:r>
      <w:r>
        <w:rPr>
          <w:rFonts w:ascii="Times New Roman" w:hAnsi="Times New Roman"/>
          <w:noProof/>
          <w:sz w:val="24"/>
        </w:rPr>
        <w:t>milquta se jkompli fix-xhur li ġejjin. L-UE m’għandhiex tistenna sakemm il-pressjoni tkun intollerabbli biex taġixxi: il-volumi ta’ wasliet ifissru li l-kapaċità tal-akkoljenza lokali u tal-faċilitajiet ta’ pproċessar diġà tinsab taħt pressjoni. Sabiex tiġ</w:t>
      </w:r>
      <w:r>
        <w:rPr>
          <w:rFonts w:ascii="Times New Roman" w:hAnsi="Times New Roman"/>
          <w:noProof/>
          <w:sz w:val="24"/>
        </w:rPr>
        <w:t>i indirizzata s-sitwazzjoni fil-Mediterran, il-Kummissjoni, sal-aħħar ta’ Mejju, se tipproponi li tinbeda s-sistema ta’ rispons ta’ emerġenza prevista taħt l-Artikolu 78(3) tat-TFUE</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Il-proposta se tinkludi skema ta’ distribuzzjoni temporanja għal persuni</w:t>
      </w:r>
      <w:r>
        <w:rPr>
          <w:rFonts w:ascii="Times New Roman" w:hAnsi="Times New Roman"/>
          <w:noProof/>
          <w:sz w:val="24"/>
        </w:rPr>
        <w:t xml:space="preserve"> fi bżonn ċar ta’ protezzjoni internazzjonali biex tiġi żgurata parteċipazzjoni bilanċjata u ġusta tal-Istati Membri kollha f'dan l-isforz komuni. L-Istat Membru li jkun qed jirċievi jkun responsabbli għall-eżaminazzjoni tal-applikazzjoni skont ir-regoli u</w:t>
      </w:r>
      <w:r>
        <w:rPr>
          <w:rFonts w:ascii="Times New Roman" w:hAnsi="Times New Roman"/>
          <w:noProof/>
          <w:sz w:val="24"/>
        </w:rPr>
        <w:t xml:space="preserve"> garanziji stabbiliti. Parametru ta' ridistribuzzjoni bbażat fuq kriterji bħall-PDG, id-daqs tal-popolazzjoni, ir-rata tal-qgħad u numri passati ta’ dawk li jfittxu l-ażil jista' jinstab fl-Anness.</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Dan il-pass ser ikun il-prekursur ta’ soluzzjoni dejjiema.</w:t>
      </w:r>
      <w:r>
        <w:rPr>
          <w:rFonts w:ascii="Times New Roman" w:hAnsi="Times New Roman"/>
          <w:noProof/>
          <w:sz w:val="24"/>
        </w:rPr>
        <w:t xml:space="preserve"> L-UE teħtieġ sistema permanenti għall-kondiviżjoni tar-responsabbiltà għal numri kbar ta’ rifuġjati u dawk li jfittxu l-ażil fost l-Istati Membri. Sa tmiem l-2015 il-Kummissjoni se tippreżenta proposta leġiżlattiva biex tipprovdi għal sistema ta’ rilokazz</w:t>
      </w:r>
      <w:r>
        <w:rPr>
          <w:rFonts w:ascii="Times New Roman" w:hAnsi="Times New Roman"/>
          <w:noProof/>
          <w:sz w:val="24"/>
        </w:rPr>
        <w:t>joni obbligatorja u awtomatika biex tqassam lil dawk li b’mod ċar jeħtieġu l-protezzjoni internazzjonali fi ħdan l-UE meta jinqala' influss bil-massa</w:t>
      </w:r>
      <w:r>
        <w:rPr>
          <w:rStyle w:val="FootnoteReference"/>
          <w:rFonts w:ascii="Times New Roman" w:hAnsi="Times New Roman"/>
          <w:noProof/>
          <w:sz w:val="24"/>
        </w:rPr>
        <w:footnoteReference w:id="9"/>
      </w:r>
      <w:r>
        <w:rPr>
          <w:rFonts w:ascii="Times New Roman" w:hAnsi="Times New Roman"/>
          <w:noProof/>
          <w:sz w:val="24"/>
        </w:rPr>
        <w:t xml:space="preserve">. L-iskema se tqis l-isforzi li diġà saru fuq bażi volontarja mill-Istati Membri.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Fl-istennija tal-impli</w:t>
      </w:r>
      <w:r>
        <w:rPr>
          <w:rFonts w:ascii="Times New Roman" w:hAnsi="Times New Roman"/>
          <w:noProof/>
          <w:sz w:val="24"/>
        </w:rPr>
        <w:t>mentazzjoni ta’ dawn iż-żewġ miżuri, l-Istati Membri ser ikollhom juru solidarjetà u jirduppjaw l-isforzi tagħhom biex jgħinu dawk il-pajjiżi li huma l-iktar milquta.</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 xml:space="preserve">Approċċ komuni biex tingħata protezzjoni lil persuni spustati li jeħtieġu l-protezzjoni: </w:t>
      </w:r>
      <w:r>
        <w:rPr>
          <w:rFonts w:ascii="Times New Roman" w:hAnsi="Times New Roman"/>
          <w:i/>
          <w:noProof/>
          <w:sz w:val="24"/>
        </w:rPr>
        <w:t>Installazzjoni mill-ġdid</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Barra mir-rilokazzjoni ta’ dawk li diġà qegħdin fuq territorju tal-UE, l-UE għandha d-dmir li tikkontribwixxi s-sehem tagħha biex tgħin persuni spostati li b’mod ċar jeħtieġu l-protezzjoni internazzjonali. Din hija responsabbiltà k</w:t>
      </w:r>
      <w:r>
        <w:rPr>
          <w:rFonts w:ascii="Times New Roman" w:hAnsi="Times New Roman"/>
          <w:noProof/>
          <w:sz w:val="24"/>
        </w:rPr>
        <w:t>onġunta tal-komunità internazzjonali, bil-Kummissarju Għoli tan-Nazzjonijiet Uniti għar-Rifuġjati (UNHCR) mogħti l-kompitu li jidentifika meta n-nies ma jistgħux jibqgħu f’pajjiżhom stess b'mod sikur. Tali persuni vulnerabbli ma jistgħux jitħallew jużaw in</w:t>
      </w:r>
      <w:r>
        <w:rPr>
          <w:rFonts w:ascii="Times New Roman" w:hAnsi="Times New Roman"/>
          <w:noProof/>
          <w:sz w:val="24"/>
        </w:rPr>
        <w:t>-netwerks kriminali ta’ kuntrabandisti u traffikanti. Irid ikun hemm mezzi sikuri u legali biex jilħqu l-UE. L-UNHCR approva mira ta’ 20,000 post ta’ risistemazzjoni għall-UE għal kull sena sas-sena 2020.</w:t>
      </w:r>
      <w:r>
        <w:rPr>
          <w:rFonts w:ascii="Times New Roman" w:hAnsi="Times New Roman"/>
          <w:noProof/>
          <w:sz w:val="24"/>
          <w:vertAlign w:val="superscript"/>
        </w:rPr>
        <w:footnoteReference w:id="10"/>
      </w:r>
      <w:r>
        <w:rPr>
          <w:rFonts w:ascii="Times New Roman" w:hAnsi="Times New Roman"/>
          <w:noProof/>
          <w:sz w:val="24"/>
        </w:rPr>
        <w:t xml:space="preserve"> Xi wħud mill-Istati Membri diġà għamlu kontribut k</w:t>
      </w:r>
      <w:r>
        <w:rPr>
          <w:rFonts w:ascii="Times New Roman" w:hAnsi="Times New Roman"/>
          <w:noProof/>
          <w:sz w:val="24"/>
        </w:rPr>
        <w:t>bir għall-isforzi ta’ risistemazzjoni globali. Iżda l-oħrajn ma joffru xejn — u f’ħafna każijiet mhumiex qed jagħmlu kontribuzzjonijiet alternattivi fir-rigward ta’ riċeviment u aċċettazzjoni ta' talbiet għall-ażil jew biex jgħinu fil-finanzjament tal-isfo</w:t>
      </w:r>
      <w:r>
        <w:rPr>
          <w:rFonts w:ascii="Times New Roman" w:hAnsi="Times New Roman"/>
          <w:noProof/>
          <w:sz w:val="24"/>
        </w:rPr>
        <w:t xml:space="preserve">rzi tal-oħrajn.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Sal-aħħar ta’ Mejju, il-Kummissjoni se tagħmel Rakkomandazzjoni li tipproponi </w:t>
      </w:r>
      <w:r>
        <w:rPr>
          <w:rFonts w:ascii="Times New Roman" w:hAnsi="Times New Roman"/>
          <w:b/>
          <w:noProof/>
          <w:sz w:val="24"/>
        </w:rPr>
        <w:t>skema ta’ risistemazzjoni madwar l-UE biex toffri 20,000 post</w:t>
      </w:r>
      <w:r>
        <w:rPr>
          <w:rFonts w:ascii="Times New Roman" w:hAnsi="Times New Roman"/>
          <w:noProof/>
          <w:sz w:val="24"/>
        </w:rPr>
        <w:t>. Din l-iskema se tkopri l-Istati Membri kollha, bi kriterji ta' distribuzzjoni li jinsabu fl-Anness</w:t>
      </w:r>
      <w:r>
        <w:rPr>
          <w:rFonts w:ascii="Times New Roman" w:hAnsi="Times New Roman"/>
          <w:noProof/>
          <w:sz w:val="24"/>
        </w:rPr>
        <w:t>, bħall-PDG, id-daqs tal-popolazzjoni, ir-rata tal-qgħad u numri passati ta’ dawk li qed ifittxu l-ażil u ta' rifuġjati risistemati, u se tqis l-isforzi diġà magħmula fuq bażi volontarja mill-Istati Membri. Il-baġit tal-UE se jipprovdi finanzjament dedikat</w:t>
      </w:r>
      <w:r>
        <w:rPr>
          <w:rFonts w:ascii="Times New Roman" w:hAnsi="Times New Roman"/>
          <w:noProof/>
          <w:sz w:val="24"/>
        </w:rPr>
        <w:t xml:space="preserve"> ta' </w:t>
      </w:r>
      <w:r>
        <w:rPr>
          <w:rFonts w:ascii="Times New Roman" w:hAnsi="Times New Roman"/>
          <w:b/>
          <w:noProof/>
          <w:sz w:val="24"/>
        </w:rPr>
        <w:t>EUR 50 miljun żejda</w:t>
      </w:r>
      <w:r>
        <w:rPr>
          <w:rFonts w:ascii="Times New Roman" w:hAnsi="Times New Roman"/>
          <w:noProof/>
          <w:sz w:val="24"/>
        </w:rPr>
        <w:t xml:space="preserve"> fl-2015/2016 bħala sostenn għal din l-iskema. Jekk ikun meħtieġ, dan se jkun segwit bi proposta għal approċċ leġiżlattiv b’mod vinkolanti u obbligatorju lil hinn mill-2016</w:t>
      </w:r>
      <w:r>
        <w:rPr>
          <w:rStyle w:val="FootnoteReference"/>
          <w:rFonts w:ascii="Times New Roman" w:hAnsi="Times New Roman"/>
          <w:noProof/>
          <w:sz w:val="24"/>
        </w:rPr>
        <w:footnoteReference w:id="11"/>
      </w:r>
      <w:r>
        <w:rPr>
          <w:rFonts w:ascii="Times New Roman" w:hAnsi="Times New Roman"/>
          <w:noProof/>
          <w:sz w:val="24"/>
        </w:rPr>
        <w:t xml:space="preserve">. B’żieda ma’ dan l-isforz komuni, il-Kummissjoni tappella </w:t>
      </w:r>
      <w:r>
        <w:rPr>
          <w:rFonts w:ascii="Times New Roman" w:hAnsi="Times New Roman"/>
          <w:noProof/>
          <w:sz w:val="24"/>
        </w:rPr>
        <w:t xml:space="preserve">lill-Istati Membri biex jagħmlu użu mill-possibbiltajiet eżistenti offruti taħt il-Fond għall-Ażil, il-Migrazzjoni u l-Integrazzjoni u joffru aktar postijiet ta’ risistemazzjoni taħt il-programmazzjoni nazzjonali tagħhom, bil-finanzjament aġġustat malajr.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Barra minn hekk, l-Istati Membri għandhom jużaw b'mod sħiħ il-mezzi legali oħra disponibbli għal persuni fi bżonn ta’ protezzjoni, inklużi sponsorizzazzjonijiet privati/mhux governattivi u permessi umanitarji, u klawsoli tar-riunifikazzjoni tal-familja. </w:t>
      </w:r>
    </w:p>
    <w:p w:rsidR="00300A70" w:rsidRDefault="00E04097">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Il-ħidma bi sħubija ma’ pajjiżi terzi biex tiġi trattata l-migrazzjoni minn qabel</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L-UE tista’ wkoll tieħu azzjoni immedjata biex tintervjeni minn qabel f’reġjuni ta’ oriġini u ta’ tranżitu. Il-Kummissjoni u s-Servizz Ewropew għall-Azzjoni Esterna (SEAE) se</w:t>
      </w:r>
      <w:r>
        <w:rPr>
          <w:rFonts w:ascii="Times New Roman" w:hAnsi="Times New Roman"/>
          <w:noProof/>
          <w:sz w:val="24"/>
        </w:rPr>
        <w:t xml:space="preserve"> jaħdmu flimkien mal-pajjiżi sħab biex jistabbilixxu miżuri konkreti biex jiġu evitati vjaġġi perikolużi.</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L-ewwel nett, l-UE għandha żżid l-appoġġ tagħha lill-pajjiżi li jġorru l-piż tar-refuġjati li ġew spostati. Se jkunu stabbiliti jew approfonditi </w:t>
      </w:r>
      <w:r>
        <w:rPr>
          <w:rFonts w:ascii="Times New Roman" w:hAnsi="Times New Roman"/>
          <w:b/>
          <w:noProof/>
          <w:sz w:val="24"/>
        </w:rPr>
        <w:t>l-Pro</w:t>
      </w:r>
      <w:r>
        <w:rPr>
          <w:rFonts w:ascii="Times New Roman" w:hAnsi="Times New Roman"/>
          <w:b/>
          <w:noProof/>
          <w:sz w:val="24"/>
        </w:rPr>
        <w:t>grammi ta' Żvilupp u Protezzjoni Reġjonali</w:t>
      </w:r>
      <w:r>
        <w:rPr>
          <w:rFonts w:ascii="Times New Roman" w:hAnsi="Times New Roman"/>
          <w:noProof/>
          <w:sz w:val="24"/>
        </w:rPr>
        <w:t xml:space="preserve">, li jibdew fl-Afrika ta’ Fuq u l-Qarn tal-Afrika, kif ukoll billi nibnu fuq dak eżistenti fil-Lvant Nofsani. Fl-2015/2016 se jsiru disponibbli EUR 30 miljun u għandhom ikunu kkumplimentati minn kontribuzzjonijiet </w:t>
      </w:r>
      <w:r>
        <w:rPr>
          <w:rFonts w:ascii="Times New Roman" w:hAnsi="Times New Roman"/>
          <w:noProof/>
          <w:sz w:val="24"/>
        </w:rPr>
        <w:t xml:space="preserve">addizzjonali mill-Istati Membri.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It-tieni nett, </w:t>
      </w:r>
      <w:r>
        <w:rPr>
          <w:rFonts w:ascii="Times New Roman" w:hAnsi="Times New Roman"/>
          <w:b/>
          <w:noProof/>
          <w:sz w:val="24"/>
        </w:rPr>
        <w:t>se jiġi stabbilit ċentru pilota bi skopijiet multipli fin-Niġer</w:t>
      </w:r>
      <w:r>
        <w:rPr>
          <w:rFonts w:ascii="Times New Roman" w:hAnsi="Times New Roman"/>
          <w:noProof/>
          <w:sz w:val="24"/>
        </w:rPr>
        <w:t xml:space="preserve"> sal-aħħar tas-sena. Billi jaħdem mal-Organizzazzjoni Internazzjonali għall-Migrazzjoni (IOM), l-UNHCR u l-awtoritajiet tan-Niġer, iċ-Ċentru se </w:t>
      </w:r>
      <w:r>
        <w:rPr>
          <w:rFonts w:ascii="Times New Roman" w:hAnsi="Times New Roman"/>
          <w:noProof/>
          <w:sz w:val="24"/>
        </w:rPr>
        <w:t>jgħaqqad il-forniment ta’ informazzjoni, protezzjoni lokali u opportunitajiet ta’ risistemazzjoni għal dawk fil-bżonn. Ċentri bħal dawn f’pajjiżi ta’ oriġini jew ta’ tranżitu se jgħinu biex tingħata stampa realistika tas-suċċess probabbli tal-vjaġġi tal-mi</w:t>
      </w:r>
      <w:r>
        <w:rPr>
          <w:rFonts w:ascii="Times New Roman" w:hAnsi="Times New Roman"/>
          <w:noProof/>
          <w:sz w:val="24"/>
        </w:rPr>
        <w:t>granti, u joffru l-possibiltà ta’ modi għal ritorn volontarju assistit għall-migranti irregolari.</w:t>
      </w:r>
    </w:p>
    <w:p w:rsidR="00300A70" w:rsidRDefault="00E04097">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It-tielet nett, il-migrazzjoni se ssir komponent speċifiku tal-missjonijiet</w:t>
      </w:r>
      <w:r>
        <w:rPr>
          <w:rFonts w:ascii="Times New Roman" w:hAnsi="Times New Roman"/>
          <w:b/>
          <w:noProof/>
          <w:sz w:val="24"/>
        </w:rPr>
        <w:t xml:space="preserve"> </w:t>
      </w:r>
      <w:r>
        <w:rPr>
          <w:rFonts w:ascii="Times New Roman" w:hAnsi="Times New Roman"/>
          <w:noProof/>
          <w:sz w:val="24"/>
        </w:rPr>
        <w:t xml:space="preserve">attwali </w:t>
      </w:r>
      <w:r>
        <w:rPr>
          <w:rFonts w:ascii="Times New Roman" w:hAnsi="Times New Roman"/>
          <w:b/>
          <w:noProof/>
          <w:sz w:val="24"/>
        </w:rPr>
        <w:t>tal-Politika ta’ Sigurtà u ta' Difiża Komuni (PSDK)</w:t>
      </w:r>
      <w:r>
        <w:rPr>
          <w:rFonts w:ascii="Times New Roman" w:hAnsi="Times New Roman"/>
          <w:noProof/>
          <w:sz w:val="24"/>
        </w:rPr>
        <w:t xml:space="preserve"> li diġà nbdew f’pajjiż</w:t>
      </w:r>
      <w:r>
        <w:rPr>
          <w:rFonts w:ascii="Times New Roman" w:hAnsi="Times New Roman"/>
          <w:noProof/>
          <w:sz w:val="24"/>
        </w:rPr>
        <w:t>i bħan-Niġer u l-Mali, li ser ikunu msaħħa fuq il-ġestjoni tal-fruntieri. Fil-Ħarifa se jiġi organizzat summit iddedikat ma’ sħab ewlenin f’Malta, inkluża l-Unjoni Afrikana, biex jiġi żviluppat approċċ komuni mar-reġjun li jindirizza l-kawżi tal-migrazzjon</w:t>
      </w:r>
      <w:r>
        <w:rPr>
          <w:rFonts w:ascii="Times New Roman" w:hAnsi="Times New Roman"/>
          <w:noProof/>
          <w:sz w:val="24"/>
        </w:rPr>
        <w:t xml:space="preserve">i irregolari u l-protezzjoni ta’ persuni fil-bżonn, kif ukoll il-kuntrabandu u t-traffikar ta’ persuni.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Din il-ħidma ser tkun marbuta mill-qrib ma’ inizjattivi politiċi usa’ sabiex jippromwovu l-istabbiltà. Hija ta’ importanza partikolari l-azzjoni mmexxi</w:t>
      </w:r>
      <w:r>
        <w:rPr>
          <w:rFonts w:ascii="Times New Roman" w:hAnsi="Times New Roman"/>
          <w:noProof/>
          <w:sz w:val="24"/>
        </w:rPr>
        <w:t>ja mir-RGħ/VP biex tiġi indirizzata s-sitwazzjoni fil-</w:t>
      </w:r>
      <w:r>
        <w:rPr>
          <w:rFonts w:ascii="Times New Roman" w:hAnsi="Times New Roman"/>
          <w:b/>
          <w:noProof/>
          <w:sz w:val="24"/>
        </w:rPr>
        <w:t>Libja</w:t>
      </w:r>
      <w:r>
        <w:rPr>
          <w:rFonts w:ascii="Times New Roman" w:hAnsi="Times New Roman"/>
          <w:noProof/>
          <w:sz w:val="24"/>
        </w:rPr>
        <w:t>, b’appoġġ sħiħ għall-isforzi mmexxija min-NU biex jiġi mħeġġeġ il-proċess ta’ twaqqif ta’ Gvern ta’ Unità Nazzjonali. L-isforzi persistenti biex tiġi indirizzata l-kriżi fis-</w:t>
      </w:r>
      <w:r>
        <w:rPr>
          <w:rFonts w:ascii="Times New Roman" w:hAnsi="Times New Roman"/>
          <w:b/>
          <w:noProof/>
          <w:sz w:val="24"/>
        </w:rPr>
        <w:t>Sirja</w:t>
      </w:r>
      <w:r>
        <w:rPr>
          <w:rFonts w:ascii="Times New Roman" w:hAnsi="Times New Roman"/>
          <w:noProof/>
          <w:sz w:val="24"/>
        </w:rPr>
        <w:t xml:space="preserve"> ġew akkumpanjati</w:t>
      </w:r>
      <w:r>
        <w:rPr>
          <w:rFonts w:ascii="Times New Roman" w:hAnsi="Times New Roman"/>
          <w:noProof/>
          <w:sz w:val="24"/>
        </w:rPr>
        <w:t xml:space="preserve"> minn EUR 3.6 biljun f’għajnuna umanitarja, għall-istabbilizzazzjoni u għall-iżvilupp ġewwa s-Sirja u biex jgħinu lir-refuġjati Sirjani f’pajjiżi bħal-Libanu, il-Ġordan, it-Turkija u l-Iraq. Dawn huma biss xi wħud mill-aktar kriżijiet politiċi ovvji li se </w:t>
      </w:r>
      <w:r>
        <w:rPr>
          <w:rFonts w:ascii="Times New Roman" w:hAnsi="Times New Roman"/>
          <w:noProof/>
          <w:sz w:val="24"/>
        </w:rPr>
        <w:t xml:space="preserve">jkollhom impatt profond fuq il-migrazzjoni lejn l-UE fix-xhur li ġejjin. Ser tingħata wkoll attenzjoni mill-qrib lis-sħab tagħna mil-Lvant, il-Balkani tal-Punent u l-Asja billi nrawmu oqfsa ta’ kooperazzjoni eżistenti. </w:t>
      </w:r>
    </w:p>
    <w:p w:rsidR="00300A70" w:rsidRDefault="00300A70">
      <w:pPr>
        <w:spacing w:before="120" w:after="0" w:line="240" w:lineRule="auto"/>
        <w:contextualSpacing/>
        <w:jc w:val="both"/>
        <w:rPr>
          <w:rFonts w:ascii="Times New Roman" w:hAnsi="Times New Roman" w:cs="Times New Roman"/>
          <w:noProof/>
          <w:sz w:val="24"/>
          <w:szCs w:val="24"/>
        </w:rPr>
      </w:pPr>
    </w:p>
    <w:p w:rsidR="00300A70" w:rsidRDefault="00E04097">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 xml:space="preserve">L-użu ta’ għodod tal-UE biex jiġu </w:t>
      </w:r>
      <w:r>
        <w:rPr>
          <w:rFonts w:ascii="Times New Roman" w:hAnsi="Times New Roman"/>
          <w:i/>
          <w:noProof/>
          <w:sz w:val="24"/>
        </w:rPr>
        <w:t>megħjuna l-Istati Membri li huma l-iktar milquta</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Se jsiru aktar sforzi biex tiġi trattata l-isfida immedjata li jħabbtu wiċċhom magħha l-Istati Membri li huma l-aktar milquta minn wasliet ta’ migranti.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L-ewwel nett, il-Kummissjoni se twaqqaf approċċ ġdid </w:t>
      </w:r>
      <w:r>
        <w:rPr>
          <w:rFonts w:ascii="Times New Roman" w:hAnsi="Times New Roman"/>
          <w:noProof/>
          <w:sz w:val="24"/>
        </w:rPr>
        <w:t xml:space="preserve">ta’ </w:t>
      </w:r>
      <w:r>
        <w:rPr>
          <w:rFonts w:ascii="Times New Roman" w:hAnsi="Times New Roman"/>
          <w:b/>
          <w:noProof/>
          <w:sz w:val="24"/>
        </w:rPr>
        <w:t>"Hotspot"</w:t>
      </w:r>
      <w:r>
        <w:rPr>
          <w:rFonts w:ascii="Times New Roman" w:hAnsi="Times New Roman"/>
          <w:noProof/>
          <w:sz w:val="24"/>
        </w:rPr>
        <w:t xml:space="preserve">, fejn l-Uffiċċju Ewropew ta’ Appoġġ fil-qasam tal-Ażil, il-Frontex u l-Europol ser jaħdmu fuq il-post ma’ Stati Membri li huma l-iktar milquta biex malajr jidentifikaw, jirreġistraw u jieħdu l-marki tas-swaba’ tal-migranti li jkunu deħlin. </w:t>
      </w:r>
      <w:r>
        <w:rPr>
          <w:rFonts w:ascii="Times New Roman" w:hAnsi="Times New Roman"/>
          <w:noProof/>
          <w:sz w:val="24"/>
        </w:rPr>
        <w:t xml:space="preserve">Il-ħidma ta' aġenzija se tkun komplementari għal tal-oħra. Dawk li jitolbu l-ażil ser ikunu immedjatament mgħoddija fi proċedura tal-ażil, fejn timijiet ta' appoġġ tal-EASO se jgħinu biex il-każijiet ta' ażil jiġu pproċessati malajr kemm jista’ jkun. Għal </w:t>
      </w:r>
      <w:r>
        <w:rPr>
          <w:rFonts w:ascii="Times New Roman" w:hAnsi="Times New Roman"/>
          <w:noProof/>
          <w:sz w:val="24"/>
        </w:rPr>
        <w:t>dawk li m’għandhomx bżonn ta’ protezzjoni, il-Frontex se tgħin lill-Istati Membri fil-koordinazzjoni tar-ritorn ta’ migranti irregolari. Il-Europol u l-Eurojust se jgħinu lill-Istat Membru ospitanti b’investigazzjonijiet biex jiġu żarmati n-netwerks ta’ ku</w:t>
      </w:r>
      <w:r>
        <w:rPr>
          <w:rFonts w:ascii="Times New Roman" w:hAnsi="Times New Roman"/>
          <w:noProof/>
          <w:sz w:val="24"/>
        </w:rPr>
        <w:t>ntrabandu u traffikar.</w:t>
      </w:r>
    </w:p>
    <w:p w:rsidR="00300A70" w:rsidRDefault="00E04097">
      <w:pPr>
        <w:spacing w:before="120" w:after="0" w:line="240" w:lineRule="auto"/>
        <w:jc w:val="both"/>
        <w:rPr>
          <w:rFonts w:ascii="Times New Roman" w:hAnsi="Times New Roman"/>
          <w:noProof/>
          <w:sz w:val="24"/>
          <w:szCs w:val="24"/>
        </w:rPr>
      </w:pPr>
      <w:r>
        <w:rPr>
          <w:rFonts w:ascii="Times New Roman" w:hAnsi="Times New Roman"/>
          <w:noProof/>
          <w:sz w:val="24"/>
        </w:rPr>
        <w:t>It-tieni nett, il-Kummissjoni se timmobilizza EUR 60 miljun addizzjonali f’</w:t>
      </w:r>
      <w:r>
        <w:rPr>
          <w:rFonts w:ascii="Times New Roman" w:hAnsi="Times New Roman"/>
          <w:b/>
          <w:noProof/>
          <w:sz w:val="24"/>
        </w:rPr>
        <w:t>finanzjament ta’ emerġenza</w:t>
      </w:r>
      <w:r>
        <w:rPr>
          <w:rFonts w:ascii="Times New Roman" w:hAnsi="Times New Roman"/>
          <w:noProof/>
          <w:sz w:val="24"/>
        </w:rPr>
        <w:t>, inkluż biex iservu ta' sostenn għas-sistemi ta' akkoljenza u tal-kura tas-saħħa lill-migranti fi Stati Membri taħt pressjoni parti</w:t>
      </w:r>
      <w:r>
        <w:rPr>
          <w:rFonts w:ascii="Times New Roman" w:hAnsi="Times New Roman"/>
          <w:noProof/>
          <w:sz w:val="24"/>
        </w:rPr>
        <w:t>kolari</w:t>
      </w:r>
      <w:r>
        <w:rPr>
          <w:noProof/>
          <w:vertAlign w:val="superscript"/>
        </w:rPr>
        <w:footnoteReference w:id="12"/>
      </w:r>
      <w:r>
        <w:rPr>
          <w:rFonts w:ascii="Times New Roman" w:hAnsi="Times New Roman"/>
          <w:noProof/>
          <w:sz w:val="24"/>
        </w:rPr>
        <w:t xml:space="preserve">. Bħalissa għaddejja evalwazzjoni tal-ħtiġijiet. </w:t>
      </w:r>
    </w:p>
    <w:p w:rsidR="00300A70" w:rsidRDefault="00300A70">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300A70">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A70" w:rsidRDefault="00E04097">
            <w:pPr>
              <w:jc w:val="center"/>
              <w:rPr>
                <w:rFonts w:ascii="Times New Roman" w:hAnsi="Times New Roman" w:cs="Times New Roman"/>
                <w:b/>
                <w:i/>
                <w:noProof/>
                <w:sz w:val="20"/>
                <w:szCs w:val="20"/>
              </w:rPr>
            </w:pPr>
            <w:r>
              <w:rPr>
                <w:rFonts w:ascii="Times New Roman" w:hAnsi="Times New Roman"/>
                <w:b/>
                <w:i/>
                <w:noProof/>
                <w:sz w:val="20"/>
              </w:rPr>
              <w:t>Azzjonijiet Ewlenija</w:t>
            </w:r>
          </w:p>
        </w:tc>
        <w:tc>
          <w:tcPr>
            <w:tcW w:w="7595" w:type="dxa"/>
            <w:tcBorders>
              <w:top w:val="single" w:sz="4" w:space="0" w:color="auto"/>
              <w:left w:val="single" w:sz="4" w:space="0" w:color="auto"/>
              <w:bottom w:val="single" w:sz="4" w:space="0" w:color="auto"/>
              <w:right w:val="single" w:sz="4" w:space="0" w:color="auto"/>
            </w:tcBorders>
          </w:tcPr>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Pakkett ta’ finanzjament li jittrippla l-allokazzjoni għal Triton u Poseidon fl-2015-16 u biex jiffinanzja skema ta’ risistemazzjoni madwar l-UE.</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Appoġġ immedjat għal missjoni p</w:t>
            </w:r>
            <w:r>
              <w:rPr>
                <w:rFonts w:ascii="Times New Roman" w:hAnsi="Times New Roman"/>
                <w:noProof/>
                <w:sz w:val="20"/>
              </w:rPr>
              <w:t>ossibbli tal-PSDK dwar il-kuntrabandu tal-migranti.</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Proposta leġiżlattiva biex tiġi attivata skema ta' emerġenza taħt l-Artikolu 78(3) TFUE sal-aħħar ta' Mejju, fuq il-bażi tal-prinċipju ta' distribuzzjoni inkluż fl-Anness.</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Proposta għal sistema komuni per</w:t>
            </w:r>
            <w:r>
              <w:rPr>
                <w:rFonts w:ascii="Times New Roman" w:hAnsi="Times New Roman"/>
                <w:noProof/>
                <w:sz w:val="20"/>
              </w:rPr>
              <w:t>manenti tal-UE għar-rilokazzjoni f’sitwazzjonijiet ta’ emerġenza sal-aħħar tal-2015.</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Rakkomandazzjoni għal skema ta’ risistemazzjoni tal-UE sal-aħħar ta’ Mejju segwita, jekk meħtieġ, minn proposta għal approċċ aktar permanenti lil hinn mill-2016.</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EUR 30 mi</w:t>
            </w:r>
            <w:r>
              <w:rPr>
                <w:rFonts w:ascii="Times New Roman" w:hAnsi="Times New Roman"/>
                <w:noProof/>
                <w:sz w:val="20"/>
              </w:rPr>
              <w:t>ljun għal Programmi ta’ Żvilupp u Protezzjoni Reġjonali.</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Ċ</w:t>
            </w:r>
            <w:r>
              <w:rPr>
                <w:rFonts w:ascii="Times New Roman" w:hAnsi="Times New Roman"/>
                <w:noProof/>
                <w:sz w:val="20"/>
              </w:rPr>
              <w:t>entru pilota bi skopijiet multipli stabbilit fin-Niġer sal-aħħar tal-2015.</w:t>
            </w:r>
          </w:p>
        </w:tc>
      </w:tr>
    </w:tbl>
    <w:p w:rsidR="00300A70" w:rsidRDefault="00300A70">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300A70" w:rsidRDefault="00E04097">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Erba' pilastri biex il-migrazzjoni tiġi ġestita aħjar</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Il-kriżi tal-migrazzjoni fil-Mediterran tefgħet l-enfasi fuq </w:t>
      </w:r>
      <w:r>
        <w:rPr>
          <w:rFonts w:ascii="Times New Roman" w:eastAsiaTheme="minorHAnsi" w:hAnsi="Times New Roman"/>
          <w:noProof/>
          <w:sz w:val="24"/>
        </w:rPr>
        <w:t>ħtiġiet immedjati. Iżda żvelat ukoll ħafna dwar il-limitazzjonijiet strutturali tal-politika tal-migrazzjoni tal-UE u l-għodod għad-dispożizzjoni tagħha.  Din hija opportunità għall-UE biex taffaċċja l-ħtieġa li jinstab il-bilanċ it-tajjeb fil-politika tag</w:t>
      </w:r>
      <w:r>
        <w:rPr>
          <w:rFonts w:ascii="Times New Roman" w:eastAsiaTheme="minorHAnsi" w:hAnsi="Times New Roman"/>
          <w:noProof/>
          <w:sz w:val="24"/>
        </w:rPr>
        <w:t>ħha dwar il-migrazzjoni u tibgħat messaġġ ċar liċ-ċittadini li l-migrazzjoni tista’ tkun ġestita aħjar b’mod kollettiv mill-atturi kollha tal-UE.</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Kif spjegat mill-President Juncker fil-Linji Gwida Politiċi tiegħu, ġlieda b’saħħitha kontra l-migrazzjoni irr</w:t>
      </w:r>
      <w:r>
        <w:rPr>
          <w:rFonts w:ascii="Times New Roman" w:eastAsiaTheme="minorHAnsi" w:hAnsi="Times New Roman"/>
          <w:noProof/>
          <w:sz w:val="24"/>
        </w:rPr>
        <w:t>egolari, it-traffikanti u l-kuntrabandisti, u s-sigurtà fil-fruntieri esterni tal-Ewropa jridu jiġu mqabbla ma’ politika komuni b’saħħitha dwar l-ażil kif ukoll ma' politika Ewropea ġdida dwar il-migrazzjoni legali. B’mod ċar, din teħtieġ aktar koerenza be</w:t>
      </w:r>
      <w:r>
        <w:rPr>
          <w:rFonts w:ascii="Times New Roman" w:eastAsiaTheme="minorHAnsi" w:hAnsi="Times New Roman"/>
          <w:noProof/>
          <w:sz w:val="24"/>
        </w:rPr>
        <w:t>jn setturi ta’ politika differenti, bħall-kooperazzjoni għall-iżvilupp, il-kummerċ, l-impjieg, u l-affarijiet barranin u interni.</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Qafas ċar u implimentat sew għal mezzi legali għad-dħul fl-UE (permezz ta’ sistema effiċjenti tal-ażil kif ukoll tal-viża) se </w:t>
      </w:r>
      <w:r>
        <w:rPr>
          <w:rFonts w:ascii="Times New Roman" w:eastAsiaTheme="minorHAnsi" w:hAnsi="Times New Roman"/>
          <w:noProof/>
          <w:sz w:val="24"/>
        </w:rPr>
        <w:t>jnaqqas fatturi ewlenin lejn il-permanenza u d-dħul irregolari, li jikkontribwixxu għat-tisħiħ tas-sigurtà tal-fruntieri Ewropej kif ukoll għas-sigurtà tal-flussi migratorji.</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L-UE trid tkompli toffri protezzjoni lil dawk fil-bżonn. Hija trid tirrikonoxxi w</w:t>
      </w:r>
      <w:r>
        <w:rPr>
          <w:rFonts w:ascii="Times New Roman" w:eastAsiaTheme="minorHAnsi" w:hAnsi="Times New Roman"/>
          <w:noProof/>
          <w:sz w:val="24"/>
        </w:rPr>
        <w:t>koll li l-ħiliet meħtieġa għal ekonomija vibranti ma jistgħux dejjem jinstabu fi ħdan is-suq tax-xogħol tal-UE mill-ewwel u jafu jieħdu ż-żmien biex jiżviluppaw. Il-migranti li jkunu ġew ammessi legalment mill-Istati Membri m’għandhomx jaffaċċjaw nuqqas ta</w:t>
      </w:r>
      <w:r>
        <w:rPr>
          <w:rFonts w:ascii="Times New Roman" w:eastAsiaTheme="minorHAnsi" w:hAnsi="Times New Roman"/>
          <w:noProof/>
          <w:sz w:val="24"/>
        </w:rPr>
        <w:t>' rieda u tfixkil — għandhom jingħataw kull assistenza biex jintegraw fil-komunitajiet il-ġodda tagħhom. Dan għandu jitqies bħala ċentrali għall-valuri li l-Ewropej għandhom ikunu kburija bihom u li għandhom jipproġettaw lis-sħab madwar id-dinja.</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Iżda bl-i</w:t>
      </w:r>
      <w:r>
        <w:rPr>
          <w:rFonts w:ascii="Times New Roman" w:eastAsiaTheme="minorHAnsi" w:hAnsi="Times New Roman"/>
          <w:noProof/>
          <w:sz w:val="24"/>
        </w:rPr>
        <w:t>stess mod, l-UE għandha bżonn tislet il-konsegwenzi meta l-migranti ma jissodisfawx il-kriterji għal residenza. Dawk li jitolbu l-ażil mingħajr suċċess li jippruvaw jevitaw li jerġgħu lura, dawk li jaqbżu t-tul tal-perjodu intitolati għalih bil-viża, u mig</w:t>
      </w:r>
      <w:r>
        <w:rPr>
          <w:rFonts w:ascii="Times New Roman" w:eastAsiaTheme="minorHAnsi" w:hAnsi="Times New Roman"/>
          <w:noProof/>
          <w:sz w:val="24"/>
        </w:rPr>
        <w:t>ranti li jgħixu fi stat permanenti ta’ irregolarità jikkostitwixxu problema serja. Dan ikisser il-fiduċja fis-sistema. Dan joffri argumenti b’saħħithom għal dawk li qed jippruvaw jikkritikaw jew jistigmatizzaw il-migrazzjoni. Dan jagħmilha iktar diffiċli b</w:t>
      </w:r>
      <w:r>
        <w:rPr>
          <w:rFonts w:ascii="Times New Roman" w:eastAsiaTheme="minorHAnsi" w:hAnsi="Times New Roman"/>
          <w:noProof/>
          <w:sz w:val="24"/>
        </w:rPr>
        <w:t>iex dawk il-migranti li jgħixu fl-UE bħala dritt jintegraw.</w:t>
      </w:r>
    </w:p>
    <w:p w:rsidR="00300A70" w:rsidRDefault="00E04097">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L-UE trid tkompli tinvolvi ruħha lil hinn mill-fruntieri tagħha u ssaħħaħ il-kooperazzjoni mas-sħab globali tagħha, tindirizza l-kawżi prinċipali, u tippromwovi l-modalitajiet tal-migrazzjoni lega</w:t>
      </w:r>
      <w:r>
        <w:rPr>
          <w:rFonts w:ascii="Times New Roman" w:eastAsiaTheme="minorHAnsi" w:hAnsi="Times New Roman"/>
          <w:noProof/>
          <w:sz w:val="24"/>
        </w:rPr>
        <w:t>li li jrawmu tkabbir u żvilupp ċirkulari fil-pajjiżi ta’ oriġini u ta’ destinazzjoni. Din ir-riflessjoni ser tkun indirizzata b’mod aktar wiesa’ mir-Rieżami Strateġiku mibdi mir-RGħ/VP biex jevalwa l-impatt tal-bidliet fl-ambjent globali, kif ukoll bir-Rie</w:t>
      </w:r>
      <w:r>
        <w:rPr>
          <w:rFonts w:ascii="Times New Roman" w:eastAsiaTheme="minorHAnsi" w:hAnsi="Times New Roman"/>
          <w:noProof/>
          <w:sz w:val="24"/>
        </w:rPr>
        <w:t>żami li jmiss tal-Politika Ewropea tal-Viċinat li se jimmira wkoll li jiġu stabbiliti proposti fi sħubijiet mill-qrib mal-ġirien tagħna għal kooperazzjoni aktar iffokata fuq kwistjonijiet ta’ interess komuni, inkluża l-migrazzjoni.</w:t>
      </w:r>
    </w:p>
    <w:p w:rsidR="00300A70" w:rsidRDefault="00E0409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Din l-Aġenda tistabbilix</w:t>
      </w:r>
      <w:r>
        <w:rPr>
          <w:rFonts w:ascii="Times New Roman" w:eastAsiaTheme="minorHAnsi" w:hAnsi="Times New Roman"/>
          <w:noProof/>
          <w:sz w:val="24"/>
        </w:rPr>
        <w:t>xi erba’ livelli ta’ azzjoni għal politika tal-UE dwar il-migrazzjoni li hija ġusta, b’saħħitha u realistika. Meta jiġu implimentati, dawn ser jipprovdu lill-UE b’politika ta’ migrazzjoni li tirrispetta d-dritt għall-ażil, tirrispondi għall-isfida umanitar</w:t>
      </w:r>
      <w:r>
        <w:rPr>
          <w:rFonts w:ascii="Times New Roman" w:eastAsiaTheme="minorHAnsi" w:hAnsi="Times New Roman"/>
          <w:noProof/>
          <w:sz w:val="24"/>
        </w:rPr>
        <w:t>ja, tipprovdi qafas Ewropew ċar għal politika komuni dwar il-migrazzjoni, u li hija dewwiema</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w:t>
      </w:r>
    </w:p>
    <w:p w:rsidR="00300A70" w:rsidRDefault="00E04097">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It-tnaqqis tal-inċentivi għall-migrazzjoni irregolari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Hemm ħafna motivazzjonijiet differenti wara l-migrazzjoni irregolari. Iżda ta' spiss, tispiċċa f’di</w:t>
      </w:r>
      <w:r>
        <w:rPr>
          <w:rFonts w:ascii="Times New Roman" w:hAnsi="Times New Roman"/>
          <w:noProof/>
          <w:sz w:val="24"/>
        </w:rPr>
        <w:t>żappunt kbir. Il-vjaġġ hu spiss ħafna aktar perikoluż milli mistenni, ħafna drabi jkun f’idejn in-netwerks kriminali li jpoġġu l-profitt qabel l-ħajja umana. Dawk li ma jgħaddux mit-test tal-ażil jaffaċċjaw il-prospett ta’ ritorn. Dawk li jgħixu ħajja klan</w:t>
      </w:r>
      <w:r>
        <w:rPr>
          <w:rFonts w:ascii="Times New Roman" w:hAnsi="Times New Roman"/>
          <w:noProof/>
          <w:sz w:val="24"/>
        </w:rPr>
        <w:t>destina fl-Ewropa għandhom eżistenza prekarja u jistgħu faċilment jisfaw vittmi ta’ sfruttament. Huwa fl-interess ta’ kulħadd li jiġu indirizzati l-kawżi ewlenin li jwasslu biex in-nies ifittxu ħajja xi mkien ieħor, li jiġu mrażżna l-kuntrabandisti u t-tra</w:t>
      </w:r>
      <w:r>
        <w:rPr>
          <w:rFonts w:ascii="Times New Roman" w:hAnsi="Times New Roman"/>
          <w:noProof/>
          <w:sz w:val="24"/>
        </w:rPr>
        <w:t>ffikanti, u li jiġu pprovduti ċarezza u prevedibbiltà fil-politiki ta’ ritorn.</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L-indirizzar tal-kawżi ewlenin ta’ spustament irregolari u sfurzat f’pajjiżi terzi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Ħafna mill-kawżi ewlenin tal-migrazzjoni għandhom għeruq profondi fi kwistjonijiet globali li </w:t>
      </w:r>
      <w:r>
        <w:rPr>
          <w:rFonts w:ascii="Times New Roman" w:hAnsi="Times New Roman"/>
          <w:noProof/>
          <w:sz w:val="24"/>
        </w:rPr>
        <w:t>l-UE ilha tipprova tindirizza għal ħafna snin. Il-migrazzjoni għandha tiġi rikonoxxuta bħala wieħed mill-ħafna fatturi li juru li politika esterna tal-UE attiva u impenjata hija ta’ importanza diretta għaċ-ċittadini tal-UE. Il-gwerer ċivili, il-persekuzzjo</w:t>
      </w:r>
      <w:r>
        <w:rPr>
          <w:rFonts w:ascii="Times New Roman" w:hAnsi="Times New Roman"/>
          <w:noProof/>
          <w:sz w:val="24"/>
        </w:rPr>
        <w:t xml:space="preserve">nijiet u t-tibdil fil-klima kollha jikkontribwixxu direttament u immedjatament lejn il-migrazzjoni, b'hekk il-prevenzjoni u l-mitigazzjoni ta’ dawn it-theddidiet huma ta’ importanza primarja għad-dibattitu dwar il-migrazzjoni.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Is-sħubija ma’ pajjiżi ta’ </w:t>
      </w:r>
      <w:r>
        <w:rPr>
          <w:rFonts w:ascii="Times New Roman" w:hAnsi="Times New Roman"/>
          <w:noProof/>
          <w:sz w:val="24"/>
        </w:rPr>
        <w:t>oriġini u ta’ tranżitu hija kruċjali u hemm serje ta’ oqfsa ta’ kooperazzjoni bilaterali u reġjonali stabbiliti dwar il-migrazzjoni fis-seħħ</w:t>
      </w:r>
      <w:r>
        <w:rPr>
          <w:rStyle w:val="FootnoteReference"/>
          <w:rFonts w:ascii="Times New Roman" w:hAnsi="Times New Roman"/>
          <w:noProof/>
          <w:sz w:val="24"/>
        </w:rPr>
        <w:footnoteReference w:id="14"/>
      </w:r>
      <w:r>
        <w:rPr>
          <w:rFonts w:ascii="Times New Roman" w:hAnsi="Times New Roman"/>
          <w:noProof/>
          <w:sz w:val="24"/>
        </w:rPr>
        <w:t xml:space="preserve">. Dawn ser jiġu msaħħa permezz tat-tisħiħ tar-rwol dwar il-migrazzjoni ta’ </w:t>
      </w:r>
      <w:r>
        <w:rPr>
          <w:rFonts w:ascii="Times New Roman" w:hAnsi="Times New Roman"/>
          <w:b/>
          <w:noProof/>
          <w:sz w:val="24"/>
        </w:rPr>
        <w:t>Delegazzjonijiet tal-UE</w:t>
      </w:r>
      <w:r>
        <w:rPr>
          <w:rFonts w:ascii="Times New Roman" w:hAnsi="Times New Roman"/>
          <w:noProof/>
          <w:sz w:val="24"/>
        </w:rPr>
        <w:t xml:space="preserve"> f’pajjiżi ewleni</w:t>
      </w:r>
      <w:r>
        <w:rPr>
          <w:rFonts w:ascii="Times New Roman" w:hAnsi="Times New Roman"/>
          <w:noProof/>
          <w:sz w:val="24"/>
        </w:rPr>
        <w:t>n. B’mod partikolari d-delegazzjonijiet se jagħtu rapport dwar l-iżviluppi kbar relatati mal-migrazzjoni fil-pajjiżi ospitanti, jikkontribwixxu fl-integrazzjoni tal-kwistjonijiet ta’ migrazzjoni fil-kooperazzjoni għall-iżvilupp u jestendu l-ħidma tagħhom m</w:t>
      </w:r>
      <w:r>
        <w:rPr>
          <w:rFonts w:ascii="Times New Roman" w:hAnsi="Times New Roman"/>
          <w:noProof/>
          <w:sz w:val="24"/>
        </w:rPr>
        <w:t xml:space="preserve">a' pajjiżi ospitanti biex tiġi żgurata azzjoni kkoordinata. </w:t>
      </w:r>
      <w:r>
        <w:rPr>
          <w:rFonts w:ascii="Times New Roman" w:hAnsi="Times New Roman"/>
          <w:b/>
          <w:noProof/>
          <w:sz w:val="24"/>
        </w:rPr>
        <w:t>L-uffiċjali ta' kollegament dwar il-migrazzjoni Ewropej</w:t>
      </w:r>
      <w:r>
        <w:rPr>
          <w:rFonts w:ascii="Times New Roman" w:hAnsi="Times New Roman"/>
          <w:noProof/>
          <w:sz w:val="24"/>
        </w:rPr>
        <w:t xml:space="preserve"> se jiġu sekondati f'Delegazzjonijiet tal-UE f’pajjiżi terzi ewlenin, f’kooperazzjoni mill-qrib man-Netwerk bejn l-Uffiċjali ta’ Komunikazzjoni dwar l-Immigrazzjoni</w:t>
      </w:r>
      <w:r>
        <w:rPr>
          <w:rStyle w:val="FootnoteReference"/>
          <w:rFonts w:ascii="Times New Roman" w:hAnsi="Times New Roman"/>
          <w:noProof/>
          <w:sz w:val="24"/>
        </w:rPr>
        <w:footnoteReference w:id="15"/>
      </w:r>
      <w:r>
        <w:rPr>
          <w:rFonts w:ascii="Times New Roman" w:hAnsi="Times New Roman"/>
          <w:noProof/>
          <w:sz w:val="24"/>
        </w:rPr>
        <w:t xml:space="preserve"> u mal-awtoritajiet lokali u s-soċjetà ċivili, bil-għan li jiġbru, jaqsmu u janalizzaw l-in</w:t>
      </w:r>
      <w:r>
        <w:rPr>
          <w:rFonts w:ascii="Times New Roman" w:hAnsi="Times New Roman"/>
          <w:noProof/>
          <w:sz w:val="24"/>
        </w:rPr>
        <w:t xml:space="preserve">formazzjoni.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Eżempju tajjeb ta’ fejn hemm x'jiġi ggwadanjat minn żieda fil-kooperazzjoni hija t-</w:t>
      </w:r>
      <w:r>
        <w:rPr>
          <w:rFonts w:ascii="Times New Roman" w:hAnsi="Times New Roman"/>
          <w:b/>
          <w:noProof/>
          <w:sz w:val="24"/>
        </w:rPr>
        <w:t>Turkija</w:t>
      </w:r>
      <w:r>
        <w:rPr>
          <w:rFonts w:ascii="Times New Roman" w:hAnsi="Times New Roman"/>
          <w:noProof/>
          <w:sz w:val="24"/>
        </w:rPr>
        <w:t>. Mill-bidu tal-2014, it-Turkija rċeviet EUR 79 miljun biex jikkontribwixxu għall-isforzi tagħha biex tindirizza l-pressjoni fuq is-sistema ta’ ġestjon</w:t>
      </w:r>
      <w:r>
        <w:rPr>
          <w:rFonts w:ascii="Times New Roman" w:hAnsi="Times New Roman"/>
          <w:noProof/>
          <w:sz w:val="24"/>
        </w:rPr>
        <w:t>i tagħha tar-rifuġjati u biex jgħinu l-prevenzjoni ta’ vjaġġi perikolużi fil-Mediterran tal-Lvant. L-issekondar ta’ uffiċjal ta’ kollegament tal-Frontex dedikat fit-Turkija se jieħu l-kooperazzjoni pass 'il quddiem.</w:t>
      </w:r>
    </w:p>
    <w:p w:rsidR="00300A70" w:rsidRDefault="00E04097">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B’allokazzjoni tal-baġit ta’ EUR 96.8 bi</w:t>
      </w:r>
      <w:r>
        <w:rPr>
          <w:rFonts w:ascii="Times New Roman" w:hAnsi="Times New Roman"/>
          <w:noProof/>
          <w:sz w:val="24"/>
        </w:rPr>
        <w:t xml:space="preserve">ljun għall-perjodu 2014-2020, </w:t>
      </w:r>
      <w:r>
        <w:rPr>
          <w:rFonts w:ascii="Times New Roman" w:hAnsi="Times New Roman"/>
          <w:b/>
          <w:noProof/>
          <w:sz w:val="24"/>
        </w:rPr>
        <w:t>l-assistenza ta' kooperazzjoni esterna tal-UE,</w:t>
      </w:r>
      <w:r>
        <w:rPr>
          <w:rFonts w:ascii="Times New Roman" w:hAnsi="Times New Roman"/>
          <w:noProof/>
          <w:sz w:val="24"/>
        </w:rPr>
        <w:t xml:space="preserve"> u b’mod partikolari l-kooperazzjoni għall-iżvilupp, għandha rwol importanti fl-indirizzar ta’ kwistjonijiet globali bħalma huma l-faqar, in-nuqqas ta’ sigurtà, l-inugwaljanza u l-</w:t>
      </w:r>
      <w:r>
        <w:rPr>
          <w:rFonts w:ascii="Times New Roman" w:hAnsi="Times New Roman"/>
          <w:noProof/>
          <w:sz w:val="24"/>
        </w:rPr>
        <w:t>qgħad li huma fost il-kawżi fundamentali tal-migrazzjoni irregolari u furzata. Dan jinkludi appoġġ fir-reġjuni tal-Afrika, l-Asja u l-Ewropa tal-Lvant minn fejn joriġinaw il-biċċa l-kbira tal-migranti li jaslu fl-Ewropa.</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Apparti li tindirizza kawżi ewlenin</w:t>
      </w:r>
      <w:r>
        <w:rPr>
          <w:rFonts w:ascii="Times New Roman" w:hAnsi="Times New Roman"/>
          <w:noProof/>
          <w:sz w:val="24"/>
        </w:rPr>
        <w:t xml:space="preserve"> fuq terminu twil, l-UE tgħin biex jittaffa l-impatt tal-kriżijiet f’livell lokali. Dan jeħtieġ impenn sostnut: iktar minn 70% tar-rifuġjati u l-Persuni Spostati Internament (IDPs) tad-dinja huma maqbuda f’sitwazzjonijiet ta’ spostament għal ħames snin jew</w:t>
      </w:r>
      <w:r>
        <w:rPr>
          <w:rFonts w:ascii="Times New Roman" w:hAnsi="Times New Roman"/>
          <w:noProof/>
          <w:sz w:val="24"/>
        </w:rPr>
        <w:t xml:space="preserve"> aktar. L-UE hija donatriċi internazzjonali ewlenija għar-rifuġjati b’EUR 200 miljun fi proġetti attwali minn assistenza għall-iżvilupp u aktar minn EUR 1 biljun ta’ assistenza umanitarja ddedikati għal rifuġjati u IDPs mill-bidu tal-2014. Bħalissa għaddej</w:t>
      </w:r>
      <w:r>
        <w:rPr>
          <w:rFonts w:ascii="Times New Roman" w:hAnsi="Times New Roman"/>
          <w:noProof/>
          <w:sz w:val="24"/>
        </w:rPr>
        <w:t xml:space="preserve">ja riflessjoni strateġika biex jiġi massimizzat l-impatt ta’ dan l-appoġġ, bir-riżultati mistennija li jidhru fl-2016. </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Il-ġlieda kontra l-kuntrabandisti u t-traffikanti</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L-azzjoni biex jiġu miġġielda n-netwerks kriminali ta’ kuntrabandisti u traffikanti hi</w:t>
      </w:r>
      <w:r>
        <w:rPr>
          <w:rFonts w:ascii="Times New Roman" w:hAnsi="Times New Roman"/>
          <w:noProof/>
          <w:sz w:val="24"/>
        </w:rPr>
        <w:t>ja l-ewwel u qabel kollox mod biex jiġi impedit l-isfruttament tal-migranti minn netwerks kriminali</w:t>
      </w:r>
      <w:r>
        <w:rPr>
          <w:rStyle w:val="FootnoteReference"/>
          <w:rFonts w:ascii="Times New Roman" w:hAnsi="Times New Roman"/>
          <w:noProof/>
          <w:sz w:val="24"/>
        </w:rPr>
        <w:footnoteReference w:id="16"/>
      </w:r>
      <w:r>
        <w:rPr>
          <w:rFonts w:ascii="Times New Roman" w:hAnsi="Times New Roman"/>
          <w:noProof/>
          <w:sz w:val="24"/>
        </w:rPr>
        <w:t>. Dan jaġixxi wkoll bħala diżinċentiv għall-migrazzjoni irregolari. L-għan irid ikun li jiġu trasformati n-netwerks ta’ kuntrabandu minn operazzjonijiet ta'</w:t>
      </w:r>
      <w:r>
        <w:rPr>
          <w:rFonts w:ascii="Times New Roman" w:hAnsi="Times New Roman"/>
          <w:noProof/>
          <w:sz w:val="24"/>
        </w:rPr>
        <w:t xml:space="preserve"> "riskju baxx, qligħ għoli" għall-kriminali għal dawk b'"riskju għoli, qligħ baxx". Se jitressaq pjan ta’ azzjoni mill-Kummissjoni sal-aħħar ta’ Mejju.</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Il-kooperazzjoni ma’ pajjiżi terzi hija ta’ importanza kruċjali. Il-biċċa l-kbira tal-kuntrabandisti mhu</w:t>
      </w:r>
      <w:r>
        <w:rPr>
          <w:rFonts w:ascii="Times New Roman" w:hAnsi="Times New Roman"/>
          <w:noProof/>
          <w:sz w:val="24"/>
        </w:rPr>
        <w:t>miex ibbażati fl-Ewropa, u dawk li huma arrestati fuq dgħajjes fil-Mediterran huma normalment l-aħħar ħolqa fil-katina. Il-kooperazzjoni fil-ġlieda kontra l-gruppi kriminali lokali u internazzjonali li jikkontrollaw ir-rotot tal-kuntrabandu se tkun punt fo</w:t>
      </w:r>
      <w:r>
        <w:rPr>
          <w:rFonts w:ascii="Times New Roman" w:hAnsi="Times New Roman"/>
          <w:noProof/>
          <w:sz w:val="24"/>
        </w:rPr>
        <w:t>kali tal-kooperazzjoni intensifikata stabbilita hawn fuq.</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L-aġenziji tal-UE jistgħu wkoll jgħinu lill-awtoritajiet tal-Istati Membri biex jintensifikaw l-azzjoni tagħhom kontra </w:t>
      </w:r>
      <w:r>
        <w:rPr>
          <w:rFonts w:ascii="Times New Roman" w:hAnsi="Times New Roman"/>
          <w:b/>
          <w:noProof/>
          <w:sz w:val="24"/>
        </w:rPr>
        <w:t>netwerks kriminali ta’ kuntrabandisti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L-aġenziji jgħinu jidentifikaw il-kuntrabandisti, jinvestigawhom, jieħdu passi legali kontrihom, jiffriżaw u jikkonfiskaw l-assi tagħhom. Dan se jinkludi sforzi immedjati biex jiġu identifikati, maqbuda u meqruda l-bastimenti qabel ma dawn jintużaw minn ne</w:t>
      </w:r>
      <w:r>
        <w:rPr>
          <w:rFonts w:ascii="Times New Roman" w:hAnsi="Times New Roman"/>
          <w:noProof/>
          <w:sz w:val="24"/>
        </w:rPr>
        <w:t>twerks kriminali (ara hawn fuq). Se jkunu appoġġati investigazzjonijiet finanzjarji proattivi, li jimmiraw għal qbid u rkupru ta’ assi kriminali, u azzjonijiet kontra l-ħasil tal-flus marbut mal-kuntrabandu ta’ migranti permezz ta’ kooperazzjoni msaħħa ma’</w:t>
      </w:r>
      <w:r>
        <w:rPr>
          <w:rFonts w:ascii="Times New Roman" w:hAnsi="Times New Roman"/>
          <w:noProof/>
          <w:sz w:val="24"/>
        </w:rPr>
        <w:t xml:space="preserve"> Unitajiet tal-Intelligence Finanzjarja fuq il-flussi finanzjarji u kooperazzjoni ġdida ma’ istituzzjonijiet finanzjarji, bħal banek, servizzi ta’ trasferiment ta’ flus internazzjonali, u dawk li joħorġu l-karti ta’ kreditu. Dan se juża wkoll il-kondiviżjo</w:t>
      </w:r>
      <w:r>
        <w:rPr>
          <w:rFonts w:ascii="Times New Roman" w:hAnsi="Times New Roman"/>
          <w:noProof/>
          <w:sz w:val="24"/>
        </w:rPr>
        <w:t xml:space="preserve">ni ta' tagħrif imtejba stipulata fl-Aġenda Ewropea dwar is-Sigurtà. </w:t>
      </w:r>
    </w:p>
    <w:p w:rsidR="00300A70" w:rsidRDefault="00E04097">
      <w:pPr>
        <w:spacing w:before="120" w:after="0" w:line="240" w:lineRule="auto"/>
        <w:jc w:val="both"/>
        <w:rPr>
          <w:noProof/>
        </w:rPr>
      </w:pPr>
      <w:r>
        <w:rPr>
          <w:rFonts w:ascii="Times New Roman" w:hAnsi="Times New Roman"/>
          <w:noProof/>
          <w:sz w:val="24"/>
        </w:rPr>
        <w:t xml:space="preserve">Sabiex jissaħħu l-istrumenti disponibbli għall-prosekuturi biex jindirizzaw in-netwerks tal-kuntrabandu, il-Kummissjoni se ttejjeb il-qafas legali eżistenti tal-UE biex jiġi indirizzat </w:t>
      </w:r>
      <w:r>
        <w:rPr>
          <w:rFonts w:ascii="Times New Roman" w:hAnsi="Times New Roman"/>
          <w:b/>
          <w:noProof/>
          <w:sz w:val="24"/>
        </w:rPr>
        <w:t>it</w:t>
      </w:r>
      <w:r>
        <w:rPr>
          <w:rFonts w:ascii="Times New Roman" w:hAnsi="Times New Roman"/>
          <w:b/>
          <w:noProof/>
          <w:sz w:val="24"/>
        </w:rPr>
        <w:t>-traffikar tal-migranti</w:t>
      </w:r>
      <w:r>
        <w:rPr>
          <w:rFonts w:ascii="Times New Roman" w:hAnsi="Times New Roman"/>
          <w:noProof/>
          <w:sz w:val="24"/>
        </w:rPr>
        <w:t xml:space="preserve"> u dawk li jibbenefikaw minnu</w:t>
      </w:r>
      <w:r>
        <w:rPr>
          <w:rStyle w:val="FootnoteReference"/>
          <w:rFonts w:ascii="Times New Roman" w:hAnsi="Times New Roman"/>
          <w:noProof/>
          <w:sz w:val="24"/>
        </w:rPr>
        <w:footnoteReference w:id="17"/>
      </w:r>
      <w:r>
        <w:rPr>
          <w:rFonts w:ascii="Times New Roman" w:hAnsi="Times New Roman"/>
          <w:noProof/>
          <w:sz w:val="24"/>
        </w:rPr>
        <w:t xml:space="preserve">. Sabiex tittieħed azzjoni speċifika kontra n-netwerks tat-traffikanti u tingħata assistenza lill-vittmi tat-traffikar, il-Kummissjoni se ttemm ukoll l-inizjattivi previsti fl-istrateġija attwali kontra </w:t>
      </w:r>
      <w:r>
        <w:rPr>
          <w:rFonts w:ascii="Times New Roman" w:hAnsi="Times New Roman"/>
          <w:b/>
          <w:noProof/>
          <w:sz w:val="24"/>
        </w:rPr>
        <w:t>t-Traffikar tal-Bnedmin</w:t>
      </w:r>
      <w:r>
        <w:rPr>
          <w:rFonts w:ascii="Times New Roman" w:hAnsi="Times New Roman"/>
          <w:noProof/>
          <w:sz w:val="24"/>
        </w:rPr>
        <w:t xml:space="preserve"> u tħares lejn kif jista’ jittejjeb iktar ix-xogħol fl-2016</w:t>
      </w:r>
      <w:r>
        <w:rPr>
          <w:rStyle w:val="FootnoteReference"/>
          <w:rFonts w:ascii="Times New Roman" w:hAnsi="Times New Roman"/>
          <w:noProof/>
          <w:sz w:val="24"/>
        </w:rPr>
        <w:footnoteReference w:id="18"/>
      </w:r>
      <w:r>
        <w:rPr>
          <w:rFonts w:ascii="Times New Roman" w:hAnsi="Times New Roman"/>
          <w:noProof/>
          <w:sz w:val="24"/>
        </w:rPr>
        <w:t>. Sors potenzjali ieħor ta’ sfruttament ġej minn min iħaddem fl-UE. Filwaqt li tippromwovi integrazzjoni aħjar fis-suq tax-xogħol ta’ migranti legali, il-Kummissjoni se tint</w:t>
      </w:r>
      <w:r>
        <w:rPr>
          <w:rFonts w:ascii="Times New Roman" w:hAnsi="Times New Roman"/>
          <w:noProof/>
          <w:sz w:val="24"/>
        </w:rPr>
        <w:t xml:space="preserve">ensifika l-azzjoni kontra l-impjieg illegali ta’ ċittadini ta’ pajjiżi terzi, </w:t>
      </w:r>
      <w:r>
        <w:rPr>
          <w:rFonts w:ascii="Times New Roman" w:hAnsi="Times New Roman"/>
          <w:i/>
          <w:noProof/>
          <w:sz w:val="24"/>
        </w:rPr>
        <w:t>inter alia</w:t>
      </w:r>
      <w:r>
        <w:rPr>
          <w:rFonts w:ascii="Times New Roman" w:hAnsi="Times New Roman"/>
          <w:noProof/>
          <w:sz w:val="24"/>
        </w:rPr>
        <w:t xml:space="preserve"> permezz ta’ infurzar u applikazzjoni aħjar tad-</w:t>
      </w:r>
      <w:r>
        <w:rPr>
          <w:rFonts w:ascii="Times New Roman" w:hAnsi="Times New Roman"/>
          <w:b/>
          <w:noProof/>
          <w:sz w:val="24"/>
        </w:rPr>
        <w:t>Direttiva dwar Sanzjonijiet Kontra min Iħaddem</w:t>
      </w:r>
      <w:r>
        <w:rPr>
          <w:rStyle w:val="FootnoteReference"/>
          <w:rFonts w:ascii="Times New Roman" w:hAnsi="Times New Roman"/>
          <w:noProof/>
          <w:sz w:val="24"/>
        </w:rPr>
        <w:footnoteReference w:id="19"/>
      </w:r>
      <w:r>
        <w:rPr>
          <w:rFonts w:ascii="Times New Roman" w:hAnsi="Times New Roman"/>
          <w:noProof/>
          <w:sz w:val="24"/>
        </w:rPr>
        <w:t>, li tipprojbixxi l-impjieg ta’ ċittadini ta’ pajjiżi terzi li ma għandho</w:t>
      </w:r>
      <w:r>
        <w:rPr>
          <w:rFonts w:ascii="Times New Roman" w:hAnsi="Times New Roman"/>
          <w:noProof/>
          <w:sz w:val="24"/>
        </w:rPr>
        <w:t>mx id-dritt li jibqgħu fl-UE.</w:t>
      </w:r>
      <w:r>
        <w:rPr>
          <w:rFonts w:ascii="Times New Roman" w:hAnsi="Times New Roman"/>
          <w:b/>
          <w:noProof/>
          <w:sz w:val="24"/>
        </w:rPr>
        <w:t xml:space="preserve"> </w:t>
      </w:r>
      <w:r>
        <w:rPr>
          <w:rFonts w:ascii="Times New Roman" w:hAnsi="Times New Roman"/>
          <w:noProof/>
          <w:sz w:val="24"/>
        </w:rPr>
        <w:t>Hija se tagħti prijorità wkoll lil proċeduri ta’ ksur relatati ma’ din id-Direttiva.</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Ritorn</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Wieħed mill-inċentivi għal migranti irregolari huwa l-għarfien li s-sistema tar-ritorn tal-UE — biex jirritornaw migranti irregolari j</w:t>
      </w:r>
      <w:r>
        <w:rPr>
          <w:rFonts w:ascii="Times New Roman" w:hAnsi="Times New Roman"/>
          <w:noProof/>
          <w:sz w:val="24"/>
        </w:rPr>
        <w:t>ew dawk li l-applikazzjoni għall-ażil tagħhom tkun ġiet miċħuda — taħdem b’mod imperfett. In-netwerks ta’ kuntrabandu spiss jirrispondu għall-fatt li relattivament ftit deċiżjonijiet ta’ ritorn huma infurzati — fl-2013 ġew infurzati b’mod effettiv 39,2% bi</w:t>
      </w:r>
      <w:r>
        <w:rPr>
          <w:rFonts w:ascii="Times New Roman" w:hAnsi="Times New Roman"/>
          <w:noProof/>
          <w:sz w:val="24"/>
        </w:rPr>
        <w:t>ss tad-deċiżjonijiet ta’ ritorn maħruġa.</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Biex tiżdied ir-rata ta’ infurzar, jeħtieġ li l-ewwel niżguraw li pajjiżi terzi jissodisfaw l-obbligu internazzjonali tagħhom li jieħdu lura ċ-ċittadini tagħhom stess li jirrisjedu b’mod irregolari fl-Ewropa</w:t>
      </w:r>
      <w:r>
        <w:rPr>
          <w:rStyle w:val="FootnoteReference"/>
          <w:rFonts w:ascii="Times New Roman" w:hAnsi="Times New Roman"/>
          <w:noProof/>
          <w:sz w:val="24"/>
        </w:rPr>
        <w:footnoteReference w:id="20"/>
      </w:r>
      <w:r>
        <w:rPr>
          <w:rFonts w:ascii="Times New Roman" w:hAnsi="Times New Roman"/>
          <w:noProof/>
          <w:sz w:val="24"/>
        </w:rPr>
        <w:t xml:space="preserve">. L-UE għandha tkun lesta li tuża kull ingranaġġ u inċentiv għad-dispożizzjoni tagħha. Il-ftehim li ntlaħaq dan l-aħħar dwar </w:t>
      </w:r>
      <w:r>
        <w:rPr>
          <w:rFonts w:ascii="Times New Roman" w:hAnsi="Times New Roman"/>
          <w:b/>
          <w:noProof/>
          <w:sz w:val="24"/>
        </w:rPr>
        <w:t>Proġett Pilota dwar ir-Ritorn</w:t>
      </w:r>
      <w:r>
        <w:rPr>
          <w:rFonts w:ascii="Times New Roman" w:hAnsi="Times New Roman"/>
          <w:noProof/>
          <w:sz w:val="24"/>
        </w:rPr>
        <w:t xml:space="preserve"> lejn il-Pakistan u l-Bangladesh se joffri dimostrazzjoni prattika importanti għal dak li jmissu jsir</w:t>
      </w:r>
      <w:r>
        <w:rPr>
          <w:rStyle w:val="FootnoteReference"/>
          <w:rFonts w:ascii="Times New Roman" w:hAnsi="Times New Roman"/>
          <w:noProof/>
          <w:sz w:val="24"/>
        </w:rPr>
        <w:footnoteReference w:id="21"/>
      </w:r>
      <w:r>
        <w:rPr>
          <w:rFonts w:ascii="Times New Roman" w:hAnsi="Times New Roman"/>
          <w:noProof/>
          <w:sz w:val="24"/>
        </w:rPr>
        <w:t xml:space="preserve">. L-UE ser </w:t>
      </w:r>
      <w:r>
        <w:rPr>
          <w:rFonts w:ascii="Times New Roman" w:hAnsi="Times New Roman"/>
          <w:b/>
          <w:noProof/>
          <w:sz w:val="24"/>
        </w:rPr>
        <w:t>tgħin pajjiżi terzi biex jissodisfaw l-obbligi tagħhom</w:t>
      </w:r>
      <w:r>
        <w:rPr>
          <w:rFonts w:ascii="Times New Roman" w:hAnsi="Times New Roman"/>
          <w:noProof/>
          <w:sz w:val="24"/>
        </w:rPr>
        <w:t xml:space="preserve"> billi toffri appoġġ bħall-bini ta’ kapaċità għall-ġestjoni tar-ritorn, kampanji ta’ informazzjoni u għarfien, u appoġġ għal miżuri ta’ integrazzjoni mill-ġdid. Il-Kummissjoni se tirrevedi wk</w:t>
      </w:r>
      <w:r>
        <w:rPr>
          <w:rFonts w:ascii="Times New Roman" w:hAnsi="Times New Roman"/>
          <w:noProof/>
          <w:sz w:val="24"/>
        </w:rPr>
        <w:t>oll l-approċċ tagħha għal ftehimiet ta’ riammissjoni,</w:t>
      </w:r>
      <w:r>
        <w:rPr>
          <w:rStyle w:val="FootnoteReference"/>
          <w:rFonts w:ascii="Times New Roman" w:hAnsi="Times New Roman"/>
          <w:noProof/>
          <w:sz w:val="24"/>
        </w:rPr>
        <w:footnoteReference w:id="22"/>
      </w:r>
      <w:r>
        <w:rPr>
          <w:rFonts w:ascii="Times New Roman" w:hAnsi="Times New Roman"/>
          <w:noProof/>
          <w:sz w:val="24"/>
        </w:rPr>
        <w:t xml:space="preserve"> billi tgħati prijorità lill-pajjiżi ewlenin ta’ oriġini ta’ migranti irregolari. </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Bl-istess mod, l-Istati Membri għandhom japplikaw </w:t>
      </w:r>
      <w:r>
        <w:rPr>
          <w:rFonts w:ascii="Times New Roman" w:hAnsi="Times New Roman"/>
          <w:b/>
          <w:noProof/>
          <w:sz w:val="24"/>
        </w:rPr>
        <w:t>id-Direttiva tar-Ritorn</w:t>
      </w:r>
      <w:r>
        <w:rPr>
          <w:rStyle w:val="FootnoteReference"/>
          <w:rFonts w:ascii="Times New Roman" w:hAnsi="Times New Roman"/>
          <w:noProof/>
          <w:sz w:val="24"/>
        </w:rPr>
        <w:footnoteReference w:id="23"/>
      </w:r>
      <w:r>
        <w:rPr>
          <w:rFonts w:ascii="Times New Roman" w:hAnsi="Times New Roman"/>
          <w:noProof/>
          <w:sz w:val="24"/>
        </w:rPr>
        <w:t>. Il-Kummissjoni se tagħti prijorità lill-mon</w:t>
      </w:r>
      <w:r>
        <w:rPr>
          <w:rFonts w:ascii="Times New Roman" w:hAnsi="Times New Roman"/>
          <w:noProof/>
          <w:sz w:val="24"/>
        </w:rPr>
        <w:t>itoraġġ tal-implimentazzjoni tad-Direttiva, b’sistema ta' ritorn aktar rapidu li taħdem id f’id mar-rispett tal-proċeduri u l-istandards li jippermettu lill-Ewropa tiżgura trattament uman u dinjituż tal-persuni rimpatrijati u użu proporzjonat ta’ miżuri ko</w:t>
      </w:r>
      <w:r>
        <w:rPr>
          <w:rFonts w:ascii="Times New Roman" w:hAnsi="Times New Roman"/>
          <w:noProof/>
          <w:sz w:val="24"/>
        </w:rPr>
        <w:t xml:space="preserve">ersivi, f’konformità mad-drittijiet fundamentali u l-prinċipju ta' </w:t>
      </w:r>
      <w:r>
        <w:rPr>
          <w:rFonts w:ascii="Times New Roman" w:hAnsi="Times New Roman"/>
          <w:i/>
          <w:noProof/>
          <w:sz w:val="24"/>
        </w:rPr>
        <w:t>"non-refoulement</w:t>
      </w:r>
      <w:r>
        <w:rPr>
          <w:rStyle w:val="FootnoteReference"/>
          <w:rFonts w:ascii="Times New Roman" w:hAnsi="Times New Roman"/>
          <w:i/>
          <w:noProof/>
          <w:sz w:val="24"/>
        </w:rPr>
        <w:footnoteReference w:id="24"/>
      </w:r>
      <w:r>
        <w:rPr>
          <w:rFonts w:ascii="Times New Roman" w:hAnsi="Times New Roman"/>
          <w:noProof/>
          <w:sz w:val="24"/>
        </w:rPr>
        <w:t>. L-implimentazzjoni tar-regoli l-ġodda tal-UE dwar ir-ritorn ta’ migranti irregolari bħalissa qed tiġi vvalutata bir-reqqa fil-qafas tal-Mekkaniżmu ta’ Evalwazzjoni ta’ Sc</w:t>
      </w:r>
      <w:r>
        <w:rPr>
          <w:rFonts w:ascii="Times New Roman" w:hAnsi="Times New Roman"/>
          <w:noProof/>
          <w:sz w:val="24"/>
        </w:rPr>
        <w:t>hengen, u "</w:t>
      </w:r>
      <w:r>
        <w:rPr>
          <w:rFonts w:ascii="Times New Roman" w:hAnsi="Times New Roman"/>
          <w:b/>
          <w:noProof/>
          <w:sz w:val="24"/>
        </w:rPr>
        <w:t>Manwal dwar ir-Ritorn</w:t>
      </w:r>
      <w:r>
        <w:rPr>
          <w:rFonts w:ascii="Times New Roman" w:hAnsi="Times New Roman"/>
          <w:noProof/>
          <w:sz w:val="24"/>
        </w:rPr>
        <w:t xml:space="preserve">" se jappoġġa lill-Istati Membri b’linji gwida komuni, l-aħjar prattiki u rakkomandazzjonijiet. </w:t>
      </w:r>
    </w:p>
    <w:p w:rsidR="00300A70" w:rsidRDefault="00E04097">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Filwaqt li l-UE għandha regoli komuni dwar ir-ritorn, tbati minn nuqqas ta’ kooperazzjoni operazzjonali effettiva. Il-Frontex b</w:t>
      </w:r>
      <w:r>
        <w:rPr>
          <w:rFonts w:ascii="Times New Roman" w:hAnsi="Times New Roman"/>
          <w:noProof/>
          <w:sz w:val="24"/>
        </w:rPr>
        <w:t>ħalissa qiegħda toffri appoġġ konsiderevoli lill-Istati Membri, iżda l-mandat tagħha jrid jiġi msaħħaħ biex tiżdied il-kapaċità tagħha biex tipprovdi assistenza operattiva komprensiva.  Fil-preżent, il-FRONTEX tista’ biss tikkoordina missjonijiet ta’ ritor</w:t>
      </w:r>
      <w:r>
        <w:rPr>
          <w:rFonts w:ascii="Times New Roman" w:hAnsi="Times New Roman"/>
          <w:noProof/>
          <w:sz w:val="24"/>
        </w:rPr>
        <w:t xml:space="preserve">n iżda mhux tibda tagħha stess. Fuq il-bażi tal-evalwazzjoni attwali li għandha tiġi konkluża din is-sena, il-Kummissjoni se tipproponi li </w:t>
      </w:r>
      <w:r>
        <w:rPr>
          <w:rFonts w:ascii="Times New Roman" w:hAnsi="Times New Roman"/>
          <w:b/>
          <w:noProof/>
          <w:sz w:val="24"/>
        </w:rPr>
        <w:t>temenda l-bażi legali tal-Frontex</w:t>
      </w:r>
      <w:r>
        <w:rPr>
          <w:rFonts w:ascii="Times New Roman" w:hAnsi="Times New Roman"/>
          <w:noProof/>
          <w:sz w:val="24"/>
        </w:rPr>
        <w:t xml:space="preserve"> biex issaħħaħ ir-rwol tagħha dwar ir-ritorn.</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rPr>
        <w:t xml:space="preserve"> </w:t>
      </w:r>
    </w:p>
    <w:p w:rsidR="00300A70" w:rsidRDefault="00300A70">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300A70">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A70" w:rsidRDefault="00E04097">
            <w:pPr>
              <w:jc w:val="center"/>
              <w:rPr>
                <w:rFonts w:ascii="Times New Roman" w:hAnsi="Times New Roman" w:cs="Times New Roman"/>
                <w:b/>
                <w:i/>
                <w:noProof/>
                <w:sz w:val="20"/>
                <w:szCs w:val="20"/>
              </w:rPr>
            </w:pPr>
            <w:r>
              <w:rPr>
                <w:rFonts w:ascii="Times New Roman" w:hAnsi="Times New Roman"/>
                <w:b/>
                <w:i/>
                <w:noProof/>
                <w:sz w:val="20"/>
              </w:rPr>
              <w:t>Azzjonijiet Ewlenija</w:t>
            </w:r>
          </w:p>
          <w:p w:rsidR="00300A70" w:rsidRDefault="00300A70">
            <w:pPr>
              <w:rPr>
                <w:rFonts w:ascii="Times New Roman" w:hAnsi="Times New Roman" w:cs="Times New Roman"/>
                <w:noProof/>
                <w:sz w:val="20"/>
                <w:szCs w:val="20"/>
              </w:rPr>
            </w:pPr>
          </w:p>
          <w:p w:rsidR="00300A70" w:rsidRDefault="00300A70">
            <w:pPr>
              <w:rPr>
                <w:rFonts w:ascii="Times New Roman" w:hAnsi="Times New Roman" w:cs="Times New Roman"/>
                <w:noProof/>
                <w:sz w:val="20"/>
                <w:szCs w:val="20"/>
              </w:rPr>
            </w:pPr>
          </w:p>
          <w:p w:rsidR="00300A70" w:rsidRDefault="00300A70">
            <w:pPr>
              <w:rPr>
                <w:rFonts w:ascii="Times New Roman" w:hAnsi="Times New Roman" w:cs="Times New Roman"/>
                <w:noProof/>
                <w:sz w:val="20"/>
                <w:szCs w:val="20"/>
              </w:rPr>
            </w:pPr>
          </w:p>
          <w:p w:rsidR="00300A70" w:rsidRDefault="00300A70">
            <w:pPr>
              <w:rPr>
                <w:rFonts w:ascii="Times New Roman" w:hAnsi="Times New Roman" w:cs="Times New Roman"/>
                <w:noProof/>
                <w:sz w:val="20"/>
                <w:szCs w:val="20"/>
              </w:rPr>
            </w:pPr>
          </w:p>
          <w:p w:rsidR="00300A70" w:rsidRDefault="00300A70">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L-indiriz</w:t>
            </w:r>
            <w:r>
              <w:rPr>
                <w:rFonts w:ascii="Times New Roman" w:hAnsi="Times New Roman"/>
                <w:noProof/>
                <w:sz w:val="20"/>
              </w:rPr>
              <w:t>zar tal-kawżi ewlenin permezz ta’ kooperazzjoni għall-iżvilupp u l-għajnuna umanitarja.</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Il-migrazzjoni ssir kwistjoni ċentrali għad-delegazzjonijiet tal-UE.</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Pjan ta’ Azzjoni dwar il-kuntrabandu f’Mejju 2015.</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Azzjoni aktar b’saħħitha sabiex pajjiżi terzi ji</w:t>
            </w:r>
            <w:r>
              <w:rPr>
                <w:rFonts w:ascii="Times New Roman" w:hAnsi="Times New Roman"/>
                <w:noProof/>
                <w:sz w:val="20"/>
              </w:rPr>
              <w:t>ssodisfaw l-obbligi tagħhom li jieħdu lura ċ-ċittadini tagħhom.</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Adozzjoni ta’ Manwal dwar ir-Ritorn u l-monitoraġġ tal-implimentazzjoni tad-Direttiva tar-Ritorn.</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It-tisħiħ u l-emendar tal-bażi legali tal-Frontex biex jissaħħaħ ir-rwol tagħha dwar ir-ritorn</w:t>
            </w:r>
            <w:r>
              <w:rPr>
                <w:rFonts w:ascii="Times New Roman" w:hAnsi="Times New Roman"/>
                <w:noProof/>
                <w:sz w:val="20"/>
              </w:rPr>
              <w:t>.</w:t>
            </w:r>
          </w:p>
        </w:tc>
      </w:tr>
    </w:tbl>
    <w:p w:rsidR="00300A70" w:rsidRDefault="00300A70">
      <w:pPr>
        <w:pStyle w:val="BodyText"/>
        <w:spacing w:before="120" w:after="0" w:line="240" w:lineRule="auto"/>
        <w:jc w:val="both"/>
        <w:rPr>
          <w:rFonts w:ascii="Times New Roman" w:hAnsi="Times New Roman" w:cs="Times New Roman"/>
          <w:bCs/>
          <w:noProof/>
          <w:sz w:val="20"/>
          <w:szCs w:val="20"/>
        </w:rPr>
      </w:pPr>
    </w:p>
    <w:p w:rsidR="00300A70" w:rsidRDefault="00E04097">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Il-ġestjoni tal-fruntieri - il-preservazzjoni tal-ħajjiet u s-sigurtà fil-fruntieri esterni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Il-miżuri deskritti hawn fuq biex tiġi indirizzata s-sitwazzjoni fil-Mediterran illum ġew żviluppati bħala miżuri ta’ emerġenza bħala reazzjoni għal kriżi speċifika. Tkun illużjoni jekk nemmnu li din hija ħtieġa tal-preżent li qatt mhi se tirrepeti ruħha. </w:t>
      </w:r>
      <w:r>
        <w:rPr>
          <w:rFonts w:ascii="Times New Roman" w:hAnsi="Times New Roman"/>
          <w:noProof/>
          <w:sz w:val="24"/>
        </w:rPr>
        <w:t xml:space="preserve">It-tisħiħ tal-Frontex u l-istabbiliment ta’ forom ġodda ta’ kooperazzjoni mal-Istati Membri għandhom jitqiesu bħala livell ta’ appoġġ u solidarjetà li se jibqgħu fis-seħħ.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Ir-regoli ta’ impenn miftiehma għall-operazzjonijiet ta' </w:t>
      </w:r>
      <w:r>
        <w:rPr>
          <w:rFonts w:ascii="Times New Roman" w:hAnsi="Times New Roman"/>
          <w:b/>
          <w:noProof/>
          <w:sz w:val="24"/>
        </w:rPr>
        <w:t>Triton</w:t>
      </w:r>
      <w:r>
        <w:rPr>
          <w:rFonts w:ascii="Times New Roman" w:hAnsi="Times New Roman"/>
          <w:noProof/>
          <w:sz w:val="24"/>
        </w:rPr>
        <w:t xml:space="preserve"> għandhom jitqiesu b</w:t>
      </w:r>
      <w:r>
        <w:rPr>
          <w:rFonts w:ascii="Times New Roman" w:hAnsi="Times New Roman"/>
          <w:noProof/>
          <w:sz w:val="24"/>
        </w:rPr>
        <w:t xml:space="preserve">ħala mudell għal azzjoni futura fuq il-fruntieri tal-art u tal-baħar esterni kollha. Kull kriżi ser tkun differenti, iżda l-UE trid titgħallem il-lezzjoni u tkun lesta li taġixxi b’antiċipazzjoni ta’ kriżi, mhux biss b’reazzjoni.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Il-gwardakosta għandhom r</w:t>
      </w:r>
      <w:r>
        <w:rPr>
          <w:rFonts w:ascii="Times New Roman" w:hAnsi="Times New Roman"/>
          <w:noProof/>
          <w:sz w:val="24"/>
        </w:rPr>
        <w:t>wol kruċjali kemm biex isalvaw il-ħajjiet kif ukoll biex iżommu sigurtà fil-fruntieri marittimi. L-effettività tagħhom tittejjeb permezz ta’ kooperazzjoni akbar. Il-Kummissjoni, flimkien ma’ aġenziji rilevanti, ser tappoġġa kooperazzjoni bħal din u, fejn i</w:t>
      </w:r>
      <w:r>
        <w:rPr>
          <w:rFonts w:ascii="Times New Roman" w:hAnsi="Times New Roman"/>
          <w:noProof/>
          <w:sz w:val="24"/>
        </w:rPr>
        <w:t xml:space="preserve">kun xieraq, l-akkomunament ulterjuri ta’ ċerti funzjonijiet tal-gwardakosta fil-livell tal-UE. </w:t>
      </w:r>
    </w:p>
    <w:p w:rsidR="00300A70" w:rsidRDefault="00E04097">
      <w:pPr>
        <w:spacing w:before="120" w:after="0" w:line="240" w:lineRule="auto"/>
        <w:jc w:val="both"/>
        <w:rPr>
          <w:rFonts w:ascii="Times New Roman" w:hAnsi="Times New Roman"/>
          <w:noProof/>
          <w:sz w:val="24"/>
          <w:szCs w:val="24"/>
        </w:rPr>
      </w:pPr>
      <w:r>
        <w:rPr>
          <w:rFonts w:ascii="Times New Roman" w:hAnsi="Times New Roman"/>
          <w:noProof/>
          <w:sz w:val="24"/>
        </w:rPr>
        <w:t xml:space="preserve">Dejjem qed isir iktar neċessarju li jiġu identifikati </w:t>
      </w:r>
      <w:r>
        <w:rPr>
          <w:rFonts w:ascii="Times New Roman" w:hAnsi="Times New Roman"/>
          <w:b/>
          <w:noProof/>
          <w:sz w:val="24"/>
        </w:rPr>
        <w:t>x-xejriet ta’ riskju</w:t>
      </w:r>
      <w:r>
        <w:rPr>
          <w:rFonts w:ascii="Times New Roman" w:hAnsi="Times New Roman"/>
          <w:noProof/>
          <w:sz w:val="24"/>
        </w:rPr>
        <w:t xml:space="preserve"> għat-tħejjija operattiva effettiva.</w:t>
      </w:r>
      <w:r>
        <w:rPr>
          <w:rFonts w:ascii="Times New Roman" w:hAnsi="Times New Roman"/>
          <w:b/>
          <w:noProof/>
          <w:sz w:val="24"/>
        </w:rPr>
        <w:t xml:space="preserve"> </w:t>
      </w:r>
      <w:r>
        <w:rPr>
          <w:rFonts w:ascii="Times New Roman" w:hAnsi="Times New Roman"/>
          <w:noProof/>
          <w:sz w:val="24"/>
        </w:rPr>
        <w:t>L-implimentazzjoni ta’ Eurosur</w:t>
      </w:r>
      <w:r>
        <w:rPr>
          <w:rFonts w:ascii="Times New Roman" w:hAnsi="Times New Roman"/>
          <w:noProof/>
          <w:sz w:val="24"/>
          <w:vertAlign w:val="superscript"/>
        </w:rPr>
        <w:footnoteReference w:id="26"/>
      </w:r>
      <w:r>
        <w:rPr>
          <w:rFonts w:ascii="Times New Roman" w:hAnsi="Times New Roman"/>
          <w:noProof/>
          <w:sz w:val="24"/>
        </w:rPr>
        <w:t xml:space="preserve"> ipprovdiet mudell</w:t>
      </w:r>
      <w:r>
        <w:rPr>
          <w:rFonts w:ascii="Times New Roman" w:hAnsi="Times New Roman"/>
          <w:noProof/>
          <w:sz w:val="24"/>
        </w:rPr>
        <w:t xml:space="preserve"> tajjeb li fuqu għandna nibnu u dan għandu jintuża b’mod sħiħ mill-awtoritajiet ċivili u militari kollha b’responsabbiltà għas-sorveljanza tal-fruntieri marittimi. L-aġenziji rilevanti għandhom jiżviluppaw stampa tas-sitwazzjoni effettiva li tkun tista’ ti</w:t>
      </w:r>
      <w:r>
        <w:rPr>
          <w:rFonts w:ascii="Times New Roman" w:hAnsi="Times New Roman"/>
          <w:noProof/>
          <w:sz w:val="24"/>
        </w:rPr>
        <w:t>kkontribwixxi fit-tfassil tal-politika u fit-tħejjija tar-rispons fil-livelli nazzjonali u Ewropej</w:t>
      </w:r>
      <w:r>
        <w:rPr>
          <w:rStyle w:val="FootnoteReference"/>
          <w:rFonts w:ascii="Times New Roman" w:hAnsi="Times New Roman"/>
          <w:noProof/>
          <w:sz w:val="24"/>
        </w:rPr>
        <w:footnoteReference w:id="27"/>
      </w:r>
      <w:r>
        <w:rPr>
          <w:rFonts w:ascii="Times New Roman" w:hAnsi="Times New Roman"/>
          <w:noProof/>
          <w:sz w:val="24"/>
        </w:rPr>
        <w:t xml:space="preserve">.  </w:t>
      </w:r>
    </w:p>
    <w:p w:rsidR="00300A70" w:rsidRDefault="00E04097">
      <w:pPr>
        <w:spacing w:before="120" w:after="120" w:line="240" w:lineRule="auto"/>
        <w:jc w:val="both"/>
        <w:rPr>
          <w:rFonts w:ascii="Times New Roman" w:hAnsi="Times New Roman" w:cs="Times New Roman"/>
          <w:noProof/>
          <w:sz w:val="24"/>
          <w:szCs w:val="24"/>
        </w:rPr>
      </w:pPr>
      <w:r>
        <w:rPr>
          <w:rFonts w:ascii="Times New Roman" w:hAnsi="Times New Roman"/>
          <w:noProof/>
          <w:sz w:val="24"/>
        </w:rPr>
        <w:t>L-UE għandha politika stabbilita biex tgħin lill-Istati Membri jibnu fruntieri esterni sodi u konsistenti. Il-Fond għas-Sigurtà Interna diġà jipprovdi ak</w:t>
      </w:r>
      <w:r>
        <w:rPr>
          <w:rFonts w:ascii="Times New Roman" w:hAnsi="Times New Roman"/>
          <w:noProof/>
          <w:sz w:val="24"/>
        </w:rPr>
        <w:t>tar minn EUR 2,7 biljun lill-Istati Membri għall-perjodu mill-2014-2020. Iżda filwaqt li r-regoli dwar il-kontroll tal-fruntieri huma fis-seħħ, il-ġestjoni tal-fruntieri llum tvarja, ibbażata fuq taħlita ta’ dokumenti u strumenti settorjali. Fl-2016, il-Ku</w:t>
      </w:r>
      <w:r>
        <w:rPr>
          <w:rFonts w:ascii="Times New Roman" w:hAnsi="Times New Roman"/>
          <w:noProof/>
          <w:sz w:val="24"/>
        </w:rPr>
        <w:t xml:space="preserve">mmissjoni se tikkonsolidaha fi </w:t>
      </w:r>
      <w:r>
        <w:rPr>
          <w:rFonts w:ascii="Times New Roman" w:hAnsi="Times New Roman"/>
          <w:b/>
          <w:noProof/>
          <w:sz w:val="24"/>
        </w:rPr>
        <w:t>standard tal-Unjoni għall-ġestjoni tal-fruntieri</w:t>
      </w:r>
      <w:r>
        <w:rPr>
          <w:rFonts w:ascii="Times New Roman" w:hAnsi="Times New Roman"/>
          <w:noProof/>
          <w:sz w:val="24"/>
        </w:rPr>
        <w:t xml:space="preserve"> li jkopri l-aspetti kollha tal-ġestjoni tal-fruntieri esterni tal-Unjoni. </w:t>
      </w:r>
    </w:p>
    <w:p w:rsidR="00300A70" w:rsidRDefault="00E04097">
      <w:pPr>
        <w:spacing w:before="120" w:after="120" w:line="240" w:lineRule="auto"/>
        <w:jc w:val="both"/>
        <w:rPr>
          <w:rFonts w:ascii="Times New Roman" w:hAnsi="Times New Roman"/>
          <w:noProof/>
          <w:sz w:val="24"/>
        </w:rPr>
      </w:pPr>
      <w:r>
        <w:rPr>
          <w:rFonts w:ascii="Times New Roman" w:hAnsi="Times New Roman"/>
          <w:noProof/>
          <w:sz w:val="24"/>
        </w:rPr>
        <w:t>Il-ġestjoni aktar effiċjenti tal-fruntieri tagħna timplika wkoll użu aħjar tal-opportunitajiet offrut</w:t>
      </w:r>
      <w:r>
        <w:rPr>
          <w:rFonts w:ascii="Times New Roman" w:hAnsi="Times New Roman"/>
          <w:noProof/>
          <w:sz w:val="24"/>
        </w:rPr>
        <w:t xml:space="preserve">i minn sistemi u teknoloġiji tal-IT. L-UE llum għandha tliet sistemi tal-IT fuq skala kbira, li jittrattaw l-amministrazzjoni tal-ażil (Eurodac), l-applikazzjonijiet għal viża (is-Sistema ta’ Informazzjoni dwar il-Viża), u l-kondiviżjoni ta’ informazzjoni </w:t>
      </w:r>
      <w:r>
        <w:rPr>
          <w:rFonts w:ascii="Times New Roman" w:hAnsi="Times New Roman"/>
          <w:noProof/>
          <w:sz w:val="24"/>
        </w:rPr>
        <w:t>dwar persuni jew oġġetti li għalihom ikun ġie magħmul allert mill-awtoritajiet kompetenti (Sistema ta’ Informazzjoni ta’ Schengen). L-użu sħiħ ta’ dawn is-sistemi jista’ jagħti benefiċċji lill-ġestjoni tal-fruntieri, kif ukoll itejjeb il-kapaċità tal-Ewrop</w:t>
      </w:r>
      <w:r>
        <w:rPr>
          <w:rFonts w:ascii="Times New Roman" w:hAnsi="Times New Roman"/>
          <w:noProof/>
          <w:sz w:val="24"/>
        </w:rPr>
        <w:t xml:space="preserve">a li tnaqqas il-migrazzjoni irregolari u tirritorna l-migranti irregolari. Mal-inizjattiva </w:t>
      </w:r>
      <w:r>
        <w:rPr>
          <w:rFonts w:ascii="Times New Roman" w:hAnsi="Times New Roman"/>
          <w:b/>
          <w:noProof/>
          <w:sz w:val="24"/>
        </w:rPr>
        <w:t>“Fruntieri Intelliġenti”</w:t>
      </w:r>
      <w:r>
        <w:rPr>
          <w:rFonts w:ascii="Times New Roman" w:hAnsi="Times New Roman"/>
          <w:noProof/>
          <w:sz w:val="24"/>
        </w:rPr>
        <w:t xml:space="preserve"> tibda fażi ġdida biex tiżdied l-effiċjenza tal-qsim tal-fruntieri, l-iffaċilitar tal-qsim għall-maġġoranza kbira ta’ vjaġġaturi "bona fide" </w:t>
      </w:r>
      <w:r>
        <w:rPr>
          <w:rFonts w:ascii="Times New Roman" w:hAnsi="Times New Roman"/>
          <w:noProof/>
          <w:sz w:val="24"/>
        </w:rPr>
        <w:t>ta’ pajjiżi terzi, filwaqt li fl-istess ħin tissaħħaħ il-ġlieda kontra l-migrazzjoni irregolari billi jinħoloq reġistru tal-movimenti transfruntieri kollha minn ċittadini ta’ pajjiżi terzi, b'rispett sħiħ tal-prinċipju ta’ proporzjonalità. B’segwitu għad-d</w:t>
      </w:r>
      <w:r>
        <w:rPr>
          <w:rFonts w:ascii="Times New Roman" w:hAnsi="Times New Roman"/>
          <w:noProof/>
          <w:sz w:val="24"/>
        </w:rPr>
        <w:t>iskussjonijiet inizjali dwar l-ewwel proposta u biex jittieħed kont tat-tħassib imqajjem mill-koleġiżlaturi, il-Kummissjoni biħsiebha tippreżenta proposta rieżaminata dwar il-Fruntieri Intelliġenti sal-bidu tal-2016</w:t>
      </w:r>
      <w:r>
        <w:rPr>
          <w:rStyle w:val="FootnoteReference"/>
          <w:rFonts w:ascii="Times New Roman" w:hAnsi="Times New Roman"/>
          <w:noProof/>
          <w:sz w:val="24"/>
        </w:rPr>
        <w:footnoteReference w:id="28"/>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L-iżvilupp ta’ standards għoljin fl-U</w:t>
      </w:r>
      <w:r>
        <w:rPr>
          <w:rFonts w:ascii="Times New Roman" w:hAnsi="Times New Roman"/>
          <w:noProof/>
          <w:sz w:val="24"/>
        </w:rPr>
        <w:t>E wkoll se jagħmilha aktar faċli għall-Ewropa biex tappoġġa lil pajjiżi terzi li qed jiżviluppaw is-soluzzjonijiet proprji tagħhom biex jimmaniġġaw aħjar il-fruntieri tagħhom.</w:t>
      </w:r>
      <w:r>
        <w:rPr>
          <w:rFonts w:ascii="Times New Roman" w:hAnsi="Times New Roman"/>
          <w:b/>
          <w:noProof/>
          <w:sz w:val="24"/>
        </w:rPr>
        <w:t xml:space="preserve"> </w:t>
      </w:r>
      <w:r>
        <w:rPr>
          <w:rFonts w:ascii="Times New Roman" w:hAnsi="Times New Roman"/>
          <w:noProof/>
          <w:sz w:val="24"/>
        </w:rPr>
        <w:t>Inizjattivi f'pajjiżi Afrikani u tal-viċinat ewlenin jistgħu jiġu appoġġati minn</w:t>
      </w:r>
      <w:r>
        <w:rPr>
          <w:rFonts w:ascii="Times New Roman" w:hAnsi="Times New Roman"/>
          <w:noProof/>
          <w:sz w:val="24"/>
        </w:rPr>
        <w:t xml:space="preserve"> Frontex kif ukoll minn inizjattivi ta' finanzjament tal-UE u dawk relatati fil-kuntest ta’ politiki tal-viċinat u l-iżvilupp tal-UE. L-għan għandu jkun li jiġu mħeġġa fruntieri aktar sikuri, iżda wkoll biex </w:t>
      </w:r>
      <w:r>
        <w:rPr>
          <w:rFonts w:ascii="Times New Roman" w:hAnsi="Times New Roman"/>
          <w:b/>
          <w:noProof/>
          <w:sz w:val="24"/>
        </w:rPr>
        <w:t>tissaħħaħ il-ħila ta’ pajjiżi fl-Afrika ta’ Fuq</w:t>
      </w:r>
      <w:r>
        <w:rPr>
          <w:rFonts w:ascii="Times New Roman" w:hAnsi="Times New Roman"/>
          <w:noProof/>
          <w:sz w:val="24"/>
        </w:rPr>
        <w:t xml:space="preserve"> </w:t>
      </w:r>
      <w:r>
        <w:rPr>
          <w:rFonts w:ascii="Times New Roman" w:hAnsi="Times New Roman"/>
          <w:noProof/>
          <w:sz w:val="24"/>
        </w:rPr>
        <w:t xml:space="preserve">biex jintervjenu u jsalvaw il-ħajjiet tal-immigranti f’diffikultà. </w:t>
      </w:r>
    </w:p>
    <w:p w:rsidR="00300A70" w:rsidRDefault="00300A70">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300A70">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A70" w:rsidRDefault="00E04097">
            <w:pPr>
              <w:jc w:val="center"/>
              <w:rPr>
                <w:rFonts w:ascii="Times New Roman" w:hAnsi="Times New Roman" w:cs="Times New Roman"/>
                <w:b/>
                <w:i/>
                <w:noProof/>
                <w:sz w:val="20"/>
                <w:szCs w:val="20"/>
              </w:rPr>
            </w:pPr>
            <w:r>
              <w:rPr>
                <w:rFonts w:ascii="Times New Roman" w:hAnsi="Times New Roman"/>
                <w:b/>
                <w:i/>
                <w:noProof/>
                <w:sz w:val="20"/>
              </w:rPr>
              <w:t>Azzjonijiet Ewlenija</w:t>
            </w:r>
          </w:p>
        </w:tc>
        <w:tc>
          <w:tcPr>
            <w:tcW w:w="7620" w:type="dxa"/>
            <w:tcBorders>
              <w:top w:val="single" w:sz="4" w:space="0" w:color="auto"/>
              <w:left w:val="single" w:sz="4" w:space="0" w:color="auto"/>
              <w:bottom w:val="single" w:sz="4" w:space="0" w:color="auto"/>
              <w:right w:val="single" w:sz="4" w:space="0" w:color="auto"/>
            </w:tcBorders>
          </w:tcPr>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It-tisħiħ tar-rwol u l-kapaċità tal-Frontex.</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Standard tal-Unjoni għall-ġestjoni tal-fruntieri.</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It-tisħiħ tal-koordinazzjoni tal-UE tal-funzjonijiet tal-gwardakosta.</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Proposta riveduta dwar il-Fruntieri Intelliġenti.</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It-tisħiħ tal-kapaċità ta’ pajjiżi terzi biex jimmaniġġjaw il-fruntieri tagħhom.</w:t>
            </w:r>
          </w:p>
        </w:tc>
      </w:tr>
    </w:tbl>
    <w:p w:rsidR="00300A70" w:rsidRDefault="00300A70">
      <w:pPr>
        <w:autoSpaceDE w:val="0"/>
        <w:autoSpaceDN w:val="0"/>
        <w:adjustRightInd w:val="0"/>
        <w:spacing w:after="120" w:line="240" w:lineRule="auto"/>
        <w:jc w:val="both"/>
        <w:rPr>
          <w:rFonts w:ascii="Times New Roman" w:hAnsi="Times New Roman" w:cs="Times New Roman"/>
          <w:b/>
          <w:noProof/>
          <w:sz w:val="20"/>
          <w:szCs w:val="20"/>
        </w:rPr>
      </w:pPr>
    </w:p>
    <w:p w:rsidR="00300A70" w:rsidRDefault="00E04097">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Id-dmir tal-Ewropa li tħares: politika tal-ażil komuni b'saħħitha</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L-UE teħtieġ sistema ta' akkoljenza ċara għal daw</w:t>
      </w:r>
      <w:r>
        <w:rPr>
          <w:rFonts w:ascii="Times New Roman" w:hAnsi="Times New Roman"/>
          <w:noProof/>
          <w:sz w:val="24"/>
        </w:rPr>
        <w:t xml:space="preserve">k li qed ifittxu l-ażil fl-UE. Fl-2014, rekord ta’ 600,000 persuna applikaw ghall-ażil fl-UE. Kull applikazzjoni għall-ażil trid tiġi pproċessata u tingħata l-protezzjoni lil dawk li jikkwalifikaw għaliha. Waħda mid-dgħufijiet esposti fil-politika attwali </w:t>
      </w:r>
      <w:r>
        <w:rPr>
          <w:rFonts w:ascii="Times New Roman" w:hAnsi="Times New Roman"/>
          <w:noProof/>
          <w:sz w:val="24"/>
        </w:rPr>
        <w:t>kienet in-nuqqas ta’ fiduċja reċiproka bejn l-Istati Membri, b’mod partikolari bħala riżultat tal-frammentazzjoni kontinwa tas-sistema tal-ażil. Dan għandu impatt dirett fuq dawk li jfittxu l-ażil li qed ifittxu li jagħżlu bejn pajjiż u ieħor, iżda wkoll f</w:t>
      </w:r>
      <w:r>
        <w:rPr>
          <w:rFonts w:ascii="Times New Roman" w:hAnsi="Times New Roman"/>
          <w:noProof/>
          <w:sz w:val="24"/>
        </w:rPr>
        <w:t>uq l-opinjoni pubblika tal-UE: dan iħeġġeġ sens li s-sistema attwali hija fundamentalment inġusta. Iżda l-UE għandha regoli komuni li għandhom diġà jipprovdu bażi għal fiduċja reċiproka, u żvilupp ulterjuri ta’ dawn ir-regoli se jippermetti bidu ġdid.</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Impl</w:t>
      </w:r>
      <w:r>
        <w:rPr>
          <w:rFonts w:ascii="Times New Roman" w:hAnsi="Times New Roman"/>
          <w:i/>
          <w:noProof/>
          <w:sz w:val="24"/>
        </w:rPr>
        <w:t>imentazzjoni koerenti tas-Sistema Ewropea Komuni tal-Ażil</w:t>
      </w:r>
    </w:p>
    <w:p w:rsidR="00300A70" w:rsidRDefault="00E04097">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Il-prijorità hija li tiġi żgurata l-implimentazzjoni sħiħa u koerenti tas-Sistema Ewropea Komuni tal-Ażil. Dan se jkun appoġġat minn </w:t>
      </w:r>
      <w:r>
        <w:rPr>
          <w:rFonts w:ascii="Times New Roman" w:hAnsi="Times New Roman"/>
          <w:b/>
          <w:noProof/>
          <w:sz w:val="24"/>
        </w:rPr>
        <w:t>proċess ta' monitoraġġ sistematiku ġdid</w:t>
      </w:r>
      <w:r>
        <w:rPr>
          <w:rFonts w:ascii="Times New Roman" w:hAnsi="Times New Roman"/>
          <w:noProof/>
          <w:sz w:val="24"/>
        </w:rPr>
        <w:t>, biex jgħarbel l-implimen</w:t>
      </w:r>
      <w:r>
        <w:rPr>
          <w:rFonts w:ascii="Times New Roman" w:hAnsi="Times New Roman"/>
          <w:noProof/>
          <w:sz w:val="24"/>
        </w:rPr>
        <w:t>tazzjoni u l-applikazzjoni tar-regoli dwar l-ażil u jrawwem fiduċja reċiproka. Barra minn hekk, billi taħdem mal-Istati Membri u l-Uffiċċju Ewropew ta’ Appoġġ fil-qasam tal-Ażil (EASO), il-Kummissjoni se tagħti aktar gwida biex jittejbu l-</w:t>
      </w:r>
      <w:r>
        <w:rPr>
          <w:rFonts w:ascii="Times New Roman" w:hAnsi="Times New Roman"/>
          <w:b/>
          <w:noProof/>
          <w:sz w:val="24"/>
        </w:rPr>
        <w:t>istandards</w:t>
      </w:r>
      <w:r>
        <w:rPr>
          <w:rFonts w:ascii="Times New Roman" w:hAnsi="Times New Roman"/>
          <w:noProof/>
          <w:sz w:val="24"/>
        </w:rPr>
        <w:t xml:space="preserve"> dwar il-kundizzjonijiet ta’ akkoljenza u l-proċeduri tal-ażil li jipprovdu lill-Istati Membri b’indikaturi tal-kwalità definiti tajjeb u sempliċi, u li jsaħħu l-protezzjoni tad-drittijiet fundamentali ta’ dawk li jfittxu l-ażil, filwaqt li tingħata attenz</w:t>
      </w:r>
      <w:r>
        <w:rPr>
          <w:rFonts w:ascii="Times New Roman" w:hAnsi="Times New Roman"/>
          <w:noProof/>
          <w:sz w:val="24"/>
        </w:rPr>
        <w:t>joni partikolari għall-ħtiġijiet ta’ gruppi vulnerabbli, bħalma huma t-tfal</w:t>
      </w:r>
      <w:r>
        <w:rPr>
          <w:rStyle w:val="FootnoteReference"/>
          <w:rFonts w:ascii="Times New Roman" w:hAnsi="Times New Roman"/>
          <w:noProof/>
          <w:sz w:val="24"/>
        </w:rPr>
        <w:footnoteReference w:id="29"/>
      </w:r>
      <w:r>
        <w:rPr>
          <w:rFonts w:ascii="Times New Roman" w:hAnsi="Times New Roman"/>
          <w:noProof/>
          <w:sz w:val="24"/>
        </w:rPr>
        <w:t xml:space="preserve">. Il-Kummissjoni se tagħti prijorità wkoll lit-traspożizzjoni u l-implimentazzjoni fil-prattika tal-leġislazzjoni adottata reċentement dwar ir-regoli tal-ażil meta tikkunsidra </w:t>
      </w:r>
      <w:r>
        <w:rPr>
          <w:rFonts w:ascii="Times New Roman" w:hAnsi="Times New Roman"/>
          <w:b/>
          <w:noProof/>
          <w:sz w:val="24"/>
        </w:rPr>
        <w:t>l-pr</w:t>
      </w:r>
      <w:r>
        <w:rPr>
          <w:rFonts w:ascii="Times New Roman" w:hAnsi="Times New Roman"/>
          <w:b/>
          <w:noProof/>
          <w:sz w:val="24"/>
        </w:rPr>
        <w:t>oċeduri ta’ ksur</w:t>
      </w:r>
      <w:r>
        <w:rPr>
          <w:rStyle w:val="FootnoteReference"/>
          <w:rFonts w:ascii="Times New Roman" w:hAnsi="Times New Roman"/>
          <w:noProof/>
          <w:sz w:val="24"/>
        </w:rPr>
        <w:footnoteReference w:id="30"/>
      </w:r>
      <w:r>
        <w:rPr>
          <w:rFonts w:ascii="Times New Roman" w:hAnsi="Times New Roman"/>
          <w:noProof/>
          <w:sz w:val="24"/>
        </w:rPr>
        <w:t>.</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L-EASO fl-istess ħin se jżid il-</w:t>
      </w:r>
      <w:r>
        <w:rPr>
          <w:rFonts w:ascii="Times New Roman" w:hAnsi="Times New Roman"/>
          <w:b/>
          <w:noProof/>
          <w:sz w:val="24"/>
        </w:rPr>
        <w:t>kooperazzjoni prattika</w:t>
      </w:r>
      <w:r>
        <w:rPr>
          <w:rFonts w:ascii="Times New Roman" w:hAnsi="Times New Roman"/>
          <w:noProof/>
          <w:sz w:val="24"/>
        </w:rPr>
        <w:t>, billi jiżviluppa rwol bħala l-kamra tal-ikklerjar tal-Informazzjoni dwar il-Pajjiż ta’ Oriġini nazzjonali — l-informazzjoni fattwali li fuqha huma bbażati d-deċiżjonijiet dwar l-ażi</w:t>
      </w:r>
      <w:r>
        <w:rPr>
          <w:rFonts w:ascii="Times New Roman" w:hAnsi="Times New Roman"/>
          <w:noProof/>
          <w:sz w:val="24"/>
        </w:rPr>
        <w:t>l. Dan għandu jħeġġeġ deċiżjonijiet aktar uniformi. Miżuri ewlenin oħra huma t-taħriġ</w:t>
      </w:r>
      <w:r>
        <w:rPr>
          <w:rStyle w:val="FootnoteReference"/>
          <w:rFonts w:ascii="Times New Roman" w:hAnsi="Times New Roman"/>
          <w:noProof/>
          <w:sz w:val="24"/>
        </w:rPr>
        <w:footnoteReference w:id="31"/>
      </w:r>
      <w:r>
        <w:rPr>
          <w:rFonts w:ascii="Times New Roman" w:hAnsi="Times New Roman"/>
          <w:noProof/>
          <w:sz w:val="24"/>
        </w:rPr>
        <w:t xml:space="preserve"> u netwerk iddedikat ġdid ta’ awtoritajiet ta’ akkoljenza, li jista’ jqiegħed il-pedament għall-akkomunament ta’ postijiet ta’ akkoljenza fi żminijiet ta’ emerġenza.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It-</w:t>
      </w:r>
      <w:r>
        <w:rPr>
          <w:rFonts w:ascii="Times New Roman" w:hAnsi="Times New Roman"/>
          <w:noProof/>
          <w:sz w:val="24"/>
        </w:rPr>
        <w:t xml:space="preserve">tisħiħ tas-Sistema Ewropea Komuni tal-Ażil ifisser ukoll approċċ aktar effettiv għal </w:t>
      </w:r>
      <w:r>
        <w:rPr>
          <w:rFonts w:ascii="Times New Roman" w:hAnsi="Times New Roman"/>
          <w:b/>
          <w:noProof/>
          <w:sz w:val="24"/>
        </w:rPr>
        <w:t>abbużi</w:t>
      </w:r>
      <w:r>
        <w:rPr>
          <w:rFonts w:ascii="Times New Roman" w:hAnsi="Times New Roman"/>
          <w:noProof/>
          <w:sz w:val="24"/>
        </w:rPr>
        <w:t xml:space="preserve">. Isiru wisq talbiet mingħajr bażi: fl-2014, 55% tat-talbiet għall-ażil wasslu għal deċiżjoni negattiva u għal xi nazzjonalitajiet kważi t-talbiet għall-ażil kollha </w:t>
      </w:r>
      <w:r>
        <w:rPr>
          <w:rFonts w:ascii="Times New Roman" w:hAnsi="Times New Roman"/>
          <w:noProof/>
          <w:sz w:val="24"/>
        </w:rPr>
        <w:t>kienu miċħuda, u dan ostakola l-kapaċità tal-Istati Membri li jipprovdu protezzjoni fil-pront lil dawk fil-bżonn. Il-leġiżlazzjoni tinkludi dispożizzjonijiet speċifiċi biex jiġu miġġielda l-abbużi, pereżempju billi jkun permess l-ipproċessar rapidu ta’ app</w:t>
      </w:r>
      <w:r>
        <w:rPr>
          <w:rFonts w:ascii="Times New Roman" w:hAnsi="Times New Roman"/>
          <w:noProof/>
          <w:sz w:val="24"/>
        </w:rPr>
        <w:t xml:space="preserve">likazzjonijiet għall-ażil infondati. Biex issaħħaħ dan, il-Kummissjoni se taħdem mal-EASO u l-Istati Membri biex jiżviluppaw linji gwida biex jiġu massimizzati possibbiltajiet bħal dawn.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Problema oħra tinħoloq b’applikazzjonijiet għall-ażil minn ċittadini</w:t>
      </w:r>
      <w:r>
        <w:rPr>
          <w:rFonts w:ascii="Times New Roman" w:hAnsi="Times New Roman"/>
          <w:noProof/>
          <w:sz w:val="24"/>
        </w:rPr>
        <w:t xml:space="preserve"> ta’ pajjiżi terzi li ma jeħtiġux viża biex jidħlu fl-UE. Dawn il-każijiet jistgħu jiġu ttrattati parzjalment permezz tal-mekkaniżmi ta’ monitoraġġ wara l-liberalizzazzjoni tal-viża</w:t>
      </w:r>
      <w:r>
        <w:rPr>
          <w:rStyle w:val="FootnoteReference"/>
          <w:rFonts w:ascii="Times New Roman" w:hAnsi="Times New Roman"/>
          <w:noProof/>
          <w:sz w:val="24"/>
        </w:rPr>
        <w:footnoteReference w:id="32"/>
      </w:r>
      <w:r>
        <w:rPr>
          <w:rFonts w:ascii="Times New Roman" w:hAnsi="Times New Roman"/>
          <w:noProof/>
          <w:sz w:val="24"/>
        </w:rPr>
        <w:t>. Biex issaħħaħ dan, il-Kummissjoni se tipproponi wkoll it-tisħiħ tad-</w:t>
      </w:r>
      <w:r>
        <w:rPr>
          <w:rFonts w:ascii="Times New Roman" w:hAnsi="Times New Roman"/>
          <w:b/>
          <w:noProof/>
          <w:sz w:val="24"/>
        </w:rPr>
        <w:t>disp</w:t>
      </w:r>
      <w:r>
        <w:rPr>
          <w:rFonts w:ascii="Times New Roman" w:hAnsi="Times New Roman"/>
          <w:b/>
          <w:noProof/>
          <w:sz w:val="24"/>
        </w:rPr>
        <w:t>ożizzjonijiet tal-Pajjiż ta’ Oriġini Sikur</w:t>
      </w:r>
      <w:r>
        <w:rPr>
          <w:rFonts w:ascii="Times New Roman" w:hAnsi="Times New Roman"/>
          <w:noProof/>
          <w:sz w:val="24"/>
        </w:rPr>
        <w:t xml:space="preserve"> tad-Direttiva dwar il-Proċeduri tal-Ażil biex jappoġġaw l-ipproċessar ta' malajr tal-applikanti għall-ażil minn pajjiżi indikati bħala siguri</w:t>
      </w:r>
      <w:r>
        <w:rPr>
          <w:rStyle w:val="FootnoteReference"/>
          <w:rFonts w:ascii="Times New Roman" w:hAnsi="Times New Roman"/>
          <w:noProof/>
          <w:sz w:val="24"/>
        </w:rPr>
        <w:footnoteReference w:id="33"/>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Is-Sistema ta’ Dublin — aktar kondiviżjoni tar-responsabbiltà fost l</w:t>
      </w:r>
      <w:r>
        <w:rPr>
          <w:rFonts w:ascii="Times New Roman" w:hAnsi="Times New Roman"/>
          <w:i/>
          <w:noProof/>
          <w:sz w:val="24"/>
        </w:rPr>
        <w:t>-Istati Membri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Minkejja li t-titjib legali riċenti seħħ biss fl-2014, il-mekkaniżmu għall-allokazzjoni tar-responsabbiltajiet biex jiġu eżaminati l-applikazzjonijiet għall-ażil (is-"sistema ta’ Dublin"</w:t>
      </w:r>
      <w:r>
        <w:rPr>
          <w:rStyle w:val="FootnoteReference"/>
          <w:rFonts w:ascii="Times New Roman" w:hAnsi="Times New Roman"/>
          <w:noProof/>
          <w:sz w:val="24"/>
        </w:rPr>
        <w:footnoteReference w:id="34"/>
      </w:r>
      <w:r>
        <w:rPr>
          <w:rFonts w:ascii="Times New Roman" w:hAnsi="Times New Roman"/>
          <w:noProof/>
          <w:sz w:val="24"/>
        </w:rPr>
        <w:t>) mhux qed jaħdem kif suppost. Fl-2014, ħames Stati Me</w:t>
      </w:r>
      <w:r>
        <w:rPr>
          <w:rFonts w:ascii="Times New Roman" w:hAnsi="Times New Roman"/>
          <w:noProof/>
          <w:sz w:val="24"/>
        </w:rPr>
        <w:t xml:space="preserve">mbri ttrattaw 72 % tal-applikazzjonijiet għall-ażil madwar l-UE kollha. L-UE tista’ tipprovdi assistenza ulterjuri, iżda jeħtieġ li r-regoli jiġu applikati b’mod sħiħ.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L-Istati Membri huma responsabbli biex japplikaw is-sistema ta’ Dublin. B’mod partikolari, huma għandhom jallokaw ir-riżorsi meħtieġa sabiex jiżdied l-għadd ta’ trasferimenti u jitnaqqas id-dewmien, b’mod proattiv u konsistenti japplikaw il-klawsoli relata</w:t>
      </w:r>
      <w:r>
        <w:rPr>
          <w:rFonts w:ascii="Times New Roman" w:hAnsi="Times New Roman"/>
          <w:noProof/>
          <w:sz w:val="24"/>
        </w:rPr>
        <w:t>ti mar-riunifikazzjoni tal-familja, u jagħmlu użu usa' u regolari tal-klawsoli diskrezzjonali, li jippermettulhom li jeżaminaw applikazzjoni għall-ażil u jnaqqsu l-pressjoni minn fuq l-Istati Membri li huma l-iktar milquta. Fil-livell tal-Unjoni, l-Uffiċċj</w:t>
      </w:r>
      <w:r>
        <w:rPr>
          <w:rFonts w:ascii="Times New Roman" w:hAnsi="Times New Roman"/>
          <w:noProof/>
          <w:sz w:val="24"/>
        </w:rPr>
        <w:t xml:space="preserve">u Ewropew ta’ Appoġġ fil-qasam tal-Ażil (EASO) ser jappoġġa lill-Istati Membri billi jistabbilixxi </w:t>
      </w:r>
      <w:r>
        <w:rPr>
          <w:rFonts w:ascii="Times New Roman" w:hAnsi="Times New Roman"/>
          <w:b/>
          <w:noProof/>
          <w:sz w:val="24"/>
        </w:rPr>
        <w:t>netwerk ta’ unitajiet ta' Dublin nazzjonali</w:t>
      </w:r>
      <w:r>
        <w:rPr>
          <w:rFonts w:ascii="Times New Roman" w:hAnsi="Times New Roman"/>
          <w:noProof/>
          <w:sz w:val="24"/>
        </w:rPr>
        <w:t xml:space="preserve"> dedikat. </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L-Istati Membri jridu wkoll jimplimentaw b’mod sħiħ ir-regoli dwar it-teħid ta’ </w:t>
      </w:r>
      <w:r>
        <w:rPr>
          <w:rFonts w:ascii="Times New Roman" w:hAnsi="Times New Roman"/>
          <w:b/>
          <w:noProof/>
          <w:sz w:val="24"/>
        </w:rPr>
        <w:t>marki tas-swaba’</w:t>
      </w:r>
      <w:r>
        <w:rPr>
          <w:rStyle w:val="FootnoteReference"/>
          <w:rFonts w:ascii="Times New Roman" w:hAnsi="Times New Roman"/>
          <w:b/>
          <w:noProof/>
          <w:sz w:val="24"/>
        </w:rPr>
        <w:footnoteReference w:id="35"/>
      </w:r>
      <w:r>
        <w:rPr>
          <w:rFonts w:ascii="Times New Roman" w:hAnsi="Times New Roman"/>
          <w:noProof/>
          <w:sz w:val="24"/>
        </w:rPr>
        <w:t xml:space="preserve"> tal-m</w:t>
      </w:r>
      <w:r>
        <w:rPr>
          <w:rFonts w:ascii="Times New Roman" w:hAnsi="Times New Roman"/>
          <w:noProof/>
          <w:sz w:val="24"/>
        </w:rPr>
        <w:t>igranti fil-fruntieri. L-Istati Membri taħt pressjoni partikolari se jibbenefikaw minn sistema ta' Hotspot għall-forniment ta’ appoġġ operattiv fuq il-post (ara hawn fuq). Il-Kummissjoni se tipprovdi wkoll, sal-aħħar ta’ Mejju, gwida biex jiġi ffaċilitat i</w:t>
      </w:r>
      <w:r>
        <w:rPr>
          <w:rFonts w:ascii="Times New Roman" w:hAnsi="Times New Roman"/>
          <w:noProof/>
          <w:sz w:val="24"/>
        </w:rPr>
        <w:t>t-teħid tal-marki tas-swaba' sistematiku, b’rispett sħiħ tad-drittijiet fundamentali, appoġġata minn kooperazzjoni prattika u skambju tal-aħjar prattiki. Il-Kummissjoni se tesplora wkoll kif aktar identifikaturi bijometriċi jistgħu jintużaw permezz tas-sis</w:t>
      </w:r>
      <w:r>
        <w:rPr>
          <w:rFonts w:ascii="Times New Roman" w:hAnsi="Times New Roman"/>
          <w:noProof/>
          <w:sz w:val="24"/>
        </w:rPr>
        <w:t>tema Eurodac (bħal ma hu l-użu ta’ tekniki ta’ rikonoxximent tal-wiċċ permezz ta’ ritratti diġitali).</w:t>
      </w:r>
    </w:p>
    <w:p w:rsidR="00300A70" w:rsidRDefault="00E0409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Meta ġiet imfassla s-sistema ta’ Dublin, l-Ewropa kienet fi stadju differenti ta’ kooperazzjoni fil-qasam tal-ażil. L-influssi li kienet qed taffaċċja kie</w:t>
      </w:r>
      <w:r>
        <w:rPr>
          <w:rFonts w:ascii="Times New Roman" w:hAnsi="Times New Roman"/>
          <w:noProof/>
          <w:sz w:val="24"/>
        </w:rPr>
        <w:t xml:space="preserve">nu ta’ natura u skala differenti. Meta l-Kummissjoni twettaq </w:t>
      </w:r>
      <w:r>
        <w:rPr>
          <w:rFonts w:ascii="Times New Roman" w:hAnsi="Times New Roman"/>
          <w:b/>
          <w:noProof/>
          <w:sz w:val="24"/>
        </w:rPr>
        <w:t>l-evalwazzjoni tas-sistema ta’ Dublin</w:t>
      </w:r>
      <w:r>
        <w:rPr>
          <w:rFonts w:ascii="Times New Roman" w:hAnsi="Times New Roman"/>
          <w:noProof/>
          <w:sz w:val="24"/>
        </w:rPr>
        <w:t xml:space="preserve"> tagħha fl-2016, se tkun tista’ tuża wkoll l-esperjenza miksuba mill-mekkaniżmi ta’ rilokazzjoni u ta’ risistemazzjoni. Dan se jgħin biex jiġi ddeterminat jek</w:t>
      </w:r>
      <w:r>
        <w:rPr>
          <w:rFonts w:ascii="Times New Roman" w:hAnsi="Times New Roman"/>
          <w:noProof/>
          <w:sz w:val="24"/>
        </w:rPr>
        <w:t>k hux se jkun meħtieġ rieżami tal-parametri legali ta’ Dublin biex tintlaħaq distribuzzjoni aktar ġusta ta’ dawk li qed ifittxu l-ażil fl-Ewropa</w:t>
      </w:r>
      <w:r>
        <w:rPr>
          <w:rStyle w:val="FootnoteReference"/>
          <w:rFonts w:ascii="Times New Roman" w:hAnsi="Times New Roman"/>
          <w:noProof/>
          <w:sz w:val="24"/>
        </w:rPr>
        <w:footnoteReference w:id="36"/>
      </w:r>
      <w:r>
        <w:rPr>
          <w:rFonts w:ascii="Times New Roman" w:hAnsi="Times New Roman"/>
          <w:noProof/>
          <w:sz w:val="24"/>
        </w:rPr>
        <w:t xml:space="preserve">. </w:t>
      </w:r>
    </w:p>
    <w:p w:rsidR="00300A70" w:rsidRDefault="00E04097">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300A70">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A70" w:rsidRDefault="00E04097">
            <w:pPr>
              <w:jc w:val="center"/>
              <w:rPr>
                <w:rFonts w:ascii="Times New Roman" w:hAnsi="Times New Roman" w:cs="Times New Roman"/>
                <w:b/>
                <w:i/>
                <w:noProof/>
                <w:sz w:val="20"/>
                <w:szCs w:val="20"/>
              </w:rPr>
            </w:pPr>
            <w:r>
              <w:rPr>
                <w:rFonts w:ascii="Times New Roman" w:hAnsi="Times New Roman"/>
                <w:b/>
                <w:i/>
                <w:noProof/>
                <w:sz w:val="20"/>
              </w:rPr>
              <w:t>Azzjonijiet Ewlenija</w:t>
            </w:r>
          </w:p>
        </w:tc>
        <w:tc>
          <w:tcPr>
            <w:tcW w:w="7620" w:type="dxa"/>
            <w:tcBorders>
              <w:top w:val="single" w:sz="4" w:space="0" w:color="auto"/>
              <w:left w:val="single" w:sz="4" w:space="0" w:color="auto"/>
              <w:bottom w:val="single" w:sz="4" w:space="0" w:color="auto"/>
              <w:right w:val="single" w:sz="4" w:space="0" w:color="auto"/>
            </w:tcBorders>
          </w:tcPr>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L-istabbiliment ta’ sistema ta’ monitoraġġ u evalwazzjoni ġdida għas-Sistema Ewropea </w:t>
            </w:r>
            <w:r>
              <w:rPr>
                <w:rFonts w:ascii="Times New Roman" w:hAnsi="Times New Roman"/>
                <w:noProof/>
                <w:sz w:val="20"/>
              </w:rPr>
              <w:t>Komuni tal-Ażil u gwida biex ittejjeb l-istandards dwar il-kundizzjonijiet ta’ akkoljenza u l-proċeduri tal-ażil.</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Linji gwida għall-ġlieda kontra l-abbużi tas-sistema dwar l-ażil.</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It-tisħiħ tad-</w:t>
            </w:r>
            <w:r>
              <w:rPr>
                <w:rFonts w:ascii="Times New Roman" w:hAnsi="Times New Roman"/>
                <w:b/>
                <w:noProof/>
                <w:sz w:val="20"/>
              </w:rPr>
              <w:t>dispożizzjonijiet tal-Pajjiż ta’ Oriġini Sikur</w:t>
            </w:r>
            <w:r>
              <w:rPr>
                <w:rFonts w:ascii="Times New Roman" w:hAnsi="Times New Roman"/>
                <w:noProof/>
                <w:sz w:val="20"/>
              </w:rPr>
              <w:t xml:space="preserve"> tad-Direttiva d</w:t>
            </w:r>
            <w:r>
              <w:rPr>
                <w:rFonts w:ascii="Times New Roman" w:hAnsi="Times New Roman"/>
                <w:noProof/>
                <w:sz w:val="20"/>
              </w:rPr>
              <w:t>war il-Proċeduri tal-Ażil biex jappoġġaw l-ipproċessar ta' malajr tal-applikanti għall-ażil minn pajjiżi indikati bħala siguri.</w:t>
            </w:r>
          </w:p>
          <w:p w:rsidR="00300A70" w:rsidRPr="00E04097"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Miżuri li jippromwovu l-identifikazzjoni sistematika u t-teħid tal-marki tas-swaba’.</w:t>
            </w:r>
          </w:p>
          <w:p w:rsidR="00E04097" w:rsidRDefault="00E04097" w:rsidP="00E04097">
            <w:pPr>
              <w:pStyle w:val="ListParagraph"/>
              <w:ind w:left="360"/>
              <w:jc w:val="both"/>
              <w:rPr>
                <w:rFonts w:ascii="Times New Roman" w:hAnsi="Times New Roman" w:cs="Times New Roman"/>
                <w:noProof/>
                <w:sz w:val="20"/>
                <w:szCs w:val="20"/>
              </w:rPr>
            </w:pP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Aktar identifikaturi bijometriċi jiġu mgħod</w:t>
            </w:r>
            <w:r>
              <w:rPr>
                <w:rFonts w:ascii="Times New Roman" w:hAnsi="Times New Roman"/>
                <w:noProof/>
                <w:sz w:val="20"/>
              </w:rPr>
              <w:t xml:space="preserve">dija minn Eurodac. </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Evalwazzjoni u rieżami possibbli tar-Regolament ta’ Dublin fl-2016.</w:t>
            </w:r>
          </w:p>
        </w:tc>
      </w:tr>
    </w:tbl>
    <w:p w:rsidR="00300A70" w:rsidRDefault="00300A70">
      <w:pPr>
        <w:spacing w:before="120" w:after="0" w:line="240" w:lineRule="auto"/>
        <w:jc w:val="both"/>
        <w:rPr>
          <w:rFonts w:ascii="Times New Roman" w:hAnsi="Times New Roman" w:cs="Times New Roman"/>
          <w:b/>
          <w:noProof/>
          <w:sz w:val="20"/>
          <w:szCs w:val="20"/>
        </w:rPr>
      </w:pPr>
    </w:p>
    <w:p w:rsidR="00300A70" w:rsidRDefault="00E04097">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Politika ġdida dwar il-migrazzjoni legali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L-Ewropa qed tikkompeti ma’ ekonomiji oħrajn biex tattira ħaddiema bil-ħiliet li teħtieġ. Bidliet fil-ħiliet meħtieġa</w:t>
      </w:r>
      <w:r>
        <w:rPr>
          <w:rFonts w:ascii="Times New Roman" w:hAnsi="Times New Roman"/>
          <w:noProof/>
          <w:sz w:val="24"/>
        </w:rPr>
        <w:t xml:space="preserve"> fl-UE bejn l-2012 u l-2025 huma mistennija li juru żieda qawwija fis-sehem ta’ impjiegi li jirrikjedu xogħol b'livell ta’ edukazzjoni ogħla (bi 23 %)</w:t>
      </w:r>
      <w:r>
        <w:rPr>
          <w:rStyle w:val="FootnoteReference"/>
          <w:rFonts w:ascii="Times New Roman" w:hAnsi="Times New Roman"/>
          <w:noProof/>
          <w:sz w:val="24"/>
        </w:rPr>
        <w:footnoteReference w:id="37"/>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Diġà dehru nuqqasijiet f’setturi ewlenin bħax-xjenza, it-teknoloġija, l-inġinerija u l-kura tas-saħħa. </w:t>
      </w:r>
      <w:r>
        <w:rPr>
          <w:rFonts w:ascii="Times New Roman" w:hAnsi="Times New Roman"/>
          <w:noProof/>
          <w:sz w:val="24"/>
        </w:rPr>
        <w:t>Jeħtieġ li l-Ewropa tibni l-bażi tal-ħiliet tagħha stess u tħarreġ lin-nies għall-inklużjoni fis-suq tax-xogħol tal-lum. Il-Kummissjoni se tippreżenta Pakkett dwar il-Mobbiltà tax-Xogħol ġdid u Inizjattiva dwar il-Ħiliet ġdida</w:t>
      </w:r>
      <w:r>
        <w:rPr>
          <w:rStyle w:val="FootnoteReference"/>
          <w:rFonts w:ascii="Times New Roman" w:hAnsi="Times New Roman"/>
          <w:noProof/>
          <w:sz w:val="24"/>
        </w:rPr>
        <w:footnoteReference w:id="38"/>
      </w:r>
      <w:r>
        <w:rPr>
          <w:rFonts w:ascii="Times New Roman" w:hAnsi="Times New Roman"/>
          <w:noProof/>
          <w:sz w:val="24"/>
        </w:rPr>
        <w:t xml:space="preserve"> fl-2015, iżda anki bi sforz </w:t>
      </w:r>
      <w:r>
        <w:rPr>
          <w:rFonts w:ascii="Times New Roman" w:hAnsi="Times New Roman"/>
          <w:noProof/>
          <w:sz w:val="24"/>
        </w:rPr>
        <w:t xml:space="preserve">determinat fit-terminu medju u dak twil x’aktarx li ma nkunux kapaċi nissodisfaw il-ħtiġijiet b'mod sħiħ.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L-UE qed tiffaċċja wkoll sensiela ta’ sfidi ekonomiċi u demografiċi fuq terminu twil. Il-popolazzjoni tagħha qed tixjieħ, iżda l-ekonomija tagħha dejjem qed issir aktar dipendenti fuq impjiegi b’livell għoli ta’ ħiliet. Barra minn hekk, mingħajr il-migrazz</w:t>
      </w:r>
      <w:r>
        <w:rPr>
          <w:rFonts w:ascii="Times New Roman" w:hAnsi="Times New Roman"/>
          <w:noProof/>
          <w:sz w:val="24"/>
        </w:rPr>
        <w:t>joni l-popolazzjoni fl-età tax-xogħol tal-UE se tonqos bi 17,5-il miljun fid-deċennju li jmiss. Il-migrazzjoni se tkun dejjem iktar mezz importanti biex titjieb is-sostenibbiltà tas-sistema tal-protezzjoni soċjali tagħna u biex jiġi żgurat tkabbir sostenib</w:t>
      </w:r>
      <w:r>
        <w:rPr>
          <w:rFonts w:ascii="Times New Roman" w:hAnsi="Times New Roman"/>
          <w:noProof/>
          <w:sz w:val="24"/>
        </w:rPr>
        <w:t xml:space="preserve">bli tal-ekonomija tal-UE.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Din hija r-raġuni għaliex, anki jekk il-każ għall-migrazzjoni legali dejjem se jkun diffiċli fi żmien ta’ qgħad għoli u bidla soċjali, huwa importanti li jkun hemm fis-seħħ sistema komuni ċara u rigoruża, li tirrifletti </w:t>
      </w:r>
      <w:r>
        <w:rPr>
          <w:rFonts w:ascii="Times New Roman" w:hAnsi="Times New Roman"/>
          <w:noProof/>
          <w:sz w:val="24"/>
        </w:rPr>
        <w:t>l-interess tal-UE, inkluż billi żżomm lill-Ewropa bħala destinazzjoni attraenti għall-migranti</w:t>
      </w:r>
      <w:r>
        <w:rPr>
          <w:rStyle w:val="FootnoteReference"/>
          <w:rFonts w:ascii="Times New Roman" w:hAnsi="Times New Roman"/>
          <w:noProof/>
          <w:sz w:val="24"/>
        </w:rPr>
        <w:footnoteReference w:id="39"/>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Migrazzjoni regolari ġestita tajjeb u politika dwar il-viża</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Deċiżjonijiet dwar il-volum ta’ ammissjonijiet ta’ ċittadini ta’ pajjiżi terzi li ġejjin biex ifi</w:t>
      </w:r>
      <w:r>
        <w:rPr>
          <w:rFonts w:ascii="Times New Roman" w:hAnsi="Times New Roman"/>
          <w:noProof/>
          <w:sz w:val="24"/>
        </w:rPr>
        <w:t>ttxu x-xogħol ser jibqgħu l-kompetenza esklussiva tal-Istati Membri. Iżda hemm rwol speċifiku għall-UE. Matul is-seba’ snin li ġejjin, programmi Ewropej bħal Orizzont 2020 u Erasmus+ se jattiraw individwi b'talent lejn l-UE. Id-Direttiva dwar l-Istudenti u</w:t>
      </w:r>
      <w:r>
        <w:rPr>
          <w:rFonts w:ascii="Times New Roman" w:hAnsi="Times New Roman"/>
          <w:noProof/>
          <w:sz w:val="24"/>
        </w:rPr>
        <w:t xml:space="preserve"> r-Riċerkaturi, li bħalissa qed tiġi nnegozjata mill-koleġiżlaturi, għandha l-għan li tagħti lil dawn il-gruppi opportunitajiet ta' mobilità u ta’ tfittxija tax-xogħol. L-adozzjoni rapida tal-leġiżlazzjoni tippermetti lil dawn il-gruppi strateġikament impo</w:t>
      </w:r>
      <w:r>
        <w:rPr>
          <w:rFonts w:ascii="Times New Roman" w:hAnsi="Times New Roman"/>
          <w:noProof/>
          <w:sz w:val="24"/>
        </w:rPr>
        <w:t>rtanti biex jaraw lill-UE bħala ambjent sikur għal xogħolhom</w:t>
      </w:r>
      <w:r>
        <w:rPr>
          <w:rStyle w:val="FootnoteReference"/>
          <w:rFonts w:ascii="Times New Roman" w:hAnsi="Times New Roman"/>
          <w:noProof/>
          <w:sz w:val="24"/>
        </w:rPr>
        <w:footnoteReference w:id="40"/>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Il-pass li jmiss għandu jkun skema attraenti mifruxa mal-UE kollha għal ċittadini ta’ pajjiżi terzi bi kwalifiki għoljin. Id-</w:t>
      </w:r>
      <w:r>
        <w:rPr>
          <w:rFonts w:ascii="Times New Roman" w:hAnsi="Times New Roman"/>
          <w:b/>
          <w:noProof/>
          <w:sz w:val="24"/>
        </w:rPr>
        <w:t>Direttiva dwar il-Karta Blu</w:t>
      </w:r>
      <w:r>
        <w:rPr>
          <w:rStyle w:val="FootnoteReference"/>
          <w:rFonts w:ascii="Times New Roman" w:hAnsi="Times New Roman"/>
          <w:b/>
          <w:noProof/>
          <w:sz w:val="24"/>
        </w:rPr>
        <w:footnoteReference w:id="41"/>
      </w:r>
      <w:r>
        <w:rPr>
          <w:rFonts w:ascii="Times New Roman" w:hAnsi="Times New Roman"/>
          <w:noProof/>
          <w:sz w:val="24"/>
        </w:rPr>
        <w:t xml:space="preserve"> diġà tipprovdi skema bħal din, iżda fl</w:t>
      </w:r>
      <w:r>
        <w:rPr>
          <w:rFonts w:ascii="Times New Roman" w:hAnsi="Times New Roman"/>
          <w:noProof/>
          <w:sz w:val="24"/>
        </w:rPr>
        <w:t>-ewwel sentejn tagħha, inħarġu biss 16,000 Karta Blu u 13,000 kienu maħruġa minn Stat Membru wieħed. Sal-aħħar ta’ Mejju, il-Kummissjoni se tniedi konsultazzjoni pubblika dwar il-futur tad-Direttiva dwar il-Karta Blu. Reviżjoni tad-Direttiva se tħares lejn</w:t>
      </w:r>
      <w:r>
        <w:rPr>
          <w:rFonts w:ascii="Times New Roman" w:hAnsi="Times New Roman"/>
          <w:noProof/>
          <w:sz w:val="24"/>
        </w:rPr>
        <w:t xml:space="preserve"> kif hija tista’ ssir iktar effettiva biex tattira t-talent lejn l-Ewropa. Ir-rieżami jista’ jinkludi studju dwar kwistjonijiet ta’ ambitu bħal pereżempju intraprendituri li huma lesti li jinvestu fl-Ewropa, jew it-titjib tal-possibbiltajiet għal mobbiltà </w:t>
      </w:r>
      <w:r>
        <w:rPr>
          <w:rFonts w:ascii="Times New Roman" w:hAnsi="Times New Roman"/>
          <w:noProof/>
          <w:sz w:val="24"/>
        </w:rPr>
        <w:t xml:space="preserve">intra UE għad-detenturi tal-Karta Blu.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Settur ieħor b’impatt ekonomiku importanti huwa s-</w:t>
      </w:r>
      <w:r>
        <w:rPr>
          <w:rFonts w:ascii="Times New Roman" w:hAnsi="Times New Roman"/>
          <w:b/>
          <w:noProof/>
          <w:sz w:val="24"/>
        </w:rPr>
        <w:t>servizzi</w:t>
      </w:r>
      <w:r>
        <w:rPr>
          <w:rFonts w:ascii="Times New Roman" w:hAnsi="Times New Roman"/>
          <w:noProof/>
          <w:sz w:val="24"/>
        </w:rPr>
        <w:t xml:space="preserve">. Is-settur tas-servizzi jinkludi professjonisti barranin imħarrġa sew, b’livell għoli ta’ għarfien li għandhom bżonn jivvjaġġaw lejn l-UE għal perjodi qosra </w:t>
      </w:r>
      <w:r>
        <w:rPr>
          <w:rFonts w:ascii="Times New Roman" w:hAnsi="Times New Roman"/>
          <w:noProof/>
          <w:sz w:val="24"/>
        </w:rPr>
        <w:t>sabiex jipprovdu servizzi lil negozji jew gvernijiet. Il-Kummissjoni se tivvaluta modi possibbli biex tipprovdi ċertezza legali għal dawn il-kategoriji ta’ persuni, ukoll sabiex issaħħaħ il-pożizzjoni tal-UE sabiex titlob reċiproċitajiet meta tinnegozja Ft</w:t>
      </w:r>
      <w:r>
        <w:rPr>
          <w:rFonts w:ascii="Times New Roman" w:hAnsi="Times New Roman"/>
          <w:noProof/>
          <w:sz w:val="24"/>
        </w:rPr>
        <w:t>ehimiet ta’ Kummerċ Ħieles (FTAs).</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Ir-rwol tal-Istati Membri f’dawn id-deċiżjonijiet jappella għal djalogu aktar dirett u miftuħ biex tinbena fehma u approċċi ta’ politika komuni u jsir skambju tal-aħjar prattika fil-livell Ewropew. Il-Kummissjoni se tappo</w:t>
      </w:r>
      <w:r>
        <w:rPr>
          <w:rFonts w:ascii="Times New Roman" w:hAnsi="Times New Roman"/>
          <w:noProof/>
          <w:sz w:val="24"/>
        </w:rPr>
        <w:t>ġġ</w:t>
      </w:r>
      <w:r>
        <w:rPr>
          <w:rFonts w:ascii="Times New Roman" w:hAnsi="Times New Roman"/>
          <w:noProof/>
          <w:sz w:val="24"/>
        </w:rPr>
        <w:t>a lill-Istati Membri fil-promozzjoni ta’ djalogu permanenti u ta’ evalwazzjoni bejn il-pari fil-livell Ewropew dwar kwistjonijiet bħan-nuqqasijiet fis-suq tax-xogħol, ir-regolarizzazzjoni u l-integrazzjoni — kwistjonijiet fejn deċiżjonijiet minn Stat Mem</w:t>
      </w:r>
      <w:r>
        <w:rPr>
          <w:rFonts w:ascii="Times New Roman" w:hAnsi="Times New Roman"/>
          <w:noProof/>
          <w:sz w:val="24"/>
        </w:rPr>
        <w:t xml:space="preserve">bru wieħed ikollhom impatt fuq l-oħrajn.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Il-Kummissjoni se tistabbilixxi wkoll pjattaforma ta’ djalogu biex tinkludi kontribut min-negozji, it-trejdjunjins u sħab soċjali oħra, biex jiġu massimizzati l-benefiċċji tal-migrazzjoni għall-ekonomija Ewropea u </w:t>
      </w:r>
      <w:r>
        <w:rPr>
          <w:rFonts w:ascii="Times New Roman" w:hAnsi="Times New Roman"/>
          <w:noProof/>
          <w:sz w:val="24"/>
        </w:rPr>
        <w:t xml:space="preserve">l-migranti nfushom. </w:t>
      </w:r>
    </w:p>
    <w:p w:rsidR="00300A70" w:rsidRDefault="00E04097">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L-UE għandha bżonn l-għodod biex tidentifika dawk is-setturi ekonomiċi u x-xogħlijiet li qed jaffaċċjaw, jew se jaffaċċjaw, </w:t>
      </w:r>
      <w:r>
        <w:rPr>
          <w:rFonts w:ascii="Times New Roman" w:hAnsi="Times New Roman"/>
          <w:b/>
          <w:noProof/>
          <w:sz w:val="24"/>
        </w:rPr>
        <w:t>diffikultajiet fir-reklutaġġ jew diskrepanzi fil-ħiliet</w:t>
      </w:r>
      <w:r>
        <w:rPr>
          <w:rFonts w:ascii="Times New Roman" w:hAnsi="Times New Roman"/>
          <w:noProof/>
          <w:sz w:val="24"/>
        </w:rPr>
        <w:t>. L-għodod eżistenti diġà jipprovdu xi informazzjoni, iż</w:t>
      </w:r>
      <w:r>
        <w:rPr>
          <w:rFonts w:ascii="Times New Roman" w:hAnsi="Times New Roman"/>
          <w:noProof/>
          <w:sz w:val="24"/>
        </w:rPr>
        <w:t>da hemm bżonn ta’ stampa aktar kompluta</w:t>
      </w:r>
      <w:r>
        <w:rPr>
          <w:rStyle w:val="FootnoteReference"/>
          <w:rFonts w:ascii="Times New Roman" w:hAnsi="Times New Roman"/>
          <w:noProof/>
          <w:sz w:val="24"/>
        </w:rPr>
        <w:footnoteReference w:id="42"/>
      </w:r>
      <w:r>
        <w:rPr>
          <w:rFonts w:ascii="Times New Roman" w:hAnsi="Times New Roman"/>
          <w:noProof/>
          <w:sz w:val="24"/>
        </w:rPr>
        <w:t>. Portali web eżistenti, bħal pereżempju l-portal dwar il-Migrazzjoni tal-UE u l-Portal għall-Mobilità tal-Impjiegi tal-Ewropa (EURES) jista’ jkollhom ukoll rwol importanti fl-iffaċilitar tat-tqabbil tal-impjiegi għa</w:t>
      </w:r>
      <w:r>
        <w:rPr>
          <w:rFonts w:ascii="Times New Roman" w:hAnsi="Times New Roman"/>
          <w:noProof/>
          <w:sz w:val="24"/>
        </w:rPr>
        <w:t>l ċittadini ta’ pajjiżi terzi li diġà jinsabu fl-UE. Fit-tqabbil tal-ħiliet tal-migranti, problema partikolari hija n-nuqqas ta’ rikonoxximent tal-kwalifiki miksuba minn migranti f’pajjiżhom. L-UE tista’ tgħin biex jitjieb il-fehim tal-kwalifiki miksuba ba</w:t>
      </w:r>
      <w:r>
        <w:rPr>
          <w:rFonts w:ascii="Times New Roman" w:hAnsi="Times New Roman"/>
          <w:noProof/>
          <w:sz w:val="24"/>
        </w:rPr>
        <w:t>rra l-UE</w:t>
      </w:r>
      <w:r>
        <w:rPr>
          <w:rStyle w:val="FootnoteReference"/>
          <w:rFonts w:ascii="Times New Roman" w:hAnsi="Times New Roman"/>
          <w:noProof/>
          <w:sz w:val="24"/>
        </w:rPr>
        <w:footnoteReference w:id="43"/>
      </w:r>
      <w:r>
        <w:rPr>
          <w:rFonts w:ascii="Times New Roman" w:hAnsi="Times New Roman"/>
          <w:noProof/>
          <w:sz w:val="24"/>
        </w:rPr>
        <w:t xml:space="preserve">.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L-isforzi li qed isiru biex tiġi żviluppata l-politika ta’ migrazzjoni legali ġdida tagħna jirriflettu </w:t>
      </w:r>
      <w:r>
        <w:rPr>
          <w:rFonts w:ascii="Times New Roman" w:hAnsi="Times New Roman"/>
          <w:b/>
          <w:noProof/>
          <w:sz w:val="24"/>
        </w:rPr>
        <w:t>l-immodernizzar tal-politika tal-viża tagħna</w:t>
      </w:r>
      <w:r>
        <w:rPr>
          <w:rStyle w:val="FootnoteReference"/>
          <w:rFonts w:ascii="Times New Roman" w:hAnsi="Times New Roman"/>
          <w:noProof/>
          <w:sz w:val="24"/>
        </w:rPr>
        <w:footnoteReference w:id="44"/>
      </w:r>
      <w:r>
        <w:rPr>
          <w:rFonts w:ascii="Times New Roman" w:hAnsi="Times New Roman"/>
          <w:noProof/>
          <w:sz w:val="24"/>
        </w:rPr>
        <w:t>. Fl-2014, il-Kummissjoni ressqet reviżjoni tal-Kodiċi dwar il-Viżi u pproponiet l-istabbiliment</w:t>
      </w:r>
      <w:r>
        <w:rPr>
          <w:rFonts w:ascii="Times New Roman" w:hAnsi="Times New Roman"/>
          <w:noProof/>
          <w:sz w:val="24"/>
        </w:rPr>
        <w:t xml:space="preserve"> ta’ tip ġdid ta’ viża: il-Viża Itineranti</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L-adozzjoni ta’ dawn il-proposti se tipprovdi lill-UE b'għodod ta’ politika tal-viża aktar flessibbli, bil-għan li jiġi massimizzat l-impatt ekonomiku pożittiv li jiġu attirati aktar turisti, u viżitaturi fuq ra</w:t>
      </w:r>
      <w:r>
        <w:rPr>
          <w:rFonts w:ascii="Times New Roman" w:hAnsi="Times New Roman"/>
          <w:noProof/>
          <w:sz w:val="24"/>
        </w:rPr>
        <w:t>ġ</w:t>
      </w:r>
      <w:r>
        <w:rPr>
          <w:rFonts w:ascii="Times New Roman" w:hAnsi="Times New Roman"/>
          <w:noProof/>
          <w:sz w:val="24"/>
        </w:rPr>
        <w:t xml:space="preserve">unijiet personali jew professjonali filwaqt li jiġu minimizzati r-riskji tal-migrazzjoni irregolari u s-sigurtà. Il-Kummissjoni se tikkonkludi wkoll sal-aħħar tal-2015 </w:t>
      </w:r>
      <w:r>
        <w:rPr>
          <w:rFonts w:ascii="Times New Roman" w:hAnsi="Times New Roman"/>
          <w:b/>
          <w:noProof/>
          <w:sz w:val="24"/>
        </w:rPr>
        <w:t>ir-rieżami attwali tagħha ta’ liema nazzjonalitajiet jeħtieġu viżi</w:t>
      </w:r>
      <w:r>
        <w:rPr>
          <w:rFonts w:ascii="Times New Roman" w:hAnsi="Times New Roman"/>
          <w:noProof/>
          <w:sz w:val="24"/>
        </w:rPr>
        <w:t xml:space="preserve"> u tista’ tipproponi </w:t>
      </w:r>
      <w:r>
        <w:rPr>
          <w:rFonts w:ascii="Times New Roman" w:hAnsi="Times New Roman"/>
          <w:noProof/>
          <w:sz w:val="24"/>
        </w:rPr>
        <w:t xml:space="preserve">li tneħħi r-rekwiżiti tal-viża għal xi nazzjonalitajiet, fuq bażi reċiproka, jew li timponi mill-ġdid ir-rekwiżiti tal-viża għal oħrajn. Dan se jqis id-djalogi politiċi li għaddejjin ma’ pajjiżi ewlenin dwar kwistjonijiet ta' migrazzjoni u mobilità.     </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i/>
          <w:noProof/>
          <w:sz w:val="24"/>
        </w:rPr>
        <w:t>I</w:t>
      </w:r>
      <w:r>
        <w:rPr>
          <w:rFonts w:ascii="Times New Roman" w:hAnsi="Times New Roman"/>
          <w:i/>
          <w:noProof/>
          <w:sz w:val="24"/>
        </w:rPr>
        <w:t>ntegrazzjoni effettiva</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Il-politika ta’ migrazzjoni tagħna tirnexxi jekk tkun sostnuta minn politiki effettivi ta’ integrazzjoni. Għalkemm il-kompetenza taqa’ primarjament f’idejn l-Istati Membri, l-Unjoni Ewropea tista’ tappoġġa azzjonijiet minn gvernijiet</w:t>
      </w:r>
      <w:r>
        <w:rPr>
          <w:rFonts w:ascii="Times New Roman" w:hAnsi="Times New Roman"/>
          <w:noProof/>
          <w:sz w:val="24"/>
        </w:rPr>
        <w:t xml:space="preserve"> nazzjonali, awtoritajiet lokali u s-soċjetà ċivili involuti fil-proċess kumpless u għal perjodu twil tat-trawwim tal-integrazzjoni u l-fiduċja reċiproka. </w:t>
      </w:r>
    </w:p>
    <w:p w:rsidR="00300A70" w:rsidRDefault="00E04097">
      <w:pPr>
        <w:spacing w:before="120" w:after="0" w:line="240" w:lineRule="auto"/>
        <w:jc w:val="both"/>
        <w:rPr>
          <w:rFonts w:ascii="Times New Roman" w:hAnsi="Times New Roman"/>
          <w:noProof/>
          <w:sz w:val="24"/>
          <w:szCs w:val="24"/>
        </w:rPr>
      </w:pPr>
      <w:r>
        <w:rPr>
          <w:rFonts w:ascii="Times New Roman" w:hAnsi="Times New Roman"/>
          <w:noProof/>
          <w:sz w:val="24"/>
        </w:rPr>
        <w:t xml:space="preserve">Il-finanzjament huwa pprovdut permezz tal-Fond għall-Ażil, il-Migrazzjoni u l-Integrazzjoni (AMIF). </w:t>
      </w:r>
      <w:r>
        <w:rPr>
          <w:rFonts w:ascii="Times New Roman" w:hAnsi="Times New Roman"/>
          <w:noProof/>
          <w:sz w:val="24"/>
        </w:rPr>
        <w:t>Iżda l-Fond Ewropew għall-Iżvilupp Reġjonali (FEŻR) u l-Fond Soċjali Ewropew (FSE) jistgħu wkoll ikunu ta’ importanza partikolari</w:t>
      </w:r>
      <w:r>
        <w:rPr>
          <w:rStyle w:val="FootnoteReference"/>
          <w:rFonts w:ascii="Times New Roman" w:hAnsi="Times New Roman"/>
          <w:noProof/>
          <w:sz w:val="24"/>
        </w:rPr>
        <w:footnoteReference w:id="46"/>
      </w:r>
      <w:r>
        <w:rPr>
          <w:rFonts w:ascii="Times New Roman" w:hAnsi="Times New Roman"/>
          <w:noProof/>
          <w:sz w:val="24"/>
        </w:rPr>
        <w:t xml:space="preserve">. Għall-perjodu ta’ programmazzjoni l-ġdid (2014-20), mill-inqas 20% tar-riżorsi tal-FSE ser jikkontribwixxu għall-inklużjoni </w:t>
      </w:r>
      <w:r>
        <w:rPr>
          <w:rFonts w:ascii="Times New Roman" w:hAnsi="Times New Roman"/>
          <w:noProof/>
          <w:sz w:val="24"/>
        </w:rPr>
        <w:t xml:space="preserve">soċjali, li jinkludu miżuri favur </w:t>
      </w:r>
      <w:r>
        <w:rPr>
          <w:rFonts w:ascii="Times New Roman" w:hAnsi="Times New Roman"/>
          <w:b/>
          <w:noProof/>
          <w:sz w:val="24"/>
        </w:rPr>
        <w:t>l-integrazzjoni tal-migranti</w:t>
      </w:r>
      <w:r>
        <w:rPr>
          <w:rFonts w:ascii="Times New Roman" w:hAnsi="Times New Roman"/>
          <w:noProof/>
          <w:sz w:val="24"/>
        </w:rPr>
        <w:t>, b’enfasi partikolari fuq dawk li qed ifittxu l-ażil u r-refuġjati kif ukoll fuq it-tfal. Il-Fondi jistgħu jappoġġaw inizjattivi mmirati biex itejbu l-ħiliet lingwistiċi u professjonali, itejbu</w:t>
      </w:r>
      <w:r>
        <w:rPr>
          <w:rFonts w:ascii="Times New Roman" w:hAnsi="Times New Roman"/>
          <w:noProof/>
          <w:sz w:val="24"/>
        </w:rPr>
        <w:t xml:space="preserve"> l-aċċess għas-servizzi, jippromwovu l-aċċess għas-suq tax-xogħol, l-edukazzjoni inklużiva, irawmu skambji interkulturali u jippromwovu kampanji ta’ sensibilizzazzjoni mmirati kemm lejn il-komunitajiet ospitanti kif ukoll il-migranti.   </w:t>
      </w:r>
    </w:p>
    <w:p w:rsidR="00300A70" w:rsidRDefault="00E04097">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Il-massimizzazzjon</w:t>
      </w:r>
      <w:r>
        <w:rPr>
          <w:rFonts w:ascii="Times New Roman" w:hAnsi="Times New Roman"/>
          <w:i/>
          <w:noProof/>
          <w:sz w:val="24"/>
        </w:rPr>
        <w:t>i tal-benefiċċji tal-iżvilupp għal pajjiżi ta’ oriġini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Il-politika dwar il-migrazzjoni legali tal-UE għandha tappoġġa wkoll l-iżvilupp ta’ pajjiżi ta’ oriġini</w:t>
      </w:r>
      <w:r>
        <w:rPr>
          <w:rStyle w:val="FootnoteReference"/>
          <w:rFonts w:ascii="Times New Roman" w:hAnsi="Times New Roman"/>
          <w:noProof/>
          <w:sz w:val="24"/>
        </w:rPr>
        <w:footnoteReference w:id="47"/>
      </w:r>
      <w:r>
        <w:rPr>
          <w:rFonts w:ascii="Times New Roman" w:hAnsi="Times New Roman"/>
          <w:noProof/>
          <w:sz w:val="24"/>
        </w:rPr>
        <w:t xml:space="preserve">. In-Nazzjonijiet Uniti dalwaqt se jadottaw </w:t>
      </w:r>
      <w:r>
        <w:rPr>
          <w:rFonts w:ascii="Times New Roman" w:hAnsi="Times New Roman"/>
          <w:b/>
          <w:noProof/>
          <w:sz w:val="24"/>
        </w:rPr>
        <w:t>Għanijiet ta’ Żvilupp Sostenibbli (SDGs)</w:t>
      </w:r>
      <w:r>
        <w:rPr>
          <w:rFonts w:ascii="Times New Roman" w:hAnsi="Times New Roman"/>
          <w:noProof/>
          <w:sz w:val="24"/>
        </w:rPr>
        <w:t xml:space="preserve">, u għandhom </w:t>
      </w:r>
      <w:r>
        <w:rPr>
          <w:rFonts w:ascii="Times New Roman" w:hAnsi="Times New Roman"/>
          <w:noProof/>
          <w:sz w:val="24"/>
        </w:rPr>
        <w:t>jiġu inklużi miri relatati mal-migrazzjoni, flimkien ma’ miri f’oqsma bħall-promozzjoni tax-xogħol deċenti, l-impjiegi għaż-żgħażagħ, politiki ta’ protezzjoni tal-pagi u soċjali li jistgħu jgħinu lill-pajjiżi ta’ oriġini biex joħolqu opportunitajiet ekonom</w:t>
      </w:r>
      <w:r>
        <w:rPr>
          <w:rFonts w:ascii="Times New Roman" w:hAnsi="Times New Roman"/>
          <w:noProof/>
          <w:sz w:val="24"/>
        </w:rPr>
        <w:t xml:space="preserve">iċi aħjar f’pajjiżhom. L-UE ser tkompli tappoġġa b’mod attiv miri relatati mal-migrazzjoni bħala parti mill-qafas ġenerali finali, u tenfasizza l-importanza li jiġu sfruttati l-effetti pożittivi tal-migrazzjoni bħala mezzi orizzontali tal-implimentazzjoni </w:t>
      </w:r>
      <w:r>
        <w:rPr>
          <w:rFonts w:ascii="Times New Roman" w:hAnsi="Times New Roman"/>
          <w:noProof/>
          <w:sz w:val="24"/>
        </w:rPr>
        <w:t>tal-aġenda għall-iżvilupp għal wara l-2015. Dan jikkomplementa l-ħidma tas-</w:t>
      </w:r>
      <w:r>
        <w:rPr>
          <w:rFonts w:ascii="Times New Roman" w:hAnsi="Times New Roman"/>
          <w:b/>
          <w:noProof/>
          <w:sz w:val="24"/>
        </w:rPr>
        <w:t>Sħubijiet ta’ Mobilità</w:t>
      </w:r>
      <w:r>
        <w:rPr>
          <w:rFonts w:ascii="Times New Roman" w:hAnsi="Times New Roman"/>
          <w:noProof/>
          <w:sz w:val="24"/>
        </w:rPr>
        <w:t xml:space="preserve"> tal-UE</w:t>
      </w:r>
      <w:r>
        <w:rPr>
          <w:rStyle w:val="FootnoteReference"/>
          <w:rFonts w:ascii="Times New Roman" w:hAnsi="Times New Roman"/>
          <w:noProof/>
          <w:sz w:val="24"/>
        </w:rPr>
        <w:footnoteReference w:id="48"/>
      </w:r>
      <w:r>
        <w:rPr>
          <w:rFonts w:ascii="Times New Roman" w:hAnsi="Times New Roman"/>
          <w:noProof/>
          <w:sz w:val="24"/>
        </w:rPr>
        <w:t xml:space="preserve"> u l-isforzi tagħna biex nintegraw kwistjonijiet ta’ migrazzjoni f’setturi għall-iżvilupp fundamentali.</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Il-Kummissjoni se tagħmel disponibbli wkoll mil</w:t>
      </w:r>
      <w:r>
        <w:rPr>
          <w:rFonts w:ascii="Times New Roman" w:hAnsi="Times New Roman"/>
          <w:noProof/>
          <w:sz w:val="24"/>
        </w:rPr>
        <w:t>l-inqas EUR 30 miljun biex tappoġġa s-sħab bil-bini tal-kapaċità fuq il-</w:t>
      </w:r>
      <w:r>
        <w:rPr>
          <w:rFonts w:ascii="Times New Roman" w:hAnsi="Times New Roman"/>
          <w:b/>
          <w:noProof/>
          <w:sz w:val="24"/>
        </w:rPr>
        <w:t>ġ</w:t>
      </w:r>
      <w:r>
        <w:rPr>
          <w:rFonts w:ascii="Times New Roman" w:hAnsi="Times New Roman"/>
          <w:b/>
          <w:noProof/>
          <w:sz w:val="24"/>
        </w:rPr>
        <w:t>estjoni effettiva tal-migrazzjoni tal-ħaddiema</w:t>
      </w:r>
      <w:r>
        <w:rPr>
          <w:rFonts w:ascii="Times New Roman" w:hAnsi="Times New Roman"/>
          <w:noProof/>
          <w:sz w:val="24"/>
        </w:rPr>
        <w:t xml:space="preserve">, filwaqt li tiffoka fuq l-għoti tas-setgħa lil ħaddiema migranti u l-indirizzar tal-isfruttament. Biex tirrifletti s-suċċess tal-Ewropa </w:t>
      </w:r>
      <w:r>
        <w:rPr>
          <w:rFonts w:ascii="Times New Roman" w:hAnsi="Times New Roman"/>
          <w:noProof/>
          <w:sz w:val="24"/>
        </w:rPr>
        <w:t>fl-istabbiliment ta' suq uniku bbażat fuq il-mobilità tax-xogħol, l-UE nediet ukoll inizjattiva ta' EUR 24 miljun biex tappoġġa l-moviment ħieles fi ħdan il-Komunità Ekonomika tal-Istati tal-Afrika tal-Punent. Skemi ta’ mobilità tax-xogħol reġjonali li jin</w:t>
      </w:r>
      <w:r>
        <w:rPr>
          <w:rFonts w:ascii="Times New Roman" w:hAnsi="Times New Roman"/>
          <w:noProof/>
          <w:sz w:val="24"/>
        </w:rPr>
        <w:t xml:space="preserve">koraġġixxu </w:t>
      </w:r>
      <w:r>
        <w:rPr>
          <w:rFonts w:ascii="Times New Roman" w:hAnsi="Times New Roman"/>
          <w:b/>
          <w:noProof/>
          <w:sz w:val="24"/>
        </w:rPr>
        <w:t>mobilità min-Nofsinhar għan-Nofsinhar</w:t>
      </w:r>
      <w:r>
        <w:rPr>
          <w:rFonts w:ascii="Times New Roman" w:hAnsi="Times New Roman"/>
          <w:noProof/>
          <w:sz w:val="24"/>
        </w:rPr>
        <w:t xml:space="preserve"> jistgħu jagħtu kontribut importanti għall-iżvilupp lokali. Il-Kummissjoni se tippromwovi wkoll reklutaġġ etiku f’setturi li jbatu minn nuqqas ta’ persunal kwalifikat fil-pajjiżi tal-oriġini billi tappoġġa l-</w:t>
      </w:r>
      <w:r>
        <w:rPr>
          <w:rFonts w:ascii="Times New Roman" w:hAnsi="Times New Roman"/>
          <w:noProof/>
          <w:sz w:val="24"/>
        </w:rPr>
        <w:t>inizjattivi internazzjonali f’dan il-qasam.</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Mod ta’ kif l-UE tista’ tgħin biex tiżgura li l-pajjiżi ta’ oriġini jibbenefikaw mill-migrazzjoni huwa permezz tal-</w:t>
      </w:r>
      <w:r>
        <w:rPr>
          <w:rFonts w:ascii="Times New Roman" w:hAnsi="Times New Roman"/>
          <w:b/>
          <w:noProof/>
          <w:sz w:val="24"/>
        </w:rPr>
        <w:t>iffaċilitar ta' trasferimenti ta’ rimessi orħos, aktar rapidi u aktar sikuri.</w:t>
      </w:r>
      <w:r>
        <w:rPr>
          <w:rFonts w:ascii="Times New Roman" w:hAnsi="Times New Roman"/>
          <w:noProof/>
          <w:sz w:val="24"/>
        </w:rPr>
        <w:t xml:space="preserve"> L-adozzjoni tal-pro</w:t>
      </w:r>
      <w:r>
        <w:rPr>
          <w:rFonts w:ascii="Times New Roman" w:hAnsi="Times New Roman"/>
          <w:noProof/>
          <w:sz w:val="24"/>
        </w:rPr>
        <w:t>posta għal "Direttiva dwar is-Servizzi ta’ Pagament II tal-UE"</w:t>
      </w:r>
      <w:r>
        <w:rPr>
          <w:rStyle w:val="FootnoteReference"/>
          <w:rFonts w:ascii="Times New Roman" w:hAnsi="Times New Roman"/>
          <w:noProof/>
          <w:sz w:val="24"/>
        </w:rPr>
        <w:footnoteReference w:id="49"/>
      </w:r>
      <w:r>
        <w:rPr>
          <w:rFonts w:ascii="Times New Roman" w:hAnsi="Times New Roman"/>
          <w:noProof/>
          <w:sz w:val="24"/>
        </w:rPr>
        <w:t xml:space="preserve"> tkun tista’ tgħin sabiex issaħħaħ l-ambjent regolatorju għal rimessi, u mill-inqas EUR 15-il miljun se jsiru disponibbli permezz tal-Istrument ta' Kooperazzjoni għall-Iżvilupp biex jappoġġjaw </w:t>
      </w:r>
      <w:r>
        <w:rPr>
          <w:rFonts w:ascii="Times New Roman" w:hAnsi="Times New Roman"/>
          <w:noProof/>
          <w:sz w:val="24"/>
        </w:rPr>
        <w:t xml:space="preserve">inizjattivi ewlenin f’pajjiżi li qed jiżviluppaw. </w:t>
      </w:r>
    </w:p>
    <w:p w:rsidR="00300A70" w:rsidRDefault="00300A70">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300A70">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A70" w:rsidRDefault="00E04097">
            <w:pPr>
              <w:jc w:val="center"/>
              <w:rPr>
                <w:rFonts w:ascii="Times New Roman" w:hAnsi="Times New Roman" w:cs="Times New Roman"/>
                <w:b/>
                <w:i/>
                <w:noProof/>
                <w:sz w:val="20"/>
                <w:szCs w:val="20"/>
              </w:rPr>
            </w:pPr>
            <w:r>
              <w:rPr>
                <w:rFonts w:ascii="Times New Roman" w:hAnsi="Times New Roman"/>
                <w:b/>
                <w:i/>
                <w:noProof/>
                <w:sz w:val="20"/>
              </w:rPr>
              <w:t>Azzjonijiet Ewlenija</w:t>
            </w:r>
          </w:p>
        </w:tc>
        <w:tc>
          <w:tcPr>
            <w:tcW w:w="7620" w:type="dxa"/>
            <w:tcBorders>
              <w:top w:val="single" w:sz="4" w:space="0" w:color="auto"/>
              <w:left w:val="single" w:sz="4" w:space="0" w:color="auto"/>
              <w:bottom w:val="single" w:sz="4" w:space="0" w:color="auto"/>
              <w:right w:val="single" w:sz="4" w:space="0" w:color="auto"/>
            </w:tcBorders>
          </w:tcPr>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Modernizzazzjoni u rieżami tal-iskema tal-Karta Blu.</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Pjattaforma għad-djalogu mas-sħab soċjali dwar il-migrazzjoni ekonomika.</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Azzjoni iktar b’saħħitha biex torbot il-politika tal-migr</w:t>
            </w:r>
            <w:r>
              <w:rPr>
                <w:rFonts w:ascii="Times New Roman" w:hAnsi="Times New Roman"/>
                <w:noProof/>
                <w:sz w:val="20"/>
              </w:rPr>
              <w:t>azzjoni u l-iżvilupp.</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Finanzjament ta' prijoritizzazzjoni mill-ġdid għall-politiki ta’ integrazzjoni</w:t>
            </w:r>
          </w:p>
          <w:p w:rsidR="00300A70" w:rsidRDefault="00E04097">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Trasferimenti ta' rimessi orħos, aktar mgħaġġlin u aktar siguri.</w:t>
            </w:r>
          </w:p>
        </w:tc>
      </w:tr>
    </w:tbl>
    <w:p w:rsidR="00300A70" w:rsidRDefault="00300A70">
      <w:pPr>
        <w:tabs>
          <w:tab w:val="left" w:pos="6750"/>
        </w:tabs>
        <w:spacing w:line="240" w:lineRule="auto"/>
        <w:rPr>
          <w:rFonts w:ascii="Times New Roman" w:hAnsi="Times New Roman" w:cs="Times New Roman"/>
          <w:b/>
          <w:noProof/>
          <w:sz w:val="20"/>
          <w:szCs w:val="20"/>
        </w:rPr>
      </w:pPr>
    </w:p>
    <w:p w:rsidR="00300A70" w:rsidRDefault="00E04097">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Nimxu 'l quddiem</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Din l-Aġenda primarjament tiffoka fuq l-offerta ta' soluzzjonijiet </w:t>
      </w:r>
      <w:r>
        <w:rPr>
          <w:rFonts w:ascii="Times New Roman" w:hAnsi="Times New Roman"/>
          <w:noProof/>
          <w:sz w:val="24"/>
        </w:rPr>
        <w:t>li se jippermettu lill-Ewropa timxi ‘l quddiem f’dawn l-oqsma fit-terminu qasir u twil. Iżda jekk irridu nindirizzaw dawn il-kwistjonijiet b’mod effettiv u sostenibbli fuq it-terminu twil, il-kooperazzjoni Ewropea fil-qasam tal-migrazzjoni teħtieġ li tagħm</w:t>
      </w:r>
      <w:r>
        <w:rPr>
          <w:rFonts w:ascii="Times New Roman" w:hAnsi="Times New Roman"/>
          <w:noProof/>
          <w:sz w:val="24"/>
        </w:rPr>
        <w:t>el iktar.</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L-inizjattivi li jinsabu fl-Aġenda se jkunu kruċjali fit-tfassil ta’ politika tal-migrazzjoni Ewropea effettiva u bilanċjata. Fil-kamp ta’ applikazzjoni tat-Trattati u l-Protokolli rilevanti tagħha, il-Kummissjoni se tniedi riflessjonijiet parall</w:t>
      </w:r>
      <w:r>
        <w:rPr>
          <w:rFonts w:ascii="Times New Roman" w:hAnsi="Times New Roman"/>
          <w:noProof/>
          <w:sz w:val="24"/>
        </w:rPr>
        <w:t>eli fuq għadd ta’ oqsma:</w:t>
      </w:r>
    </w:p>
    <w:p w:rsidR="00300A70" w:rsidRDefault="00E04097">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300A70" w:rsidRDefault="00E04097">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It-tlestija tas-Sistema Ewropea Komuni tal-Ażil:</w:t>
      </w:r>
      <w:r>
        <w:rPr>
          <w:rFonts w:ascii="Times New Roman" w:hAnsi="Times New Roman"/>
          <w:noProof/>
          <w:sz w:val="24"/>
        </w:rPr>
        <w:t xml:space="preserve"> It-Trattati tal-UE jawspikaw status ta’ ażil uniformi validu fl-Unjoni kollha.</w:t>
      </w:r>
      <w:r>
        <w:rPr>
          <w:rFonts w:ascii="Times New Roman" w:hAnsi="Times New Roman"/>
          <w:b/>
          <w:noProof/>
          <w:sz w:val="24"/>
        </w:rPr>
        <w:t xml:space="preserve"> </w:t>
      </w:r>
      <w:r>
        <w:rPr>
          <w:rFonts w:ascii="Times New Roman" w:hAnsi="Times New Roman"/>
          <w:noProof/>
          <w:sz w:val="24"/>
        </w:rPr>
        <w:t>Il-Kummissjoni se tniedi dibattitu wiesa’ dwar il-passi li jmiss fl-iżvilupp ta’ Sistema Ewropea Komu</w:t>
      </w:r>
      <w:r>
        <w:rPr>
          <w:rFonts w:ascii="Times New Roman" w:hAnsi="Times New Roman"/>
          <w:noProof/>
          <w:sz w:val="24"/>
        </w:rPr>
        <w:t>ni tal-Ażil, inklużi kwistjonijiet bħall-Kodiċi tal-Ażil komuni u r-rikonoxximent reċiproku ta’ deċiżjonijiet dwar l-ażil</w:t>
      </w:r>
      <w:r>
        <w:rPr>
          <w:rStyle w:val="FootnoteReference"/>
          <w:rFonts w:ascii="Times New Roman" w:hAnsi="Times New Roman"/>
          <w:noProof/>
          <w:sz w:val="24"/>
        </w:rPr>
        <w:footnoteReference w:id="50"/>
      </w:r>
      <w:r>
        <w:rPr>
          <w:rFonts w:ascii="Times New Roman" w:hAnsi="Times New Roman"/>
          <w:noProof/>
          <w:sz w:val="24"/>
        </w:rPr>
        <w:t>. Parti mid-dibattitu se jinkludi wkoll riflessjoni fuq perjodu itwal ta’ żmien lejn l-istabbiliment ta’ proċess ta’ deċiżjoni unika t</w:t>
      </w:r>
      <w:r>
        <w:rPr>
          <w:rFonts w:ascii="Times New Roman" w:hAnsi="Times New Roman"/>
          <w:noProof/>
          <w:sz w:val="24"/>
        </w:rPr>
        <w:t>al-ażil, bl-għan li jiġi garantit trattament ugwali ta’ dawk li jfittxu l-ażil madwar l-Ewropa.</w:t>
      </w:r>
      <w:r>
        <w:rPr>
          <w:rFonts w:ascii="Times New Roman" w:hAnsi="Times New Roman"/>
          <w:b/>
          <w:noProof/>
          <w:sz w:val="24"/>
        </w:rPr>
        <w:t xml:space="preserve"> </w:t>
      </w:r>
    </w:p>
    <w:p w:rsidR="00300A70" w:rsidRDefault="00300A70">
      <w:pPr>
        <w:pStyle w:val="ListParagraph"/>
        <w:spacing w:before="120" w:after="0" w:line="240" w:lineRule="auto"/>
        <w:jc w:val="both"/>
        <w:rPr>
          <w:rFonts w:ascii="Times New Roman" w:hAnsi="Times New Roman" w:cs="Times New Roman"/>
          <w:b/>
          <w:noProof/>
          <w:sz w:val="24"/>
          <w:szCs w:val="24"/>
        </w:rPr>
      </w:pPr>
    </w:p>
    <w:p w:rsidR="00300A70" w:rsidRDefault="00E04097">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Ġ</w:t>
      </w:r>
      <w:r>
        <w:rPr>
          <w:rFonts w:ascii="Times New Roman" w:hAnsi="Times New Roman"/>
          <w:i/>
          <w:noProof/>
          <w:sz w:val="24"/>
        </w:rPr>
        <w:t>estjoni kondiviża tal-fruntieri Ewropej:</w:t>
      </w:r>
      <w:r>
        <w:rPr>
          <w:rFonts w:ascii="Times New Roman" w:hAnsi="Times New Roman"/>
          <w:noProof/>
          <w:sz w:val="24"/>
        </w:rPr>
        <w:t xml:space="preserve"> Iż-żieda fl-azzjoni fil-Mediterran tesponi r-realtà li l-ġestjoni tal-fruntieri esterni qed issir dejjem aktar respo</w:t>
      </w:r>
      <w:r>
        <w:rPr>
          <w:rFonts w:ascii="Times New Roman" w:hAnsi="Times New Roman"/>
          <w:noProof/>
          <w:sz w:val="24"/>
        </w:rPr>
        <w:t>nsabbiltà kondiviża. Minbarra Sistema Ewropea ta’ Gwardji tal-Fruntiera,</w:t>
      </w:r>
      <w:r>
        <w:rPr>
          <w:rStyle w:val="FootnoteReference"/>
          <w:rFonts w:ascii="Times New Roman" w:hAnsi="Times New Roman"/>
          <w:noProof/>
          <w:sz w:val="24"/>
        </w:rPr>
        <w:footnoteReference w:id="51"/>
      </w:r>
      <w:r>
        <w:rPr>
          <w:rFonts w:ascii="Times New Roman" w:hAnsi="Times New Roman"/>
          <w:noProof/>
          <w:sz w:val="24"/>
        </w:rPr>
        <w:t xml:space="preserve"> dan ikopri approċċ ġdid għal funzjonijiet tal-gwardjakosta fl-UE, li jħares lejn inizjattivi bħall-kondiviżjoni tal-assi, l-eżerċizzji konġunti u l-użu doppju tar-riżorsi kif ukoll i</w:t>
      </w:r>
      <w:r>
        <w:rPr>
          <w:rFonts w:ascii="Times New Roman" w:hAnsi="Times New Roman"/>
          <w:noProof/>
          <w:sz w:val="24"/>
        </w:rPr>
        <w:t>l-possibbiltà li wieħed jimxi lejn Gwardjakosta Ewropea.</w:t>
      </w:r>
    </w:p>
    <w:p w:rsidR="00300A70" w:rsidRDefault="00300A70">
      <w:pPr>
        <w:pStyle w:val="ListParagraph"/>
        <w:spacing w:line="240" w:lineRule="auto"/>
        <w:rPr>
          <w:rFonts w:ascii="Times New Roman" w:hAnsi="Times New Roman" w:cs="Times New Roman"/>
          <w:noProof/>
          <w:sz w:val="24"/>
          <w:szCs w:val="24"/>
        </w:rPr>
      </w:pPr>
    </w:p>
    <w:p w:rsidR="00300A70" w:rsidRDefault="00E04097">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Mudell ġdid dwar il-migrazzjoni legali:</w:t>
      </w:r>
      <w:r>
        <w:rPr>
          <w:rFonts w:ascii="Times New Roman" w:hAnsi="Times New Roman"/>
          <w:noProof/>
          <w:sz w:val="24"/>
        </w:rPr>
        <w:t xml:space="preserve"> It-Trattati tal-UE jirriżervaw id-deċiżjoni finali dwar l-ammissjoni ta’ migranti ekonomiċi għall-Istati Membri. Madankollu, l-UE trid tagħti ħarsa lejn kif tista' tgħaqqad flimkien din il-limitazzjoni mal-bżonnijiet kollettivi tal-ekonomija tal-UE. B’mod</w:t>
      </w:r>
      <w:r>
        <w:rPr>
          <w:rFonts w:ascii="Times New Roman" w:hAnsi="Times New Roman"/>
          <w:noProof/>
          <w:sz w:val="24"/>
        </w:rPr>
        <w:t xml:space="preserve"> partikolari, il-Kummissjoni se tħares lejn il-possibbiltà li tiżviluppa, flimkien mal-Istati Membri, “sistema ta' espressjoni ta’ interess”. Din tuża kriterji verifikabbli biex awtomatikament tagħmel għażla inizjali ta’ migranti potenzjali, b'min iħaddem </w:t>
      </w:r>
      <w:r>
        <w:rPr>
          <w:rFonts w:ascii="Times New Roman" w:hAnsi="Times New Roman"/>
          <w:noProof/>
          <w:sz w:val="24"/>
        </w:rPr>
        <w:t>mistieden biex jidentifika l-applikanti ta' prijorità mil-lista ta’ kandidati, u l-migrazzjoni sseħħ wara li l-migrant jiġi offrut impjieg. Dan jippermetti l-ħolqien ta’ akkomunament mal-UE kollha ta’ migranti kkwalifikati, aċċessibbli kemm għal min iħadde</w:t>
      </w:r>
      <w:r>
        <w:rPr>
          <w:rFonts w:ascii="Times New Roman" w:hAnsi="Times New Roman"/>
          <w:noProof/>
          <w:sz w:val="24"/>
        </w:rPr>
        <w:t>m u għall-awtoritajiet tal-Istati Membri — iżda l-għażla u l-proċedura ta’ ammissjoni jibqgħu nazzjonali, abbażi tal-ħtiġijiet tas-suq tax-xogħol attwali tal-Istati Membri.</w:t>
      </w:r>
    </w:p>
    <w:p w:rsidR="00300A70" w:rsidRDefault="00300A70">
      <w:pPr>
        <w:rPr>
          <w:rFonts w:ascii="Times New Roman" w:hAnsi="Times New Roman" w:cs="Times New Roman"/>
          <w:noProof/>
          <w:sz w:val="24"/>
          <w:szCs w:val="24"/>
        </w:rPr>
      </w:pPr>
    </w:p>
    <w:p w:rsidR="00300A70" w:rsidRDefault="00E04097">
      <w:pPr>
        <w:rPr>
          <w:rFonts w:ascii="Times New Roman" w:hAnsi="Times New Roman"/>
          <w:b/>
          <w:bCs/>
          <w:noProof/>
          <w:sz w:val="24"/>
          <w:szCs w:val="24"/>
        </w:rPr>
      </w:pPr>
      <w:r>
        <w:rPr>
          <w:noProof/>
        </w:rPr>
        <w:br w:type="page"/>
      </w:r>
    </w:p>
    <w:p w:rsidR="00300A70" w:rsidRDefault="00E04097">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ANNESS</w:t>
      </w:r>
    </w:p>
    <w:p w:rsidR="00300A70" w:rsidRDefault="00300A70">
      <w:pPr>
        <w:autoSpaceDE w:val="0"/>
        <w:autoSpaceDN w:val="0"/>
        <w:adjustRightInd w:val="0"/>
        <w:spacing w:after="0" w:line="360" w:lineRule="auto"/>
        <w:jc w:val="center"/>
        <w:rPr>
          <w:rFonts w:ascii="Times New Roman" w:hAnsi="Times New Roman"/>
          <w:b/>
          <w:bCs/>
          <w:noProof/>
          <w:sz w:val="24"/>
          <w:szCs w:val="24"/>
        </w:rPr>
      </w:pPr>
    </w:p>
    <w:p w:rsidR="00300A70" w:rsidRDefault="00E04097">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Skemi Ewropej għar-rilokazzjoni u r-risistemazzjoni </w:t>
      </w:r>
    </w:p>
    <w:p w:rsidR="00300A70" w:rsidRDefault="00E04097">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Rilokazzjoni</w:t>
      </w:r>
    </w:p>
    <w:p w:rsidR="00300A70" w:rsidRDefault="00E04097">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"Rilokazzjoni" tfisser distribuzzjoni fost l-Istati Membri ta’ persuni li b’mod ċar jeħtieġu protezzjoni internazzjonali. </w:t>
      </w:r>
    </w:p>
    <w:p w:rsidR="00300A70" w:rsidRDefault="00E04097">
      <w:pPr>
        <w:spacing w:before="120" w:after="120" w:line="240" w:lineRule="auto"/>
        <w:jc w:val="both"/>
        <w:rPr>
          <w:rFonts w:ascii="Times New Roman" w:hAnsi="Times New Roman"/>
          <w:noProof/>
          <w:sz w:val="24"/>
          <w:szCs w:val="24"/>
        </w:rPr>
      </w:pPr>
      <w:r>
        <w:rPr>
          <w:rFonts w:ascii="Times New Roman" w:hAnsi="Times New Roman"/>
          <w:noProof/>
          <w:sz w:val="24"/>
        </w:rPr>
        <w:t>Abbażi ta’ parametru ta’ distribuzzjoni, il-Kummissjoni, sal-aħħar ta’ Mejju, se tipproponi li tinbeda s-sistema ta’ rispons ta’ emer</w:t>
      </w:r>
      <w:r>
        <w:rPr>
          <w:rFonts w:ascii="Times New Roman" w:hAnsi="Times New Roman"/>
          <w:noProof/>
          <w:sz w:val="24"/>
        </w:rPr>
        <w:t>ġ</w:t>
      </w:r>
      <w:r>
        <w:rPr>
          <w:rFonts w:ascii="Times New Roman" w:hAnsi="Times New Roman"/>
          <w:noProof/>
          <w:sz w:val="24"/>
        </w:rPr>
        <w:t xml:space="preserve">enza prevista taħt l-Artikolu 78(3) tat-Trattat dwar il-Funzjonament tal-Unjoni Ewropea u tintroduċi </w:t>
      </w:r>
      <w:r>
        <w:rPr>
          <w:rFonts w:ascii="Times New Roman" w:hAnsi="Times New Roman"/>
          <w:b/>
          <w:noProof/>
          <w:sz w:val="24"/>
        </w:rPr>
        <w:t>skema ta’ rilokazzjoni Ewropea temporanja</w:t>
      </w:r>
      <w:r>
        <w:rPr>
          <w:rFonts w:ascii="Times New Roman" w:hAnsi="Times New Roman"/>
          <w:noProof/>
          <w:sz w:val="24"/>
        </w:rPr>
        <w:t xml:space="preserve"> għal dawk li qed ifittxu l-ażil li b’mod ċar jeħtieġu l-protezzjoni internazzjonali. </w:t>
      </w:r>
    </w:p>
    <w:p w:rsidR="00300A70" w:rsidRDefault="00E04097">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Il-</w:t>
      </w:r>
      <w:r>
        <w:rPr>
          <w:rFonts w:ascii="Times New Roman" w:hAnsi="Times New Roman"/>
          <w:b/>
          <w:noProof/>
          <w:sz w:val="24"/>
        </w:rPr>
        <w:t>parametru ta’ distribuz</w:t>
      </w:r>
      <w:r>
        <w:rPr>
          <w:rFonts w:ascii="Times New Roman" w:hAnsi="Times New Roman"/>
          <w:b/>
          <w:noProof/>
          <w:sz w:val="24"/>
        </w:rPr>
        <w:t>zjoni</w:t>
      </w:r>
      <w:r>
        <w:rPr>
          <w:rFonts w:ascii="Times New Roman" w:hAnsi="Times New Roman"/>
          <w:noProof/>
          <w:sz w:val="24"/>
        </w:rPr>
        <w:t xml:space="preserve"> ser ikun ibbażat fuq </w:t>
      </w:r>
      <w:r>
        <w:rPr>
          <w:rFonts w:ascii="Times New Roman" w:hAnsi="Times New Roman"/>
          <w:b/>
          <w:noProof/>
          <w:sz w:val="24"/>
        </w:rPr>
        <w:t>kriterji oġġettivi, kwantifikabbli u verifikabbli li jirriflettu l-kapaċità tal-Istati Membri li jassorbu u jintegraw ir-refuġjati</w:t>
      </w:r>
      <w:r>
        <w:rPr>
          <w:rFonts w:ascii="Times New Roman" w:hAnsi="Times New Roman"/>
          <w:noProof/>
          <w:sz w:val="24"/>
        </w:rPr>
        <w:t>, b'fatturi ta’ ponderazzjoni xierqa li jirriflettu l-importanza relattiva ta’ dawn il-kriterji (</w:t>
      </w:r>
      <w:r>
        <w:rPr>
          <w:rFonts w:ascii="Times New Roman" w:hAnsi="Times New Roman"/>
          <w:i/>
          <w:noProof/>
          <w:sz w:val="24"/>
        </w:rPr>
        <w:t>ar</w:t>
      </w:r>
      <w:r>
        <w:rPr>
          <w:rFonts w:ascii="Times New Roman" w:hAnsi="Times New Roman"/>
          <w:i/>
          <w:noProof/>
          <w:sz w:val="24"/>
        </w:rPr>
        <w:t>a t-Tabella 1 hawn taħt</w:t>
      </w:r>
      <w:r>
        <w:rPr>
          <w:rFonts w:ascii="Times New Roman" w:hAnsi="Times New Roman"/>
          <w:noProof/>
          <w:sz w:val="24"/>
        </w:rPr>
        <w:t>). Dan il-parametru se jkun ibbażat fuq l-elementi li ġejjin</w:t>
      </w:r>
      <w:r>
        <w:rPr>
          <w:rStyle w:val="FootnoteReference"/>
          <w:rFonts w:ascii="Times New Roman" w:hAnsi="Times New Roman"/>
          <w:noProof/>
          <w:sz w:val="24"/>
        </w:rPr>
        <w:footnoteReference w:id="52"/>
      </w:r>
      <w:r>
        <w:rPr>
          <w:rFonts w:ascii="Times New Roman" w:hAnsi="Times New Roman"/>
          <w:noProof/>
          <w:sz w:val="24"/>
        </w:rPr>
        <w:t>:</w:t>
      </w:r>
    </w:p>
    <w:p w:rsidR="00300A70" w:rsidRDefault="00E0409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id-daqs tal-popolazzjoni (40%) peress li jirrifletti l-kapaċità ta’ assorbiment ta' ċertu numru ta’ rifuġjati;</w:t>
      </w:r>
    </w:p>
    <w:p w:rsidR="00300A70" w:rsidRDefault="00E0409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il-PDG totali</w:t>
      </w:r>
      <w:r>
        <w:rPr>
          <w:rStyle w:val="FootnoteReference"/>
          <w:rFonts w:ascii="Times New Roman" w:hAnsi="Times New Roman"/>
          <w:noProof/>
          <w:sz w:val="24"/>
        </w:rPr>
        <w:footnoteReference w:id="53"/>
      </w:r>
      <w:r>
        <w:rPr>
          <w:rFonts w:ascii="Times New Roman" w:hAnsi="Times New Roman"/>
          <w:noProof/>
          <w:sz w:val="24"/>
        </w:rPr>
        <w:t xml:space="preserve"> (40%) peress li jirrifletti l-ġid assoluti t</w:t>
      </w:r>
      <w:r>
        <w:rPr>
          <w:rFonts w:ascii="Times New Roman" w:hAnsi="Times New Roman"/>
          <w:noProof/>
          <w:sz w:val="24"/>
        </w:rPr>
        <w:t xml:space="preserve">a’ pajjiż u b’hekk huwa indikattiv għall-kapaċità ta’ ekonomija li tassorbi u tintegra r-rifuġjati; </w:t>
      </w:r>
    </w:p>
    <w:p w:rsidR="00300A70" w:rsidRDefault="00E0409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l-għadd medju ta’ applikazzjonijiet għall-ażil spontanji u l-għadd ta’ rifuġjati risistemati għal kull 1 miljun abitant tul il-perjodu 2010-2014 (10%) pere</w:t>
      </w:r>
      <w:r>
        <w:rPr>
          <w:rFonts w:ascii="Times New Roman" w:hAnsi="Times New Roman"/>
          <w:noProof/>
          <w:sz w:val="24"/>
        </w:rPr>
        <w:t>ss li jirrifletti l-isforzi li saru mill-Istati Membri fil-passat reċenti;</w:t>
      </w:r>
    </w:p>
    <w:p w:rsidR="00300A70" w:rsidRDefault="00E04097">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ir-rata tal-qgħad (10%) bħala indikatur li jirrifletti l-kapaċità li jiġu integrati r-rifuġjati. </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In-numri reali li għandhom jiġu rilokati għal kull Stat Membru se jiddependu fuq in</w:t>
      </w:r>
      <w:r>
        <w:rPr>
          <w:rFonts w:ascii="Times New Roman" w:hAnsi="Times New Roman"/>
          <w:noProof/>
          <w:sz w:val="24"/>
        </w:rPr>
        <w:t>-numru totali ta’ persuni li jridu jiġu rilokati u ser jiġu inklużi fil-proposta leġiżlattiva.</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L-Istat Membru riċevitur se jkun responsabbli għall-eżaminazzjoni tal-applikazzjoni għall-ażil skont ir-regoli u l-garanziji stabbiliti.</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Fl-applikazzjoni tal-par</w:t>
      </w:r>
      <w:r>
        <w:rPr>
          <w:rFonts w:ascii="Times New Roman" w:hAnsi="Times New Roman"/>
          <w:noProof/>
          <w:sz w:val="24"/>
        </w:rPr>
        <w:t>ametru ta' distribuzzjoni ta’ referenza titqies is-sitwazzjoni tal-kriżi speċifika. L-Istati Membri minn fejn tkun se sseħħ ir-rilokazzjoni m’għandhomx jikkontribwixxu bħala Stat Membru. rilokanti. Il-proposta se tirrifletti l-pożizzjoni tar-Renju Unit, l-</w:t>
      </w:r>
      <w:r>
        <w:rPr>
          <w:rFonts w:ascii="Times New Roman" w:hAnsi="Times New Roman"/>
          <w:noProof/>
          <w:sz w:val="24"/>
        </w:rPr>
        <w:t>Irlanda u d-Danimarka kif stabbilit fil-Protokolli rispettivi tat-Trattati.</w:t>
      </w:r>
    </w:p>
    <w:p w:rsidR="00300A70" w:rsidRDefault="00300A70">
      <w:pPr>
        <w:autoSpaceDE w:val="0"/>
        <w:autoSpaceDN w:val="0"/>
        <w:adjustRightInd w:val="0"/>
        <w:spacing w:after="120" w:line="240" w:lineRule="auto"/>
        <w:jc w:val="both"/>
        <w:rPr>
          <w:rFonts w:ascii="Times New Roman" w:hAnsi="Times New Roman"/>
          <w:noProof/>
          <w:sz w:val="24"/>
          <w:szCs w:val="24"/>
        </w:rPr>
      </w:pPr>
    </w:p>
    <w:p w:rsidR="00300A70" w:rsidRDefault="00E04097">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Risistemazzjoni</w:t>
      </w:r>
    </w:p>
    <w:p w:rsidR="00300A70" w:rsidRDefault="00E04097">
      <w:pPr>
        <w:spacing w:after="120" w:line="240" w:lineRule="auto"/>
        <w:jc w:val="both"/>
        <w:rPr>
          <w:rFonts w:ascii="Times New Roman" w:eastAsia="Times New Roman" w:hAnsi="Times New Roman"/>
          <w:noProof/>
          <w:sz w:val="24"/>
          <w:szCs w:val="24"/>
        </w:rPr>
      </w:pPr>
      <w:r>
        <w:rPr>
          <w:rFonts w:ascii="Times New Roman" w:hAnsi="Times New Roman"/>
          <w:noProof/>
          <w:sz w:val="24"/>
        </w:rPr>
        <w:t>"Risistemazzjoni" tfisser it-trasferiment ta’ persuni individwali spostati li b’mod ċar jeħtieġu protezzjoni internazzjonali, wara l-offerta tal-Kummissarju Għoli tan-Nazzjonijiet Uniti għar-Rifuġjati u bi ftehim mal-pajjiż ta’ risistemazzjoni, minn pajjiż</w:t>
      </w:r>
      <w:r>
        <w:rPr>
          <w:rFonts w:ascii="Times New Roman" w:hAnsi="Times New Roman"/>
          <w:noProof/>
          <w:sz w:val="24"/>
        </w:rPr>
        <w:t xml:space="preserve"> terz lejn Stat Membru, fejn huma jkunu ser jiddaħħlu u jingħataw id-dritt li jibqgħu u xi drittijiet oħra paragunabbli għal dawk mogħtija lil benefiċjarju ta’ protezzjoni internazzjonali. </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Il-Kummissjoni, sal-aħħar ta’ Mejju, se tadotta Rakkomandazzjoni g</w:t>
      </w:r>
      <w:r>
        <w:rPr>
          <w:rFonts w:ascii="Times New Roman" w:hAnsi="Times New Roman"/>
          <w:noProof/>
          <w:sz w:val="24"/>
        </w:rPr>
        <w:t>ħal s</w:t>
      </w:r>
      <w:r>
        <w:rPr>
          <w:rFonts w:ascii="Times New Roman" w:hAnsi="Times New Roman"/>
          <w:b/>
          <w:noProof/>
          <w:sz w:val="24"/>
        </w:rPr>
        <w:t>kema ta’ risistemazzjoni Ewropea</w:t>
      </w:r>
      <w:r>
        <w:rPr>
          <w:rFonts w:ascii="Times New Roman" w:hAnsi="Times New Roman"/>
          <w:noProof/>
          <w:sz w:val="24"/>
        </w:rPr>
        <w:t xml:space="preserve">.  </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 xml:space="preserve">Din l-iskema se tkopri l-Istati Membri kollha. </w:t>
      </w:r>
      <w:r>
        <w:rPr>
          <w:rFonts w:ascii="Times New Roman" w:hAnsi="Times New Roman"/>
          <w:noProof/>
          <w:sz w:val="24"/>
        </w:rPr>
        <w:t>L-Istati assoċjati se jiġu mistiedna jieħdu sehem fl-iskema. Is-sehem tal-postijiet ta’ risistemazzjoni offruti b'kollox se jkun allokat lil kull Stat Membru fuq il-baż</w:t>
      </w:r>
      <w:r>
        <w:rPr>
          <w:rFonts w:ascii="Times New Roman" w:hAnsi="Times New Roman"/>
          <w:noProof/>
          <w:sz w:val="24"/>
        </w:rPr>
        <w:t xml:space="preserve">i tal-istess </w:t>
      </w:r>
      <w:r>
        <w:rPr>
          <w:rFonts w:ascii="Times New Roman" w:hAnsi="Times New Roman"/>
          <w:b/>
          <w:noProof/>
          <w:sz w:val="24"/>
        </w:rPr>
        <w:t>parametru ta’ distribuzzjoni</w:t>
      </w:r>
      <w:r>
        <w:rPr>
          <w:rFonts w:ascii="Times New Roman" w:hAnsi="Times New Roman"/>
          <w:noProof/>
          <w:sz w:val="24"/>
        </w:rPr>
        <w:t xml:space="preserve"> kif spjegat hawn fuq għall-iskema ta’ rilokazzjoni (</w:t>
      </w:r>
      <w:r>
        <w:rPr>
          <w:rFonts w:ascii="Times New Roman" w:hAnsi="Times New Roman"/>
          <w:i/>
          <w:noProof/>
          <w:sz w:val="24"/>
        </w:rPr>
        <w:t>ara t-Tabella 2 hawn taħt</w:t>
      </w:r>
      <w:r>
        <w:rPr>
          <w:rFonts w:ascii="Times New Roman" w:hAnsi="Times New Roman"/>
          <w:noProof/>
          <w:sz w:val="24"/>
        </w:rPr>
        <w:t>).</w:t>
      </w:r>
    </w:p>
    <w:p w:rsidR="00300A70" w:rsidRDefault="00E04097">
      <w:pPr>
        <w:spacing w:after="120" w:line="240" w:lineRule="auto"/>
        <w:jc w:val="both"/>
        <w:rPr>
          <w:rFonts w:ascii="Times New Roman" w:hAnsi="Times New Roman"/>
          <w:noProof/>
          <w:sz w:val="24"/>
          <w:szCs w:val="24"/>
        </w:rPr>
      </w:pPr>
      <w:r>
        <w:rPr>
          <w:rFonts w:ascii="Times New Roman" w:hAnsi="Times New Roman"/>
          <w:noProof/>
          <w:sz w:val="24"/>
        </w:rPr>
        <w:t xml:space="preserve">L-iskema se tikkonsisti minn </w:t>
      </w:r>
      <w:r>
        <w:rPr>
          <w:rFonts w:ascii="Times New Roman" w:hAnsi="Times New Roman"/>
          <w:b/>
          <w:noProof/>
          <w:sz w:val="24"/>
        </w:rPr>
        <w:t>offerta Ewropea unika</w:t>
      </w:r>
      <w:r>
        <w:rPr>
          <w:rFonts w:ascii="Times New Roman" w:hAnsi="Times New Roman"/>
          <w:noProof/>
          <w:sz w:val="24"/>
        </w:rPr>
        <w:t xml:space="preserve"> ta’ </w:t>
      </w:r>
      <w:r>
        <w:rPr>
          <w:rFonts w:ascii="Times New Roman" w:hAnsi="Times New Roman"/>
          <w:b/>
          <w:noProof/>
          <w:sz w:val="24"/>
        </w:rPr>
        <w:t>20,000</w:t>
      </w:r>
      <w:r>
        <w:rPr>
          <w:rFonts w:ascii="Times New Roman" w:hAnsi="Times New Roman"/>
          <w:noProof/>
          <w:sz w:val="24"/>
        </w:rPr>
        <w:t xml:space="preserve"> post ta’ risistemazzjoni. </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Il-Kummissjoni se tikkontribwixxi għall-iskem</w:t>
      </w:r>
      <w:r>
        <w:rPr>
          <w:rFonts w:ascii="Times New Roman" w:hAnsi="Times New Roman"/>
          <w:b/>
          <w:noProof/>
          <w:sz w:val="24"/>
        </w:rPr>
        <w:t>a</w:t>
      </w:r>
      <w:r>
        <w:rPr>
          <w:rFonts w:ascii="Times New Roman" w:hAnsi="Times New Roman"/>
          <w:noProof/>
          <w:sz w:val="24"/>
        </w:rPr>
        <w:t xml:space="preserve"> billi tagħmel addizzjonalment disponibbli total ta’ EUR 50 miljun għall-2015 u l-2016. </w:t>
      </w:r>
    </w:p>
    <w:p w:rsidR="00300A70" w:rsidRDefault="00E0409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Ir-</w:t>
      </w:r>
      <w:r>
        <w:rPr>
          <w:rFonts w:ascii="Times New Roman" w:hAnsi="Times New Roman"/>
          <w:b/>
          <w:noProof/>
          <w:sz w:val="24"/>
        </w:rPr>
        <w:t>reġjuni ta’ prijorità għar-risistemazzjoni</w:t>
      </w:r>
      <w:r>
        <w:rPr>
          <w:rFonts w:ascii="Times New Roman" w:hAnsi="Times New Roman"/>
          <w:noProof/>
          <w:sz w:val="24"/>
        </w:rPr>
        <w:t xml:space="preserve"> se jinkludu l-Afrika ta’ Fuq, il-Lvant Nofsani, u l-Qarn tal-Afrika, filwaqt li ssir enfasi fuq pajjiżi fejn l-Iżvilupp Reġjonali u l-Programmi ta’ Protezzjoni qed jiġu implimentati. L-iskema għandha tistabbilixxi rabtiet qawwija ma’ dawn il-programmi. </w:t>
      </w:r>
    </w:p>
    <w:p w:rsidR="00300A70" w:rsidRDefault="00E04097">
      <w:pPr>
        <w:pStyle w:val="Point123"/>
        <w:numPr>
          <w:ilvl w:val="0"/>
          <w:numId w:val="0"/>
        </w:numPr>
        <w:spacing w:before="0" w:line="240" w:lineRule="auto"/>
        <w:jc w:val="both"/>
        <w:rPr>
          <w:noProof/>
        </w:rPr>
      </w:pPr>
      <w:r>
        <w:rPr>
          <w:b/>
          <w:noProof/>
        </w:rPr>
        <w:t>I</w:t>
      </w:r>
      <w:r>
        <w:rPr>
          <w:b/>
          <w:noProof/>
        </w:rPr>
        <w:t>l-kooperazzjoni tal-Kummissarju Għoli tan-Nazzjonijiet Uniti għar-Rifuġjati</w:t>
      </w:r>
      <w:r>
        <w:rPr>
          <w:noProof/>
        </w:rPr>
        <w:t xml:space="preserve"> (UNHCR) u organizzazzjonijiet rilevanti oħra se tkun imsejħa biex tassisti fl-implimentazzjoni, f’konformità mal-prattika attwali (identifikazzjoni, sottomissjoni, trasferiment, eċ</w:t>
      </w:r>
      <w:r>
        <w:rPr>
          <w:noProof/>
        </w:rPr>
        <w:t xml:space="preserve">ċ.). Jista' jkun previst ukoll </w:t>
      </w:r>
      <w:r>
        <w:rPr>
          <w:b/>
          <w:noProof/>
        </w:rPr>
        <w:t>involviment prattiku tal-Uffiċċju Ewropew ta’ Appoġġ</w:t>
      </w:r>
      <w:r>
        <w:rPr>
          <w:noProof/>
        </w:rPr>
        <w:t xml:space="preserve"> fil-qasam tal-Ażil fl-iskema. Kull Stat Membru jibqa’ responsabbli għad-deċiżjonijiet ta’ ammissjoni individwali.</w:t>
      </w:r>
    </w:p>
    <w:p w:rsidR="00300A70" w:rsidRDefault="00E04097">
      <w:pPr>
        <w:spacing w:after="120" w:line="240" w:lineRule="auto"/>
        <w:jc w:val="both"/>
        <w:rPr>
          <w:rFonts w:ascii="Times New Roman" w:hAnsi="Times New Roman"/>
          <w:noProof/>
          <w:sz w:val="24"/>
          <w:szCs w:val="24"/>
        </w:rPr>
      </w:pPr>
      <w:r>
        <w:rPr>
          <w:rFonts w:ascii="Times New Roman" w:hAnsi="Times New Roman"/>
          <w:noProof/>
          <w:sz w:val="24"/>
        </w:rPr>
        <w:t>Il-Kummissjoni hija konxja mir-</w:t>
      </w:r>
      <w:r>
        <w:rPr>
          <w:rFonts w:ascii="Times New Roman" w:hAnsi="Times New Roman"/>
          <w:b/>
          <w:noProof/>
          <w:sz w:val="24"/>
        </w:rPr>
        <w:t>riskju ta’ ċaqliq sekondarj</w:t>
      </w:r>
      <w:r>
        <w:rPr>
          <w:rFonts w:ascii="Times New Roman" w:hAnsi="Times New Roman"/>
          <w:b/>
          <w:noProof/>
          <w:sz w:val="24"/>
        </w:rPr>
        <w:t>u spontanju</w:t>
      </w:r>
      <w:r>
        <w:rPr>
          <w:rFonts w:ascii="Times New Roman" w:hAnsi="Times New Roman"/>
          <w:noProof/>
          <w:sz w:val="24"/>
        </w:rPr>
        <w:t xml:space="preserve"> ta’ individwi risistemati.  Dan se jiġi indirizzat billi r-risistemazzjoni ssir kundizzjonali fuq qbil mill-persuna risistemata li tibqa' fl-Istat fejn tkun ġiet risistemata għal perjodu ta’ mill-inqas ħames (5) snin, billi tiġi infurmata dwar </w:t>
      </w:r>
      <w:r>
        <w:rPr>
          <w:rFonts w:ascii="Times New Roman" w:hAnsi="Times New Roman"/>
          <w:noProof/>
          <w:sz w:val="24"/>
        </w:rPr>
        <w:t>il-konsegwenza ta’ moviment ulterjuri fi ħdan l-UE u l-fatt li mhux se jkun possibbli li takkwista l-istatus legali fi Stat Membru ieħor jew li tikseb aċċess għal drittijiet soċjali.  Identifikazzjoni u ritorn rapidi tal-persuni li ma jimxux ma' ftehim bħa</w:t>
      </w:r>
      <w:r>
        <w:rPr>
          <w:rFonts w:ascii="Times New Roman" w:hAnsi="Times New Roman"/>
          <w:noProof/>
          <w:sz w:val="24"/>
        </w:rPr>
        <w:t xml:space="preserve">l dan huwa diġà possibbli skont il-liġi tal-UE. Il-Kummissjoni, f’kooperazzjoni mal-Istati Membri u l-Aġenziji rilevanti, se tiżviluppa aktar l-għodod għall-applikazzjoni prattika ta’ dawn il-miżuri.  </w:t>
      </w:r>
    </w:p>
    <w:p w:rsidR="00300A70" w:rsidRDefault="00300A70">
      <w:pPr>
        <w:spacing w:after="120" w:line="240" w:lineRule="auto"/>
        <w:jc w:val="both"/>
        <w:rPr>
          <w:rFonts w:ascii="Times New Roman" w:hAnsi="Times New Roman"/>
          <w:noProof/>
          <w:sz w:val="24"/>
          <w:szCs w:val="24"/>
        </w:rPr>
      </w:pPr>
    </w:p>
    <w:p w:rsidR="00300A70" w:rsidRDefault="00300A70">
      <w:pPr>
        <w:spacing w:before="120" w:after="120" w:line="268" w:lineRule="auto"/>
        <w:jc w:val="both"/>
        <w:rPr>
          <w:rFonts w:ascii="Times New Roman" w:hAnsi="Times New Roman"/>
          <w:noProof/>
          <w:sz w:val="24"/>
          <w:szCs w:val="24"/>
        </w:rPr>
      </w:pPr>
    </w:p>
    <w:p w:rsidR="00300A70" w:rsidRDefault="00300A70">
      <w:pPr>
        <w:spacing w:before="120" w:after="120" w:line="269" w:lineRule="auto"/>
        <w:jc w:val="both"/>
        <w:rPr>
          <w:rFonts w:ascii="Times New Roman" w:hAnsi="Times New Roman"/>
          <w:noProof/>
          <w:sz w:val="24"/>
          <w:szCs w:val="24"/>
        </w:rPr>
      </w:pPr>
    </w:p>
    <w:p w:rsidR="00300A70" w:rsidRDefault="00300A70">
      <w:pPr>
        <w:spacing w:before="120" w:after="120" w:line="269" w:lineRule="auto"/>
        <w:jc w:val="both"/>
        <w:rPr>
          <w:rFonts w:ascii="Times New Roman" w:hAnsi="Times New Roman"/>
          <w:noProof/>
          <w:sz w:val="24"/>
          <w:szCs w:val="24"/>
        </w:rPr>
      </w:pPr>
    </w:p>
    <w:p w:rsidR="00300A70" w:rsidRDefault="00300A70">
      <w:pPr>
        <w:spacing w:before="120" w:after="120" w:line="269" w:lineRule="auto"/>
        <w:jc w:val="both"/>
        <w:rPr>
          <w:rFonts w:ascii="Times New Roman" w:hAnsi="Times New Roman"/>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300A70">
      <w:pPr>
        <w:spacing w:after="0" w:line="240" w:lineRule="auto"/>
        <w:rPr>
          <w:rFonts w:ascii="Times New Roman" w:hAnsi="Times New Roman"/>
          <w:b/>
          <w:noProof/>
          <w:sz w:val="24"/>
          <w:szCs w:val="24"/>
        </w:rPr>
      </w:pPr>
    </w:p>
    <w:p w:rsidR="00300A70" w:rsidRDefault="00E04097">
      <w:pPr>
        <w:spacing w:before="120" w:after="120" w:line="269" w:lineRule="auto"/>
        <w:jc w:val="center"/>
        <w:rPr>
          <w:rFonts w:ascii="Times New Roman" w:hAnsi="Times New Roman"/>
          <w:b/>
          <w:noProof/>
          <w:sz w:val="24"/>
          <w:szCs w:val="24"/>
        </w:rPr>
      </w:pPr>
      <w:r>
        <w:rPr>
          <w:rFonts w:ascii="Times New Roman" w:hAnsi="Times New Roman"/>
          <w:b/>
          <w:noProof/>
          <w:sz w:val="24"/>
        </w:rPr>
        <w:t xml:space="preserve">Tabella 1 Skema ta’ rilokazzjoni </w:t>
      </w:r>
      <w:r>
        <w:rPr>
          <w:rFonts w:ascii="Times New Roman" w:hAnsi="Times New Roman"/>
          <w:b/>
          <w:noProof/>
          <w:sz w:val="24"/>
        </w:rPr>
        <w:t>Ewropea</w:t>
      </w:r>
    </w:p>
    <w:p w:rsidR="00300A70" w:rsidRDefault="00300A70">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300A70">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A70" w:rsidRDefault="00E04097">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L-Istati Membri</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300A70" w:rsidRDefault="00E04097">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Parametru</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L-Awstrija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Il-Belġju</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Il-Bulgarija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Il-Kroazja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Ċ</w:t>
            </w:r>
            <w:r>
              <w:rPr>
                <w:rFonts w:ascii="Times New Roman" w:hAnsi="Times New Roman"/>
                <w:noProof/>
                <w:sz w:val="24"/>
              </w:rPr>
              <w:t>ipru</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Ir-Repubblika Ċeka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L-Estonja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Il-Finlandja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Franza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Il-Ġermanja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Il-Greċja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L-Ungerija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L-Italja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Il-Latvja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Il-Litwanja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Il-Lussemburgu</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In-Netherlands</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Il-Polonja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Il-Portugall</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Ir-Rumanija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Is-Slovakkja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Is-Slovenja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Spanja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w:t>
            </w:r>
          </w:p>
        </w:tc>
      </w:tr>
      <w:tr w:rsidR="00300A70">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L-Iżvezja</w:t>
            </w:r>
          </w:p>
        </w:tc>
        <w:tc>
          <w:tcPr>
            <w:tcW w:w="1498"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w:t>
            </w:r>
          </w:p>
        </w:tc>
      </w:tr>
    </w:tbl>
    <w:p w:rsidR="00300A70" w:rsidRDefault="00300A70">
      <w:pPr>
        <w:spacing w:after="0" w:line="240" w:lineRule="auto"/>
        <w:rPr>
          <w:rFonts w:ascii="Times New Roman" w:hAnsi="Times New Roman"/>
          <w:noProof/>
          <w:sz w:val="20"/>
          <w:szCs w:val="20"/>
        </w:rPr>
      </w:pPr>
    </w:p>
    <w:p w:rsidR="00300A70" w:rsidRDefault="00E04097">
      <w:pPr>
        <w:spacing w:after="0" w:line="240" w:lineRule="auto"/>
        <w:ind w:left="-120"/>
        <w:rPr>
          <w:rFonts w:ascii="Times New Roman" w:hAnsi="Times New Roman"/>
          <w:noProof/>
          <w:sz w:val="20"/>
          <w:szCs w:val="20"/>
        </w:rPr>
      </w:pPr>
      <w:r>
        <w:rPr>
          <w:rFonts w:ascii="Times New Roman" w:hAnsi="Times New Roman"/>
          <w:noProof/>
          <w:sz w:val="20"/>
        </w:rPr>
        <w:t xml:space="preserve">Il-kalkoli huma </w:t>
      </w:r>
      <w:r>
        <w:rPr>
          <w:rFonts w:ascii="Times New Roman" w:hAnsi="Times New Roman"/>
          <w:noProof/>
          <w:sz w:val="20"/>
        </w:rPr>
        <w:t>bbażati fuq informazzjoni statistika fornuta minn Eurostat (ikkonsultat fit-8 ta’ April 2015).</w:t>
      </w:r>
    </w:p>
    <w:p w:rsidR="00300A70" w:rsidRDefault="00E04097">
      <w:pPr>
        <w:spacing w:before="120" w:after="120" w:line="269" w:lineRule="auto"/>
        <w:jc w:val="center"/>
        <w:rPr>
          <w:rFonts w:ascii="Times New Roman" w:hAnsi="Times New Roman"/>
          <w:b/>
          <w:noProof/>
          <w:sz w:val="24"/>
          <w:szCs w:val="24"/>
        </w:rPr>
      </w:pPr>
      <w:r>
        <w:rPr>
          <w:rFonts w:ascii="Times New Roman" w:hAnsi="Times New Roman"/>
          <w:b/>
          <w:noProof/>
          <w:sz w:val="24"/>
        </w:rPr>
        <w:t>Tabella 2 Skema ta’ risistemazzjoni Ewropea</w:t>
      </w:r>
    </w:p>
    <w:p w:rsidR="00300A70" w:rsidRDefault="00300A70">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336"/>
        <w:gridCol w:w="2126"/>
      </w:tblGrid>
      <w:tr w:rsidR="00300A70">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A70" w:rsidRDefault="00E04097">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L-Istati Membri</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00A70" w:rsidRDefault="00E04097">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Parametru</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00A70" w:rsidRDefault="00E04097">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Allokazzjoni totali bbażata fuq 20.000 persuna</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L-Awstrija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Il-Belġju</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Il-Bulgarija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Il-Kroazja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Ċ</w:t>
            </w:r>
            <w:r>
              <w:rPr>
                <w:rFonts w:ascii="Times New Roman" w:hAnsi="Times New Roman"/>
                <w:noProof/>
                <w:sz w:val="24"/>
              </w:rPr>
              <w:t>ipru</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Ir-Repubblika Ċeka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i/>
                <w:noProof/>
                <w:sz w:val="24"/>
                <w:szCs w:val="24"/>
              </w:rPr>
            </w:pPr>
            <w:r>
              <w:rPr>
                <w:rFonts w:ascii="Times New Roman" w:hAnsi="Times New Roman"/>
                <w:i/>
                <w:noProof/>
                <w:sz w:val="24"/>
              </w:rPr>
              <w:t>Id-Danimarka</w:t>
            </w:r>
            <w:bookmarkStart w:id="2" w:name="_Ref419184354"/>
            <w:r>
              <w:rPr>
                <w:rStyle w:val="FootnoteReference"/>
                <w:rFonts w:ascii="Times New Roman" w:hAnsi="Times New Roman"/>
                <w:i/>
                <w:noProof/>
                <w:sz w:val="24"/>
              </w:rPr>
              <w:footnoteReference w:id="57"/>
            </w:r>
            <w:bookmarkEnd w:id="2"/>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L-Estonja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Il-Finlandja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Franza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Il-Ġermanja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Il-Greċja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L-Ungerija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L-Irlanda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L-Italja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Il-Latvja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Il-Litwanja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Il-Lussemburgu</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In-Netherlands</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Il-Polonja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Il-Portugall</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Ir-Rumanija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Is-Slovakkja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Is-Slovenja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bookmarkStart w:id="3" w:name="_GoBack"/>
        <w:bookmarkEnd w:id="3"/>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Spanja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noProof/>
                <w:sz w:val="24"/>
                <w:szCs w:val="24"/>
              </w:rPr>
            </w:pPr>
            <w:r>
              <w:rPr>
                <w:rFonts w:ascii="Times New Roman" w:hAnsi="Times New Roman"/>
                <w:noProof/>
                <w:sz w:val="24"/>
              </w:rPr>
              <w:t>L-Iżvezja</w:t>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300A70">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300A70" w:rsidRDefault="00E04097">
            <w:pPr>
              <w:spacing w:after="0" w:line="240" w:lineRule="auto"/>
              <w:rPr>
                <w:rFonts w:ascii="Times New Roman" w:eastAsia="Times New Roman" w:hAnsi="Times New Roman"/>
                <w:i/>
                <w:noProof/>
                <w:sz w:val="24"/>
                <w:szCs w:val="24"/>
              </w:rPr>
            </w:pPr>
            <w:r>
              <w:rPr>
                <w:rFonts w:ascii="Times New Roman" w:hAnsi="Times New Roman"/>
                <w:i/>
                <w:noProof/>
                <w:sz w:val="24"/>
              </w:rPr>
              <w:t>Ir-Renju Unit</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w:t>
            </w:r>
          </w:p>
        </w:tc>
        <w:tc>
          <w:tcPr>
            <w:tcW w:w="2126" w:type="dxa"/>
            <w:tcBorders>
              <w:top w:val="nil"/>
              <w:left w:val="nil"/>
              <w:bottom w:val="single" w:sz="4" w:space="0" w:color="auto"/>
              <w:right w:val="single" w:sz="4" w:space="0" w:color="auto"/>
            </w:tcBorders>
            <w:shd w:val="clear" w:color="auto" w:fill="auto"/>
            <w:noWrap/>
            <w:vAlign w:val="bottom"/>
            <w:hideMark/>
          </w:tcPr>
          <w:p w:rsidR="00300A70" w:rsidRDefault="00E04097">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300A70" w:rsidRDefault="00E04097">
      <w:pPr>
        <w:spacing w:before="120" w:after="0" w:line="240" w:lineRule="auto"/>
        <w:rPr>
          <w:rFonts w:ascii="Times New Roman" w:hAnsi="Times New Roman"/>
          <w:noProof/>
          <w:sz w:val="20"/>
          <w:szCs w:val="20"/>
        </w:rPr>
      </w:pPr>
      <w:r>
        <w:rPr>
          <w:rFonts w:ascii="Times New Roman" w:hAnsi="Times New Roman"/>
          <w:noProof/>
          <w:sz w:val="20"/>
        </w:rPr>
        <w:t>Il-kalkoli huma bbażati fuq informazzjoni statistika fornuta minn Eurostat (ikkonsultat fit-8 ta’ April 2015).</w:t>
      </w:r>
    </w:p>
    <w:p w:rsidR="00300A70" w:rsidRDefault="00E04097">
      <w:pPr>
        <w:spacing w:before="120" w:after="0" w:line="240" w:lineRule="auto"/>
        <w:rPr>
          <w:rFonts w:ascii="Times New Roman" w:hAnsi="Times New Roman"/>
          <w:noProof/>
          <w:sz w:val="20"/>
          <w:szCs w:val="20"/>
        </w:rPr>
      </w:pPr>
      <w:r>
        <w:rPr>
          <w:rFonts w:ascii="Times New Roman" w:hAnsi="Times New Roman"/>
          <w:noProof/>
          <w:sz w:val="20"/>
        </w:rPr>
        <w:t>Il-kalkoli perċentwali saru sa ħames punti deċimali u mqarrba 'l fuq jew 'l isfel sat-tieni ċifra wara l-punt deċimali għall-preżentazzjoni fit-tabella; l-allokazzjonijiet ta’ persuni kienet magħmula fuq il-bażi taċ-ċifri sħaħ sa ħames ċifri wara l-punt de</w:t>
      </w:r>
      <w:r>
        <w:rPr>
          <w:rFonts w:ascii="Times New Roman" w:hAnsi="Times New Roman"/>
          <w:noProof/>
          <w:sz w:val="20"/>
        </w:rPr>
        <w:t>ċ</w:t>
      </w:r>
      <w:r>
        <w:rPr>
          <w:rFonts w:ascii="Times New Roman" w:hAnsi="Times New Roman"/>
          <w:noProof/>
          <w:sz w:val="20"/>
        </w:rPr>
        <w:t xml:space="preserve">imali.   </w:t>
      </w:r>
    </w:p>
    <w:sectPr w:rsidR="00300A7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70" w:rsidRDefault="00E04097">
      <w:pPr>
        <w:spacing w:after="0" w:line="240" w:lineRule="auto"/>
      </w:pPr>
      <w:r>
        <w:separator/>
      </w:r>
    </w:p>
  </w:endnote>
  <w:endnote w:type="continuationSeparator" w:id="0">
    <w:p w:rsidR="00300A70" w:rsidRDefault="00E04097">
      <w:pPr>
        <w:spacing w:after="0" w:line="240" w:lineRule="auto"/>
      </w:pPr>
      <w:r>
        <w:continuationSeparator/>
      </w:r>
    </w:p>
  </w:endnote>
  <w:endnote w:type="continuationNotice" w:id="1">
    <w:p w:rsidR="00300A70" w:rsidRDefault="00300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E04097">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MT</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300A70" w:rsidRDefault="00E0409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300A70" w:rsidRDefault="00300A7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70" w:rsidRDefault="00E04097">
      <w:pPr>
        <w:spacing w:after="0" w:line="240" w:lineRule="auto"/>
      </w:pPr>
      <w:r>
        <w:separator/>
      </w:r>
    </w:p>
  </w:footnote>
  <w:footnote w:type="continuationSeparator" w:id="0">
    <w:p w:rsidR="00300A70" w:rsidRDefault="00E04097">
      <w:pPr>
        <w:spacing w:after="0" w:line="240" w:lineRule="auto"/>
      </w:pPr>
      <w:r>
        <w:continuationSeparator/>
      </w:r>
    </w:p>
  </w:footnote>
  <w:footnote w:type="continuationNotice" w:id="1">
    <w:p w:rsidR="00300A70" w:rsidRDefault="00300A70">
      <w:pPr>
        <w:spacing w:after="0" w:line="240" w:lineRule="auto"/>
      </w:pPr>
    </w:p>
  </w:footnote>
  <w:footnote w:id="2">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Laqgħa speċjali tal-Kunsill Ewropew, it-23 ta’ April 2015 — dikjarazzjoni: http://www.consilium.europa.eu/mt/press/press-releases/2015/04/23-special-euco-statement/. Din il-parti tal-Aġenda Ewropea </w:t>
      </w:r>
      <w:r>
        <w:rPr>
          <w:rFonts w:ascii="Times New Roman" w:hAnsi="Times New Roman"/>
          <w:sz w:val="18"/>
        </w:rPr>
        <w:t>dwar il-</w:t>
      </w:r>
      <w:proofErr w:type="spellStart"/>
      <w:r>
        <w:rPr>
          <w:rFonts w:ascii="Times New Roman" w:hAnsi="Times New Roman"/>
          <w:sz w:val="18"/>
        </w:rPr>
        <w:t>Migrazzjoni</w:t>
      </w:r>
      <w:proofErr w:type="spellEnd"/>
      <w:r>
        <w:rPr>
          <w:rFonts w:ascii="Times New Roman" w:hAnsi="Times New Roman"/>
          <w:sz w:val="18"/>
        </w:rPr>
        <w:t xml:space="preserve"> tinkorpora u tkompli tiżviluppa l-inizjattivi inklużi fil-Pjan Direzzjonali li l-Kummissjoni ppreżentat bħala </w:t>
      </w:r>
      <w:proofErr w:type="spellStart"/>
      <w:r>
        <w:rPr>
          <w:rFonts w:ascii="Times New Roman" w:hAnsi="Times New Roman"/>
          <w:sz w:val="18"/>
        </w:rPr>
        <w:t>segwitu</w:t>
      </w:r>
      <w:proofErr w:type="spellEnd"/>
      <w:r>
        <w:rPr>
          <w:rFonts w:ascii="Times New Roman" w:hAnsi="Times New Roman"/>
          <w:sz w:val="18"/>
        </w:rPr>
        <w:t xml:space="preserve"> għad-Dikjarazzjoni tal-Kunsill Ewropew tat-23 ta’ April.</w:t>
      </w:r>
    </w:p>
  </w:footnote>
  <w:footnote w:id="3">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w:t>
      </w:r>
      <w:r>
        <w:rPr>
          <w:rFonts w:ascii="Times New Roman" w:hAnsi="Times New Roman"/>
          <w:sz w:val="18"/>
        </w:rPr>
        <w:t>o?lang=en&amp;reference=2015/2660 (RSP).</w:t>
      </w:r>
    </w:p>
  </w:footnote>
  <w:footnote w:id="4">
    <w:p w:rsidR="00300A70" w:rsidRDefault="00E04097">
      <w:pPr>
        <w:pStyle w:val="FootnoteText"/>
        <w:ind w:left="240" w:hanging="240"/>
        <w:jc w:val="both"/>
      </w:pPr>
      <w:r>
        <w:rPr>
          <w:rStyle w:val="FootnoteReference"/>
        </w:rPr>
        <w:footnoteRef/>
      </w:r>
      <w:r>
        <w:t xml:space="preserve"> </w:t>
      </w:r>
      <w:r>
        <w:tab/>
      </w:r>
      <w:r>
        <w:rPr>
          <w:rFonts w:ascii="Times New Roman" w:hAnsi="Times New Roman"/>
          <w:sz w:val="18"/>
        </w:rPr>
        <w:t>Il-politika komuni tal-Unjoni dwar l-</w:t>
      </w:r>
      <w:proofErr w:type="spellStart"/>
      <w:r>
        <w:rPr>
          <w:rFonts w:ascii="Times New Roman" w:hAnsi="Times New Roman"/>
          <w:sz w:val="18"/>
        </w:rPr>
        <w:t>ażil</w:t>
      </w:r>
      <w:proofErr w:type="spellEnd"/>
      <w:r>
        <w:rPr>
          <w:rFonts w:ascii="Times New Roman" w:hAnsi="Times New Roman"/>
          <w:sz w:val="18"/>
        </w:rPr>
        <w:t>, l-immigrazzjoni, il-</w:t>
      </w:r>
      <w:proofErr w:type="spellStart"/>
      <w:r>
        <w:rPr>
          <w:rFonts w:ascii="Times New Roman" w:hAnsi="Times New Roman"/>
          <w:sz w:val="18"/>
        </w:rPr>
        <w:t>viżi</w:t>
      </w:r>
      <w:proofErr w:type="spellEnd"/>
      <w:r>
        <w:rPr>
          <w:rFonts w:ascii="Times New Roman" w:hAnsi="Times New Roman"/>
          <w:sz w:val="18"/>
        </w:rPr>
        <w:t xml:space="preserve"> u l-kontroll tal-fruntieri esterni hija </w:t>
      </w:r>
      <w:proofErr w:type="spellStart"/>
      <w:r>
        <w:rPr>
          <w:rFonts w:ascii="Times New Roman" w:hAnsi="Times New Roman"/>
          <w:sz w:val="18"/>
        </w:rPr>
        <w:t>bbażata</w:t>
      </w:r>
      <w:proofErr w:type="spellEnd"/>
      <w:r>
        <w:rPr>
          <w:rFonts w:ascii="Times New Roman" w:hAnsi="Times New Roman"/>
          <w:sz w:val="18"/>
        </w:rPr>
        <w:t xml:space="preserve"> fuq it-Titolu V (L-Ispazju ta' libertà, sigurtà u ġustizzja) tat-Trattat dwar il-Funzjonament tal-Un</w:t>
      </w:r>
      <w:r>
        <w:rPr>
          <w:rFonts w:ascii="Times New Roman" w:hAnsi="Times New Roman"/>
          <w:sz w:val="18"/>
        </w:rPr>
        <w:t xml:space="preserve">joni Ewropea (TFUE). Skont il-Protokolli 21 u 22 tat-Trattati, ir-Renju Unit, l-Irlanda u d-Danimarka ma </w:t>
      </w:r>
      <w:proofErr w:type="spellStart"/>
      <w:r>
        <w:rPr>
          <w:rFonts w:ascii="Times New Roman" w:hAnsi="Times New Roman"/>
          <w:sz w:val="18"/>
        </w:rPr>
        <w:t>jiħdux</w:t>
      </w:r>
      <w:proofErr w:type="spellEnd"/>
      <w:r>
        <w:rPr>
          <w:rFonts w:ascii="Times New Roman" w:hAnsi="Times New Roman"/>
          <w:sz w:val="18"/>
        </w:rPr>
        <w:t xml:space="preserve"> parti fl-adozzjoni mill-Kunsill tal-miżuri proposti skont it-Titolu V tat-TFUE. Ir-Renju Unit u l-Irlanda jistgħu jinnotifikaw lill-Kunsill, fi </w:t>
      </w:r>
      <w:r>
        <w:rPr>
          <w:rFonts w:ascii="Times New Roman" w:hAnsi="Times New Roman"/>
          <w:sz w:val="18"/>
        </w:rPr>
        <w:t xml:space="preserve">żmien tliet xhur wara li proposta jew inizjattiva tkun ġiet ippreżentata, jew fi kwalunkwe ħin wara l-adozzjoni tagħha, li jixtiequ jieħdu sehem fl-adozzjoni u l-applikazzjoni ta’ kwalunkwe tali miżura proposta. Id-Danimarka fi kwalunkwe żmien </w:t>
      </w:r>
      <w:proofErr w:type="spellStart"/>
      <w:r>
        <w:rPr>
          <w:rFonts w:ascii="Times New Roman" w:hAnsi="Times New Roman"/>
          <w:sz w:val="18"/>
        </w:rPr>
        <w:t>tista</w:t>
      </w:r>
      <w:proofErr w:type="spellEnd"/>
      <w:r>
        <w:rPr>
          <w:rFonts w:ascii="Times New Roman" w:hAnsi="Times New Roman"/>
          <w:sz w:val="18"/>
        </w:rPr>
        <w:t>’, skon</w:t>
      </w:r>
      <w:r>
        <w:rPr>
          <w:rFonts w:ascii="Times New Roman" w:hAnsi="Times New Roman"/>
          <w:sz w:val="18"/>
        </w:rPr>
        <w:t xml:space="preserve">t il-ħtiġijiet kostituzzjonali tagħha, </w:t>
      </w:r>
      <w:proofErr w:type="spellStart"/>
      <w:r>
        <w:rPr>
          <w:rFonts w:ascii="Times New Roman" w:hAnsi="Times New Roman"/>
          <w:sz w:val="18"/>
        </w:rPr>
        <w:t>tinnotifika</w:t>
      </w:r>
      <w:proofErr w:type="spellEnd"/>
      <w:r>
        <w:rPr>
          <w:rFonts w:ascii="Times New Roman" w:hAnsi="Times New Roman"/>
          <w:sz w:val="18"/>
        </w:rPr>
        <w:t xml:space="preserve"> lill-Istati Membri l-oħra li tixtieq tapplika b’mod sħiħ il-miżuri rilevanti kollha adottati fuq il-bażi tat-Titolu V tat-TFUE.</w:t>
      </w:r>
    </w:p>
  </w:footnote>
  <w:footnote w:id="5">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Dan l-appoġġ huwa b'żieda għall-assistenza sostanzjali disponibbli għal da</w:t>
      </w:r>
      <w:r>
        <w:rPr>
          <w:rFonts w:ascii="Times New Roman" w:hAnsi="Times New Roman"/>
          <w:sz w:val="18"/>
        </w:rPr>
        <w:t xml:space="preserve">wn l-Istati Membri minn fondi tal-Affarijiet Interni li tagħhom l-Italja hija l-ikbar benefiċjarju f’termini assoluti u Malta f’termini per </w:t>
      </w:r>
      <w:proofErr w:type="spellStart"/>
      <w:r>
        <w:rPr>
          <w:rFonts w:ascii="Times New Roman" w:hAnsi="Times New Roman"/>
          <w:sz w:val="18"/>
        </w:rPr>
        <w:t>capita</w:t>
      </w:r>
      <w:proofErr w:type="spellEnd"/>
      <w:r>
        <w:rPr>
          <w:rFonts w:ascii="Times New Roman" w:hAnsi="Times New Roman"/>
          <w:sz w:val="18"/>
        </w:rPr>
        <w:t>.</w:t>
      </w:r>
    </w:p>
  </w:footnote>
  <w:footnote w:id="6">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Peress li </w:t>
      </w:r>
      <w:proofErr w:type="spellStart"/>
      <w:r>
        <w:rPr>
          <w:rFonts w:ascii="Times New Roman" w:hAnsi="Times New Roman"/>
          <w:sz w:val="18"/>
        </w:rPr>
        <w:t>Triton</w:t>
      </w:r>
      <w:proofErr w:type="spellEnd"/>
      <w:r>
        <w:rPr>
          <w:rFonts w:ascii="Times New Roman" w:hAnsi="Times New Roman"/>
          <w:sz w:val="18"/>
        </w:rPr>
        <w:t xml:space="preserve"> u </w:t>
      </w:r>
      <w:proofErr w:type="spellStart"/>
      <w:r>
        <w:rPr>
          <w:rFonts w:ascii="Times New Roman" w:hAnsi="Times New Roman"/>
          <w:sz w:val="18"/>
        </w:rPr>
        <w:t>Poseidon</w:t>
      </w:r>
      <w:proofErr w:type="spellEnd"/>
      <w:r>
        <w:rPr>
          <w:rFonts w:ascii="Times New Roman" w:hAnsi="Times New Roman"/>
          <w:sz w:val="18"/>
        </w:rPr>
        <w:t xml:space="preserve"> huma operazzjonijiet </w:t>
      </w:r>
      <w:proofErr w:type="spellStart"/>
      <w:r>
        <w:rPr>
          <w:rFonts w:ascii="Times New Roman" w:hAnsi="Times New Roman"/>
          <w:sz w:val="18"/>
        </w:rPr>
        <w:t>ikkoordinati</w:t>
      </w:r>
      <w:proofErr w:type="spellEnd"/>
      <w:r>
        <w:rPr>
          <w:rFonts w:ascii="Times New Roman" w:hAnsi="Times New Roman"/>
          <w:sz w:val="18"/>
        </w:rPr>
        <w:t xml:space="preserve"> mill-</w:t>
      </w:r>
      <w:proofErr w:type="spellStart"/>
      <w:r>
        <w:rPr>
          <w:rFonts w:ascii="Times New Roman" w:hAnsi="Times New Roman"/>
          <w:sz w:val="18"/>
        </w:rPr>
        <w:t>Frontex</w:t>
      </w:r>
      <w:proofErr w:type="spellEnd"/>
      <w:r>
        <w:rPr>
          <w:rFonts w:ascii="Times New Roman" w:hAnsi="Times New Roman"/>
          <w:sz w:val="18"/>
        </w:rPr>
        <w:t xml:space="preserve"> li jirrigwardaw il-protezzjoni</w:t>
      </w:r>
      <w:r>
        <w:rPr>
          <w:rFonts w:ascii="Times New Roman" w:hAnsi="Times New Roman"/>
          <w:sz w:val="18"/>
        </w:rPr>
        <w:t xml:space="preserve"> tal-fruntieri esterni, huma jibnu fuq l-</w:t>
      </w:r>
      <w:proofErr w:type="spellStart"/>
      <w:r>
        <w:rPr>
          <w:rFonts w:ascii="Times New Roman" w:hAnsi="Times New Roman"/>
          <w:i/>
          <w:sz w:val="18"/>
        </w:rPr>
        <w:t>acquis</w:t>
      </w:r>
      <w:proofErr w:type="spellEnd"/>
      <w:r>
        <w:rPr>
          <w:rFonts w:ascii="Times New Roman" w:hAnsi="Times New Roman"/>
          <w:sz w:val="18"/>
        </w:rPr>
        <w:t xml:space="preserve"> ta’ Schengen, li fih l-Irlanda u r-Renju Unit ma </w:t>
      </w:r>
      <w:proofErr w:type="spellStart"/>
      <w:r>
        <w:rPr>
          <w:rFonts w:ascii="Times New Roman" w:hAnsi="Times New Roman"/>
          <w:sz w:val="18"/>
        </w:rPr>
        <w:t>jipparteċipawx</w:t>
      </w:r>
      <w:proofErr w:type="spellEnd"/>
      <w:r>
        <w:rPr>
          <w:rFonts w:ascii="Times New Roman" w:hAnsi="Times New Roman"/>
          <w:sz w:val="18"/>
        </w:rPr>
        <w:t xml:space="preserve"> (ara n-nota f'qiegħ il-paġna 25 hawn taħt). Dan il-fatt ma jeskludix bastimenti tar-Renju Unit milli jipparteċipaw f’operazzjonijiet ta’ Tiftix </w:t>
      </w:r>
      <w:r>
        <w:rPr>
          <w:rFonts w:ascii="Times New Roman" w:hAnsi="Times New Roman"/>
          <w:sz w:val="18"/>
        </w:rPr>
        <w:t xml:space="preserve">u Salvataġġ, fil-Mediterran, f’koordinazzjoni minn </w:t>
      </w:r>
      <w:proofErr w:type="spellStart"/>
      <w:r>
        <w:rPr>
          <w:rFonts w:ascii="Times New Roman" w:hAnsi="Times New Roman"/>
          <w:sz w:val="18"/>
        </w:rPr>
        <w:t>Triton</w:t>
      </w:r>
      <w:proofErr w:type="spellEnd"/>
      <w:r>
        <w:rPr>
          <w:rFonts w:ascii="Times New Roman" w:hAnsi="Times New Roman"/>
          <w:sz w:val="18"/>
        </w:rPr>
        <w:t xml:space="preserve"> u </w:t>
      </w:r>
      <w:proofErr w:type="spellStart"/>
      <w:r>
        <w:rPr>
          <w:rFonts w:ascii="Times New Roman" w:hAnsi="Times New Roman"/>
          <w:sz w:val="18"/>
        </w:rPr>
        <w:t>Poseidon</w:t>
      </w:r>
      <w:proofErr w:type="spellEnd"/>
      <w:r>
        <w:rPr>
          <w:rFonts w:ascii="Times New Roman" w:hAnsi="Times New Roman"/>
          <w:sz w:val="18"/>
        </w:rPr>
        <w:t>.</w:t>
      </w:r>
    </w:p>
  </w:footnote>
  <w:footnote w:id="7">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L-Aġenzija Ewropea tas-Sigurtà Marittima, l-Aġenzija Ewropea għall-Kontroll tas-Sajd u l-</w:t>
      </w:r>
      <w:proofErr w:type="spellStart"/>
      <w:r>
        <w:rPr>
          <w:rFonts w:ascii="Times New Roman" w:hAnsi="Times New Roman"/>
          <w:sz w:val="18"/>
        </w:rPr>
        <w:t>Eurojust</w:t>
      </w:r>
      <w:proofErr w:type="spellEnd"/>
      <w:r>
        <w:rPr>
          <w:rFonts w:ascii="Times New Roman" w:hAnsi="Times New Roman"/>
          <w:sz w:val="18"/>
        </w:rPr>
        <w:t xml:space="preserve"> għandhom ukoll jikkontribwixxu għal dan ix-xogħol.</w:t>
      </w:r>
    </w:p>
  </w:footnote>
  <w:footnote w:id="8">
    <w:p w:rsidR="00300A70" w:rsidRDefault="00E04097">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Din il-proposta ma tapplikax għ</w:t>
      </w:r>
      <w:r>
        <w:rPr>
          <w:rFonts w:ascii="Times New Roman" w:hAnsi="Times New Roman"/>
          <w:sz w:val="18"/>
        </w:rPr>
        <w:t xml:space="preserve">ad-Danimarka u tapplika għar-Renju Unit u l-Irlanda biss jekk dawn jagħmlu użu mid-dritt rispettiv tagħhom għal inklużjoni </w:t>
      </w:r>
      <w:proofErr w:type="spellStart"/>
      <w:r>
        <w:rPr>
          <w:rFonts w:ascii="Times New Roman" w:hAnsi="Times New Roman"/>
          <w:sz w:val="18"/>
        </w:rPr>
        <w:t>fakultattiva</w:t>
      </w:r>
      <w:proofErr w:type="spellEnd"/>
      <w:r>
        <w:rPr>
          <w:rFonts w:ascii="Times New Roman" w:hAnsi="Times New Roman"/>
          <w:sz w:val="18"/>
        </w:rPr>
        <w:t xml:space="preserve"> (ara n-nota f'qiegħ il-paġna 3).</w:t>
      </w:r>
    </w:p>
  </w:footnote>
  <w:footnote w:id="9">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Dwar l-ambitu ta’ tali proposta, ara n-nota ta’ qiegħ il-paġna 3.</w:t>
      </w:r>
    </w:p>
  </w:footnote>
  <w:footnote w:id="10">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Dikjarazzjoni t</w:t>
      </w:r>
      <w:r>
        <w:rPr>
          <w:rFonts w:ascii="Times New Roman" w:hAnsi="Times New Roman"/>
          <w:sz w:val="18"/>
        </w:rPr>
        <w:t xml:space="preserve">al-Viċi Direttur tal-UNHCR, Rapport ta’ Progress dwar </w:t>
      </w:r>
      <w:proofErr w:type="spellStart"/>
      <w:r>
        <w:rPr>
          <w:rFonts w:ascii="Times New Roman" w:hAnsi="Times New Roman"/>
          <w:sz w:val="18"/>
        </w:rPr>
        <w:t>ir-Risistemazzjoni</w:t>
      </w:r>
      <w:proofErr w:type="spellEnd"/>
      <w:r>
        <w:rPr>
          <w:rFonts w:ascii="Times New Roman" w:hAnsi="Times New Roman"/>
          <w:sz w:val="18"/>
        </w:rPr>
        <w:t>, Laqgħa tal-Kumitat Permanenti tal-Kumitat Eżekuttiv tal-Programm tal-Kummissarju Għoli, Ġinevra, 26-28-2012.</w:t>
      </w:r>
    </w:p>
  </w:footnote>
  <w:footnote w:id="11">
    <w:p w:rsidR="00300A70" w:rsidRDefault="00E04097">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Dwar l-ambitu ta’ tali proposta, ara n-nota ta’ qiegħ il-paġna 3.</w:t>
      </w:r>
    </w:p>
  </w:footnote>
  <w:footnote w:id="12">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Għ</w:t>
      </w:r>
      <w:r>
        <w:rPr>
          <w:rFonts w:ascii="Times New Roman" w:hAnsi="Times New Roman"/>
          <w:sz w:val="18"/>
        </w:rPr>
        <w:t xml:space="preserve">al dan l-għan l-Istati Membri jistgħu jużaw il-fondi disponibbli taħt il-Fond </w:t>
      </w:r>
      <w:proofErr w:type="spellStart"/>
      <w:r>
        <w:rPr>
          <w:rFonts w:ascii="Times New Roman" w:hAnsi="Times New Roman"/>
          <w:sz w:val="18"/>
        </w:rPr>
        <w:t>għall-Ażil</w:t>
      </w:r>
      <w:proofErr w:type="spellEnd"/>
      <w:r>
        <w:rPr>
          <w:rFonts w:ascii="Times New Roman" w:hAnsi="Times New Roman"/>
          <w:sz w:val="18"/>
        </w:rPr>
        <w:t>, il-</w:t>
      </w:r>
      <w:proofErr w:type="spellStart"/>
      <w:r>
        <w:rPr>
          <w:rFonts w:ascii="Times New Roman" w:hAnsi="Times New Roman"/>
          <w:sz w:val="18"/>
        </w:rPr>
        <w:t>Migrazzjoni</w:t>
      </w:r>
      <w:proofErr w:type="spellEnd"/>
      <w:r>
        <w:rPr>
          <w:rFonts w:ascii="Times New Roman" w:hAnsi="Times New Roman"/>
          <w:sz w:val="18"/>
        </w:rPr>
        <w:t xml:space="preserve"> u l-Integrazzjoni. Pajjiżi affettwati b’mod partikolari minn influss ta’ </w:t>
      </w:r>
      <w:proofErr w:type="spellStart"/>
      <w:r>
        <w:rPr>
          <w:rFonts w:ascii="Times New Roman" w:hAnsi="Times New Roman"/>
          <w:sz w:val="18"/>
        </w:rPr>
        <w:t>migranti</w:t>
      </w:r>
      <w:proofErr w:type="spellEnd"/>
      <w:r>
        <w:rPr>
          <w:rFonts w:ascii="Times New Roman" w:hAnsi="Times New Roman"/>
          <w:sz w:val="18"/>
        </w:rPr>
        <w:t xml:space="preserve"> u persuni li qed ifittxu l-</w:t>
      </w:r>
      <w:proofErr w:type="spellStart"/>
      <w:r>
        <w:rPr>
          <w:rFonts w:ascii="Times New Roman" w:hAnsi="Times New Roman"/>
          <w:sz w:val="18"/>
        </w:rPr>
        <w:t>ażil</w:t>
      </w:r>
      <w:proofErr w:type="spellEnd"/>
      <w:r>
        <w:rPr>
          <w:rFonts w:ascii="Times New Roman" w:hAnsi="Times New Roman"/>
          <w:sz w:val="18"/>
        </w:rPr>
        <w:t xml:space="preserve"> jistgħu jitolbu l-assistenza wkoll ki</w:t>
      </w:r>
      <w:r>
        <w:rPr>
          <w:rFonts w:ascii="Times New Roman" w:hAnsi="Times New Roman"/>
          <w:sz w:val="18"/>
        </w:rPr>
        <w:t>f xieraq mill-mekkaniżmu tal-UE għall-protezzjoni ċivili.</w:t>
      </w:r>
    </w:p>
  </w:footnote>
  <w:footnote w:id="13">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Fir-rigward tal-ambitu tal-miżuri li diġà japplikaw u/jew ser jiġu proposti, taħt it-Titolu V tat-TFUE, biex tiġi implimentata l-Aġenda, ara n-nota ta’ qiegħ il-paġna 3 dwar id-drittijiet għal in</w:t>
      </w:r>
      <w:r>
        <w:rPr>
          <w:rFonts w:ascii="Times New Roman" w:hAnsi="Times New Roman"/>
          <w:sz w:val="18"/>
        </w:rPr>
        <w:t xml:space="preserve">klużjoni </w:t>
      </w:r>
      <w:proofErr w:type="spellStart"/>
      <w:r>
        <w:rPr>
          <w:rFonts w:ascii="Times New Roman" w:hAnsi="Times New Roman"/>
          <w:sz w:val="18"/>
        </w:rPr>
        <w:t>fakultattiva</w:t>
      </w:r>
      <w:proofErr w:type="spellEnd"/>
      <w:r>
        <w:rPr>
          <w:rFonts w:ascii="Times New Roman" w:hAnsi="Times New Roman"/>
          <w:sz w:val="18"/>
        </w:rPr>
        <w:t xml:space="preserve"> li jikkonċernaw ir-Renju Unit u l-Irlanda u l-istatus ta' inklużjoni </w:t>
      </w:r>
      <w:proofErr w:type="spellStart"/>
      <w:r>
        <w:rPr>
          <w:rFonts w:ascii="Times New Roman" w:hAnsi="Times New Roman"/>
          <w:sz w:val="18"/>
        </w:rPr>
        <w:t>fakultattiva</w:t>
      </w:r>
      <w:proofErr w:type="spellEnd"/>
      <w:r>
        <w:rPr>
          <w:rFonts w:ascii="Times New Roman" w:hAnsi="Times New Roman"/>
          <w:sz w:val="18"/>
        </w:rPr>
        <w:t xml:space="preserve"> li jikkonċerna d-Danimarka.</w:t>
      </w:r>
    </w:p>
  </w:footnote>
  <w:footnote w:id="14">
    <w:p w:rsidR="00300A70" w:rsidRDefault="00E04097">
      <w:pPr>
        <w:pStyle w:val="FootnoteText"/>
        <w:ind w:left="240" w:hanging="240"/>
        <w:jc w:val="both"/>
      </w:pPr>
      <w:r>
        <w:rPr>
          <w:rStyle w:val="FootnoteReference"/>
        </w:rPr>
        <w:footnoteRef/>
      </w:r>
      <w:r>
        <w:t xml:space="preserve"> </w:t>
      </w:r>
      <w:r>
        <w:tab/>
      </w:r>
      <w:r>
        <w:rPr>
          <w:rFonts w:ascii="Times New Roman" w:hAnsi="Times New Roman"/>
          <w:sz w:val="18"/>
        </w:rPr>
        <w:t xml:space="preserve">Il-proċess ta’ Rabat, il-Proċess ta’ </w:t>
      </w:r>
      <w:proofErr w:type="spellStart"/>
      <w:r>
        <w:rPr>
          <w:rFonts w:ascii="Times New Roman" w:hAnsi="Times New Roman"/>
          <w:sz w:val="18"/>
        </w:rPr>
        <w:t>Khartoum</w:t>
      </w:r>
      <w:proofErr w:type="spellEnd"/>
      <w:r>
        <w:rPr>
          <w:rFonts w:ascii="Times New Roman" w:hAnsi="Times New Roman"/>
          <w:sz w:val="18"/>
        </w:rPr>
        <w:t>, il-Proċess ta’ Budapest, il-Proċess ta’ Praga, id-Djalogu dwar il-</w:t>
      </w:r>
      <w:proofErr w:type="spellStart"/>
      <w:r>
        <w:rPr>
          <w:rFonts w:ascii="Times New Roman" w:hAnsi="Times New Roman"/>
          <w:sz w:val="18"/>
        </w:rPr>
        <w:t>Migrazzj</w:t>
      </w:r>
      <w:r>
        <w:rPr>
          <w:rFonts w:ascii="Times New Roman" w:hAnsi="Times New Roman"/>
          <w:sz w:val="18"/>
        </w:rPr>
        <w:t>oni</w:t>
      </w:r>
      <w:proofErr w:type="spellEnd"/>
      <w:r>
        <w:rPr>
          <w:rFonts w:ascii="Times New Roman" w:hAnsi="Times New Roman"/>
          <w:sz w:val="18"/>
        </w:rPr>
        <w:t xml:space="preserve"> u l-</w:t>
      </w:r>
      <w:proofErr w:type="spellStart"/>
      <w:r>
        <w:rPr>
          <w:rFonts w:ascii="Times New Roman" w:hAnsi="Times New Roman"/>
          <w:sz w:val="18"/>
        </w:rPr>
        <w:t>Mobilità</w:t>
      </w:r>
      <w:proofErr w:type="spellEnd"/>
      <w:r>
        <w:rPr>
          <w:rFonts w:ascii="Times New Roman" w:hAnsi="Times New Roman"/>
          <w:sz w:val="18"/>
        </w:rPr>
        <w:t xml:space="preserve"> bejn l-UE u l-Afrika.</w:t>
      </w:r>
    </w:p>
  </w:footnote>
  <w:footnote w:id="15">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Regolament tal-Kunsill (KE) Nru </w:t>
      </w:r>
      <w:hyperlink r:id="rId1" w:tooltip="test sħiħ tal-att">
        <w:r>
          <w:rPr>
            <w:rFonts w:ascii="Times New Roman" w:hAnsi="Times New Roman"/>
            <w:sz w:val="18"/>
          </w:rPr>
          <w:t>377/2004</w:t>
        </w:r>
      </w:hyperlink>
      <w:r>
        <w:t xml:space="preserve"> tad-19 ta' Frar 2004.</w:t>
      </w:r>
      <w:r>
        <w:rPr>
          <w:rFonts w:ascii="Times New Roman" w:hAnsi="Times New Roman"/>
          <w:sz w:val="18"/>
        </w:rPr>
        <w:t xml:space="preserve"> L-uffiċjali ta’ </w:t>
      </w:r>
      <w:proofErr w:type="spellStart"/>
      <w:r>
        <w:rPr>
          <w:rFonts w:ascii="Times New Roman" w:hAnsi="Times New Roman"/>
          <w:sz w:val="18"/>
        </w:rPr>
        <w:t>Kollegament</w:t>
      </w:r>
      <w:proofErr w:type="spellEnd"/>
      <w:r>
        <w:rPr>
          <w:rFonts w:ascii="Times New Roman" w:hAnsi="Times New Roman"/>
          <w:sz w:val="18"/>
        </w:rPr>
        <w:t xml:space="preserve"> tal</w:t>
      </w:r>
      <w:r>
        <w:rPr>
          <w:rFonts w:ascii="Times New Roman" w:hAnsi="Times New Roman"/>
          <w:sz w:val="18"/>
        </w:rPr>
        <w:t xml:space="preserve">-Immigrazzjoni huma rappreżentanti tal-Istati Membri li huma </w:t>
      </w:r>
      <w:proofErr w:type="spellStart"/>
      <w:r>
        <w:rPr>
          <w:rFonts w:ascii="Times New Roman" w:hAnsi="Times New Roman"/>
          <w:sz w:val="18"/>
        </w:rPr>
        <w:t>ssekondati</w:t>
      </w:r>
      <w:proofErr w:type="spellEnd"/>
      <w:r>
        <w:rPr>
          <w:rFonts w:ascii="Times New Roman" w:hAnsi="Times New Roman"/>
          <w:sz w:val="18"/>
        </w:rPr>
        <w:t xml:space="preserve"> f'pajjiż li mhuwiex Stat Membru, sabiex jiffaċilitaw il-miżuri meħuda mill-UE biex tiġi miġġielda l-immigrazzjoni irregolari (ĠU L 64, 2.3.2004, p. 1). Ir-Renju Unit u l-Irlanda għażlu</w:t>
      </w:r>
      <w:r>
        <w:rPr>
          <w:rFonts w:ascii="Times New Roman" w:hAnsi="Times New Roman"/>
          <w:sz w:val="18"/>
        </w:rPr>
        <w:t xml:space="preserve"> li jintrabtu b'dan ir-Regolament (ara n-nota ta’ qiegħ il-paġna 3).  </w:t>
      </w:r>
    </w:p>
  </w:footnote>
  <w:footnote w:id="16">
    <w:p w:rsidR="00300A70" w:rsidRDefault="00E04097">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Dawn l-isforzi ser jiġu segwiti wkoll taħt l-Aġenda Ewropea għas-Sigurtà u l-Istrateġija dwar is-Sigurtà Marittima. Il-kuntrabandu u t-traffikar ta' </w:t>
      </w:r>
      <w:proofErr w:type="spellStart"/>
      <w:r>
        <w:rPr>
          <w:rFonts w:ascii="Times New Roman" w:hAnsi="Times New Roman"/>
          <w:sz w:val="18"/>
        </w:rPr>
        <w:t>migranti</w:t>
      </w:r>
      <w:proofErr w:type="spellEnd"/>
      <w:r>
        <w:rPr>
          <w:rFonts w:ascii="Times New Roman" w:hAnsi="Times New Roman"/>
          <w:sz w:val="18"/>
        </w:rPr>
        <w:t xml:space="preserve"> huma żewġ attivitajiet differenti iżda </w:t>
      </w:r>
      <w:proofErr w:type="spellStart"/>
      <w:r>
        <w:rPr>
          <w:rFonts w:ascii="Times New Roman" w:hAnsi="Times New Roman"/>
          <w:sz w:val="18"/>
        </w:rPr>
        <w:t>interkonnessi</w:t>
      </w:r>
      <w:proofErr w:type="spellEnd"/>
      <w:r>
        <w:rPr>
          <w:rFonts w:ascii="Times New Roman" w:hAnsi="Times New Roman"/>
          <w:sz w:val="18"/>
        </w:rPr>
        <w:t xml:space="preserve"> mwettqa permezz ta’ </w:t>
      </w:r>
      <w:proofErr w:type="spellStart"/>
      <w:r>
        <w:rPr>
          <w:rFonts w:ascii="Times New Roman" w:hAnsi="Times New Roman"/>
          <w:sz w:val="18"/>
        </w:rPr>
        <w:t>netwerks</w:t>
      </w:r>
      <w:proofErr w:type="spellEnd"/>
      <w:r>
        <w:rPr>
          <w:rFonts w:ascii="Times New Roman" w:hAnsi="Times New Roman"/>
          <w:sz w:val="18"/>
        </w:rPr>
        <w:t xml:space="preserve"> kriminali. Id-di</w:t>
      </w:r>
      <w:r>
        <w:rPr>
          <w:rFonts w:ascii="Times New Roman" w:hAnsi="Times New Roman"/>
          <w:sz w:val="18"/>
        </w:rPr>
        <w:t>fferenza bejn it-tnejn hija li f’tal-ewwel, il-</w:t>
      </w:r>
      <w:proofErr w:type="spellStart"/>
      <w:r>
        <w:rPr>
          <w:rFonts w:ascii="Times New Roman" w:hAnsi="Times New Roman"/>
          <w:sz w:val="18"/>
        </w:rPr>
        <w:t>migranti</w:t>
      </w:r>
      <w:proofErr w:type="spellEnd"/>
      <w:r>
        <w:rPr>
          <w:rFonts w:ascii="Times New Roman" w:hAnsi="Times New Roman"/>
          <w:sz w:val="18"/>
        </w:rPr>
        <w:t xml:space="preserve"> minn jeddhom jipparteċipaw fi proċess ta’ </w:t>
      </w:r>
      <w:proofErr w:type="spellStart"/>
      <w:r>
        <w:rPr>
          <w:rFonts w:ascii="Times New Roman" w:hAnsi="Times New Roman"/>
          <w:sz w:val="18"/>
        </w:rPr>
        <w:t>migrazzjoni</w:t>
      </w:r>
      <w:proofErr w:type="spellEnd"/>
      <w:r>
        <w:rPr>
          <w:rFonts w:ascii="Times New Roman" w:hAnsi="Times New Roman"/>
          <w:sz w:val="18"/>
        </w:rPr>
        <w:t xml:space="preserve"> irregolari billi jħallsu għas-servizzi ta’ </w:t>
      </w:r>
      <w:proofErr w:type="spellStart"/>
      <w:r>
        <w:rPr>
          <w:rFonts w:ascii="Times New Roman" w:hAnsi="Times New Roman"/>
          <w:sz w:val="18"/>
        </w:rPr>
        <w:t>kuntrabandist</w:t>
      </w:r>
      <w:proofErr w:type="spellEnd"/>
      <w:r>
        <w:rPr>
          <w:rFonts w:ascii="Times New Roman" w:hAnsi="Times New Roman"/>
          <w:sz w:val="18"/>
        </w:rPr>
        <w:t xml:space="preserve"> sabiex jaqsmu fruntiera internazzjonali, filwaqt li f’tal-aħħar huma jkunu l-vittmi, imġi</w:t>
      </w:r>
      <w:r>
        <w:rPr>
          <w:rFonts w:ascii="Times New Roman" w:hAnsi="Times New Roman"/>
          <w:sz w:val="18"/>
        </w:rPr>
        <w:t xml:space="preserve">egħla fi sfruttament estrem li jista' jew le jkun marbut mal-qsim ta' fruntiera. Fir-realtà, iż-żewġ fenomeni mhumiex faċli jiġu mifrudin peress li persuni li jibdew il-vjaġġi tagħhom f’manjiera volontarja huma wkoll vulnerabbli għal </w:t>
      </w:r>
      <w:proofErr w:type="spellStart"/>
      <w:r>
        <w:rPr>
          <w:rFonts w:ascii="Times New Roman" w:hAnsi="Times New Roman"/>
          <w:sz w:val="18"/>
        </w:rPr>
        <w:t>netwerks</w:t>
      </w:r>
      <w:proofErr w:type="spellEnd"/>
      <w:r>
        <w:rPr>
          <w:rFonts w:ascii="Times New Roman" w:hAnsi="Times New Roman"/>
          <w:sz w:val="18"/>
        </w:rPr>
        <w:t xml:space="preserve"> ta’ sfruttame</w:t>
      </w:r>
      <w:r>
        <w:rPr>
          <w:rFonts w:ascii="Times New Roman" w:hAnsi="Times New Roman"/>
          <w:sz w:val="18"/>
        </w:rPr>
        <w:t xml:space="preserve">nt tax-xogħol jew sesswali. </w:t>
      </w:r>
    </w:p>
  </w:footnote>
  <w:footnote w:id="17">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Xi wħud mill-miżuri adottati mill-Unjoni qabel l-1 ta’ Diċembru 2009 fir-rigward tal-kooperazzjoni tal-pulizija u l-kooperazzjoni ġudizzjarja f’materji kriminali ma għadhomx japplikaw għar-Renju Unit mill-1 ta’ Diċembru 2014, fuq il-bażi tal-Artikoli 9 u 1</w:t>
      </w:r>
      <w:r>
        <w:rPr>
          <w:rFonts w:ascii="Times New Roman" w:hAnsi="Times New Roman"/>
          <w:sz w:val="18"/>
        </w:rPr>
        <w:t>0 tal-Protokoll 36 tat-Trattati, li jistabbilixxu proċedura speċifika "</w:t>
      </w:r>
      <w:proofErr w:type="spellStart"/>
      <w:r>
        <w:rPr>
          <w:rFonts w:ascii="Times New Roman" w:hAnsi="Times New Roman"/>
          <w:sz w:val="18"/>
        </w:rPr>
        <w:t>non</w:t>
      </w:r>
      <w:proofErr w:type="spellEnd"/>
      <w:r>
        <w:rPr>
          <w:rFonts w:ascii="Times New Roman" w:hAnsi="Times New Roman"/>
          <w:sz w:val="18"/>
        </w:rPr>
        <w:t>-parteċipazzjoni totali" u "</w:t>
      </w:r>
      <w:proofErr w:type="spellStart"/>
      <w:r>
        <w:rPr>
          <w:rFonts w:ascii="Times New Roman" w:hAnsi="Times New Roman"/>
          <w:sz w:val="18"/>
        </w:rPr>
        <w:t>opt-back-in</w:t>
      </w:r>
      <w:proofErr w:type="spellEnd"/>
      <w:r>
        <w:rPr>
          <w:rFonts w:ascii="Times New Roman" w:hAnsi="Times New Roman"/>
          <w:sz w:val="18"/>
        </w:rPr>
        <w:t>" (ara d-deċiżjonijiet adottati mill-Kummissjoni u l-Kunsill dwar il-miżuri notifikati mir-Renju Unit, ĠU L 345, 1.12.2014, p. 1 u ĠU C 430, 1.</w:t>
      </w:r>
      <w:r>
        <w:rPr>
          <w:rFonts w:ascii="Times New Roman" w:hAnsi="Times New Roman"/>
          <w:sz w:val="18"/>
        </w:rPr>
        <w:t>12.2014, p. 1). Fl-2002, l-UE adottat regoli biex tirbaħ fil-ġlieda kontra l-kuntrabandu tal-</w:t>
      </w:r>
      <w:proofErr w:type="spellStart"/>
      <w:r>
        <w:rPr>
          <w:rFonts w:ascii="Times New Roman" w:hAnsi="Times New Roman"/>
          <w:sz w:val="18"/>
        </w:rPr>
        <w:t>migranti</w:t>
      </w:r>
      <w:proofErr w:type="spellEnd"/>
      <w:r>
        <w:rPr>
          <w:rFonts w:ascii="Times New Roman" w:hAnsi="Times New Roman"/>
          <w:sz w:val="18"/>
        </w:rPr>
        <w:t>: Id-Direttiva 2002/90/KE li tistabbilixxi definizzjoni komuni tar-reat tal-</w:t>
      </w:r>
      <w:proofErr w:type="spellStart"/>
      <w:r>
        <w:rPr>
          <w:rFonts w:ascii="Times New Roman" w:hAnsi="Times New Roman"/>
          <w:sz w:val="18"/>
        </w:rPr>
        <w:t>iffaċilitar</w:t>
      </w:r>
      <w:proofErr w:type="spellEnd"/>
      <w:r>
        <w:rPr>
          <w:rFonts w:ascii="Times New Roman" w:hAnsi="Times New Roman"/>
          <w:sz w:val="18"/>
        </w:rPr>
        <w:t xml:space="preserve"> ta' dħul, tranżitu u residenza mhux awtorizzati (ĠU L 328, 5.12.200</w:t>
      </w:r>
      <w:r>
        <w:rPr>
          <w:rFonts w:ascii="Times New Roman" w:hAnsi="Times New Roman"/>
          <w:sz w:val="18"/>
        </w:rPr>
        <w:t>2, p. 17) u d-Deċiżjoni Qafas 2002/946/JHA dwar it-tisħiħ tal-qafas penali għall-prevenzjoni tal-</w:t>
      </w:r>
      <w:proofErr w:type="spellStart"/>
      <w:r>
        <w:rPr>
          <w:rFonts w:ascii="Times New Roman" w:hAnsi="Times New Roman"/>
          <w:sz w:val="18"/>
        </w:rPr>
        <w:t>iffaċilitar</w:t>
      </w:r>
      <w:proofErr w:type="spellEnd"/>
      <w:r>
        <w:rPr>
          <w:rFonts w:ascii="Times New Roman" w:hAnsi="Times New Roman"/>
          <w:sz w:val="18"/>
        </w:rPr>
        <w:t xml:space="preserve"> ta’ dħul, tranżitu u residenza mhux awtorizzati (ĠU L 328, 5.12.2002, p. 1). Ir-Renju Unit u l-Irlanda għażlu li jintrabtu kemm bid-Direttiva kif u</w:t>
      </w:r>
      <w:r>
        <w:rPr>
          <w:rFonts w:ascii="Times New Roman" w:hAnsi="Times New Roman"/>
          <w:sz w:val="18"/>
        </w:rPr>
        <w:t xml:space="preserve">koll bid-Deċiżjoni Qafas. Madankollu, għar-Renju Unit, id-Deċiżjoni Qafas ma tibqax tapplika bis-saħħa </w:t>
      </w:r>
      <w:proofErr w:type="spellStart"/>
      <w:r>
        <w:rPr>
          <w:rFonts w:ascii="Times New Roman" w:hAnsi="Times New Roman"/>
          <w:sz w:val="18"/>
        </w:rPr>
        <w:t>tan</w:t>
      </w:r>
      <w:proofErr w:type="spellEnd"/>
      <w:r>
        <w:rPr>
          <w:rFonts w:ascii="Times New Roman" w:hAnsi="Times New Roman"/>
          <w:sz w:val="18"/>
        </w:rPr>
        <w:t>-</w:t>
      </w:r>
      <w:proofErr w:type="spellStart"/>
      <w:r>
        <w:rPr>
          <w:rFonts w:ascii="Times New Roman" w:hAnsi="Times New Roman"/>
          <w:sz w:val="18"/>
        </w:rPr>
        <w:t>non</w:t>
      </w:r>
      <w:proofErr w:type="spellEnd"/>
      <w:r>
        <w:rPr>
          <w:rFonts w:ascii="Times New Roman" w:hAnsi="Times New Roman"/>
          <w:sz w:val="18"/>
        </w:rPr>
        <w:t>-parteċipazzjoni totali prevista fil-Protokoll 36 imsemmi hawn fuq. Ir-Renju Unit jista’ madankollu xorta jiddeċiedi li josserva l-obbligi ta' din</w:t>
      </w:r>
      <w:r>
        <w:rPr>
          <w:rFonts w:ascii="Times New Roman" w:hAnsi="Times New Roman"/>
          <w:sz w:val="18"/>
        </w:rPr>
        <w:t xml:space="preserve"> id-Deċiżjoni Qafas. </w:t>
      </w:r>
    </w:p>
  </w:footnote>
  <w:footnote w:id="18">
    <w:p w:rsidR="00300A70" w:rsidRDefault="00E04097">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Rigward l-ambitu ta’ dawk l-inizjattivi u l-miżuri diġà fis-seħħ, ara n-noti ta’ qiegħ il-paġna 3 u 17.</w:t>
      </w:r>
    </w:p>
  </w:footnote>
  <w:footnote w:id="19">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Id-Direttiva 2009/52/KE tal-Parlament Ewropew u tal-Kunsill tat-18 ta’ Ġunju 2009 li </w:t>
      </w:r>
      <w:proofErr w:type="spellStart"/>
      <w:r>
        <w:rPr>
          <w:rFonts w:ascii="Times New Roman" w:hAnsi="Times New Roman"/>
          <w:sz w:val="18"/>
        </w:rPr>
        <w:t>tipprevedi</w:t>
      </w:r>
      <w:proofErr w:type="spellEnd"/>
      <w:r>
        <w:rPr>
          <w:rFonts w:ascii="Times New Roman" w:hAnsi="Times New Roman"/>
          <w:sz w:val="18"/>
        </w:rPr>
        <w:t xml:space="preserve"> standards minimi għal sanzjo</w:t>
      </w:r>
      <w:r>
        <w:rPr>
          <w:rFonts w:ascii="Times New Roman" w:hAnsi="Times New Roman"/>
          <w:sz w:val="18"/>
        </w:rPr>
        <w:t>nijiet u miżuri kontra min iħaddem lil ċittadini minn pajjiżi terzi b’residenza illegali, ĠU L 168, 30.6.2009, p. 24-32.</w:t>
      </w:r>
      <w:r>
        <w:t xml:space="preserve"> </w:t>
      </w:r>
      <w:r>
        <w:rPr>
          <w:rFonts w:ascii="Times New Roman" w:hAnsi="Times New Roman"/>
          <w:sz w:val="18"/>
        </w:rPr>
        <w:t>Ir-Renju Unit u l-Irlanda ma għażlux li jintrabtu b'din id-Direttiva u għalhekk mhumiex marbuta minnha jew soġġetti għall-applikazzjoni</w:t>
      </w:r>
      <w:r>
        <w:rPr>
          <w:rFonts w:ascii="Times New Roman" w:hAnsi="Times New Roman"/>
          <w:sz w:val="18"/>
        </w:rPr>
        <w:t xml:space="preserve"> tagħha.</w:t>
      </w:r>
    </w:p>
  </w:footnote>
  <w:footnote w:id="20">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Jeżisti obbligu speċifiku fil-Ftehim ta’ </w:t>
      </w:r>
      <w:proofErr w:type="spellStart"/>
      <w:r>
        <w:rPr>
          <w:rFonts w:ascii="Times New Roman" w:hAnsi="Times New Roman"/>
          <w:sz w:val="18"/>
        </w:rPr>
        <w:t>Cotonou</w:t>
      </w:r>
      <w:proofErr w:type="spellEnd"/>
      <w:r>
        <w:rPr>
          <w:rFonts w:ascii="Times New Roman" w:hAnsi="Times New Roman"/>
          <w:sz w:val="18"/>
        </w:rPr>
        <w:t xml:space="preserve"> mal-pajjiżi tal-AKP. Skont l-Artikolu 13 tal-Ftehim ta' </w:t>
      </w:r>
      <w:proofErr w:type="spellStart"/>
      <w:r>
        <w:rPr>
          <w:rFonts w:ascii="Times New Roman" w:hAnsi="Times New Roman"/>
          <w:sz w:val="18"/>
        </w:rPr>
        <w:t>Cotonou</w:t>
      </w:r>
      <w:proofErr w:type="spellEnd"/>
      <w:r>
        <w:rPr>
          <w:rFonts w:ascii="Times New Roman" w:hAnsi="Times New Roman"/>
          <w:sz w:val="18"/>
        </w:rPr>
        <w:t xml:space="preserve">, kull Stat Membru tal-Unjoni Ewropea jaċċetta lura d-dħul u </w:t>
      </w:r>
      <w:proofErr w:type="spellStart"/>
      <w:r>
        <w:rPr>
          <w:rFonts w:ascii="Times New Roman" w:hAnsi="Times New Roman"/>
          <w:sz w:val="18"/>
        </w:rPr>
        <w:t>riammissjoni</w:t>
      </w:r>
      <w:proofErr w:type="spellEnd"/>
      <w:r>
        <w:rPr>
          <w:rFonts w:ascii="Times New Roman" w:hAnsi="Times New Roman"/>
          <w:sz w:val="18"/>
        </w:rPr>
        <w:t xml:space="preserve"> ta' kwalunkwe ċittadin tiegħu li jkun illegalment preżenti</w:t>
      </w:r>
      <w:r>
        <w:rPr>
          <w:rFonts w:ascii="Times New Roman" w:hAnsi="Times New Roman"/>
          <w:sz w:val="18"/>
        </w:rPr>
        <w:t xml:space="preserve"> fuq art ta' xi stat tal-AKP, fuq talba ta' dak l-Istat, mingħajr aktar formalitajiet; u kull Stat tal-AKP jaċċetta r-ritorn u r-</w:t>
      </w:r>
      <w:proofErr w:type="spellStart"/>
      <w:r>
        <w:rPr>
          <w:rFonts w:ascii="Times New Roman" w:hAnsi="Times New Roman"/>
          <w:sz w:val="18"/>
        </w:rPr>
        <w:t>riammissjoni</w:t>
      </w:r>
      <w:proofErr w:type="spellEnd"/>
      <w:r>
        <w:rPr>
          <w:rFonts w:ascii="Times New Roman" w:hAnsi="Times New Roman"/>
          <w:sz w:val="18"/>
        </w:rPr>
        <w:t xml:space="preserve"> ta' kwalunkwe ċittadin tiegħu li jkun preżenti illegalment fuq territorju ta' Stat Membru tal-Unjoni Ewropea, fuq </w:t>
      </w:r>
      <w:r>
        <w:rPr>
          <w:rFonts w:ascii="Times New Roman" w:hAnsi="Times New Roman"/>
          <w:sz w:val="18"/>
        </w:rPr>
        <w:t>talba ta' dak l-Istat Membru u mingħajr aktar formalitajiet.</w:t>
      </w:r>
    </w:p>
  </w:footnote>
  <w:footnote w:id="21">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Il-Konklużjonijiet tal-Kunsill dwar il-Politika ta’ Ritorn tal-UE adottata waqt il-laqgħa tal-Kunsill Ġustizzja u Affarijiet Interni tal-5 u s-6 ta’ Ġunju 2014.</w:t>
      </w:r>
    </w:p>
  </w:footnote>
  <w:footnote w:id="22">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Ftehim ta’ </w:t>
      </w:r>
      <w:proofErr w:type="spellStart"/>
      <w:r>
        <w:rPr>
          <w:rFonts w:ascii="Times New Roman" w:hAnsi="Times New Roman"/>
          <w:sz w:val="18"/>
        </w:rPr>
        <w:t>riammissjoni</w:t>
      </w:r>
      <w:proofErr w:type="spellEnd"/>
      <w:r>
        <w:rPr>
          <w:rFonts w:ascii="Times New Roman" w:hAnsi="Times New Roman"/>
          <w:sz w:val="18"/>
        </w:rPr>
        <w:t xml:space="preserve"> jiff</w:t>
      </w:r>
      <w:r>
        <w:rPr>
          <w:rFonts w:ascii="Times New Roman" w:hAnsi="Times New Roman"/>
          <w:sz w:val="18"/>
        </w:rPr>
        <w:t xml:space="preserve">aċilita r-ritorn ta’ ċittadini ta’ pajjiżi terzi. Il-Partijiet </w:t>
      </w:r>
      <w:proofErr w:type="spellStart"/>
      <w:r>
        <w:rPr>
          <w:rFonts w:ascii="Times New Roman" w:hAnsi="Times New Roman"/>
          <w:sz w:val="18"/>
        </w:rPr>
        <w:t>Kontraenti</w:t>
      </w:r>
      <w:proofErr w:type="spellEnd"/>
      <w:r>
        <w:rPr>
          <w:rFonts w:ascii="Times New Roman" w:hAnsi="Times New Roman"/>
          <w:sz w:val="18"/>
        </w:rPr>
        <w:t xml:space="preserve"> jdaħħlu mill-ġdid fit-territorju tagħhom mingħajr ebda </w:t>
      </w:r>
      <w:proofErr w:type="spellStart"/>
      <w:r>
        <w:rPr>
          <w:rFonts w:ascii="Times New Roman" w:hAnsi="Times New Roman"/>
          <w:sz w:val="18"/>
        </w:rPr>
        <w:t>formalità</w:t>
      </w:r>
      <w:proofErr w:type="spellEnd"/>
      <w:r>
        <w:rPr>
          <w:rFonts w:ascii="Times New Roman" w:hAnsi="Times New Roman"/>
          <w:sz w:val="18"/>
        </w:rPr>
        <w:t>, persuni bin-nazzjonalità ta’ dak il-pajjiż li jkunu residenti mingħajr awtorizzazzjoni fil-pajjiż l-ieħor jew li jku</w:t>
      </w:r>
      <w:r>
        <w:rPr>
          <w:rFonts w:ascii="Times New Roman" w:hAnsi="Times New Roman"/>
          <w:sz w:val="18"/>
        </w:rPr>
        <w:t xml:space="preserve">nu qasmu l-fruntiera tiegħu b’mod illegali. </w:t>
      </w:r>
    </w:p>
  </w:footnote>
  <w:footnote w:id="23">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Id-Direttiva 2008/115/KE, tas-16 ta’ Diċembru 2008, dwar standards u proċeduri komuni fl-Istati Membri għar-ritorn ta’ ċittadini ta’ pajjiżi terzi li jkunu qegħdin fil-pajjiż illegalment, ĠU L 348 98, 24.12.2</w:t>
      </w:r>
      <w:r>
        <w:rPr>
          <w:rFonts w:ascii="Times New Roman" w:hAnsi="Times New Roman"/>
          <w:sz w:val="18"/>
        </w:rPr>
        <w:t>008, p. 98-107. Ir-Renju Unit u l-Irlanda ma għażlux li jintrabtu b'din id-Direttiva u għalhekk mhumiex marbuta biha jew soġġetti għall-applikazzjoni tagħha.</w:t>
      </w:r>
    </w:p>
  </w:footnote>
  <w:footnote w:id="24">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proofErr w:type="spellStart"/>
      <w:r>
        <w:rPr>
          <w:rFonts w:ascii="Times New Roman" w:hAnsi="Times New Roman"/>
          <w:sz w:val="18"/>
        </w:rPr>
        <w:t>Non-refoulement</w:t>
      </w:r>
      <w:proofErr w:type="spellEnd"/>
      <w:r>
        <w:rPr>
          <w:rFonts w:ascii="Times New Roman" w:hAnsi="Times New Roman"/>
          <w:sz w:val="18"/>
        </w:rPr>
        <w:t xml:space="preserve"> huwa prinċipju tad-dritt internazzjonali, approvat mill-Karta tad-Drittijiet Fu</w:t>
      </w:r>
      <w:r>
        <w:rPr>
          <w:rFonts w:ascii="Times New Roman" w:hAnsi="Times New Roman"/>
          <w:sz w:val="18"/>
        </w:rPr>
        <w:t xml:space="preserve">ndamentali, skont liema persuna ma tistax tiġi </w:t>
      </w:r>
      <w:proofErr w:type="spellStart"/>
      <w:r>
        <w:rPr>
          <w:rFonts w:ascii="Times New Roman" w:hAnsi="Times New Roman"/>
          <w:sz w:val="18"/>
        </w:rPr>
        <w:t>rritornata</w:t>
      </w:r>
      <w:proofErr w:type="spellEnd"/>
      <w:r>
        <w:rPr>
          <w:rFonts w:ascii="Times New Roman" w:hAnsi="Times New Roman"/>
          <w:sz w:val="18"/>
        </w:rPr>
        <w:t xml:space="preserve"> f’post fejn ikun hemm riskju serju tal-piena tal-mewt, tortura jew trattament inuman jew degradanti. </w:t>
      </w:r>
    </w:p>
  </w:footnote>
  <w:footnote w:id="25">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Il-</w:t>
      </w:r>
      <w:proofErr w:type="spellStart"/>
      <w:r>
        <w:rPr>
          <w:rFonts w:ascii="Times New Roman" w:hAnsi="Times New Roman"/>
          <w:sz w:val="18"/>
        </w:rPr>
        <w:t>Frontex</w:t>
      </w:r>
      <w:proofErr w:type="spellEnd"/>
      <w:r>
        <w:rPr>
          <w:rFonts w:ascii="Times New Roman" w:hAnsi="Times New Roman"/>
          <w:sz w:val="18"/>
        </w:rPr>
        <w:t xml:space="preserve"> ġiet stabbilita bir-Regolament 2007/2004 (ĠU L 349, 25.11.2004, p. 1). Bħala żvilu</w:t>
      </w:r>
      <w:r>
        <w:rPr>
          <w:rFonts w:ascii="Times New Roman" w:hAnsi="Times New Roman"/>
          <w:sz w:val="18"/>
        </w:rPr>
        <w:t>pp tal-</w:t>
      </w:r>
      <w:proofErr w:type="spellStart"/>
      <w:r>
        <w:rPr>
          <w:rFonts w:ascii="Times New Roman" w:hAnsi="Times New Roman"/>
          <w:i/>
          <w:sz w:val="18"/>
        </w:rPr>
        <w:t>acquis</w:t>
      </w:r>
      <w:proofErr w:type="spellEnd"/>
      <w:r>
        <w:rPr>
          <w:rFonts w:ascii="Times New Roman" w:hAnsi="Times New Roman"/>
          <w:sz w:val="18"/>
        </w:rPr>
        <w:t xml:space="preserve"> ta’ Schengen li fih l-Irlanda u r-Renju Unit ma </w:t>
      </w:r>
      <w:proofErr w:type="spellStart"/>
      <w:r>
        <w:rPr>
          <w:rFonts w:ascii="Times New Roman" w:hAnsi="Times New Roman"/>
          <w:sz w:val="18"/>
        </w:rPr>
        <w:t>jiħdux</w:t>
      </w:r>
      <w:proofErr w:type="spellEnd"/>
      <w:r>
        <w:rPr>
          <w:rFonts w:ascii="Times New Roman" w:hAnsi="Times New Roman"/>
          <w:sz w:val="18"/>
        </w:rPr>
        <w:t xml:space="preserve"> sehem, dawn l-Istati Membri mhumiex parti mill-</w:t>
      </w:r>
      <w:proofErr w:type="spellStart"/>
      <w:r>
        <w:rPr>
          <w:rFonts w:ascii="Times New Roman" w:hAnsi="Times New Roman"/>
          <w:sz w:val="18"/>
        </w:rPr>
        <w:t>Frontex</w:t>
      </w:r>
      <w:proofErr w:type="spellEnd"/>
      <w:r>
        <w:rPr>
          <w:rFonts w:ascii="Times New Roman" w:hAnsi="Times New Roman"/>
          <w:sz w:val="18"/>
        </w:rPr>
        <w:t>. Madankollu hemm kooperazzjoni mal-Irlanda u mar-Renju Unit skont l-Artikolu 12 tar-Regolament, b’mod partikolari rigward l-organizz</w:t>
      </w:r>
      <w:r>
        <w:rPr>
          <w:rFonts w:ascii="Times New Roman" w:hAnsi="Times New Roman"/>
          <w:sz w:val="18"/>
        </w:rPr>
        <w:t>azzjoni ta’ operazzjonijiet konġunti ta’ ritorn.</w:t>
      </w:r>
    </w:p>
  </w:footnote>
  <w:footnote w:id="26">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Ir-Regolament 1052/2013 tat-22 ta' Ottubru 2013 li jistabbilixxi s-Sistema Ewropea ta’ Sorveljanza tal-Fruntieri (EUROSUR): sistema ta’ skambju ta’ informazzjoni mfassla biex ittejjeb </w:t>
      </w:r>
      <w:proofErr w:type="spellStart"/>
      <w:r>
        <w:rPr>
          <w:rFonts w:ascii="Times New Roman" w:hAnsi="Times New Roman"/>
          <w:sz w:val="18"/>
        </w:rPr>
        <w:t>il-ġestjoni</w:t>
      </w:r>
      <w:proofErr w:type="spellEnd"/>
      <w:r>
        <w:rPr>
          <w:rFonts w:ascii="Times New Roman" w:hAnsi="Times New Roman"/>
          <w:sz w:val="18"/>
        </w:rPr>
        <w:t xml:space="preserve"> tal-frun</w:t>
      </w:r>
      <w:r>
        <w:rPr>
          <w:rFonts w:ascii="Times New Roman" w:hAnsi="Times New Roman"/>
          <w:sz w:val="18"/>
        </w:rPr>
        <w:t>tieri esterni tal-UE, ĠU L 295, 6.11.2013, p. 1 EUROSUR tippermetti l-</w:t>
      </w:r>
      <w:proofErr w:type="spellStart"/>
      <w:r>
        <w:rPr>
          <w:rFonts w:ascii="Times New Roman" w:hAnsi="Times New Roman"/>
          <w:sz w:val="18"/>
        </w:rPr>
        <w:t>kondiviżjoni</w:t>
      </w:r>
      <w:proofErr w:type="spellEnd"/>
      <w:r>
        <w:rPr>
          <w:rFonts w:ascii="Times New Roman" w:hAnsi="Times New Roman"/>
          <w:sz w:val="18"/>
        </w:rPr>
        <w:t xml:space="preserve"> kważi f’ħin reali ta’ </w:t>
      </w:r>
      <w:proofErr w:type="spellStart"/>
      <w:r>
        <w:rPr>
          <w:rFonts w:ascii="Times New Roman" w:hAnsi="Times New Roman"/>
          <w:sz w:val="18"/>
        </w:rPr>
        <w:t>dejta</w:t>
      </w:r>
      <w:proofErr w:type="spellEnd"/>
      <w:r>
        <w:rPr>
          <w:rFonts w:ascii="Times New Roman" w:hAnsi="Times New Roman"/>
          <w:sz w:val="18"/>
        </w:rPr>
        <w:t xml:space="preserve"> relatata mal-fruntieri bejn il-membri tan-netwerk, li jikkonsisti minn pajjiżi Schengen u l-</w:t>
      </w:r>
      <w:proofErr w:type="spellStart"/>
      <w:r>
        <w:rPr>
          <w:rFonts w:ascii="Times New Roman" w:hAnsi="Times New Roman"/>
          <w:sz w:val="18"/>
        </w:rPr>
        <w:t>Frontex</w:t>
      </w:r>
      <w:proofErr w:type="spellEnd"/>
      <w:r>
        <w:rPr>
          <w:rFonts w:ascii="Times New Roman" w:hAnsi="Times New Roman"/>
          <w:sz w:val="18"/>
        </w:rPr>
        <w:t>. Peress li EUROSUR huwa żvilupp tal-</w:t>
      </w:r>
      <w:proofErr w:type="spellStart"/>
      <w:r>
        <w:rPr>
          <w:rFonts w:ascii="Times New Roman" w:hAnsi="Times New Roman"/>
          <w:i/>
          <w:sz w:val="18"/>
        </w:rPr>
        <w:t>acquis</w:t>
      </w:r>
      <w:proofErr w:type="spellEnd"/>
      <w:r>
        <w:rPr>
          <w:rFonts w:ascii="Times New Roman" w:hAnsi="Times New Roman"/>
          <w:sz w:val="18"/>
        </w:rPr>
        <w:t xml:space="preserve"> ta</w:t>
      </w:r>
      <w:r>
        <w:rPr>
          <w:rFonts w:ascii="Times New Roman" w:hAnsi="Times New Roman"/>
          <w:sz w:val="18"/>
        </w:rPr>
        <w:t xml:space="preserve">’ Schengen li fih l-Irlanda u r-Renju Unit ma </w:t>
      </w:r>
      <w:proofErr w:type="spellStart"/>
      <w:r>
        <w:rPr>
          <w:rFonts w:ascii="Times New Roman" w:hAnsi="Times New Roman"/>
          <w:sz w:val="18"/>
        </w:rPr>
        <w:t>jipparteċipawx</w:t>
      </w:r>
      <w:proofErr w:type="spellEnd"/>
      <w:r>
        <w:rPr>
          <w:rFonts w:ascii="Times New Roman" w:hAnsi="Times New Roman"/>
          <w:sz w:val="18"/>
        </w:rPr>
        <w:t>, dawn l-Istati Membri mhumiex parti minn EUROSUR. Il-kooperazzjoni limitata fuq livell reġjonali prevista fl-Artikolu 19 ta’ dan ir-Regolament hija attwalment taħt skrutinju quddiem il-Qorti tal-</w:t>
      </w:r>
      <w:r>
        <w:rPr>
          <w:rFonts w:ascii="Times New Roman" w:hAnsi="Times New Roman"/>
          <w:sz w:val="18"/>
        </w:rPr>
        <w:t>Ġ</w:t>
      </w:r>
      <w:r>
        <w:rPr>
          <w:rFonts w:ascii="Times New Roman" w:hAnsi="Times New Roman"/>
          <w:sz w:val="18"/>
        </w:rPr>
        <w:t>ustizzja (Kawża pendenti Nru C-88/14).</w:t>
      </w:r>
    </w:p>
  </w:footnote>
  <w:footnote w:id="27">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proofErr w:type="spellStart"/>
      <w:r>
        <w:rPr>
          <w:rFonts w:ascii="Times New Roman" w:hAnsi="Times New Roman"/>
          <w:sz w:val="18"/>
        </w:rPr>
        <w:t>Ikkoordinata</w:t>
      </w:r>
      <w:proofErr w:type="spellEnd"/>
      <w:r>
        <w:rPr>
          <w:rFonts w:ascii="Times New Roman" w:hAnsi="Times New Roman"/>
          <w:sz w:val="18"/>
        </w:rPr>
        <w:t xml:space="preserve"> mill-</w:t>
      </w:r>
      <w:proofErr w:type="spellStart"/>
      <w:r>
        <w:rPr>
          <w:rFonts w:ascii="Times New Roman" w:hAnsi="Times New Roman"/>
          <w:sz w:val="18"/>
        </w:rPr>
        <w:t>Frontex</w:t>
      </w:r>
      <w:proofErr w:type="spellEnd"/>
      <w:r>
        <w:rPr>
          <w:rFonts w:ascii="Times New Roman" w:hAnsi="Times New Roman"/>
          <w:sz w:val="18"/>
        </w:rPr>
        <w:t xml:space="preserve"> b’kontribut mill-EASO, il-</w:t>
      </w:r>
      <w:proofErr w:type="spellStart"/>
      <w:r>
        <w:rPr>
          <w:rFonts w:ascii="Times New Roman" w:hAnsi="Times New Roman"/>
          <w:sz w:val="18"/>
        </w:rPr>
        <w:t>Europol</w:t>
      </w:r>
      <w:proofErr w:type="spellEnd"/>
      <w:r>
        <w:rPr>
          <w:rFonts w:ascii="Times New Roman" w:hAnsi="Times New Roman"/>
          <w:sz w:val="18"/>
        </w:rPr>
        <w:t>, iċ-Ċentru Satellitari tal-UE u l-Aġenzija Ewropea għas-Sigurtà Marittima.</w:t>
      </w:r>
    </w:p>
  </w:footnote>
  <w:footnote w:id="28">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Dwar l-ambitu ta’ tali proposta, ara n-nota ta’ qiegħ il-paġna 3.</w:t>
      </w:r>
    </w:p>
  </w:footnote>
  <w:footnote w:id="29">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Sabiex</w:t>
      </w:r>
      <w:r>
        <w:rPr>
          <w:rFonts w:ascii="Times New Roman" w:hAnsi="Times New Roman"/>
          <w:sz w:val="18"/>
        </w:rPr>
        <w:t xml:space="preserve"> tħares lejn il-</w:t>
      </w:r>
      <w:proofErr w:type="spellStart"/>
      <w:r>
        <w:rPr>
          <w:rFonts w:ascii="Times New Roman" w:hAnsi="Times New Roman"/>
          <w:sz w:val="18"/>
        </w:rPr>
        <w:t>vulnerabbiltajiet</w:t>
      </w:r>
      <w:proofErr w:type="spellEnd"/>
      <w:r>
        <w:rPr>
          <w:rFonts w:ascii="Times New Roman" w:hAnsi="Times New Roman"/>
          <w:sz w:val="18"/>
        </w:rPr>
        <w:t xml:space="preserve"> speċifiċi tat-tfal, mhux biss dawk li għandhom sfond ta' </w:t>
      </w:r>
      <w:proofErr w:type="spellStart"/>
      <w:r>
        <w:rPr>
          <w:rFonts w:ascii="Times New Roman" w:hAnsi="Times New Roman"/>
          <w:sz w:val="18"/>
        </w:rPr>
        <w:t>migrant</w:t>
      </w:r>
      <w:proofErr w:type="spellEnd"/>
      <w:r>
        <w:rPr>
          <w:rFonts w:ascii="Times New Roman" w:hAnsi="Times New Roman"/>
          <w:sz w:val="18"/>
        </w:rPr>
        <w:t>, il-Kummissjoni se tiżviluppa strateġija komprensiva biex issegwi l-Pjan ta’ Azzjoni dwar Minorenni mhux Akkumpanjati (2011-2014) biex tkopri tfal nieqsa u m</w:t>
      </w:r>
      <w:r>
        <w:rPr>
          <w:rFonts w:ascii="Times New Roman" w:hAnsi="Times New Roman"/>
          <w:sz w:val="18"/>
        </w:rPr>
        <w:t>hux akkumpanjati.</w:t>
      </w:r>
    </w:p>
  </w:footnote>
  <w:footnote w:id="30">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Id-Direttiva 2013/32/UE tas-26 ta' Ġunju 2013 dwar proċeduri komuni għall-għoti u l-irtirar tal-protezzjoni internazzjonali, ĠU L 180, 29.6.2013, p. 60; Id-Direttiva 2013/33/UE tas-26 ta' Ġunju 2013 li tistabbilixxi l-istandards dwar l</w:t>
      </w:r>
      <w:r>
        <w:rPr>
          <w:rFonts w:ascii="Times New Roman" w:hAnsi="Times New Roman"/>
          <w:sz w:val="18"/>
        </w:rPr>
        <w:t xml:space="preserve">-akkoljenza ta’ applikanti għall-protezzjoni internazzjonali, ĠU L 180, 29.6.2013, p. 96. Ir-Renju Unit u l-Irlanda ma għażlux li jintrabtu b'dawn id-Direttivi. </w:t>
      </w:r>
    </w:p>
  </w:footnote>
  <w:footnote w:id="31">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Il-Kurrikulu ta’ Taħriġ tal-EASO, sistema ta’ taħriġ vokazzjonali komuni maħsuba għall-uffi</w:t>
      </w:r>
      <w:r>
        <w:rPr>
          <w:rFonts w:ascii="Times New Roman" w:hAnsi="Times New Roman"/>
          <w:sz w:val="18"/>
        </w:rPr>
        <w:t>ċ</w:t>
      </w:r>
      <w:r>
        <w:rPr>
          <w:rFonts w:ascii="Times New Roman" w:hAnsi="Times New Roman"/>
          <w:sz w:val="18"/>
        </w:rPr>
        <w:t>jali tal-</w:t>
      </w:r>
      <w:proofErr w:type="spellStart"/>
      <w:r>
        <w:rPr>
          <w:rFonts w:ascii="Times New Roman" w:hAnsi="Times New Roman"/>
          <w:sz w:val="18"/>
        </w:rPr>
        <w:t>ażil</w:t>
      </w:r>
      <w:proofErr w:type="spellEnd"/>
      <w:r>
        <w:rPr>
          <w:rFonts w:ascii="Times New Roman" w:hAnsi="Times New Roman"/>
          <w:sz w:val="18"/>
        </w:rPr>
        <w:t xml:space="preserve"> u gruppi oħra </w:t>
      </w:r>
      <w:proofErr w:type="spellStart"/>
      <w:r>
        <w:rPr>
          <w:rFonts w:ascii="Times New Roman" w:hAnsi="Times New Roman"/>
          <w:sz w:val="18"/>
        </w:rPr>
        <w:t>destinatarji</w:t>
      </w:r>
      <w:proofErr w:type="spellEnd"/>
      <w:r>
        <w:rPr>
          <w:rFonts w:ascii="Times New Roman" w:hAnsi="Times New Roman"/>
          <w:sz w:val="18"/>
        </w:rPr>
        <w:t xml:space="preserve"> bħal ma huma l-maniġers u l-uffiċjali legali madwar l-UE.</w:t>
      </w:r>
    </w:p>
  </w:footnote>
  <w:footnote w:id="32">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Dan jippermetti lill-UE tieħu azzjoni preventiva fi sħubija mal-pajjiżi ta’ oriġini, filwaqt li tiżviluppa kampanji ta’ informazzjoni </w:t>
      </w:r>
      <w:proofErr w:type="spellStart"/>
      <w:r>
        <w:rPr>
          <w:rFonts w:ascii="Times New Roman" w:hAnsi="Times New Roman"/>
          <w:sz w:val="18"/>
        </w:rPr>
        <w:t>mmirati</w:t>
      </w:r>
      <w:proofErr w:type="spellEnd"/>
      <w:r>
        <w:rPr>
          <w:rFonts w:ascii="Times New Roman" w:hAnsi="Times New Roman"/>
          <w:sz w:val="18"/>
        </w:rPr>
        <w:t xml:space="preserve"> u ssaħħaħ </w:t>
      </w:r>
      <w:r>
        <w:rPr>
          <w:rFonts w:ascii="Times New Roman" w:hAnsi="Times New Roman"/>
          <w:sz w:val="18"/>
        </w:rPr>
        <w:t xml:space="preserve">il-kooperazzjoni </w:t>
      </w:r>
      <w:proofErr w:type="spellStart"/>
      <w:r>
        <w:rPr>
          <w:rFonts w:ascii="Times New Roman" w:hAnsi="Times New Roman"/>
          <w:sz w:val="18"/>
        </w:rPr>
        <w:t>fil-ġestjoni</w:t>
      </w:r>
      <w:proofErr w:type="spellEnd"/>
      <w:r>
        <w:rPr>
          <w:rFonts w:ascii="Times New Roman" w:hAnsi="Times New Roman"/>
          <w:sz w:val="18"/>
        </w:rPr>
        <w:t xml:space="preserve"> tal-fruntieri u l-ġlieda kontra l-kuntrabandisti.</w:t>
      </w:r>
    </w:p>
  </w:footnote>
  <w:footnote w:id="33">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Id-Direttiva 2013/32/UE, imsemmija iktar 'il fuq.  </w:t>
      </w:r>
    </w:p>
  </w:footnote>
  <w:footnote w:id="34">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Ir-Regolament (UE) Nru 604/2013 tas-26 ta' Ġunju 2013 li jistabbilixxi l-kriterji u l-mekkaniżmi biex ikun iddetermina</w:t>
      </w:r>
      <w:r>
        <w:rPr>
          <w:rFonts w:ascii="Times New Roman" w:hAnsi="Times New Roman"/>
          <w:sz w:val="18"/>
        </w:rPr>
        <w:t xml:space="preserve">t liema hu l-Istat Membru responsabbli biex jeżamina applikazzjoni għall-protezzjoni internazzjonali iddepożitata għand wieħed mill-Istati Membri minn ċittadin ta’ pajjiż terz jew persuna </w:t>
      </w:r>
      <w:proofErr w:type="spellStart"/>
      <w:r>
        <w:rPr>
          <w:rFonts w:ascii="Times New Roman" w:hAnsi="Times New Roman"/>
          <w:sz w:val="18"/>
        </w:rPr>
        <w:t>apolida</w:t>
      </w:r>
      <w:proofErr w:type="spellEnd"/>
      <w:r>
        <w:rPr>
          <w:rFonts w:ascii="Times New Roman" w:hAnsi="Times New Roman"/>
          <w:sz w:val="18"/>
        </w:rPr>
        <w:t xml:space="preserve"> (ĠU L 180, 29.6.2013, p. 31). Ir-Renju Unit u l-Irlanda </w:t>
      </w:r>
      <w:proofErr w:type="spellStart"/>
      <w:r>
        <w:rPr>
          <w:rFonts w:ascii="Times New Roman" w:hAnsi="Times New Roman"/>
          <w:sz w:val="18"/>
        </w:rPr>
        <w:t>nnot</w:t>
      </w:r>
      <w:r>
        <w:rPr>
          <w:rFonts w:ascii="Times New Roman" w:hAnsi="Times New Roman"/>
          <w:sz w:val="18"/>
        </w:rPr>
        <w:t>ifikaw</w:t>
      </w:r>
      <w:proofErr w:type="spellEnd"/>
      <w:r>
        <w:rPr>
          <w:rFonts w:ascii="Times New Roman" w:hAnsi="Times New Roman"/>
          <w:sz w:val="18"/>
        </w:rPr>
        <w:t xml:space="preserve"> ix-xewqa tagħhom li jieħdu sehem fl-adozzjoni u l-applikazzjoni ta’ dan ir-Regolament. Id-Danimarka tipparteċipa fis-sistema ta’ Dublin permezz ta’ ftehim internazzjonali separat li hija </w:t>
      </w:r>
      <w:proofErr w:type="spellStart"/>
      <w:r>
        <w:rPr>
          <w:rFonts w:ascii="Times New Roman" w:hAnsi="Times New Roman"/>
          <w:sz w:val="18"/>
        </w:rPr>
        <w:t>kkonkludiet</w:t>
      </w:r>
      <w:proofErr w:type="spellEnd"/>
      <w:r>
        <w:rPr>
          <w:rFonts w:ascii="Times New Roman" w:hAnsi="Times New Roman"/>
          <w:sz w:val="18"/>
        </w:rPr>
        <w:t xml:space="preserve"> mal-UE fl-2006. Il-kriterji biex tiġi stabbilita r</w:t>
      </w:r>
      <w:r>
        <w:rPr>
          <w:rFonts w:ascii="Times New Roman" w:hAnsi="Times New Roman"/>
          <w:sz w:val="18"/>
        </w:rPr>
        <w:t xml:space="preserve">-responsabbiltà, b’ordni </w:t>
      </w:r>
      <w:proofErr w:type="spellStart"/>
      <w:r>
        <w:rPr>
          <w:rFonts w:ascii="Times New Roman" w:hAnsi="Times New Roman"/>
          <w:sz w:val="18"/>
        </w:rPr>
        <w:t>ġerarkika</w:t>
      </w:r>
      <w:proofErr w:type="spellEnd"/>
      <w:r>
        <w:rPr>
          <w:rFonts w:ascii="Times New Roman" w:hAnsi="Times New Roman"/>
          <w:sz w:val="18"/>
        </w:rPr>
        <w:t>, jinfirxu mill-konsiderazzjonijiet tal-familja, għal pussess reċenti ta’ viża jew ta' permess ta’ residenza fi Stat Membru, sal-punt jekk l-applikant ikunx daħal fl-UE b’mod irregolari, jew regolari.</w:t>
      </w:r>
    </w:p>
  </w:footnote>
  <w:footnote w:id="35">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Ir-Regolament (UE)</w:t>
      </w:r>
      <w:r>
        <w:rPr>
          <w:rFonts w:ascii="Times New Roman" w:hAnsi="Times New Roman"/>
          <w:sz w:val="18"/>
        </w:rPr>
        <w:t xml:space="preserve"> Nru 603/2013 tas-26 ta’ Ġunju 2013 dwar l-istabbiliment ta’ </w:t>
      </w:r>
      <w:proofErr w:type="spellStart"/>
      <w:r>
        <w:rPr>
          <w:rFonts w:ascii="Times New Roman" w:hAnsi="Times New Roman"/>
          <w:sz w:val="18"/>
        </w:rPr>
        <w:t>Eurodac</w:t>
      </w:r>
      <w:proofErr w:type="spellEnd"/>
      <w:r>
        <w:rPr>
          <w:rFonts w:ascii="Times New Roman" w:hAnsi="Times New Roman"/>
          <w:sz w:val="18"/>
        </w:rPr>
        <w:t xml:space="preserve"> (tfassil mill-ġdid). Ir-Renju Unit u l-Irlanda għażlu li jintrabtu b'dan ir-Regolament. Id-Danimarka tipparteċipa fis-sistema ta' </w:t>
      </w:r>
      <w:proofErr w:type="spellStart"/>
      <w:r>
        <w:rPr>
          <w:rFonts w:ascii="Times New Roman" w:hAnsi="Times New Roman"/>
          <w:sz w:val="18"/>
        </w:rPr>
        <w:t>Eurodac</w:t>
      </w:r>
      <w:proofErr w:type="spellEnd"/>
      <w:r>
        <w:rPr>
          <w:rFonts w:ascii="Times New Roman" w:hAnsi="Times New Roman"/>
          <w:sz w:val="18"/>
        </w:rPr>
        <w:t xml:space="preserve"> permezz ta’ ftehim internazzjonali separat li hij</w:t>
      </w:r>
      <w:r>
        <w:rPr>
          <w:rFonts w:ascii="Times New Roman" w:hAnsi="Times New Roman"/>
          <w:sz w:val="18"/>
        </w:rPr>
        <w:t xml:space="preserve">a </w:t>
      </w:r>
      <w:proofErr w:type="spellStart"/>
      <w:r>
        <w:rPr>
          <w:rFonts w:ascii="Times New Roman" w:hAnsi="Times New Roman"/>
          <w:sz w:val="18"/>
        </w:rPr>
        <w:t>kkonkludiet</w:t>
      </w:r>
      <w:proofErr w:type="spellEnd"/>
      <w:r>
        <w:rPr>
          <w:rFonts w:ascii="Times New Roman" w:hAnsi="Times New Roman"/>
          <w:sz w:val="18"/>
        </w:rPr>
        <w:t xml:space="preserve"> mal-UE fl-2006.</w:t>
      </w:r>
    </w:p>
  </w:footnote>
  <w:footnote w:id="36">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Dwar l-ambitu ta’ tali proposta ġdida ara n-nota ta’ qiegħ il-paġna 3.</w:t>
      </w:r>
    </w:p>
  </w:footnote>
  <w:footnote w:id="37">
    <w:p w:rsidR="00300A70" w:rsidRDefault="00E04097">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proofErr w:type="spellStart"/>
      <w:r>
        <w:rPr>
          <w:rFonts w:ascii="Times New Roman" w:hAnsi="Times New Roman"/>
          <w:sz w:val="18"/>
        </w:rPr>
        <w:t>Descy</w:t>
      </w:r>
      <w:proofErr w:type="spellEnd"/>
      <w:r>
        <w:rPr>
          <w:rFonts w:ascii="Times New Roman" w:hAnsi="Times New Roman"/>
          <w:sz w:val="18"/>
        </w:rPr>
        <w:t xml:space="preserve">, </w:t>
      </w:r>
      <w:proofErr w:type="spellStart"/>
      <w:r>
        <w:rPr>
          <w:rFonts w:ascii="Times New Roman" w:hAnsi="Times New Roman"/>
          <w:sz w:val="18"/>
        </w:rPr>
        <w:t>Pascaline</w:t>
      </w:r>
      <w:proofErr w:type="spellEnd"/>
      <w:r>
        <w:rPr>
          <w:rFonts w:ascii="Times New Roman" w:hAnsi="Times New Roman"/>
          <w:sz w:val="18"/>
        </w:rPr>
        <w:t xml:space="preserve"> (2014), “</w:t>
      </w:r>
      <w:proofErr w:type="spellStart"/>
      <w:r>
        <w:rPr>
          <w:rFonts w:ascii="Times New Roman" w:hAnsi="Times New Roman"/>
          <w:sz w:val="18"/>
        </w:rPr>
        <w:t>Projected</w:t>
      </w:r>
      <w:proofErr w:type="spellEnd"/>
      <w:r>
        <w:rPr>
          <w:rFonts w:ascii="Times New Roman" w:hAnsi="Times New Roman"/>
          <w:sz w:val="18"/>
        </w:rPr>
        <w:t xml:space="preserve"> labour </w:t>
      </w:r>
      <w:proofErr w:type="spellStart"/>
      <w:r>
        <w:rPr>
          <w:rFonts w:ascii="Times New Roman" w:hAnsi="Times New Roman"/>
          <w:sz w:val="18"/>
        </w:rPr>
        <w:t>market</w:t>
      </w:r>
      <w:proofErr w:type="spellEnd"/>
      <w:r>
        <w:rPr>
          <w:rFonts w:ascii="Times New Roman" w:hAnsi="Times New Roman"/>
          <w:sz w:val="18"/>
        </w:rPr>
        <w:t xml:space="preserve"> </w:t>
      </w:r>
      <w:proofErr w:type="spellStart"/>
      <w:r>
        <w:rPr>
          <w:rFonts w:ascii="Times New Roman" w:hAnsi="Times New Roman"/>
          <w:sz w:val="18"/>
        </w:rPr>
        <w:t>imbalances</w:t>
      </w:r>
      <w:proofErr w:type="spellEnd"/>
      <w:r>
        <w:rPr>
          <w:rFonts w:ascii="Times New Roman" w:hAnsi="Times New Roman"/>
          <w:sz w:val="18"/>
        </w:rPr>
        <w:t xml:space="preserve"> </w:t>
      </w:r>
      <w:proofErr w:type="spellStart"/>
      <w:r>
        <w:rPr>
          <w:rFonts w:ascii="Times New Roman" w:hAnsi="Times New Roman"/>
          <w:sz w:val="18"/>
        </w:rPr>
        <w:t>in</w:t>
      </w:r>
      <w:proofErr w:type="spellEnd"/>
      <w:r>
        <w:rPr>
          <w:rFonts w:ascii="Times New Roman" w:hAnsi="Times New Roman"/>
          <w:sz w:val="18"/>
        </w:rPr>
        <w:t xml:space="preserve"> </w:t>
      </w:r>
      <w:proofErr w:type="spellStart"/>
      <w:r>
        <w:rPr>
          <w:rFonts w:ascii="Times New Roman" w:hAnsi="Times New Roman"/>
          <w:sz w:val="18"/>
        </w:rPr>
        <w:t>Europe</w:t>
      </w:r>
      <w:proofErr w:type="spellEnd"/>
      <w:r>
        <w:rPr>
          <w:rFonts w:ascii="Times New Roman" w:hAnsi="Times New Roman"/>
          <w:sz w:val="18"/>
        </w:rPr>
        <w:t xml:space="preserve">: </w:t>
      </w:r>
      <w:proofErr w:type="spellStart"/>
      <w:r>
        <w:rPr>
          <w:rFonts w:ascii="Times New Roman" w:hAnsi="Times New Roman"/>
          <w:sz w:val="18"/>
        </w:rPr>
        <w:t>Policy</w:t>
      </w:r>
      <w:proofErr w:type="spellEnd"/>
      <w:r>
        <w:rPr>
          <w:rFonts w:ascii="Times New Roman" w:hAnsi="Times New Roman"/>
          <w:sz w:val="18"/>
        </w:rPr>
        <w:t xml:space="preserve"> </w:t>
      </w:r>
      <w:proofErr w:type="spellStart"/>
      <w:r>
        <w:rPr>
          <w:rFonts w:ascii="Times New Roman" w:hAnsi="Times New Roman"/>
          <w:sz w:val="18"/>
        </w:rPr>
        <w:t>challenges</w:t>
      </w:r>
      <w:proofErr w:type="spellEnd"/>
      <w:r>
        <w:rPr>
          <w:rFonts w:ascii="Times New Roman" w:hAnsi="Times New Roman"/>
          <w:sz w:val="18"/>
        </w:rPr>
        <w:t xml:space="preserve"> </w:t>
      </w:r>
      <w:proofErr w:type="spellStart"/>
      <w:r>
        <w:rPr>
          <w:rFonts w:ascii="Times New Roman" w:hAnsi="Times New Roman"/>
          <w:sz w:val="18"/>
        </w:rPr>
        <w:t>in</w:t>
      </w:r>
      <w:proofErr w:type="spellEnd"/>
      <w:r>
        <w:rPr>
          <w:rFonts w:ascii="Times New Roman" w:hAnsi="Times New Roman"/>
          <w:sz w:val="18"/>
        </w:rPr>
        <w:t xml:space="preserve"> </w:t>
      </w:r>
      <w:proofErr w:type="spellStart"/>
      <w:r>
        <w:rPr>
          <w:rFonts w:ascii="Times New Roman" w:hAnsi="Times New Roman"/>
          <w:sz w:val="18"/>
        </w:rPr>
        <w:t>meeting</w:t>
      </w:r>
      <w:proofErr w:type="spellEnd"/>
      <w:r>
        <w:rPr>
          <w:rFonts w:ascii="Times New Roman" w:hAnsi="Times New Roman"/>
          <w:sz w:val="18"/>
        </w:rPr>
        <w:t xml:space="preserve"> </w:t>
      </w:r>
      <w:proofErr w:type="spellStart"/>
      <w:r>
        <w:rPr>
          <w:rFonts w:ascii="Times New Roman" w:hAnsi="Times New Roman"/>
          <w:sz w:val="18"/>
        </w:rPr>
        <w:t>the</w:t>
      </w:r>
      <w:proofErr w:type="spellEnd"/>
      <w:r>
        <w:rPr>
          <w:rFonts w:ascii="Times New Roman" w:hAnsi="Times New Roman"/>
          <w:sz w:val="18"/>
        </w:rPr>
        <w:t xml:space="preserve"> </w:t>
      </w:r>
      <w:proofErr w:type="spellStart"/>
      <w:r>
        <w:rPr>
          <w:rFonts w:ascii="Times New Roman" w:hAnsi="Times New Roman"/>
          <w:sz w:val="18"/>
        </w:rPr>
        <w:t>Europe</w:t>
      </w:r>
      <w:proofErr w:type="spellEnd"/>
      <w:r>
        <w:rPr>
          <w:rFonts w:ascii="Times New Roman" w:hAnsi="Times New Roman"/>
          <w:sz w:val="18"/>
        </w:rPr>
        <w:t xml:space="preserve"> 2020 </w:t>
      </w:r>
      <w:proofErr w:type="spellStart"/>
      <w:r>
        <w:rPr>
          <w:rFonts w:ascii="Times New Roman" w:hAnsi="Times New Roman"/>
          <w:sz w:val="18"/>
        </w:rPr>
        <w:t>employment</w:t>
      </w:r>
      <w:proofErr w:type="spellEnd"/>
      <w:r>
        <w:rPr>
          <w:rFonts w:ascii="Times New Roman" w:hAnsi="Times New Roman"/>
          <w:sz w:val="18"/>
        </w:rPr>
        <w:t xml:space="preserve"> </w:t>
      </w:r>
      <w:proofErr w:type="spellStart"/>
      <w:r>
        <w:rPr>
          <w:rFonts w:ascii="Times New Roman" w:hAnsi="Times New Roman"/>
          <w:sz w:val="18"/>
        </w:rPr>
        <w:t>targets</w:t>
      </w:r>
      <w:proofErr w:type="spellEnd"/>
      <w:r>
        <w:rPr>
          <w:rFonts w:ascii="Times New Roman" w:hAnsi="Times New Roman"/>
          <w:sz w:val="18"/>
        </w:rPr>
        <w:t>”, f'OECD/Euro</w:t>
      </w:r>
      <w:r>
        <w:rPr>
          <w:rFonts w:ascii="Times New Roman" w:hAnsi="Times New Roman"/>
          <w:sz w:val="18"/>
        </w:rPr>
        <w:t xml:space="preserve">pean Union, </w:t>
      </w:r>
      <w:proofErr w:type="spellStart"/>
      <w:r>
        <w:rPr>
          <w:rFonts w:ascii="Times New Roman" w:hAnsi="Times New Roman"/>
          <w:sz w:val="18"/>
        </w:rPr>
        <w:t>Matching</w:t>
      </w:r>
      <w:proofErr w:type="spellEnd"/>
      <w:r>
        <w:rPr>
          <w:rFonts w:ascii="Times New Roman" w:hAnsi="Times New Roman"/>
          <w:sz w:val="18"/>
        </w:rPr>
        <w:t xml:space="preserve"> </w:t>
      </w:r>
      <w:proofErr w:type="spellStart"/>
      <w:r>
        <w:rPr>
          <w:rFonts w:ascii="Times New Roman" w:hAnsi="Times New Roman"/>
          <w:sz w:val="18"/>
        </w:rPr>
        <w:t>Economic</w:t>
      </w:r>
      <w:proofErr w:type="spellEnd"/>
      <w:r>
        <w:rPr>
          <w:rFonts w:ascii="Times New Roman" w:hAnsi="Times New Roman"/>
          <w:sz w:val="18"/>
        </w:rPr>
        <w:t xml:space="preserve"> </w:t>
      </w:r>
      <w:proofErr w:type="spellStart"/>
      <w:r>
        <w:rPr>
          <w:rFonts w:ascii="Times New Roman" w:hAnsi="Times New Roman"/>
          <w:sz w:val="18"/>
        </w:rPr>
        <w:t>Migration</w:t>
      </w:r>
      <w:proofErr w:type="spellEnd"/>
      <w:r>
        <w:rPr>
          <w:rFonts w:ascii="Times New Roman" w:hAnsi="Times New Roman"/>
          <w:sz w:val="18"/>
        </w:rPr>
        <w:t xml:space="preserve"> </w:t>
      </w:r>
      <w:proofErr w:type="spellStart"/>
      <w:r>
        <w:rPr>
          <w:rFonts w:ascii="Times New Roman" w:hAnsi="Times New Roman"/>
          <w:sz w:val="18"/>
        </w:rPr>
        <w:t>with</w:t>
      </w:r>
      <w:proofErr w:type="spellEnd"/>
      <w:r>
        <w:rPr>
          <w:rFonts w:ascii="Times New Roman" w:hAnsi="Times New Roman"/>
          <w:sz w:val="18"/>
        </w:rPr>
        <w:t xml:space="preserve"> Labour </w:t>
      </w:r>
      <w:proofErr w:type="spellStart"/>
      <w:r>
        <w:rPr>
          <w:rFonts w:ascii="Times New Roman" w:hAnsi="Times New Roman"/>
          <w:sz w:val="18"/>
        </w:rPr>
        <w:t>Market</w:t>
      </w:r>
      <w:proofErr w:type="spellEnd"/>
      <w:r>
        <w:rPr>
          <w:rFonts w:ascii="Times New Roman" w:hAnsi="Times New Roman"/>
          <w:sz w:val="18"/>
        </w:rPr>
        <w:t xml:space="preserve"> </w:t>
      </w:r>
      <w:proofErr w:type="spellStart"/>
      <w:r>
        <w:rPr>
          <w:rFonts w:ascii="Times New Roman" w:hAnsi="Times New Roman"/>
          <w:sz w:val="18"/>
        </w:rPr>
        <w:t>Needs</w:t>
      </w:r>
      <w:proofErr w:type="spellEnd"/>
      <w:r>
        <w:rPr>
          <w:rFonts w:ascii="Times New Roman" w:hAnsi="Times New Roman"/>
          <w:sz w:val="18"/>
        </w:rPr>
        <w:t>, Pubblikazzjoni OECD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rsidR="00300A70" w:rsidRDefault="00E04097">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Iż-żewġ inizjattivi huma diġà previsti fl-Anness 1 t</w:t>
      </w:r>
      <w:r>
        <w:rPr>
          <w:rFonts w:ascii="Times New Roman" w:hAnsi="Times New Roman"/>
          <w:sz w:val="18"/>
        </w:rPr>
        <w:t>al-programm ta’ ħidma tal-Kummissjoni għall-2015.</w:t>
      </w:r>
    </w:p>
  </w:footnote>
  <w:footnote w:id="39">
    <w:p w:rsidR="00300A70" w:rsidRDefault="00E04097">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Il-Kummissjoni ser twettaq ukoll evalwazzjoni u valutazzjoni (</w:t>
      </w:r>
      <w:r>
        <w:rPr>
          <w:rFonts w:ascii="Times New Roman" w:hAnsi="Times New Roman"/>
          <w:i/>
          <w:sz w:val="18"/>
        </w:rPr>
        <w:t>kontroll tal-</w:t>
      </w:r>
      <w:proofErr w:type="spellStart"/>
      <w:r>
        <w:rPr>
          <w:rFonts w:ascii="Times New Roman" w:hAnsi="Times New Roman"/>
          <w:i/>
          <w:sz w:val="18"/>
        </w:rPr>
        <w:t>idoneità</w:t>
      </w:r>
      <w:proofErr w:type="spellEnd"/>
      <w:r>
        <w:rPr>
          <w:rFonts w:ascii="Times New Roman" w:hAnsi="Times New Roman"/>
          <w:sz w:val="18"/>
        </w:rPr>
        <w:t>) tal-</w:t>
      </w:r>
      <w:proofErr w:type="spellStart"/>
      <w:r>
        <w:rPr>
          <w:rFonts w:ascii="Times New Roman" w:hAnsi="Times New Roman"/>
          <w:i/>
          <w:sz w:val="18"/>
        </w:rPr>
        <w:t>acquis</w:t>
      </w:r>
      <w:proofErr w:type="spellEnd"/>
      <w:r>
        <w:rPr>
          <w:rFonts w:ascii="Times New Roman" w:hAnsi="Times New Roman"/>
          <w:sz w:val="18"/>
        </w:rPr>
        <w:t xml:space="preserve"> eżistenti dwar il-</w:t>
      </w:r>
      <w:proofErr w:type="spellStart"/>
      <w:r>
        <w:rPr>
          <w:rFonts w:ascii="Times New Roman" w:hAnsi="Times New Roman"/>
          <w:sz w:val="18"/>
        </w:rPr>
        <w:t>migrazzjoni</w:t>
      </w:r>
      <w:proofErr w:type="spellEnd"/>
      <w:r>
        <w:rPr>
          <w:rFonts w:ascii="Times New Roman" w:hAnsi="Times New Roman"/>
          <w:sz w:val="18"/>
        </w:rPr>
        <w:t xml:space="preserve"> legali bl-għan li jiġu identifikati nuqqasijiet u </w:t>
      </w:r>
      <w:proofErr w:type="spellStart"/>
      <w:r>
        <w:rPr>
          <w:rFonts w:ascii="Times New Roman" w:hAnsi="Times New Roman"/>
          <w:sz w:val="18"/>
        </w:rPr>
        <w:t>inkonsistenzi</w:t>
      </w:r>
      <w:proofErr w:type="spellEnd"/>
      <w:r>
        <w:rPr>
          <w:rFonts w:ascii="Times New Roman" w:hAnsi="Times New Roman"/>
          <w:sz w:val="18"/>
        </w:rPr>
        <w:t xml:space="preserve"> u tikkunsidra</w:t>
      </w:r>
      <w:r>
        <w:rPr>
          <w:rFonts w:ascii="Times New Roman" w:hAnsi="Times New Roman"/>
          <w:sz w:val="18"/>
        </w:rPr>
        <w:t xml:space="preserve"> modi possibbli ta’ simplifikazzjoni u razzjonalizzazzjoni fil-qafas attwali tal-UE sabiex tikkontribwixxi għal </w:t>
      </w:r>
      <w:proofErr w:type="spellStart"/>
      <w:r>
        <w:rPr>
          <w:rFonts w:ascii="Times New Roman" w:hAnsi="Times New Roman"/>
          <w:sz w:val="18"/>
        </w:rPr>
        <w:t>ġestjoni</w:t>
      </w:r>
      <w:proofErr w:type="spellEnd"/>
      <w:r>
        <w:rPr>
          <w:rFonts w:ascii="Times New Roman" w:hAnsi="Times New Roman"/>
          <w:sz w:val="18"/>
        </w:rPr>
        <w:t xml:space="preserve"> aħjar tal-</w:t>
      </w:r>
      <w:proofErr w:type="spellStart"/>
      <w:r>
        <w:rPr>
          <w:rFonts w:ascii="Times New Roman" w:hAnsi="Times New Roman"/>
          <w:sz w:val="18"/>
        </w:rPr>
        <w:t>flussi</w:t>
      </w:r>
      <w:proofErr w:type="spellEnd"/>
      <w:r>
        <w:rPr>
          <w:rFonts w:ascii="Times New Roman" w:hAnsi="Times New Roman"/>
          <w:sz w:val="18"/>
        </w:rPr>
        <w:t xml:space="preserve"> </w:t>
      </w:r>
      <w:proofErr w:type="spellStart"/>
      <w:r>
        <w:rPr>
          <w:rFonts w:ascii="Times New Roman" w:hAnsi="Times New Roman"/>
          <w:sz w:val="18"/>
        </w:rPr>
        <w:t>migratorji</w:t>
      </w:r>
      <w:proofErr w:type="spellEnd"/>
      <w:r>
        <w:rPr>
          <w:rFonts w:ascii="Times New Roman" w:hAnsi="Times New Roman"/>
          <w:sz w:val="18"/>
        </w:rPr>
        <w:t xml:space="preserve"> legali. Dwar l-ambitu ta’ tali proposta ġdida ara n-nota ta’ qiegħ il-paġna 3.</w:t>
      </w:r>
      <w:r>
        <w:rPr>
          <w:rFonts w:ascii="Times New Roman" w:hAnsi="Times New Roman"/>
          <w:color w:val="000000"/>
          <w:sz w:val="18"/>
        </w:rPr>
        <w:t xml:space="preserve"> </w:t>
      </w:r>
    </w:p>
  </w:footnote>
  <w:footnote w:id="40">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finali. Dwar l-ambitu ta’ din il-proposta ara wkoll in-nota ta’ qiegħ il-paġna 3.  </w:t>
      </w:r>
    </w:p>
  </w:footnote>
  <w:footnote w:id="41">
    <w:p w:rsidR="00300A70" w:rsidRDefault="00E0409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Id-Direttiva 2009/50/KE tal-25 ta’ Mejju 2009 dwar il-kundizzjonijiet ta’ dħul u residenza ta’ ċittadini ta’ pajjiżi terzi għall-finijiet ta’ impjieg bi k</w:t>
      </w:r>
      <w:r>
        <w:rPr>
          <w:rFonts w:ascii="Times New Roman" w:hAnsi="Times New Roman"/>
          <w:sz w:val="18"/>
        </w:rPr>
        <w:t xml:space="preserve">walifiki għoljin, ĠU L 155, 18.6.2009, p. 17–29. Ir-Renju Unit u l-Irlanda ma għażlux li jintrabtu b'din id-Direttiva u għalhekk mhumiex marbuta minnha jew soġġetti għall-applikazzjoni tagħha. </w:t>
      </w:r>
    </w:p>
  </w:footnote>
  <w:footnote w:id="42">
    <w:p w:rsidR="00300A70" w:rsidRDefault="00E04097">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Bħalma huma </w:t>
      </w:r>
      <w:proofErr w:type="spellStart"/>
      <w:r>
        <w:rPr>
          <w:rFonts w:ascii="Times New Roman" w:hAnsi="Times New Roman"/>
          <w:sz w:val="18"/>
        </w:rPr>
        <w:t>Skills</w:t>
      </w:r>
      <w:proofErr w:type="spellEnd"/>
      <w:r>
        <w:rPr>
          <w:rFonts w:ascii="Times New Roman" w:hAnsi="Times New Roman"/>
          <w:sz w:val="18"/>
        </w:rPr>
        <w:t xml:space="preserve"> </w:t>
      </w:r>
      <w:proofErr w:type="spellStart"/>
      <w:r>
        <w:rPr>
          <w:rFonts w:ascii="Times New Roman" w:hAnsi="Times New Roman"/>
          <w:sz w:val="18"/>
        </w:rPr>
        <w:t>Panorama</w:t>
      </w:r>
      <w:proofErr w:type="spellEnd"/>
      <w:r>
        <w:rPr>
          <w:rFonts w:ascii="Times New Roman" w:hAnsi="Times New Roman"/>
          <w:sz w:val="18"/>
        </w:rPr>
        <w:t xml:space="preserve"> u </w:t>
      </w:r>
      <w:proofErr w:type="spellStart"/>
      <w:r>
        <w:rPr>
          <w:rFonts w:ascii="Times New Roman" w:hAnsi="Times New Roman"/>
          <w:sz w:val="18"/>
        </w:rPr>
        <w:t>Skills</w:t>
      </w:r>
      <w:proofErr w:type="spellEnd"/>
      <w:r>
        <w:rPr>
          <w:rFonts w:ascii="Times New Roman" w:hAnsi="Times New Roman"/>
          <w:sz w:val="18"/>
        </w:rPr>
        <w:t xml:space="preserve"> </w:t>
      </w:r>
      <w:proofErr w:type="spellStart"/>
      <w:r>
        <w:rPr>
          <w:rFonts w:ascii="Times New Roman" w:hAnsi="Times New Roman"/>
          <w:sz w:val="18"/>
        </w:rPr>
        <w:t>Alliances</w:t>
      </w:r>
      <w:proofErr w:type="spellEnd"/>
      <w:r>
        <w:rPr>
          <w:rFonts w:ascii="Times New Roman" w:hAnsi="Times New Roman"/>
          <w:sz w:val="18"/>
        </w:rPr>
        <w:t>.</w:t>
      </w:r>
    </w:p>
  </w:footnote>
  <w:footnote w:id="43">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Pereżemp</w:t>
      </w:r>
      <w:r>
        <w:rPr>
          <w:rFonts w:ascii="Times New Roman" w:hAnsi="Times New Roman"/>
          <w:sz w:val="18"/>
        </w:rPr>
        <w:t>ju permezz tal-Qafas Ewropew tal-Kwalifiki u fil-kuntest tar-</w:t>
      </w:r>
      <w:proofErr w:type="spellStart"/>
      <w:r>
        <w:rPr>
          <w:rFonts w:ascii="Times New Roman" w:hAnsi="Times New Roman"/>
          <w:sz w:val="18"/>
        </w:rPr>
        <w:t>rieżami</w:t>
      </w:r>
      <w:proofErr w:type="spellEnd"/>
      <w:r>
        <w:rPr>
          <w:rFonts w:ascii="Times New Roman" w:hAnsi="Times New Roman"/>
          <w:sz w:val="18"/>
        </w:rPr>
        <w:t xml:space="preserve"> li jmiss tas-sistema tal-EUROPASS.</w:t>
      </w:r>
    </w:p>
  </w:footnote>
  <w:footnote w:id="44">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Il-politika komuni dwar il-</w:t>
      </w:r>
      <w:proofErr w:type="spellStart"/>
      <w:r>
        <w:rPr>
          <w:rFonts w:ascii="Times New Roman" w:hAnsi="Times New Roman"/>
          <w:sz w:val="18"/>
        </w:rPr>
        <w:t>viżi</w:t>
      </w:r>
      <w:proofErr w:type="spellEnd"/>
      <w:r>
        <w:rPr>
          <w:rFonts w:ascii="Times New Roman" w:hAnsi="Times New Roman"/>
          <w:sz w:val="18"/>
        </w:rPr>
        <w:t xml:space="preserve"> prinċipalment prevista fil-Kodiċi dwar il-</w:t>
      </w:r>
      <w:proofErr w:type="spellStart"/>
      <w:r>
        <w:rPr>
          <w:rFonts w:ascii="Times New Roman" w:hAnsi="Times New Roman"/>
          <w:sz w:val="18"/>
        </w:rPr>
        <w:t>Viżi</w:t>
      </w:r>
      <w:proofErr w:type="spellEnd"/>
      <w:r>
        <w:rPr>
          <w:rFonts w:ascii="Times New Roman" w:hAnsi="Times New Roman"/>
          <w:sz w:val="18"/>
        </w:rPr>
        <w:t xml:space="preserve"> (ir-Regolament 810/2009) tistabbilixxi r-regoli għall-ħruġ ta’ </w:t>
      </w:r>
      <w:proofErr w:type="spellStart"/>
      <w:r>
        <w:rPr>
          <w:rFonts w:ascii="Times New Roman" w:hAnsi="Times New Roman"/>
          <w:sz w:val="18"/>
        </w:rPr>
        <w:t>viżi</w:t>
      </w:r>
      <w:proofErr w:type="spellEnd"/>
      <w:r>
        <w:rPr>
          <w:rFonts w:ascii="Times New Roman" w:hAnsi="Times New Roman"/>
          <w:sz w:val="18"/>
        </w:rPr>
        <w:t xml:space="preserve"> għ</w:t>
      </w:r>
      <w:r>
        <w:rPr>
          <w:rFonts w:ascii="Times New Roman" w:hAnsi="Times New Roman"/>
          <w:sz w:val="18"/>
        </w:rPr>
        <w:t>al żjajjar qosra lil ċittadini ta’ pajjiżi terzi li jivvjaġġaw għall-fini ta’ eż. turiżmu, negozju, żjajjar privati familja/ħbieb, avvenimenti kulturali u sportivi. Hija parti mill-</w:t>
      </w:r>
      <w:proofErr w:type="spellStart"/>
      <w:r>
        <w:rPr>
          <w:rFonts w:ascii="Times New Roman" w:hAnsi="Times New Roman"/>
          <w:i/>
          <w:sz w:val="18"/>
        </w:rPr>
        <w:t>acquis</w:t>
      </w:r>
      <w:proofErr w:type="spellEnd"/>
      <w:r>
        <w:rPr>
          <w:rFonts w:ascii="Times New Roman" w:hAnsi="Times New Roman"/>
          <w:sz w:val="18"/>
        </w:rPr>
        <w:t xml:space="preserve"> ta’ Schengen li fiha l-Irlanda u r-Renju Unit ma </w:t>
      </w:r>
      <w:proofErr w:type="spellStart"/>
      <w:r>
        <w:rPr>
          <w:rFonts w:ascii="Times New Roman" w:hAnsi="Times New Roman"/>
          <w:sz w:val="18"/>
        </w:rPr>
        <w:t>jipparteċipawx</w:t>
      </w:r>
      <w:proofErr w:type="spellEnd"/>
      <w:r>
        <w:rPr>
          <w:rFonts w:ascii="Times New Roman" w:hAnsi="Times New Roman"/>
          <w:sz w:val="18"/>
        </w:rPr>
        <w:t>. Fl-</w:t>
      </w:r>
      <w:r>
        <w:rPr>
          <w:rFonts w:ascii="Times New Roman" w:hAnsi="Times New Roman"/>
          <w:sz w:val="18"/>
        </w:rPr>
        <w:t xml:space="preserve">2014, l-Istati ta’ Schengen ħarġu madwar 15.8-il miljun viża li jirrappreżenta żieda ta’ madwar 60% meta mqabbel mal-2009. Attwalment tinsab taħt diskussjoni fil-Parlament u l-Kunsill proposta </w:t>
      </w:r>
      <w:proofErr w:type="spellStart"/>
      <w:r>
        <w:rPr>
          <w:rFonts w:ascii="Times New Roman" w:hAnsi="Times New Roman"/>
          <w:sz w:val="18"/>
        </w:rPr>
        <w:t>riformulata</w:t>
      </w:r>
      <w:proofErr w:type="spellEnd"/>
      <w:r>
        <w:rPr>
          <w:rFonts w:ascii="Times New Roman" w:hAnsi="Times New Roman"/>
          <w:sz w:val="18"/>
        </w:rPr>
        <w:t xml:space="preserve"> tal-Kodiċi dwar il-</w:t>
      </w:r>
      <w:proofErr w:type="spellStart"/>
      <w:r>
        <w:rPr>
          <w:rFonts w:ascii="Times New Roman" w:hAnsi="Times New Roman"/>
          <w:sz w:val="18"/>
        </w:rPr>
        <w:t>Viżi</w:t>
      </w:r>
      <w:proofErr w:type="spellEnd"/>
      <w:r>
        <w:rPr>
          <w:rFonts w:ascii="Times New Roman" w:hAnsi="Times New Roman"/>
          <w:sz w:val="18"/>
        </w:rPr>
        <w:t xml:space="preserve"> (COM(2014) 164).</w:t>
      </w:r>
    </w:p>
  </w:footnote>
  <w:footnote w:id="45">
    <w:p w:rsidR="00300A70" w:rsidRDefault="00E04097">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Hija ti</w:t>
      </w:r>
      <w:r>
        <w:rPr>
          <w:rFonts w:ascii="Times New Roman" w:hAnsi="Times New Roman"/>
          <w:sz w:val="18"/>
        </w:rPr>
        <w:t xml:space="preserve">p ġdid ta’ viża kemm għal ċittadini ta' pajjiżi terzi li ma għandhomx bżonn viża kif ukoll għal dawk li </w:t>
      </w:r>
      <w:proofErr w:type="spellStart"/>
      <w:r>
        <w:rPr>
          <w:rFonts w:ascii="Times New Roman" w:hAnsi="Times New Roman"/>
          <w:sz w:val="18"/>
        </w:rPr>
        <w:t>jeħtiġuha</w:t>
      </w:r>
      <w:proofErr w:type="spellEnd"/>
      <w:r>
        <w:rPr>
          <w:rFonts w:ascii="Times New Roman" w:hAnsi="Times New Roman"/>
          <w:sz w:val="18"/>
        </w:rPr>
        <w:t xml:space="preserve"> b’interess leġittimu li jivvjaġġaw madwar iż-żona Schengen għal aktar minn 90 jum fi kwalunkwe perjodu ta’ 180 jum (COM(2014)163). Din il-prop</w:t>
      </w:r>
      <w:r>
        <w:rPr>
          <w:rFonts w:ascii="Times New Roman" w:hAnsi="Times New Roman"/>
          <w:sz w:val="18"/>
        </w:rPr>
        <w:t>osta tibni fuq il-parti tal-</w:t>
      </w:r>
      <w:proofErr w:type="spellStart"/>
      <w:r>
        <w:rPr>
          <w:rFonts w:ascii="Times New Roman" w:hAnsi="Times New Roman"/>
          <w:i/>
          <w:sz w:val="18"/>
        </w:rPr>
        <w:t>acquis</w:t>
      </w:r>
      <w:proofErr w:type="spellEnd"/>
      <w:r>
        <w:rPr>
          <w:rFonts w:ascii="Times New Roman" w:hAnsi="Times New Roman"/>
          <w:sz w:val="18"/>
        </w:rPr>
        <w:t xml:space="preserve"> ta’ Schengen li fiha l-Irlanda u r-Renju Unit ma </w:t>
      </w:r>
      <w:proofErr w:type="spellStart"/>
      <w:r>
        <w:rPr>
          <w:rFonts w:ascii="Times New Roman" w:hAnsi="Times New Roman"/>
          <w:sz w:val="18"/>
        </w:rPr>
        <w:t>jipparteċipawx</w:t>
      </w:r>
      <w:proofErr w:type="spellEnd"/>
      <w:r>
        <w:rPr>
          <w:rFonts w:ascii="Times New Roman" w:hAnsi="Times New Roman"/>
          <w:sz w:val="18"/>
        </w:rPr>
        <w:t>.</w:t>
      </w:r>
    </w:p>
  </w:footnote>
  <w:footnote w:id="46">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L-implimentazzjoni ta’ dawn il-miżuri se tiġi vvalutata sal-aħħar tal-2015 biex ikun verifikat jekk l-Istati Membri laħqux l-għanijiet tagħhom u jekk hux</w:t>
      </w:r>
      <w:r>
        <w:rPr>
          <w:rFonts w:ascii="Times New Roman" w:hAnsi="Times New Roman"/>
          <w:sz w:val="18"/>
        </w:rPr>
        <w:t xml:space="preserve"> meħtieġ xi </w:t>
      </w:r>
      <w:proofErr w:type="spellStart"/>
      <w:r>
        <w:rPr>
          <w:rFonts w:ascii="Times New Roman" w:hAnsi="Times New Roman"/>
          <w:sz w:val="18"/>
        </w:rPr>
        <w:t>programmar</w:t>
      </w:r>
      <w:proofErr w:type="spellEnd"/>
      <w:r>
        <w:rPr>
          <w:rFonts w:ascii="Times New Roman" w:hAnsi="Times New Roman"/>
          <w:sz w:val="18"/>
        </w:rPr>
        <w:t xml:space="preserve"> mill-ġdid ta’ riżorsi tal-FSE.</w:t>
      </w:r>
    </w:p>
  </w:footnote>
  <w:footnote w:id="47">
    <w:p w:rsidR="00300A70" w:rsidRDefault="00E04097">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Komunikazzjoni tal-Kummissjoni: "Il-</w:t>
      </w:r>
      <w:proofErr w:type="spellStart"/>
      <w:r>
        <w:rPr>
          <w:rFonts w:ascii="Times New Roman" w:hAnsi="Times New Roman"/>
          <w:sz w:val="18"/>
        </w:rPr>
        <w:t>Massimizzazzjoni</w:t>
      </w:r>
      <w:proofErr w:type="spellEnd"/>
      <w:r>
        <w:rPr>
          <w:rFonts w:ascii="Times New Roman" w:hAnsi="Times New Roman"/>
          <w:sz w:val="18"/>
        </w:rPr>
        <w:t xml:space="preserve"> tal-Impatt tal-Iżvilupp tal-</w:t>
      </w:r>
      <w:proofErr w:type="spellStart"/>
      <w:r>
        <w:rPr>
          <w:rFonts w:ascii="Times New Roman" w:hAnsi="Times New Roman"/>
          <w:sz w:val="18"/>
        </w:rPr>
        <w:t>Migrazzjoni</w:t>
      </w:r>
      <w:proofErr w:type="spellEnd"/>
      <w:r>
        <w:rPr>
          <w:rFonts w:ascii="Times New Roman" w:hAnsi="Times New Roman"/>
          <w:sz w:val="18"/>
        </w:rPr>
        <w:t>" (COM(2013)292 finali);  Konklużjonijiet tal-Kunsill dwar il-</w:t>
      </w:r>
      <w:proofErr w:type="spellStart"/>
      <w:r>
        <w:rPr>
          <w:rFonts w:ascii="Times New Roman" w:hAnsi="Times New Roman"/>
          <w:sz w:val="18"/>
        </w:rPr>
        <w:t>Migrazzjoni</w:t>
      </w:r>
      <w:proofErr w:type="spellEnd"/>
      <w:r>
        <w:rPr>
          <w:rFonts w:ascii="Times New Roman" w:hAnsi="Times New Roman"/>
          <w:sz w:val="18"/>
        </w:rPr>
        <w:t xml:space="preserve"> fil-Kooperazzjoni għall-Iżvilupp </w:t>
      </w:r>
      <w:r>
        <w:rPr>
          <w:rFonts w:ascii="Times New Roman" w:hAnsi="Times New Roman"/>
          <w:sz w:val="18"/>
        </w:rPr>
        <w:t>tal-UE tat-12 ta’ Diċembru 2014.</w:t>
      </w:r>
    </w:p>
  </w:footnote>
  <w:footnote w:id="48">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Il-Komunikazzjoni tal-Kummissjoni: "L-</w:t>
      </w:r>
      <w:proofErr w:type="spellStart"/>
      <w:r>
        <w:rPr>
          <w:rFonts w:ascii="Times New Roman" w:hAnsi="Times New Roman"/>
          <w:sz w:val="18"/>
        </w:rPr>
        <w:t>Approċċ</w:t>
      </w:r>
      <w:proofErr w:type="spellEnd"/>
      <w:r>
        <w:rPr>
          <w:rFonts w:ascii="Times New Roman" w:hAnsi="Times New Roman"/>
          <w:sz w:val="18"/>
        </w:rPr>
        <w:t xml:space="preserve"> Globali </w:t>
      </w:r>
      <w:proofErr w:type="spellStart"/>
      <w:r>
        <w:rPr>
          <w:rFonts w:ascii="Times New Roman" w:hAnsi="Times New Roman"/>
          <w:sz w:val="18"/>
        </w:rPr>
        <w:t>għall-Migrazzjoni</w:t>
      </w:r>
      <w:proofErr w:type="spellEnd"/>
      <w:r>
        <w:rPr>
          <w:rFonts w:ascii="Times New Roman" w:hAnsi="Times New Roman"/>
          <w:sz w:val="18"/>
        </w:rPr>
        <w:t xml:space="preserve"> u l-</w:t>
      </w:r>
      <w:proofErr w:type="spellStart"/>
      <w:r>
        <w:rPr>
          <w:rFonts w:ascii="Times New Roman" w:hAnsi="Times New Roman"/>
          <w:sz w:val="18"/>
        </w:rPr>
        <w:t>Mobilità</w:t>
      </w:r>
      <w:proofErr w:type="spellEnd"/>
      <w:r>
        <w:rPr>
          <w:rFonts w:ascii="Times New Roman" w:hAnsi="Times New Roman"/>
          <w:sz w:val="18"/>
        </w:rPr>
        <w:t xml:space="preserve">" (COM/2011/743 finali). Dawn huma l-aktar </w:t>
      </w:r>
      <w:proofErr w:type="spellStart"/>
      <w:r>
        <w:rPr>
          <w:rFonts w:ascii="Times New Roman" w:hAnsi="Times New Roman"/>
          <w:sz w:val="18"/>
        </w:rPr>
        <w:t>oqfsa</w:t>
      </w:r>
      <w:proofErr w:type="spellEnd"/>
      <w:r>
        <w:rPr>
          <w:rFonts w:ascii="Times New Roman" w:hAnsi="Times New Roman"/>
          <w:sz w:val="18"/>
        </w:rPr>
        <w:t xml:space="preserve"> ta’ kooperazzjoni bilaterali elaborati fil-qasam tal-</w:t>
      </w:r>
      <w:proofErr w:type="spellStart"/>
      <w:r>
        <w:rPr>
          <w:rFonts w:ascii="Times New Roman" w:hAnsi="Times New Roman"/>
          <w:sz w:val="18"/>
        </w:rPr>
        <w:t>migrazzjoni</w:t>
      </w:r>
      <w:proofErr w:type="spellEnd"/>
      <w:r>
        <w:rPr>
          <w:rFonts w:ascii="Times New Roman" w:hAnsi="Times New Roman"/>
          <w:sz w:val="18"/>
        </w:rPr>
        <w:t>. Huma joffru qafas pol</w:t>
      </w:r>
      <w:r>
        <w:rPr>
          <w:rFonts w:ascii="Times New Roman" w:hAnsi="Times New Roman"/>
          <w:sz w:val="18"/>
        </w:rPr>
        <w:t>itiku għal djalogu u kooperazzjoni komprensivi, msaħħa u mfassla apposta ma’ pajjiżi sħab, inkluż sett ta’ miri u impenji kif ukoll pakkett ta’ miżuri speċifiċi ta’ appoġġ offruti mill-UE u l-Istati Membri interessati. Dawn jinkludu negozjati dwar il-faċil</w:t>
      </w:r>
      <w:r>
        <w:rPr>
          <w:rFonts w:ascii="Times New Roman" w:hAnsi="Times New Roman"/>
          <w:sz w:val="18"/>
        </w:rPr>
        <w:t>itazzjoni tal-</w:t>
      </w:r>
      <w:proofErr w:type="spellStart"/>
      <w:r>
        <w:rPr>
          <w:rFonts w:ascii="Times New Roman" w:hAnsi="Times New Roman"/>
          <w:sz w:val="18"/>
        </w:rPr>
        <w:t>viżi</w:t>
      </w:r>
      <w:proofErr w:type="spellEnd"/>
      <w:r>
        <w:rPr>
          <w:rFonts w:ascii="Times New Roman" w:hAnsi="Times New Roman"/>
          <w:sz w:val="18"/>
        </w:rPr>
        <w:t xml:space="preserve"> u </w:t>
      </w:r>
      <w:proofErr w:type="spellStart"/>
      <w:r>
        <w:rPr>
          <w:rFonts w:ascii="Times New Roman" w:hAnsi="Times New Roman"/>
          <w:sz w:val="18"/>
        </w:rPr>
        <w:t>ftehimiet</w:t>
      </w:r>
      <w:proofErr w:type="spellEnd"/>
      <w:r>
        <w:rPr>
          <w:rFonts w:ascii="Times New Roman" w:hAnsi="Times New Roman"/>
          <w:sz w:val="18"/>
        </w:rPr>
        <w:t xml:space="preserve"> dwar </w:t>
      </w:r>
      <w:proofErr w:type="spellStart"/>
      <w:r>
        <w:rPr>
          <w:rFonts w:ascii="Times New Roman" w:hAnsi="Times New Roman"/>
          <w:sz w:val="18"/>
        </w:rPr>
        <w:t>ir-riammissjoni</w:t>
      </w:r>
      <w:proofErr w:type="spellEnd"/>
      <w:r>
        <w:rPr>
          <w:rFonts w:ascii="Times New Roman" w:hAnsi="Times New Roman"/>
          <w:sz w:val="18"/>
        </w:rPr>
        <w:t>.</w:t>
      </w:r>
    </w:p>
  </w:footnote>
  <w:footnote w:id="49">
    <w:p w:rsidR="00300A70" w:rsidRDefault="00E0409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COM/2013/0547 finali.</w:t>
      </w:r>
    </w:p>
  </w:footnote>
  <w:footnote w:id="50">
    <w:p w:rsidR="00300A70" w:rsidRDefault="00E04097">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Rikonoxximent reċiproku ta’ deċiżjonijiet dwar l-</w:t>
      </w:r>
      <w:proofErr w:type="spellStart"/>
      <w:r>
        <w:rPr>
          <w:rFonts w:ascii="Times New Roman" w:hAnsi="Times New Roman"/>
          <w:sz w:val="18"/>
        </w:rPr>
        <w:t>ażil</w:t>
      </w:r>
      <w:proofErr w:type="spellEnd"/>
      <w:r>
        <w:rPr>
          <w:rFonts w:ascii="Times New Roman" w:hAnsi="Times New Roman"/>
          <w:sz w:val="18"/>
        </w:rPr>
        <w:t xml:space="preserve"> pożittivi jfisser ir-rikonoxximent minn Stat Membru ta’ deċiżjonijiet dwar l-</w:t>
      </w:r>
      <w:proofErr w:type="spellStart"/>
      <w:r>
        <w:rPr>
          <w:rFonts w:ascii="Times New Roman" w:hAnsi="Times New Roman"/>
          <w:sz w:val="18"/>
        </w:rPr>
        <w:t>ażil</w:t>
      </w:r>
      <w:proofErr w:type="spellEnd"/>
      <w:r>
        <w:rPr>
          <w:rFonts w:ascii="Times New Roman" w:hAnsi="Times New Roman"/>
          <w:sz w:val="18"/>
        </w:rPr>
        <w:t xml:space="preserve"> pożittivi meħuda minn Stat Membru ieħor</w:t>
      </w:r>
      <w:r>
        <w:rPr>
          <w:rFonts w:ascii="Times New Roman" w:hAnsi="Times New Roman"/>
          <w:sz w:val="18"/>
        </w:rPr>
        <w:t>.</w:t>
      </w:r>
    </w:p>
  </w:footnote>
  <w:footnote w:id="51">
    <w:p w:rsidR="00300A70" w:rsidRDefault="00E04097">
      <w:pPr>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Studju dwar il-</w:t>
      </w:r>
      <w:proofErr w:type="spellStart"/>
      <w:r>
        <w:rPr>
          <w:rFonts w:ascii="Times New Roman" w:hAnsi="Times New Roman"/>
          <w:sz w:val="18"/>
        </w:rPr>
        <w:t>fattibilità</w:t>
      </w:r>
      <w:proofErr w:type="spellEnd"/>
      <w:r>
        <w:rPr>
          <w:rFonts w:ascii="Times New Roman" w:hAnsi="Times New Roman"/>
          <w:sz w:val="18"/>
        </w:rPr>
        <w:t xml:space="preserve"> tal-ħolqien ta’ sistema Ewropea ta’ gwardji tal-fruntiera (</w:t>
      </w:r>
      <w:hyperlink r:id="rId3" w:history="1">
        <w:r>
          <w:rPr>
            <w:rStyle w:val="Hyperlink"/>
            <w:rFonts w:ascii="Times New Roman" w:hAnsi="Times New Roman" w:cs="Times New Roman"/>
            <w:sz w:val="18"/>
            <w:szCs w:val="18"/>
          </w:rPr>
          <w:t>http://ec.europa.eu/dgs/home-affairs/what-we-do/policies/borders-and-visas/border-crossing/docs/20141016_home_esbg_frp_001_esbg_final_report_3_00_en.pdf</w:t>
        </w:r>
      </w:hyperlink>
      <w:r>
        <w:rPr>
          <w:rFonts w:ascii="Times New Roman" w:hAnsi="Times New Roman" w:cs="Times New Roman"/>
          <w:sz w:val="18"/>
          <w:szCs w:val="18"/>
        </w:rPr>
        <w:t xml:space="preserve">), l-istudju li għaddej bħalissa dwar il-futur ta’ </w:t>
      </w:r>
      <w:proofErr w:type="spellStart"/>
      <w:r>
        <w:rPr>
          <w:rFonts w:ascii="Times New Roman" w:hAnsi="Times New Roman" w:cs="Times New Roman"/>
          <w:sz w:val="18"/>
          <w:szCs w:val="18"/>
        </w:rPr>
        <w:t>Frontex</w:t>
      </w:r>
      <w:proofErr w:type="spellEnd"/>
      <w:r>
        <w:rPr>
          <w:rFonts w:ascii="Times New Roman" w:hAnsi="Times New Roman" w:cs="Times New Roman"/>
          <w:sz w:val="18"/>
          <w:szCs w:val="18"/>
        </w:rPr>
        <w:t>.</w:t>
      </w:r>
    </w:p>
  </w:footnote>
  <w:footnote w:id="52">
    <w:p w:rsidR="00300A70" w:rsidRDefault="00300A70">
      <w:pPr>
        <w:pStyle w:val="FootnoteText"/>
      </w:pPr>
    </w:p>
    <w:p w:rsidR="00300A70" w:rsidRDefault="00E04097">
      <w:pPr>
        <w:pStyle w:val="FootnoteText"/>
        <w:ind w:left="240" w:hanging="240"/>
        <w:rPr>
          <w:sz w:val="18"/>
          <w:szCs w:val="18"/>
        </w:rPr>
      </w:pPr>
      <w:r>
        <w:rPr>
          <w:rStyle w:val="FootnoteReference"/>
        </w:rPr>
        <w:footnoteRef/>
      </w:r>
      <w:r>
        <w:t xml:space="preserve"> </w:t>
      </w:r>
      <w:r>
        <w:tab/>
      </w:r>
      <w:r>
        <w:rPr>
          <w:sz w:val="18"/>
        </w:rPr>
        <w:t>B’kunsiderazzjoni tad-diskussjonijie</w:t>
      </w:r>
      <w:r>
        <w:rPr>
          <w:sz w:val="18"/>
        </w:rPr>
        <w:t xml:space="preserve">t preċedenti fil-kuntest tal-Forum ta’ </w:t>
      </w:r>
      <w:proofErr w:type="spellStart"/>
      <w:r>
        <w:rPr>
          <w:sz w:val="18"/>
        </w:rPr>
        <w:t>Risistemazzjoni</w:t>
      </w:r>
      <w:proofErr w:type="spellEnd"/>
      <w:r>
        <w:rPr>
          <w:sz w:val="18"/>
        </w:rPr>
        <w:t xml:space="preserve"> u Rilokazzjoni.</w:t>
      </w:r>
    </w:p>
  </w:footnote>
  <w:footnote w:id="53">
    <w:p w:rsidR="00300A70" w:rsidRDefault="00E04097">
      <w:pPr>
        <w:pStyle w:val="FootnoteText"/>
        <w:ind w:left="240" w:hanging="240"/>
        <w:rPr>
          <w:sz w:val="18"/>
          <w:szCs w:val="18"/>
        </w:rPr>
      </w:pPr>
      <w:r>
        <w:rPr>
          <w:rStyle w:val="FootnoteReference"/>
          <w:sz w:val="18"/>
        </w:rPr>
        <w:footnoteRef/>
      </w:r>
      <w:r>
        <w:rPr>
          <w:sz w:val="18"/>
        </w:rPr>
        <w:t xml:space="preserve"> </w:t>
      </w:r>
      <w:r>
        <w:tab/>
      </w:r>
      <w:r>
        <w:rPr>
          <w:sz w:val="18"/>
        </w:rPr>
        <w:t xml:space="preserve">Il-PDG per </w:t>
      </w:r>
      <w:proofErr w:type="spellStart"/>
      <w:r>
        <w:rPr>
          <w:sz w:val="18"/>
        </w:rPr>
        <w:t>capita</w:t>
      </w:r>
      <w:proofErr w:type="spellEnd"/>
      <w:r>
        <w:rPr>
          <w:sz w:val="18"/>
        </w:rPr>
        <w:t xml:space="preserve"> ma għandux jintuża peress li kunsiderazzjonijiet per </w:t>
      </w:r>
      <w:proofErr w:type="spellStart"/>
      <w:r>
        <w:rPr>
          <w:sz w:val="18"/>
        </w:rPr>
        <w:t>capita</w:t>
      </w:r>
      <w:proofErr w:type="spellEnd"/>
      <w:r>
        <w:rPr>
          <w:sz w:val="18"/>
        </w:rPr>
        <w:t xml:space="preserve"> huma diġà riflessi fil-kriterji dwar id-daqs tal-popolazzjoni.</w:t>
      </w:r>
    </w:p>
  </w:footnote>
  <w:footnote w:id="54">
    <w:p w:rsidR="00300A70" w:rsidRDefault="00E04097">
      <w:pPr>
        <w:pStyle w:val="FootnoteText"/>
        <w:ind w:left="240" w:hanging="240"/>
        <w:rPr>
          <w:sz w:val="18"/>
          <w:szCs w:val="18"/>
        </w:rPr>
      </w:pPr>
      <w:r>
        <w:rPr>
          <w:rStyle w:val="FootnoteReference"/>
          <w:sz w:val="18"/>
        </w:rPr>
        <w:footnoteRef/>
      </w:r>
      <w:r>
        <w:rPr>
          <w:sz w:val="18"/>
        </w:rPr>
        <w:t xml:space="preserve"> </w:t>
      </w:r>
      <w:r>
        <w:tab/>
      </w:r>
      <w:r>
        <w:rPr>
          <w:sz w:val="18"/>
        </w:rPr>
        <w:t>Il-politika komuni tal-Unjoni dwar l-</w:t>
      </w:r>
      <w:proofErr w:type="spellStart"/>
      <w:r>
        <w:rPr>
          <w:sz w:val="18"/>
        </w:rPr>
        <w:t>a</w:t>
      </w:r>
      <w:r>
        <w:rPr>
          <w:sz w:val="18"/>
        </w:rPr>
        <w:t>żil</w:t>
      </w:r>
      <w:proofErr w:type="spellEnd"/>
      <w:r>
        <w:rPr>
          <w:sz w:val="18"/>
        </w:rPr>
        <w:t>, l-immigrazzjoni, il-</w:t>
      </w:r>
      <w:proofErr w:type="spellStart"/>
      <w:r>
        <w:rPr>
          <w:sz w:val="18"/>
        </w:rPr>
        <w:t>viżi</w:t>
      </w:r>
      <w:proofErr w:type="spellEnd"/>
      <w:r>
        <w:rPr>
          <w:sz w:val="18"/>
        </w:rPr>
        <w:t xml:space="preserve"> u l-kontroll tal-fruntieri esterni hija </w:t>
      </w:r>
      <w:proofErr w:type="spellStart"/>
      <w:r>
        <w:rPr>
          <w:sz w:val="18"/>
        </w:rPr>
        <w:t>bbażata</w:t>
      </w:r>
      <w:proofErr w:type="spellEnd"/>
      <w:r>
        <w:rPr>
          <w:sz w:val="18"/>
        </w:rPr>
        <w:t xml:space="preserve"> fuq it-Titolu V (L-Ispazju ta' libertà, sigurtà u ġustizzja) tat-Trattat dwar il-Funzjonament tal-Unjoni Ewropea (TFUE). Skont il-Protokolli 21 u 22 tat-Trattati, ir-Renju Unit, </w:t>
      </w:r>
      <w:r>
        <w:rPr>
          <w:sz w:val="18"/>
        </w:rPr>
        <w:t xml:space="preserve">l-Irlanda u d-Danimarka ma </w:t>
      </w:r>
      <w:proofErr w:type="spellStart"/>
      <w:r>
        <w:rPr>
          <w:sz w:val="18"/>
        </w:rPr>
        <w:t>jiħdux</w:t>
      </w:r>
      <w:proofErr w:type="spellEnd"/>
      <w:r>
        <w:rPr>
          <w:sz w:val="18"/>
        </w:rPr>
        <w:t xml:space="preserve"> parti fl-adozzjoni mill-Kunsill tal-miżuri proposti skont it-Titolu V tat-TFUE. Ir-Renju Unit u l-Irlanda jistgħu jinnotifikaw lill-Kunsill, fi żmien tliet xhur wara li proposta jew inizjattiva tkun ġiet ippreżentata, jew </w:t>
      </w:r>
      <w:r>
        <w:rPr>
          <w:sz w:val="18"/>
        </w:rPr>
        <w:t xml:space="preserve">fi kwalunkwe ħin wara l-adozzjoni tagħha, li jixtiequ jieħdu sehem fl-adozzjoni u l-applikazzjoni ta’ kwalunkwe tali miżura proposta. Id-Danimarka fi kwalunkwe żmien </w:t>
      </w:r>
      <w:proofErr w:type="spellStart"/>
      <w:r>
        <w:rPr>
          <w:sz w:val="18"/>
        </w:rPr>
        <w:t>tista</w:t>
      </w:r>
      <w:proofErr w:type="spellEnd"/>
      <w:r>
        <w:rPr>
          <w:sz w:val="18"/>
        </w:rPr>
        <w:t xml:space="preserve">’, skont il-ħtiġijiet kostituzzjonali tagħha, </w:t>
      </w:r>
      <w:proofErr w:type="spellStart"/>
      <w:r>
        <w:rPr>
          <w:sz w:val="18"/>
        </w:rPr>
        <w:t>tinnotifika</w:t>
      </w:r>
      <w:proofErr w:type="spellEnd"/>
      <w:r>
        <w:rPr>
          <w:sz w:val="18"/>
        </w:rPr>
        <w:t xml:space="preserve"> lill-Istati Membri l-oħra l</w:t>
      </w:r>
      <w:r>
        <w:rPr>
          <w:sz w:val="18"/>
        </w:rPr>
        <w:t>i tixtieq tapplika b’mod sħiħ il-miżuri rilevanti kollha adottati fuq il-bażi tat-Titolu V tat-TFUE. Jekk ir-Renju Unit u l-Irlanda jiddeċiedu li jieħdu sehem fl-iskema ta’ rilokazzjoni, il-perċentwal tal-kontribuzzjonijiet tal-Istati Membri jiġi adattat s</w:t>
      </w:r>
      <w:r>
        <w:rPr>
          <w:sz w:val="18"/>
        </w:rPr>
        <w:t xml:space="preserve">kont dan. Jekk id-Danimarka u l-Istati Assoċjati jiddeċiedu li jipparteċipaw b’mod volontarju fl-iskema ta’ rilokazzjoni, il-perċentwal tal-kontribuzzjonijiet tal-Istati ser ukoll jiġu modifikati skont dan. </w:t>
      </w:r>
    </w:p>
  </w:footnote>
  <w:footnote w:id="55">
    <w:p w:rsidR="00300A70" w:rsidRDefault="00E04097">
      <w:pPr>
        <w:pStyle w:val="FootnoteText"/>
        <w:ind w:left="240" w:hanging="240"/>
        <w:rPr>
          <w:sz w:val="18"/>
          <w:szCs w:val="18"/>
        </w:rPr>
      </w:pPr>
      <w:r>
        <w:rPr>
          <w:rStyle w:val="FootnoteReference"/>
          <w:sz w:val="18"/>
        </w:rPr>
        <w:footnoteRef/>
      </w:r>
      <w:r>
        <w:rPr>
          <w:sz w:val="18"/>
        </w:rPr>
        <w:t xml:space="preserve"> </w:t>
      </w:r>
      <w:r>
        <w:tab/>
      </w:r>
      <w:r>
        <w:rPr>
          <w:sz w:val="18"/>
        </w:rPr>
        <w:t>Il-perċentwali stabbiliti fil-</w:t>
      </w:r>
      <w:proofErr w:type="spellStart"/>
      <w:r>
        <w:rPr>
          <w:sz w:val="18"/>
        </w:rPr>
        <w:t>parametru</w:t>
      </w:r>
      <w:proofErr w:type="spellEnd"/>
      <w:r>
        <w:rPr>
          <w:sz w:val="18"/>
        </w:rPr>
        <w:t xml:space="preserve"> ta’ d</w:t>
      </w:r>
      <w:r>
        <w:rPr>
          <w:sz w:val="18"/>
        </w:rPr>
        <w:t>istribuzzjoni ser jiġu adattati biex jittieħed kont tas-sitwazzjoni ta’ kriżi speċifika indirizzata mill-iskema ta’ rilokazzjoni ta’ emerġenza skont l-Artikolu 78(3) TFUE. L-Istati Membri minn fejn se sseħħ ir-rilokazzjoni m’għandhomx jikkontribwixxu bħala</w:t>
      </w:r>
      <w:r>
        <w:rPr>
          <w:sz w:val="18"/>
        </w:rPr>
        <w:t xml:space="preserve"> Stat Membru </w:t>
      </w:r>
      <w:proofErr w:type="spellStart"/>
      <w:r>
        <w:rPr>
          <w:sz w:val="18"/>
        </w:rPr>
        <w:t>rilokanti</w:t>
      </w:r>
      <w:proofErr w:type="spellEnd"/>
      <w:r>
        <w:rPr>
          <w:sz w:val="18"/>
        </w:rPr>
        <w:t>.</w:t>
      </w:r>
    </w:p>
  </w:footnote>
  <w:footnote w:id="56">
    <w:p w:rsidR="00300A70" w:rsidRDefault="00E04097">
      <w:pPr>
        <w:pStyle w:val="FootnoteText"/>
        <w:ind w:left="240" w:hanging="240"/>
        <w:rPr>
          <w:sz w:val="18"/>
          <w:szCs w:val="18"/>
        </w:rPr>
      </w:pPr>
      <w:r>
        <w:rPr>
          <w:rStyle w:val="FootnoteReference"/>
          <w:sz w:val="18"/>
        </w:rPr>
        <w:footnoteRef/>
      </w:r>
      <w:r>
        <w:rPr>
          <w:sz w:val="18"/>
        </w:rPr>
        <w:t xml:space="preserve"> </w:t>
      </w:r>
      <w:r>
        <w:tab/>
      </w:r>
      <w:r>
        <w:rPr>
          <w:sz w:val="18"/>
        </w:rPr>
        <w:t xml:space="preserve">Jekk l-Istati Assoċjati jiddeċiedu li jipparteċipaw fl-iskema ta’ </w:t>
      </w:r>
      <w:proofErr w:type="spellStart"/>
      <w:r>
        <w:rPr>
          <w:sz w:val="18"/>
        </w:rPr>
        <w:t>risistemazzjoni</w:t>
      </w:r>
      <w:proofErr w:type="spellEnd"/>
      <w:r>
        <w:rPr>
          <w:sz w:val="18"/>
        </w:rPr>
        <w:t>, il-</w:t>
      </w:r>
      <w:proofErr w:type="spellStart"/>
      <w:r>
        <w:rPr>
          <w:sz w:val="18"/>
        </w:rPr>
        <w:t>parametru</w:t>
      </w:r>
      <w:proofErr w:type="spellEnd"/>
      <w:r>
        <w:rPr>
          <w:sz w:val="18"/>
        </w:rPr>
        <w:t xml:space="preserve"> u l-allokazzjoni totali jinbidlu kif meħtieġ.</w:t>
      </w:r>
    </w:p>
  </w:footnote>
  <w:footnote w:id="57">
    <w:p w:rsidR="00300A70" w:rsidRDefault="00E04097">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 xml:space="preserve">Filwaqt li l-iskema ta’ </w:t>
      </w:r>
      <w:proofErr w:type="spellStart"/>
      <w:r>
        <w:rPr>
          <w:rFonts w:ascii="Times New Roman" w:hAnsi="Times New Roman"/>
          <w:sz w:val="18"/>
        </w:rPr>
        <w:t>risistemazzjoni</w:t>
      </w:r>
      <w:proofErr w:type="spellEnd"/>
      <w:r>
        <w:rPr>
          <w:rFonts w:ascii="Times New Roman" w:hAnsi="Times New Roman"/>
          <w:sz w:val="18"/>
        </w:rPr>
        <w:t xml:space="preserve"> proposta se tieħu l-forma ta’ </w:t>
      </w:r>
      <w:r>
        <w:rPr>
          <w:rFonts w:ascii="Times New Roman" w:hAnsi="Times New Roman"/>
          <w:sz w:val="18"/>
        </w:rPr>
        <w:t>Rakkomandazzjoni, il-politika komuni tal-Unjoni dwar il-</w:t>
      </w:r>
      <w:proofErr w:type="spellStart"/>
      <w:r>
        <w:rPr>
          <w:rFonts w:ascii="Times New Roman" w:hAnsi="Times New Roman"/>
          <w:sz w:val="18"/>
        </w:rPr>
        <w:t>migrazzjoni</w:t>
      </w:r>
      <w:proofErr w:type="spellEnd"/>
      <w:r>
        <w:rPr>
          <w:rFonts w:ascii="Times New Roman" w:hAnsi="Times New Roman"/>
          <w:sz w:val="18"/>
        </w:rPr>
        <w:t xml:space="preserve"> hija </w:t>
      </w:r>
      <w:proofErr w:type="spellStart"/>
      <w:r>
        <w:rPr>
          <w:rFonts w:ascii="Times New Roman" w:hAnsi="Times New Roman"/>
          <w:sz w:val="18"/>
        </w:rPr>
        <w:t>bbażata</w:t>
      </w:r>
      <w:proofErr w:type="spellEnd"/>
      <w:r>
        <w:rPr>
          <w:rFonts w:ascii="Times New Roman" w:hAnsi="Times New Roman"/>
          <w:sz w:val="18"/>
        </w:rPr>
        <w:t xml:space="preserve"> fuq it-Titolu V tat-TFUE. Għalhekk se jiġu </w:t>
      </w:r>
      <w:proofErr w:type="spellStart"/>
      <w:r>
        <w:rPr>
          <w:rFonts w:ascii="Times New Roman" w:hAnsi="Times New Roman"/>
          <w:sz w:val="18"/>
        </w:rPr>
        <w:t>kkunsidrati</w:t>
      </w:r>
      <w:proofErr w:type="spellEnd"/>
      <w:r>
        <w:rPr>
          <w:rFonts w:ascii="Times New Roman" w:hAnsi="Times New Roman"/>
          <w:sz w:val="18"/>
        </w:rPr>
        <w:t xml:space="preserve"> l-aspetti speċifiċi msemmija fin-nota ta’ qiegħ il-paġna 3, rigward il-Protokolli 21 u 22 tat-Trattati, dwar il-pożizzjo</w:t>
      </w:r>
      <w:r>
        <w:rPr>
          <w:rFonts w:ascii="Times New Roman" w:hAnsi="Times New Roman"/>
          <w:sz w:val="18"/>
        </w:rPr>
        <w:t>ni tar-Renju Unit, l-Irlanda u d-Danimarka.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E04097">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70" w:rsidRDefault="00300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1275A94C05F425088F24964CE5A9527"/>
    <w:docVar w:name="LW_CROSSREFERENCE" w:val="&lt;UNUSED&gt;"/>
    <w:docVar w:name="LW_DocType" w:val="NORMAL"/>
    <w:docVar w:name="LW_EMISSION" w:val="13.5.2015"/>
    <w:docVar w:name="LW_EMISSION_ISODATE" w:val="2015-05-13"/>
    <w:docVar w:name="LW_EMISSION_LOCATION" w:val="BRX"/>
    <w:docVar w:name="LW_EMISSION_PREFIX" w:val="Brussell, "/>
    <w:docVar w:name="LW_EMISSION_SUFFIX" w:val=" "/>
    <w:docVar w:name="LW_ID_DOCTYPE_NONLW" w:val="CP-014"/>
    <w:docVar w:name="LW_LANGUE" w:val="MT"/>
    <w:docVar w:name="LW_MARKING" w:val="&lt;UNUSED&g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A\u288?ENDA EWROPEA DWAR IL-MIGRAZZJONI"/>
    <w:docVar w:name="LW_TYPE.DOC.CP" w:val="KOMUNIKAZZJONI TAL-KUMMISSJONI LILL-PARLAMENT EWROPEW, LILL-KUNSILL, LILL-KUMITAT EKONOMIKU U SO\u266?JALI EWROPEW U LILL-KUMITAT TAR-RE\u288?JUNI"/>
    <w:docVar w:name="LW_TYPE.DOC.CP.USERTEXT" w:val="&lt;EMPTY&gt;"/>
  </w:docVars>
  <w:rsids>
    <w:rsidRoot w:val="00300A70"/>
    <w:rsid w:val="00300A70"/>
    <w:rsid w:val="00E0409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mt-M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mt-M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MT: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E6EE-3086-4456-B0FD-64AED9DB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9673</Words>
  <Characters>51366</Characters>
  <Application>Microsoft Office Word</Application>
  <DocSecurity>0</DocSecurity>
  <Lines>1070</Lines>
  <Paragraphs>622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