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B56FE7EB433E4C4EB3916DBBB50B00B1" style="width:450pt;height:306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p>
      <w:pPr>
        <w:pStyle w:val="Typedudocument"/>
        <w:rPr>
          <w:noProof/>
        </w:rPr>
      </w:pPr>
      <w:r>
        <w:rPr>
          <w:noProof/>
        </w:rPr>
        <w:t>ABBOZZ TA' BAĠIT EMENDATORJU Nru 5</w:t>
      </w:r>
      <w:r>
        <w:rPr>
          <w:noProof/>
        </w:rPr>
        <w:br/>
        <w:t>GĦALL-BAĠIT ĠENERALI TAL-2015</w:t>
      </w:r>
    </w:p>
    <w:p>
      <w:pPr>
        <w:pStyle w:val="Titreobjet"/>
        <w:rPr>
          <w:noProof/>
        </w:rPr>
      </w:pPr>
      <w:r>
        <w:rPr>
          <w:noProof/>
        </w:rPr>
        <w:t xml:space="preserve">B’REAZZJONI GĦAL PRESSJONIJIET MIGRATORJI 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pgNumType w:start="0"/>
          <w:cols w:space="708"/>
          <w:docGrid w:linePitch="360"/>
        </w:sectPr>
      </w:pPr>
    </w:p>
    <w:p>
      <w:pPr>
        <w:rPr>
          <w:noProof/>
        </w:rPr>
      </w:pPr>
      <w:r>
        <w:rPr>
          <w:noProof/>
        </w:rPr>
        <w:lastRenderedPageBreak/>
        <w:t>Wara li kkunsidrat:</w:t>
      </w:r>
    </w:p>
    <w:p>
      <w:pPr>
        <w:pStyle w:val="Tiret0"/>
        <w:rPr>
          <w:noProof/>
        </w:rPr>
      </w:pPr>
      <w:r>
        <w:rPr>
          <w:noProof/>
        </w:rPr>
        <w:t>it-Trattat dwar il-Funzjonament tal-Unjoni Ewropea, u b’mod partikolari l-Artikolu 314 tiegħu, flimkien mat-Trattat li jistabbilixxi l-Komunità Ewropea tal-Enerġija Atomika, u b'mod partikolari l-Artikolu 106a tiegħu,</w:t>
      </w:r>
    </w:p>
    <w:p>
      <w:pPr>
        <w:pStyle w:val="Tiret0"/>
        <w:rPr>
          <w:rFonts w:cs="Arial"/>
          <w:noProof/>
          <w:szCs w:val="18"/>
        </w:rPr>
      </w:pPr>
      <w:r>
        <w:rPr>
          <w:noProof/>
        </w:rPr>
        <w:t>ir-Regolament (UE, Euratom) Nru 966/2012 tal-Parlament Ewropew u tal-Kunsill tal-25 ta’ Ottubru 2012 dwar ir-Regolament Finanzjarju applikabbli għall-baġit ġenerali tal-Unjoni</w:t>
      </w:r>
      <w:r>
        <w:rPr>
          <w:rStyle w:val="FootnoteReference"/>
          <w:noProof/>
        </w:rPr>
        <w:footnoteReference w:id="2"/>
      </w:r>
      <w:r>
        <w:rPr>
          <w:noProof/>
        </w:rPr>
        <w:t>, u b’mod partikolari l-Artikolu 41 tiegħu,</w:t>
      </w:r>
    </w:p>
    <w:p>
      <w:pPr>
        <w:pStyle w:val="Tiret0"/>
        <w:rPr>
          <w:noProof/>
        </w:rPr>
      </w:pPr>
      <w:r>
        <w:rPr>
          <w:noProof/>
        </w:rPr>
        <w:t>il-baġit ġenerali tal-Unjoni Ewropea għas-sena finanzjarja 2015, adottat fis-17 ta’ Diċembru 2014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rPr>
          <w:noProof/>
        </w:rPr>
      </w:pPr>
      <w:r>
        <w:rPr>
          <w:noProof/>
        </w:rPr>
        <w:t>il-baġit emendatorju Nru 1/2015</w:t>
      </w:r>
      <w:r>
        <w:rPr>
          <w:rStyle w:val="FootnoteReference"/>
          <w:noProof/>
        </w:rPr>
        <w:footnoteReference w:id="4"/>
      </w:r>
      <w:r>
        <w:rPr>
          <w:noProof/>
        </w:rPr>
        <w:t>, adottat fit-28 ta’ April 2015,</w:t>
      </w:r>
    </w:p>
    <w:p>
      <w:pPr>
        <w:pStyle w:val="Tiret0"/>
        <w:rPr>
          <w:noProof/>
        </w:rPr>
      </w:pPr>
      <w:r>
        <w:rPr>
          <w:noProof/>
        </w:rPr>
        <w:t>l-abbozz ta’ baġit emendatorju Nru 1/2015</w:t>
      </w:r>
      <w:r>
        <w:rPr>
          <w:rStyle w:val="FootnoteReference"/>
          <w:noProof/>
        </w:rPr>
        <w:footnoteReference w:id="5"/>
      </w:r>
      <w:r>
        <w:rPr>
          <w:noProof/>
        </w:rPr>
        <w:t>, adottat fit-13 ta’ Jannar 2015,</w:t>
      </w:r>
    </w:p>
    <w:p>
      <w:pPr>
        <w:pStyle w:val="Tiret0"/>
        <w:rPr>
          <w:noProof/>
        </w:rPr>
      </w:pPr>
      <w:r>
        <w:rPr>
          <w:noProof/>
        </w:rPr>
        <w:t>l-abbozz ta’ baġit emendatorju Nru 3/2015</w:t>
      </w:r>
      <w:r>
        <w:rPr>
          <w:rStyle w:val="FootnoteReference"/>
          <w:noProof/>
        </w:rPr>
        <w:footnoteReference w:id="6"/>
      </w:r>
      <w:r>
        <w:rPr>
          <w:noProof/>
        </w:rPr>
        <w:t>, adottat fil-15 ta’ April 2015,</w:t>
      </w:r>
    </w:p>
    <w:p>
      <w:pPr>
        <w:pStyle w:val="Tiret0"/>
        <w:rPr>
          <w:noProof/>
        </w:rPr>
      </w:pPr>
      <w:r>
        <w:rPr>
          <w:noProof/>
        </w:rPr>
        <w:t>l-abbozz ta’ baġit emendatorju Nru 4/2015</w:t>
      </w:r>
      <w:r>
        <w:rPr>
          <w:rStyle w:val="FootnoteReference"/>
          <w:noProof/>
        </w:rPr>
        <w:footnoteReference w:id="7"/>
      </w:r>
      <w:r>
        <w:rPr>
          <w:noProof/>
        </w:rPr>
        <w:t>, adottat fil-15 ta’ April 2015,</w:t>
      </w:r>
    </w:p>
    <w:p>
      <w:pPr>
        <w:jc w:val="both"/>
        <w:rPr>
          <w:noProof/>
        </w:rPr>
      </w:pPr>
      <w:r>
        <w:rPr>
          <w:noProof/>
        </w:rPr>
        <w:t>Il-Kummissjoni Ewropea hawnhekk qed tippreżenta lill-Parlament Ewropew u lill-Kunsill l-Abbozz ta’ Baġit Emendatorju Nru 5 għall-baġit tal-2015.</w:t>
      </w:r>
    </w:p>
    <w:p>
      <w:pPr>
        <w:rPr>
          <w:b/>
          <w:noProof/>
          <w:u w:val="single"/>
        </w:rPr>
      </w:pP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BIDLIET FID-DIKJARAZZJONI TAD-DĦUL U N-NEFQA TAQSIMA B'TAQSIMA</w:t>
      </w:r>
    </w:p>
    <w:p>
      <w:pPr>
        <w:rPr>
          <w:b/>
          <w:noProof/>
          <w:u w:val="single"/>
        </w:rPr>
      </w:pPr>
    </w:p>
    <w:p>
      <w:pPr>
        <w:jc w:val="both"/>
        <w:rPr>
          <w:noProof/>
        </w:rPr>
      </w:pPr>
      <w:r>
        <w:rPr>
          <w:noProof/>
        </w:rPr>
        <w:t>Il-bidliet fid-dikjarazzjoni tad-dħul u n-nefqa taqsima b'taqsima huma disponibbli fuq il-EUR-Lex (</w:t>
      </w:r>
      <w:hyperlink r:id="rId22">
        <w:r>
          <w:rPr>
            <w:rStyle w:val="Hyperlink"/>
            <w:noProof/>
            <w:color w:val="auto"/>
          </w:rPr>
          <w:t>http://eur-lex.europa.eu/budget/www/index-mt.htm</w:t>
        </w:r>
      </w:hyperlink>
      <w:r>
        <w:rPr>
          <w:noProof/>
        </w:rPr>
        <w:t>). Il-verżjoni bl-Ingliż tal-bidliet f’din id-dikjarazzjoni hija mehmuża għall-informazzjoni bħala anness baġitarju.</w:t>
      </w:r>
    </w:p>
    <w:p>
      <w:pPr>
        <w:rPr>
          <w:noProof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418" w:right="1418" w:bottom="1418" w:left="1418" w:header="709" w:footer="709" w:gutter="0"/>
          <w:cols w:space="708"/>
          <w:docGrid w:linePitch="360"/>
        </w:sectPr>
      </w:pPr>
    </w:p>
    <w:p>
      <w:pPr>
        <w:pStyle w:val="TOCHeading"/>
        <w:rPr>
          <w:noProof/>
        </w:rPr>
      </w:pPr>
      <w:bookmarkStart w:id="2" w:name="_Toc294675429"/>
      <w:bookmarkStart w:id="3" w:name="_Toc272133653"/>
      <w:bookmarkStart w:id="4" w:name="_Toc294673202"/>
      <w:bookmarkStart w:id="5" w:name="_Toc318365572"/>
      <w:bookmarkStart w:id="6" w:name="_Toc361649893"/>
      <w:bookmarkStart w:id="7" w:name="_Toc387301589"/>
      <w:r>
        <w:rPr>
          <w:noProof/>
        </w:rPr>
        <w:lastRenderedPageBreak/>
        <w:t>WERREJ</w:t>
      </w:r>
    </w:p>
    <w:p>
      <w:pPr>
        <w:pStyle w:val="TOC1"/>
        <w:tabs>
          <w:tab w:val="left" w:pos="480"/>
          <w:tab w:val="right" w:pos="9061"/>
        </w:tabs>
        <w:rPr>
          <w:b w:val="0"/>
          <w:bCs w:val="0"/>
          <w:noProof/>
          <w:sz w:val="22"/>
          <w:szCs w:val="22"/>
          <w:lang w:val="en-GB" w:eastAsia="en-GB" w:bidi="ar-SA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"1-2" \h \z \u </w:instrText>
      </w:r>
      <w:r>
        <w:rPr>
          <w:noProof/>
        </w:rPr>
        <w:fldChar w:fldCharType="separate"/>
      </w:r>
      <w:hyperlink w:anchor="_Toc419812139" w:history="1">
        <w:r>
          <w:rPr>
            <w:rStyle w:val="Hyperlink"/>
            <w:noProof/>
          </w:rPr>
          <w:t>1.</w:t>
        </w:r>
        <w:r>
          <w:rPr>
            <w:b w:val="0"/>
            <w:b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noProof/>
          </w:rPr>
          <w:t>INTRODUZZJONI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_Toc419812139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TOC1"/>
        <w:tabs>
          <w:tab w:val="left" w:pos="480"/>
          <w:tab w:val="right" w:pos="9061"/>
        </w:tabs>
        <w:rPr>
          <w:b w:val="0"/>
          <w:bCs w:val="0"/>
          <w:noProof/>
          <w:sz w:val="22"/>
          <w:szCs w:val="22"/>
          <w:lang w:val="en-GB" w:eastAsia="en-GB" w:bidi="ar-SA"/>
        </w:rPr>
      </w:pPr>
      <w:hyperlink w:anchor="_Toc419812140" w:history="1">
        <w:r>
          <w:rPr>
            <w:rStyle w:val="Hyperlink"/>
            <w:smallCaps/>
            <w:noProof/>
          </w:rPr>
          <w:t>2.</w:t>
        </w:r>
        <w:r>
          <w:rPr>
            <w:b w:val="0"/>
            <w:b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smallCaps/>
            <w:noProof/>
          </w:rPr>
          <w:t>B’REAZZJONI GĦAL PRESSJONIJIET MIGRATORJI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_Toc419812140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TOC2"/>
        <w:tabs>
          <w:tab w:val="left" w:pos="720"/>
          <w:tab w:val="right" w:pos="9061"/>
        </w:tabs>
        <w:rPr>
          <w:i w:val="0"/>
          <w:iCs w:val="0"/>
          <w:noProof/>
          <w:sz w:val="22"/>
          <w:szCs w:val="22"/>
          <w:lang w:val="en-GB" w:eastAsia="en-GB" w:bidi="ar-SA"/>
        </w:rPr>
      </w:pPr>
      <w:hyperlink w:anchor="_Toc419812141" w:history="1">
        <w:r>
          <w:rPr>
            <w:rStyle w:val="Hyperlink"/>
            <w:b/>
            <w:i w:val="0"/>
            <w:noProof/>
          </w:rPr>
          <w:t>2.1</w:t>
        </w:r>
        <w:r>
          <w:rPr>
            <w:i w:val="0"/>
            <w:i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b/>
            <w:i w:val="0"/>
            <w:noProof/>
          </w:rPr>
          <w:t>IL-ĦTIEĠA GĦAL ŻIEDA FL-ISFORZI FIL-LIVELL TAL-UE</w:t>
        </w:r>
        <w:r>
          <w:rPr>
            <w:i w:val="0"/>
            <w:noProof/>
            <w:webHidden/>
          </w:rPr>
          <w:tab/>
        </w:r>
        <w:r>
          <w:rPr>
            <w:i w:val="0"/>
            <w:noProof/>
            <w:webHidden/>
          </w:rPr>
          <w:fldChar w:fldCharType="begin"/>
        </w:r>
        <w:r>
          <w:rPr>
            <w:i w:val="0"/>
            <w:noProof/>
            <w:webHidden/>
          </w:rPr>
          <w:instrText xml:space="preserve"> PAGEREF _Toc419812141 \h </w:instrText>
        </w:r>
        <w:r>
          <w:rPr>
            <w:i w:val="0"/>
            <w:noProof/>
            <w:webHidden/>
          </w:rPr>
        </w:r>
        <w:r>
          <w:rPr>
            <w:i w:val="0"/>
            <w:noProof/>
            <w:webHidden/>
          </w:rPr>
          <w:fldChar w:fldCharType="separate"/>
        </w:r>
        <w:r>
          <w:rPr>
            <w:i w:val="0"/>
            <w:noProof/>
            <w:webHidden/>
          </w:rPr>
          <w:t>3</w:t>
        </w:r>
        <w:r>
          <w:rPr>
            <w:i w:val="0"/>
            <w:noProof/>
            <w:webHidden/>
          </w:rPr>
          <w:fldChar w:fldCharType="end"/>
        </w:r>
      </w:hyperlink>
    </w:p>
    <w:p>
      <w:pPr>
        <w:pStyle w:val="TOC2"/>
        <w:tabs>
          <w:tab w:val="left" w:pos="720"/>
          <w:tab w:val="right" w:pos="9061"/>
        </w:tabs>
        <w:rPr>
          <w:i w:val="0"/>
          <w:iCs w:val="0"/>
          <w:noProof/>
          <w:sz w:val="22"/>
          <w:szCs w:val="22"/>
          <w:lang w:val="en-GB" w:eastAsia="en-GB" w:bidi="ar-SA"/>
        </w:rPr>
      </w:pPr>
      <w:hyperlink w:anchor="_Toc419812142" w:history="1">
        <w:r>
          <w:rPr>
            <w:rStyle w:val="Hyperlink"/>
            <w:b/>
            <w:i w:val="0"/>
            <w:noProof/>
          </w:rPr>
          <w:t>2.2</w:t>
        </w:r>
        <w:r>
          <w:rPr>
            <w:i w:val="0"/>
            <w:i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b/>
            <w:i w:val="0"/>
            <w:noProof/>
          </w:rPr>
          <w:t>MIŻURI PROPOSTI LI GĦANDHOM JISSAĦĦU FL-2015</w:t>
        </w:r>
        <w:r>
          <w:rPr>
            <w:i w:val="0"/>
            <w:noProof/>
            <w:webHidden/>
          </w:rPr>
          <w:tab/>
        </w:r>
        <w:r>
          <w:rPr>
            <w:i w:val="0"/>
            <w:noProof/>
            <w:webHidden/>
          </w:rPr>
          <w:fldChar w:fldCharType="begin"/>
        </w:r>
        <w:r>
          <w:rPr>
            <w:i w:val="0"/>
            <w:noProof/>
            <w:webHidden/>
          </w:rPr>
          <w:instrText xml:space="preserve"> PAGEREF _Toc419812142 \h </w:instrText>
        </w:r>
        <w:r>
          <w:rPr>
            <w:i w:val="0"/>
            <w:noProof/>
            <w:webHidden/>
          </w:rPr>
        </w:r>
        <w:r>
          <w:rPr>
            <w:i w:val="0"/>
            <w:noProof/>
            <w:webHidden/>
          </w:rPr>
          <w:fldChar w:fldCharType="separate"/>
        </w:r>
        <w:r>
          <w:rPr>
            <w:i w:val="0"/>
            <w:noProof/>
            <w:webHidden/>
          </w:rPr>
          <w:t>4</w:t>
        </w:r>
        <w:r>
          <w:rPr>
            <w:i w:val="0"/>
            <w:noProof/>
            <w:webHidden/>
          </w:rPr>
          <w:fldChar w:fldCharType="end"/>
        </w:r>
      </w:hyperlink>
    </w:p>
    <w:p>
      <w:pPr>
        <w:pStyle w:val="TOC2"/>
        <w:tabs>
          <w:tab w:val="left" w:pos="720"/>
          <w:tab w:val="right" w:pos="9061"/>
        </w:tabs>
        <w:rPr>
          <w:i w:val="0"/>
          <w:iCs w:val="0"/>
          <w:noProof/>
          <w:sz w:val="22"/>
          <w:szCs w:val="22"/>
          <w:lang w:val="en-GB" w:eastAsia="en-GB" w:bidi="ar-SA"/>
        </w:rPr>
      </w:pPr>
      <w:hyperlink w:anchor="_Toc419812143" w:history="1">
        <w:r>
          <w:rPr>
            <w:rStyle w:val="Hyperlink"/>
            <w:b/>
            <w:i w:val="0"/>
            <w:noProof/>
          </w:rPr>
          <w:t>2.3</w:t>
        </w:r>
        <w:r>
          <w:rPr>
            <w:i w:val="0"/>
            <w:i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b/>
            <w:i w:val="0"/>
            <w:noProof/>
          </w:rPr>
          <w:t>FINANZJAMENT PROPOST GĦALL-MIŻURI TA' MIGRAZZJONI</w:t>
        </w:r>
        <w:r>
          <w:rPr>
            <w:i w:val="0"/>
            <w:noProof/>
            <w:webHidden/>
          </w:rPr>
          <w:tab/>
        </w:r>
        <w:r>
          <w:rPr>
            <w:i w:val="0"/>
            <w:noProof/>
            <w:webHidden/>
          </w:rPr>
          <w:fldChar w:fldCharType="begin"/>
        </w:r>
        <w:r>
          <w:rPr>
            <w:i w:val="0"/>
            <w:noProof/>
            <w:webHidden/>
          </w:rPr>
          <w:instrText xml:space="preserve"> PAGEREF _Toc419812143 \h </w:instrText>
        </w:r>
        <w:r>
          <w:rPr>
            <w:i w:val="0"/>
            <w:noProof/>
            <w:webHidden/>
          </w:rPr>
        </w:r>
        <w:r>
          <w:rPr>
            <w:i w:val="0"/>
            <w:noProof/>
            <w:webHidden/>
          </w:rPr>
          <w:fldChar w:fldCharType="separate"/>
        </w:r>
        <w:r>
          <w:rPr>
            <w:i w:val="0"/>
            <w:noProof/>
            <w:webHidden/>
          </w:rPr>
          <w:t>5</w:t>
        </w:r>
        <w:r>
          <w:rPr>
            <w:i w:val="0"/>
            <w:noProof/>
            <w:webHidden/>
          </w:rPr>
          <w:fldChar w:fldCharType="end"/>
        </w:r>
      </w:hyperlink>
    </w:p>
    <w:p>
      <w:pPr>
        <w:pStyle w:val="TOC2"/>
        <w:tabs>
          <w:tab w:val="left" w:pos="720"/>
          <w:tab w:val="right" w:pos="9061"/>
        </w:tabs>
        <w:rPr>
          <w:i w:val="0"/>
          <w:iCs w:val="0"/>
          <w:noProof/>
          <w:sz w:val="22"/>
          <w:szCs w:val="22"/>
          <w:lang w:val="en-GB" w:eastAsia="en-GB" w:bidi="ar-SA"/>
        </w:rPr>
      </w:pPr>
      <w:hyperlink w:anchor="_Toc419812144" w:history="1">
        <w:r>
          <w:rPr>
            <w:rStyle w:val="Hyperlink"/>
            <w:b/>
            <w:i w:val="0"/>
            <w:noProof/>
          </w:rPr>
          <w:t>2.4</w:t>
        </w:r>
        <w:r>
          <w:rPr>
            <w:i w:val="0"/>
            <w:i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b/>
            <w:i w:val="0"/>
            <w:noProof/>
          </w:rPr>
          <w:t>RIALLOKAZZJONI TAL-APPROPRJAZZJONIJIET TA’ PAGAMENT MINN GALILEO</w:t>
        </w:r>
        <w:r>
          <w:rPr>
            <w:i w:val="0"/>
            <w:noProof/>
            <w:webHidden/>
          </w:rPr>
          <w:tab/>
        </w:r>
        <w:r>
          <w:rPr>
            <w:i w:val="0"/>
            <w:noProof/>
            <w:webHidden/>
          </w:rPr>
          <w:fldChar w:fldCharType="begin"/>
        </w:r>
        <w:r>
          <w:rPr>
            <w:i w:val="0"/>
            <w:noProof/>
            <w:webHidden/>
          </w:rPr>
          <w:instrText xml:space="preserve"> PAGEREF _Toc419812144 \h </w:instrText>
        </w:r>
        <w:r>
          <w:rPr>
            <w:i w:val="0"/>
            <w:noProof/>
            <w:webHidden/>
          </w:rPr>
        </w:r>
        <w:r>
          <w:rPr>
            <w:i w:val="0"/>
            <w:noProof/>
            <w:webHidden/>
          </w:rPr>
          <w:fldChar w:fldCharType="separate"/>
        </w:r>
        <w:r>
          <w:rPr>
            <w:i w:val="0"/>
            <w:noProof/>
            <w:webHidden/>
          </w:rPr>
          <w:t>6</w:t>
        </w:r>
        <w:r>
          <w:rPr>
            <w:i w:val="0"/>
            <w:noProof/>
            <w:webHidden/>
          </w:rPr>
          <w:fldChar w:fldCharType="end"/>
        </w:r>
      </w:hyperlink>
    </w:p>
    <w:p>
      <w:pPr>
        <w:pStyle w:val="TOC1"/>
        <w:tabs>
          <w:tab w:val="left" w:pos="480"/>
          <w:tab w:val="right" w:pos="9061"/>
        </w:tabs>
        <w:rPr>
          <w:b w:val="0"/>
          <w:bCs w:val="0"/>
          <w:noProof/>
          <w:sz w:val="22"/>
          <w:szCs w:val="22"/>
          <w:lang w:val="en-GB" w:eastAsia="en-GB" w:bidi="ar-SA"/>
        </w:rPr>
      </w:pPr>
      <w:hyperlink w:anchor="_Toc419812145" w:history="1">
        <w:r>
          <w:rPr>
            <w:rStyle w:val="Hyperlink"/>
            <w:noProof/>
          </w:rPr>
          <w:t>3.</w:t>
        </w:r>
        <w:r>
          <w:rPr>
            <w:b w:val="0"/>
            <w:bCs w:val="0"/>
            <w:noProof/>
            <w:sz w:val="22"/>
            <w:szCs w:val="22"/>
            <w:lang w:val="en-GB" w:eastAsia="en-GB" w:bidi="ar-SA"/>
          </w:rPr>
          <w:tab/>
        </w:r>
        <w:r>
          <w:rPr>
            <w:rStyle w:val="Hyperlink"/>
            <w:noProof/>
          </w:rPr>
          <w:t>TABELLA SOMMARJA SKONT L-INTESTATURA TAL-QFP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_Toc419812145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TOC1"/>
        <w:tabs>
          <w:tab w:val="left" w:pos="480"/>
          <w:tab w:val="right" w:leader="dot" w:pos="9061"/>
        </w:tabs>
        <w:rPr>
          <w:b w:val="0"/>
          <w:bCs w:val="0"/>
          <w:caps/>
          <w:noProof/>
          <w:sz w:val="22"/>
          <w:szCs w:val="22"/>
        </w:rPr>
      </w:pPr>
      <w:r>
        <w:rPr>
          <w:noProof/>
        </w:rPr>
        <w:fldChar w:fldCharType="end"/>
      </w:r>
    </w:p>
    <w:p>
      <w:pPr>
        <w:rPr>
          <w:noProof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/>
          <w:pgMar w:top="1418" w:right="1418" w:bottom="1418" w:left="1418" w:header="709" w:footer="709" w:gutter="0"/>
          <w:cols w:space="720"/>
        </w:sectPr>
      </w:pPr>
    </w:p>
    <w:p>
      <w:pPr>
        <w:pStyle w:val="ManualHeading1"/>
        <w:spacing w:before="240"/>
        <w:ind w:left="851" w:hanging="851"/>
        <w:rPr>
          <w:noProof/>
        </w:rPr>
      </w:pPr>
      <w:bookmarkStart w:id="8" w:name="_Toc385506031"/>
      <w:bookmarkStart w:id="9" w:name="_Toc418618196"/>
      <w:bookmarkStart w:id="10" w:name="_Toc419812139"/>
      <w:bookmarkStart w:id="11" w:name="_Toc351469332"/>
      <w:bookmarkStart w:id="12" w:name="_Toc361649879"/>
      <w:r>
        <w:rPr>
          <w:noProof/>
        </w:rPr>
        <w:t>1.</w:t>
      </w:r>
      <w:r>
        <w:rPr>
          <w:noProof/>
        </w:rPr>
        <w:tab/>
        <w:t>Introduzzjoni</w:t>
      </w:r>
      <w:bookmarkEnd w:id="8"/>
      <w:bookmarkEnd w:id="9"/>
      <w:bookmarkEnd w:id="10"/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L-Abbozz ta’ Baġit Emendatorju (ABE) Nru 5 għas-sena 2015 jkopri rinfurzar tar-riżorsi tal-Unjoni għall-ġestjoni tal-flussi migratorji u tar-refuġjati, wara l-iżviluppi reċenti fin-Nofsinhar tal-Mediterran, b’mod partikolari permezz ta’ approprjazzjonijiet addizzjonali għall-aġenzija FRONTEX, il-Fond għall-Asil, il-Migrazzjoni u l-Integrazzjoni (AMIF) u l-Fond għas-Sigurtà Interna (ISF).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B’kont meħud tal-ispazju għal riallokazzjoni, inkluż mill-programm Galileo f’pagamenti, iż-żieda totali netta ta’ approprjazzjonijiet mitluba għal dawn l-iskopijiet tammonta għal EUR 75,8 miljun f’approprjazzjonijiet għall-impenji u żero f’approprjazzjonijiet għall-pagament.</w:t>
      </w:r>
    </w:p>
    <w:p>
      <w:pPr>
        <w:keepNext/>
        <w:tabs>
          <w:tab w:val="left" w:pos="850"/>
        </w:tabs>
        <w:spacing w:before="360" w:after="120"/>
        <w:ind w:left="851" w:hanging="851"/>
        <w:jc w:val="both"/>
        <w:outlineLvl w:val="0"/>
        <w:rPr>
          <w:b/>
          <w:smallCaps/>
          <w:noProof/>
        </w:rPr>
      </w:pPr>
      <w:bookmarkStart w:id="13" w:name="_Toc385506032"/>
      <w:bookmarkStart w:id="14" w:name="_Toc367427548"/>
      <w:bookmarkStart w:id="15" w:name="_Toc309303297"/>
      <w:bookmarkStart w:id="16" w:name="_Toc418618197"/>
      <w:bookmarkStart w:id="17" w:name="_Toc419812140"/>
      <w:r>
        <w:rPr>
          <w:b/>
          <w:smallCaps/>
          <w:noProof/>
        </w:rPr>
        <w:t>2.</w:t>
      </w:r>
      <w:r>
        <w:rPr>
          <w:noProof/>
        </w:rPr>
        <w:tab/>
      </w:r>
      <w:bookmarkEnd w:id="13"/>
      <w:bookmarkEnd w:id="14"/>
      <w:bookmarkEnd w:id="15"/>
      <w:r>
        <w:rPr>
          <w:b/>
          <w:smallCaps/>
          <w:noProof/>
        </w:rPr>
        <w:t>B’reazzjoni għal pressjonijiet migratorji</w:t>
      </w:r>
      <w:bookmarkEnd w:id="16"/>
      <w:bookmarkEnd w:id="17"/>
    </w:p>
    <w:p>
      <w:pPr>
        <w:keepNext/>
        <w:tabs>
          <w:tab w:val="left" w:pos="709"/>
        </w:tabs>
        <w:spacing w:before="120" w:after="120"/>
        <w:ind w:left="709" w:hanging="709"/>
        <w:jc w:val="both"/>
        <w:outlineLvl w:val="1"/>
        <w:rPr>
          <w:b/>
          <w:noProof/>
        </w:rPr>
      </w:pPr>
      <w:bookmarkStart w:id="18" w:name="_Toc309303298"/>
      <w:bookmarkStart w:id="19" w:name="_Toc385506033"/>
      <w:bookmarkStart w:id="20" w:name="_Toc367427549"/>
      <w:bookmarkStart w:id="21" w:name="_Toc418618198"/>
      <w:bookmarkStart w:id="22" w:name="_Toc419812141"/>
      <w:r>
        <w:rPr>
          <w:b/>
          <w:noProof/>
        </w:rPr>
        <w:t>2.1</w:t>
      </w:r>
      <w:r>
        <w:rPr>
          <w:noProof/>
        </w:rPr>
        <w:tab/>
      </w:r>
      <w:bookmarkEnd w:id="18"/>
      <w:bookmarkEnd w:id="19"/>
      <w:bookmarkEnd w:id="20"/>
      <w:r>
        <w:rPr>
          <w:b/>
          <w:noProof/>
        </w:rPr>
        <w:t>Il-ħtieġa għal żieda fl-isforzi fil-livell tal-UE</w:t>
      </w:r>
      <w:bookmarkEnd w:id="21"/>
      <w:bookmarkEnd w:id="22"/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Wara avvenimenti traġiċi reċenti fil-Mediterran, li kkawżaw imwiet ta’ madwar 700 persuna, kemm il-Kunsill kif ukoll il-Parlament qablu li l-Unjoni Ewropea għandha tieħu azzjoni.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Fid-dikjarazzjoni li ħarġet wara l-laqgħa straordinarja tiegħu tat-23 ta’ April 2015</w:t>
      </w:r>
      <w:r>
        <w:rPr>
          <w:noProof/>
          <w:vertAlign w:val="superscript"/>
        </w:rPr>
        <w:footnoteReference w:id="8"/>
      </w:r>
      <w:r>
        <w:rPr>
          <w:noProof/>
        </w:rPr>
        <w:t>, il-Kunsill Ewropew sejjaħ għal għadd ta’ azzjonijiet, fosthom:</w:t>
      </w:r>
    </w:p>
    <w:p>
      <w:pPr>
        <w:numPr>
          <w:ilvl w:val="0"/>
          <w:numId w:val="43"/>
        </w:numPr>
        <w:spacing w:before="120" w:after="120"/>
        <w:jc w:val="both"/>
        <w:rPr>
          <w:noProof/>
        </w:rPr>
      </w:pPr>
      <w:r>
        <w:rPr>
          <w:noProof/>
        </w:rPr>
        <w:t>It-tisħiħ tal-operazzjonijiet konġunti Triton u Poseidon, ospitati rispettivament mill-Italja u l-Greċja bil-parteċipazzjoni tal-assi u r-riżorsi pprovduti minn Stati Membri oħra koordinati u kofinanzjati mill-baġit tal-UE permezz tal-Aġenzija FRONTEX;</w:t>
      </w:r>
    </w:p>
    <w:p>
      <w:pPr>
        <w:numPr>
          <w:ilvl w:val="0"/>
          <w:numId w:val="43"/>
        </w:numPr>
        <w:spacing w:before="120" w:after="120"/>
        <w:jc w:val="both"/>
        <w:rPr>
          <w:noProof/>
        </w:rPr>
      </w:pPr>
      <w:r>
        <w:rPr>
          <w:noProof/>
        </w:rPr>
        <w:t>Aktar għajnuna ta’ emerġenza għal Stati Membri li qegħdin mal-fruntiera;</w:t>
      </w:r>
    </w:p>
    <w:p>
      <w:pPr>
        <w:numPr>
          <w:ilvl w:val="0"/>
          <w:numId w:val="43"/>
        </w:numPr>
        <w:spacing w:before="120" w:after="120"/>
        <w:jc w:val="both"/>
        <w:rPr>
          <w:noProof/>
        </w:rPr>
      </w:pPr>
      <w:r>
        <w:rPr>
          <w:noProof/>
        </w:rPr>
        <w:t>L-istabbiliment ta’ proġett pilota volontarju dwar is-sistemazzjoni mill-ġdid ta’ rifuġjati li bħalissa jinsabu maqbuda f’pajjiżi terzi;</w:t>
      </w:r>
    </w:p>
    <w:p>
      <w:pPr>
        <w:numPr>
          <w:ilvl w:val="0"/>
          <w:numId w:val="43"/>
        </w:numPr>
        <w:spacing w:before="120" w:after="120"/>
        <w:jc w:val="both"/>
        <w:rPr>
          <w:noProof/>
        </w:rPr>
      </w:pPr>
      <w:r>
        <w:rPr>
          <w:noProof/>
        </w:rPr>
        <w:t>L-istabbiliment ta’ sistema ġdida ta’ programm ta’ ritorn għar-ritorn rapidu ta’ immigranti illegali;</w:t>
      </w:r>
    </w:p>
    <w:p>
      <w:pPr>
        <w:numPr>
          <w:ilvl w:val="0"/>
          <w:numId w:val="43"/>
        </w:numPr>
        <w:spacing w:before="120" w:after="120"/>
        <w:jc w:val="both"/>
        <w:rPr>
          <w:noProof/>
        </w:rPr>
      </w:pPr>
      <w:r>
        <w:rPr>
          <w:noProof/>
        </w:rPr>
        <w:t>It-tnedija ta’ Programmi ta’ Żvilupp u Protezzjoni Reġjonali fl-Afrika ta’ Fuq u fil-Qarn tal-Afrika.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Fir-riżoluzzjoni tiegħu tad-29 ta’ April 2015</w:t>
      </w:r>
      <w:r>
        <w:rPr>
          <w:noProof/>
          <w:vertAlign w:val="superscript"/>
        </w:rPr>
        <w:footnoteReference w:id="9"/>
      </w:r>
      <w:r>
        <w:rPr>
          <w:noProof/>
        </w:rPr>
        <w:t>, il-Parlament Ewropew appella lill-UE u lill-Istati Membri sabiex jipprovdu r-riżorsi meħtieġa ħalli jiġi żgurat li l-obbligi ta’ tfittxija u salvataġġ jiġu ssodisfati b’mod effikaċi u għalhekk iffinanzjat b’mod xieraq; tenna l-ħtieġa għall-UE biex iżżid kondiviżjoni ġusta ta’ responsabbiltà u solidarjetà lejn l-Istati Membri li jirċievu l-ogħla għadd ta’ refuġjati u persuni li jfittxu l-asil f’termini jew assoluti jew proporzjonali; u enfasizza il-ħtieġa li jipprovdu lill-aġenziji aktar direttament konċernati b’riżorsi xierqa biex iwettqu l-obbligi tagħhom.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Il-proposti f’dan l-Abbozz ta’ Baġit emendatorju (ABE) jittraduċu l-orjentazzjonijiet mogħtija mill-Kunsill Ewropew u l-Parlament Ewropew, b’kont meħud ukoll tal-approċċ tal-politika tal-Kummissjoni deskritti fl-Aġenda Ewropea dwar il-Migrazzjoni</w:t>
      </w:r>
      <w:r>
        <w:rPr>
          <w:rStyle w:val="FootnoteReference"/>
          <w:noProof/>
        </w:rPr>
        <w:footnoteReference w:id="10"/>
      </w:r>
      <w:r>
        <w:rPr>
          <w:noProof/>
        </w:rPr>
        <w:t>:</w:t>
      </w:r>
    </w:p>
    <w:p>
      <w:pPr>
        <w:numPr>
          <w:ilvl w:val="0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Risponsi immedjati għal pressjonijiet migratorji: 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Tissaħħaħ il-preżenza fuq il-baħar; 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L-istabbiliment ta’ kondiviżjoni tal-informazzjoni aħjar fil-ġlieda kontra l-kuntrabandu; 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Mobilizzazzjoni tal-fondi u aġenziji tal-UE;</w:t>
      </w:r>
    </w:p>
    <w:p>
      <w:pPr>
        <w:numPr>
          <w:ilvl w:val="1"/>
          <w:numId w:val="47"/>
        </w:numPr>
        <w:rPr>
          <w:noProof/>
        </w:rPr>
      </w:pPr>
      <w:r>
        <w:rPr>
          <w:noProof/>
        </w:rPr>
        <w:t>Twaqqif ta' rispons Ewropew għal influssi tal-massa;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Twaqqif ta' mekkaniżmu ta’ Risistemazzjoni;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Intervenzjoni upstream f’pajjiżi terzi.</w:t>
      </w:r>
    </w:p>
    <w:p>
      <w:pPr>
        <w:numPr>
          <w:ilvl w:val="0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Erba’ pilastri biex il-migrazzjoni tkun ġestita aħjar: 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Politika komuni ta' asil b'saħħitha; 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Il-ġlieda kontra l-kuntrabandu u t-traffikar u l-prevenzjoni tal-migrazzjoni irregolari;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L-iżgurar tal-fruntieri esterni u li jiġu salvati l-ħajjiet;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 xml:space="preserve">Politika ġdida dwar il-migrazzjoni legali. </w:t>
      </w:r>
    </w:p>
    <w:p>
      <w:pPr>
        <w:numPr>
          <w:ilvl w:val="0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Nimxu lil hinn: approfondiment tal-kooperazzjoni Ewropea fil-qasam tal-migrazzjoni: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It-tlestija tas-Sistema Ewropea Komuni tal-Asil;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Il-ġestjoni tal-fruntieri hija responsabbiltà kondiviża;</w:t>
      </w:r>
    </w:p>
    <w:p>
      <w:pPr>
        <w:numPr>
          <w:ilvl w:val="1"/>
          <w:numId w:val="47"/>
        </w:numPr>
        <w:spacing w:before="120" w:after="120"/>
        <w:jc w:val="both"/>
        <w:rPr>
          <w:noProof/>
        </w:rPr>
      </w:pPr>
      <w:r>
        <w:rPr>
          <w:noProof/>
        </w:rPr>
        <w:t>Mudell ġdid ta' migrazzjoni legali.</w:t>
      </w:r>
    </w:p>
    <w:p>
      <w:pPr>
        <w:keepNext/>
        <w:tabs>
          <w:tab w:val="left" w:pos="709"/>
        </w:tabs>
        <w:spacing w:before="120" w:after="120"/>
        <w:ind w:left="709" w:hanging="709"/>
        <w:jc w:val="both"/>
        <w:outlineLvl w:val="1"/>
        <w:rPr>
          <w:b/>
          <w:noProof/>
        </w:rPr>
      </w:pPr>
      <w:bookmarkStart w:id="23" w:name="_Toc418618199"/>
      <w:bookmarkStart w:id="24" w:name="_Toc419812142"/>
      <w:r>
        <w:rPr>
          <w:b/>
          <w:noProof/>
        </w:rPr>
        <w:t>2.2</w:t>
      </w:r>
      <w:r>
        <w:rPr>
          <w:noProof/>
        </w:rPr>
        <w:tab/>
      </w:r>
      <w:r>
        <w:rPr>
          <w:b/>
          <w:noProof/>
        </w:rPr>
        <w:t>Miżuri proposti li għandhom jissaħħu fl-2015</w:t>
      </w:r>
      <w:bookmarkEnd w:id="23"/>
      <w:bookmarkEnd w:id="24"/>
    </w:p>
    <w:p>
      <w:pPr>
        <w:spacing w:before="120" w:after="120"/>
        <w:jc w:val="both"/>
        <w:rPr>
          <w:noProof/>
        </w:rPr>
      </w:pPr>
      <w:r>
        <w:rPr>
          <w:noProof/>
        </w:rPr>
        <w:t>Il-miżuri proposti biex jiġu msaħħa permezz ta’ dan il-baġit emendatorju fl-2015 jinkludu dawn li ġejjin:</w:t>
      </w:r>
    </w:p>
    <w:p>
      <w:pPr>
        <w:numPr>
          <w:ilvl w:val="0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>Il-Kummissjoni tipproponi li żżid il-kontribuzzjoni tal-UE għal FRONTEX fl-2015 b’ammont addizzjonali ta’ EUR 26,8 miljun f’approprjazzjonijiet ta’ impenn u ta’ pagament. Dan huwa bil-għan li tittriplika l-finanzjament għall-operazzjonijiet konġunti Triton u Poseidon matul l-aħħar seba’ xhur tas-sena 2015, kif ukoll li tkopri n-nefqa relatata ma’ karigi addizzjonali mitluba għal FRONTEX fl-2015 (ara hawn taħt). Triton u Poseidon ser jiġu msaħħa bl-intensifikazzjoni tas-sorveljanza mill-ajru u dik marittima f’żona ġeografika mkabbra biex jaqbel mal-ambitu ta’ Mare Nostrum, f’konformità mal-konklużjonijiet tal-Kunsill Ewropew. Il-FRONTEX se tuża numru akbar ta’ bastimenti u inġenji tal-ajru, filwaqt li tibni fuq l-assi tal-Istati Membri, u taġġorna l-istampa tas-sitwazzjoni ta’ oqsma operattivi sabiex jiżdiedu l-possibbiltajiet ta’ tiftix u salvataġġ.</w:t>
      </w:r>
    </w:p>
    <w:p>
      <w:pPr>
        <w:numPr>
          <w:ilvl w:val="0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 xml:space="preserve">Sabiex tappoġġa Stati Membri li qegħdin fuq il-front meta jirċievu għadd akbar ta’ migranti, il-Kummissjoni tipproponi li ssaħħaħ il-Fond għall-Asil, il-Migrazzjoni u l-Integrazzjoni (AMIF) u l-Fond għas-Sigurtà Interna (ISF): </w:t>
      </w:r>
    </w:p>
    <w:p>
      <w:pPr>
        <w:numPr>
          <w:ilvl w:val="1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 xml:space="preserve">Taħt il-AMIF (partita tal-baġit 18 03 01 01), ammont addizzjonali ta’ EUR 57,0 miljun f’approprjazzjonijiet ta’ impenn u EUR 45,6 miljun f’approprjazzjonijiet għall-ħlasijiet hi mitluba għall-2015. Dan l-ammont ser jintuża biex jirdoppja assistenza ta’ emerġenza pprovduta mill-Kummissjoni biex tappoġġa lil Stati Membri li qegħdin fil-fruntiera biex jirċievu numru akbar ta’ migranti li jaslu/salvati bħala riżultat ta’ operazzjonijiet Triton u Poseidon imsaħħa, għal kull stadju tal-proċess wara l-ewwel wasla u l-iskrinjar tal-migranti (EUR 25 miljun), u biex timplimenta proġett pilota volontarju dwar ir-risistemazzjoni (EUR 25 miljun). Barra minn hekk, programmi reġjonali għall-iżvilupp u l-Protezzjoni (RDPPs) għall-Afrika ta’ Fuq u l-Qarn tal-Afrika se jiġu msaħħa (EUR 7 miljun). </w:t>
      </w:r>
    </w:p>
    <w:p>
      <w:pPr>
        <w:numPr>
          <w:ilvl w:val="1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 xml:space="preserve">Taħt l-AMIF (partita tal-baġit 18 02 01 01), ammont addizzjonali ta’ EUR 5 miljun f’approprjazzjonijiet ta’ impenn u EUR 4 miljun f’approprjazzjonijiet għall-pagamenti huma  mitluba għall-2015. Din se tkopri l-assistenza ta’ emerġenza għall-attivitajiet ta’ sorveljanza mwettqa fil-kuntest ta’ Triton u Poseidon. Dan se jsaħħaħ l-ewwel attivitajiet ta’ riċeviment bħall-identifikazzjoni, l-ewwel għajnuna medika, ix-xiri ta’ tagħmir għall-kontrolli tal-fruntieri, u trasportazzjoni ta’ migranti. </w:t>
      </w:r>
    </w:p>
    <w:p>
      <w:pPr>
        <w:numPr>
          <w:ilvl w:val="0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>Minħabba l-ammont ta’ xogħol mistenni minn tliet aġenziji tal-UE involuti aktar b’mod dirett, il-Kummissjoni tipproponi dawn iż-żidiet limitati fil-livelli tal-persunal tagħhom:</w:t>
      </w:r>
    </w:p>
    <w:p>
      <w:pPr>
        <w:numPr>
          <w:ilvl w:val="1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 xml:space="preserve">FRONTEX: 16-il kariga addizzjonali li jittrattaw l-operazzjonijiet Triton u Poseidon imsaħħa, biex tiżdied il-kooperazzjoni ma’ aġenziji oħra tal-UE fir-rigward tat-tfixkil tat-traffikar ta' netwerks addizzjonali u l-iskjerar ta' uffiċjali ta’ kollegament f’pajjiżi terzi. L-infiq addizzjonali korrispondenti fl-2015 huwa stmat li jammonta għal EUR 528 000. </w:t>
      </w:r>
    </w:p>
    <w:p>
      <w:pPr>
        <w:numPr>
          <w:ilvl w:val="1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>EUROPOL: 3 karigi addizzjonali għal tħarbit ta’ netwerks ta’ traffikar u biex jikxfu u jitolbu t-tneħħija tal-kontenut tal-internet użati mit-traffikanti biex jattiraw migranti u rifuġjati. L-infiq addizzjonali korrispondenti fl-2015 huwa stmat li jammonta għal EUR 99 000.</w:t>
      </w:r>
    </w:p>
    <w:p>
      <w:pPr>
        <w:numPr>
          <w:ilvl w:val="1"/>
          <w:numId w:val="44"/>
        </w:numPr>
        <w:spacing w:before="120" w:after="120"/>
        <w:jc w:val="both"/>
        <w:rPr>
          <w:noProof/>
        </w:rPr>
      </w:pPr>
      <w:r>
        <w:rPr>
          <w:noProof/>
        </w:rPr>
        <w:t>L-Uffiċċju Ewropew ta’ Appoġġ fil-qasam tal-Ażil (EASO): 4 karigi addizzjonali għal tħarbit ta’ netwerks ta’ traffikar u għall-implimentazzjoni ta’ aktar gruppi ta’ pproċessar konuġunt ta’ applikazzjonijiet għall-ażil fi Stati Membri li qegħdin fil-fruntieri. L-infiq addizzjonali korrispondenti fl-2015 huwa stmat li jammonta għal EUR 132 000.</w:t>
      </w:r>
    </w:p>
    <w:p>
      <w:pPr>
        <w:keepNext/>
        <w:tabs>
          <w:tab w:val="left" w:pos="709"/>
        </w:tabs>
        <w:spacing w:before="120" w:after="120"/>
        <w:ind w:left="709" w:hanging="709"/>
        <w:jc w:val="both"/>
        <w:outlineLvl w:val="1"/>
        <w:rPr>
          <w:b/>
          <w:noProof/>
        </w:rPr>
      </w:pPr>
      <w:bookmarkStart w:id="25" w:name="_Toc418618200"/>
      <w:bookmarkStart w:id="26" w:name="_Toc419812143"/>
      <w:r>
        <w:rPr>
          <w:b/>
          <w:noProof/>
        </w:rPr>
        <w:t>2.3</w:t>
      </w:r>
      <w:r>
        <w:rPr>
          <w:noProof/>
        </w:rPr>
        <w:tab/>
      </w:r>
      <w:r>
        <w:rPr>
          <w:b/>
          <w:noProof/>
        </w:rPr>
        <w:t>Finanzjament propost għall-miżuri ta' migrazzjoni</w:t>
      </w:r>
      <w:bookmarkEnd w:id="25"/>
      <w:bookmarkEnd w:id="26"/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B’mod ġenerali, iż-żidiet totali fl-approprjazzjonijiet għall-impenn biex jiġu ffinanzjati l-miżuri deskritti hawn fuq jammontaw għal EUR 89,0 miljun. Fir-rigward tal-approprjazzjonijiet għall-ħlasijiet, ammont ta’ EUR 76,6 miljun huwa meħtieġ biex ikopri l-prefinanzjament (80 %) ta’ azzjonijiet addizzjonali taħt tal-AMIF u l-ISF u biex jippermetti lill-FRONTEX jipproċedi bil-kofinanzjament ta’ Triton.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Il-Kummissjoni eżaminat bir-reqqa l-possibbiltajiet ta’ riallokazzjoni ta’ approprjazzjonijiet fi ħdan il-baġit 2015, kemm għall-impenji kif ukoll għall-pagamenti. Konsegwentement, fi ħdan il-Kapitolu 18 02 (Sigurtà Interna) il-Kummissjoni identifikat introjti interni assenjati ġejjin mill-irkupru ta’ ammonti rigward l-għeluq ta’ fajls qodma taħt il-Fond għall-Fruntieri Esterni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, li jammonta għal EUR 13,2 miljun f’approprjazzjonijiet ta’ impenn u EUR 7,0 miljun f’approprjazzjonijiet ta’ pagament. Dawn l-ammonti huma proposti biex jintużaw biex jipprovdu finanzjament addizzjonali immedjat għall-FRONTEX, bħala parti mir-rinforz kumplessiv mitlub permezz ta’ dan l-Abbozz ta’ Baġit Emendatorju għall-aġenzija (EUR 26,8 miljun).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Il-Kummissjoni għalhekk tipproponi approprjazzjonijiet addizzjonali — EUR 75,8 miljun f’approprjazzjonijiet ta’ impenn u EUR 69,7 miljun f’approprjazzjonijiet ta’ pagament — biex jiġi pprovdut finanzjament addizzjonali fil-baġit tal-2015 għal miżuri ta’ migrazzjoni. Dawn ir-rinforzi huma mqassma fuq ħames linji tal-baġit, kif ġej: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1701"/>
        <w:gridCol w:w="1701"/>
      </w:tblGrid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Linja Baġitarja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Approprjazzjonijiet ta’ impenn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Approprjazzjonijiet ta’ pagament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18 02 01 01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350"/>
              </w:tabs>
              <w:spacing w:before="15" w:after="1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Sostenn ta’ ġestjoni tal-fruntieri u politika komuni tal-viżi biex jiġi ffaċilitat l-ivvjaġġar leġittimu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4 000 000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18 02 03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350"/>
              </w:tabs>
              <w:spacing w:before="15" w:after="1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L-Aġenzija Ewropea għall-Ġestjoni ta' Koperazzjoni Operazzjonali fil-Fruntieri Esterni (FRONTEX)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13 541 000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19 821 000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18 02 04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350"/>
              </w:tabs>
              <w:spacing w:before="15" w:after="1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L-Uffiċċju Ewropew tal-Pulizija (EUROPOL)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99 000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18 03 01 01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350"/>
              </w:tabs>
              <w:spacing w:before="15" w:after="1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Tisħiħ u żvilupp tas-Sistema Ewropea Komuni tal-Asil u titjib tas-solidarjetà u l-kondiviżjoni tar-responsabilità bejn l-Istati Membri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45 600 000</w:t>
            </w:r>
          </w:p>
        </w:tc>
      </w:tr>
      <w:t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18 03 02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350"/>
              </w:tabs>
              <w:spacing w:before="15" w:after="1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Uffiċċju Ewropew ta’ Appoġġ fil-qasam tal-Ażil (EASO)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KAPITOLU 132 000 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15" w:after="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132 000</w:t>
            </w:r>
          </w:p>
        </w:tc>
      </w:tr>
      <w:t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widowControl w:val="0"/>
              <w:tabs>
                <w:tab w:val="left" w:pos="975"/>
              </w:tabs>
              <w:spacing w:before="15" w:after="15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Totali</w:t>
            </w:r>
            <w:r>
              <w:rPr>
                <w:noProof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widowControl w:val="0"/>
              <w:spacing w:before="15" w:after="15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75 772 000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widowControl w:val="0"/>
              <w:spacing w:before="15" w:after="15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69 652 000</w:t>
            </w:r>
          </w:p>
        </w:tc>
      </w:tr>
    </w:tbl>
    <w:p>
      <w:pPr>
        <w:keepNext/>
        <w:tabs>
          <w:tab w:val="left" w:pos="709"/>
        </w:tabs>
        <w:spacing w:before="240" w:after="120"/>
        <w:ind w:left="709" w:hanging="709"/>
        <w:jc w:val="both"/>
        <w:outlineLvl w:val="1"/>
        <w:rPr>
          <w:b/>
          <w:noProof/>
        </w:rPr>
      </w:pPr>
      <w:bookmarkStart w:id="27" w:name="_Toc418618201"/>
      <w:bookmarkStart w:id="28" w:name="_Toc419812144"/>
      <w:bookmarkEnd w:id="2"/>
      <w:bookmarkEnd w:id="11"/>
      <w:bookmarkEnd w:id="12"/>
      <w:r>
        <w:rPr>
          <w:b/>
          <w:noProof/>
        </w:rPr>
        <w:t>2.4</w:t>
      </w:r>
      <w:r>
        <w:rPr>
          <w:noProof/>
        </w:rPr>
        <w:tab/>
      </w:r>
      <w:r>
        <w:rPr>
          <w:b/>
          <w:noProof/>
        </w:rPr>
        <w:t>Riallokazzjoni tal-approprjazzjonijiet ta’ pagament minn Galileo</w:t>
      </w:r>
      <w:bookmarkEnd w:id="27"/>
      <w:bookmarkEnd w:id="28"/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Lil hinn mir-riallokazzjoni identifikata fi ħdan il-kapitolu 18 02 kif stabbilit fit-taqsima 2.3 hawn fuq, il-Kummissjoni sabet aktar sors ta’ riallokazzjoni ta’ approprjazzjonijiet għall-pagamenti mill-programm Galileo biex ikopru l-ammont li jifdal ta’ EUR 69,7 miljun f’approprjazzjonijiet ta’ pagament, li jħalli l-livell globali ta’ approprjazzjonijiet ta’ pagament fil-baġit tal-2015 mhux mibdul.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B’differenza minn programmi oħra ta’ nfiq li huma implimentati permezz ta’ għotjiet, fil-każ ta’ Galileo, il-Kummissjoni hija responsabbli għall-kostruzzjoni u l-operat ta’ spazju ta' infrastruttura. Bħal f’kull proġett infrastrutturali kbir, u b’mod partikolati fil-qasam tal-ispazju, ir-riskji jistgħu jseħħu fi kwalunkwe mument, kif muri minn diversi eżempji madwar id-dinja. Galileo mhuwiex eċċezzjoni: kien hemm dewmien bil-produttur tas-satellita (OHB), u anomalija fil-illanċjar ta’ satelliti f’Awwissu 2014. Miżuri ta’ mitigazzjoni ġew meħuda għal dawn il-kwistjonijiet u l-programmi huma issa fit-triq it-tajba.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Il-ftehimiet ta’ delega mal-Aġenzija Spazjali Ewropea (ESA) u l-Aġenzija Ewropea GNSS (GSA) jipprevedu li l-Kummissjoni twettaq żewġ pagamenti matul is-sena, li huma bbażati fuq tbassir dettaljat tal-għanijiet mistennijin li jinkisbu permezz ta’ sottokuntratturi tagħhom u jkopru l-ħtiġijiet finanzjarji tal-ESA u tal-GSA għas-sitt xhur li ġejjin. F’dan il-kuntest l-ħtiġijiet tagħhom huma marbuta direttament mal-evoluzzjoni differenti ta’ kuntratti u, meta wieħed iqis il-materjalità ta’ dawn il-kuntratti, kwalunkwe dewmien fl-implimentazzjoni ta’ kwalunkwe kuntratt iffirmat jew fil-proċess tal-iffirmar ta’ kuntratti ġodda jista’ jirrappreżenta bidla sinifikanti fl-ammont ta’ fondi mitluba. 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F’konformità mal-prinċipju ta’ ġestjoni finanzjarja soda, il-Kummissjoni tieħu kont tal-progress fit-twassil u taġġusta pagamenti lill-ESA u l-GSA, kif xieraq. Id-deċiżjoni dwar is-serje li jmiss (“lott 3”) ta’ satelliti huwa soġġett għal riżultati finali tat-testijiet ta’ Kapaċità Operattiva Sħiħa (FOC) satelliti mnedija f’Awwissu 2014. L-aħħar ippjanar disponibbli għall-akkwist tat-tielet lott ta’ satelliti jindika li l-iffirmar tal-kuntratt li inizjalment kienet ippjanata għall-2015 issa huma ppjanata għat-tieni kwart tal- 2016. Għalhekk parti mill-approprjazzjonijiet ta’ pagament fil-baġit tal-2015 mhux se jintużaw. Il-Kummissjoni tipproponi li jiġi riallokat l-ammont ta’ EUR 69,7 miljun f’approprjazzjonijiet ta’ pagament biex jintlaħqu l-ħtiġijiet addizzjonali identifikati fit-taqsimiet 2.2-2.3 hawn fuq.  </w:t>
      </w:r>
    </w:p>
    <w:p>
      <w:pPr>
        <w:spacing w:before="120" w:after="120"/>
        <w:jc w:val="both"/>
        <w:rPr>
          <w:noProof/>
        </w:rPr>
      </w:pPr>
    </w:p>
    <w:p>
      <w:pPr>
        <w:pStyle w:val="ManualHeading1"/>
        <w:spacing w:before="120"/>
        <w:ind w:left="0" w:firstLine="0"/>
        <w:rPr>
          <w:noProof/>
        </w:rPr>
      </w:pPr>
      <w:r>
        <w:rPr>
          <w:noProof/>
        </w:rPr>
        <w:br w:type="page"/>
      </w:r>
      <w:bookmarkStart w:id="29" w:name="_Toc400011652"/>
      <w:bookmarkStart w:id="30" w:name="_Toc418618202"/>
      <w:bookmarkStart w:id="31" w:name="_Toc419812145"/>
      <w:r>
        <w:rPr>
          <w:noProof/>
        </w:rPr>
        <w:t>3.</w:t>
      </w:r>
      <w:r>
        <w:rPr>
          <w:noProof/>
        </w:rPr>
        <w:tab/>
        <w:t>Tabella sommarja skont l-intestatura tal-QFP</w:t>
      </w:r>
      <w:bookmarkEnd w:id="3"/>
      <w:bookmarkEnd w:id="4"/>
      <w:bookmarkEnd w:id="5"/>
      <w:bookmarkEnd w:id="6"/>
      <w:bookmarkEnd w:id="7"/>
      <w:bookmarkEnd w:id="29"/>
      <w:bookmarkEnd w:id="30"/>
      <w:bookmarkEnd w:id="31"/>
    </w:p>
    <w:tbl>
      <w:tblPr>
        <w:tblW w:w="10788" w:type="dxa"/>
        <w:tblInd w:w="-176" w:type="dxa"/>
        <w:tblLook w:val="04A0" w:firstRow="1" w:lastRow="0" w:firstColumn="1" w:lastColumn="0" w:noHBand="0" w:noVBand="1"/>
      </w:tblPr>
      <w:tblGrid>
        <w:gridCol w:w="376"/>
        <w:gridCol w:w="2616"/>
        <w:gridCol w:w="1366"/>
        <w:gridCol w:w="1327"/>
        <w:gridCol w:w="1134"/>
        <w:gridCol w:w="1134"/>
        <w:gridCol w:w="1418"/>
        <w:gridCol w:w="1417"/>
      </w:tblGrid>
      <w:tr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Intestatura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Baġit 2015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Abbozz ta' Baġit Emendatorju Nru 5/2015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Baġit 2015</w:t>
            </w:r>
          </w:p>
        </w:tc>
      </w:tr>
      <w:tr>
        <w:trPr>
          <w:trHeight w:val="25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(inkl. ABE 34/2015)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(inkl. AB 1 &amp; DAB 1, 3, 4 &amp; 5/2015)</w:t>
            </w:r>
          </w:p>
        </w:tc>
      </w:tr>
      <w:tr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ind w:left="-533" w:firstLine="533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AP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Tkabbir intelliġenti u inklużiv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77 954 679 684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66 922 960 910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- 69 652 000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77 954 679 684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66 853 308 910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 minnhom taħt l-Istrument ta' Flessibbiltà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Limitu 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77 986 000 000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77 986 000 000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114 605 911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114 605 911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1a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Kompetittività għat-tkabbir u l-impjiegi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17 551 688 425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15 798 230 894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- 69 652 000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17 551 688 425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15 728 578 894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17 666 000 000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17 666 000 000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114 311 575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114 311 575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 xml:space="preserve">1b 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Koeżjoni ekonomika soċjali u territorjali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60 402 991 259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51 124 730 016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60 402 991 259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51 124 730 016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 minnhom taħt l-Istrument ta' Flessibbiltà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60 320 000 000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60 320 000 000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 294 336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 294 336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2.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It-tkabbir sostenibbli: riżorsi naturali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63 901 960 185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55 998 594 804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63 901 960 185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55 998 594 804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64 692 000 000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64 692 000 000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790 039 815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790 039 815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705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Li minnhom: Fond Agrikolu Ewropew ta’ Garanzija (FAEG) — Nefqa relatata mas-suq u ħlasijiet diretti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43 455 780 762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43 447 624 585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43 455 780 762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43 447 624 585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Sottolimitu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44 313 000 000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44 313 000 000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Trasferiment nett bejn il-FAEG u l-FAEŻR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123 215 000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123 215 000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734 004 238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734 004 238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3.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Sigurtà u ċittadinanza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2 357 076 847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1 859 513 795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75 772 000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69 652 000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2 432 848 847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1 929 165 795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2 456 000 000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2 456 000 000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98 923 153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23 151 153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4.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Ewropa Globali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8 410 899 029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7 422 489 907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8 410 899 029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7 422 489 907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8 749 000 000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8 749 000 000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338 100 971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338 100 971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5.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Amministrazzjoni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8 660 469 063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8 658 756 179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8 660 469 063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8 658 756 179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9 076 000 000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9 076 000 000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415 530 937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415 530 937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525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Li minnhom: Nefqa amministrattiva tal-istituzzjonijiet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6 941 188 663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6 939 475 779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6 941 188 663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6 939 475 779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Sottolimitu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7 056 000 000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7 056 000 000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114 811 337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114 811 337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6.</w:t>
            </w:r>
          </w:p>
        </w:tc>
        <w:tc>
          <w:tcPr>
            <w:tcW w:w="2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Kumpensi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Totali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161 285 084 808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140 862 315 595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75 772 000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161 360 856 808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140 862 315 595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Li minnhom taħt l-Istrument ta' Flessibbiltà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 xml:space="preserve"> 11 315 595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 xml:space="preserve"> 83 285 595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 xml:space="preserve"> 11 315 595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Limitu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162 959 000 000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141 901 000 000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162 959 000 000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141 901 000 000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Marġni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1 757 200 787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1 050 000 000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1 681 428 787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1 050 000 000</w:t>
            </w:r>
          </w:p>
        </w:tc>
      </w:tr>
      <w:tr>
        <w:trPr>
          <w:trHeight w:val="27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Strumenti speċjali oħrajn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581 870 850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418 230 818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581 870 850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418 230 818</w:t>
            </w:r>
          </w:p>
        </w:tc>
      </w:tr>
      <w:tr>
        <w:trPr>
          <w:trHeight w:val="27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Total Kumplessiv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161 866 955 658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141 280 546 413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75 772 000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161 942 727 658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141 280 546 413</w:t>
            </w:r>
          </w:p>
        </w:tc>
      </w:tr>
    </w:tbl>
    <w:p>
      <w:pPr>
        <w:spacing w:before="120" w:after="120"/>
        <w:jc w:val="both"/>
        <w:rPr>
          <w:noProof/>
        </w:rPr>
      </w:pPr>
    </w:p>
    <w:sectPr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ĠU L 298, 26.10.2012, p. 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ĠU L 69, 13.3.2015, p.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ĠU L XXX, XX.XX.2015</w:t>
      </w:r>
      <w:r>
        <w:t>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COM(2015) 11 finali tat-13.01.2015.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COM(2015) 160 finali tal-15.04.2015.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COM(2015) 161 finali tal-15.04.2015.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EUCO (18), 15, 23.4.2015.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P8_TA-PROV-(2015)0176, 29.4.2015.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COM(2015) 240, 13.5.2015.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F’konformità mad-Deċiżjoni 574/2007/KE li tistabbilixxi l-Fond għall-Fruntieri Esterni għall-perjodu bejn l-2007 u l-2013, ibbażat fuq l-informazzjoni li waslet mingħand l-Istati Membri, waqt l-għeluq tal-programmi annwali tagħhom il-Kummissjoni tiddeċiedi dwar l-ammont tal-infiq rikonoxxut bħala li għandu jitħallas mill-Fond, u tirkupra l-bilanċ li jkun ġej mid-differenza bejn l-infiq finali rikonoxxut u s-somom li jkunu diġà tħallsu lill-Istati Membri.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448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9ED8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403CB"/>
    <w:multiLevelType w:val="hybridMultilevel"/>
    <w:tmpl w:val="8B06DF60"/>
    <w:lvl w:ilvl="0" w:tplc="0FE406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84234"/>
    <w:multiLevelType w:val="hybridMultilevel"/>
    <w:tmpl w:val="B1B6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>
    <w:nsid w:val="2F6F6245"/>
    <w:multiLevelType w:val="hybridMultilevel"/>
    <w:tmpl w:val="8842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20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F131E8"/>
    <w:multiLevelType w:val="hybridMultilevel"/>
    <w:tmpl w:val="7EE22C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F627D1"/>
    <w:multiLevelType w:val="hybridMultilevel"/>
    <w:tmpl w:val="9D346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343"/>
    <w:multiLevelType w:val="hybridMultilevel"/>
    <w:tmpl w:val="D89C5E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B55F2"/>
    <w:multiLevelType w:val="hybridMultilevel"/>
    <w:tmpl w:val="63DED26E"/>
    <w:lvl w:ilvl="0" w:tplc="34DC5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36DEC"/>
    <w:multiLevelType w:val="hybridMultilevel"/>
    <w:tmpl w:val="79644CE6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9">
    <w:nsid w:val="6D38527D"/>
    <w:multiLevelType w:val="hybridMultilevel"/>
    <w:tmpl w:val="C0B8F2B8"/>
    <w:lvl w:ilvl="0" w:tplc="EB1C0EE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3216D"/>
    <w:multiLevelType w:val="hybridMultilevel"/>
    <w:tmpl w:val="F648ECEA"/>
    <w:lvl w:ilvl="0" w:tplc="5810F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E7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1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E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29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EF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B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6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24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9"/>
  </w:num>
  <w:num w:numId="5">
    <w:abstractNumId w:val="30"/>
  </w:num>
  <w:num w:numId="6">
    <w:abstractNumId w:val="19"/>
  </w:num>
  <w:num w:numId="7">
    <w:abstractNumId w:val="28"/>
  </w:num>
  <w:num w:numId="8">
    <w:abstractNumId w:val="18"/>
  </w:num>
  <w:num w:numId="9">
    <w:abstractNumId w:val="10"/>
  </w:num>
  <w:num w:numId="10">
    <w:abstractNumId w:val="16"/>
  </w:num>
  <w:num w:numId="11">
    <w:abstractNumId w:val="17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20"/>
  </w:num>
  <w:num w:numId="17">
    <w:abstractNumId w:val="19"/>
  </w:num>
  <w:num w:numId="18">
    <w:abstractNumId w:val="26"/>
  </w:num>
  <w:num w:numId="19">
    <w:abstractNumId w:val="4"/>
  </w:num>
  <w:num w:numId="20">
    <w:abstractNumId w:val="13"/>
  </w:num>
  <w:num w:numId="21">
    <w:abstractNumId w:val="19"/>
  </w:num>
  <w:num w:numId="22">
    <w:abstractNumId w:val="19"/>
  </w:num>
  <w:num w:numId="23">
    <w:abstractNumId w:val="3"/>
  </w:num>
  <w:num w:numId="24">
    <w:abstractNumId w:val="29"/>
  </w:num>
  <w:num w:numId="25">
    <w:abstractNumId w:val="25"/>
  </w:num>
  <w:num w:numId="26">
    <w:abstractNumId w:val="0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7"/>
  </w:num>
  <w:num w:numId="39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2"/>
  </w:num>
  <w:num w:numId="45">
    <w:abstractNumId w:val="21"/>
  </w:num>
  <w:num w:numId="46">
    <w:abstractNumId w:val="6"/>
  </w:num>
  <w:num w:numId="47">
    <w:abstractNumId w:val="2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B56FE7EB433E4C4EB3916DBBB50B00B1"/>
    <w:docVar w:name="LW_CROSSREFERENCE" w:val="&lt;UNUSED&gt;"/>
    <w:docVar w:name="LW_DocType" w:val="NORMAL"/>
    <w:docVar w:name="LW_EMISSION" w:val="13.5.2015"/>
    <w:docVar w:name="LW_EMISSION_ISODATE" w:val="2015-05-13"/>
    <w:docVar w:name="LW_EMISSION_LOCATION" w:val="BRX"/>
    <w:docVar w:name="LW_EMISSION_PREFIX" w:val="Brussels, "/>
    <w:docVar w:name="LW_EMISSION_SUFFIX" w:val="&lt;EMPTY&gt;"/>
    <w:docVar w:name="LW_ID_DOCTYPE_NONLW" w:val="CP-035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241"/>
    <w:docVar w:name="LW_REF.INTERNE" w:val="&lt;UNUSED&gt;"/>
    <w:docVar w:name="LW_SOUS.TITRE.OBJ.CP" w:val="&lt;UNUSED&gt;"/>
    <w:docVar w:name="LW_SUPERTITRE" w:val="&lt;UNUSED&gt;"/>
    <w:docVar w:name="LW_TITRE.OBJ.CP" w:val="B\u8217?REAZZJONI G\u294?AL PRESSJONIJIET MIGRATORJI "/>
    <w:docVar w:name="LW_TITRE.OBJ.CP_PREVIOUS" w:val="&lt;UNUSED&gt;"/>
    <w:docVar w:name="LW_TYPE.DOC.CP" w:val="ABBOZZ TA' BA\u288?IT EMENDATORJU Nru 5_x000b_G\u294?ALL-BA\u288?IT \u288?ENERALI TAL-2015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mt-MT" w:eastAsia="mt-MT" w:bidi="mt-MT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uiPriority w:val="99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spacing w:before="240" w:after="120"/>
    </w:pPr>
    <w:rPr>
      <w:rFonts w:ascii="Calibri" w:hAnsi="Calibri"/>
      <w:b/>
      <w:bC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uiPriority w:val="99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uiPriority w:val="39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qFormat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pPr>
      <w:ind w:left="48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Calibri" w:hAnsi="Calibri"/>
      <w:sz w:val="20"/>
      <w:szCs w:val="20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1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1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1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1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mt-MT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uiPriority w:val="99"/>
    <w:rPr>
      <w:lang w:eastAsia="mt-MT"/>
    </w:rPr>
  </w:style>
  <w:style w:type="paragraph" w:customStyle="1" w:styleId="NormalCentered">
    <w:name w:val="Normal Centered"/>
    <w:basedOn w:val="Normal"/>
    <w:uiPriority w:val="99"/>
    <w:pPr>
      <w:spacing w:before="120" w:after="120"/>
      <w:jc w:val="center"/>
    </w:pPr>
  </w:style>
  <w:style w:type="paragraph" w:customStyle="1" w:styleId="NormalRight">
    <w:name w:val="Normal Right"/>
    <w:basedOn w:val="Normal"/>
    <w:uiPriority w:val="99"/>
    <w:pPr>
      <w:spacing w:before="120" w:after="120"/>
      <w:jc w:val="right"/>
    </w:pPr>
  </w:style>
  <w:style w:type="paragraph" w:customStyle="1" w:styleId="NormalLeft">
    <w:name w:val="Normal Left"/>
    <w:basedOn w:val="Normal"/>
    <w:uiPriority w:val="99"/>
    <w:pPr>
      <w:spacing w:before="120" w:after="120"/>
    </w:pPr>
  </w:style>
  <w:style w:type="paragraph" w:styleId="Revision">
    <w:name w:val="Revision"/>
    <w:hidden/>
    <w:uiPriority w:val="99"/>
    <w:semiHidden/>
    <w:rPr>
      <w:sz w:val="24"/>
      <w:szCs w:val="24"/>
      <w:lang w:val="mt-MT" w:eastAsia="mt-MT" w:bidi="mt-MT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  <w:style w:type="paragraph" w:customStyle="1" w:styleId="Footnoter">
    <w:name w:val="Footnote r"/>
    <w:pPr>
      <w:shd w:val="clear" w:color="auto" w:fill="F2F8FB"/>
      <w:spacing w:before="100" w:beforeAutospacing="1" w:after="100" w:afterAutospacing="1"/>
    </w:pPr>
    <w:rPr>
      <w:szCs w:val="22"/>
      <w:lang w:val="mt-MT" w:eastAsia="mt-MT" w:bidi="mt-MT"/>
    </w:rPr>
  </w:style>
  <w:style w:type="character" w:customStyle="1" w:styleId="hps">
    <w:name w:val="hps"/>
  </w:style>
  <w:style w:type="paragraph" w:customStyle="1" w:styleId="Point0number">
    <w:name w:val="Point 0 (number)"/>
    <w:basedOn w:val="Normal"/>
    <w:pPr>
      <w:numPr>
        <w:numId w:val="35"/>
      </w:numPr>
      <w:spacing w:before="120" w:after="120"/>
      <w:jc w:val="both"/>
    </w:pPr>
    <w:rPr>
      <w:szCs w:val="22"/>
    </w:rPr>
  </w:style>
  <w:style w:type="paragraph" w:customStyle="1" w:styleId="Point1number">
    <w:name w:val="Point 1 (number)"/>
    <w:basedOn w:val="Normal"/>
    <w:pPr>
      <w:numPr>
        <w:ilvl w:val="2"/>
        <w:numId w:val="35"/>
      </w:numPr>
      <w:spacing w:before="120" w:after="120"/>
      <w:jc w:val="both"/>
    </w:pPr>
    <w:rPr>
      <w:szCs w:val="22"/>
    </w:rPr>
  </w:style>
  <w:style w:type="paragraph" w:customStyle="1" w:styleId="Point2number">
    <w:name w:val="Point 2 (number)"/>
    <w:basedOn w:val="Normal"/>
    <w:pPr>
      <w:numPr>
        <w:ilvl w:val="4"/>
        <w:numId w:val="35"/>
      </w:numPr>
      <w:spacing w:before="120" w:after="120"/>
      <w:jc w:val="both"/>
    </w:pPr>
    <w:rPr>
      <w:szCs w:val="22"/>
    </w:rPr>
  </w:style>
  <w:style w:type="paragraph" w:customStyle="1" w:styleId="Point3number">
    <w:name w:val="Point 3 (number)"/>
    <w:basedOn w:val="Normal"/>
    <w:pPr>
      <w:numPr>
        <w:ilvl w:val="6"/>
        <w:numId w:val="35"/>
      </w:numPr>
      <w:spacing w:before="120" w:after="120"/>
      <w:jc w:val="both"/>
    </w:pPr>
    <w:rPr>
      <w:szCs w:val="22"/>
    </w:rPr>
  </w:style>
  <w:style w:type="paragraph" w:customStyle="1" w:styleId="Point0letter">
    <w:name w:val="Point 0 (letter)"/>
    <w:basedOn w:val="Normal"/>
    <w:pPr>
      <w:numPr>
        <w:ilvl w:val="1"/>
        <w:numId w:val="35"/>
      </w:numPr>
      <w:spacing w:before="120" w:after="120"/>
      <w:jc w:val="both"/>
    </w:pPr>
    <w:rPr>
      <w:szCs w:val="22"/>
    </w:rPr>
  </w:style>
  <w:style w:type="paragraph" w:customStyle="1" w:styleId="Point1letter">
    <w:name w:val="Point 1 (letter)"/>
    <w:basedOn w:val="Normal"/>
    <w:pPr>
      <w:numPr>
        <w:ilvl w:val="3"/>
        <w:numId w:val="35"/>
      </w:numPr>
      <w:spacing w:before="120" w:after="120"/>
      <w:jc w:val="both"/>
    </w:pPr>
    <w:rPr>
      <w:szCs w:val="22"/>
    </w:rPr>
  </w:style>
  <w:style w:type="paragraph" w:customStyle="1" w:styleId="Point2letter">
    <w:name w:val="Point 2 (letter)"/>
    <w:basedOn w:val="Normal"/>
    <w:pPr>
      <w:numPr>
        <w:ilvl w:val="5"/>
        <w:numId w:val="35"/>
      </w:numPr>
      <w:spacing w:before="120" w:after="120"/>
      <w:jc w:val="both"/>
    </w:pPr>
    <w:rPr>
      <w:szCs w:val="22"/>
    </w:rPr>
  </w:style>
  <w:style w:type="paragraph" w:customStyle="1" w:styleId="Point3letter">
    <w:name w:val="Point 3 (letter)"/>
    <w:basedOn w:val="Normal"/>
    <w:pPr>
      <w:numPr>
        <w:ilvl w:val="7"/>
        <w:numId w:val="35"/>
      </w:numPr>
      <w:spacing w:before="120" w:after="120"/>
      <w:jc w:val="both"/>
    </w:pPr>
    <w:rPr>
      <w:szCs w:val="22"/>
    </w:rPr>
  </w:style>
  <w:style w:type="paragraph" w:customStyle="1" w:styleId="Point4letter">
    <w:name w:val="Point 4 (letter)"/>
    <w:basedOn w:val="Normal"/>
    <w:pPr>
      <w:numPr>
        <w:ilvl w:val="8"/>
        <w:numId w:val="35"/>
      </w:numPr>
      <w:spacing w:before="120" w:after="120"/>
      <w:jc w:val="both"/>
    </w:pPr>
    <w:rPr>
      <w:szCs w:val="22"/>
    </w:rPr>
  </w:style>
  <w:style w:type="paragraph" w:customStyle="1" w:styleId="Tiret2">
    <w:name w:val="Tiret 2"/>
    <w:basedOn w:val="Normal"/>
    <w:pPr>
      <w:numPr>
        <w:numId w:val="38"/>
      </w:numPr>
      <w:spacing w:before="120" w:after="120"/>
      <w:jc w:val="both"/>
    </w:pPr>
    <w:rPr>
      <w:szCs w:val="22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814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1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eur-lex.europa.eu/budget/www/index-mt.htm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4DAC-C41E-4400-A50C-8868141E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2400</Words>
  <Characters>14833</Characters>
  <Application>Microsoft Office Word</Application>
  <DocSecurity>0</DocSecurity>
  <Lines>593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16914</CharactersWithSpaces>
  <SharedDoc>false</SharedDoc>
  <HLinks>
    <vt:vector size="48" baseType="variant">
      <vt:variant>
        <vt:i4>1572927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_Toc418618202</vt:lpwstr>
      </vt:variant>
      <vt:variant>
        <vt:i4>1572927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_Toc418618201</vt:lpwstr>
      </vt:variant>
      <vt:variant>
        <vt:i4>1572927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_Toc418618200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_Toc418618199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_Toc418618198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_Toc418618197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_Toc418618196</vt:lpwstr>
      </vt:variant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17</cp:revision>
  <cp:lastPrinted>2015-05-06T07:40:00Z</cp:lastPrinted>
  <dcterms:created xsi:type="dcterms:W3CDTF">2015-05-12T13:07:00Z</dcterms:created>
  <dcterms:modified xsi:type="dcterms:W3CDTF">2015-05-20T08:08:00Z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</Properties>
</file>