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0B" w:rsidRDefault="00EA357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5D1487D51CB42A4A939771166A38A58" style="width:450.7pt;height:379.65pt">
            <v:imagedata r:id="rId9" o:title=""/>
          </v:shape>
        </w:pict>
      </w:r>
    </w:p>
    <w:bookmarkEnd w:id="0"/>
    <w:p w:rsidR="00277B0B" w:rsidRDefault="00277B0B">
      <w:pPr>
        <w:rPr>
          <w:noProof/>
        </w:rPr>
        <w:sectPr w:rsidR="00277B0B">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rsidR="00277B0B" w:rsidRDefault="00EA3578">
      <w:pPr>
        <w:pStyle w:val="SubTitle1"/>
        <w:rPr>
          <w:noProof/>
          <w:sz w:val="28"/>
          <w:szCs w:val="28"/>
        </w:rPr>
      </w:pPr>
      <w:r>
        <w:rPr>
          <w:noProof/>
          <w:sz w:val="28"/>
        </w:rPr>
        <w:lastRenderedPageBreak/>
        <w:t>Príloha 1</w:t>
      </w:r>
    </w:p>
    <w:p w:rsidR="00277B0B" w:rsidRDefault="00EA3578">
      <w:pPr>
        <w:pStyle w:val="SubTitle1"/>
        <w:rPr>
          <w:noProof/>
          <w:sz w:val="28"/>
          <w:szCs w:val="28"/>
        </w:rPr>
      </w:pPr>
      <w:r>
        <w:rPr>
          <w:noProof/>
          <w:sz w:val="28"/>
        </w:rPr>
        <w:t>Spoločná dohoda Európskeho parlamentu, Rady a Komisie o delegovaných aktoch</w:t>
      </w:r>
    </w:p>
    <w:p w:rsidR="00277B0B" w:rsidRDefault="00EA3578">
      <w:pPr>
        <w:pStyle w:val="SectionTitle"/>
        <w:rPr>
          <w:noProof/>
        </w:rPr>
      </w:pPr>
      <w:r>
        <w:rPr>
          <w:noProof/>
        </w:rPr>
        <w:t xml:space="preserve">I. Rozsah </w:t>
      </w:r>
      <w:r>
        <w:rPr>
          <w:noProof/>
        </w:rPr>
        <w:t>pôsobnosti a všeobecné zásady</w:t>
      </w:r>
    </w:p>
    <w:p w:rsidR="00277B0B" w:rsidRDefault="00EA3578">
      <w:pPr>
        <w:pStyle w:val="NumPar1"/>
        <w:rPr>
          <w:noProof/>
        </w:rPr>
      </w:pPr>
      <w:r>
        <w:rPr>
          <w:noProof/>
        </w:rPr>
        <w:t>Táto spoločná dohoda rozvíja a nahrádza spoločnú dohodu z roku 2011 a zjednodušuje postup, ktorý v nadväznosti na ňu ustanovili Európsky parlament a Rada. V tejto spoločnej dohode sa stanovujú praktické opatrenia a dohodnuté u</w:t>
      </w:r>
      <w:r>
        <w:rPr>
          <w:noProof/>
        </w:rPr>
        <w:t>presnenia, ako aj priority uplatniteľné pre delegovania legislatívnych právomocí podľa článku 290 Zmluvy o fungovaní Európskej únie (ďalej len „ZFEÚ“). V tomto článku ZFEÚ sa stanovuje, že v každom legislatívnom akte, prostredníctvom ktorého dochádza ku de</w:t>
      </w:r>
      <w:r>
        <w:rPr>
          <w:noProof/>
        </w:rPr>
        <w:t>legácii, sa musia výslovne vymedziť ciele, obsah, rozsah a trvanie tohto delegovania (ďalej len „základný akt“).</w:t>
      </w:r>
    </w:p>
    <w:p w:rsidR="00277B0B" w:rsidRDefault="00EA3578">
      <w:pPr>
        <w:pStyle w:val="NumPar1"/>
        <w:rPr>
          <w:noProof/>
        </w:rPr>
      </w:pPr>
      <w:r>
        <w:rPr>
          <w:noProof/>
        </w:rPr>
        <w:t>Uvedené tri inštitúcie v rámci výkonu svojich právomocí a v súlade s postupmi ustanovenými v ZFEÚ budú v rámci celého legislatívneho postupu sp</w:t>
      </w:r>
      <w:r>
        <w:rPr>
          <w:noProof/>
        </w:rPr>
        <w:t xml:space="preserve">olupracovať v záujme hladkého výkonu delegovanej právomoci a účinnej kontroly tejto právomoci zo strany Európskeho parlamentu a Rady. Na tento účel sa budú udržiavať príslušné kontakty na administratívnej úrovni. </w:t>
      </w:r>
    </w:p>
    <w:p w:rsidR="00277B0B" w:rsidRDefault="00EA3578">
      <w:pPr>
        <w:pStyle w:val="NumPar1"/>
        <w:rPr>
          <w:noProof/>
        </w:rPr>
      </w:pPr>
      <w:r>
        <w:rPr>
          <w:noProof/>
        </w:rPr>
        <w:t>Uvedené inštitúcie v závislosti od postupu</w:t>
      </w:r>
      <w:r>
        <w:rPr>
          <w:noProof/>
        </w:rPr>
        <w:t xml:space="preserve"> prijímania, ktorý je stanovený pre príslušný základný akt, sa pri navrhovaní delegovania alebo samotnom delegovaní právomoci podľa článku 290 ZFEÚ zaväzujú v maximálnej možnej miere používať štandardné ustanovenia pripojené k tejto spoločnej dohode. </w:t>
      </w:r>
    </w:p>
    <w:p w:rsidR="00277B0B" w:rsidRDefault="00EA3578">
      <w:pPr>
        <w:pStyle w:val="SectionTitle"/>
        <w:rPr>
          <w:noProof/>
        </w:rPr>
      </w:pPr>
      <w:r>
        <w:rPr>
          <w:noProof/>
        </w:rPr>
        <w:t xml:space="preserve">II. </w:t>
      </w:r>
      <w:r>
        <w:rPr>
          <w:noProof/>
        </w:rPr>
        <w:t>Kritériá na uplatnenie článkov 290 a 291 ZFEÚ</w:t>
      </w:r>
    </w:p>
    <w:p w:rsidR="00277B0B" w:rsidRDefault="00EA3578">
      <w:pPr>
        <w:pStyle w:val="NumPar1"/>
        <w:rPr>
          <w:noProof/>
        </w:rPr>
      </w:pPr>
      <w:r>
        <w:rPr>
          <w:noProof/>
        </w:rPr>
        <w:t>Pokiaľ ide o určenie, či sa má na udelenie právomoci použiť ako právny základ článok 290 ZFEÚ a prijať delegovaný akt, resp,. sa má použiť článok 291 ods. 2 ZFEÚ a prijať vykonávací akt, použijú sa kritériá v ď</w:t>
      </w:r>
      <w:r>
        <w:rPr>
          <w:noProof/>
        </w:rPr>
        <w:t>alej uvedených bodoch tejto spoločnej dohody. V každom jednotlivom prípade je potrebné do úvahy zobrať povahu, obsah a kontext pripravovaného opatrenia. Tieto kritériá by sa nemali považovať za taxatívne.</w:t>
      </w:r>
    </w:p>
    <w:p w:rsidR="00277B0B" w:rsidRDefault="00EA3578">
      <w:pPr>
        <w:pStyle w:val="NumPar1"/>
        <w:rPr>
          <w:noProof/>
        </w:rPr>
      </w:pPr>
      <w:r>
        <w:rPr>
          <w:noProof/>
        </w:rPr>
        <w:t>V zmysle článkov 290 a 2</w:t>
      </w:r>
      <w:bookmarkStart w:id="1" w:name="_GoBack"/>
      <w:bookmarkEnd w:id="1"/>
      <w:r>
        <w:rPr>
          <w:noProof/>
        </w:rPr>
        <w:t>91 zmluvy možno delegovať i</w:t>
      </w:r>
      <w:r>
        <w:rPr>
          <w:noProof/>
        </w:rPr>
        <w:t>ba právomoc prijímať právne záväzné opatrenia.</w:t>
      </w:r>
    </w:p>
    <w:p w:rsidR="00277B0B" w:rsidRDefault="00EA3578">
      <w:pPr>
        <w:pStyle w:val="NumPar1"/>
        <w:rPr>
          <w:noProof/>
        </w:rPr>
      </w:pPr>
      <w:r>
        <w:rPr>
          <w:noProof/>
        </w:rPr>
        <w:t>Legislatívnym aktom možno na Komisiu previesť iba právomoc prijímať nelegislatívne akty so všeobecnou pôsobnosťou prostredníctvom delegovaných aktov. Opatrenia s individuálnou pôsobnosťou nemožno prijať prostr</w:t>
      </w:r>
      <w:r>
        <w:rPr>
          <w:noProof/>
        </w:rPr>
        <w:t>edníctvom delegovaných aktov, ale môžu sa prijať prostredníctvom vykonávacích aktov. Akt má všeobecnú platnosť, ak sa vzťahuje na objektívne určené situácie a má právne účinky, pokiaľ ide o určité kategórie osôb, resp. vo všeobecnosti.</w:t>
      </w:r>
    </w:p>
    <w:p w:rsidR="00277B0B" w:rsidRDefault="00EA3578">
      <w:pPr>
        <w:pStyle w:val="NumPar1"/>
        <w:rPr>
          <w:noProof/>
        </w:rPr>
      </w:pPr>
      <w:r>
        <w:rPr>
          <w:noProof/>
        </w:rPr>
        <w:t>Legislatívne akty mo</w:t>
      </w:r>
      <w:r>
        <w:rPr>
          <w:noProof/>
        </w:rPr>
        <w:t>žno zmeniť len prostredníctvom legislatívnych alebo delegovaných aktov. Toto platí aj pre zmenu príloh právnych aktov, pretože prílohy sú neoddeliteľnou súčasťou právneho aktu. Prílohy sa nemajú do aktu dopĺňať alebo z aktu vypúšťať s cieľom iniciovať použ</w:t>
      </w:r>
      <w:r>
        <w:rPr>
          <w:noProof/>
        </w:rPr>
        <w:t xml:space="preserve">itie delegovaných aktov, resp. sa ich </w:t>
      </w:r>
      <w:r>
        <w:rPr>
          <w:noProof/>
        </w:rPr>
        <w:lastRenderedPageBreak/>
        <w:t>použitiu vyhnúť. Ak sa zákonodarca nazdáva, že by istý text mal byť neoddeliteľnou súčasťou základného aktu, môže sa rozhodnúť zahrnúť tento text do prílohy.</w:t>
      </w:r>
    </w:p>
    <w:p w:rsidR="00277B0B" w:rsidRDefault="00EA3578">
      <w:pPr>
        <w:pStyle w:val="NumPar1"/>
        <w:rPr>
          <w:noProof/>
        </w:rPr>
      </w:pPr>
      <w:r>
        <w:rPr>
          <w:noProof/>
        </w:rPr>
        <w:t>Základné prvky právnych predpisov musia byť stanovené zákonodarcom a nemôžu byť predmetom delegovaného alebo vykonávacieho aktu. Opatrenia stanovujúce ďalšie substantívne pravidlá a kritériá, ktoré musia splniť členské štáty alebo iné osoby či subjekty, kt</w:t>
      </w:r>
      <w:r>
        <w:rPr>
          <w:noProof/>
        </w:rPr>
        <w:t>orých sa právne predpisy priamo týkajú – menia vo svojej podstate obsah právnych predpisov a predstavujú doplnenie nových všeobecne záväzných predpisov. Z tohto dôvodu sa môže vytvorenie takýchto ďalších pravidiel alebo kritérií stanoviť iba prostredníctvo</w:t>
      </w:r>
      <w:r>
        <w:rPr>
          <w:noProof/>
        </w:rPr>
        <w:t xml:space="preserve">m delegovaného aktu. </w:t>
      </w:r>
    </w:p>
    <w:p w:rsidR="00277B0B" w:rsidRDefault="00EA3578">
      <w:pPr>
        <w:pStyle w:val="NumPar1"/>
        <w:rPr>
          <w:noProof/>
        </w:rPr>
      </w:pPr>
      <w:r>
        <w:rPr>
          <w:noProof/>
        </w:rPr>
        <w:t>Naproti tomu vykonanie pravidiel alebo kritérií už ustanovených v základnom akte alebo delegovanom akte môže byť, a to bez toho, aby sa zmenila podstata práv alebo povinností plynúcich zo základného alebo delegovaného aktu, realizovan</w:t>
      </w:r>
      <w:r>
        <w:rPr>
          <w:noProof/>
        </w:rPr>
        <w:t xml:space="preserve">é prostredníctvom vykonávacích aktov. Najmä v prípadoch, keď sa rozhodnutie Komisie o udelení súhlasu v plnej miere opiera o kritériá obsiahnuté v základnom akte, sa takéto rozhodnutia považujú za vykonávacie akty. </w:t>
      </w:r>
    </w:p>
    <w:p w:rsidR="00277B0B" w:rsidRDefault="00EA3578">
      <w:pPr>
        <w:pStyle w:val="NumPar1"/>
        <w:rPr>
          <w:noProof/>
        </w:rPr>
      </w:pPr>
      <w:r>
        <w:rPr>
          <w:noProof/>
        </w:rPr>
        <w:t>Opatrenia ustanovujúce postup (t. j. spô</w:t>
      </w:r>
      <w:r>
        <w:rPr>
          <w:noProof/>
        </w:rPr>
        <w:t>sob vykonávania alebo presadzovania) sa môžu stanoviť v delegovanom alebo vykonávacom akte (alebo môžu byť dokonca podstatným prvkom základného aktu), a to v závislosti od povahy, obsahu a kontextu ustanovení uvedených v základnom akte. Opatrenia ustanovuj</w:t>
      </w:r>
      <w:r>
        <w:rPr>
          <w:noProof/>
        </w:rPr>
        <w:t>úce prvky postupov, zahrňujúce ďalšie nepodstatné politické rozhodnutia s cieľom doplniť legislatívny rámec ustanovený v základnom akte, by sa vo všeobecnosti mali stanovovať v delegovaných aktoch. Opatrenia stanovujúce podrobnosti postupov s cieľom zabezp</w:t>
      </w:r>
      <w:r>
        <w:rPr>
          <w:noProof/>
        </w:rPr>
        <w:t>ečiť jednotné podmienky vykonávania povinnosti ustanovenej v základnom akte by vo všeobecnosti mali byť vykonávacími opatreniami;</w:t>
      </w:r>
    </w:p>
    <w:p w:rsidR="00277B0B" w:rsidRDefault="00EA3578">
      <w:pPr>
        <w:pStyle w:val="NumPar1"/>
        <w:rPr>
          <w:noProof/>
        </w:rPr>
      </w:pPr>
      <w:r>
        <w:rPr>
          <w:noProof/>
        </w:rPr>
        <w:t>Rovnako ako v prípade postupov, aj pokiaľ ide o udelenie právomoci na určenie metód (t. j. spôsobov pravidelného a systematick</w:t>
      </w:r>
      <w:r>
        <w:rPr>
          <w:noProof/>
        </w:rPr>
        <w:t>ého postupu v určitej veci) alebo metodológie (t. j. pravidiel na určenie metód), sa tieto môžu stanoviť v delegovaných alebo vykonávacích aktoch, v závislosti od obsahu a kontextu.</w:t>
      </w:r>
    </w:p>
    <w:p w:rsidR="00277B0B" w:rsidRDefault="00EA3578">
      <w:pPr>
        <w:pStyle w:val="NumPar1"/>
        <w:rPr>
          <w:noProof/>
        </w:rPr>
      </w:pPr>
      <w:r>
        <w:rPr>
          <w:noProof/>
        </w:rPr>
        <w:t>Opatrenie, ktorým sa určuje druh informácií, ktoré sa majú podľa základnéh</w:t>
      </w:r>
      <w:r>
        <w:rPr>
          <w:noProof/>
        </w:rPr>
        <w:t xml:space="preserve">o aktu poskytnúť (t. j. presný obsah informácií požadovaných v základnom akte), vo všeobecnosti dopĺňa povinnosť poskytovať informácie a malo by sa realizovať prostredníctvom delegovaného aktu. </w:t>
      </w:r>
    </w:p>
    <w:p w:rsidR="00277B0B" w:rsidRDefault="00EA3578">
      <w:pPr>
        <w:pStyle w:val="NumPar1"/>
        <w:rPr>
          <w:noProof/>
        </w:rPr>
      </w:pPr>
      <w:r>
        <w:rPr>
          <w:noProof/>
        </w:rPr>
        <w:t>Opatrenie určujúce mechanizmus poskytovania informácií (t. j.</w:t>
      </w:r>
      <w:r>
        <w:rPr>
          <w:noProof/>
        </w:rPr>
        <w:t xml:space="preserve"> jej formát) obvykle nerozširuje povinnosť poskytovať informácie, ale umožňuje jej jednotné uplatňovanie. Takéto opatrenie by sa preto malo vo všeobecnosti realizovať prostredníctvom vykonávacieho aktu.</w:t>
      </w:r>
    </w:p>
    <w:p w:rsidR="00277B0B" w:rsidRDefault="00EA3578">
      <w:pPr>
        <w:pStyle w:val="NumPar1"/>
        <w:rPr>
          <w:noProof/>
        </w:rPr>
      </w:pPr>
      <w:r>
        <w:rPr>
          <w:noProof/>
        </w:rPr>
        <w:t>Ročné a viacročné pracovné programy, ktorými sa vykon</w:t>
      </w:r>
      <w:r>
        <w:rPr>
          <w:noProof/>
        </w:rPr>
        <w:t xml:space="preserve">ávajú finančné nástroje, by sa mali prijímať prostredníctvom vykonávacích aktov. </w:t>
      </w:r>
    </w:p>
    <w:p w:rsidR="00277B0B" w:rsidRDefault="00EA3578">
      <w:pPr>
        <w:pStyle w:val="SectionTitle"/>
        <w:rPr>
          <w:noProof/>
        </w:rPr>
      </w:pPr>
      <w:r>
        <w:rPr>
          <w:noProof/>
        </w:rPr>
        <w:lastRenderedPageBreak/>
        <w:t>III. Konzultácie v rámci prípravy a vypracúvania delegovaných aktov</w:t>
      </w:r>
    </w:p>
    <w:p w:rsidR="00277B0B" w:rsidRDefault="00EA3578">
      <w:pPr>
        <w:pStyle w:val="NumPar1"/>
        <w:rPr>
          <w:noProof/>
        </w:rPr>
      </w:pPr>
      <w:r>
        <w:rPr>
          <w:noProof/>
        </w:rPr>
        <w:t>Komisia bude pri príprave návrhov delegovaných aktov uskutočňovať konzultácie s odborníkmi určenými všetký</w:t>
      </w:r>
      <w:r>
        <w:rPr>
          <w:noProof/>
        </w:rPr>
        <w:t>mi členskými štátmi. Útvary Komisie s odborníkmi z členských štátov uskutočnia konzultácie o návrhoch delegovaných aktov, ktoré tieto útvary vypracovali. Komisia poskytne vypracované návrhy odborníkom z členských štátov. Tieto konzultácie sa uskutočnia pro</w:t>
      </w:r>
      <w:r>
        <w:rPr>
          <w:noProof/>
        </w:rPr>
        <w:t xml:space="preserve">stredníctvom existujúcich expertných skupín, resp. prostredníctvom stretnutí </w:t>
      </w:r>
      <w:r>
        <w:rPr>
          <w:i/>
          <w:noProof/>
        </w:rPr>
        <w:t>ad hoc</w:t>
      </w:r>
      <w:r>
        <w:rPr>
          <w:noProof/>
        </w:rPr>
        <w:t xml:space="preserve"> s odborníkmi z členských štátov, na ktoré Komisia pozve týchto odborníkov prostredníctvom stálych zastúpení. O tom, ktorí odborníci sa zúčastnia, rozhodujú členské štáty. O</w:t>
      </w:r>
      <w:r>
        <w:rPr>
          <w:noProof/>
        </w:rPr>
        <w:t xml:space="preserve">dborníkom budú poskytnuté príslušné dokumenty v dostatočnom časovom predstihu na prípravu. </w:t>
      </w:r>
    </w:p>
    <w:p w:rsidR="00277B0B" w:rsidRDefault="00EA3578">
      <w:pPr>
        <w:pStyle w:val="NumPar1"/>
        <w:rPr>
          <w:noProof/>
        </w:rPr>
      </w:pPr>
      <w:r>
        <w:rPr>
          <w:noProof/>
        </w:rPr>
        <w:t xml:space="preserve">Na konci každého stretnutia s odborníkmi z členských štátov alebo v nadväznosti na takéto stretnutia útvary Komisie uvedú závery, ktoré vyvstali z rokovaní, ako aj </w:t>
      </w:r>
      <w:r>
        <w:rPr>
          <w:noProof/>
        </w:rPr>
        <w:t xml:space="preserve">svoj ďalší postup. Tieto závery budú zaznamenané v zápisnici zo schôdze. </w:t>
      </w:r>
    </w:p>
    <w:p w:rsidR="00277B0B" w:rsidRDefault="00EA3578">
      <w:pPr>
        <w:pStyle w:val="NumPar1"/>
        <w:rPr>
          <w:noProof/>
        </w:rPr>
      </w:pPr>
      <w:r>
        <w:rPr>
          <w:noProof/>
        </w:rPr>
        <w:t>Pri príprave a vypracúvaní delegovaných aktov sa môžu uskutočniť aj konzultácie so zainteresovanými stranami. V prípade, že sa v návrhu delegovaného aktu po takýchto konzultáciách us</w:t>
      </w:r>
      <w:r>
        <w:rPr>
          <w:noProof/>
        </w:rPr>
        <w:t xml:space="preserve">kutočnia akékoľvek zásadné zmeny, odborníci z členských štátov budú mať príležitosť reagovať na zmenené znenie návrhu delegovaného aktu, a to v prípade potreby v písomnej podobe. </w:t>
      </w:r>
    </w:p>
    <w:p w:rsidR="00277B0B" w:rsidRDefault="00EA3578">
      <w:pPr>
        <w:pStyle w:val="NumPar1"/>
        <w:rPr>
          <w:noProof/>
        </w:rPr>
      </w:pPr>
      <w:r>
        <w:rPr>
          <w:noProof/>
        </w:rPr>
        <w:t>Dôvodová správa k delegovanému aktu bude obsahovať aj časť, ktorej predmetom</w:t>
      </w:r>
      <w:r>
        <w:rPr>
          <w:noProof/>
        </w:rPr>
        <w:t xml:space="preserve"> bude zhrnutie konzultačného procesu.</w:t>
      </w:r>
    </w:p>
    <w:p w:rsidR="00277B0B" w:rsidRDefault="00EA3578">
      <w:pPr>
        <w:pStyle w:val="NumPar1"/>
        <w:rPr>
          <w:noProof/>
        </w:rPr>
      </w:pPr>
      <w:r>
        <w:rPr>
          <w:noProof/>
        </w:rPr>
        <w:t xml:space="preserve">Komisia v pravidelných intervaloch poskytne orientačný prehľad plánovaných delegovaných aktov. </w:t>
      </w:r>
    </w:p>
    <w:p w:rsidR="00277B0B" w:rsidRDefault="00EA3578">
      <w:pPr>
        <w:pStyle w:val="NumPar1"/>
        <w:rPr>
          <w:noProof/>
        </w:rPr>
      </w:pPr>
      <w:r>
        <w:rPr>
          <w:noProof/>
        </w:rPr>
        <w:t>Pri príprave a vypracúvaní delegovaných aktov Komisia zabezpečí, aby sa návrhy aktov včas a súčasne postúpili Európskemu p</w:t>
      </w:r>
      <w:r>
        <w:rPr>
          <w:noProof/>
        </w:rPr>
        <w:t>arlamentu a Rade.</w:t>
      </w:r>
    </w:p>
    <w:p w:rsidR="00277B0B" w:rsidRDefault="00EA3578">
      <w:pPr>
        <w:pStyle w:val="NumPar1"/>
        <w:rPr>
          <w:noProof/>
        </w:rPr>
      </w:pPr>
      <w:r>
        <w:rPr>
          <w:noProof/>
        </w:rPr>
        <w:t>V súlade s bodom 15 Rámcovej dohody o vzťahoch medzi Európskym parlamentom a Európskou komisiou</w:t>
      </w:r>
      <w:r>
        <w:rPr>
          <w:rStyle w:val="FootnoteReference"/>
          <w:noProof/>
        </w:rPr>
        <w:footnoteReference w:id="1"/>
      </w:r>
      <w:r>
        <w:rPr>
          <w:noProof/>
        </w:rPr>
        <w:t xml:space="preserve">, ak o to Európsky parlament požiada, Komisia môže tiež pozvať na zasadnutia skupín odborníkov aj odborníkov, ktorých určil Európsky </w:t>
      </w:r>
      <w:r>
        <w:rPr>
          <w:noProof/>
        </w:rPr>
        <w:t>parlament. Na uľahčenie tohto procesu predseda príslušného parlamentného výboru môže požiadať Komisiu, aby poskytla plán zasadnutí expertných skupín zaoberajúcich sa návrhmi delegovaných aktov na najbližšie mesiace, na základe ktorého môže tento predseda n</w:t>
      </w:r>
      <w:r>
        <w:rPr>
          <w:noProof/>
        </w:rPr>
        <w:t>ásledne prostredníctvom jedného listu požiadať, aby sa na viacerých nadchádzajúcich stretnutiach odborníkov mohli zúčastniť aj odborníci z Európskeho parlamentu.</w:t>
      </w:r>
    </w:p>
    <w:p w:rsidR="00277B0B" w:rsidRDefault="00EA3578">
      <w:pPr>
        <w:pStyle w:val="NumPar1"/>
        <w:rPr>
          <w:noProof/>
        </w:rPr>
      </w:pPr>
      <w:r>
        <w:rPr>
          <w:noProof/>
        </w:rPr>
        <w:t xml:space="preserve">Na účely zasielania dokumentov v súvislosti s konzultáciami Európsky parlament a Rada oznámia </w:t>
      </w:r>
      <w:r>
        <w:rPr>
          <w:noProof/>
        </w:rPr>
        <w:t>Komisii svoje funkčné schránky pre elektronickú poštu.</w:t>
      </w:r>
    </w:p>
    <w:p w:rsidR="00277B0B" w:rsidRDefault="00EA3578">
      <w:pPr>
        <w:pStyle w:val="SectionTitle"/>
        <w:rPr>
          <w:noProof/>
        </w:rPr>
      </w:pPr>
      <w:r>
        <w:rPr>
          <w:noProof/>
        </w:rPr>
        <w:t>IV. Dojednania týkajúce sa zasielania dokumentov a výpočtu období</w:t>
      </w:r>
    </w:p>
    <w:p w:rsidR="00277B0B" w:rsidRDefault="00EA3578">
      <w:pPr>
        <w:pStyle w:val="NumPar1"/>
        <w:rPr>
          <w:noProof/>
        </w:rPr>
      </w:pPr>
      <w:r>
        <w:rPr>
          <w:noProof/>
        </w:rPr>
        <w:t>Komisia oficiálne zasiela delegované akty Európskemu parlamentu a Rade prostredníctvom vhodného mechanizmu. S utajovanými dokumentmi sa</w:t>
      </w:r>
      <w:r>
        <w:rPr>
          <w:noProof/>
        </w:rPr>
        <w:t xml:space="preserve"> zaobchádza v súlade s internými administratívnymi postupmi vypracovanými každou inštitúciou tak, aby poskytovali všetky potrebné záruky. </w:t>
      </w:r>
    </w:p>
    <w:p w:rsidR="00277B0B" w:rsidRDefault="00EA3578">
      <w:pPr>
        <w:pStyle w:val="NumPar1"/>
        <w:rPr>
          <w:noProof/>
        </w:rPr>
      </w:pPr>
      <w:r>
        <w:rPr>
          <w:noProof/>
        </w:rPr>
        <w:t>Aby sa zabezpečilo, že Európsky parlament a Rada môžu vykonávať svoje práva ustanovené v článku 290 ZFEÚ v lehotách s</w:t>
      </w:r>
      <w:r>
        <w:rPr>
          <w:noProof/>
        </w:rPr>
        <w:t>tanovených v každom základnom akte, Komisia nebude zasielať žiadne delegované akty v týchto obdobiach:</w:t>
      </w:r>
    </w:p>
    <w:p w:rsidR="00277B0B" w:rsidRDefault="00EA3578">
      <w:pPr>
        <w:pStyle w:val="ListDash1"/>
        <w:rPr>
          <w:noProof/>
        </w:rPr>
      </w:pPr>
      <w:r>
        <w:rPr>
          <w:noProof/>
        </w:rPr>
        <w:t>od 22. decembra do 6. januára,</w:t>
      </w:r>
    </w:p>
    <w:p w:rsidR="00277B0B" w:rsidRDefault="00EA3578">
      <w:pPr>
        <w:pStyle w:val="ListDash1"/>
        <w:rPr>
          <w:noProof/>
        </w:rPr>
      </w:pPr>
      <w:r>
        <w:rPr>
          <w:noProof/>
        </w:rPr>
        <w:t>od 15. júla do 20. augusta.</w:t>
      </w:r>
    </w:p>
    <w:p w:rsidR="00277B0B" w:rsidRDefault="00EA3578">
      <w:pPr>
        <w:rPr>
          <w:noProof/>
        </w:rPr>
      </w:pPr>
      <w:r>
        <w:rPr>
          <w:noProof/>
        </w:rPr>
        <w:t xml:space="preserve">Tieto obdobia platia len v tom prípade, že lehota na vznesenie námietok vychádza z bodu </w:t>
      </w:r>
      <w:r>
        <w:rPr>
          <w:noProof/>
        </w:rPr>
        <w:fldChar w:fldCharType="begin"/>
      </w:r>
      <w:r>
        <w:rPr>
          <w:noProof/>
        </w:rPr>
        <w:instrText xml:space="preserve"> REF _</w:instrText>
      </w:r>
      <w:r>
        <w:rPr>
          <w:noProof/>
        </w:rPr>
        <w:instrText xml:space="preserve">Ref418595729 \r \h </w:instrText>
      </w:r>
      <w:r>
        <w:rPr>
          <w:noProof/>
        </w:rPr>
      </w:r>
      <w:r>
        <w:rPr>
          <w:noProof/>
        </w:rPr>
        <w:fldChar w:fldCharType="separate"/>
      </w:r>
      <w:r>
        <w:rPr>
          <w:noProof/>
        </w:rPr>
        <w:t>28</w:t>
      </w:r>
      <w:r>
        <w:rPr>
          <w:noProof/>
        </w:rPr>
        <w:fldChar w:fldCharType="end"/>
      </w:r>
      <w:r>
        <w:rPr>
          <w:noProof/>
        </w:rPr>
        <w:t xml:space="preserve">. </w:t>
      </w:r>
    </w:p>
    <w:p w:rsidR="00277B0B" w:rsidRDefault="00EA3578">
      <w:pPr>
        <w:rPr>
          <w:noProof/>
        </w:rPr>
      </w:pPr>
      <w:r>
        <w:rPr>
          <w:noProof/>
        </w:rPr>
        <w:t>Tieto obdobia neplatia v prípade delegovaných aktov prijatých v rámci postupu pre naliehavé prípady v zmysle časti VII tejto spoločnej dohody. V prípade, že sa počas</w:t>
      </w:r>
      <w:r>
        <w:rPr>
          <w:noProof/>
        </w:rPr>
        <w:t xml:space="preserve"> niektorého z týchto období prijme určitý delegovaný akt postupom pre naliehavé prípady, lehota na vznesenie námietok stanovená v základnom akte začne plynúť až po skončení tohto obdobia.</w:t>
      </w:r>
    </w:p>
    <w:p w:rsidR="00277B0B" w:rsidRDefault="00EA3578">
      <w:pPr>
        <w:rPr>
          <w:noProof/>
        </w:rPr>
      </w:pPr>
      <w:r>
        <w:rPr>
          <w:noProof/>
        </w:rPr>
        <w:t>Uvedené tri inštitúcie sa do októbra roku, ktorý predchádza voľbám d</w:t>
      </w:r>
      <w:r>
        <w:rPr>
          <w:noProof/>
        </w:rPr>
        <w:t xml:space="preserve">o Európskeho parlamentu, dohodnú na mechanizme oznamovania delegovaných aktov počas prestávky pred voľbami. </w:t>
      </w:r>
    </w:p>
    <w:p w:rsidR="00277B0B" w:rsidRDefault="00EA3578">
      <w:pPr>
        <w:pStyle w:val="NumPar1"/>
        <w:rPr>
          <w:noProof/>
        </w:rPr>
      </w:pPr>
      <w:r>
        <w:rPr>
          <w:noProof/>
        </w:rPr>
        <w:t>Obdobie na vznesenie námietok sa začína, keď sa Európskemu parlamentu a Rade doručili znenia delegovaného aktu vo všetkých úradných jazykoch.</w:t>
      </w:r>
    </w:p>
    <w:p w:rsidR="00277B0B" w:rsidRDefault="00EA3578">
      <w:pPr>
        <w:pStyle w:val="SectionTitle"/>
        <w:rPr>
          <w:noProof/>
        </w:rPr>
      </w:pPr>
      <w:r>
        <w:rPr>
          <w:noProof/>
        </w:rPr>
        <w:t>V. Tr</w:t>
      </w:r>
      <w:r>
        <w:rPr>
          <w:noProof/>
        </w:rPr>
        <w:t>vanie delegovania</w:t>
      </w:r>
    </w:p>
    <w:p w:rsidR="00277B0B" w:rsidRDefault="00EA3578">
      <w:pPr>
        <w:pStyle w:val="NumPar1"/>
        <w:rPr>
          <w:noProof/>
        </w:rPr>
      </w:pPr>
      <w:r>
        <w:rPr>
          <w:noProof/>
        </w:rPr>
        <w:t xml:space="preserve">V základnom akte sa môže Komisia splnomocniť na prijímanie delegovaných aktov na dobu neurčitú, resp. určitú. </w:t>
      </w:r>
    </w:p>
    <w:p w:rsidR="00277B0B" w:rsidRDefault="00EA3578">
      <w:pPr>
        <w:pStyle w:val="NumPar1"/>
        <w:rPr>
          <w:noProof/>
        </w:rPr>
      </w:pPr>
      <w:r>
        <w:rPr>
          <w:noProof/>
        </w:rPr>
        <w:t>V prípade, že bola stanovená doba určitá, v základnom akte by sa malo stanovovať automatické predlžovanie delegovania právomoci</w:t>
      </w:r>
      <w:r>
        <w:rPr>
          <w:noProof/>
        </w:rPr>
        <w:t xml:space="preserve"> na rovnako dlhé obdobia, pokiaľ Európsky parlament alebo Rada nevznesú najneskôr tri mesiace pred koncom každého obdobia voči takémuto predĺženiu námietku. Komisia vypracuje správu týkajúcu sa delegovanej právomoci najneskôr deväť mesiacov pred uplynutím </w:t>
      </w:r>
      <w:r>
        <w:rPr>
          <w:noProof/>
        </w:rPr>
        <w:t>každého takéhoto obdobia. Tento bod nemá vplyv na právo Európskeho parlamentu alebo Rady delegovanie odvolať.</w:t>
      </w:r>
    </w:p>
    <w:p w:rsidR="00277B0B" w:rsidRDefault="00EA3578">
      <w:pPr>
        <w:pStyle w:val="SectionTitle"/>
        <w:rPr>
          <w:noProof/>
        </w:rPr>
      </w:pPr>
      <w:r>
        <w:rPr>
          <w:noProof/>
        </w:rPr>
        <w:t>VI. Lehoty pre Európsky parlament a Radu na vznesenie námietok</w:t>
      </w:r>
    </w:p>
    <w:p w:rsidR="00277B0B" w:rsidRDefault="00EA3578">
      <w:pPr>
        <w:pStyle w:val="NumPar1"/>
        <w:rPr>
          <w:noProof/>
        </w:rPr>
      </w:pPr>
      <w:bookmarkStart w:id="2" w:name="_Ref418595729"/>
      <w:r>
        <w:rPr>
          <w:noProof/>
        </w:rPr>
        <w:t xml:space="preserve">Bez toho, aby bol dotknutý postup pre naliehavé prípady, by mala byť lehota na </w:t>
      </w:r>
      <w:r>
        <w:rPr>
          <w:noProof/>
        </w:rPr>
        <w:t>vznesenie námietok, vymedzená jednotlivo v každom základnom akte, v zásade dva mesiace a nie menej, s tým, že ju možno na podnet Európskeho parlamentu predĺžiť o ďalšie dva mesiace, pričom o dva mesiace ju možno predĺžiť takisto aj na podnet Rady.</w:t>
      </w:r>
      <w:bookmarkEnd w:id="2"/>
    </w:p>
    <w:p w:rsidR="00277B0B" w:rsidRDefault="00EA3578">
      <w:pPr>
        <w:pStyle w:val="NumPar1"/>
        <w:rPr>
          <w:noProof/>
        </w:rPr>
      </w:pPr>
      <w:r>
        <w:rPr>
          <w:noProof/>
        </w:rPr>
        <w:t>Delegova</w:t>
      </w:r>
      <w:r>
        <w:rPr>
          <w:noProof/>
        </w:rPr>
        <w:t xml:space="preserve">ný akt sa však môže uverejniť v </w:t>
      </w:r>
      <w:r>
        <w:rPr>
          <w:i/>
          <w:noProof/>
        </w:rPr>
        <w:t>Úradnom vestníku Európskej únie</w:t>
      </w:r>
      <w:r>
        <w:rPr>
          <w:noProof/>
        </w:rPr>
        <w:t xml:space="preserve"> a nadobudnúť účinnosť pred uplynutím tejto lehoty, ak Európsky parlament aj Rada informovali Komisiu o svojom úmysle nevzniesť námietky.</w:t>
      </w:r>
    </w:p>
    <w:p w:rsidR="00277B0B" w:rsidRDefault="00EA3578">
      <w:pPr>
        <w:pStyle w:val="SectionTitle"/>
        <w:rPr>
          <w:noProof/>
        </w:rPr>
      </w:pPr>
      <w:r>
        <w:rPr>
          <w:noProof/>
        </w:rPr>
        <w:t>VII. Postup pre naliehavé prípady</w:t>
      </w:r>
    </w:p>
    <w:p w:rsidR="00277B0B" w:rsidRDefault="00EA3578">
      <w:pPr>
        <w:pStyle w:val="NumPar1"/>
        <w:rPr>
          <w:noProof/>
        </w:rPr>
      </w:pPr>
      <w:r>
        <w:rPr>
          <w:noProof/>
        </w:rPr>
        <w:t xml:space="preserve">Postup pre naliehavé </w:t>
      </w:r>
      <w:r>
        <w:rPr>
          <w:noProof/>
        </w:rPr>
        <w:t xml:space="preserve">prípady by mal byť vyhradený pre výnimočné situácie, medzi ktoré patria napr. záležitosti bezpečnosti, ochrany zdravia alebo vonkajšie vzťahy vrátane humanitárnych kríz. Dôvody pre uplatnenie postupu pre naliehavé prípady by Európsky parlament a Rada mali </w:t>
      </w:r>
      <w:r>
        <w:rPr>
          <w:noProof/>
        </w:rPr>
        <w:t xml:space="preserve">uviesť v základnom akte. V základnom akte sa uvedú situácie, v ktorých sa použije postup pre naliehavé prípady. </w:t>
      </w:r>
    </w:p>
    <w:p w:rsidR="00277B0B" w:rsidRDefault="00EA3578">
      <w:pPr>
        <w:pStyle w:val="NumPar1"/>
        <w:rPr>
          <w:noProof/>
        </w:rPr>
      </w:pPr>
      <w:r>
        <w:rPr>
          <w:noProof/>
        </w:rPr>
        <w:t>Komisia sa zaväzuje, že bude v plnom rozsahu informovať Európsky parlament a Radu o možnosti prijatia delegovaného aktu podľa postupu pre nalie</w:t>
      </w:r>
      <w:r>
        <w:rPr>
          <w:noProof/>
        </w:rPr>
        <w:t>havé prípady. Keď útvary Komisie dospejú k záveru, že možno predpokladať takúto situáciu, neformálne na to prostredníctvom funkčných schránok elektronickej pošty uvedených v bode 22 upozornia sekretariát Európskeho parlamentu a sekretariát Rady.</w:t>
      </w:r>
    </w:p>
    <w:p w:rsidR="00277B0B" w:rsidRDefault="00EA3578">
      <w:pPr>
        <w:pStyle w:val="NumPar1"/>
        <w:rPr>
          <w:noProof/>
        </w:rPr>
      </w:pPr>
      <w:r>
        <w:rPr>
          <w:noProof/>
        </w:rPr>
        <w:t>Delegovaný</w:t>
      </w:r>
      <w:r>
        <w:rPr>
          <w:noProof/>
        </w:rPr>
        <w:t xml:space="preserve"> akt prijatý postupom pre naliehavé prípady nadobúda účinnosť ihneď a uplatňuje sa, kým sa proti nemu v lehote ustanovenej v základnom akte nevznesie námietka. Ak sa proti nemu vznesie námietka, Komisia na základe oznámenia Európskeho parlamentu alebo Rady</w:t>
      </w:r>
      <w:r>
        <w:rPr>
          <w:noProof/>
        </w:rPr>
        <w:t xml:space="preserve"> o rozhodnutí o vznesení námietky akt ihneď zruší.</w:t>
      </w:r>
    </w:p>
    <w:p w:rsidR="00277B0B" w:rsidRDefault="00EA3578">
      <w:pPr>
        <w:pStyle w:val="NumPar1"/>
        <w:rPr>
          <w:noProof/>
        </w:rPr>
      </w:pPr>
      <w:r>
        <w:rPr>
          <w:noProof/>
        </w:rPr>
        <w:t xml:space="preserve">Komisia pri oznamovaní delegovaného aktu prijatého postupom pre naliehavé prípady Európskemu parlamentu a Rade uvedie aj dôvody pre použitie tohto postupu. </w:t>
      </w:r>
    </w:p>
    <w:p w:rsidR="00277B0B" w:rsidRDefault="00EA3578">
      <w:pPr>
        <w:pStyle w:val="SectionTitle"/>
        <w:rPr>
          <w:noProof/>
        </w:rPr>
      </w:pPr>
      <w:r>
        <w:rPr>
          <w:noProof/>
        </w:rPr>
        <w:t xml:space="preserve">VIII. Uverejnenie v úradnom vestníku </w:t>
      </w:r>
    </w:p>
    <w:p w:rsidR="00277B0B" w:rsidRDefault="00EA3578">
      <w:pPr>
        <w:pStyle w:val="NumPar1"/>
        <w:rPr>
          <w:noProof/>
        </w:rPr>
      </w:pPr>
      <w:r>
        <w:rPr>
          <w:noProof/>
        </w:rPr>
        <w:t>Delegované</w:t>
      </w:r>
      <w:r>
        <w:rPr>
          <w:noProof/>
        </w:rPr>
        <w:t xml:space="preserve"> akty sa uverejňujú v </w:t>
      </w:r>
      <w:r>
        <w:rPr>
          <w:i/>
          <w:noProof/>
        </w:rPr>
        <w:t>Úradnom vestníku Európskej únie</w:t>
      </w:r>
      <w:r>
        <w:rPr>
          <w:noProof/>
        </w:rPr>
        <w:t xml:space="preserve"> v sérii L po uplynutí lehoty na vznesenie námietky s výnimkou situácie uvedenej v bode 29. Delegované akty prijaté postupom pre naliehavé prípady sa uverejňujú bezodkladne. </w:t>
      </w:r>
    </w:p>
    <w:p w:rsidR="00277B0B" w:rsidRDefault="00EA3578">
      <w:pPr>
        <w:pStyle w:val="NumPar1"/>
        <w:rPr>
          <w:noProof/>
        </w:rPr>
      </w:pPr>
      <w:r>
        <w:rPr>
          <w:noProof/>
        </w:rPr>
        <w:t>Bez toho, aby bol dotknutý č</w:t>
      </w:r>
      <w:r>
        <w:rPr>
          <w:noProof/>
        </w:rPr>
        <w:t xml:space="preserve">lánok 297 ZFEÚ platí, že v </w:t>
      </w:r>
      <w:r>
        <w:rPr>
          <w:i/>
          <w:noProof/>
        </w:rPr>
        <w:t>Úradnom vestníku Európskej únie</w:t>
      </w:r>
      <w:r>
        <w:rPr>
          <w:noProof/>
        </w:rPr>
        <w:t xml:space="preserve"> v sérii L sa takisto uverejňujú aj rozhodnutia Európskeho parlamentu a Rady o odvolaní delegovania, o vznesení námietky voči delegovanému aktu prijatému postupom pre naliehavé prípady, resp. o odmi</w:t>
      </w:r>
      <w:r>
        <w:rPr>
          <w:noProof/>
        </w:rPr>
        <w:t xml:space="preserve">etnutí automatického predĺženia delegovania určitej právomoci. Rozhodnutie o odvolaní delegovania nadobúda účinnosť dňom nasledujúcim po jeho uverejnení v </w:t>
      </w:r>
      <w:r>
        <w:rPr>
          <w:i/>
          <w:noProof/>
        </w:rPr>
        <w:t>Úradnom vestníku Európskej únie</w:t>
      </w:r>
      <w:r>
        <w:rPr>
          <w:noProof/>
        </w:rPr>
        <w:t>.</w:t>
      </w:r>
    </w:p>
    <w:p w:rsidR="00277B0B" w:rsidRDefault="00EA3578">
      <w:pPr>
        <w:pStyle w:val="NumPar1"/>
        <w:rPr>
          <w:noProof/>
        </w:rPr>
      </w:pPr>
      <w:r>
        <w:rPr>
          <w:noProof/>
        </w:rPr>
        <w:t xml:space="preserve">Komisia v </w:t>
      </w:r>
      <w:r>
        <w:rPr>
          <w:i/>
          <w:noProof/>
        </w:rPr>
        <w:t>Úradnom vestníku Európskej únie</w:t>
      </w:r>
      <w:r>
        <w:rPr>
          <w:noProof/>
        </w:rPr>
        <w:t xml:space="preserve"> uverejní aj rozhodnutia o </w:t>
      </w:r>
      <w:r>
        <w:rPr>
          <w:noProof/>
        </w:rPr>
        <w:t xml:space="preserve">zrušení delegovaných aktov prijatých postupom pre naliehavé prípady. </w:t>
      </w:r>
    </w:p>
    <w:p w:rsidR="00277B0B" w:rsidRDefault="00EA3578">
      <w:pPr>
        <w:pStyle w:val="SectionTitle"/>
        <w:rPr>
          <w:noProof/>
        </w:rPr>
      </w:pPr>
      <w:r>
        <w:rPr>
          <w:noProof/>
        </w:rPr>
        <w:t>IX. Vzájomná výmena informácií, a to najmä v prípade odvolania delegovania</w:t>
      </w:r>
    </w:p>
    <w:p w:rsidR="00277B0B" w:rsidRDefault="00EA3578">
      <w:pPr>
        <w:pStyle w:val="NumPar1"/>
        <w:rPr>
          <w:noProof/>
        </w:rPr>
      </w:pPr>
      <w:r>
        <w:rPr>
          <w:noProof/>
        </w:rPr>
        <w:t>Európsky parlament a Rada sa pri výkone svojich právomocí v rámci uplatňovania podmienok stanovených v základno</w:t>
      </w:r>
      <w:r>
        <w:rPr>
          <w:noProof/>
        </w:rPr>
        <w:t>m akte navzájom informujú, a takisto informujú aj Komisiu.</w:t>
      </w:r>
    </w:p>
    <w:p w:rsidR="00277B0B" w:rsidRDefault="00EA3578">
      <w:pPr>
        <w:pStyle w:val="NumPar1"/>
        <w:rPr>
          <w:noProof/>
        </w:rPr>
      </w:pPr>
      <w:r>
        <w:rPr>
          <w:noProof/>
        </w:rPr>
        <w:t>Keď Európsky parlament alebo Rada iniciujú postup, ktorý by mohol viesť k odvolaniu delegovania, informujú zvyšné dve inštitúcie najmenej jeden mesiac pred prijatím rozhodnutia o odvolaní delegovan</w:t>
      </w:r>
      <w:r>
        <w:rPr>
          <w:noProof/>
        </w:rPr>
        <w:t>ia.</w:t>
      </w:r>
    </w:p>
    <w:p w:rsidR="00277B0B" w:rsidRDefault="00277B0B">
      <w:pPr>
        <w:rPr>
          <w:noProof/>
        </w:rPr>
        <w:sectPr w:rsidR="00277B0B">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docGrid w:linePitch="326"/>
        </w:sectPr>
      </w:pPr>
    </w:p>
    <w:p w:rsidR="00277B0B" w:rsidRDefault="00EA3578">
      <w:pPr>
        <w:pStyle w:val="SubTitle1"/>
        <w:rPr>
          <w:noProof/>
          <w:sz w:val="28"/>
          <w:szCs w:val="28"/>
        </w:rPr>
      </w:pPr>
      <w:r>
        <w:rPr>
          <w:noProof/>
          <w:sz w:val="28"/>
        </w:rPr>
        <w:t>Príloha 2</w:t>
      </w:r>
    </w:p>
    <w:p w:rsidR="00277B0B" w:rsidRDefault="00EA3578">
      <w:pPr>
        <w:pStyle w:val="SubTitle1"/>
        <w:rPr>
          <w:noProof/>
          <w:sz w:val="28"/>
          <w:szCs w:val="28"/>
        </w:rPr>
      </w:pPr>
      <w:r>
        <w:rPr>
          <w:noProof/>
          <w:sz w:val="28"/>
        </w:rPr>
        <w:t>Štandardné ustanovenia</w:t>
      </w:r>
    </w:p>
    <w:p w:rsidR="00277B0B" w:rsidRDefault="00EA3578">
      <w:pPr>
        <w:jc w:val="center"/>
        <w:rPr>
          <w:b/>
          <w:i/>
          <w:noProof/>
        </w:rPr>
      </w:pPr>
      <w:r>
        <w:rPr>
          <w:b/>
          <w:i/>
          <w:noProof/>
        </w:rPr>
        <w:t>Odôvodnenie:</w:t>
      </w:r>
    </w:p>
    <w:p w:rsidR="00277B0B" w:rsidRDefault="00EA3578">
      <w:pPr>
        <w:rPr>
          <w:noProof/>
        </w:rPr>
      </w:pPr>
      <w:r>
        <w:rPr>
          <w:noProof/>
        </w:rPr>
        <w:t xml:space="preserve">S cieľom [cieľ] by sa mala na Komisiu delegovať právomoc prijímať akty v súlade s článkom 290 Zmluvy o fungovaní </w:t>
      </w:r>
      <w:r>
        <w:rPr>
          <w:noProof/>
        </w:rPr>
        <w:t>Európskej únie, pokiaľ ide o [</w:t>
      </w:r>
      <w:r>
        <w:rPr>
          <w:i/>
          <w:noProof/>
        </w:rPr>
        <w:t>obsah a rozsah</w:t>
      </w:r>
      <w:r>
        <w:rPr>
          <w:noProof/>
        </w:rPr>
        <w:t>]. Je osobitne dôležité, aby Komisia počas prípravných prác uskutočnila príslušné konzultácie, a to aj na úrovni expertov. Pri príprave a vypracúvaní delegovaných aktov by Komisia mala zabezpečiť, aby sa príslušn</w:t>
      </w:r>
      <w:r>
        <w:rPr>
          <w:noProof/>
        </w:rPr>
        <w:t>é dokumenty súčasne, vo vhodnom čase a vhodným spôsobom postúpili Európskemu parlamentu a Rade.</w:t>
      </w:r>
    </w:p>
    <w:p w:rsidR="00277B0B" w:rsidRDefault="00EA3578">
      <w:pPr>
        <w:jc w:val="center"/>
        <w:rPr>
          <w:b/>
          <w:i/>
          <w:noProof/>
        </w:rPr>
      </w:pPr>
      <w:r>
        <w:rPr>
          <w:b/>
          <w:i/>
          <w:noProof/>
        </w:rPr>
        <w:t>Článok, ktorým (články, ktorými) sa deleguje právomoc</w:t>
      </w:r>
    </w:p>
    <w:p w:rsidR="00277B0B" w:rsidRDefault="00EA3578">
      <w:pPr>
        <w:rPr>
          <w:noProof/>
        </w:rPr>
      </w:pPr>
      <w:r>
        <w:rPr>
          <w:noProof/>
        </w:rPr>
        <w:t>Komisia je splnomocnená v súlade s článkom A prijímať delegované akty týkajúce sa [</w:t>
      </w:r>
      <w:r>
        <w:rPr>
          <w:i/>
          <w:noProof/>
        </w:rPr>
        <w:t>obsah a rozsah</w:t>
      </w:r>
      <w:r>
        <w:rPr>
          <w:noProof/>
        </w:rPr>
        <w:t xml:space="preserve">]. </w:t>
      </w:r>
    </w:p>
    <w:p w:rsidR="00277B0B" w:rsidRDefault="00EA3578">
      <w:pPr>
        <w:rPr>
          <w:i/>
          <w:noProof/>
        </w:rPr>
      </w:pPr>
      <w:r>
        <w:rPr>
          <w:i/>
          <w:noProof/>
        </w:rPr>
        <w:t>Ďalej</w:t>
      </w:r>
      <w:r>
        <w:rPr>
          <w:i/>
          <w:noProof/>
        </w:rPr>
        <w:t xml:space="preserve"> uvedený odsek sa doplní, ak sa uplatňuje postup pre naliehavé prípady: </w:t>
      </w:r>
    </w:p>
    <w:p w:rsidR="00277B0B" w:rsidRDefault="00EA3578">
      <w:pPr>
        <w:rPr>
          <w:noProof/>
        </w:rPr>
      </w:pPr>
      <w:r>
        <w:rPr>
          <w:noProof/>
        </w:rPr>
        <w:t>Ak sa to v prípade [obsah a rozsah] vyžaduje z vážnych a naliehavých dôvodov, na delegované akty prijaté podľa tohto článku sa uplatňuje postup stanovený v článku B.</w:t>
      </w:r>
    </w:p>
    <w:p w:rsidR="00277B0B" w:rsidRDefault="00EA3578">
      <w:pPr>
        <w:spacing w:before="240"/>
        <w:jc w:val="center"/>
        <w:rPr>
          <w:b/>
          <w:i/>
          <w:noProof/>
        </w:rPr>
      </w:pPr>
      <w:r>
        <w:rPr>
          <w:b/>
          <w:i/>
          <w:noProof/>
        </w:rPr>
        <w:t>Článok A</w:t>
      </w:r>
      <w:r>
        <w:rPr>
          <w:b/>
          <w:i/>
          <w:noProof/>
        </w:rPr>
        <w:br/>
        <w:t>Vykonáva</w:t>
      </w:r>
      <w:r>
        <w:rPr>
          <w:b/>
          <w:i/>
          <w:noProof/>
        </w:rPr>
        <w:t>nie delegovania právomoci</w:t>
      </w:r>
    </w:p>
    <w:p w:rsidR="00277B0B" w:rsidRDefault="00EA3578">
      <w:pPr>
        <w:pStyle w:val="LegalNumPar"/>
        <w:rPr>
          <w:noProof/>
        </w:rPr>
      </w:pPr>
      <w:r>
        <w:rPr>
          <w:noProof/>
        </w:rPr>
        <w:t xml:space="preserve">Komisii sa udeľuje právomoc prijímať delegované akty za podmienok stanovených v tomto článku. </w:t>
      </w:r>
    </w:p>
    <w:p w:rsidR="00277B0B" w:rsidRDefault="00EA3578">
      <w:pPr>
        <w:pStyle w:val="LegalNumPar"/>
        <w:rPr>
          <w:noProof/>
        </w:rPr>
      </w:pPr>
      <w:r>
        <w:rPr>
          <w:i/>
          <w:noProof/>
        </w:rPr>
        <w:t>[trvanie]</w:t>
      </w:r>
    </w:p>
    <w:p w:rsidR="00277B0B" w:rsidRDefault="00EA3578">
      <w:pPr>
        <w:pStyle w:val="Text1"/>
        <w:rPr>
          <w:i/>
          <w:noProof/>
        </w:rPr>
      </w:pPr>
      <w:r>
        <w:rPr>
          <w:i/>
          <w:noProof/>
        </w:rPr>
        <w:t xml:space="preserve">Možnosť 1: </w:t>
      </w:r>
    </w:p>
    <w:p w:rsidR="00277B0B" w:rsidRDefault="00EA3578">
      <w:pPr>
        <w:pStyle w:val="Text1"/>
        <w:rPr>
          <w:noProof/>
        </w:rPr>
      </w:pPr>
      <w:r>
        <w:rPr>
          <w:noProof/>
        </w:rPr>
        <w:t>Právomoc prijímať delegované akty uvedené v článku (článkoch) sa Komisii udeľuje na dobu neurčitú od *.</w:t>
      </w:r>
    </w:p>
    <w:p w:rsidR="00277B0B" w:rsidRDefault="00EA3578">
      <w:pPr>
        <w:pStyle w:val="Text1"/>
        <w:rPr>
          <w:i/>
          <w:noProof/>
        </w:rPr>
      </w:pPr>
      <w:r>
        <w:rPr>
          <w:i/>
          <w:noProof/>
        </w:rPr>
        <w:t>Možnosť 2</w:t>
      </w:r>
      <w:r>
        <w:rPr>
          <w:i/>
          <w:noProof/>
        </w:rPr>
        <w:t xml:space="preserve">: </w:t>
      </w:r>
    </w:p>
    <w:p w:rsidR="00277B0B" w:rsidRDefault="00EA3578">
      <w:pPr>
        <w:pStyle w:val="Text1"/>
        <w:rPr>
          <w:noProof/>
        </w:rPr>
      </w:pPr>
      <w:r>
        <w:rPr>
          <w:noProof/>
        </w:rPr>
        <w:t>Právomoc prijímať delegované akty uvedené v článku (článkoch) sa Komisii udeľuje na obdobie X rokov od *. Komisia vypracuje správu týkajúcu sa delegovania právomoci najneskôr deväť mesiacov pred uplynutím tohto X-ročného obdobia. Delegovanie právomoci s</w:t>
      </w:r>
      <w:r>
        <w:rPr>
          <w:noProof/>
        </w:rPr>
        <w:t xml:space="preserve">a automaticky predlžuje na rovnako dlhé obdobia, pokiaľ Európsky parlament alebo Rada nevznesú voči takémuto predĺženiu námietku najneskôr tri mesiace pred koncom každého obdobia. </w:t>
      </w:r>
    </w:p>
    <w:p w:rsidR="00277B0B" w:rsidRDefault="00EA3578">
      <w:pPr>
        <w:pStyle w:val="Text1"/>
        <w:rPr>
          <w:i/>
          <w:noProof/>
        </w:rPr>
      </w:pPr>
      <w:r>
        <w:rPr>
          <w:i/>
          <w:noProof/>
        </w:rPr>
        <w:t xml:space="preserve">Možnosť 3: </w:t>
      </w:r>
    </w:p>
    <w:p w:rsidR="00277B0B" w:rsidRDefault="00EA3578">
      <w:pPr>
        <w:pStyle w:val="Text1"/>
        <w:rPr>
          <w:noProof/>
        </w:rPr>
      </w:pPr>
      <w:r>
        <w:rPr>
          <w:noProof/>
        </w:rPr>
        <w:t>Delegovanie právomoci uvedené v článku (článkoch) sa Komisii ud</w:t>
      </w:r>
      <w:r>
        <w:rPr>
          <w:noProof/>
        </w:rPr>
        <w:t>eľuje na obdobie X rokov od *.</w:t>
      </w:r>
    </w:p>
    <w:p w:rsidR="00277B0B" w:rsidRDefault="00EA3578">
      <w:pPr>
        <w:pStyle w:val="Text1"/>
        <w:rPr>
          <w:noProof/>
        </w:rPr>
      </w:pPr>
      <w:r>
        <w:rPr>
          <w:noProof/>
        </w:rPr>
        <w:t>* Dátum nadobudnutia účinnosti základného právneho aktu alebo akýkoľvek iný dátum stanovený zákonodarcom.</w:t>
      </w:r>
    </w:p>
    <w:p w:rsidR="00277B0B" w:rsidRDefault="00EA3578">
      <w:pPr>
        <w:pStyle w:val="LegalNumPar"/>
        <w:rPr>
          <w:noProof/>
        </w:rPr>
      </w:pPr>
      <w:r>
        <w:rPr>
          <w:noProof/>
        </w:rPr>
        <w:t xml:space="preserve">Delegovanie právomoci uvedené v článku (článkoch) … môže Európsky parlament alebo Rada kedykoľvek odvolať. Rozhodnutím </w:t>
      </w:r>
      <w:r>
        <w:rPr>
          <w:noProof/>
        </w:rPr>
        <w:t>o odvolaní sa ukončuje delegovanie právomoci, ktoré sa v ňom uvádza. Rozhodnutie nadobúda účinnosť dň</w:t>
      </w:r>
      <w:r>
        <w:rPr>
          <w:i/>
          <w:noProof/>
        </w:rPr>
        <w:t>om nasledujúcim po jeho uverejnení v Úradnom vestníku Európskej únie</w:t>
      </w:r>
      <w:r>
        <w:rPr>
          <w:noProof/>
        </w:rPr>
        <w:t xml:space="preserve"> alebo k neskoršiemu dátumu, ktorý je v ňom určený. Nie je ním dotknutá platnosť delego</w:t>
      </w:r>
      <w:r>
        <w:rPr>
          <w:noProof/>
        </w:rPr>
        <w:t xml:space="preserve">vaných aktov, ktoré už nadobudli účinnosť. </w:t>
      </w:r>
    </w:p>
    <w:p w:rsidR="00277B0B" w:rsidRDefault="00EA3578">
      <w:pPr>
        <w:pStyle w:val="LegalNumPar"/>
        <w:rPr>
          <w:noProof/>
        </w:rPr>
      </w:pPr>
      <w:r>
        <w:rPr>
          <w:noProof/>
        </w:rPr>
        <w:t xml:space="preserve">Komisia oznamuje delegovaný akt hneď po prijatí súčasne Európskemu parlamentu a Rade. </w:t>
      </w:r>
    </w:p>
    <w:p w:rsidR="00277B0B" w:rsidRDefault="00EA3578">
      <w:pPr>
        <w:pStyle w:val="LegalNumPar"/>
        <w:rPr>
          <w:noProof/>
        </w:rPr>
      </w:pPr>
      <w:r>
        <w:rPr>
          <w:noProof/>
        </w:rPr>
        <w:t>Delegovaný akt prijatý podľa článku (článkov) … nadobudne účinnosť, len ak Európsky parlament alebo Rada voči nemu nevzniesli</w:t>
      </w:r>
      <w:r>
        <w:rPr>
          <w:noProof/>
        </w:rPr>
        <w:t xml:space="preserve"> námietku v lehote [dvoch mesiacov] odo dňa oznámenia uvedeného aktu Európskemu parlamentu a Rade alebo ak pred uplynutím uvedenej lehoty Európsky parlament a Rada informovali Komisiu o svojom rozhodnutí nevzniesť námietku. Na podnet Európskeho parlamentu </w:t>
      </w:r>
      <w:r>
        <w:rPr>
          <w:noProof/>
        </w:rPr>
        <w:t>alebo Rady sa táto lehota predĺži o [dva mesiace].</w:t>
      </w:r>
    </w:p>
    <w:p w:rsidR="00277B0B" w:rsidRDefault="00EA3578">
      <w:pPr>
        <w:spacing w:before="240"/>
        <w:rPr>
          <w:noProof/>
        </w:rPr>
      </w:pPr>
      <w:r>
        <w:rPr>
          <w:i/>
          <w:noProof/>
        </w:rPr>
        <w:t>Ďalej uvedený článok sa doplní, ak sa uplatňuje postup pre naliehavé prípady:</w:t>
      </w:r>
      <w:r>
        <w:rPr>
          <w:noProof/>
        </w:rPr>
        <w:t xml:space="preserve"> </w:t>
      </w:r>
    </w:p>
    <w:p w:rsidR="00277B0B" w:rsidRDefault="00EA3578">
      <w:pPr>
        <w:spacing w:before="240"/>
        <w:jc w:val="center"/>
        <w:rPr>
          <w:b/>
          <w:i/>
          <w:noProof/>
        </w:rPr>
      </w:pPr>
      <w:r>
        <w:rPr>
          <w:b/>
          <w:i/>
          <w:noProof/>
        </w:rPr>
        <w:t>Článok B</w:t>
      </w:r>
      <w:r>
        <w:rPr>
          <w:b/>
          <w:i/>
          <w:noProof/>
        </w:rPr>
        <w:br/>
        <w:t xml:space="preserve">Postup pre naliehavé prípady </w:t>
      </w:r>
    </w:p>
    <w:p w:rsidR="00277B0B" w:rsidRDefault="00EA3578">
      <w:pPr>
        <w:pStyle w:val="LegalNumPar"/>
        <w:numPr>
          <w:ilvl w:val="0"/>
          <w:numId w:val="20"/>
        </w:numPr>
        <w:rPr>
          <w:noProof/>
        </w:rPr>
      </w:pPr>
      <w:r>
        <w:rPr>
          <w:noProof/>
        </w:rPr>
        <w:t>Delegované akty prijaté podľa tohto článku nadobúdajú účinnosť okamžite a uplatňujú sa,</w:t>
      </w:r>
      <w:r>
        <w:rPr>
          <w:noProof/>
        </w:rPr>
        <w:t xml:space="preserve"> pokiaľ voči nim nie je v súlade s odsekom 2 vznesená námietka. V oznámení delegovaného aktu Európskemu parlamentu a Rade sa uvedú dôvody použitia postupu pre naliehavé prípady.</w:t>
      </w:r>
    </w:p>
    <w:p w:rsidR="00277B0B" w:rsidRDefault="00EA3578">
      <w:pPr>
        <w:pStyle w:val="LegalNumPar"/>
        <w:rPr>
          <w:noProof/>
        </w:rPr>
      </w:pPr>
      <w:r>
        <w:rPr>
          <w:noProof/>
        </w:rPr>
        <w:t xml:space="preserve">Európsky parlament alebo Rada môžu vzniesť voči delegovanému aktu námietku v </w:t>
      </w:r>
      <w:r>
        <w:rPr>
          <w:noProof/>
        </w:rPr>
        <w:t>súlade s postupom uvedeným v článku A ods. 5. V takom prípade Komisia bez odkladu po oznámení rozhodnutia Európskeho parlamentu alebo Rady vzniesť námietku akt zruší.</w:t>
      </w:r>
    </w:p>
    <w:sectPr w:rsidR="00277B0B">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0B" w:rsidRDefault="00EA3578">
      <w:pPr>
        <w:spacing w:after="0"/>
      </w:pPr>
      <w:r>
        <w:separator/>
      </w:r>
    </w:p>
  </w:endnote>
  <w:endnote w:type="continuationSeparator" w:id="0">
    <w:p w:rsidR="00277B0B" w:rsidRDefault="00EA3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EA3578">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662863"/>
      <w:docPartObj>
        <w:docPartGallery w:val="Page Numbers (Bottom of Page)"/>
        <w:docPartUnique/>
      </w:docPartObj>
    </w:sdtPr>
    <w:sdtEndPr>
      <w:rPr>
        <w:noProof/>
      </w:rPr>
    </w:sdtEndPr>
    <w:sdtContent>
      <w:p w:rsidR="00277B0B" w:rsidRDefault="00EA35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7B0B" w:rsidRDefault="00277B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923130"/>
      <w:docPartObj>
        <w:docPartGallery w:val="Page Numbers (Bottom of Page)"/>
        <w:docPartUnique/>
      </w:docPartObj>
    </w:sdtPr>
    <w:sdtEndPr>
      <w:rPr>
        <w:noProof/>
      </w:rPr>
    </w:sdtEndPr>
    <w:sdtContent>
      <w:p w:rsidR="00277B0B" w:rsidRDefault="00EA35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7B0B" w:rsidRDefault="00277B0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78787"/>
      <w:docPartObj>
        <w:docPartGallery w:val="Page Numbers (Bottom of Page)"/>
        <w:docPartUnique/>
      </w:docPartObj>
    </w:sdtPr>
    <w:sdtEndPr>
      <w:rPr>
        <w:noProof/>
      </w:rPr>
    </w:sdtEndPr>
    <w:sdtContent>
      <w:p w:rsidR="00277B0B" w:rsidRDefault="00EA357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277B0B" w:rsidRDefault="00277B0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5712"/>
      <w:docPartObj>
        <w:docPartGallery w:val="Page Numbers (Bottom of Page)"/>
        <w:docPartUnique/>
      </w:docPartObj>
    </w:sdtPr>
    <w:sdtEndPr>
      <w:rPr>
        <w:noProof/>
      </w:rPr>
    </w:sdtEndPr>
    <w:sdtContent>
      <w:p w:rsidR="00277B0B" w:rsidRDefault="00EA357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277B0B" w:rsidRDefault="0027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0B" w:rsidRDefault="00EA3578">
      <w:pPr>
        <w:spacing w:after="0"/>
      </w:pPr>
      <w:r>
        <w:separator/>
      </w:r>
    </w:p>
  </w:footnote>
  <w:footnote w:type="continuationSeparator" w:id="0">
    <w:p w:rsidR="00277B0B" w:rsidRDefault="00EA3578">
      <w:pPr>
        <w:spacing w:after="0"/>
      </w:pPr>
      <w:r>
        <w:continuationSeparator/>
      </w:r>
    </w:p>
  </w:footnote>
  <w:footnote w:id="1">
    <w:p w:rsidR="00277B0B" w:rsidRDefault="00EA3578">
      <w:pPr>
        <w:pStyle w:val="FootnoteText"/>
        <w:rPr>
          <w:lang w:val="fr-BE"/>
        </w:rPr>
      </w:pPr>
      <w:r>
        <w:rPr>
          <w:rStyle w:val="FootnoteReference"/>
        </w:rPr>
        <w:footnoteRef/>
      </w:r>
      <w:r>
        <w:t xml:space="preserve"> </w:t>
      </w:r>
      <w:r>
        <w:tab/>
        <w:t xml:space="preserve">Ú. v. EÚ L 304, </w:t>
      </w:r>
      <w:r>
        <w:t>20.11.2010, s.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B0B" w:rsidRDefault="00277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2"/>
  </w:num>
  <w:num w:numId="20">
    <w:abstractNumId w:val="2"/>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k"/>
    <w:docVar w:name="LW_ANNEX_NBR_FIRST" w:val="1"/>
    <w:docVar w:name="LW_ANNEX_NBR_LAST" w:val="2"/>
    <w:docVar w:name="LW_CONFIDENCE" w:val=" "/>
    <w:docVar w:name="LW_CONST_RESTREINT_UE" w:val="RESTREINT UE"/>
    <w:docVar w:name="LW_CORRIGENDUM" w:val="&lt;UNUSED&gt;"/>
    <w:docVar w:name="LW_COVERPAGE_GUID" w:val="05D1487D51CB42A4A939771166A38A58"/>
    <w:docVar w:name="LW_CROSSREFERENCE" w:val="&lt;UNUSED&gt;"/>
    <w:docVar w:name="LW_DocType" w:val="REP"/>
    <w:docVar w:name="LW_EMISSION" w:val="19. 5. 2015"/>
    <w:docVar w:name="LW_EMISSION_ISODATE" w:val="2015-05-19"/>
    <w:docVar w:name="LW_EMISSION_LOCATION" w:val="STR"/>
    <w:docVar w:name="LW_EMISSION_PREFIX" w:val="V Štrasburgu"/>
    <w:docVar w:name="LW_EMISSION_SUFFIX" w:val=" "/>
    <w:docVar w:name="LW_ID_DOCTYPE_NONLW" w:val="CP-039"/>
    <w:docVar w:name="LW_LANGUE" w:val="SK"/>
    <w:docVar w:name="LW_MARKING" w:val="&lt;UNUSED&gt;"/>
    <w:docVar w:name="LW_NOM.INST" w:val="EURÓPSKA KOMISIA"/>
    <w:docVar w:name="LW_NOM.INST_JOINTDOC" w:val="&lt;EMPTY&gt;"/>
    <w:docVar w:name="LW_OBJETACTEPRINCIPAL.CP" w:val="Návrh medziin\u353?titucionálnej dohody o lep\u353?ej právnej regulácii"/>
    <w:docVar w:name="LW_PART_NBR" w:val="&lt;UNUSED&gt;"/>
    <w:docVar w:name="LW_PART_NBR_TOTAL" w:val="&lt;UNUSED&gt;"/>
    <w:docVar w:name="LW_REF.INST.NEW" w:val="COM"/>
    <w:docVar w:name="LW_REF.INST.NEW_ADOPTED" w:val="final"/>
    <w:docVar w:name="LW_REF.INST.NEW_TEXT" w:val="(2015) 216"/>
    <w:docVar w:name="LW_REF.INTERNE" w:val="&lt;UNUSED&gt;"/>
    <w:docVar w:name="LW_SUPERTITRE" w:val="&lt;UNUSED&gt;"/>
    <w:docVar w:name="LW_TITRE.OBJ.CP" w:val="&lt;UNUSED&gt;"/>
    <w:docVar w:name="LW_TYPE.DOC.CP" w:val="PRÍLOHY_x000b_"/>
    <w:docVar w:name="LW_TYPEACTEPRINCIPAL.CP" w:val="OZNÁMENIE KOMISIE EURÓPSKEMU PARLAMENTU A RADE_x000b_"/>
  </w:docVars>
  <w:rsids>
    <w:rsidRoot w:val="00277B0B"/>
    <w:rsid w:val="00277B0B"/>
    <w:rsid w:val="00EA3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sk-SK"/>
    </w:rPr>
  </w:style>
  <w:style w:type="character" w:customStyle="1" w:styleId="HeaderChar">
    <w:name w:val="Header Char"/>
    <w:basedOn w:val="DefaultParagraphFont"/>
    <w:link w:val="Header"/>
    <w:uiPriority w:val="99"/>
    <w:rPr>
      <w:sz w:val="24"/>
      <w:lang w:eastAsia="sk-S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k-S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sk-SK"/>
    </w:rPr>
  </w:style>
  <w:style w:type="character" w:customStyle="1" w:styleId="FooterCoverPageChar">
    <w:name w:val="Footer Cover Page Char"/>
    <w:basedOn w:val="TypedudocumentChar"/>
    <w:link w:val="FooterCoverPage"/>
    <w:rPr>
      <w:rFonts w:eastAsiaTheme="minorHAnsi"/>
      <w:b w:val="0"/>
      <w:sz w:val="24"/>
      <w:szCs w:val="22"/>
      <w:lang w:eastAsia="sk-SK"/>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sk-SK"/>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rPr>
      <w:rFonts w:ascii="Arial" w:hAnsi="Arial"/>
      <w:sz w:val="16"/>
      <w:lang w:eastAsia="sk-SK"/>
    </w:rPr>
  </w:style>
  <w:style w:type="character" w:customStyle="1" w:styleId="HeaderChar">
    <w:name w:val="Header Char"/>
    <w:basedOn w:val="DefaultParagraphFont"/>
    <w:link w:val="Header"/>
    <w:uiPriority w:val="99"/>
    <w:rPr>
      <w:sz w:val="24"/>
      <w:lang w:eastAsia="sk-SK"/>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k-S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sk-SK"/>
    </w:rPr>
  </w:style>
  <w:style w:type="character" w:customStyle="1" w:styleId="FooterCoverPageChar">
    <w:name w:val="Footer Cover Page Char"/>
    <w:basedOn w:val="TypedudocumentChar"/>
    <w:link w:val="FooterCoverPage"/>
    <w:rPr>
      <w:rFonts w:eastAsiaTheme="minorHAnsi"/>
      <w:b w:val="0"/>
      <w:sz w:val="24"/>
      <w:szCs w:val="22"/>
      <w:lang w:eastAsia="sk-SK"/>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sk-SK"/>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D1B1-1870-4333-8957-79B10112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16</TotalTime>
  <Pages>9</Pages>
  <Words>2379</Words>
  <Characters>14298</Characters>
  <Application>Microsoft Office Word</Application>
  <DocSecurity>0</DocSecurity>
  <PresentationFormat>Microsoft Word 14.0</PresentationFormat>
  <Lines>226</Lines>
  <Paragraphs>49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Johnstone</dc:creator>
  <cp:keywords>EL4</cp:keywords>
  <cp:lastModifiedBy>Stefanie Heilemann</cp:lastModifiedBy>
  <cp:revision>15</cp:revision>
  <cp:lastPrinted>2015-05-05T14:36:00Z</cp:lastPrinted>
  <dcterms:created xsi:type="dcterms:W3CDTF">2015-05-08T10:09:00Z</dcterms:created>
  <dcterms:modified xsi:type="dcterms:W3CDTF">2015-05-27T15:11:00Z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Duncan Johnstone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First annex">
    <vt:lpwstr>1</vt:lpwstr>
  </property>
  <property fmtid="{D5CDD505-2E9C-101B-9397-08002B2CF9AE}" pid="14" name="Last annex">
    <vt:lpwstr>2</vt:lpwstr>
  </property>
  <property fmtid="{D5CDD505-2E9C-101B-9397-08002B2CF9AE}" pid="15" name="Part">
    <vt:lpwstr>&lt;UNUSED&gt;</vt:lpwstr>
  </property>
  <property fmtid="{D5CDD505-2E9C-101B-9397-08002B2CF9AE}" pid="16" name="Total parts">
    <vt:lpwstr>&lt;UNUSED&gt;</vt:lpwstr>
  </property>
  <property fmtid="{D5CDD505-2E9C-101B-9397-08002B2CF9AE}" pid="17" name="DocStatus">
    <vt:lpwstr>Green</vt:lpwstr>
  </property>
  <property fmtid="{D5CDD505-2E9C-101B-9397-08002B2CF9AE}" pid="18" name="Classification">
    <vt:lpwstr> </vt:lpwstr>
  </property>
</Properties>
</file>