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AE" w:rsidRDefault="001E11A6" w:rsidP="001E11A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3720786F7474AD58366AC71F762DC7E" style="width:451pt;height:383.6pt">
            <v:imagedata r:id="rId8" o:title=""/>
          </v:shape>
        </w:pict>
      </w:r>
    </w:p>
    <w:p w:rsidR="007228AE" w:rsidRDefault="007228AE">
      <w:pPr>
        <w:rPr>
          <w:noProof/>
        </w:rPr>
        <w:sectPr w:rsidR="007228AE" w:rsidSect="001E11A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228AE" w:rsidRDefault="001E11A6" w:rsidP="001E11A6">
      <w:pPr>
        <w:pStyle w:val="Typedudocument"/>
        <w:rPr>
          <w:noProof/>
        </w:rPr>
      </w:pPr>
      <w:bookmarkStart w:id="0" w:name="_GoBack"/>
      <w:bookmarkEnd w:id="0"/>
      <w:r w:rsidRPr="001E11A6">
        <w:lastRenderedPageBreak/>
        <w:t>ΠΑΡΑΡΤΗΜΑ</w:t>
      </w:r>
    </w:p>
    <w:p w:rsidR="007228AE" w:rsidRDefault="001E11A6" w:rsidP="001E11A6">
      <w:pPr>
        <w:pStyle w:val="Accompagnant"/>
        <w:rPr>
          <w:noProof/>
        </w:rPr>
      </w:pPr>
      <w:r w:rsidRPr="001E11A6">
        <w:t>στο</w:t>
      </w:r>
    </w:p>
    <w:p w:rsidR="007228AE" w:rsidRDefault="001E11A6" w:rsidP="001E11A6">
      <w:pPr>
        <w:pStyle w:val="Typeacteprincipal"/>
        <w:rPr>
          <w:noProof/>
        </w:rPr>
      </w:pPr>
      <w:r w:rsidRPr="001E11A6">
        <w:t>σχέδιο κανονισμού</w:t>
      </w:r>
    </w:p>
    <w:p w:rsidR="007228AE" w:rsidRDefault="001E11A6" w:rsidP="001E11A6">
      <w:pPr>
        <w:pStyle w:val="Objetacteprincipal"/>
        <w:rPr>
          <w:noProof/>
        </w:rPr>
      </w:pPr>
      <w:r w:rsidRPr="001E11A6">
        <w:t>για την τροποποίηση του κανονισμού (ΕΚ) αριθ. 1683/95 του Συμβουλίου της 29ης Μαΐου 1995 για την καθιέρωση θεώρησης ενιαίου τύπου</w:t>
      </w:r>
    </w:p>
    <w:p w:rsidR="007228AE" w:rsidRDefault="007228AE">
      <w:pPr>
        <w:rPr>
          <w:noProof/>
        </w:rPr>
      </w:pPr>
    </w:p>
    <w:p w:rsidR="007228AE" w:rsidRDefault="001E11A6">
      <w:pPr>
        <w:rPr>
          <w:noProof/>
        </w:rPr>
      </w:pPr>
      <w:r>
        <w:rPr>
          <w:noProof/>
          <w:lang w:val="fr-FR" w:eastAsia="fr-FR"/>
        </w:rPr>
        <w:drawing>
          <wp:inline distT="0" distB="0" distL="0" distR="0" wp14:anchorId="25A04BC0" wp14:editId="1186C4AB">
            <wp:extent cx="5219700" cy="34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457575"/>
                    </a:xfrm>
                    <a:prstGeom prst="rect">
                      <a:avLst/>
                    </a:prstGeom>
                    <a:noFill/>
                    <a:ln>
                      <a:noFill/>
                    </a:ln>
                  </pic:spPr>
                </pic:pic>
              </a:graphicData>
            </a:graphic>
          </wp:inline>
        </w:drawing>
      </w:r>
    </w:p>
    <w:p w:rsidR="007228AE" w:rsidRDefault="007228AE">
      <w:pPr>
        <w:rPr>
          <w:noProof/>
        </w:rPr>
      </w:pPr>
    </w:p>
    <w:p w:rsidR="007228AE" w:rsidRDefault="001E11A6">
      <w:pPr>
        <w:jc w:val="center"/>
        <w:rPr>
          <w:b/>
          <w:noProof/>
        </w:rPr>
      </w:pPr>
      <w:r>
        <w:rPr>
          <w:b/>
          <w:noProof/>
        </w:rPr>
        <w:t>Στοιχεία ασφαλείας</w:t>
      </w:r>
    </w:p>
    <w:p w:rsidR="007228AE" w:rsidRDefault="001E11A6">
      <w:pPr>
        <w:rPr>
          <w:noProof/>
        </w:rPr>
      </w:pPr>
      <w:r>
        <w:rPr>
          <w:noProof/>
        </w:rPr>
        <w:t>1. Ενσωματωμένη έγχρωμη φωτογραφία του κατόχου κατασκευασμένη σύμφωνα με υψηλά πρότυπα ασφάλειας.</w:t>
      </w:r>
    </w:p>
    <w:p w:rsidR="007228AE" w:rsidRDefault="001E11A6">
      <w:pPr>
        <w:rPr>
          <w:noProof/>
        </w:rPr>
      </w:pPr>
      <w:r>
        <w:rPr>
          <w:noProof/>
        </w:rPr>
        <w:t>2. Στη θέση αυτή υπάρχει οπτικά μεταβλητή διάταξη («κινησιόγραμ</w:t>
      </w:r>
      <w:r>
        <w:rPr>
          <w:noProof/>
        </w:rPr>
        <w:t>μα» ή αντίστοιχη). Ανάλογα με τη γωνία παρατήρησης, διακρίνονται τα γράμματα «Ε», «ΕΕ» και κινηματικές γραμμές με γραμμοκοσμήματα σε ποικίλα μεγέθη και χρώματα.</w:t>
      </w:r>
    </w:p>
    <w:p w:rsidR="007228AE" w:rsidRDefault="001E11A6">
      <w:pPr>
        <w:rPr>
          <w:noProof/>
        </w:rPr>
      </w:pPr>
      <w:r>
        <w:rPr>
          <w:noProof/>
        </w:rPr>
        <w:t>3. Η θέση αυτή περιλαμβάνει τον τριψήφιο κωδικό χώρας όπως εκτίθεται στο έγγραφο 9303 του ICAO για τα μηχαναγνώσιμα ταξιδιωτικά έγγραφα του κράτους μέλους έκδοσης με οπτικά μεταβλητό χρωματισμό. Ανάλογα με τη γωνία παρατήρησης, εμφανίζεται σε διάφορα χρώμα</w:t>
      </w:r>
      <w:r>
        <w:rPr>
          <w:noProof/>
        </w:rPr>
        <w:t xml:space="preserve">τα. </w:t>
      </w:r>
    </w:p>
    <w:p w:rsidR="007228AE" w:rsidRDefault="001E11A6">
      <w:pPr>
        <w:rPr>
          <w:noProof/>
        </w:rPr>
      </w:pPr>
      <w:r>
        <w:rPr>
          <w:noProof/>
        </w:rPr>
        <w:t>4. Στη θέση αυτή εμφανίζονται με κεφαλαία γράμματα η λέξη «θεώρηση» και το κράτος μέλος έκδοσης.</w:t>
      </w:r>
    </w:p>
    <w:p w:rsidR="007228AE" w:rsidRDefault="001E11A6">
      <w:pPr>
        <w:rPr>
          <w:noProof/>
        </w:rPr>
      </w:pPr>
      <w:r>
        <w:rPr>
          <w:noProof/>
        </w:rPr>
        <w:t>5. Η θέση αυτή περιλαμβάνει τον εννεαψήφιο εθνικό αριθμό της αυτοκόλλητης ετικέτας θεώρησης σε οριζόντιο προσανατολισμό, ο οποίος προτυπώνεται με μαύρα γρ</w:t>
      </w:r>
      <w:r>
        <w:rPr>
          <w:noProof/>
        </w:rPr>
        <w:t>άμματα. Πρέπει να χρησιμοποιείται ειδικός τύπος γραμματοσειράς.</w:t>
      </w:r>
    </w:p>
    <w:p w:rsidR="007228AE" w:rsidRDefault="001E11A6">
      <w:pPr>
        <w:rPr>
          <w:noProof/>
        </w:rPr>
      </w:pPr>
      <w:r>
        <w:rPr>
          <w:noProof/>
        </w:rPr>
        <w:lastRenderedPageBreak/>
        <w:t xml:space="preserve">6. Η θέση αυτή περιλαμβάνει τον εννεαψήφιο εθνικό αριθμό της αυτοκόλλητης ετικέτας θεώρησης σε κατακόρυφη θέση, ο οποίος προτυπώνεται με κόκκινο χρώμα. Πρέπει να χρησιμοποιείται ειδικός τύπος </w:t>
      </w:r>
      <w:r>
        <w:rPr>
          <w:noProof/>
        </w:rPr>
        <w:t>γραμματοσειράς, διαφορετικός από εκείνον που χρησιμοποιείται για τη θέση 5. Ο «αριθμός της αυτοκόλλητης ετικέτας θεώρησης» είναι ο αποτελούμενος εκ τριών γραμμάτων κωδικός χώρας που αναφέρεται στη θέση 3 και ο εθνικός αριθμός είναι ο αριθμός που αναφέρεται</w:t>
      </w:r>
      <w:r>
        <w:rPr>
          <w:noProof/>
        </w:rPr>
        <w:t xml:space="preserve"> στη θέση 5 και στη θέση 6.</w:t>
      </w:r>
    </w:p>
    <w:p w:rsidR="007228AE" w:rsidRDefault="001E11A6">
      <w:pPr>
        <w:rPr>
          <w:noProof/>
        </w:rPr>
      </w:pPr>
      <w:r>
        <w:rPr>
          <w:noProof/>
        </w:rPr>
        <w:t>7. Η θέση αυτή πρέπει να περιέχει τα γράμματα «ΕΕ», τυπωμένα ως λανθάνουσα εικόνα. Τα γράμματα αυτά είναι ανοικτόχρωμα όταν είναι οριζόντια και σκούρα παρατηρούμενα υπό γωνία 90°.</w:t>
      </w:r>
    </w:p>
    <w:p w:rsidR="007228AE" w:rsidRDefault="001E11A6">
      <w:pPr>
        <w:rPr>
          <w:noProof/>
        </w:rPr>
      </w:pPr>
      <w:r>
        <w:rPr>
          <w:noProof/>
        </w:rPr>
        <w:t>8. Η θέση αυτή περιλαμβάνει τους κωδικούς σύμφων</w:t>
      </w:r>
      <w:r>
        <w:rPr>
          <w:noProof/>
        </w:rPr>
        <w:t>α με τη θέση 3 τυπωμένους υπό μορφή λανθάνουσας εικόνας. Ο κωδικός αυτός είναι ανοικτόχρωμος όταν είναι οριζόντιος και σκούρος παρατηρούμενος υπό γωνία 90°.</w:t>
      </w:r>
    </w:p>
    <w:p w:rsidR="007228AE" w:rsidRDefault="007228AE">
      <w:pPr>
        <w:rPr>
          <w:noProof/>
        </w:rPr>
      </w:pPr>
    </w:p>
    <w:p w:rsidR="007228AE" w:rsidRDefault="001E11A6">
      <w:pPr>
        <w:jc w:val="center"/>
        <w:rPr>
          <w:b/>
          <w:noProof/>
        </w:rPr>
      </w:pPr>
      <w:r>
        <w:rPr>
          <w:b/>
          <w:noProof/>
        </w:rPr>
        <w:t>Τμήματα προς συμπλήρωση</w:t>
      </w:r>
    </w:p>
    <w:p w:rsidR="007228AE" w:rsidRDefault="007228AE">
      <w:pPr>
        <w:rPr>
          <w:noProof/>
        </w:rPr>
      </w:pPr>
    </w:p>
    <w:p w:rsidR="007228AE" w:rsidRDefault="001E11A6">
      <w:pPr>
        <w:rPr>
          <w:noProof/>
        </w:rPr>
      </w:pPr>
      <w:r>
        <w:rPr>
          <w:noProof/>
        </w:rPr>
        <w:t>Οι λέξεις που υπάρχουν στις διάφορες θέσεις είναι στα αγγλικά και γαλλικά</w:t>
      </w:r>
      <w:r>
        <w:rPr>
          <w:noProof/>
        </w:rPr>
        <w:t>. Το κράτος έκδοσης μπορεί να προσθέσει και τρίτη επίσημη γλώσσα της Ένωσης. Ωστόσο, η λέξη «θεώρηση» στην επικεφαλίδα μπορεί να είναι σε οποιαδήποτε επίσημη γλώσσα της Ένωσης.</w:t>
      </w:r>
    </w:p>
    <w:p w:rsidR="007228AE" w:rsidRDefault="007228AE">
      <w:pPr>
        <w:rPr>
          <w:noProof/>
        </w:rPr>
      </w:pPr>
    </w:p>
    <w:p w:rsidR="007228AE" w:rsidRDefault="001E11A6">
      <w:pPr>
        <w:rPr>
          <w:noProof/>
        </w:rPr>
      </w:pPr>
      <w:r>
        <w:rPr>
          <w:noProof/>
        </w:rPr>
        <w:t>9. Στη θέση αυτή υπάρχουν οι λέξεις «ισχύει για». Η εκδίδουσα αρχή σημειώνει τ</w:t>
      </w:r>
      <w:r>
        <w:rPr>
          <w:noProof/>
        </w:rPr>
        <w:t>ο έδαφος εντός του οποίου δικαιούται να ταξιδεύει ο κάτοχος της θεώρησης.</w:t>
      </w:r>
    </w:p>
    <w:p w:rsidR="007228AE" w:rsidRDefault="001E11A6">
      <w:pPr>
        <w:rPr>
          <w:noProof/>
        </w:rPr>
      </w:pPr>
      <w:r>
        <w:rPr>
          <w:noProof/>
        </w:rPr>
        <w:t>10. Στη θέση αυτή υπάρχει η λέξη «από» και λίγο παρακάτω στην ίδια σειρά εμφανίζεται η λέξη «μέχρι». Η εκδίδουσα αρχή πρέπει να αναφέρει την περίοδο της παραμονής του κατόχου της θεώ</w:t>
      </w:r>
      <w:r>
        <w:rPr>
          <w:noProof/>
        </w:rPr>
        <w:t>ρησης που επιτρέπεται από τη θεώρηση. Λίγο παρακάτω στην ίδια σειρά υπάρχουν οι λέξεις «διάρκεια παραμονής» (δηλαδή διάρκεια της προβλεπόμενης παραμονής του αιτούντος) και πάλι η λέξη «ημέρες».</w:t>
      </w:r>
    </w:p>
    <w:p w:rsidR="007228AE" w:rsidRDefault="001E11A6">
      <w:pPr>
        <w:rPr>
          <w:noProof/>
        </w:rPr>
      </w:pPr>
      <w:r>
        <w:rPr>
          <w:noProof/>
        </w:rPr>
        <w:t>11. Στη θέση αυτή υπάρχουν οι λέξεις «είδος θεώρησης». Η εκδίδ</w:t>
      </w:r>
      <w:r>
        <w:rPr>
          <w:noProof/>
        </w:rPr>
        <w:t>ουσα αρχή καταχωρίζει την κατηγορία της θεώρησης σύμφωνα με τα άρθρα 5 και 7 του παρόντος κανονισμού. Λίγο παρακάτω στην ίδια σειρά αναγράφονται οι λέξεις «αριθμός διαβατηρίου» (μετά τις οποίες σημειώνεται ο αριθμός διαβατηρίου του δικαιούχου) και «αριθμός</w:t>
      </w:r>
      <w:r>
        <w:rPr>
          <w:noProof/>
        </w:rPr>
        <w:t xml:space="preserve"> εισόδων».</w:t>
      </w:r>
    </w:p>
    <w:p w:rsidR="007228AE" w:rsidRDefault="001E11A6">
      <w:pPr>
        <w:rPr>
          <w:noProof/>
        </w:rPr>
      </w:pPr>
      <w:r>
        <w:rPr>
          <w:noProof/>
        </w:rPr>
        <w:t>12. Στη θέση αυτή υπάρχουν οι λέξεις «εκδοθείσα σε» και χρησιμοποιούνται για να σημειώνεται ο τόπος έκδοσης. Λίγο παρακάτω στην ίδια σειρά αναγράφεται η λέξη «την» (μετά την οποία συμπληρώνεται η ημερομηνία έκδοσης από την εκδίδουσα αρχή).</w:t>
      </w:r>
    </w:p>
    <w:p w:rsidR="007228AE" w:rsidRDefault="001E11A6">
      <w:pPr>
        <w:rPr>
          <w:noProof/>
        </w:rPr>
      </w:pPr>
      <w:r>
        <w:rPr>
          <w:noProof/>
        </w:rPr>
        <w:t>13. Σ</w:t>
      </w:r>
      <w:r>
        <w:rPr>
          <w:noProof/>
        </w:rPr>
        <w:t>τη θέση αυτή υπάρχουν οι λέξεις «Επώνυμο, Όνομα».</w:t>
      </w:r>
    </w:p>
    <w:p w:rsidR="007228AE" w:rsidRDefault="001E11A6">
      <w:pPr>
        <w:rPr>
          <w:noProof/>
        </w:rPr>
      </w:pPr>
      <w:r>
        <w:rPr>
          <w:noProof/>
        </w:rPr>
        <w:t>14. Στη θέση αυτή υπάρχει η λέξη «παρατηρήσεις». Χρησιμοποιείται από την εκδίδουσα αρχή για να συμπληρωθούν τυχόν περαιτέρω στοιχεία που κρίνονται απαραίτητα, τηρουμένου του άρθρου 4 του παρόντος κανονισμού</w:t>
      </w:r>
      <w:r>
        <w:rPr>
          <w:noProof/>
        </w:rPr>
        <w:t>. Οι δυόμισι γραμμές που ακολουθούν είναι κενές για ανάλογες παρατηρήσεις. Επιπλέον, μέρος αυτής της θέσης θα μπορούσε να χρησιμοποιηθεί για ένα μελλοντικό δισδιάστατο γραμμικό κώδικα, εάν περιλαμβάνεται στις κοινές τεχνικές προδιαγραφές.</w:t>
      </w:r>
    </w:p>
    <w:p w:rsidR="007228AE" w:rsidRDefault="001E11A6">
      <w:pPr>
        <w:rPr>
          <w:noProof/>
        </w:rPr>
      </w:pPr>
      <w:r>
        <w:rPr>
          <w:noProof/>
        </w:rPr>
        <w:t>15. Στη θέση αυτή</w:t>
      </w:r>
      <w:r>
        <w:rPr>
          <w:noProof/>
        </w:rPr>
        <w:t>, υπάρχουν οι σχετικές μηχαναγνώσιμες πληροφορίες για να διευκολύνονται π.χ. οι έλεγχοι στα εξωτερικά σύνορα. Η μηχαναγνώσιμη ζώνη περιλαμβάνει ένα τυπωμένο κείμενο στην εκτύπωση δαπέδου, όπου αναφέρονται οι κωδικοί σύμφωνα με τη θέση 3 και η «Ευρωπαϊκή Έν</w:t>
      </w:r>
      <w:r>
        <w:rPr>
          <w:noProof/>
        </w:rPr>
        <w:t xml:space="preserve">ωση» σε διάφορες γλώσσες. Το κείμενο αυτό δεν επηρεάζει τα τεχνικά χαρακτηριστικά της μηχαναγνώσιμης ζώνης ή την ικανότητά της να αναγνωσθεί. </w:t>
      </w:r>
    </w:p>
    <w:p w:rsidR="007228AE" w:rsidRDefault="001E11A6">
      <w:pPr>
        <w:rPr>
          <w:noProof/>
        </w:rPr>
      </w:pPr>
      <w:r>
        <w:rPr>
          <w:noProof/>
        </w:rPr>
        <w:t>16. Η θέση αυτή προορίζεται για την ενδεχόμενη προσθήκη ενός κοινού δισδιάστατου γραμμικού κώδικα».</w:t>
      </w:r>
    </w:p>
    <w:p w:rsidR="007228AE" w:rsidRDefault="007228AE">
      <w:pPr>
        <w:jc w:val="center"/>
        <w:rPr>
          <w:noProof/>
        </w:rPr>
      </w:pPr>
    </w:p>
    <w:sectPr w:rsidR="007228AE" w:rsidSect="001E11A6">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AE" w:rsidRDefault="001E11A6">
      <w:pPr>
        <w:spacing w:before="0" w:after="0"/>
      </w:pPr>
      <w:r>
        <w:separator/>
      </w:r>
    </w:p>
  </w:endnote>
  <w:endnote w:type="continuationSeparator" w:id="0">
    <w:p w:rsidR="007228AE" w:rsidRDefault="001E11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AE" w:rsidRPr="001E11A6" w:rsidRDefault="001E11A6" w:rsidP="001E11A6">
    <w:pPr>
      <w:pStyle w:val="Footer"/>
      <w:rPr>
        <w:rFonts w:ascii="Arial" w:hAnsi="Arial" w:cs="Arial"/>
        <w:b/>
        <w:sz w:val="48"/>
      </w:rPr>
    </w:pPr>
    <w:r w:rsidRPr="001E11A6">
      <w:rPr>
        <w:rFonts w:ascii="Arial" w:hAnsi="Arial" w:cs="Arial"/>
        <w:b/>
        <w:sz w:val="48"/>
      </w:rPr>
      <w:t>EL</w:t>
    </w:r>
    <w:r w:rsidRPr="001E11A6">
      <w:rPr>
        <w:rFonts w:ascii="Arial" w:hAnsi="Arial" w:cs="Arial"/>
        <w:b/>
        <w:sz w:val="48"/>
      </w:rPr>
      <w:tab/>
    </w:r>
    <w:r w:rsidRPr="001E11A6">
      <w:rPr>
        <w:rFonts w:ascii="Arial" w:hAnsi="Arial" w:cs="Arial"/>
        <w:b/>
        <w:sz w:val="48"/>
      </w:rPr>
      <w:tab/>
    </w:r>
    <w:fldSimple w:instr=" DOCVARIABLE &quot;LW_Confidence&quot; \* MERGEFORMAT ">
      <w:r>
        <w:t xml:space="preserve"> </w:t>
      </w:r>
    </w:fldSimple>
    <w:r w:rsidRPr="001E11A6">
      <w:tab/>
    </w:r>
    <w:proofErr w:type="spellStart"/>
    <w:r w:rsidRPr="001E11A6">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Footer"/>
      <w:rPr>
        <w:rFonts w:ascii="Arial" w:hAnsi="Arial" w:cs="Arial"/>
        <w:b/>
        <w:sz w:val="48"/>
      </w:rPr>
    </w:pPr>
    <w:r w:rsidRPr="001E11A6">
      <w:rPr>
        <w:rFonts w:ascii="Arial" w:hAnsi="Arial" w:cs="Arial"/>
        <w:b/>
        <w:sz w:val="48"/>
      </w:rPr>
      <w:t>EL</w:t>
    </w:r>
    <w:r w:rsidRPr="001E11A6">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1E11A6">
      <w:tab/>
    </w:r>
    <w:r w:rsidRPr="001E11A6">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AE" w:rsidRDefault="001E11A6">
      <w:pPr>
        <w:spacing w:before="0" w:after="0"/>
      </w:pPr>
      <w:r>
        <w:separator/>
      </w:r>
    </w:p>
  </w:footnote>
  <w:footnote w:type="continuationSeparator" w:id="0">
    <w:p w:rsidR="007228AE" w:rsidRDefault="001E11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A6" w:rsidRPr="001E11A6" w:rsidRDefault="001E11A6" w:rsidP="001E1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241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2A7B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7A26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461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EEF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6CDB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5E1BB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3A9D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2 17:31: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2"/>
    <w:docVar w:name="DQCWithWarnings" w:val="0"/>
    <w:docVar w:name="LW_ACCOMPAGNANT.CP" w:val="\u963?\u964?\u959?"/>
    <w:docVar w:name="LW_ANNEX_NBR_FIRST" w:val="1"/>
    <w:docVar w:name="LW_ANNEX_NBR_LAST" w:val="1"/>
    <w:docVar w:name="LW_CONFIDENCE" w:val=" "/>
    <w:docVar w:name="LW_CONST_RESTREINT_UE" w:val="RESTREINT UE/EU RESTRICTED"/>
    <w:docVar w:name="LW_CORRIGENDUM" w:val="&lt;UNUSED&gt;"/>
    <w:docVar w:name="LW_COVERPAGE_GUID" w:val="33720786F7474AD58366AC71F762DC7E"/>
    <w:docVar w:name="LW_CROSSREFERENCE" w:val="&lt;UNUSED&gt;"/>
    <w:docVar w:name="LW_DocType" w:val="ANNEX"/>
    <w:docVar w:name="LW_EMISSION" w:val="3.7.2015"/>
    <w:docVar w:name="LW_EMISSION_ISODATE" w:val="2015-07-03"/>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MARKING" w:val="&lt;UNUSED&gt;"/>
    <w:docVar w:name="LW_NOM.INST" w:val="\u917?\u933?\u929?\u937?\u928?\u913?\u938?\u922?\u919? \u917?\u928?\u921?\u932?\u929?\u927?\u928?\u919?"/>
    <w:docVar w:name="LW_NOM.INST_JOINTDOC" w:val="&lt;EMPTY&gt;"/>
    <w:docVar w:name="LW_OBJETACTEPRINCIPAL.CP" w:val="\u947?\u953?\u945? \u964?\u951?\u957? \u964?\u961?\u959?\u960?\u959?\u960?\u959?\u943?\u951?\u963?\u951? \u964?\u959?\u965? \u954?\u945?\u957?\u959?\u957?\u953?\u963?\u956?\u959?\u973? (\u917?\u922?) \u945?\u961?\u953?\u952?. 1683/95 \u964?\u959?\u965? \u931?\u965?\u956?\u946?\u959?\u965?\u955?\u943?\u959?\u965? \u964?\u951?\u962? 29\u951?\u962? \u924?\u945?\u912?\u959?\u965? 1995 \u947?\u953?\u945? \u964?\u951?\u957? \u954?\u945?\u952?\u953?\u941?\u961?\u969?\u963?\u951? \u952?\u949?\u974?\u961?\u951?\u963?\u951?\u962? \u949?\u957?\u953?\u945?\u943?\u959?\u965? \u964?\u973?\u960?\u959?\u965?"/>
    <w:docVar w:name="LW_PART_NBR" w:val="1"/>
    <w:docVar w:name="LW_PART_NBR_TOTAL" w:val="1"/>
    <w:docVar w:name="LW_REF.INST.NEW" w:val="COM"/>
    <w:docVar w:name="LW_REF.INST.NEW_ADOPTED" w:val="final/ 2 "/>
    <w:docVar w:name="LW_REF.INST.NEW_TEXT" w:val="(2015) 303"/>
    <w:docVar w:name="LW_REF.INTERNE" w:val="&lt;UNUSED&gt;"/>
    <w:docVar w:name="LW_SUPERTITRE" w:val="&lt;UNUSED&gt;"/>
    <w:docVar w:name="LW_TITRE.OBJ.CP" w:val="&lt;UNUSED&gt;"/>
    <w:docVar w:name="LW_TYPE.DOC.CP" w:val="\u928?\u913?\u929?\u913?\u929?\u932?\u919?\u924?\u913?"/>
    <w:docVar w:name="LW_TYPEACTEPRINCIPAL.CP" w:val="\u963?\u967?\u941?\u948?\u953?\u959? \u954?\u945?\u957?\u959?\u957?\u953?\u963?\u956?\u959?\u973?"/>
  </w:docVars>
  <w:rsids>
    <w:rsidRoot w:val="007228AE"/>
    <w:rsid w:val="001E11A6"/>
    <w:rsid w:val="0072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l-G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1E11A6"/>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1E11A6"/>
    <w:rPr>
      <w:rFonts w:ascii="Times New Roman" w:eastAsiaTheme="minorHAnsi" w:hAnsi="Times New Roman"/>
      <w:sz w:val="24"/>
      <w:lang w:val="el-G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11A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l-G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1E11A6"/>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1E11A6"/>
    <w:rPr>
      <w:rFonts w:ascii="Times New Roman" w:eastAsiaTheme="minorHAnsi" w:hAnsi="Times New Roman"/>
      <w:sz w:val="24"/>
      <w:lang w:val="el-G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11A6"/>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640</Words>
  <Characters>3698</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KOLLIGS-TUFFERY Silvia (HOME)</dc:creator>
  <cp:lastModifiedBy>KUDRYK Katarzyna (SG)</cp:lastModifiedBy>
  <cp:revision>8</cp:revision>
  <cp:lastPrinted>2014-09-19T11:28:00Z</cp:lastPrinted>
  <dcterms:created xsi:type="dcterms:W3CDTF">2015-06-29T18:04:00Z</dcterms:created>
  <dcterms:modified xsi:type="dcterms:W3CDTF">2015-07-03T09:32:00Z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