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alt="3370A3EDAB5E436BAB67A0CE08FCD2A9" style="width:450.75pt;height:293.25pt">
            <v:imagedata r:id="rId9" o:title=""/>
          </v:shape>
        </w:pict>
      </w:r>
    </w:p>
    <w:bookmarkEnd w:id="0"/>
    <w:p>
      <w:pPr>
        <w:rPr>
          <w:noProof/>
        </w:rPr>
        <w:sectPr>
          <w:headerReference w:type="even" r:id="rId10"/>
          <w:headerReference w:type="default" r:id="rId11"/>
          <w:footerReference w:type="even" r:id="rId12"/>
          <w:footerReference w:type="default" r:id="rId13"/>
          <w:headerReference w:type="first" r:id="rId14"/>
          <w:footerReference w:type="first" r:id="rId15"/>
          <w:pgSz w:w="11906" w:h="16838"/>
          <w:pgMar w:top="1134" w:right="1417" w:bottom="1134" w:left="1417" w:header="709" w:footer="709" w:gutter="0"/>
          <w:paperSrc w:first="15" w:other="15"/>
          <w:pgNumType w:start="1"/>
          <w:cols w:space="720"/>
          <w:docGrid w:linePitch="326"/>
        </w:sectPr>
      </w:pPr>
    </w:p>
    <w:p>
      <w:pPr>
        <w:pStyle w:val="TOCHeading"/>
        <w:rPr>
          <w:noProof/>
        </w:rPr>
      </w:pPr>
      <w:bookmarkStart w:id="1" w:name="_GoBack"/>
      <w:bookmarkEnd w:id="1"/>
      <w:r>
        <w:rPr>
          <w:noProof/>
        </w:rPr>
        <w:lastRenderedPageBreak/>
        <w:t>Saturs</w:t>
      </w:r>
    </w:p>
    <w:p>
      <w:pPr>
        <w:pStyle w:val="TOC1"/>
        <w:rPr>
          <w:rFonts w:asciiTheme="minorHAnsi" w:eastAsiaTheme="minorEastAsia" w:hAnsiTheme="minorHAnsi" w:cstheme="minorBidi"/>
          <w:noProof/>
          <w:sz w:val="22"/>
          <w:szCs w:val="22"/>
          <w:lang w:val="en-GB" w:eastAsia="en-GB" w:bidi="ar-SA"/>
        </w:rPr>
      </w:pPr>
      <w:r>
        <w:rPr>
          <w:noProof/>
        </w:rPr>
        <w:fldChar w:fldCharType="begin"/>
      </w:r>
      <w:r>
        <w:rPr>
          <w:noProof/>
        </w:rPr>
        <w:instrText xml:space="preserve"> TOC \o "1-3" \h \z \u </w:instrText>
      </w:r>
      <w:r>
        <w:rPr>
          <w:noProof/>
        </w:rPr>
        <w:fldChar w:fldCharType="separate"/>
      </w:r>
      <w:hyperlink w:anchor="_Toc423680424" w:history="1">
        <w:r>
          <w:rPr>
            <w:rStyle w:val="Hyperlink"/>
            <w:noProof/>
          </w:rPr>
          <w:t>1.</w:t>
        </w:r>
        <w:r>
          <w:rPr>
            <w:rFonts w:asciiTheme="minorHAnsi" w:eastAsiaTheme="minorEastAsia" w:hAnsiTheme="minorHAnsi" w:cstheme="minorBidi"/>
            <w:noProof/>
            <w:sz w:val="22"/>
            <w:szCs w:val="22"/>
            <w:lang w:val="en-GB" w:eastAsia="en-GB" w:bidi="ar-SA"/>
          </w:rPr>
          <w:tab/>
        </w:r>
        <w:r>
          <w:rPr>
            <w:rStyle w:val="Hyperlink"/>
            <w:noProof/>
          </w:rPr>
          <w:t>Ievads</w:t>
        </w:r>
        <w:r>
          <w:rPr>
            <w:noProof/>
            <w:webHidden/>
          </w:rPr>
          <w:tab/>
        </w:r>
        <w:r>
          <w:rPr>
            <w:noProof/>
            <w:webHidden/>
          </w:rPr>
          <w:fldChar w:fldCharType="begin"/>
        </w:r>
        <w:r>
          <w:rPr>
            <w:noProof/>
            <w:webHidden/>
          </w:rPr>
          <w:instrText xml:space="preserve"> PAGEREF _Toc423680424 \h </w:instrText>
        </w:r>
        <w:r>
          <w:rPr>
            <w:noProof/>
            <w:webHidden/>
          </w:rPr>
        </w:r>
        <w:r>
          <w:rPr>
            <w:noProof/>
            <w:webHidden/>
          </w:rPr>
          <w:fldChar w:fldCharType="separate"/>
        </w:r>
        <w:r>
          <w:rPr>
            <w:noProof/>
            <w:webHidden/>
          </w:rPr>
          <w:t>3</w:t>
        </w:r>
        <w:r>
          <w:rPr>
            <w:noProof/>
            <w:webHidden/>
          </w:rPr>
          <w:fldChar w:fldCharType="end"/>
        </w:r>
      </w:hyperlink>
    </w:p>
    <w:p>
      <w:pPr>
        <w:pStyle w:val="TOC1"/>
        <w:rPr>
          <w:rFonts w:asciiTheme="minorHAnsi" w:eastAsiaTheme="minorEastAsia" w:hAnsiTheme="minorHAnsi" w:cstheme="minorBidi"/>
          <w:noProof/>
          <w:sz w:val="22"/>
          <w:szCs w:val="22"/>
          <w:lang w:val="en-GB" w:eastAsia="en-GB" w:bidi="ar-SA"/>
        </w:rPr>
      </w:pPr>
      <w:hyperlink w:anchor="_Toc423680425" w:history="1">
        <w:r>
          <w:rPr>
            <w:rStyle w:val="Hyperlink"/>
            <w:noProof/>
          </w:rPr>
          <w:t>2.</w:t>
        </w:r>
        <w:r>
          <w:rPr>
            <w:rFonts w:asciiTheme="minorHAnsi" w:eastAsiaTheme="minorEastAsia" w:hAnsiTheme="minorHAnsi" w:cstheme="minorBidi"/>
            <w:noProof/>
            <w:sz w:val="22"/>
            <w:szCs w:val="22"/>
            <w:lang w:val="en-GB" w:eastAsia="en-GB" w:bidi="ar-SA"/>
          </w:rPr>
          <w:tab/>
        </w:r>
        <w:r>
          <w:rPr>
            <w:rStyle w:val="Hyperlink"/>
            <w:noProof/>
          </w:rPr>
          <w:t>Fonda finanšu stāvoklis 2014. gada 31. decembrī</w:t>
        </w:r>
        <w:r>
          <w:rPr>
            <w:noProof/>
            <w:webHidden/>
          </w:rPr>
          <w:tab/>
        </w:r>
        <w:r>
          <w:rPr>
            <w:noProof/>
            <w:webHidden/>
          </w:rPr>
          <w:fldChar w:fldCharType="begin"/>
        </w:r>
        <w:r>
          <w:rPr>
            <w:noProof/>
            <w:webHidden/>
          </w:rPr>
          <w:instrText xml:space="preserve"> PAGEREF _Toc423680425 \h </w:instrText>
        </w:r>
        <w:r>
          <w:rPr>
            <w:noProof/>
            <w:webHidden/>
          </w:rPr>
        </w:r>
        <w:r>
          <w:rPr>
            <w:noProof/>
            <w:webHidden/>
          </w:rPr>
          <w:fldChar w:fldCharType="separate"/>
        </w:r>
        <w:r>
          <w:rPr>
            <w:noProof/>
            <w:webHidden/>
          </w:rPr>
          <w:t>4</w:t>
        </w:r>
        <w:r>
          <w:rPr>
            <w:noProof/>
            <w:webHidden/>
          </w:rPr>
          <w:fldChar w:fldCharType="end"/>
        </w:r>
      </w:hyperlink>
    </w:p>
    <w:p>
      <w:pPr>
        <w:pStyle w:val="TOC2"/>
        <w:rPr>
          <w:rFonts w:asciiTheme="minorHAnsi" w:eastAsiaTheme="minorEastAsia" w:hAnsiTheme="minorHAnsi" w:cstheme="minorBidi"/>
          <w:noProof/>
          <w:sz w:val="22"/>
          <w:szCs w:val="22"/>
          <w:lang w:val="en-GB" w:eastAsia="en-GB" w:bidi="ar-SA"/>
        </w:rPr>
      </w:pPr>
      <w:hyperlink w:anchor="_Toc423680426" w:history="1">
        <w:r>
          <w:rPr>
            <w:rStyle w:val="Hyperlink"/>
            <w:noProof/>
          </w:rPr>
          <w:t>2.1.</w:t>
        </w:r>
        <w:r>
          <w:rPr>
            <w:rFonts w:asciiTheme="minorHAnsi" w:eastAsiaTheme="minorEastAsia" w:hAnsiTheme="minorHAnsi" w:cstheme="minorBidi"/>
            <w:noProof/>
            <w:sz w:val="22"/>
            <w:szCs w:val="22"/>
            <w:lang w:val="en-GB" w:eastAsia="en-GB" w:bidi="ar-SA"/>
          </w:rPr>
          <w:tab/>
        </w:r>
        <w:r>
          <w:rPr>
            <w:rStyle w:val="Hyperlink"/>
            <w:noProof/>
          </w:rPr>
          <w:t>Fonda finanšu plūsmas</w:t>
        </w:r>
        <w:r>
          <w:rPr>
            <w:noProof/>
            <w:webHidden/>
          </w:rPr>
          <w:tab/>
        </w:r>
        <w:r>
          <w:rPr>
            <w:noProof/>
            <w:webHidden/>
          </w:rPr>
          <w:fldChar w:fldCharType="begin"/>
        </w:r>
        <w:r>
          <w:rPr>
            <w:noProof/>
            <w:webHidden/>
          </w:rPr>
          <w:instrText xml:space="preserve"> PAGEREF _Toc423680426 \h </w:instrText>
        </w:r>
        <w:r>
          <w:rPr>
            <w:noProof/>
            <w:webHidden/>
          </w:rPr>
        </w:r>
        <w:r>
          <w:rPr>
            <w:noProof/>
            <w:webHidden/>
          </w:rPr>
          <w:fldChar w:fldCharType="separate"/>
        </w:r>
        <w:r>
          <w:rPr>
            <w:noProof/>
            <w:webHidden/>
          </w:rPr>
          <w:t>4</w:t>
        </w:r>
        <w:r>
          <w:rPr>
            <w:noProof/>
            <w:webHidden/>
          </w:rPr>
          <w:fldChar w:fldCharType="end"/>
        </w:r>
      </w:hyperlink>
    </w:p>
    <w:p>
      <w:pPr>
        <w:pStyle w:val="TOC2"/>
        <w:rPr>
          <w:rFonts w:asciiTheme="minorHAnsi" w:eastAsiaTheme="minorEastAsia" w:hAnsiTheme="minorHAnsi" w:cstheme="minorBidi"/>
          <w:noProof/>
          <w:sz w:val="22"/>
          <w:szCs w:val="22"/>
          <w:lang w:val="en-GB" w:eastAsia="en-GB" w:bidi="ar-SA"/>
        </w:rPr>
      </w:pPr>
      <w:hyperlink w:anchor="_Toc423680427" w:history="1">
        <w:r>
          <w:rPr>
            <w:rStyle w:val="Hyperlink"/>
            <w:noProof/>
          </w:rPr>
          <w:t>2.2.</w:t>
        </w:r>
        <w:r>
          <w:rPr>
            <w:rFonts w:asciiTheme="minorHAnsi" w:eastAsiaTheme="minorEastAsia" w:hAnsiTheme="minorHAnsi" w:cstheme="minorBidi"/>
            <w:noProof/>
            <w:sz w:val="22"/>
            <w:szCs w:val="22"/>
            <w:lang w:val="en-GB" w:eastAsia="en-GB" w:bidi="ar-SA"/>
          </w:rPr>
          <w:tab/>
        </w:r>
        <w:r>
          <w:rPr>
            <w:rStyle w:val="Hyperlink"/>
            <w:noProof/>
          </w:rPr>
          <w:t>Nozīmīgi darījumi</w:t>
        </w:r>
        <w:r>
          <w:rPr>
            <w:noProof/>
            <w:webHidden/>
          </w:rPr>
          <w:tab/>
        </w:r>
        <w:r>
          <w:rPr>
            <w:noProof/>
            <w:webHidden/>
          </w:rPr>
          <w:fldChar w:fldCharType="begin"/>
        </w:r>
        <w:r>
          <w:rPr>
            <w:noProof/>
            <w:webHidden/>
          </w:rPr>
          <w:instrText xml:space="preserve"> PAGEREF _Toc423680427 \h </w:instrText>
        </w:r>
        <w:r>
          <w:rPr>
            <w:noProof/>
            <w:webHidden/>
          </w:rPr>
        </w:r>
        <w:r>
          <w:rPr>
            <w:noProof/>
            <w:webHidden/>
          </w:rPr>
          <w:fldChar w:fldCharType="separate"/>
        </w:r>
        <w:r>
          <w:rPr>
            <w:noProof/>
            <w:webHidden/>
          </w:rPr>
          <w:t>5</w:t>
        </w:r>
        <w:r>
          <w:rPr>
            <w:noProof/>
            <w:webHidden/>
          </w:rPr>
          <w:fldChar w:fldCharType="end"/>
        </w:r>
      </w:hyperlink>
    </w:p>
    <w:p>
      <w:pPr>
        <w:pStyle w:val="TOC2"/>
        <w:rPr>
          <w:rFonts w:asciiTheme="minorHAnsi" w:eastAsiaTheme="minorEastAsia" w:hAnsiTheme="minorHAnsi" w:cstheme="minorBidi"/>
          <w:noProof/>
          <w:sz w:val="22"/>
          <w:szCs w:val="22"/>
          <w:lang w:val="en-GB" w:eastAsia="en-GB" w:bidi="ar-SA"/>
        </w:rPr>
      </w:pPr>
      <w:hyperlink w:anchor="_Toc423680428" w:history="1">
        <w:r>
          <w:rPr>
            <w:rStyle w:val="Hyperlink"/>
            <w:noProof/>
          </w:rPr>
          <w:t>2.3.</w:t>
        </w:r>
        <w:r>
          <w:rPr>
            <w:rFonts w:asciiTheme="minorHAnsi" w:eastAsiaTheme="minorEastAsia" w:hAnsiTheme="minorHAnsi" w:cstheme="minorBidi"/>
            <w:noProof/>
            <w:sz w:val="22"/>
            <w:szCs w:val="22"/>
            <w:lang w:val="en-GB" w:eastAsia="en-GB" w:bidi="ar-SA"/>
          </w:rPr>
          <w:tab/>
        </w:r>
        <w:r>
          <w:rPr>
            <w:rStyle w:val="Hyperlink"/>
            <w:noProof/>
          </w:rPr>
          <w:t>Nozīmīgi darījumi, kas veikti pēc ziņojuma datuma</w:t>
        </w:r>
        <w:r>
          <w:rPr>
            <w:noProof/>
            <w:webHidden/>
          </w:rPr>
          <w:tab/>
        </w:r>
        <w:r>
          <w:rPr>
            <w:noProof/>
            <w:webHidden/>
          </w:rPr>
          <w:fldChar w:fldCharType="begin"/>
        </w:r>
        <w:r>
          <w:rPr>
            <w:noProof/>
            <w:webHidden/>
          </w:rPr>
          <w:instrText xml:space="preserve"> PAGEREF _Toc423680428 \h </w:instrText>
        </w:r>
        <w:r>
          <w:rPr>
            <w:noProof/>
            <w:webHidden/>
          </w:rPr>
        </w:r>
        <w:r>
          <w:rPr>
            <w:noProof/>
            <w:webHidden/>
          </w:rPr>
          <w:fldChar w:fldCharType="separate"/>
        </w:r>
        <w:r>
          <w:rPr>
            <w:noProof/>
            <w:webHidden/>
          </w:rPr>
          <w:t>6</w:t>
        </w:r>
        <w:r>
          <w:rPr>
            <w:noProof/>
            <w:webHidden/>
          </w:rPr>
          <w:fldChar w:fldCharType="end"/>
        </w:r>
      </w:hyperlink>
    </w:p>
    <w:p>
      <w:pPr>
        <w:pStyle w:val="TOC2"/>
        <w:rPr>
          <w:rFonts w:asciiTheme="minorHAnsi" w:eastAsiaTheme="minorEastAsia" w:hAnsiTheme="minorHAnsi" w:cstheme="minorBidi"/>
          <w:noProof/>
          <w:sz w:val="22"/>
          <w:szCs w:val="22"/>
          <w:lang w:val="en-GB" w:eastAsia="en-GB" w:bidi="ar-SA"/>
        </w:rPr>
      </w:pPr>
      <w:hyperlink w:anchor="_Toc423680429" w:history="1">
        <w:r>
          <w:rPr>
            <w:rStyle w:val="Hyperlink"/>
            <w:noProof/>
          </w:rPr>
          <w:t>2.4.</w:t>
        </w:r>
        <w:r>
          <w:rPr>
            <w:rFonts w:asciiTheme="minorHAnsi" w:eastAsiaTheme="minorEastAsia" w:hAnsiTheme="minorHAnsi" w:cstheme="minorBidi"/>
            <w:noProof/>
            <w:sz w:val="22"/>
            <w:szCs w:val="22"/>
            <w:lang w:val="en-GB" w:eastAsia="en-GB" w:bidi="ar-SA"/>
          </w:rPr>
          <w:tab/>
        </w:r>
        <w:r>
          <w:rPr>
            <w:rStyle w:val="Hyperlink"/>
            <w:noProof/>
          </w:rPr>
          <w:t>Pārskatu sagatavošana</w:t>
        </w:r>
        <w:r>
          <w:rPr>
            <w:noProof/>
            <w:webHidden/>
          </w:rPr>
          <w:tab/>
        </w:r>
        <w:r>
          <w:rPr>
            <w:noProof/>
            <w:webHidden/>
          </w:rPr>
          <w:fldChar w:fldCharType="begin"/>
        </w:r>
        <w:r>
          <w:rPr>
            <w:noProof/>
            <w:webHidden/>
          </w:rPr>
          <w:instrText xml:space="preserve"> PAGEREF _Toc423680429 \h </w:instrText>
        </w:r>
        <w:r>
          <w:rPr>
            <w:noProof/>
            <w:webHidden/>
          </w:rPr>
        </w:r>
        <w:r>
          <w:rPr>
            <w:noProof/>
            <w:webHidden/>
          </w:rPr>
          <w:fldChar w:fldCharType="separate"/>
        </w:r>
        <w:r>
          <w:rPr>
            <w:noProof/>
            <w:webHidden/>
          </w:rPr>
          <w:t>6</w:t>
        </w:r>
        <w:r>
          <w:rPr>
            <w:noProof/>
            <w:webHidden/>
          </w:rPr>
          <w:fldChar w:fldCharType="end"/>
        </w:r>
      </w:hyperlink>
    </w:p>
    <w:p>
      <w:pPr>
        <w:pStyle w:val="TOC3"/>
        <w:rPr>
          <w:rFonts w:asciiTheme="minorHAnsi" w:eastAsiaTheme="minorEastAsia" w:hAnsiTheme="minorHAnsi" w:cstheme="minorBidi"/>
          <w:noProof/>
          <w:sz w:val="22"/>
          <w:szCs w:val="22"/>
          <w:lang w:val="en-GB" w:eastAsia="en-GB" w:bidi="ar-SA"/>
        </w:rPr>
      </w:pPr>
      <w:hyperlink w:anchor="_Toc423680430" w:history="1">
        <w:r>
          <w:rPr>
            <w:rStyle w:val="Hyperlink"/>
            <w:iCs/>
            <w:noProof/>
          </w:rPr>
          <w:t>2.4.1.</w:t>
        </w:r>
        <w:r>
          <w:rPr>
            <w:rFonts w:asciiTheme="minorHAnsi" w:eastAsiaTheme="minorEastAsia" w:hAnsiTheme="minorHAnsi" w:cstheme="minorBidi"/>
            <w:noProof/>
            <w:sz w:val="22"/>
            <w:szCs w:val="22"/>
            <w:lang w:val="en-GB" w:eastAsia="en-GB" w:bidi="ar-SA"/>
          </w:rPr>
          <w:tab/>
        </w:r>
        <w:r>
          <w:rPr>
            <w:rStyle w:val="Hyperlink"/>
            <w:noProof/>
          </w:rPr>
          <w:t>Pārskata sagatavošanas pamats</w:t>
        </w:r>
        <w:r>
          <w:rPr>
            <w:noProof/>
            <w:webHidden/>
          </w:rPr>
          <w:tab/>
        </w:r>
        <w:r>
          <w:rPr>
            <w:noProof/>
            <w:webHidden/>
          </w:rPr>
          <w:fldChar w:fldCharType="begin"/>
        </w:r>
        <w:r>
          <w:rPr>
            <w:noProof/>
            <w:webHidden/>
          </w:rPr>
          <w:instrText xml:space="preserve"> PAGEREF _Toc423680430 \h </w:instrText>
        </w:r>
        <w:r>
          <w:rPr>
            <w:noProof/>
            <w:webHidden/>
          </w:rPr>
        </w:r>
        <w:r>
          <w:rPr>
            <w:noProof/>
            <w:webHidden/>
          </w:rPr>
          <w:fldChar w:fldCharType="separate"/>
        </w:r>
        <w:r>
          <w:rPr>
            <w:noProof/>
            <w:webHidden/>
          </w:rPr>
          <w:t>6</w:t>
        </w:r>
        <w:r>
          <w:rPr>
            <w:noProof/>
            <w:webHidden/>
          </w:rPr>
          <w:fldChar w:fldCharType="end"/>
        </w:r>
      </w:hyperlink>
    </w:p>
    <w:p>
      <w:pPr>
        <w:pStyle w:val="TOC3"/>
        <w:rPr>
          <w:rFonts w:asciiTheme="minorHAnsi" w:eastAsiaTheme="minorEastAsia" w:hAnsiTheme="minorHAnsi" w:cstheme="minorBidi"/>
          <w:noProof/>
          <w:sz w:val="22"/>
          <w:szCs w:val="22"/>
          <w:lang w:val="en-GB" w:eastAsia="en-GB" w:bidi="ar-SA"/>
        </w:rPr>
      </w:pPr>
      <w:hyperlink w:anchor="_Toc423680431" w:history="1">
        <w:r>
          <w:rPr>
            <w:rStyle w:val="Hyperlink"/>
            <w:iCs/>
            <w:noProof/>
          </w:rPr>
          <w:t>2.4.2.</w:t>
        </w:r>
        <w:r>
          <w:rPr>
            <w:rFonts w:asciiTheme="minorHAnsi" w:eastAsiaTheme="minorEastAsia" w:hAnsiTheme="minorHAnsi" w:cstheme="minorBidi"/>
            <w:noProof/>
            <w:sz w:val="22"/>
            <w:szCs w:val="22"/>
            <w:lang w:val="en-GB" w:eastAsia="en-GB" w:bidi="ar-SA"/>
          </w:rPr>
          <w:tab/>
        </w:r>
        <w:r>
          <w:rPr>
            <w:rStyle w:val="Hyperlink"/>
            <w:noProof/>
          </w:rPr>
          <w:t>Fonda finanšu pārskats pirms konsolidācijas 2014. gada 31. decembrī</w:t>
        </w:r>
        <w:r>
          <w:rPr>
            <w:noProof/>
            <w:webHidden/>
          </w:rPr>
          <w:tab/>
        </w:r>
        <w:r>
          <w:rPr>
            <w:noProof/>
            <w:webHidden/>
          </w:rPr>
          <w:fldChar w:fldCharType="begin"/>
        </w:r>
        <w:r>
          <w:rPr>
            <w:noProof/>
            <w:webHidden/>
          </w:rPr>
          <w:instrText xml:space="preserve"> PAGEREF _Toc423680431 \h </w:instrText>
        </w:r>
        <w:r>
          <w:rPr>
            <w:noProof/>
            <w:webHidden/>
          </w:rPr>
        </w:r>
        <w:r>
          <w:rPr>
            <w:noProof/>
            <w:webHidden/>
          </w:rPr>
          <w:fldChar w:fldCharType="separate"/>
        </w:r>
        <w:r>
          <w:rPr>
            <w:noProof/>
            <w:webHidden/>
          </w:rPr>
          <w:t>6</w:t>
        </w:r>
        <w:r>
          <w:rPr>
            <w:noProof/>
            <w:webHidden/>
          </w:rPr>
          <w:fldChar w:fldCharType="end"/>
        </w:r>
      </w:hyperlink>
    </w:p>
    <w:p>
      <w:pPr>
        <w:pStyle w:val="TOC1"/>
        <w:rPr>
          <w:rFonts w:asciiTheme="minorHAnsi" w:eastAsiaTheme="minorEastAsia" w:hAnsiTheme="minorHAnsi" w:cstheme="minorBidi"/>
          <w:noProof/>
          <w:sz w:val="22"/>
          <w:szCs w:val="22"/>
          <w:lang w:val="en-GB" w:eastAsia="en-GB" w:bidi="ar-SA"/>
        </w:rPr>
      </w:pPr>
      <w:hyperlink w:anchor="_Toc423680432" w:history="1">
        <w:r>
          <w:rPr>
            <w:rStyle w:val="Hyperlink"/>
            <w:noProof/>
          </w:rPr>
          <w:t>3.</w:t>
        </w:r>
        <w:r>
          <w:rPr>
            <w:rFonts w:asciiTheme="minorHAnsi" w:eastAsiaTheme="minorEastAsia" w:hAnsiTheme="minorHAnsi" w:cstheme="minorBidi"/>
            <w:noProof/>
            <w:sz w:val="22"/>
            <w:szCs w:val="22"/>
            <w:lang w:val="en-GB" w:eastAsia="en-GB" w:bidi="ar-SA"/>
          </w:rPr>
          <w:tab/>
        </w:r>
        <w:r>
          <w:rPr>
            <w:rStyle w:val="Hyperlink"/>
            <w:noProof/>
          </w:rPr>
          <w:t>Iemaksas Fondā vai izmaksas no tā</w:t>
        </w:r>
        <w:r>
          <w:rPr>
            <w:noProof/>
            <w:webHidden/>
          </w:rPr>
          <w:tab/>
        </w:r>
        <w:r>
          <w:rPr>
            <w:noProof/>
            <w:webHidden/>
          </w:rPr>
          <w:fldChar w:fldCharType="begin"/>
        </w:r>
        <w:r>
          <w:rPr>
            <w:noProof/>
            <w:webHidden/>
          </w:rPr>
          <w:instrText xml:space="preserve"> PAGEREF _Toc423680432 \h </w:instrText>
        </w:r>
        <w:r>
          <w:rPr>
            <w:noProof/>
            <w:webHidden/>
          </w:rPr>
        </w:r>
        <w:r>
          <w:rPr>
            <w:noProof/>
            <w:webHidden/>
          </w:rPr>
          <w:fldChar w:fldCharType="separate"/>
        </w:r>
        <w:r>
          <w:rPr>
            <w:noProof/>
            <w:webHidden/>
          </w:rPr>
          <w:t>8</w:t>
        </w:r>
        <w:r>
          <w:rPr>
            <w:noProof/>
            <w:webHidden/>
          </w:rPr>
          <w:fldChar w:fldCharType="end"/>
        </w:r>
      </w:hyperlink>
    </w:p>
    <w:p>
      <w:pPr>
        <w:pStyle w:val="TOC2"/>
        <w:rPr>
          <w:rFonts w:asciiTheme="minorHAnsi" w:eastAsiaTheme="minorEastAsia" w:hAnsiTheme="minorHAnsi" w:cstheme="minorBidi"/>
          <w:noProof/>
          <w:sz w:val="22"/>
          <w:szCs w:val="22"/>
          <w:lang w:val="en-GB" w:eastAsia="en-GB" w:bidi="ar-SA"/>
        </w:rPr>
      </w:pPr>
      <w:hyperlink w:anchor="_Toc423680433" w:history="1">
        <w:r>
          <w:rPr>
            <w:rStyle w:val="Hyperlink"/>
            <w:noProof/>
          </w:rPr>
          <w:t>3.1.</w:t>
        </w:r>
        <w:r>
          <w:rPr>
            <w:rFonts w:asciiTheme="minorHAnsi" w:eastAsiaTheme="minorEastAsia" w:hAnsiTheme="minorHAnsi" w:cstheme="minorBidi"/>
            <w:noProof/>
            <w:sz w:val="22"/>
            <w:szCs w:val="22"/>
            <w:lang w:val="en-GB" w:eastAsia="en-GB" w:bidi="ar-SA"/>
          </w:rPr>
          <w:tab/>
        </w:r>
        <w:r>
          <w:rPr>
            <w:rStyle w:val="Hyperlink"/>
            <w:noProof/>
          </w:rPr>
          <w:t>Juridiskais pamats iemaksām Fondā no vispārējā budžeta</w:t>
        </w:r>
        <w:r>
          <w:rPr>
            <w:noProof/>
            <w:webHidden/>
          </w:rPr>
          <w:tab/>
        </w:r>
        <w:r>
          <w:rPr>
            <w:noProof/>
            <w:webHidden/>
          </w:rPr>
          <w:fldChar w:fldCharType="begin"/>
        </w:r>
        <w:r>
          <w:rPr>
            <w:noProof/>
            <w:webHidden/>
          </w:rPr>
          <w:instrText xml:space="preserve"> PAGEREF _Toc423680433 \h </w:instrText>
        </w:r>
        <w:r>
          <w:rPr>
            <w:noProof/>
            <w:webHidden/>
          </w:rPr>
        </w:r>
        <w:r>
          <w:rPr>
            <w:noProof/>
            <w:webHidden/>
          </w:rPr>
          <w:fldChar w:fldCharType="separate"/>
        </w:r>
        <w:r>
          <w:rPr>
            <w:noProof/>
            <w:webHidden/>
          </w:rPr>
          <w:t>8</w:t>
        </w:r>
        <w:r>
          <w:rPr>
            <w:noProof/>
            <w:webHidden/>
          </w:rPr>
          <w:fldChar w:fldCharType="end"/>
        </w:r>
      </w:hyperlink>
    </w:p>
    <w:p>
      <w:pPr>
        <w:pStyle w:val="TOC2"/>
        <w:rPr>
          <w:rFonts w:asciiTheme="minorHAnsi" w:eastAsiaTheme="minorEastAsia" w:hAnsiTheme="minorHAnsi" w:cstheme="minorBidi"/>
          <w:noProof/>
          <w:sz w:val="22"/>
          <w:szCs w:val="22"/>
          <w:lang w:val="en-GB" w:eastAsia="en-GB" w:bidi="ar-SA"/>
        </w:rPr>
      </w:pPr>
      <w:hyperlink w:anchor="_Toc423680434" w:history="1">
        <w:r>
          <w:rPr>
            <w:rStyle w:val="Hyperlink"/>
            <w:noProof/>
          </w:rPr>
          <w:t>3.2.</w:t>
        </w:r>
        <w:r>
          <w:rPr>
            <w:rFonts w:asciiTheme="minorHAnsi" w:eastAsiaTheme="minorEastAsia" w:hAnsiTheme="minorHAnsi" w:cstheme="minorBidi"/>
            <w:noProof/>
            <w:sz w:val="22"/>
            <w:szCs w:val="22"/>
            <w:lang w:val="en-GB" w:eastAsia="en-GB" w:bidi="ar-SA"/>
          </w:rPr>
          <w:tab/>
        </w:r>
        <w:r>
          <w:rPr>
            <w:rStyle w:val="Hyperlink"/>
            <w:noProof/>
          </w:rPr>
          <w:t>Maksājumi vispārējā budžetā vai no vispārējā budžeta finanšu gada laikā</w:t>
        </w:r>
        <w:r>
          <w:rPr>
            <w:noProof/>
            <w:webHidden/>
          </w:rPr>
          <w:tab/>
        </w:r>
        <w:r>
          <w:rPr>
            <w:noProof/>
            <w:webHidden/>
          </w:rPr>
          <w:fldChar w:fldCharType="begin"/>
        </w:r>
        <w:r>
          <w:rPr>
            <w:noProof/>
            <w:webHidden/>
          </w:rPr>
          <w:instrText xml:space="preserve"> PAGEREF _Toc423680434 \h </w:instrText>
        </w:r>
        <w:r>
          <w:rPr>
            <w:noProof/>
            <w:webHidden/>
          </w:rPr>
        </w:r>
        <w:r>
          <w:rPr>
            <w:noProof/>
            <w:webHidden/>
          </w:rPr>
          <w:fldChar w:fldCharType="separate"/>
        </w:r>
        <w:r>
          <w:rPr>
            <w:noProof/>
            <w:webHidden/>
          </w:rPr>
          <w:t>9</w:t>
        </w:r>
        <w:r>
          <w:rPr>
            <w:noProof/>
            <w:webHidden/>
          </w:rPr>
          <w:fldChar w:fldCharType="end"/>
        </w:r>
      </w:hyperlink>
    </w:p>
    <w:p>
      <w:pPr>
        <w:pStyle w:val="TOC3"/>
        <w:rPr>
          <w:rFonts w:asciiTheme="minorHAnsi" w:eastAsiaTheme="minorEastAsia" w:hAnsiTheme="minorHAnsi" w:cstheme="minorBidi"/>
          <w:noProof/>
          <w:sz w:val="22"/>
          <w:szCs w:val="22"/>
          <w:lang w:val="en-GB" w:eastAsia="en-GB" w:bidi="ar-SA"/>
        </w:rPr>
      </w:pPr>
      <w:hyperlink w:anchor="_Toc423680435" w:history="1">
        <w:r>
          <w:rPr>
            <w:rStyle w:val="Hyperlink"/>
            <w:noProof/>
          </w:rPr>
          <w:t>3.2.1.</w:t>
        </w:r>
        <w:r>
          <w:rPr>
            <w:rFonts w:asciiTheme="minorHAnsi" w:eastAsiaTheme="minorEastAsia" w:hAnsiTheme="minorHAnsi" w:cstheme="minorBidi"/>
            <w:noProof/>
            <w:sz w:val="22"/>
            <w:szCs w:val="22"/>
            <w:lang w:val="en-GB" w:eastAsia="en-GB" w:bidi="ar-SA"/>
          </w:rPr>
          <w:tab/>
        </w:r>
        <w:r>
          <w:rPr>
            <w:rStyle w:val="Hyperlink"/>
            <w:noProof/>
          </w:rPr>
          <w:t>Fonda finansējums</w:t>
        </w:r>
        <w:r>
          <w:rPr>
            <w:noProof/>
            <w:webHidden/>
          </w:rPr>
          <w:tab/>
        </w:r>
        <w:r>
          <w:rPr>
            <w:noProof/>
            <w:webHidden/>
          </w:rPr>
          <w:fldChar w:fldCharType="begin"/>
        </w:r>
        <w:r>
          <w:rPr>
            <w:noProof/>
            <w:webHidden/>
          </w:rPr>
          <w:instrText xml:space="preserve"> PAGEREF _Toc423680435 \h </w:instrText>
        </w:r>
        <w:r>
          <w:rPr>
            <w:noProof/>
            <w:webHidden/>
          </w:rPr>
        </w:r>
        <w:r>
          <w:rPr>
            <w:noProof/>
            <w:webHidden/>
          </w:rPr>
          <w:fldChar w:fldCharType="separate"/>
        </w:r>
        <w:r>
          <w:rPr>
            <w:noProof/>
            <w:webHidden/>
          </w:rPr>
          <w:t>9</w:t>
        </w:r>
        <w:r>
          <w:rPr>
            <w:noProof/>
            <w:webHidden/>
          </w:rPr>
          <w:fldChar w:fldCharType="end"/>
        </w:r>
      </w:hyperlink>
    </w:p>
    <w:p>
      <w:pPr>
        <w:pStyle w:val="TOC3"/>
        <w:rPr>
          <w:rFonts w:asciiTheme="minorHAnsi" w:eastAsiaTheme="minorEastAsia" w:hAnsiTheme="minorHAnsi" w:cstheme="minorBidi"/>
          <w:noProof/>
          <w:sz w:val="22"/>
          <w:szCs w:val="22"/>
          <w:lang w:val="en-GB" w:eastAsia="en-GB" w:bidi="ar-SA"/>
        </w:rPr>
      </w:pPr>
      <w:hyperlink w:anchor="_Toc423680436" w:history="1">
        <w:r>
          <w:rPr>
            <w:rStyle w:val="Hyperlink"/>
            <w:noProof/>
          </w:rPr>
          <w:t>3.2.2.</w:t>
        </w:r>
        <w:r>
          <w:rPr>
            <w:rFonts w:asciiTheme="minorHAnsi" w:eastAsiaTheme="minorEastAsia" w:hAnsiTheme="minorHAnsi" w:cstheme="minorBidi"/>
            <w:noProof/>
            <w:sz w:val="22"/>
            <w:szCs w:val="22"/>
            <w:lang w:val="en-GB" w:eastAsia="en-GB" w:bidi="ar-SA"/>
          </w:rPr>
          <w:tab/>
        </w:r>
        <w:r>
          <w:rPr>
            <w:rStyle w:val="Hyperlink"/>
            <w:noProof/>
          </w:rPr>
          <w:t>Fonda likvīdo aktīvu ieguldījumu procenti</w:t>
        </w:r>
        <w:r>
          <w:rPr>
            <w:noProof/>
            <w:webHidden/>
          </w:rPr>
          <w:tab/>
        </w:r>
        <w:r>
          <w:rPr>
            <w:noProof/>
            <w:webHidden/>
          </w:rPr>
          <w:fldChar w:fldCharType="begin"/>
        </w:r>
        <w:r>
          <w:rPr>
            <w:noProof/>
            <w:webHidden/>
          </w:rPr>
          <w:instrText xml:space="preserve"> PAGEREF _Toc423680436 \h </w:instrText>
        </w:r>
        <w:r>
          <w:rPr>
            <w:noProof/>
            <w:webHidden/>
          </w:rPr>
        </w:r>
        <w:r>
          <w:rPr>
            <w:noProof/>
            <w:webHidden/>
          </w:rPr>
          <w:fldChar w:fldCharType="separate"/>
        </w:r>
        <w:r>
          <w:rPr>
            <w:noProof/>
            <w:webHidden/>
          </w:rPr>
          <w:t>9</w:t>
        </w:r>
        <w:r>
          <w:rPr>
            <w:noProof/>
            <w:webHidden/>
          </w:rPr>
          <w:fldChar w:fldCharType="end"/>
        </w:r>
      </w:hyperlink>
    </w:p>
    <w:p>
      <w:pPr>
        <w:pStyle w:val="TOC3"/>
        <w:rPr>
          <w:rFonts w:asciiTheme="minorHAnsi" w:eastAsiaTheme="minorEastAsia" w:hAnsiTheme="minorHAnsi" w:cstheme="minorBidi"/>
          <w:noProof/>
          <w:sz w:val="22"/>
          <w:szCs w:val="22"/>
          <w:lang w:val="en-GB" w:eastAsia="en-GB" w:bidi="ar-SA"/>
        </w:rPr>
      </w:pPr>
      <w:hyperlink w:anchor="_Toc423680437" w:history="1">
        <w:r>
          <w:rPr>
            <w:rStyle w:val="Hyperlink"/>
            <w:noProof/>
          </w:rPr>
          <w:t>3.2.3.</w:t>
        </w:r>
        <w:r>
          <w:rPr>
            <w:rFonts w:asciiTheme="minorHAnsi" w:eastAsiaTheme="minorEastAsia" w:hAnsiTheme="minorHAnsi" w:cstheme="minorBidi"/>
            <w:noProof/>
            <w:sz w:val="22"/>
            <w:szCs w:val="22"/>
            <w:lang w:val="en-GB" w:eastAsia="en-GB" w:bidi="ar-SA"/>
          </w:rPr>
          <w:tab/>
        </w:r>
        <w:r>
          <w:rPr>
            <w:rStyle w:val="Hyperlink"/>
            <w:noProof/>
          </w:rPr>
          <w:t>Ieņēmumi no finanšu operācijām</w:t>
        </w:r>
        <w:r>
          <w:rPr>
            <w:noProof/>
            <w:webHidden/>
          </w:rPr>
          <w:tab/>
        </w:r>
        <w:r>
          <w:rPr>
            <w:noProof/>
            <w:webHidden/>
          </w:rPr>
          <w:fldChar w:fldCharType="begin"/>
        </w:r>
        <w:r>
          <w:rPr>
            <w:noProof/>
            <w:webHidden/>
          </w:rPr>
          <w:instrText xml:space="preserve"> PAGEREF _Toc423680437 \h </w:instrText>
        </w:r>
        <w:r>
          <w:rPr>
            <w:noProof/>
            <w:webHidden/>
          </w:rPr>
        </w:r>
        <w:r>
          <w:rPr>
            <w:noProof/>
            <w:webHidden/>
          </w:rPr>
          <w:fldChar w:fldCharType="separate"/>
        </w:r>
        <w:r>
          <w:rPr>
            <w:noProof/>
            <w:webHidden/>
          </w:rPr>
          <w:t>10</w:t>
        </w:r>
        <w:r>
          <w:rPr>
            <w:noProof/>
            <w:webHidden/>
          </w:rPr>
          <w:fldChar w:fldCharType="end"/>
        </w:r>
      </w:hyperlink>
    </w:p>
    <w:p>
      <w:pPr>
        <w:pStyle w:val="TOC3"/>
        <w:rPr>
          <w:rFonts w:asciiTheme="minorHAnsi" w:eastAsiaTheme="minorEastAsia" w:hAnsiTheme="minorHAnsi" w:cstheme="minorBidi"/>
          <w:noProof/>
          <w:sz w:val="22"/>
          <w:szCs w:val="22"/>
          <w:lang w:val="en-GB" w:eastAsia="en-GB" w:bidi="ar-SA"/>
        </w:rPr>
      </w:pPr>
      <w:hyperlink w:anchor="_Toc423680438" w:history="1">
        <w:r>
          <w:rPr>
            <w:rStyle w:val="Hyperlink"/>
            <w:noProof/>
          </w:rPr>
          <w:t>3.2.4.</w:t>
        </w:r>
        <w:r>
          <w:rPr>
            <w:rFonts w:asciiTheme="minorHAnsi" w:eastAsiaTheme="minorEastAsia" w:hAnsiTheme="minorHAnsi" w:cstheme="minorBidi"/>
            <w:noProof/>
            <w:sz w:val="22"/>
            <w:szCs w:val="22"/>
            <w:lang w:val="en-GB" w:eastAsia="en-GB" w:bidi="ar-SA"/>
          </w:rPr>
          <w:tab/>
        </w:r>
        <w:r>
          <w:rPr>
            <w:rStyle w:val="Hyperlink"/>
            <w:noProof/>
          </w:rPr>
          <w:t>Ieņēmumi un izdevumi saimniecisko darbību rezultātā</w:t>
        </w:r>
        <w:r>
          <w:rPr>
            <w:noProof/>
            <w:webHidden/>
          </w:rPr>
          <w:tab/>
        </w:r>
        <w:r>
          <w:rPr>
            <w:noProof/>
            <w:webHidden/>
          </w:rPr>
          <w:fldChar w:fldCharType="begin"/>
        </w:r>
        <w:r>
          <w:rPr>
            <w:noProof/>
            <w:webHidden/>
          </w:rPr>
          <w:instrText xml:space="preserve"> PAGEREF _Toc423680438 \h </w:instrText>
        </w:r>
        <w:r>
          <w:rPr>
            <w:noProof/>
            <w:webHidden/>
          </w:rPr>
        </w:r>
        <w:r>
          <w:rPr>
            <w:noProof/>
            <w:webHidden/>
          </w:rPr>
          <w:fldChar w:fldCharType="separate"/>
        </w:r>
        <w:r>
          <w:rPr>
            <w:noProof/>
            <w:webHidden/>
          </w:rPr>
          <w:t>11</w:t>
        </w:r>
        <w:r>
          <w:rPr>
            <w:noProof/>
            <w:webHidden/>
          </w:rPr>
          <w:fldChar w:fldCharType="end"/>
        </w:r>
      </w:hyperlink>
    </w:p>
    <w:p>
      <w:pPr>
        <w:pStyle w:val="TOC1"/>
        <w:rPr>
          <w:rFonts w:asciiTheme="minorHAnsi" w:eastAsiaTheme="minorEastAsia" w:hAnsiTheme="minorHAnsi" w:cstheme="minorBidi"/>
          <w:noProof/>
          <w:sz w:val="22"/>
          <w:szCs w:val="22"/>
          <w:lang w:val="en-GB" w:eastAsia="en-GB" w:bidi="ar-SA"/>
        </w:rPr>
      </w:pPr>
      <w:hyperlink w:anchor="_Toc423680439" w:history="1">
        <w:r>
          <w:rPr>
            <w:rStyle w:val="Hyperlink"/>
            <w:noProof/>
          </w:rPr>
          <w:t>4.</w:t>
        </w:r>
        <w:r>
          <w:rPr>
            <w:rFonts w:asciiTheme="minorHAnsi" w:eastAsiaTheme="minorEastAsia" w:hAnsiTheme="minorHAnsi" w:cstheme="minorBidi"/>
            <w:noProof/>
            <w:sz w:val="22"/>
            <w:szCs w:val="22"/>
            <w:lang w:val="en-GB" w:eastAsia="en-GB" w:bidi="ar-SA"/>
          </w:rPr>
          <w:tab/>
        </w:r>
        <w:r>
          <w:rPr>
            <w:rStyle w:val="Hyperlink"/>
            <w:noProof/>
          </w:rPr>
          <w:t>Fonda saistības</w:t>
        </w:r>
        <w:r>
          <w:rPr>
            <w:noProof/>
            <w:webHidden/>
          </w:rPr>
          <w:tab/>
        </w:r>
        <w:r>
          <w:rPr>
            <w:noProof/>
            <w:webHidden/>
          </w:rPr>
          <w:fldChar w:fldCharType="begin"/>
        </w:r>
        <w:r>
          <w:rPr>
            <w:noProof/>
            <w:webHidden/>
          </w:rPr>
          <w:instrText xml:space="preserve"> PAGEREF _Toc423680439 \h </w:instrText>
        </w:r>
        <w:r>
          <w:rPr>
            <w:noProof/>
            <w:webHidden/>
          </w:rPr>
        </w:r>
        <w:r>
          <w:rPr>
            <w:noProof/>
            <w:webHidden/>
          </w:rPr>
          <w:fldChar w:fldCharType="separate"/>
        </w:r>
        <w:r>
          <w:rPr>
            <w:noProof/>
            <w:webHidden/>
          </w:rPr>
          <w:t>11</w:t>
        </w:r>
        <w:r>
          <w:rPr>
            <w:noProof/>
            <w:webHidden/>
          </w:rPr>
          <w:fldChar w:fldCharType="end"/>
        </w:r>
      </w:hyperlink>
    </w:p>
    <w:p>
      <w:pPr>
        <w:pStyle w:val="TOC2"/>
        <w:rPr>
          <w:rFonts w:asciiTheme="minorHAnsi" w:eastAsiaTheme="minorEastAsia" w:hAnsiTheme="minorHAnsi" w:cstheme="minorBidi"/>
          <w:noProof/>
          <w:sz w:val="22"/>
          <w:szCs w:val="22"/>
          <w:lang w:val="en-GB" w:eastAsia="en-GB" w:bidi="ar-SA"/>
        </w:rPr>
      </w:pPr>
      <w:hyperlink w:anchor="_Toc423680440" w:history="1">
        <w:r>
          <w:rPr>
            <w:rStyle w:val="Hyperlink"/>
            <w:noProof/>
          </w:rPr>
          <w:t>4.1.</w:t>
        </w:r>
        <w:r>
          <w:rPr>
            <w:rFonts w:asciiTheme="minorHAnsi" w:eastAsiaTheme="minorEastAsia" w:hAnsiTheme="minorHAnsi" w:cstheme="minorBidi"/>
            <w:noProof/>
            <w:sz w:val="22"/>
            <w:szCs w:val="22"/>
            <w:lang w:val="en-GB" w:eastAsia="en-GB" w:bidi="ar-SA"/>
          </w:rPr>
          <w:tab/>
        </w:r>
        <w:r>
          <w:rPr>
            <w:rStyle w:val="Hyperlink"/>
            <w:noProof/>
          </w:rPr>
          <w:t>Neizpildīto saistību maksājumi</w:t>
        </w:r>
        <w:r>
          <w:rPr>
            <w:noProof/>
            <w:webHidden/>
          </w:rPr>
          <w:tab/>
        </w:r>
        <w:r>
          <w:rPr>
            <w:noProof/>
            <w:webHidden/>
          </w:rPr>
          <w:fldChar w:fldCharType="begin"/>
        </w:r>
        <w:r>
          <w:rPr>
            <w:noProof/>
            <w:webHidden/>
          </w:rPr>
          <w:instrText xml:space="preserve"> PAGEREF _Toc423680440 \h </w:instrText>
        </w:r>
        <w:r>
          <w:rPr>
            <w:noProof/>
            <w:webHidden/>
          </w:rPr>
        </w:r>
        <w:r>
          <w:rPr>
            <w:noProof/>
            <w:webHidden/>
          </w:rPr>
          <w:fldChar w:fldCharType="separate"/>
        </w:r>
        <w:r>
          <w:rPr>
            <w:noProof/>
            <w:webHidden/>
          </w:rPr>
          <w:t>11</w:t>
        </w:r>
        <w:r>
          <w:rPr>
            <w:noProof/>
            <w:webHidden/>
          </w:rPr>
          <w:fldChar w:fldCharType="end"/>
        </w:r>
      </w:hyperlink>
    </w:p>
    <w:p>
      <w:pPr>
        <w:pStyle w:val="TOC2"/>
        <w:rPr>
          <w:rFonts w:asciiTheme="minorHAnsi" w:eastAsiaTheme="minorEastAsia" w:hAnsiTheme="minorHAnsi" w:cstheme="minorBidi"/>
          <w:noProof/>
          <w:sz w:val="22"/>
          <w:szCs w:val="22"/>
          <w:lang w:val="en-GB" w:eastAsia="en-GB" w:bidi="ar-SA"/>
        </w:rPr>
      </w:pPr>
      <w:hyperlink w:anchor="_Toc423680441" w:history="1">
        <w:r>
          <w:rPr>
            <w:rStyle w:val="Hyperlink"/>
            <w:noProof/>
          </w:rPr>
          <w:t>4.2.</w:t>
        </w:r>
        <w:r>
          <w:rPr>
            <w:rFonts w:asciiTheme="minorHAnsi" w:eastAsiaTheme="minorEastAsia" w:hAnsiTheme="minorHAnsi" w:cstheme="minorBidi"/>
            <w:noProof/>
            <w:sz w:val="22"/>
            <w:szCs w:val="22"/>
            <w:lang w:val="en-GB" w:eastAsia="en-GB" w:bidi="ar-SA"/>
          </w:rPr>
          <w:tab/>
        </w:r>
        <w:r>
          <w:rPr>
            <w:rStyle w:val="Hyperlink"/>
            <w:noProof/>
          </w:rPr>
          <w:t>Atlīdzība EIB</w:t>
        </w:r>
        <w:r>
          <w:rPr>
            <w:noProof/>
            <w:webHidden/>
          </w:rPr>
          <w:tab/>
        </w:r>
        <w:r>
          <w:rPr>
            <w:noProof/>
            <w:webHidden/>
          </w:rPr>
          <w:fldChar w:fldCharType="begin"/>
        </w:r>
        <w:r>
          <w:rPr>
            <w:noProof/>
            <w:webHidden/>
          </w:rPr>
          <w:instrText xml:space="preserve"> PAGEREF _Toc423680441 \h </w:instrText>
        </w:r>
        <w:r>
          <w:rPr>
            <w:noProof/>
            <w:webHidden/>
          </w:rPr>
        </w:r>
        <w:r>
          <w:rPr>
            <w:noProof/>
            <w:webHidden/>
          </w:rPr>
          <w:fldChar w:fldCharType="separate"/>
        </w:r>
        <w:r>
          <w:rPr>
            <w:noProof/>
            <w:webHidden/>
          </w:rPr>
          <w:t>11</w:t>
        </w:r>
        <w:r>
          <w:rPr>
            <w:noProof/>
            <w:webHidden/>
          </w:rPr>
          <w:fldChar w:fldCharType="end"/>
        </w:r>
      </w:hyperlink>
    </w:p>
    <w:p>
      <w:pPr>
        <w:pStyle w:val="TOC1"/>
        <w:rPr>
          <w:rFonts w:ascii="Calibri" w:hAnsi="Calibri"/>
          <w:noProof/>
          <w:sz w:val="22"/>
          <w:szCs w:val="22"/>
        </w:rPr>
      </w:pPr>
      <w:r>
        <w:rPr>
          <w:noProof/>
        </w:rPr>
        <w:fldChar w:fldCharType="end"/>
      </w:r>
    </w:p>
    <w:p>
      <w:pPr>
        <w:rPr>
          <w:noProof/>
        </w:rPr>
        <w:sectPr>
          <w:headerReference w:type="even" r:id="rId16"/>
          <w:headerReference w:type="default" r:id="rId17"/>
          <w:footerReference w:type="even" r:id="rId18"/>
          <w:footerReference w:type="default" r:id="rId19"/>
          <w:headerReference w:type="first" r:id="rId20"/>
          <w:footerReference w:type="first" r:id="rId21"/>
          <w:pgSz w:w="11906" w:h="16838"/>
          <w:pgMar w:top="1134" w:right="1418" w:bottom="1134" w:left="1418" w:header="720" w:footer="720" w:gutter="0"/>
          <w:paperSrc w:first="15" w:other="15"/>
          <w:cols w:space="720"/>
          <w:docGrid w:linePitch="326"/>
        </w:sectPr>
      </w:pPr>
    </w:p>
    <w:p>
      <w:pPr>
        <w:pStyle w:val="ManualHeading1"/>
        <w:rPr>
          <w:noProof/>
        </w:rPr>
      </w:pPr>
      <w:bookmarkStart w:id="2" w:name="_Toc323019492"/>
      <w:bookmarkStart w:id="3" w:name="_Toc354050118"/>
      <w:bookmarkStart w:id="4" w:name="_Toc358294843"/>
      <w:bookmarkStart w:id="5" w:name="_Toc415838340"/>
      <w:bookmarkStart w:id="6" w:name="_Toc416963777"/>
      <w:bookmarkStart w:id="7" w:name="_Toc423680424"/>
      <w:r>
        <w:t>1.</w:t>
      </w:r>
      <w:r>
        <w:tab/>
      </w:r>
      <w:r>
        <w:rPr>
          <w:noProof/>
        </w:rPr>
        <w:t>Ievads</w:t>
      </w:r>
      <w:bookmarkEnd w:id="2"/>
      <w:bookmarkEnd w:id="3"/>
      <w:bookmarkEnd w:id="4"/>
      <w:bookmarkEnd w:id="5"/>
      <w:bookmarkEnd w:id="6"/>
      <w:bookmarkEnd w:id="7"/>
    </w:p>
    <w:p>
      <w:pPr>
        <w:rPr>
          <w:rFonts w:ascii="EUAlbertina_Bold" w:hAnsi="EUAlbertina_Bold" w:cs="EUAlbertina_Bold"/>
          <w:b/>
          <w:bCs/>
          <w:noProof/>
          <w:sz w:val="19"/>
          <w:szCs w:val="19"/>
        </w:rPr>
      </w:pPr>
      <w:r>
        <w:rPr>
          <w:noProof/>
        </w:rPr>
        <w:t>Ar Padomes 2009. gada 25. maija Regulu (EK, Euratom) Nr. 480/2009</w:t>
      </w:r>
      <w:r>
        <w:rPr>
          <w:rStyle w:val="FootnoteReference"/>
          <w:noProof/>
        </w:rPr>
        <w:footnoteReference w:id="1"/>
      </w:r>
      <w:r>
        <w:rPr>
          <w:noProof/>
        </w:rPr>
        <w:t xml:space="preserve"> (kodificēta versija) („Regula”) izveidoja Garantiju fondu ārējai darbībai („Fonds”), kura resursus izmanto, lai atmaksātu aizdevumus Savienības kreditoriem, ja Eiropas Savienības piešķirtā vai garantētā aizdevuma saņēmējs nepilda saistības. Atbilstīgi Regulas 7. pantam Komisija Fonda finanšu pārvaldību uzticēja Eiropas Investīciju bankai (EIB) saskaņā ar Komisijas un EIB 1994. gada 23. novembrī Briselē un 1994. gada 25. novembrī Luksemburgā parakstīto nolīgumu („Nolīgums”), kas vēlāk tika grozīts 1996. gada 17./23. septembrī, 2002. gada 8. maijā, 2008. gada 25. februārī, 2010. gada 20. oktobrī un 2010. gada 9. novembrī. </w:t>
      </w:r>
    </w:p>
    <w:p>
      <w:pPr>
        <w:rPr>
          <w:noProof/>
        </w:rPr>
      </w:pPr>
      <w:r>
        <w:rPr>
          <w:noProof/>
        </w:rPr>
        <w:t>Regulas 8. pantā paredzēts, ka Komisijai jānosūta Eiropas Parlamentam, Padomei un Revīzijas palātai ziņojums par Fonda stāvokli un tā pārvaldību par katru finanšu gadu ne vēlāk kā līdz nākamā gada 31. maijam.</w:t>
      </w:r>
    </w:p>
    <w:p>
      <w:pPr>
        <w:rPr>
          <w:noProof/>
        </w:rPr>
      </w:pPr>
      <w:r>
        <w:rPr>
          <w:noProof/>
        </w:rPr>
        <w:t>Šajā ziņojumā un Komisijas dienestu darba dokumentā (</w:t>
      </w:r>
      <w:r>
        <w:rPr>
          <w:i/>
          <w:noProof/>
        </w:rPr>
        <w:t>SWD</w:t>
      </w:r>
      <w:r>
        <w:rPr>
          <w:noProof/>
        </w:rPr>
        <w:t>) sniegta šī informācija. Tā pamatojas uz datiem, kas saskaņā ar nolīgumu saņemti no EIB.</w:t>
      </w:r>
    </w:p>
    <w:p>
      <w:pPr>
        <w:pStyle w:val="ManualHeading1"/>
        <w:rPr>
          <w:noProof/>
        </w:rPr>
      </w:pPr>
      <w:r>
        <w:rPr>
          <w:noProof/>
        </w:rPr>
        <w:br w:type="page"/>
      </w:r>
      <w:bookmarkStart w:id="8" w:name="_Toc323019493"/>
      <w:bookmarkStart w:id="9" w:name="_Toc354050119"/>
      <w:bookmarkStart w:id="10" w:name="_Toc358294844"/>
      <w:bookmarkStart w:id="11" w:name="_Toc415838341"/>
      <w:bookmarkStart w:id="12" w:name="_Toc416963778"/>
      <w:bookmarkStart w:id="13" w:name="_Toc423680425"/>
      <w:r>
        <w:t>2.</w:t>
      </w:r>
      <w:r>
        <w:tab/>
      </w:r>
      <w:r>
        <w:rPr>
          <w:noProof/>
        </w:rPr>
        <w:t>Fonda finanšu stāvoklis 2014. gada 31. </w:t>
      </w:r>
      <w:bookmarkEnd w:id="8"/>
      <w:bookmarkEnd w:id="9"/>
      <w:bookmarkEnd w:id="10"/>
      <w:r>
        <w:rPr>
          <w:noProof/>
        </w:rPr>
        <w:t>decembrī</w:t>
      </w:r>
      <w:bookmarkEnd w:id="11"/>
      <w:bookmarkEnd w:id="12"/>
      <w:bookmarkEnd w:id="13"/>
    </w:p>
    <w:p>
      <w:pPr>
        <w:rPr>
          <w:noProof/>
        </w:rPr>
      </w:pPr>
      <w:r>
        <w:rPr>
          <w:noProof/>
        </w:rPr>
        <w:t>Fonda finanšu stāvoklis ir visu finanšu plūsmu kopums kopš Fonda dibināšanas 1994. gadā.</w:t>
      </w:r>
    </w:p>
    <w:p>
      <w:pPr>
        <w:pStyle w:val="ManualHeading2"/>
        <w:rPr>
          <w:noProof/>
        </w:rPr>
      </w:pPr>
      <w:bookmarkStart w:id="14" w:name="_Toc323019494"/>
      <w:bookmarkStart w:id="15" w:name="_Toc354050120"/>
      <w:bookmarkStart w:id="16" w:name="_Toc358294845"/>
      <w:bookmarkStart w:id="17" w:name="_Toc415838342"/>
      <w:bookmarkStart w:id="18" w:name="_Toc416963779"/>
      <w:bookmarkStart w:id="19" w:name="_Toc423680426"/>
      <w:r>
        <w:t>2.1.</w:t>
      </w:r>
      <w:r>
        <w:tab/>
      </w:r>
      <w:r>
        <w:rPr>
          <w:noProof/>
        </w:rPr>
        <w:t>Fonda finanšu plūsmas</w:t>
      </w:r>
      <w:bookmarkEnd w:id="14"/>
      <w:bookmarkEnd w:id="15"/>
      <w:bookmarkEnd w:id="16"/>
      <w:bookmarkEnd w:id="17"/>
      <w:bookmarkEnd w:id="18"/>
      <w:bookmarkEnd w:id="19"/>
    </w:p>
    <w:p>
      <w:pPr>
        <w:rPr>
          <w:noProof/>
        </w:rPr>
      </w:pPr>
      <w:r>
        <w:rPr>
          <w:noProof/>
        </w:rPr>
        <w:t xml:space="preserve">Fonda kopējie līdzekļi bija EUR 2 137 753 047,57 (skatīt </w:t>
      </w:r>
      <w:r>
        <w:rPr>
          <w:i/>
          <w:noProof/>
        </w:rPr>
        <w:t>SWD</w:t>
      </w:r>
      <w:r>
        <w:rPr>
          <w:noProof/>
        </w:rPr>
        <w:t xml:space="preserve"> pielikumu: Garantiju fonda finanšu pārskati 2014. gada 31. decembrī, ko sniedza EIB). Šī summa ietver visas turpmāk minētās finanšu plūsmas kopš Fonda dibināšanas.</w:t>
      </w: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43"/>
        <w:gridCol w:w="2127"/>
        <w:gridCol w:w="2126"/>
        <w:gridCol w:w="2090"/>
      </w:tblGrid>
      <w:tr>
        <w:tc>
          <w:tcPr>
            <w:tcW w:w="2943" w:type="dxa"/>
            <w:shd w:val="clear" w:color="auto" w:fill="auto"/>
            <w:vAlign w:val="bottom"/>
          </w:tcPr>
          <w:p>
            <w:pPr>
              <w:rPr>
                <w:b/>
                <w:bCs/>
                <w:noProof/>
              </w:rPr>
            </w:pPr>
            <w:r>
              <w:rPr>
                <w:b/>
                <w:noProof/>
              </w:rPr>
              <w:t>Garantiju fonds</w:t>
            </w:r>
          </w:p>
        </w:tc>
        <w:tc>
          <w:tcPr>
            <w:tcW w:w="2127" w:type="dxa"/>
            <w:shd w:val="clear" w:color="auto" w:fill="auto"/>
            <w:vAlign w:val="bottom"/>
          </w:tcPr>
          <w:p>
            <w:pPr>
              <w:jc w:val="center"/>
              <w:rPr>
                <w:b/>
                <w:bCs/>
                <w:noProof/>
              </w:rPr>
            </w:pPr>
            <w:r>
              <w:rPr>
                <w:b/>
                <w:noProof/>
              </w:rPr>
              <w:t>Summa 31.12.2014.</w:t>
            </w:r>
          </w:p>
        </w:tc>
        <w:tc>
          <w:tcPr>
            <w:tcW w:w="2126" w:type="dxa"/>
            <w:vAlign w:val="bottom"/>
          </w:tcPr>
          <w:p>
            <w:pPr>
              <w:jc w:val="center"/>
              <w:rPr>
                <w:b/>
                <w:bCs/>
                <w:noProof/>
              </w:rPr>
            </w:pPr>
            <w:r>
              <w:rPr>
                <w:b/>
                <w:noProof/>
              </w:rPr>
              <w:t>Summa 31.12.2013.</w:t>
            </w:r>
          </w:p>
        </w:tc>
        <w:tc>
          <w:tcPr>
            <w:tcW w:w="2090" w:type="dxa"/>
            <w:shd w:val="clear" w:color="auto" w:fill="auto"/>
            <w:vAlign w:val="bottom"/>
          </w:tcPr>
          <w:p>
            <w:pPr>
              <w:jc w:val="center"/>
              <w:rPr>
                <w:b/>
                <w:bCs/>
                <w:noProof/>
              </w:rPr>
            </w:pPr>
            <w:r>
              <w:rPr>
                <w:b/>
                <w:noProof/>
              </w:rPr>
              <w:t>Izmaiņas</w:t>
            </w:r>
          </w:p>
        </w:tc>
      </w:tr>
      <w:tr>
        <w:tc>
          <w:tcPr>
            <w:tcW w:w="2943" w:type="dxa"/>
            <w:shd w:val="clear" w:color="auto" w:fill="auto"/>
            <w:vAlign w:val="bottom"/>
          </w:tcPr>
          <w:p>
            <w:pPr>
              <w:jc w:val="left"/>
              <w:rPr>
                <w:noProof/>
              </w:rPr>
            </w:pPr>
            <w:r>
              <w:rPr>
                <w:noProof/>
              </w:rPr>
              <w:t>Budžeta iemaksas Fondā</w:t>
            </w:r>
          </w:p>
        </w:tc>
        <w:tc>
          <w:tcPr>
            <w:tcW w:w="2127" w:type="dxa"/>
            <w:shd w:val="clear" w:color="auto" w:fill="auto"/>
          </w:tcPr>
          <w:p>
            <w:pPr>
              <w:jc w:val="right"/>
              <w:rPr>
                <w:noProof/>
              </w:rPr>
            </w:pPr>
            <w:r>
              <w:rPr>
                <w:noProof/>
              </w:rPr>
              <w:t>3 743 236 312,00</w:t>
            </w:r>
          </w:p>
        </w:tc>
        <w:tc>
          <w:tcPr>
            <w:tcW w:w="2126" w:type="dxa"/>
          </w:tcPr>
          <w:p>
            <w:pPr>
              <w:jc w:val="right"/>
              <w:rPr>
                <w:noProof/>
              </w:rPr>
            </w:pPr>
            <w:r>
              <w:rPr>
                <w:noProof/>
              </w:rPr>
              <w:t>3 598 826 794,00</w:t>
            </w:r>
          </w:p>
        </w:tc>
        <w:tc>
          <w:tcPr>
            <w:tcW w:w="2090" w:type="dxa"/>
            <w:shd w:val="clear" w:color="auto" w:fill="auto"/>
          </w:tcPr>
          <w:p>
            <w:pPr>
              <w:jc w:val="right"/>
              <w:rPr>
                <w:noProof/>
              </w:rPr>
            </w:pPr>
            <w:r>
              <w:rPr>
                <w:noProof/>
              </w:rPr>
              <w:t>144 409 518,00</w:t>
            </w:r>
          </w:p>
        </w:tc>
      </w:tr>
      <w:tr>
        <w:tc>
          <w:tcPr>
            <w:tcW w:w="2943" w:type="dxa"/>
            <w:shd w:val="clear" w:color="auto" w:fill="auto"/>
            <w:vAlign w:val="bottom"/>
          </w:tcPr>
          <w:p>
            <w:pPr>
              <w:jc w:val="left"/>
              <w:rPr>
                <w:noProof/>
              </w:rPr>
            </w:pPr>
            <w:r>
              <w:rPr>
                <w:noProof/>
              </w:rPr>
              <w:t>Kārtējā gada neto rezultāti</w:t>
            </w:r>
          </w:p>
        </w:tc>
        <w:tc>
          <w:tcPr>
            <w:tcW w:w="2127" w:type="dxa"/>
            <w:shd w:val="clear" w:color="auto" w:fill="auto"/>
          </w:tcPr>
          <w:p>
            <w:pPr>
              <w:jc w:val="right"/>
              <w:rPr>
                <w:noProof/>
              </w:rPr>
            </w:pPr>
            <w:r>
              <w:rPr>
                <w:noProof/>
              </w:rPr>
              <w:t>908 051 618,54</w:t>
            </w:r>
          </w:p>
        </w:tc>
        <w:tc>
          <w:tcPr>
            <w:tcW w:w="2126" w:type="dxa"/>
          </w:tcPr>
          <w:p>
            <w:pPr>
              <w:jc w:val="right"/>
              <w:rPr>
                <w:noProof/>
              </w:rPr>
            </w:pPr>
            <w:r>
              <w:rPr>
                <w:noProof/>
              </w:rPr>
              <w:t>878 284 248,11</w:t>
            </w:r>
          </w:p>
        </w:tc>
        <w:tc>
          <w:tcPr>
            <w:tcW w:w="2090" w:type="dxa"/>
            <w:shd w:val="clear" w:color="auto" w:fill="auto"/>
          </w:tcPr>
          <w:p>
            <w:pPr>
              <w:jc w:val="right"/>
              <w:rPr>
                <w:noProof/>
              </w:rPr>
            </w:pPr>
            <w:r>
              <w:rPr>
                <w:noProof/>
              </w:rPr>
              <w:t>29 767 370,43</w:t>
            </w:r>
          </w:p>
        </w:tc>
      </w:tr>
      <w:tr>
        <w:tc>
          <w:tcPr>
            <w:tcW w:w="2943" w:type="dxa"/>
            <w:shd w:val="clear" w:color="auto" w:fill="auto"/>
            <w:vAlign w:val="bottom"/>
          </w:tcPr>
          <w:p>
            <w:pPr>
              <w:jc w:val="left"/>
              <w:rPr>
                <w:noProof/>
              </w:rPr>
            </w:pPr>
            <w:r>
              <w:rPr>
                <w:noProof/>
              </w:rPr>
              <w:t>Fonda veikto maksājumu piedziņa par nepildītajām saistībām</w:t>
            </w:r>
          </w:p>
        </w:tc>
        <w:tc>
          <w:tcPr>
            <w:tcW w:w="2127" w:type="dxa"/>
            <w:shd w:val="clear" w:color="auto" w:fill="auto"/>
          </w:tcPr>
          <w:p>
            <w:pPr>
              <w:jc w:val="right"/>
              <w:rPr>
                <w:noProof/>
              </w:rPr>
            </w:pPr>
            <w:r>
              <w:rPr>
                <w:noProof/>
              </w:rPr>
              <w:t>578 854 353,78</w:t>
            </w:r>
          </w:p>
        </w:tc>
        <w:tc>
          <w:tcPr>
            <w:tcW w:w="2126" w:type="dxa"/>
          </w:tcPr>
          <w:p>
            <w:pPr>
              <w:jc w:val="right"/>
              <w:rPr>
                <w:noProof/>
              </w:rPr>
            </w:pPr>
            <w:r>
              <w:rPr>
                <w:noProof/>
              </w:rPr>
              <w:t>578 854 353,78</w:t>
            </w:r>
          </w:p>
        </w:tc>
        <w:tc>
          <w:tcPr>
            <w:tcW w:w="2090" w:type="dxa"/>
            <w:shd w:val="clear" w:color="auto" w:fill="auto"/>
          </w:tcPr>
          <w:p>
            <w:pPr>
              <w:jc w:val="right"/>
              <w:rPr>
                <w:noProof/>
              </w:rPr>
            </w:pPr>
            <w:r>
              <w:rPr>
                <w:noProof/>
              </w:rPr>
              <w:t>-</w:t>
            </w:r>
          </w:p>
        </w:tc>
      </w:tr>
      <w:tr>
        <w:tc>
          <w:tcPr>
            <w:tcW w:w="2943" w:type="dxa"/>
            <w:shd w:val="clear" w:color="auto" w:fill="auto"/>
          </w:tcPr>
          <w:p>
            <w:pPr>
              <w:jc w:val="left"/>
              <w:rPr>
                <w:noProof/>
              </w:rPr>
            </w:pPr>
            <w:r>
              <w:rPr>
                <w:noProof/>
              </w:rPr>
              <w:t>Citi kreditoru parādi (tostarp par garantijām, kas vēl nav apmaksātas, un EIB pārvaldības maksas)</w:t>
            </w:r>
          </w:p>
        </w:tc>
        <w:tc>
          <w:tcPr>
            <w:tcW w:w="2127" w:type="dxa"/>
            <w:shd w:val="clear" w:color="auto" w:fill="auto"/>
          </w:tcPr>
          <w:p>
            <w:pPr>
              <w:jc w:val="right"/>
              <w:rPr>
                <w:noProof/>
              </w:rPr>
            </w:pPr>
            <w:r>
              <w:rPr>
                <w:noProof/>
              </w:rPr>
              <w:t>23 084 839,03</w:t>
            </w:r>
          </w:p>
        </w:tc>
        <w:tc>
          <w:tcPr>
            <w:tcW w:w="2126" w:type="dxa"/>
          </w:tcPr>
          <w:p>
            <w:pPr>
              <w:jc w:val="right"/>
              <w:rPr>
                <w:noProof/>
              </w:rPr>
            </w:pPr>
            <w:r>
              <w:rPr>
                <w:noProof/>
              </w:rPr>
              <w:t>23 066 612,47</w:t>
            </w:r>
          </w:p>
        </w:tc>
        <w:tc>
          <w:tcPr>
            <w:tcW w:w="2090" w:type="dxa"/>
            <w:shd w:val="clear" w:color="auto" w:fill="auto"/>
          </w:tcPr>
          <w:p>
            <w:pPr>
              <w:jc w:val="right"/>
              <w:rPr>
                <w:noProof/>
              </w:rPr>
            </w:pPr>
            <w:r>
              <w:rPr>
                <w:noProof/>
              </w:rPr>
              <w:t>18 226,56</w:t>
            </w:r>
          </w:p>
        </w:tc>
      </w:tr>
      <w:tr>
        <w:tc>
          <w:tcPr>
            <w:tcW w:w="2943" w:type="dxa"/>
            <w:shd w:val="clear" w:color="auto" w:fill="auto"/>
            <w:vAlign w:val="bottom"/>
          </w:tcPr>
          <w:p>
            <w:pPr>
              <w:jc w:val="left"/>
              <w:rPr>
                <w:noProof/>
              </w:rPr>
            </w:pPr>
            <w:r>
              <w:rPr>
                <w:noProof/>
              </w:rPr>
              <w:t>Saistībā ar novēlotu piedziņu saņemtās maksas (2002. gadā)</w:t>
            </w:r>
          </w:p>
        </w:tc>
        <w:tc>
          <w:tcPr>
            <w:tcW w:w="2127" w:type="dxa"/>
            <w:shd w:val="clear" w:color="auto" w:fill="auto"/>
          </w:tcPr>
          <w:p>
            <w:pPr>
              <w:jc w:val="right"/>
              <w:rPr>
                <w:noProof/>
              </w:rPr>
            </w:pPr>
            <w:r>
              <w:rPr>
                <w:noProof/>
              </w:rPr>
              <w:t>5 090 662,91</w:t>
            </w:r>
          </w:p>
        </w:tc>
        <w:tc>
          <w:tcPr>
            <w:tcW w:w="2126" w:type="dxa"/>
          </w:tcPr>
          <w:p>
            <w:pPr>
              <w:jc w:val="right"/>
              <w:rPr>
                <w:noProof/>
              </w:rPr>
            </w:pPr>
            <w:r>
              <w:rPr>
                <w:noProof/>
              </w:rPr>
              <w:t>5 090 662,91</w:t>
            </w:r>
          </w:p>
        </w:tc>
        <w:tc>
          <w:tcPr>
            <w:tcW w:w="2090" w:type="dxa"/>
            <w:shd w:val="clear" w:color="auto" w:fill="auto"/>
          </w:tcPr>
          <w:p>
            <w:pPr>
              <w:jc w:val="right"/>
              <w:rPr>
                <w:noProof/>
              </w:rPr>
            </w:pPr>
            <w:r>
              <w:rPr>
                <w:noProof/>
              </w:rPr>
              <w:t xml:space="preserve"> - </w:t>
            </w:r>
          </w:p>
        </w:tc>
      </w:tr>
      <w:tr>
        <w:tc>
          <w:tcPr>
            <w:tcW w:w="2943" w:type="dxa"/>
            <w:shd w:val="clear" w:color="auto" w:fill="auto"/>
            <w:vAlign w:val="bottom"/>
          </w:tcPr>
          <w:p>
            <w:pPr>
              <w:jc w:val="left"/>
              <w:rPr>
                <w:noProof/>
              </w:rPr>
            </w:pPr>
            <w:r>
              <w:rPr>
                <w:noProof/>
              </w:rPr>
              <w:t>Garantiju izmaksas (tostarp par garantijām, kas vēl nav apmaksātas)</w:t>
            </w:r>
          </w:p>
        </w:tc>
        <w:tc>
          <w:tcPr>
            <w:tcW w:w="2127" w:type="dxa"/>
            <w:shd w:val="clear" w:color="auto" w:fill="auto"/>
          </w:tcPr>
          <w:p>
            <w:pPr>
              <w:jc w:val="right"/>
              <w:rPr>
                <w:noProof/>
              </w:rPr>
            </w:pPr>
            <w:r>
              <w:rPr>
                <w:noProof/>
              </w:rPr>
              <w:t xml:space="preserve"> -644 939 881,42</w:t>
            </w:r>
          </w:p>
        </w:tc>
        <w:tc>
          <w:tcPr>
            <w:tcW w:w="2126" w:type="dxa"/>
          </w:tcPr>
          <w:p>
            <w:pPr>
              <w:jc w:val="right"/>
              <w:rPr>
                <w:noProof/>
              </w:rPr>
            </w:pPr>
            <w:r>
              <w:rPr>
                <w:noProof/>
              </w:rPr>
              <w:t xml:space="preserve"> -584 704 389,46</w:t>
            </w:r>
          </w:p>
        </w:tc>
        <w:tc>
          <w:tcPr>
            <w:tcW w:w="2090" w:type="dxa"/>
            <w:shd w:val="clear" w:color="auto" w:fill="auto"/>
          </w:tcPr>
          <w:p>
            <w:pPr>
              <w:jc w:val="right"/>
              <w:rPr>
                <w:noProof/>
              </w:rPr>
            </w:pPr>
            <w:r>
              <w:rPr>
                <w:noProof/>
              </w:rPr>
              <w:t xml:space="preserve"> -60 235 491,96 </w:t>
            </w:r>
          </w:p>
        </w:tc>
      </w:tr>
      <w:tr>
        <w:tc>
          <w:tcPr>
            <w:tcW w:w="2943" w:type="dxa"/>
            <w:shd w:val="clear" w:color="auto" w:fill="auto"/>
            <w:vAlign w:val="bottom"/>
          </w:tcPr>
          <w:p>
            <w:pPr>
              <w:jc w:val="left"/>
              <w:rPr>
                <w:noProof/>
              </w:rPr>
            </w:pPr>
            <w:r>
              <w:rPr>
                <w:noProof/>
              </w:rPr>
              <w:t>Kārtējās atmaksas budžetā (tostarp ārkārtas atmaksa budžetā saistībā ar jauno dalībvalstu pievienošanos ES)</w:t>
            </w:r>
          </w:p>
        </w:tc>
        <w:tc>
          <w:tcPr>
            <w:tcW w:w="2127" w:type="dxa"/>
            <w:shd w:val="clear" w:color="auto" w:fill="auto"/>
          </w:tcPr>
          <w:p>
            <w:pPr>
              <w:jc w:val="right"/>
              <w:rPr>
                <w:noProof/>
              </w:rPr>
            </w:pPr>
            <w:r>
              <w:rPr>
                <w:noProof/>
              </w:rPr>
              <w:t>-2 531 726 712,72</w:t>
            </w:r>
          </w:p>
        </w:tc>
        <w:tc>
          <w:tcPr>
            <w:tcW w:w="2126" w:type="dxa"/>
          </w:tcPr>
          <w:p>
            <w:pPr>
              <w:jc w:val="right"/>
              <w:rPr>
                <w:noProof/>
              </w:rPr>
            </w:pPr>
            <w:r>
              <w:rPr>
                <w:noProof/>
              </w:rPr>
              <w:t>-2 531 726 712,72</w:t>
            </w:r>
          </w:p>
        </w:tc>
        <w:tc>
          <w:tcPr>
            <w:tcW w:w="2090" w:type="dxa"/>
            <w:shd w:val="clear" w:color="auto" w:fill="auto"/>
          </w:tcPr>
          <w:p>
            <w:pPr>
              <w:jc w:val="right"/>
              <w:rPr>
                <w:noProof/>
              </w:rPr>
            </w:pPr>
            <w:r>
              <w:rPr>
                <w:noProof/>
              </w:rPr>
              <w:t>-</w:t>
            </w:r>
          </w:p>
        </w:tc>
      </w:tr>
      <w:tr>
        <w:tc>
          <w:tcPr>
            <w:tcW w:w="2943" w:type="dxa"/>
            <w:shd w:val="clear" w:color="auto" w:fill="auto"/>
            <w:vAlign w:val="bottom"/>
          </w:tcPr>
          <w:p>
            <w:pPr>
              <w:jc w:val="left"/>
              <w:rPr>
                <w:noProof/>
              </w:rPr>
            </w:pPr>
            <w:r>
              <w:rPr>
                <w:noProof/>
              </w:rPr>
              <w:t>Korekcija portfeļa vērtībā saskaņā ar SFPS</w:t>
            </w:r>
          </w:p>
        </w:tc>
        <w:tc>
          <w:tcPr>
            <w:tcW w:w="2127" w:type="dxa"/>
            <w:shd w:val="clear" w:color="auto" w:fill="auto"/>
          </w:tcPr>
          <w:p>
            <w:pPr>
              <w:jc w:val="right"/>
              <w:rPr>
                <w:noProof/>
              </w:rPr>
            </w:pPr>
            <w:r>
              <w:rPr>
                <w:noProof/>
              </w:rPr>
              <w:t>56 101 855,45</w:t>
            </w:r>
          </w:p>
        </w:tc>
        <w:tc>
          <w:tcPr>
            <w:tcW w:w="2126" w:type="dxa"/>
          </w:tcPr>
          <w:p>
            <w:pPr>
              <w:jc w:val="right"/>
              <w:rPr>
                <w:noProof/>
              </w:rPr>
            </w:pPr>
            <w:r>
              <w:rPr>
                <w:noProof/>
              </w:rPr>
              <w:t>36 665 073,82</w:t>
            </w:r>
          </w:p>
        </w:tc>
        <w:tc>
          <w:tcPr>
            <w:tcW w:w="2090" w:type="dxa"/>
            <w:shd w:val="clear" w:color="auto" w:fill="auto"/>
          </w:tcPr>
          <w:p>
            <w:pPr>
              <w:jc w:val="right"/>
              <w:rPr>
                <w:noProof/>
              </w:rPr>
            </w:pPr>
            <w:r>
              <w:rPr>
                <w:noProof/>
              </w:rPr>
              <w:t>19 436 781,63</w:t>
            </w:r>
          </w:p>
        </w:tc>
      </w:tr>
      <w:tr>
        <w:tc>
          <w:tcPr>
            <w:tcW w:w="2943" w:type="dxa"/>
            <w:shd w:val="clear" w:color="auto" w:fill="auto"/>
            <w:vAlign w:val="bottom"/>
          </w:tcPr>
          <w:p>
            <w:pPr>
              <w:rPr>
                <w:b/>
                <w:bCs/>
                <w:noProof/>
              </w:rPr>
            </w:pPr>
            <w:r>
              <w:rPr>
                <w:b/>
                <w:noProof/>
              </w:rPr>
              <w:t>Fonda uzskaites vērtība</w:t>
            </w:r>
          </w:p>
        </w:tc>
        <w:tc>
          <w:tcPr>
            <w:tcW w:w="2127" w:type="dxa"/>
            <w:shd w:val="clear" w:color="auto" w:fill="auto"/>
          </w:tcPr>
          <w:p>
            <w:pPr>
              <w:jc w:val="right"/>
              <w:rPr>
                <w:b/>
                <w:bCs/>
                <w:noProof/>
              </w:rPr>
            </w:pPr>
            <w:r>
              <w:rPr>
                <w:b/>
                <w:noProof/>
              </w:rPr>
              <w:t>2 137 753 047,57</w:t>
            </w:r>
          </w:p>
        </w:tc>
        <w:tc>
          <w:tcPr>
            <w:tcW w:w="2126" w:type="dxa"/>
          </w:tcPr>
          <w:p>
            <w:pPr>
              <w:jc w:val="right"/>
              <w:rPr>
                <w:b/>
                <w:bCs/>
                <w:noProof/>
              </w:rPr>
            </w:pPr>
            <w:r>
              <w:rPr>
                <w:b/>
                <w:noProof/>
              </w:rPr>
              <w:t>2 004 356 642,91</w:t>
            </w:r>
          </w:p>
        </w:tc>
        <w:tc>
          <w:tcPr>
            <w:tcW w:w="2090" w:type="dxa"/>
            <w:shd w:val="clear" w:color="auto" w:fill="auto"/>
          </w:tcPr>
          <w:p>
            <w:pPr>
              <w:jc w:val="right"/>
              <w:rPr>
                <w:b/>
                <w:bCs/>
                <w:noProof/>
              </w:rPr>
            </w:pPr>
            <w:r>
              <w:rPr>
                <w:b/>
                <w:noProof/>
              </w:rPr>
              <w:t>133 396 404,66</w:t>
            </w:r>
          </w:p>
        </w:tc>
      </w:tr>
    </w:tbl>
    <w:p>
      <w:pPr>
        <w:rPr>
          <w:noProof/>
        </w:rPr>
      </w:pPr>
    </w:p>
    <w:p>
      <w:pPr>
        <w:rPr>
          <w:noProof/>
        </w:rPr>
      </w:pPr>
      <w:r>
        <w:rPr>
          <w:noProof/>
        </w:rPr>
        <w:t>2014. gadā Fonda uzskaites vērtība ir pieaugusi par aptuveni 133 miljoniem euro. Šo faktu var izskaidrot šādi.</w:t>
      </w:r>
    </w:p>
    <w:p>
      <w:pPr>
        <w:rPr>
          <w:noProof/>
          <w:u w:val="single"/>
        </w:rPr>
      </w:pPr>
      <w:r>
        <w:rPr>
          <w:noProof/>
          <w:u w:val="single"/>
        </w:rPr>
        <w:t>Pieaugums</w:t>
      </w:r>
    </w:p>
    <w:p>
      <w:pPr>
        <w:pStyle w:val="Bullet0"/>
        <w:numPr>
          <w:ilvl w:val="0"/>
          <w:numId w:val="14"/>
        </w:numPr>
        <w:rPr>
          <w:noProof/>
        </w:rPr>
      </w:pPr>
      <w:r>
        <w:rPr>
          <w:noProof/>
        </w:rPr>
        <w:t>Ieguldījums no budžeta (finansējuma summa) 144,4 miljonu euro apmērā, lai sasniegtu paredzēto Fonda apjomu – 9 %</w:t>
      </w:r>
    </w:p>
    <w:p>
      <w:pPr>
        <w:pStyle w:val="Bullet0"/>
        <w:numPr>
          <w:ilvl w:val="0"/>
          <w:numId w:val="14"/>
        </w:numPr>
        <w:rPr>
          <w:noProof/>
        </w:rPr>
      </w:pPr>
      <w:r>
        <w:rPr>
          <w:noProof/>
        </w:rPr>
        <w:t>Tīrie ieņēmumi no finanšu operācijām bija 30 miljoni euro</w:t>
      </w:r>
    </w:p>
    <w:p>
      <w:pPr>
        <w:pStyle w:val="Bullet0"/>
        <w:numPr>
          <w:ilvl w:val="0"/>
          <w:numId w:val="14"/>
        </w:numPr>
        <w:rPr>
          <w:noProof/>
        </w:rPr>
      </w:pPr>
      <w:r>
        <w:rPr>
          <w:noProof/>
        </w:rPr>
        <w:t>Portfeļa vērtējuma palielinājums par 19 miljoniem euro sakarā ar tā vērtības tirgus korekciju</w:t>
      </w:r>
    </w:p>
    <w:p>
      <w:pPr>
        <w:rPr>
          <w:noProof/>
          <w:u w:val="single"/>
        </w:rPr>
      </w:pPr>
      <w:r>
        <w:rPr>
          <w:noProof/>
          <w:u w:val="single"/>
        </w:rPr>
        <w:t>Samazinājums</w:t>
      </w:r>
    </w:p>
    <w:p>
      <w:pPr>
        <w:pStyle w:val="Bullet0"/>
        <w:numPr>
          <w:ilvl w:val="0"/>
          <w:numId w:val="14"/>
        </w:numPr>
        <w:rPr>
          <w:noProof/>
        </w:rPr>
      </w:pPr>
      <w:r>
        <w:rPr>
          <w:noProof/>
        </w:rPr>
        <w:t>Fonda intervence Sīrijas neizpildīto maksājumu segšanai par kopējo summu 60 miljoni euro, no kuriem 22 miljoni euro vēl bija jāsedz uz 2014. gada 31. decembri (citi kreditoru parādi).</w:t>
      </w:r>
    </w:p>
    <w:p>
      <w:pPr>
        <w:pStyle w:val="ManualHeading2"/>
        <w:rPr>
          <w:noProof/>
        </w:rPr>
      </w:pPr>
      <w:bookmarkStart w:id="20" w:name="_Toc415838343"/>
      <w:bookmarkStart w:id="21" w:name="_Toc416963780"/>
      <w:bookmarkStart w:id="22" w:name="_Toc423680427"/>
      <w:r>
        <w:t>2.2.</w:t>
      </w:r>
      <w:r>
        <w:tab/>
      </w:r>
      <w:r>
        <w:rPr>
          <w:noProof/>
        </w:rPr>
        <w:t>Nozīmīgi darījumi</w:t>
      </w:r>
      <w:bookmarkEnd w:id="20"/>
      <w:bookmarkEnd w:id="21"/>
      <w:bookmarkEnd w:id="22"/>
    </w:p>
    <w:p>
      <w:pPr>
        <w:pStyle w:val="Point0number"/>
        <w:numPr>
          <w:ilvl w:val="0"/>
          <w:numId w:val="13"/>
        </w:numPr>
        <w:rPr>
          <w:noProof/>
        </w:rPr>
      </w:pPr>
      <w:r>
        <w:rPr>
          <w:noProof/>
        </w:rPr>
        <w:t>Kopš 2011. gada novembra EIB ir parādi par Sīrijas valsts aizdevumiem. Tā rezultātā un saskaņā ar garantiju nolīgumu, kas noslēgts starp ES un EIB, EIB līdz 2014. gada 31. decembrim ir 21 reizi vērsusies ES Garantiju fondā par kopējo summu 165 miljoni euro (skatīt 4.1. punktu „Neizpildīto saistību maksājumi”).</w:t>
      </w:r>
    </w:p>
    <w:p>
      <w:pPr>
        <w:pStyle w:val="Point0number"/>
        <w:keepLines/>
        <w:numPr>
          <w:ilvl w:val="0"/>
          <w:numId w:val="13"/>
        </w:numPr>
        <w:ind w:left="851" w:hanging="851"/>
        <w:rPr>
          <w:noProof/>
        </w:rPr>
      </w:pPr>
      <w:r>
        <w:rPr>
          <w:noProof/>
        </w:rPr>
        <w:t>2014. gada februārī budžeta ieguldījums Fondā tika aprēķināts saskaņā ar Regulas 3. un 5. pantu.</w:t>
      </w:r>
    </w:p>
    <w:p>
      <w:pPr>
        <w:pStyle w:val="Point0number"/>
        <w:numPr>
          <w:ilvl w:val="0"/>
          <w:numId w:val="0"/>
        </w:numPr>
        <w:ind w:left="851"/>
        <w:rPr>
          <w:noProof/>
        </w:rPr>
      </w:pPr>
      <w:r>
        <w:rPr>
          <w:noProof/>
        </w:rPr>
        <w:t>Regulas 3. pantā</w:t>
      </w:r>
      <w:r>
        <w:rPr>
          <w:rStyle w:val="FootnoteReference"/>
          <w:noProof/>
        </w:rPr>
        <w:footnoteReference w:id="2"/>
      </w:r>
      <w:r>
        <w:rPr>
          <w:noProof/>
        </w:rPr>
        <w:t xml:space="preserve"> ir noteikts, ka paredzētais Fonda apjoms ir 9 % no neatmaksātā kapitāla saistību (kas izriet no katras operācijas) kopsummas, kurai pieskaitīti visi nesamaksātie procentu parādi.</w:t>
      </w:r>
    </w:p>
    <w:p>
      <w:pPr>
        <w:pStyle w:val="Point0number"/>
        <w:numPr>
          <w:ilvl w:val="0"/>
          <w:numId w:val="0"/>
        </w:numPr>
        <w:ind w:left="851"/>
        <w:rPr>
          <w:noProof/>
        </w:rPr>
      </w:pPr>
      <w:r>
        <w:rPr>
          <w:noProof/>
        </w:rPr>
        <w:t>Regulas 5. pantā ir noteikts, ka summa, kas n+1 finanšu gadā jāpārskaita Fondam no budžeta, ir aprēķināta, pamatojoties uz starpību starp paredzēto apjomu un Fonda aktīvu neto vērtību n–1 gada beigās, kuru aprēķina n gada sākumā.</w:t>
      </w:r>
    </w:p>
    <w:p>
      <w:pPr>
        <w:pStyle w:val="Point0number"/>
        <w:numPr>
          <w:ilvl w:val="0"/>
          <w:numId w:val="0"/>
        </w:numPr>
        <w:ind w:left="851"/>
        <w:rPr>
          <w:noProof/>
        </w:rPr>
      </w:pPr>
      <w:r>
        <w:rPr>
          <w:noProof/>
        </w:rPr>
        <w:t>Lai pielāgotu Fonda apjomu, proti, 9 % no neatmaksātā kapitāla saistību kopsummas, 2015. gada budžetā kā Fonda finansējums tika ierakstīti 144,4 miljoni euro. 2013. gada 31. decembrī paredzētais Fonda apjoms bija 2124,8 miljoni euro, kas atbilst 9 % no neatmaksāto, garantēto operāciju kopsummas (23 609 miljoni euro). Starpība starp paredzēto apjomu un Fonda neto aktīvu apjomu (2013. gada 31. decembrī – 1980,4 miljoni euro) bija 144,4 miljoni euro.</w:t>
      </w:r>
    </w:p>
    <w:p>
      <w:pPr>
        <w:pStyle w:val="Point0number"/>
        <w:numPr>
          <w:ilvl w:val="0"/>
          <w:numId w:val="0"/>
        </w:numPr>
        <w:ind w:left="851"/>
        <w:rPr>
          <w:noProof/>
        </w:rPr>
      </w:pPr>
      <w:r>
        <w:rPr>
          <w:noProof/>
        </w:rPr>
        <w:t>Šo summu, kas tika pieprasīta Fonda 2015. gada finansējumam, Padome un Eiropas Parlaments apstiprināja 2014. gada novembrī, apstiprinot 2015. gada budžetu. Vēlāk šī summa tika atzīta par summu, kas Fondam ir jāsaņem no budžeta.</w:t>
      </w:r>
    </w:p>
    <w:p>
      <w:pPr>
        <w:pStyle w:val="Point0number"/>
        <w:numPr>
          <w:ilvl w:val="0"/>
          <w:numId w:val="13"/>
        </w:numPr>
        <w:rPr>
          <w:noProof/>
        </w:rPr>
      </w:pPr>
      <w:r>
        <w:rPr>
          <w:noProof/>
        </w:rPr>
        <w:t>2014. gada februārī no budžeta Fondam iemaksātā summa 58,43 miljoni euro atbilst 2014. gada finansējuma summai (sīkāku informāciju skatīt 3.2.1. punktā „Fonda finansējums”).</w:t>
      </w:r>
    </w:p>
    <w:p>
      <w:pPr>
        <w:pStyle w:val="ManualHeading2"/>
        <w:rPr>
          <w:noProof/>
        </w:rPr>
      </w:pPr>
      <w:bookmarkStart w:id="23" w:name="_Toc323019496"/>
      <w:bookmarkStart w:id="24" w:name="_Toc354050122"/>
      <w:bookmarkStart w:id="25" w:name="_Toc358294847"/>
      <w:bookmarkStart w:id="26" w:name="_Toc415838344"/>
      <w:bookmarkStart w:id="27" w:name="_Toc416963781"/>
      <w:bookmarkStart w:id="28" w:name="_Toc423680428"/>
      <w:r>
        <w:t>2.3.</w:t>
      </w:r>
      <w:r>
        <w:tab/>
      </w:r>
      <w:r>
        <w:rPr>
          <w:noProof/>
        </w:rPr>
        <w:t>Nozīmīgi darījumi, kas veikti pēc ziņojuma datuma</w:t>
      </w:r>
      <w:bookmarkEnd w:id="23"/>
      <w:bookmarkEnd w:id="24"/>
      <w:bookmarkEnd w:id="25"/>
      <w:bookmarkEnd w:id="26"/>
      <w:bookmarkEnd w:id="27"/>
      <w:bookmarkEnd w:id="28"/>
    </w:p>
    <w:p>
      <w:pPr>
        <w:ind w:left="850"/>
        <w:rPr>
          <w:noProof/>
        </w:rPr>
      </w:pPr>
      <w:r>
        <w:rPr>
          <w:noProof/>
        </w:rPr>
        <w:t>2015. gada februārī no budžeta Fondam iemaksātā summa 144,4 miljoni euro atbilst 2015. gada finansējuma summai.</w:t>
      </w:r>
    </w:p>
    <w:p>
      <w:pPr>
        <w:pStyle w:val="ManualHeading2"/>
        <w:rPr>
          <w:noProof/>
        </w:rPr>
      </w:pPr>
      <w:bookmarkStart w:id="29" w:name="_Toc323019497"/>
      <w:bookmarkStart w:id="30" w:name="_Toc354050123"/>
      <w:bookmarkStart w:id="31" w:name="_Toc358294848"/>
      <w:bookmarkStart w:id="32" w:name="_Toc415838345"/>
      <w:bookmarkStart w:id="33" w:name="_Toc416963782"/>
      <w:bookmarkStart w:id="34" w:name="_Toc423680429"/>
      <w:r>
        <w:t>2.4.</w:t>
      </w:r>
      <w:r>
        <w:tab/>
      </w:r>
      <w:r>
        <w:rPr>
          <w:noProof/>
        </w:rPr>
        <w:t>Pārskatu sagatavošana</w:t>
      </w:r>
      <w:bookmarkEnd w:id="29"/>
      <w:bookmarkEnd w:id="30"/>
      <w:bookmarkEnd w:id="31"/>
      <w:bookmarkEnd w:id="32"/>
      <w:bookmarkEnd w:id="33"/>
      <w:bookmarkEnd w:id="34"/>
    </w:p>
    <w:p>
      <w:pPr>
        <w:pStyle w:val="ManualHeading3"/>
        <w:rPr>
          <w:iCs/>
          <w:noProof/>
        </w:rPr>
      </w:pPr>
      <w:bookmarkStart w:id="35" w:name="_Toc323019498"/>
      <w:bookmarkStart w:id="36" w:name="_Toc354050124"/>
      <w:bookmarkStart w:id="37" w:name="_Toc358294849"/>
      <w:bookmarkStart w:id="38" w:name="_Toc415838346"/>
      <w:bookmarkStart w:id="39" w:name="_Toc416963783"/>
      <w:bookmarkStart w:id="40" w:name="_Toc423680430"/>
      <w:r>
        <w:t>2.4.1.</w:t>
      </w:r>
      <w:r>
        <w:tab/>
      </w:r>
      <w:r>
        <w:rPr>
          <w:noProof/>
        </w:rPr>
        <w:t>Pārskata sagatavošanas pamats</w:t>
      </w:r>
      <w:bookmarkEnd w:id="35"/>
      <w:bookmarkEnd w:id="36"/>
      <w:bookmarkEnd w:id="37"/>
      <w:bookmarkEnd w:id="38"/>
      <w:bookmarkEnd w:id="39"/>
      <w:bookmarkEnd w:id="40"/>
    </w:p>
    <w:p>
      <w:pPr>
        <w:rPr>
          <w:noProof/>
        </w:rPr>
      </w:pPr>
      <w:r>
        <w:rPr>
          <w:noProof/>
        </w:rPr>
        <w:t xml:space="preserve">Fonda finanšu pārskati (kā arī finanšu pārskati pirms konsolidācijas) tika sagatavoti saskaņā ar grāmatvedības noteikumiem, kurus pieņēmis Eiropas Komisijas galvenais grāmatvedis, un it īpaši ar „11. grāmatvedības noteikumu – Finanšu instrumenti”, kā paskaidrots </w:t>
      </w:r>
      <w:r>
        <w:rPr>
          <w:i/>
          <w:noProof/>
        </w:rPr>
        <w:t>SWD</w:t>
      </w:r>
      <w:r>
        <w:rPr>
          <w:noProof/>
        </w:rPr>
        <w:t>.</w:t>
      </w:r>
    </w:p>
    <w:p>
      <w:pPr>
        <w:pStyle w:val="ManualHeading3"/>
        <w:rPr>
          <w:iCs/>
          <w:noProof/>
        </w:rPr>
      </w:pPr>
      <w:bookmarkStart w:id="41" w:name="_Toc358294850"/>
      <w:bookmarkStart w:id="42" w:name="_Toc415838347"/>
      <w:bookmarkStart w:id="43" w:name="_Toc416963784"/>
      <w:bookmarkStart w:id="44" w:name="_Toc423680431"/>
      <w:bookmarkStart w:id="45" w:name="_Toc323019499"/>
      <w:bookmarkStart w:id="46" w:name="_Toc354050125"/>
      <w:r>
        <w:t>2.4.2.</w:t>
      </w:r>
      <w:r>
        <w:tab/>
      </w:r>
      <w:r>
        <w:rPr>
          <w:noProof/>
        </w:rPr>
        <w:t>Fonda finanšu pārskats pirms konsolidācijas 2014. gada 31. </w:t>
      </w:r>
      <w:bookmarkEnd w:id="41"/>
      <w:r>
        <w:rPr>
          <w:noProof/>
        </w:rPr>
        <w:t>decembrī</w:t>
      </w:r>
      <w:bookmarkEnd w:id="42"/>
      <w:bookmarkEnd w:id="43"/>
      <w:bookmarkEnd w:id="44"/>
    </w:p>
    <w:p>
      <w:pPr>
        <w:rPr>
          <w:noProof/>
        </w:rPr>
      </w:pPr>
      <w:r>
        <w:rPr>
          <w:noProof/>
        </w:rPr>
        <w:t xml:space="preserve">Fonda „pirms konsolidācijas” finanšu pārskati ir sagatavoti tāpēc, lai tajos iekļautu tās grāmatvedības darbības, kas netika iekļautas Fonda finanšu pārskatos, kurus sagatavoja EIB (skatīt </w:t>
      </w:r>
      <w:r>
        <w:rPr>
          <w:i/>
          <w:noProof/>
        </w:rPr>
        <w:t>SWD</w:t>
      </w:r>
      <w:r>
        <w:rPr>
          <w:noProof/>
        </w:rPr>
        <w:t>), kas nozīmē, ka Fonda kopējā aktīvu vērtība, kura norādīta EIB sagatavotajos finanšu pārskatos (EUR 2 137 753 047,57), atšķiras no Fonda kopējās aktīvu vērtības, kas iekļauta „pirms konsolidācijas” finanšu pārskatos (EUR 2 016 490 714,57). Visi nokavētie maksājumi un uzkrātie procenti par novēlotajiem maksājumiem, kā arī citi grāmatvedības uzkrājumi</w:t>
      </w:r>
      <w:r>
        <w:rPr>
          <w:rStyle w:val="FootnoteReference"/>
          <w:noProof/>
        </w:rPr>
        <w:footnoteReference w:id="3"/>
      </w:r>
      <w:r>
        <w:rPr>
          <w:noProof/>
        </w:rPr>
        <w:t xml:space="preserve"> tiek iekļauti „pirms konsolidācijas” finanšu pārskatos līdz brīdim, kamēr pilnībā nav atmaksātas Fondam pienākošās summas. Tādā veidā finanšu gada beigās būs pieejams pilns Fonda finanšu pārskatu komplekts, kas jāiekļauj ES konsolidētajos finanšu pārskatos. Apgrozāmie aktīvi, kas norādīti „pirms konsolidācijas” finanšu pārskatos, ietver pagaidu parādu EIB EUR 22 086 899 apmērā par nesamaksātajiem garantiju pieprasījumiem un saistītās summas, ja EIB ir kreditors Sīrijai, līdz pieprasījums ir samaksāts. Īstermiņa saistības ir parāds EIB EUR 22 846 081 apmērā par nesamaksātajiem garantiju pieprasījumiem un saistītās summas. </w:t>
      </w:r>
    </w:p>
    <w:p>
      <w:pPr>
        <w:pStyle w:val="ManualHeading4"/>
        <w:rPr>
          <w:noProof/>
        </w:rPr>
      </w:pPr>
      <w:r>
        <w:tab/>
      </w:r>
      <w:r>
        <w:rPr>
          <w:noProof/>
        </w:rPr>
        <w:t>Garantiju fonds. Bilance pirms konsolidācijas</w:t>
      </w:r>
    </w:p>
    <w:p>
      <w:pPr>
        <w:rPr>
          <w:noProof/>
        </w:rPr>
      </w:pPr>
      <w:r>
        <w:rPr>
          <w:noProof/>
        </w:rPr>
        <w:t>„Pirms konsolidācijas” bilance tiek sagatavota ar mērķi to iekļaut ES konsolidētajos finanšu pārskatos. Paskaidrojumi par galvenajiem posteņiem ir sniegti bilances piezīmēs.</w:t>
      </w:r>
    </w:p>
    <w:p>
      <w:pPr>
        <w:rPr>
          <w:noProof/>
        </w:rPr>
      </w:pPr>
      <w:r>
        <w:rPr>
          <w:noProof/>
        </w:rPr>
        <w:t>Bilance – aktīvi</w:t>
      </w:r>
    </w:p>
    <w:tbl>
      <w:tblPr>
        <w:tblW w:w="84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6"/>
        <w:gridCol w:w="2268"/>
        <w:gridCol w:w="2261"/>
      </w:tblGrid>
      <w:tr>
        <w:tc>
          <w:tcPr>
            <w:tcW w:w="3936" w:type="dxa"/>
            <w:tcBorders>
              <w:bottom w:val="single" w:sz="4" w:space="0" w:color="auto"/>
            </w:tcBorders>
            <w:shd w:val="clear" w:color="auto" w:fill="auto"/>
          </w:tcPr>
          <w:p>
            <w:pPr>
              <w:jc w:val="center"/>
              <w:rPr>
                <w:noProof/>
              </w:rPr>
            </w:pPr>
          </w:p>
        </w:tc>
        <w:tc>
          <w:tcPr>
            <w:tcW w:w="2268" w:type="dxa"/>
            <w:tcBorders>
              <w:bottom w:val="single" w:sz="4" w:space="0" w:color="auto"/>
            </w:tcBorders>
            <w:shd w:val="clear" w:color="auto" w:fill="auto"/>
          </w:tcPr>
          <w:p>
            <w:pPr>
              <w:jc w:val="center"/>
              <w:rPr>
                <w:noProof/>
              </w:rPr>
            </w:pPr>
            <w:r>
              <w:rPr>
                <w:noProof/>
              </w:rPr>
              <w:t>2014. gada 31. decembris</w:t>
            </w:r>
          </w:p>
        </w:tc>
        <w:tc>
          <w:tcPr>
            <w:tcW w:w="2261" w:type="dxa"/>
            <w:tcBorders>
              <w:bottom w:val="single" w:sz="4" w:space="0" w:color="auto"/>
            </w:tcBorders>
            <w:shd w:val="clear" w:color="auto" w:fill="auto"/>
          </w:tcPr>
          <w:p>
            <w:pPr>
              <w:jc w:val="center"/>
              <w:rPr>
                <w:noProof/>
              </w:rPr>
            </w:pPr>
            <w:r>
              <w:rPr>
                <w:noProof/>
              </w:rPr>
              <w:t>2013. gada 31. decembris</w:t>
            </w:r>
          </w:p>
        </w:tc>
      </w:tr>
      <w:tr>
        <w:tc>
          <w:tcPr>
            <w:tcW w:w="3936" w:type="dxa"/>
            <w:shd w:val="pct20" w:color="auto" w:fill="auto"/>
          </w:tcPr>
          <w:p>
            <w:pPr>
              <w:rPr>
                <w:noProof/>
                <w14:shadow w14:blurRad="50800" w14:dist="38100" w14:dir="2700000" w14:sx="100000" w14:sy="100000" w14:kx="0" w14:ky="0" w14:algn="tl">
                  <w14:srgbClr w14:val="000000">
                    <w14:alpha w14:val="60000"/>
                  </w14:srgbClr>
                </w14:shadow>
              </w:rPr>
            </w:pPr>
            <w:r>
              <w:rPr>
                <w:noProof/>
                <w14:shadow w14:blurRad="50800" w14:dist="38100" w14:dir="2700000" w14:sx="100000" w14:sy="100000" w14:kx="0" w14:ky="0" w14:algn="tl">
                  <w14:srgbClr w14:val="000000">
                    <w14:alpha w14:val="60000"/>
                  </w14:srgbClr>
                </w14:shadow>
              </w:rPr>
              <w:t>ILGTERMIŅA AKTĪVI</w:t>
            </w:r>
          </w:p>
        </w:tc>
        <w:tc>
          <w:tcPr>
            <w:tcW w:w="2268" w:type="dxa"/>
            <w:shd w:val="pct20" w:color="auto" w:fill="auto"/>
          </w:tcPr>
          <w:p>
            <w:pPr>
              <w:jc w:val="right"/>
              <w:rPr>
                <w:noProof/>
                <w14:shadow w14:blurRad="50800" w14:dist="38100" w14:dir="2700000" w14:sx="100000" w14:sy="100000" w14:kx="0" w14:ky="0" w14:algn="tl">
                  <w14:srgbClr w14:val="000000">
                    <w14:alpha w14:val="60000"/>
                  </w14:srgbClr>
                </w14:shadow>
              </w:rPr>
            </w:pPr>
            <w:r>
              <w:rPr>
                <w:noProof/>
                <w14:shadow w14:blurRad="50800" w14:dist="38100" w14:dir="2700000" w14:sx="100000" w14:sy="100000" w14:kx="0" w14:ky="0" w14:algn="tl">
                  <w14:srgbClr w14:val="000000">
                    <w14:alpha w14:val="60000"/>
                  </w14:srgbClr>
                </w14:shadow>
              </w:rPr>
              <w:t>1 499 128 901</w:t>
            </w:r>
          </w:p>
        </w:tc>
        <w:tc>
          <w:tcPr>
            <w:tcW w:w="2261" w:type="dxa"/>
            <w:shd w:val="pct20" w:color="auto" w:fill="auto"/>
          </w:tcPr>
          <w:p>
            <w:pPr>
              <w:jc w:val="right"/>
              <w:rPr>
                <w:noProof/>
                <w14:shadow w14:blurRad="50800" w14:dist="38100" w14:dir="2700000" w14:sx="100000" w14:sy="100000" w14:kx="0" w14:ky="0" w14:algn="tl">
                  <w14:srgbClr w14:val="000000">
                    <w14:alpha w14:val="60000"/>
                  </w14:srgbClr>
                </w14:shadow>
              </w:rPr>
            </w:pPr>
            <w:r>
              <w:rPr>
                <w:noProof/>
                <w14:shadow w14:blurRad="50800" w14:dist="38100" w14:dir="2700000" w14:sx="100000" w14:sy="100000" w14:kx="0" w14:ky="0" w14:algn="tl">
                  <w14:srgbClr w14:val="000000">
                    <w14:alpha w14:val="60000"/>
                  </w14:srgbClr>
                </w14:shadow>
              </w:rPr>
              <w:t>1 432 206 953</w:t>
            </w:r>
          </w:p>
        </w:tc>
      </w:tr>
      <w:tr>
        <w:tc>
          <w:tcPr>
            <w:tcW w:w="3936" w:type="dxa"/>
            <w:tcBorders>
              <w:bottom w:val="single" w:sz="4" w:space="0" w:color="auto"/>
            </w:tcBorders>
            <w:shd w:val="clear" w:color="auto" w:fill="auto"/>
          </w:tcPr>
          <w:p>
            <w:pPr>
              <w:rPr>
                <w:noProof/>
              </w:rPr>
            </w:pPr>
            <w:r>
              <w:rPr>
                <w:noProof/>
              </w:rPr>
              <w:t>Pārdošanai pieejamie finanšu aktīvi</w:t>
            </w:r>
          </w:p>
        </w:tc>
        <w:tc>
          <w:tcPr>
            <w:tcW w:w="2268" w:type="dxa"/>
            <w:tcBorders>
              <w:bottom w:val="single" w:sz="4" w:space="0" w:color="auto"/>
            </w:tcBorders>
            <w:shd w:val="clear" w:color="auto" w:fill="auto"/>
          </w:tcPr>
          <w:p>
            <w:pPr>
              <w:jc w:val="right"/>
              <w:rPr>
                <w:noProof/>
              </w:rPr>
            </w:pPr>
            <w:r>
              <w:rPr>
                <w:noProof/>
              </w:rPr>
              <w:t>1 499 128 901</w:t>
            </w:r>
          </w:p>
        </w:tc>
        <w:tc>
          <w:tcPr>
            <w:tcW w:w="2261" w:type="dxa"/>
            <w:tcBorders>
              <w:bottom w:val="single" w:sz="4" w:space="0" w:color="auto"/>
            </w:tcBorders>
            <w:shd w:val="clear" w:color="auto" w:fill="auto"/>
          </w:tcPr>
          <w:p>
            <w:pPr>
              <w:jc w:val="right"/>
              <w:rPr>
                <w:noProof/>
              </w:rPr>
            </w:pPr>
            <w:r>
              <w:rPr>
                <w:noProof/>
              </w:rPr>
              <w:t>1 432 206 953</w:t>
            </w:r>
          </w:p>
        </w:tc>
      </w:tr>
      <w:tr>
        <w:tc>
          <w:tcPr>
            <w:tcW w:w="3936" w:type="dxa"/>
            <w:shd w:val="pct20" w:color="auto" w:fill="auto"/>
          </w:tcPr>
          <w:p>
            <w:pPr>
              <w:rPr>
                <w:noProof/>
              </w:rPr>
            </w:pPr>
            <w:r>
              <w:rPr>
                <w:noProof/>
              </w:rPr>
              <w:t>APGROZĀMIE AKTĪVI</w:t>
            </w:r>
          </w:p>
        </w:tc>
        <w:tc>
          <w:tcPr>
            <w:tcW w:w="2268" w:type="dxa"/>
            <w:shd w:val="pct20" w:color="auto" w:fill="auto"/>
          </w:tcPr>
          <w:p>
            <w:pPr>
              <w:jc w:val="right"/>
              <w:rPr>
                <w:noProof/>
              </w:rPr>
            </w:pPr>
            <w:r>
              <w:rPr>
                <w:noProof/>
              </w:rPr>
              <w:t>517 361 813</w:t>
            </w:r>
          </w:p>
        </w:tc>
        <w:tc>
          <w:tcPr>
            <w:tcW w:w="2261" w:type="dxa"/>
            <w:shd w:val="pct20" w:color="auto" w:fill="auto"/>
          </w:tcPr>
          <w:p>
            <w:pPr>
              <w:jc w:val="right"/>
              <w:rPr>
                <w:noProof/>
              </w:rPr>
            </w:pPr>
            <w:r>
              <w:rPr>
                <w:noProof/>
              </w:rPr>
              <w:t>621 219 474</w:t>
            </w:r>
          </w:p>
        </w:tc>
      </w:tr>
      <w:tr>
        <w:tc>
          <w:tcPr>
            <w:tcW w:w="3936" w:type="dxa"/>
            <w:shd w:val="clear" w:color="auto" w:fill="auto"/>
          </w:tcPr>
          <w:p>
            <w:pPr>
              <w:rPr>
                <w:noProof/>
              </w:rPr>
            </w:pPr>
            <w:r>
              <w:rPr>
                <w:noProof/>
              </w:rPr>
              <w:t>Pārdošanai pieejamie finanšu aktīvi</w:t>
            </w:r>
          </w:p>
        </w:tc>
        <w:tc>
          <w:tcPr>
            <w:tcW w:w="2268" w:type="dxa"/>
            <w:shd w:val="clear" w:color="auto" w:fill="auto"/>
          </w:tcPr>
          <w:p>
            <w:pPr>
              <w:jc w:val="right"/>
              <w:rPr>
                <w:noProof/>
              </w:rPr>
            </w:pPr>
            <w:r>
              <w:rPr>
                <w:noProof/>
              </w:rPr>
              <w:t>346 281 423</w:t>
            </w:r>
          </w:p>
        </w:tc>
        <w:tc>
          <w:tcPr>
            <w:tcW w:w="2261" w:type="dxa"/>
            <w:shd w:val="clear" w:color="auto" w:fill="auto"/>
          </w:tcPr>
          <w:p>
            <w:pPr>
              <w:jc w:val="right"/>
              <w:rPr>
                <w:noProof/>
              </w:rPr>
            </w:pPr>
            <w:r>
              <w:rPr>
                <w:noProof/>
              </w:rPr>
              <w:t>361 614 283</w:t>
            </w:r>
          </w:p>
        </w:tc>
      </w:tr>
      <w:tr>
        <w:tc>
          <w:tcPr>
            <w:tcW w:w="3936" w:type="dxa"/>
            <w:shd w:val="clear" w:color="auto" w:fill="auto"/>
          </w:tcPr>
          <w:p>
            <w:pPr>
              <w:rPr>
                <w:noProof/>
              </w:rPr>
            </w:pPr>
            <w:r>
              <w:rPr>
                <w:noProof/>
              </w:rPr>
              <w:t>Debitoru parādi</w:t>
            </w:r>
          </w:p>
        </w:tc>
        <w:tc>
          <w:tcPr>
            <w:tcW w:w="2268" w:type="dxa"/>
            <w:shd w:val="clear" w:color="auto" w:fill="auto"/>
          </w:tcPr>
          <w:p>
            <w:pPr>
              <w:jc w:val="right"/>
              <w:rPr>
                <w:noProof/>
              </w:rPr>
            </w:pPr>
            <w:r>
              <w:rPr>
                <w:noProof/>
              </w:rPr>
              <w:t>23 147 185</w:t>
            </w:r>
          </w:p>
        </w:tc>
        <w:tc>
          <w:tcPr>
            <w:tcW w:w="2261" w:type="dxa"/>
            <w:shd w:val="clear" w:color="auto" w:fill="auto"/>
          </w:tcPr>
          <w:p>
            <w:pPr>
              <w:jc w:val="right"/>
              <w:rPr>
                <w:noProof/>
              </w:rPr>
            </w:pPr>
            <w:r>
              <w:rPr>
                <w:noProof/>
              </w:rPr>
              <w:t>107 502 078</w:t>
            </w:r>
          </w:p>
        </w:tc>
      </w:tr>
      <w:tr>
        <w:tc>
          <w:tcPr>
            <w:tcW w:w="3936" w:type="dxa"/>
            <w:tcBorders>
              <w:bottom w:val="single" w:sz="4" w:space="0" w:color="auto"/>
            </w:tcBorders>
            <w:shd w:val="clear" w:color="auto" w:fill="auto"/>
          </w:tcPr>
          <w:p>
            <w:pPr>
              <w:rPr>
                <w:noProof/>
              </w:rPr>
            </w:pPr>
            <w:r>
              <w:rPr>
                <w:noProof/>
              </w:rPr>
              <w:t>Nauda un tās ekvivalenti</w:t>
            </w:r>
          </w:p>
        </w:tc>
        <w:tc>
          <w:tcPr>
            <w:tcW w:w="2268" w:type="dxa"/>
            <w:tcBorders>
              <w:bottom w:val="single" w:sz="4" w:space="0" w:color="auto"/>
            </w:tcBorders>
            <w:shd w:val="clear" w:color="auto" w:fill="auto"/>
          </w:tcPr>
          <w:p>
            <w:pPr>
              <w:jc w:val="right"/>
              <w:rPr>
                <w:noProof/>
              </w:rPr>
            </w:pPr>
            <w:r>
              <w:rPr>
                <w:noProof/>
              </w:rPr>
              <w:t>147 933 205</w:t>
            </w:r>
          </w:p>
        </w:tc>
        <w:tc>
          <w:tcPr>
            <w:tcW w:w="2261" w:type="dxa"/>
            <w:tcBorders>
              <w:bottom w:val="single" w:sz="4" w:space="0" w:color="auto"/>
            </w:tcBorders>
            <w:shd w:val="clear" w:color="auto" w:fill="auto"/>
          </w:tcPr>
          <w:p>
            <w:pPr>
              <w:jc w:val="right"/>
              <w:rPr>
                <w:noProof/>
              </w:rPr>
            </w:pPr>
            <w:r>
              <w:rPr>
                <w:noProof/>
              </w:rPr>
              <w:t>152 103 112</w:t>
            </w:r>
          </w:p>
        </w:tc>
      </w:tr>
      <w:tr>
        <w:tc>
          <w:tcPr>
            <w:tcW w:w="3936" w:type="dxa"/>
            <w:shd w:val="pct20" w:color="auto" w:fill="auto"/>
          </w:tcPr>
          <w:p>
            <w:pPr>
              <w:rPr>
                <w:noProof/>
              </w:rPr>
            </w:pPr>
            <w:r>
              <w:rPr>
                <w:noProof/>
              </w:rPr>
              <w:t>KOPĀ AKTĪVI</w:t>
            </w:r>
          </w:p>
        </w:tc>
        <w:tc>
          <w:tcPr>
            <w:tcW w:w="2268" w:type="dxa"/>
            <w:shd w:val="pct20" w:color="auto" w:fill="auto"/>
          </w:tcPr>
          <w:p>
            <w:pPr>
              <w:jc w:val="right"/>
              <w:rPr>
                <w:noProof/>
              </w:rPr>
            </w:pPr>
            <w:r>
              <w:rPr>
                <w:noProof/>
              </w:rPr>
              <w:t>2 016 490 714</w:t>
            </w:r>
          </w:p>
        </w:tc>
        <w:tc>
          <w:tcPr>
            <w:tcW w:w="2261" w:type="dxa"/>
            <w:shd w:val="pct20" w:color="auto" w:fill="auto"/>
          </w:tcPr>
          <w:p>
            <w:pPr>
              <w:jc w:val="right"/>
              <w:rPr>
                <w:noProof/>
              </w:rPr>
            </w:pPr>
            <w:r>
              <w:rPr>
                <w:noProof/>
              </w:rPr>
              <w:t>2 053 426 427</w:t>
            </w:r>
          </w:p>
        </w:tc>
      </w:tr>
    </w:tbl>
    <w:p>
      <w:pPr>
        <w:rPr>
          <w:noProof/>
        </w:rPr>
      </w:pPr>
    </w:p>
    <w:p>
      <w:pPr>
        <w:rPr>
          <w:noProof/>
        </w:rPr>
      </w:pPr>
      <w:r>
        <w:rPr>
          <w:noProof/>
        </w:rPr>
        <w:t>Bilance – saistības</w:t>
      </w:r>
    </w:p>
    <w:tbl>
      <w:tblPr>
        <w:tblW w:w="84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6"/>
        <w:gridCol w:w="2268"/>
        <w:gridCol w:w="2261"/>
      </w:tblGrid>
      <w:tr>
        <w:tc>
          <w:tcPr>
            <w:tcW w:w="3936" w:type="dxa"/>
            <w:tcBorders>
              <w:bottom w:val="single" w:sz="4" w:space="0" w:color="auto"/>
            </w:tcBorders>
            <w:shd w:val="clear" w:color="auto" w:fill="auto"/>
          </w:tcPr>
          <w:p>
            <w:pPr>
              <w:jc w:val="center"/>
              <w:rPr>
                <w:noProof/>
              </w:rPr>
            </w:pPr>
          </w:p>
        </w:tc>
        <w:tc>
          <w:tcPr>
            <w:tcW w:w="2268" w:type="dxa"/>
            <w:tcBorders>
              <w:bottom w:val="single" w:sz="4" w:space="0" w:color="auto"/>
            </w:tcBorders>
            <w:shd w:val="clear" w:color="auto" w:fill="auto"/>
          </w:tcPr>
          <w:p>
            <w:pPr>
              <w:jc w:val="center"/>
              <w:rPr>
                <w:noProof/>
              </w:rPr>
            </w:pPr>
            <w:r>
              <w:rPr>
                <w:noProof/>
              </w:rPr>
              <w:t>2014. gada 31. decembris</w:t>
            </w:r>
          </w:p>
        </w:tc>
        <w:tc>
          <w:tcPr>
            <w:tcW w:w="2261" w:type="dxa"/>
            <w:tcBorders>
              <w:bottom w:val="single" w:sz="4" w:space="0" w:color="auto"/>
            </w:tcBorders>
            <w:shd w:val="clear" w:color="auto" w:fill="auto"/>
          </w:tcPr>
          <w:p>
            <w:pPr>
              <w:jc w:val="center"/>
              <w:rPr>
                <w:noProof/>
              </w:rPr>
            </w:pPr>
            <w:r>
              <w:rPr>
                <w:noProof/>
              </w:rPr>
              <w:t>2013. gada 31. decembris</w:t>
            </w:r>
          </w:p>
        </w:tc>
      </w:tr>
      <w:tr>
        <w:tc>
          <w:tcPr>
            <w:tcW w:w="3936" w:type="dxa"/>
            <w:shd w:val="pct20" w:color="auto" w:fill="auto"/>
          </w:tcPr>
          <w:p>
            <w:pPr>
              <w:rPr>
                <w:noProof/>
                <w14:shadow w14:blurRad="50800" w14:dist="38100" w14:dir="2700000" w14:sx="100000" w14:sy="100000" w14:kx="0" w14:ky="0" w14:algn="tl">
                  <w14:srgbClr w14:val="000000">
                    <w14:alpha w14:val="60000"/>
                  </w14:srgbClr>
                </w14:shadow>
              </w:rPr>
            </w:pPr>
            <w:r>
              <w:rPr>
                <w:noProof/>
                <w14:shadow w14:blurRad="50800" w14:dist="38100" w14:dir="2700000" w14:sx="100000" w14:sy="100000" w14:kx="0" w14:ky="0" w14:algn="tl">
                  <w14:srgbClr w14:val="000000">
                    <w14:alpha w14:val="60000"/>
                  </w14:srgbClr>
                </w14:shadow>
              </w:rPr>
              <w:t>IEGULDĪTĀJU LĪDZEKĻI</w:t>
            </w:r>
          </w:p>
        </w:tc>
        <w:tc>
          <w:tcPr>
            <w:tcW w:w="2268" w:type="dxa"/>
            <w:shd w:val="pct20" w:color="auto" w:fill="auto"/>
          </w:tcPr>
          <w:p>
            <w:pPr>
              <w:jc w:val="right"/>
              <w:rPr>
                <w:noProof/>
                <w14:shadow w14:blurRad="50800" w14:dist="38100" w14:dir="2700000" w14:sx="100000" w14:sy="100000" w14:kx="0" w14:ky="0" w14:algn="tl">
                  <w14:srgbClr w14:val="000000">
                    <w14:alpha w14:val="60000"/>
                  </w14:srgbClr>
                </w14:shadow>
              </w:rPr>
            </w:pPr>
            <w:r>
              <w:rPr>
                <w:noProof/>
                <w14:shadow w14:blurRad="50800" w14:dist="38100" w14:dir="2700000" w14:sx="100000" w14:sy="100000" w14:kx="0" w14:ky="0" w14:algn="tl">
                  <w14:srgbClr w14:val="000000">
                    <w14:alpha w14:val="60000"/>
                  </w14:srgbClr>
                </w14:shadow>
              </w:rPr>
              <w:t>1 991 699 974</w:t>
            </w:r>
          </w:p>
        </w:tc>
        <w:tc>
          <w:tcPr>
            <w:tcW w:w="2261" w:type="dxa"/>
            <w:shd w:val="pct20" w:color="auto" w:fill="auto"/>
          </w:tcPr>
          <w:p>
            <w:pPr>
              <w:jc w:val="right"/>
              <w:rPr>
                <w:noProof/>
                <w14:shadow w14:blurRad="50800" w14:dist="38100" w14:dir="2700000" w14:sx="100000" w14:sy="100000" w14:kx="0" w14:ky="0" w14:algn="tl">
                  <w14:srgbClr w14:val="000000">
                    <w14:alpha w14:val="60000"/>
                  </w14:srgbClr>
                </w14:shadow>
              </w:rPr>
            </w:pPr>
            <w:r>
              <w:rPr>
                <w:noProof/>
                <w14:shadow w14:blurRad="50800" w14:dist="38100" w14:dir="2700000" w14:sx="100000" w14:sy="100000" w14:kx="0" w14:ky="0" w14:algn="tl">
                  <w14:srgbClr w14:val="000000">
                    <w14:alpha w14:val="60000"/>
                  </w14:srgbClr>
                </w14:shadow>
              </w:rPr>
              <w:t>2 029 113 846</w:t>
            </w:r>
          </w:p>
        </w:tc>
      </w:tr>
      <w:tr>
        <w:tc>
          <w:tcPr>
            <w:tcW w:w="3936" w:type="dxa"/>
            <w:shd w:val="clear" w:color="auto" w:fill="auto"/>
          </w:tcPr>
          <w:p>
            <w:pPr>
              <w:rPr>
                <w:noProof/>
              </w:rPr>
            </w:pPr>
            <w:r>
              <w:rPr>
                <w:noProof/>
              </w:rPr>
              <w:t>Eiropas Komisijas iemaksa</w:t>
            </w:r>
          </w:p>
        </w:tc>
        <w:tc>
          <w:tcPr>
            <w:tcW w:w="2268" w:type="dxa"/>
            <w:shd w:val="clear" w:color="auto" w:fill="auto"/>
          </w:tcPr>
          <w:p>
            <w:pPr>
              <w:jc w:val="right"/>
              <w:rPr>
                <w:noProof/>
              </w:rPr>
            </w:pPr>
            <w:r>
              <w:rPr>
                <w:noProof/>
              </w:rPr>
              <w:t>1 067 100 081</w:t>
            </w:r>
          </w:p>
        </w:tc>
        <w:tc>
          <w:tcPr>
            <w:tcW w:w="2261" w:type="dxa"/>
            <w:shd w:val="clear" w:color="auto" w:fill="auto"/>
          </w:tcPr>
          <w:p>
            <w:pPr>
              <w:jc w:val="right"/>
              <w:rPr>
                <w:noProof/>
              </w:rPr>
            </w:pPr>
            <w:r>
              <w:rPr>
                <w:noProof/>
              </w:rPr>
              <w:t>1 008 667 787</w:t>
            </w:r>
          </w:p>
        </w:tc>
      </w:tr>
      <w:tr>
        <w:tc>
          <w:tcPr>
            <w:tcW w:w="3936" w:type="dxa"/>
            <w:shd w:val="clear" w:color="auto" w:fill="auto"/>
          </w:tcPr>
          <w:p>
            <w:pPr>
              <w:rPr>
                <w:noProof/>
              </w:rPr>
            </w:pPr>
            <w:r>
              <w:rPr>
                <w:noProof/>
              </w:rPr>
              <w:t>Patiesās vērtības rezerve</w:t>
            </w:r>
          </w:p>
        </w:tc>
        <w:tc>
          <w:tcPr>
            <w:tcW w:w="2268" w:type="dxa"/>
            <w:shd w:val="clear" w:color="auto" w:fill="auto"/>
          </w:tcPr>
          <w:p>
            <w:pPr>
              <w:jc w:val="right"/>
              <w:rPr>
                <w:noProof/>
              </w:rPr>
            </w:pPr>
            <w:r>
              <w:rPr>
                <w:noProof/>
              </w:rPr>
              <w:t>56 101 855</w:t>
            </w:r>
          </w:p>
        </w:tc>
        <w:tc>
          <w:tcPr>
            <w:tcW w:w="2261" w:type="dxa"/>
            <w:shd w:val="clear" w:color="auto" w:fill="auto"/>
          </w:tcPr>
          <w:p>
            <w:pPr>
              <w:jc w:val="right"/>
              <w:rPr>
                <w:noProof/>
              </w:rPr>
            </w:pPr>
            <w:r>
              <w:rPr>
                <w:noProof/>
              </w:rPr>
              <w:t>36 665 074</w:t>
            </w:r>
          </w:p>
        </w:tc>
      </w:tr>
      <w:tr>
        <w:tc>
          <w:tcPr>
            <w:tcW w:w="3936" w:type="dxa"/>
            <w:tcBorders>
              <w:bottom w:val="single" w:sz="4" w:space="0" w:color="auto"/>
            </w:tcBorders>
            <w:shd w:val="clear" w:color="auto" w:fill="auto"/>
          </w:tcPr>
          <w:p>
            <w:pPr>
              <w:rPr>
                <w:noProof/>
              </w:rPr>
            </w:pPr>
            <w:r>
              <w:rPr>
                <w:noProof/>
              </w:rPr>
              <w:t>Nesadalītā peļņa</w:t>
            </w:r>
          </w:p>
        </w:tc>
        <w:tc>
          <w:tcPr>
            <w:tcW w:w="2268" w:type="dxa"/>
            <w:tcBorders>
              <w:bottom w:val="single" w:sz="4" w:space="0" w:color="auto"/>
            </w:tcBorders>
            <w:shd w:val="clear" w:color="auto" w:fill="auto"/>
          </w:tcPr>
          <w:p>
            <w:pPr>
              <w:jc w:val="right"/>
              <w:rPr>
                <w:noProof/>
              </w:rPr>
            </w:pPr>
            <w:r>
              <w:rPr>
                <w:noProof/>
              </w:rPr>
              <w:t>868 498 038</w:t>
            </w:r>
          </w:p>
        </w:tc>
        <w:tc>
          <w:tcPr>
            <w:tcW w:w="2261" w:type="dxa"/>
            <w:tcBorders>
              <w:bottom w:val="single" w:sz="4" w:space="0" w:color="auto"/>
            </w:tcBorders>
            <w:shd w:val="clear" w:color="auto" w:fill="auto"/>
          </w:tcPr>
          <w:p>
            <w:pPr>
              <w:jc w:val="right"/>
              <w:rPr>
                <w:noProof/>
              </w:rPr>
            </w:pPr>
            <w:r>
              <w:rPr>
                <w:noProof/>
              </w:rPr>
              <w:t>983 780 985</w:t>
            </w:r>
          </w:p>
        </w:tc>
      </w:tr>
      <w:tr>
        <w:tc>
          <w:tcPr>
            <w:tcW w:w="3936" w:type="dxa"/>
            <w:shd w:val="pct20" w:color="auto" w:fill="auto"/>
          </w:tcPr>
          <w:p>
            <w:pPr>
              <w:rPr>
                <w:noProof/>
              </w:rPr>
            </w:pPr>
            <w:r>
              <w:rPr>
                <w:noProof/>
                <w14:shadow w14:blurRad="50800" w14:dist="38100" w14:dir="2700000" w14:sx="100000" w14:sy="100000" w14:kx="0" w14:ky="0" w14:algn="tl">
                  <w14:srgbClr w14:val="000000">
                    <w14:alpha w14:val="60000"/>
                  </w14:srgbClr>
                </w14:shadow>
              </w:rPr>
              <w:t>ILGTERMIŅA SAISTĪBAS</w:t>
            </w:r>
          </w:p>
        </w:tc>
        <w:tc>
          <w:tcPr>
            <w:tcW w:w="2268" w:type="dxa"/>
            <w:shd w:val="pct20" w:color="auto" w:fill="auto"/>
          </w:tcPr>
          <w:p>
            <w:pPr>
              <w:jc w:val="right"/>
              <w:rPr>
                <w:noProof/>
              </w:rPr>
            </w:pPr>
            <w:r>
              <w:rPr>
                <w:noProof/>
              </w:rPr>
              <w:t>-</w:t>
            </w:r>
          </w:p>
        </w:tc>
        <w:tc>
          <w:tcPr>
            <w:tcW w:w="2261" w:type="dxa"/>
            <w:shd w:val="pct20" w:color="auto" w:fill="auto"/>
          </w:tcPr>
          <w:p>
            <w:pPr>
              <w:jc w:val="right"/>
              <w:rPr>
                <w:noProof/>
              </w:rPr>
            </w:pPr>
            <w:r>
              <w:rPr>
                <w:noProof/>
              </w:rPr>
              <w:t>-</w:t>
            </w:r>
          </w:p>
        </w:tc>
      </w:tr>
      <w:tr>
        <w:tc>
          <w:tcPr>
            <w:tcW w:w="3936" w:type="dxa"/>
            <w:tcBorders>
              <w:bottom w:val="single" w:sz="4" w:space="0" w:color="auto"/>
            </w:tcBorders>
            <w:shd w:val="clear" w:color="auto" w:fill="auto"/>
          </w:tcPr>
          <w:p>
            <w:pPr>
              <w:rPr>
                <w:noProof/>
              </w:rPr>
            </w:pPr>
          </w:p>
        </w:tc>
        <w:tc>
          <w:tcPr>
            <w:tcW w:w="2268" w:type="dxa"/>
            <w:tcBorders>
              <w:bottom w:val="single" w:sz="4" w:space="0" w:color="auto"/>
            </w:tcBorders>
            <w:shd w:val="clear" w:color="auto" w:fill="auto"/>
          </w:tcPr>
          <w:p>
            <w:pPr>
              <w:jc w:val="right"/>
              <w:rPr>
                <w:noProof/>
              </w:rPr>
            </w:pPr>
          </w:p>
        </w:tc>
        <w:tc>
          <w:tcPr>
            <w:tcW w:w="2261" w:type="dxa"/>
            <w:tcBorders>
              <w:bottom w:val="single" w:sz="4" w:space="0" w:color="auto"/>
            </w:tcBorders>
            <w:shd w:val="clear" w:color="auto" w:fill="auto"/>
          </w:tcPr>
          <w:p>
            <w:pPr>
              <w:jc w:val="right"/>
              <w:rPr>
                <w:noProof/>
              </w:rPr>
            </w:pPr>
          </w:p>
        </w:tc>
      </w:tr>
      <w:tr>
        <w:tc>
          <w:tcPr>
            <w:tcW w:w="3936" w:type="dxa"/>
            <w:shd w:val="pct20" w:color="auto" w:fill="auto"/>
          </w:tcPr>
          <w:p>
            <w:pPr>
              <w:rPr>
                <w:noProof/>
              </w:rPr>
            </w:pPr>
            <w:r>
              <w:rPr>
                <w:noProof/>
                <w14:shadow w14:blurRad="50800" w14:dist="38100" w14:dir="2700000" w14:sx="100000" w14:sy="100000" w14:kx="0" w14:ky="0" w14:algn="tl">
                  <w14:srgbClr w14:val="000000">
                    <w14:alpha w14:val="60000"/>
                  </w14:srgbClr>
                </w14:shadow>
              </w:rPr>
              <w:t>ĪSTERMIŅA SAISTĪBAS</w:t>
            </w:r>
          </w:p>
        </w:tc>
        <w:tc>
          <w:tcPr>
            <w:tcW w:w="2268" w:type="dxa"/>
            <w:shd w:val="pct20" w:color="auto" w:fill="auto"/>
          </w:tcPr>
          <w:p>
            <w:pPr>
              <w:jc w:val="right"/>
              <w:rPr>
                <w:noProof/>
              </w:rPr>
            </w:pPr>
            <w:r>
              <w:rPr>
                <w:noProof/>
              </w:rPr>
              <w:t>24 790 740</w:t>
            </w:r>
          </w:p>
        </w:tc>
        <w:tc>
          <w:tcPr>
            <w:tcW w:w="2261" w:type="dxa"/>
            <w:shd w:val="pct20" w:color="auto" w:fill="auto"/>
          </w:tcPr>
          <w:p>
            <w:pPr>
              <w:jc w:val="right"/>
              <w:rPr>
                <w:noProof/>
              </w:rPr>
            </w:pPr>
            <w:r>
              <w:rPr>
                <w:noProof/>
              </w:rPr>
              <w:t>24 312 581</w:t>
            </w:r>
          </w:p>
        </w:tc>
      </w:tr>
      <w:tr>
        <w:tc>
          <w:tcPr>
            <w:tcW w:w="3936" w:type="dxa"/>
            <w:tcBorders>
              <w:bottom w:val="single" w:sz="4" w:space="0" w:color="auto"/>
            </w:tcBorders>
            <w:shd w:val="clear" w:color="auto" w:fill="auto"/>
          </w:tcPr>
          <w:p>
            <w:pPr>
              <w:rPr>
                <w:noProof/>
              </w:rPr>
            </w:pPr>
            <w:r>
              <w:rPr>
                <w:noProof/>
              </w:rPr>
              <w:t>Kreditoru parādi</w:t>
            </w:r>
          </w:p>
        </w:tc>
        <w:tc>
          <w:tcPr>
            <w:tcW w:w="2268" w:type="dxa"/>
            <w:tcBorders>
              <w:bottom w:val="single" w:sz="4" w:space="0" w:color="auto"/>
            </w:tcBorders>
            <w:shd w:val="clear" w:color="auto" w:fill="auto"/>
          </w:tcPr>
          <w:p>
            <w:pPr>
              <w:jc w:val="right"/>
              <w:rPr>
                <w:noProof/>
              </w:rPr>
            </w:pPr>
            <w:r>
              <w:rPr>
                <w:noProof/>
              </w:rPr>
              <w:t>24 790 740</w:t>
            </w:r>
          </w:p>
        </w:tc>
        <w:tc>
          <w:tcPr>
            <w:tcW w:w="2261" w:type="dxa"/>
            <w:tcBorders>
              <w:bottom w:val="single" w:sz="4" w:space="0" w:color="auto"/>
            </w:tcBorders>
            <w:shd w:val="clear" w:color="auto" w:fill="auto"/>
          </w:tcPr>
          <w:p>
            <w:pPr>
              <w:jc w:val="right"/>
              <w:rPr>
                <w:noProof/>
              </w:rPr>
            </w:pPr>
            <w:r>
              <w:rPr>
                <w:noProof/>
              </w:rPr>
              <w:t>24 312 581</w:t>
            </w:r>
          </w:p>
        </w:tc>
      </w:tr>
      <w:tr>
        <w:tc>
          <w:tcPr>
            <w:tcW w:w="3936" w:type="dxa"/>
            <w:shd w:val="pct20" w:color="auto" w:fill="auto"/>
          </w:tcPr>
          <w:p>
            <w:pPr>
              <w:jc w:val="left"/>
              <w:rPr>
                <w:noProof/>
              </w:rPr>
            </w:pPr>
            <w:r>
              <w:rPr>
                <w:noProof/>
                <w14:shadow w14:blurRad="50800" w14:dist="38100" w14:dir="2700000" w14:sx="100000" w14:sy="100000" w14:kx="0" w14:ky="0" w14:algn="tl">
                  <w14:srgbClr w14:val="000000">
                    <w14:alpha w14:val="60000"/>
                  </w14:srgbClr>
                </w14:shadow>
              </w:rPr>
              <w:t>KOPĀ IEGULDĪTĀJU LĪDZEKĻI + SAISTĪBAS</w:t>
            </w:r>
          </w:p>
        </w:tc>
        <w:tc>
          <w:tcPr>
            <w:tcW w:w="2268" w:type="dxa"/>
            <w:shd w:val="pct20" w:color="auto" w:fill="auto"/>
          </w:tcPr>
          <w:p>
            <w:pPr>
              <w:jc w:val="right"/>
              <w:rPr>
                <w:noProof/>
              </w:rPr>
            </w:pPr>
            <w:r>
              <w:rPr>
                <w:noProof/>
              </w:rPr>
              <w:t>2 016 490 714</w:t>
            </w:r>
          </w:p>
        </w:tc>
        <w:tc>
          <w:tcPr>
            <w:tcW w:w="2261" w:type="dxa"/>
            <w:shd w:val="pct20" w:color="auto" w:fill="auto"/>
          </w:tcPr>
          <w:p>
            <w:pPr>
              <w:jc w:val="right"/>
              <w:rPr>
                <w:noProof/>
              </w:rPr>
            </w:pPr>
            <w:r>
              <w:rPr>
                <w:noProof/>
              </w:rPr>
              <w:t>2 053 426 427</w:t>
            </w:r>
          </w:p>
        </w:tc>
      </w:tr>
    </w:tbl>
    <w:p>
      <w:pPr>
        <w:rPr>
          <w:noProof/>
          <w:u w:val="single"/>
        </w:rPr>
      </w:pPr>
    </w:p>
    <w:p>
      <w:pPr>
        <w:rPr>
          <w:noProof/>
        </w:rPr>
      </w:pPr>
      <w:r>
        <w:rPr>
          <w:noProof/>
        </w:rPr>
        <w:br w:type="page"/>
        <w:t>Bilances piezīmes</w:t>
      </w:r>
    </w:p>
    <w:p>
      <w:pPr>
        <w:pStyle w:val="ListBullet"/>
        <w:rPr>
          <w:noProof/>
        </w:rPr>
      </w:pPr>
      <w:r>
        <w:rPr>
          <w:noProof/>
        </w:rPr>
        <w:t xml:space="preserve">„Īstermiņa debitoru parādi” ietver aizdevumu summas, kuras ir pieprasītas, bet vēl nav samaksātas (maksājums laikposmā no 2015. gada janvāra līdz martam), un saistītās summas. </w:t>
      </w:r>
    </w:p>
    <w:p>
      <w:pPr>
        <w:pStyle w:val="ListBullet"/>
        <w:rPr>
          <w:noProof/>
        </w:rPr>
      </w:pPr>
      <w:r>
        <w:rPr>
          <w:noProof/>
        </w:rPr>
        <w:t>Starpība starp „nesadalīto peļņu” pašu kapitālā un Fonda finansiālo stāvokli, kas izklāstīts darba dokumentā, skaidrojama ar secīgām garantiju un soda naudas atmaksām Fondam.</w:t>
      </w:r>
    </w:p>
    <w:p>
      <w:pPr>
        <w:pStyle w:val="ListBullet"/>
        <w:rPr>
          <w:noProof/>
        </w:rPr>
      </w:pPr>
      <w:r>
        <w:rPr>
          <w:noProof/>
        </w:rPr>
        <w:t>„Īstermiņa kreditoru parādi” ir nesamaksāto garantiju pieprasījumi bilances sastādīšanas datumā, saistītās summas, uzkrātās piedzīšanas maksas, kas jāiemaksā EIB, EIB pārvaldības komisijas maksas un revīzijas maksas.</w:t>
      </w:r>
    </w:p>
    <w:p>
      <w:pPr>
        <w:pStyle w:val="ManualHeading4"/>
        <w:rPr>
          <w:noProof/>
        </w:rPr>
      </w:pPr>
      <w:r>
        <w:tab/>
      </w:r>
      <w:r>
        <w:rPr>
          <w:noProof/>
        </w:rPr>
        <w:t>Garantiju fonds. Pārskats par saimnieciskās darbības rezultātu pirms konsolidācijas.</w:t>
      </w:r>
    </w:p>
    <w:p>
      <w:pPr>
        <w:rPr>
          <w:noProof/>
        </w:rPr>
      </w:pPr>
      <w:r>
        <w:rPr>
          <w:noProof/>
        </w:rPr>
        <w:t>Tāpat kā bilances gadījumā „pirms konsolidācijas” pārskats par saimnieciskajiem rezultātiem tiek sagatavots ar mērķi to iekļaut ES konsolidētajos finanšu pārskatos.</w:t>
      </w:r>
    </w:p>
    <w:tbl>
      <w:tblPr>
        <w:tblW w:w="83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1843"/>
        <w:gridCol w:w="1701"/>
      </w:tblGrid>
      <w:tr>
        <w:tc>
          <w:tcPr>
            <w:tcW w:w="4786" w:type="dxa"/>
            <w:shd w:val="clear" w:color="auto" w:fill="auto"/>
          </w:tcPr>
          <w:p>
            <w:pPr>
              <w:jc w:val="center"/>
              <w:rPr>
                <w:noProof/>
              </w:rPr>
            </w:pPr>
          </w:p>
        </w:tc>
        <w:tc>
          <w:tcPr>
            <w:tcW w:w="1843" w:type="dxa"/>
            <w:shd w:val="clear" w:color="auto" w:fill="auto"/>
          </w:tcPr>
          <w:p>
            <w:pPr>
              <w:jc w:val="center"/>
              <w:rPr>
                <w:noProof/>
              </w:rPr>
            </w:pPr>
            <w:r>
              <w:rPr>
                <w:noProof/>
              </w:rPr>
              <w:t>2014. g.</w:t>
            </w:r>
          </w:p>
        </w:tc>
        <w:tc>
          <w:tcPr>
            <w:tcW w:w="1701" w:type="dxa"/>
            <w:shd w:val="clear" w:color="auto" w:fill="auto"/>
          </w:tcPr>
          <w:p>
            <w:pPr>
              <w:jc w:val="center"/>
              <w:rPr>
                <w:noProof/>
              </w:rPr>
            </w:pPr>
            <w:r>
              <w:rPr>
                <w:noProof/>
              </w:rPr>
              <w:t>2013. g.</w:t>
            </w:r>
          </w:p>
        </w:tc>
      </w:tr>
      <w:tr>
        <w:tc>
          <w:tcPr>
            <w:tcW w:w="4786" w:type="dxa"/>
            <w:shd w:val="clear" w:color="auto" w:fill="auto"/>
          </w:tcPr>
          <w:p>
            <w:pPr>
              <w:rPr>
                <w:noProof/>
                <w14:shadow w14:blurRad="50800" w14:dist="38100" w14:dir="2700000" w14:sx="100000" w14:sy="100000" w14:kx="0" w14:ky="0" w14:algn="tl">
                  <w14:srgbClr w14:val="000000">
                    <w14:alpha w14:val="60000"/>
                  </w14:srgbClr>
                </w14:shadow>
              </w:rPr>
            </w:pPr>
            <w:r>
              <w:rPr>
                <w:noProof/>
                <w14:shadow w14:blurRad="50800" w14:dist="38100" w14:dir="2700000" w14:sx="100000" w14:sy="100000" w14:kx="0" w14:ky="0" w14:algn="tl">
                  <w14:srgbClr w14:val="000000">
                    <w14:alpha w14:val="60000"/>
                  </w14:srgbClr>
                </w14:shadow>
              </w:rPr>
              <w:t>Ieņēmumi no saimnieciskās darbības</w:t>
            </w:r>
          </w:p>
        </w:tc>
        <w:tc>
          <w:tcPr>
            <w:tcW w:w="1843" w:type="dxa"/>
            <w:shd w:val="clear" w:color="auto" w:fill="auto"/>
          </w:tcPr>
          <w:p>
            <w:pPr>
              <w:jc w:val="right"/>
              <w:rPr>
                <w:noProof/>
                <w14:shadow w14:blurRad="50800" w14:dist="38100" w14:dir="2700000" w14:sx="100000" w14:sy="100000" w14:kx="0" w14:ky="0" w14:algn="tl">
                  <w14:srgbClr w14:val="000000">
                    <w14:alpha w14:val="60000"/>
                  </w14:srgbClr>
                </w14:shadow>
              </w:rPr>
            </w:pPr>
            <w:r>
              <w:rPr>
                <w:noProof/>
                <w14:shadow w14:blurRad="50800" w14:dist="38100" w14:dir="2700000" w14:sx="100000" w14:sy="100000" w14:kx="0" w14:ky="0" w14:algn="tl">
                  <w14:srgbClr w14:val="000000">
                    <w14:alpha w14:val="60000"/>
                  </w14:srgbClr>
                </w14:shadow>
              </w:rPr>
              <w:t>263 355</w:t>
            </w:r>
          </w:p>
        </w:tc>
        <w:tc>
          <w:tcPr>
            <w:tcW w:w="1701" w:type="dxa"/>
            <w:shd w:val="clear" w:color="auto" w:fill="auto"/>
          </w:tcPr>
          <w:p>
            <w:pPr>
              <w:jc w:val="right"/>
              <w:rPr>
                <w:noProof/>
                <w14:shadow w14:blurRad="50800" w14:dist="38100" w14:dir="2700000" w14:sx="100000" w14:sy="100000" w14:kx="0" w14:ky="0" w14:algn="tl">
                  <w14:srgbClr w14:val="000000">
                    <w14:alpha w14:val="60000"/>
                  </w14:srgbClr>
                </w14:shadow>
              </w:rPr>
            </w:pPr>
            <w:r>
              <w:rPr>
                <w:noProof/>
                <w14:shadow w14:blurRad="50800" w14:dist="38100" w14:dir="2700000" w14:sx="100000" w14:sy="100000" w14:kx="0" w14:ky="0" w14:algn="tl">
                  <w14:srgbClr w14:val="000000">
                    <w14:alpha w14:val="60000"/>
                  </w14:srgbClr>
                </w14:shadow>
              </w:rPr>
              <w:t>-</w:t>
            </w:r>
          </w:p>
        </w:tc>
      </w:tr>
      <w:tr>
        <w:tc>
          <w:tcPr>
            <w:tcW w:w="4786" w:type="dxa"/>
            <w:tcBorders>
              <w:bottom w:val="single" w:sz="4" w:space="0" w:color="auto"/>
            </w:tcBorders>
            <w:shd w:val="clear" w:color="auto" w:fill="auto"/>
          </w:tcPr>
          <w:p>
            <w:pPr>
              <w:rPr>
                <w:noProof/>
              </w:rPr>
            </w:pPr>
            <w:r>
              <w:rPr>
                <w:noProof/>
                <w14:shadow w14:blurRad="50800" w14:dist="38100" w14:dir="2700000" w14:sx="100000" w14:sy="100000" w14:kx="0" w14:ky="0" w14:algn="tl">
                  <w14:srgbClr w14:val="000000">
                    <w14:alpha w14:val="60000"/>
                  </w14:srgbClr>
                </w14:shadow>
              </w:rPr>
              <w:t>Saimnieciskās darbības izdevumi</w:t>
            </w:r>
          </w:p>
        </w:tc>
        <w:tc>
          <w:tcPr>
            <w:tcW w:w="1843" w:type="dxa"/>
            <w:tcBorders>
              <w:bottom w:val="single" w:sz="4" w:space="0" w:color="auto"/>
            </w:tcBorders>
            <w:shd w:val="clear" w:color="auto" w:fill="auto"/>
          </w:tcPr>
          <w:p>
            <w:pPr>
              <w:jc w:val="right"/>
              <w:rPr>
                <w:noProof/>
              </w:rPr>
            </w:pPr>
            <w:r>
              <w:rPr>
                <w:noProof/>
              </w:rPr>
              <w:t>(1 516 968)</w:t>
            </w:r>
          </w:p>
        </w:tc>
        <w:tc>
          <w:tcPr>
            <w:tcW w:w="1701" w:type="dxa"/>
            <w:tcBorders>
              <w:bottom w:val="single" w:sz="4" w:space="0" w:color="auto"/>
            </w:tcBorders>
            <w:shd w:val="clear" w:color="auto" w:fill="auto"/>
          </w:tcPr>
          <w:p>
            <w:pPr>
              <w:jc w:val="right"/>
              <w:rPr>
                <w:noProof/>
              </w:rPr>
            </w:pPr>
            <w:r>
              <w:rPr>
                <w:noProof/>
              </w:rPr>
              <w:t>(1 671 934)</w:t>
            </w:r>
          </w:p>
        </w:tc>
      </w:tr>
      <w:tr>
        <w:tc>
          <w:tcPr>
            <w:tcW w:w="4786" w:type="dxa"/>
            <w:shd w:val="pct20" w:color="auto" w:fill="auto"/>
          </w:tcPr>
          <w:p>
            <w:pPr>
              <w:rPr>
                <w:noProof/>
              </w:rPr>
            </w:pPr>
            <w:r>
              <w:rPr>
                <w:noProof/>
                <w14:shadow w14:blurRad="50800" w14:dist="38100" w14:dir="2700000" w14:sx="100000" w14:sy="100000" w14:kx="0" w14:ky="0" w14:algn="tl">
                  <w14:srgbClr w14:val="000000">
                    <w14:alpha w14:val="60000"/>
                  </w14:srgbClr>
                </w14:shadow>
              </w:rPr>
              <w:t>SAIMNIECISKĀS DARBĪBAS REZULTĀTS</w:t>
            </w:r>
          </w:p>
        </w:tc>
        <w:tc>
          <w:tcPr>
            <w:tcW w:w="1843" w:type="dxa"/>
            <w:shd w:val="pct20" w:color="auto" w:fill="auto"/>
          </w:tcPr>
          <w:p>
            <w:pPr>
              <w:jc w:val="right"/>
              <w:rPr>
                <w:noProof/>
              </w:rPr>
            </w:pPr>
            <w:r>
              <w:rPr>
                <w:noProof/>
              </w:rPr>
              <w:t>(1 253 614)</w:t>
            </w:r>
          </w:p>
        </w:tc>
        <w:tc>
          <w:tcPr>
            <w:tcW w:w="1701" w:type="dxa"/>
            <w:shd w:val="pct20" w:color="auto" w:fill="auto"/>
          </w:tcPr>
          <w:p>
            <w:pPr>
              <w:jc w:val="right"/>
              <w:rPr>
                <w:noProof/>
                <w14:shadow w14:blurRad="50800" w14:dist="38100" w14:dir="2700000" w14:sx="100000" w14:sy="100000" w14:kx="0" w14:ky="0" w14:algn="tl">
                  <w14:srgbClr w14:val="000000">
                    <w14:alpha w14:val="60000"/>
                  </w14:srgbClr>
                </w14:shadow>
              </w:rPr>
            </w:pPr>
            <w:r>
              <w:rPr>
                <w:noProof/>
              </w:rPr>
              <w:t>(1 671 934)</w:t>
            </w:r>
          </w:p>
        </w:tc>
      </w:tr>
      <w:tr>
        <w:tc>
          <w:tcPr>
            <w:tcW w:w="4786" w:type="dxa"/>
            <w:shd w:val="clear" w:color="auto" w:fill="auto"/>
          </w:tcPr>
          <w:p>
            <w:pPr>
              <w:rPr>
                <w:noProof/>
              </w:rPr>
            </w:pPr>
            <w:r>
              <w:rPr>
                <w:noProof/>
              </w:rPr>
              <w:t>Finanšu ienākumi</w:t>
            </w:r>
          </w:p>
        </w:tc>
        <w:tc>
          <w:tcPr>
            <w:tcW w:w="1843" w:type="dxa"/>
            <w:shd w:val="clear" w:color="auto" w:fill="auto"/>
          </w:tcPr>
          <w:p>
            <w:pPr>
              <w:jc w:val="right"/>
              <w:rPr>
                <w:noProof/>
              </w:rPr>
            </w:pPr>
            <w:r>
              <w:rPr>
                <w:noProof/>
              </w:rPr>
              <w:t>35 209 330</w:t>
            </w:r>
          </w:p>
        </w:tc>
        <w:tc>
          <w:tcPr>
            <w:tcW w:w="1701" w:type="dxa"/>
            <w:shd w:val="clear" w:color="auto" w:fill="auto"/>
          </w:tcPr>
          <w:p>
            <w:pPr>
              <w:jc w:val="right"/>
              <w:rPr>
                <w:noProof/>
              </w:rPr>
            </w:pPr>
            <w:r>
              <w:rPr>
                <w:noProof/>
              </w:rPr>
              <w:t>35 234 728</w:t>
            </w:r>
          </w:p>
        </w:tc>
      </w:tr>
      <w:tr>
        <w:tc>
          <w:tcPr>
            <w:tcW w:w="4786" w:type="dxa"/>
            <w:tcBorders>
              <w:bottom w:val="single" w:sz="4" w:space="0" w:color="auto"/>
            </w:tcBorders>
            <w:shd w:val="clear" w:color="auto" w:fill="auto"/>
          </w:tcPr>
          <w:p>
            <w:pPr>
              <w:rPr>
                <w:noProof/>
              </w:rPr>
            </w:pPr>
            <w:r>
              <w:rPr>
                <w:noProof/>
              </w:rPr>
              <w:t>Finanšu izmaksas</w:t>
            </w:r>
          </w:p>
        </w:tc>
        <w:tc>
          <w:tcPr>
            <w:tcW w:w="1843" w:type="dxa"/>
            <w:tcBorders>
              <w:bottom w:val="single" w:sz="4" w:space="0" w:color="auto"/>
            </w:tcBorders>
            <w:shd w:val="clear" w:color="auto" w:fill="auto"/>
          </w:tcPr>
          <w:p>
            <w:pPr>
              <w:jc w:val="right"/>
              <w:rPr>
                <w:noProof/>
              </w:rPr>
            </w:pPr>
            <w:r>
              <w:rPr>
                <w:noProof/>
              </w:rPr>
              <w:t>(149 238 663)</w:t>
            </w:r>
          </w:p>
        </w:tc>
        <w:tc>
          <w:tcPr>
            <w:tcW w:w="1701" w:type="dxa"/>
            <w:tcBorders>
              <w:bottom w:val="single" w:sz="4" w:space="0" w:color="auto"/>
            </w:tcBorders>
            <w:shd w:val="clear" w:color="auto" w:fill="auto"/>
          </w:tcPr>
          <w:p>
            <w:pPr>
              <w:jc w:val="right"/>
              <w:rPr>
                <w:noProof/>
              </w:rPr>
            </w:pPr>
            <w:r>
              <w:rPr>
                <w:noProof/>
              </w:rPr>
              <w:t>-</w:t>
            </w:r>
          </w:p>
        </w:tc>
      </w:tr>
      <w:tr>
        <w:tc>
          <w:tcPr>
            <w:tcW w:w="4786" w:type="dxa"/>
            <w:shd w:val="pct20" w:color="auto" w:fill="auto"/>
          </w:tcPr>
          <w:p>
            <w:pPr>
              <w:rPr>
                <w:noProof/>
              </w:rPr>
            </w:pPr>
            <w:r>
              <w:rPr>
                <w:noProof/>
              </w:rPr>
              <w:t>FINANŠU REZULTĀTS</w:t>
            </w:r>
          </w:p>
        </w:tc>
        <w:tc>
          <w:tcPr>
            <w:tcW w:w="1843" w:type="dxa"/>
            <w:shd w:val="pct20" w:color="auto" w:fill="auto"/>
          </w:tcPr>
          <w:p>
            <w:pPr>
              <w:jc w:val="right"/>
              <w:rPr>
                <w:noProof/>
              </w:rPr>
            </w:pPr>
            <w:r>
              <w:rPr>
                <w:noProof/>
              </w:rPr>
              <w:t>(114 029 333)</w:t>
            </w:r>
          </w:p>
        </w:tc>
        <w:tc>
          <w:tcPr>
            <w:tcW w:w="1701" w:type="dxa"/>
            <w:shd w:val="pct20" w:color="auto" w:fill="auto"/>
          </w:tcPr>
          <w:p>
            <w:pPr>
              <w:jc w:val="right"/>
              <w:rPr>
                <w:noProof/>
              </w:rPr>
            </w:pPr>
            <w:r>
              <w:rPr>
                <w:noProof/>
              </w:rPr>
              <w:t>35 234 728</w:t>
            </w:r>
          </w:p>
        </w:tc>
      </w:tr>
      <w:tr>
        <w:tc>
          <w:tcPr>
            <w:tcW w:w="4786" w:type="dxa"/>
            <w:tcBorders>
              <w:bottom w:val="single" w:sz="4" w:space="0" w:color="auto"/>
            </w:tcBorders>
            <w:shd w:val="clear" w:color="auto" w:fill="auto"/>
          </w:tcPr>
          <w:p>
            <w:pPr>
              <w:rPr>
                <w:noProof/>
              </w:rPr>
            </w:pPr>
          </w:p>
        </w:tc>
        <w:tc>
          <w:tcPr>
            <w:tcW w:w="1843" w:type="dxa"/>
            <w:tcBorders>
              <w:bottom w:val="single" w:sz="4" w:space="0" w:color="auto"/>
            </w:tcBorders>
            <w:shd w:val="clear" w:color="auto" w:fill="auto"/>
          </w:tcPr>
          <w:p>
            <w:pPr>
              <w:jc w:val="right"/>
              <w:rPr>
                <w:noProof/>
              </w:rPr>
            </w:pPr>
          </w:p>
        </w:tc>
        <w:tc>
          <w:tcPr>
            <w:tcW w:w="1701" w:type="dxa"/>
            <w:tcBorders>
              <w:bottom w:val="single" w:sz="4" w:space="0" w:color="auto"/>
            </w:tcBorders>
            <w:shd w:val="clear" w:color="auto" w:fill="auto"/>
          </w:tcPr>
          <w:p>
            <w:pPr>
              <w:jc w:val="right"/>
              <w:rPr>
                <w:noProof/>
              </w:rPr>
            </w:pPr>
          </w:p>
        </w:tc>
      </w:tr>
      <w:tr>
        <w:tc>
          <w:tcPr>
            <w:tcW w:w="4786" w:type="dxa"/>
            <w:shd w:val="pct20" w:color="auto" w:fill="auto"/>
          </w:tcPr>
          <w:p>
            <w:pPr>
              <w:rPr>
                <w:noProof/>
              </w:rPr>
            </w:pPr>
            <w:r>
              <w:rPr>
                <w:noProof/>
              </w:rPr>
              <w:t>GADA SAIMNIECISKAIS REZULTĀTS</w:t>
            </w:r>
          </w:p>
        </w:tc>
        <w:tc>
          <w:tcPr>
            <w:tcW w:w="1843" w:type="dxa"/>
            <w:shd w:val="pct20" w:color="auto" w:fill="auto"/>
          </w:tcPr>
          <w:p>
            <w:pPr>
              <w:jc w:val="right"/>
              <w:rPr>
                <w:noProof/>
              </w:rPr>
            </w:pPr>
            <w:r>
              <w:rPr>
                <w:noProof/>
              </w:rPr>
              <w:t>(115 282 947)</w:t>
            </w:r>
          </w:p>
        </w:tc>
        <w:tc>
          <w:tcPr>
            <w:tcW w:w="1701" w:type="dxa"/>
            <w:shd w:val="pct20" w:color="auto" w:fill="auto"/>
          </w:tcPr>
          <w:p>
            <w:pPr>
              <w:jc w:val="right"/>
              <w:rPr>
                <w:noProof/>
              </w:rPr>
            </w:pPr>
            <w:r>
              <w:rPr>
                <w:noProof/>
              </w:rPr>
              <w:t>35 562 793</w:t>
            </w:r>
          </w:p>
        </w:tc>
      </w:tr>
    </w:tbl>
    <w:p>
      <w:pPr>
        <w:rPr>
          <w:noProof/>
          <w:u w:val="single"/>
        </w:rPr>
      </w:pPr>
      <w:bookmarkStart w:id="47" w:name="RANGE!A1:C28"/>
      <w:bookmarkStart w:id="48" w:name="_Toc323019504"/>
      <w:bookmarkStart w:id="49" w:name="_Toc354050130"/>
      <w:bookmarkStart w:id="50" w:name="_Toc358294851"/>
      <w:bookmarkStart w:id="51" w:name="_Toc415838348"/>
      <w:bookmarkStart w:id="52" w:name="_Toc416963785"/>
      <w:bookmarkEnd w:id="45"/>
      <w:bookmarkEnd w:id="46"/>
      <w:bookmarkEnd w:id="47"/>
      <w:r>
        <w:rPr>
          <w:noProof/>
          <w:u w:val="single"/>
        </w:rPr>
        <w:t>Piezīmes par pārskatu par saimnieciskās darbības rezultātu:</w:t>
      </w:r>
    </w:p>
    <w:p>
      <w:pPr>
        <w:pStyle w:val="ListBullet"/>
        <w:rPr>
          <w:noProof/>
        </w:rPr>
      </w:pPr>
      <w:r>
        <w:rPr>
          <w:noProof/>
        </w:rPr>
        <w:t>„Finanšu izmaksas” ir vērtības samazināšanās zaudējumi par pārņemtiem aizdevumiem saistībā ar neveiktajiem maksājumiem (skatīt 4.1. iedaļu).</w:t>
      </w:r>
    </w:p>
    <w:p>
      <w:pPr>
        <w:pStyle w:val="ManualHeading1"/>
        <w:rPr>
          <w:noProof/>
        </w:rPr>
      </w:pPr>
      <w:bookmarkStart w:id="53" w:name="_Toc423680432"/>
      <w:r>
        <w:t>3.</w:t>
      </w:r>
      <w:r>
        <w:tab/>
      </w:r>
      <w:r>
        <w:rPr>
          <w:noProof/>
        </w:rPr>
        <w:t>Iemaksas Fondā vai izmaksas no tā</w:t>
      </w:r>
      <w:bookmarkEnd w:id="48"/>
      <w:bookmarkEnd w:id="49"/>
      <w:bookmarkEnd w:id="50"/>
      <w:bookmarkEnd w:id="51"/>
      <w:bookmarkEnd w:id="52"/>
      <w:bookmarkEnd w:id="53"/>
    </w:p>
    <w:p>
      <w:pPr>
        <w:rPr>
          <w:noProof/>
        </w:rPr>
      </w:pPr>
      <w:r>
        <w:rPr>
          <w:noProof/>
        </w:rPr>
        <w:t>Šajā iedaļā ir sniegti paskaidrojumi par finanšu plūsmām uz Fondu vai no Fonda.</w:t>
      </w:r>
    </w:p>
    <w:p>
      <w:pPr>
        <w:pStyle w:val="ManualHeading2"/>
        <w:rPr>
          <w:noProof/>
        </w:rPr>
      </w:pPr>
      <w:bookmarkStart w:id="54" w:name="_Toc323019505"/>
      <w:bookmarkStart w:id="55" w:name="_Toc354050131"/>
      <w:bookmarkStart w:id="56" w:name="_Toc358294852"/>
      <w:bookmarkStart w:id="57" w:name="_Toc415838349"/>
      <w:bookmarkStart w:id="58" w:name="_Toc416963786"/>
      <w:bookmarkStart w:id="59" w:name="_Toc423680433"/>
      <w:r>
        <w:t>3.1.</w:t>
      </w:r>
      <w:r>
        <w:tab/>
      </w:r>
      <w:r>
        <w:rPr>
          <w:noProof/>
        </w:rPr>
        <w:t>Juridiskais pamats iemaksām Fondā no vispārējā budžeta</w:t>
      </w:r>
      <w:bookmarkEnd w:id="54"/>
      <w:bookmarkEnd w:id="55"/>
      <w:bookmarkEnd w:id="56"/>
      <w:bookmarkEnd w:id="57"/>
      <w:bookmarkEnd w:id="58"/>
      <w:bookmarkEnd w:id="59"/>
    </w:p>
    <w:p>
      <w:pPr>
        <w:rPr>
          <w:noProof/>
        </w:rPr>
      </w:pPr>
      <w:r>
        <w:rPr>
          <w:noProof/>
        </w:rPr>
        <w:t>Ar Padomes Regulu 480/2009, ar ko izveido Garantiju fondu, nodrošina budžeta līdzekļu izmantošanas lietderību, līdzekļu piešķiršanā Fondam pamatojoties uz garantēto aizdevumu neatmaksātām summām. Pieaug neatmaksāto saistību summa, tāpēc palielināsies arī ES budžeta iemaksa, kas vajadzīga, lai uzturētu paredzēto Fonda apjomu.</w:t>
      </w:r>
    </w:p>
    <w:p>
      <w:pPr>
        <w:rPr>
          <w:noProof/>
        </w:rPr>
      </w:pPr>
      <w:r>
        <w:rPr>
          <w:noProof/>
        </w:rPr>
        <w:t xml:space="preserve">Paredzētais apjoms ir noteikts 9 % apmērā no aizdevumiem un garantētiem neatmaksātiem aizdevumiem, ieskaitot visas operācijas (EIB, makrofinansiālā atbalsta (MFA) un </w:t>
      </w:r>
      <w:r>
        <w:rPr>
          <w:i/>
          <w:noProof/>
        </w:rPr>
        <w:t>Euratom</w:t>
      </w:r>
      <w:r>
        <w:rPr>
          <w:noProof/>
        </w:rPr>
        <w:t xml:space="preserve"> aizdevumus), kuras tiek apmaksātas ārpus ES. Atkarībā no tā, kāda ir starpība starp paredzēto apjomu un Fonda aktīvu neto vērtību, Fonds vai nu tiks finansēts no budžeta pozīcijas 01.03.06 „Garantiju fonda finansējums”, vai arī no Fonda tiks pārskaitīts pārpalikums budžetā.</w:t>
      </w:r>
    </w:p>
    <w:p>
      <w:pPr>
        <w:pStyle w:val="ManualHeading2"/>
        <w:rPr>
          <w:noProof/>
        </w:rPr>
      </w:pPr>
      <w:bookmarkStart w:id="60" w:name="_Toc415838350"/>
      <w:bookmarkStart w:id="61" w:name="_Toc416963787"/>
      <w:bookmarkStart w:id="62" w:name="_Toc423680434"/>
      <w:bookmarkStart w:id="63" w:name="_Toc323019506"/>
      <w:bookmarkStart w:id="64" w:name="_Toc354050132"/>
      <w:bookmarkStart w:id="65" w:name="_Toc358294853"/>
      <w:r>
        <w:t>3.2.</w:t>
      </w:r>
      <w:r>
        <w:tab/>
      </w:r>
      <w:r>
        <w:rPr>
          <w:noProof/>
        </w:rPr>
        <w:t>Maksājumi vispārējā budžetā vai no vispārējā budžeta finanšu gada laikā</w:t>
      </w:r>
      <w:bookmarkEnd w:id="60"/>
      <w:bookmarkEnd w:id="61"/>
      <w:bookmarkEnd w:id="62"/>
    </w:p>
    <w:p>
      <w:pPr>
        <w:pStyle w:val="ManualHeading3"/>
        <w:rPr>
          <w:noProof/>
        </w:rPr>
      </w:pPr>
      <w:bookmarkStart w:id="66" w:name="_Toc323019507"/>
      <w:bookmarkStart w:id="67" w:name="_Toc354050133"/>
      <w:bookmarkStart w:id="68" w:name="_Toc358294854"/>
      <w:bookmarkStart w:id="69" w:name="_Toc415838351"/>
      <w:bookmarkStart w:id="70" w:name="_Toc416963788"/>
      <w:bookmarkStart w:id="71" w:name="_Toc423680435"/>
      <w:bookmarkEnd w:id="63"/>
      <w:bookmarkEnd w:id="64"/>
      <w:bookmarkEnd w:id="65"/>
      <w:r>
        <w:t>3.2.1.</w:t>
      </w:r>
      <w:r>
        <w:tab/>
      </w:r>
      <w:r>
        <w:rPr>
          <w:noProof/>
        </w:rPr>
        <w:t>Fonda finansējums</w:t>
      </w:r>
      <w:bookmarkEnd w:id="66"/>
      <w:bookmarkEnd w:id="67"/>
      <w:bookmarkEnd w:id="68"/>
      <w:bookmarkEnd w:id="69"/>
      <w:bookmarkEnd w:id="70"/>
      <w:bookmarkEnd w:id="71"/>
    </w:p>
    <w:p>
      <w:pPr>
        <w:rPr>
          <w:noProof/>
        </w:rPr>
      </w:pPr>
      <w:r>
        <w:rPr>
          <w:noProof/>
        </w:rPr>
        <w:t>Ņemot vērā garantēto aizdevumu neatmaksāto summu 23 099 miljoni euro 2012. gada 31. decembrī, summu 58,43 miljonu euro apmērā norādīja budžeta pozīcijā 01.03.06 „Garantiju fonda finansējums” izdevumu pārskatā Eiropas Savienības 2014. gada vispārējā budžetā. Šo summu kā vienu darījumu samaksāja Fondam no budžeta 2014. gada februārī.</w:t>
      </w:r>
    </w:p>
    <w:p>
      <w:pPr>
        <w:pStyle w:val="ManualHeading3"/>
        <w:rPr>
          <w:noProof/>
        </w:rPr>
      </w:pPr>
      <w:bookmarkStart w:id="72" w:name="_Toc323019508"/>
      <w:bookmarkStart w:id="73" w:name="_Toc354050134"/>
      <w:bookmarkStart w:id="74" w:name="_Toc358294855"/>
      <w:bookmarkStart w:id="75" w:name="_Toc415838352"/>
      <w:bookmarkStart w:id="76" w:name="_Toc416963789"/>
      <w:bookmarkStart w:id="77" w:name="_Toc423680436"/>
      <w:r>
        <w:t>3.2.2.</w:t>
      </w:r>
      <w:r>
        <w:tab/>
      </w:r>
      <w:r>
        <w:rPr>
          <w:noProof/>
        </w:rPr>
        <w:t>Fonda likvīdo aktīvu ieguldījumu procenti</w:t>
      </w:r>
      <w:bookmarkEnd w:id="72"/>
      <w:bookmarkEnd w:id="73"/>
      <w:bookmarkEnd w:id="74"/>
      <w:bookmarkEnd w:id="75"/>
      <w:bookmarkEnd w:id="76"/>
      <w:bookmarkEnd w:id="77"/>
    </w:p>
    <w:p>
      <w:pPr>
        <w:pStyle w:val="ManualHeading4"/>
        <w:rPr>
          <w:noProof/>
        </w:rPr>
      </w:pPr>
      <w:bookmarkStart w:id="78" w:name="_Toc323019509"/>
      <w:r>
        <w:tab/>
      </w:r>
      <w:r>
        <w:rPr>
          <w:noProof/>
        </w:rPr>
        <w:t>Ieguldījumu politika</w:t>
      </w:r>
    </w:p>
    <w:p>
      <w:pPr>
        <w:rPr>
          <w:noProof/>
        </w:rPr>
      </w:pPr>
      <w:r>
        <w:rPr>
          <w:noProof/>
        </w:rPr>
        <w:t>Fonda likvīdos aktīvus iegulda saskaņā ar pārvaldības principiem, kas noteikti Nolīguma pielikumā, kurā izdarīti grozījumi</w:t>
      </w:r>
      <w:r>
        <w:rPr>
          <w:rStyle w:val="FootnoteReference"/>
          <w:noProof/>
        </w:rPr>
        <w:footnoteReference w:id="4"/>
      </w:r>
      <w:r>
        <w:rPr>
          <w:noProof/>
        </w:rPr>
        <w:t>. Tādēļ 20 % no Fonda ir paredzēti īstermiņa ieguldījumiem (līdz vienam gadam). Šie ieguldījumi ietver vērtspapīrus ar mainīgo likmi neatkarīgi no to atmaksāšanas termiņa un vērtspapīrus ar noteikto likmi ar atlikušo atmaksāšanas termiņu ne ilgāk par vienu gadu neatkarīgi no to sākotnējā atmaksāšanas termiņa. Lai saglabātu līdzsvaru starp dažādiem instrumentiem, ar kuriem nodrošina vajadzīgo likviditāti, vismaz 100 miljoni euro tiek saglabāti naudas tirgus instrumentos, jo īpaši banku noguldījumos.</w:t>
      </w:r>
    </w:p>
    <w:p>
      <w:pPr>
        <w:rPr>
          <w:noProof/>
        </w:rPr>
      </w:pPr>
      <w:r>
        <w:rPr>
          <w:noProof/>
        </w:rPr>
        <w:t xml:space="preserve">To banku sarakstu, kurām atļauts pieņemt noguldījumus, ierosina EIB, un Komisija to apstiprina. Saraksts tiek regulāri pārskatīts, ņemot vērā izmaiņas banku reitingos. Visām bankām ir piešķirts vismaz P1 reitings attiecībā uz īstermiņa ieguldījumiem </w:t>
      </w:r>
      <w:r>
        <w:rPr>
          <w:i/>
          <w:noProof/>
        </w:rPr>
        <w:t>Moody's</w:t>
      </w:r>
      <w:r>
        <w:rPr>
          <w:noProof/>
        </w:rPr>
        <w:t xml:space="preserve"> reitingu sistēmā vai to attiecīgie ekvivalenti </w:t>
      </w:r>
      <w:r>
        <w:rPr>
          <w:i/>
          <w:noProof/>
        </w:rPr>
        <w:t>Standard &amp; Poor's</w:t>
      </w:r>
      <w:r>
        <w:rPr>
          <w:noProof/>
        </w:rPr>
        <w:t xml:space="preserve"> vai </w:t>
      </w:r>
      <w:r>
        <w:rPr>
          <w:i/>
          <w:noProof/>
        </w:rPr>
        <w:t>Fitch</w:t>
      </w:r>
      <w:r>
        <w:rPr>
          <w:noProof/>
        </w:rPr>
        <w:t xml:space="preserve"> reitingu sistēmās. Uz ieguldījumiem, kas izdarīti šajās bankās, attiecas noteikumi, kuri nodrošina konkurētspējīgus ieņēmumus un novērš riska koncentrēšanos.</w:t>
      </w:r>
    </w:p>
    <w:p>
      <w:pPr>
        <w:rPr>
          <w:noProof/>
        </w:rPr>
      </w:pPr>
      <w:r>
        <w:rPr>
          <w:noProof/>
        </w:rPr>
        <w:t>Līdz 80 % no Fonda līdzekļiem var izvietot obligāciju portfelī ar atlikušo apmaksas termiņu ne vairāk kā 10 gadi un 6 mēneši pēc maksājuma datuma. Vidējais visu Fonda aktīvu izvietošanas termiņš nedrīkst pārsniegt 5 gadus. Ieguldot obligācijās, būtu jāievēro daži konkrēti kritēriji, piemēram, likviditāte, kredītreitingi, darījuma partneru atbilstība un koncentrācijas ierobežojumi. Lai nodrošinātu labu riska diversifikāciju, kopējais ieguldījumu apjoms obligācijās uz vienu emitentu nedrīkst pārsniegt 10 % no portfeļa kopējās nominālās summas.</w:t>
      </w:r>
    </w:p>
    <w:p>
      <w:pPr>
        <w:pStyle w:val="ManualHeading4"/>
        <w:rPr>
          <w:noProof/>
        </w:rPr>
      </w:pPr>
      <w:r>
        <w:tab/>
      </w:r>
      <w:r>
        <w:rPr>
          <w:noProof/>
        </w:rPr>
        <w:t>Darbības rādītāji</w:t>
      </w:r>
    </w:p>
    <w:p>
      <w:pPr>
        <w:rPr>
          <w:noProof/>
          <w:sz w:val="22"/>
          <w:szCs w:val="22"/>
        </w:rPr>
      </w:pPr>
      <w:r>
        <w:rPr>
          <w:noProof/>
        </w:rPr>
        <w:t xml:space="preserve">Fonda absolūtais ienesīgums 2014. gadā bija +2,55 %, tādējādi tā ienesīgums pārsniedza Fonda bāzes indeksu par 0,19 %. Fonda bāzes indekss ir kopums, kas sastāv galvenokārt no </w:t>
      </w:r>
      <w:r>
        <w:rPr>
          <w:i/>
          <w:noProof/>
        </w:rPr>
        <w:t>iBoxx</w:t>
      </w:r>
      <w:r>
        <w:rPr>
          <w:noProof/>
        </w:rPr>
        <w:t xml:space="preserve"> indeksiem (jo īpaši EUR eurozonas valstu un EUR nodrošinātiem segtiem indeksiem) un </w:t>
      </w:r>
      <w:r>
        <w:rPr>
          <w:i/>
          <w:noProof/>
        </w:rPr>
        <w:t>Euribid</w:t>
      </w:r>
      <w:r>
        <w:rPr>
          <w:noProof/>
        </w:rPr>
        <w:t xml:space="preserve"> – īstermiņa riska darījumiem.</w:t>
      </w:r>
    </w:p>
    <w:p>
      <w:pPr>
        <w:rPr>
          <w:noProof/>
        </w:rPr>
      </w:pPr>
      <w:r>
        <w:rPr>
          <w:noProof/>
        </w:rPr>
        <w:t xml:space="preserve">2014. gada laikā tika pazeminātas sākotnējās prognozes par izaugsmi un inflāciju, jo īpaši attiecībā uz eurozonu. Vienlaikus ECB atbalstošās monetārās politikas pasākumu un paziņojumu mērķis bija atkal tuvināt inflācijas prognozes ECB mērķim, proti, inflācijas līmenim, kas ir nedaudz zemāks par 2 procentu punktiem. Šādos apstākļos euro etalonlikmes samazinājās un kļuva negatīvas līdz aptuveni 5 gadu atmaksāšanas termiņa punktam. Fonda ieguldījumu darbības rādītājus 2014. gadā sekmēja ienesīguma samazinājums un atbilstošais portfelī turēto fiksēta ienākuma vērtspapīru vērtības pieaugums (sīkāku informāciju skatīt </w:t>
      </w:r>
      <w:r>
        <w:rPr>
          <w:i/>
          <w:noProof/>
        </w:rPr>
        <w:t>SWD</w:t>
      </w:r>
      <w:r>
        <w:rPr>
          <w:noProof/>
        </w:rPr>
        <w:t xml:space="preserve"> 2.4.2. iedaļā „Darbības rādītāji”).</w:t>
      </w:r>
    </w:p>
    <w:p>
      <w:pPr>
        <w:pStyle w:val="ManualHeading3"/>
        <w:rPr>
          <w:noProof/>
        </w:rPr>
      </w:pPr>
      <w:bookmarkStart w:id="79" w:name="_Toc416963790"/>
      <w:bookmarkStart w:id="80" w:name="_Toc423680437"/>
      <w:r>
        <w:tab/>
      </w:r>
      <w:r>
        <w:rPr>
          <w:noProof/>
        </w:rPr>
        <w:t>3.2.3.</w:t>
      </w:r>
      <w:r>
        <w:rPr>
          <w:noProof/>
        </w:rPr>
        <w:tab/>
      </w:r>
      <w:bookmarkStart w:id="81" w:name="_Toc323019511"/>
      <w:bookmarkEnd w:id="78"/>
      <w:r>
        <w:rPr>
          <w:noProof/>
        </w:rPr>
        <w:t>Ieņēmumi no finanšu operācijām</w:t>
      </w:r>
      <w:bookmarkEnd w:id="79"/>
      <w:bookmarkEnd w:id="80"/>
      <w:bookmarkEnd w:id="81"/>
    </w:p>
    <w:p>
      <w:pPr>
        <w:rPr>
          <w:noProof/>
        </w:rPr>
      </w:pPr>
      <w:r>
        <w:rPr>
          <w:noProof/>
        </w:rPr>
        <w:t>2014. gadā procentu ienākumi no naudas un naudas ekvivalentiem</w:t>
      </w:r>
      <w:bookmarkStart w:id="82" w:name="OLE_LINK1"/>
      <w:r>
        <w:rPr>
          <w:noProof/>
        </w:rPr>
        <w:t>, vērtspapīriem, kā arī uzkrātie ienākumi no pārņemtiem aizdevumiem kopsummā bija</w:t>
      </w:r>
      <w:bookmarkEnd w:id="82"/>
      <w:r>
        <w:rPr>
          <w:noProof/>
        </w:rPr>
        <w:t xml:space="preserve"> EUR 35 209 330, kas sadalās šādi:</w:t>
      </w:r>
    </w:p>
    <w:tbl>
      <w:tblPr>
        <w:tblW w:w="850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04"/>
        <w:gridCol w:w="1701"/>
        <w:gridCol w:w="1701"/>
      </w:tblGrid>
      <w:tr>
        <w:trPr>
          <w:trHeight w:val="454"/>
        </w:trPr>
        <w:tc>
          <w:tcPr>
            <w:tcW w:w="5104" w:type="dxa"/>
            <w:shd w:val="clear" w:color="auto" w:fill="auto"/>
            <w:vAlign w:val="center"/>
          </w:tcPr>
          <w:p>
            <w:pPr>
              <w:spacing w:before="0" w:after="0"/>
              <w:contextualSpacing/>
              <w:rPr>
                <w:b/>
                <w:noProof/>
              </w:rPr>
            </w:pPr>
            <w:r>
              <w:rPr>
                <w:b/>
                <w:noProof/>
              </w:rPr>
              <w:t>Apraksts</w:t>
            </w:r>
          </w:p>
        </w:tc>
        <w:tc>
          <w:tcPr>
            <w:tcW w:w="1701" w:type="dxa"/>
            <w:shd w:val="clear" w:color="auto" w:fill="auto"/>
            <w:vAlign w:val="center"/>
          </w:tcPr>
          <w:p>
            <w:pPr>
              <w:spacing w:before="0" w:after="0"/>
              <w:contextualSpacing/>
              <w:jc w:val="center"/>
              <w:rPr>
                <w:b/>
                <w:bCs/>
                <w:noProof/>
              </w:rPr>
            </w:pPr>
            <w:r>
              <w:rPr>
                <w:b/>
                <w:noProof/>
                <w:color w:val="000000"/>
              </w:rPr>
              <w:t>2014. g.</w:t>
            </w:r>
          </w:p>
        </w:tc>
        <w:tc>
          <w:tcPr>
            <w:tcW w:w="1701" w:type="dxa"/>
            <w:vAlign w:val="center"/>
          </w:tcPr>
          <w:p>
            <w:pPr>
              <w:spacing w:before="0" w:after="0"/>
              <w:contextualSpacing/>
              <w:jc w:val="center"/>
              <w:rPr>
                <w:b/>
                <w:bCs/>
                <w:noProof/>
              </w:rPr>
            </w:pPr>
            <w:r>
              <w:rPr>
                <w:b/>
                <w:noProof/>
              </w:rPr>
              <w:t>2013. g.</w:t>
            </w:r>
          </w:p>
        </w:tc>
      </w:tr>
      <w:tr>
        <w:trPr>
          <w:trHeight w:val="454"/>
        </w:trPr>
        <w:tc>
          <w:tcPr>
            <w:tcW w:w="5104" w:type="dxa"/>
            <w:shd w:val="clear" w:color="auto" w:fill="auto"/>
            <w:vAlign w:val="center"/>
          </w:tcPr>
          <w:p>
            <w:pPr>
              <w:spacing w:before="0" w:after="0"/>
              <w:contextualSpacing/>
              <w:rPr>
                <w:b/>
                <w:noProof/>
              </w:rPr>
            </w:pPr>
            <w:r>
              <w:rPr>
                <w:b/>
                <w:noProof/>
              </w:rPr>
              <w:t>Procentu ienākumi par naudu un naudas ekvivalentiem</w:t>
            </w:r>
          </w:p>
        </w:tc>
        <w:tc>
          <w:tcPr>
            <w:tcW w:w="1701" w:type="dxa"/>
            <w:shd w:val="clear" w:color="auto" w:fill="auto"/>
            <w:vAlign w:val="center"/>
          </w:tcPr>
          <w:p>
            <w:pPr>
              <w:spacing w:before="0" w:after="0"/>
              <w:contextualSpacing/>
              <w:jc w:val="right"/>
              <w:rPr>
                <w:b/>
                <w:bCs/>
                <w:noProof/>
              </w:rPr>
            </w:pPr>
            <w:r>
              <w:rPr>
                <w:b/>
                <w:noProof/>
                <w:color w:val="000000"/>
              </w:rPr>
              <w:t>267 136,21</w:t>
            </w:r>
          </w:p>
        </w:tc>
        <w:tc>
          <w:tcPr>
            <w:tcW w:w="1701" w:type="dxa"/>
            <w:vAlign w:val="center"/>
          </w:tcPr>
          <w:p>
            <w:pPr>
              <w:spacing w:before="0" w:after="0"/>
              <w:contextualSpacing/>
              <w:jc w:val="right"/>
              <w:rPr>
                <w:b/>
                <w:bCs/>
                <w:noProof/>
              </w:rPr>
            </w:pPr>
            <w:r>
              <w:rPr>
                <w:b/>
                <w:noProof/>
              </w:rPr>
              <w:t>208 412,77</w:t>
            </w:r>
          </w:p>
        </w:tc>
      </w:tr>
      <w:tr>
        <w:trPr>
          <w:trHeight w:val="454"/>
        </w:trPr>
        <w:tc>
          <w:tcPr>
            <w:tcW w:w="5104" w:type="dxa"/>
            <w:shd w:val="clear" w:color="auto" w:fill="auto"/>
            <w:vAlign w:val="center"/>
          </w:tcPr>
          <w:p>
            <w:pPr>
              <w:spacing w:before="0" w:after="0"/>
              <w:ind w:left="142"/>
              <w:contextualSpacing/>
              <w:jc w:val="left"/>
              <w:rPr>
                <w:noProof/>
                <w:sz w:val="22"/>
                <w:szCs w:val="22"/>
              </w:rPr>
            </w:pPr>
            <w:r>
              <w:rPr>
                <w:noProof/>
                <w:sz w:val="22"/>
              </w:rPr>
              <w:t>Par īstermiņa noguldījumiem saņemtie procenti</w:t>
            </w:r>
          </w:p>
        </w:tc>
        <w:tc>
          <w:tcPr>
            <w:tcW w:w="1701" w:type="dxa"/>
            <w:shd w:val="clear" w:color="auto" w:fill="auto"/>
            <w:vAlign w:val="center"/>
          </w:tcPr>
          <w:p>
            <w:pPr>
              <w:spacing w:before="0" w:after="0"/>
              <w:ind w:left="142"/>
              <w:contextualSpacing/>
              <w:jc w:val="right"/>
              <w:rPr>
                <w:noProof/>
                <w:sz w:val="22"/>
                <w:szCs w:val="22"/>
              </w:rPr>
            </w:pPr>
            <w:r>
              <w:rPr>
                <w:noProof/>
                <w:sz w:val="22"/>
              </w:rPr>
              <w:t>266 031,63</w:t>
            </w:r>
          </w:p>
        </w:tc>
        <w:tc>
          <w:tcPr>
            <w:tcW w:w="1701" w:type="dxa"/>
            <w:vAlign w:val="center"/>
          </w:tcPr>
          <w:p>
            <w:pPr>
              <w:spacing w:before="0" w:after="0"/>
              <w:ind w:left="142"/>
              <w:contextualSpacing/>
              <w:jc w:val="right"/>
              <w:rPr>
                <w:noProof/>
                <w:sz w:val="22"/>
                <w:szCs w:val="22"/>
              </w:rPr>
            </w:pPr>
            <w:r>
              <w:rPr>
                <w:noProof/>
                <w:sz w:val="22"/>
              </w:rPr>
              <w:t>205 694,91</w:t>
            </w:r>
          </w:p>
        </w:tc>
      </w:tr>
      <w:tr>
        <w:trPr>
          <w:trHeight w:val="454"/>
        </w:trPr>
        <w:tc>
          <w:tcPr>
            <w:tcW w:w="5104" w:type="dxa"/>
            <w:shd w:val="clear" w:color="auto" w:fill="auto"/>
            <w:vAlign w:val="center"/>
          </w:tcPr>
          <w:p>
            <w:pPr>
              <w:spacing w:before="0" w:after="0"/>
              <w:ind w:left="142"/>
              <w:contextualSpacing/>
              <w:jc w:val="left"/>
              <w:rPr>
                <w:noProof/>
                <w:sz w:val="22"/>
                <w:szCs w:val="22"/>
              </w:rPr>
            </w:pPr>
            <w:r>
              <w:rPr>
                <w:noProof/>
                <w:sz w:val="22"/>
              </w:rPr>
              <w:t>Par īstermiņa noguldījumiem uzkrātie procenti (izmaiņas)</w:t>
            </w:r>
          </w:p>
        </w:tc>
        <w:tc>
          <w:tcPr>
            <w:tcW w:w="1701" w:type="dxa"/>
            <w:shd w:val="clear" w:color="auto" w:fill="auto"/>
            <w:vAlign w:val="center"/>
          </w:tcPr>
          <w:p>
            <w:pPr>
              <w:spacing w:before="0" w:after="0"/>
              <w:ind w:left="142"/>
              <w:contextualSpacing/>
              <w:jc w:val="right"/>
              <w:rPr>
                <w:noProof/>
                <w:sz w:val="22"/>
                <w:szCs w:val="22"/>
              </w:rPr>
            </w:pPr>
            <w:r>
              <w:rPr>
                <w:noProof/>
                <w:sz w:val="22"/>
              </w:rPr>
              <w:t>-2802,56</w:t>
            </w:r>
          </w:p>
        </w:tc>
        <w:tc>
          <w:tcPr>
            <w:tcW w:w="1701" w:type="dxa"/>
            <w:vAlign w:val="center"/>
          </w:tcPr>
          <w:p>
            <w:pPr>
              <w:spacing w:before="0" w:after="0"/>
              <w:ind w:left="142"/>
              <w:contextualSpacing/>
              <w:jc w:val="right"/>
              <w:rPr>
                <w:noProof/>
                <w:sz w:val="22"/>
                <w:szCs w:val="22"/>
              </w:rPr>
            </w:pPr>
            <w:r>
              <w:rPr>
                <w:noProof/>
                <w:sz w:val="22"/>
              </w:rPr>
              <w:t xml:space="preserve">-10 794,39 </w:t>
            </w:r>
          </w:p>
        </w:tc>
      </w:tr>
      <w:tr>
        <w:trPr>
          <w:trHeight w:val="454"/>
        </w:trPr>
        <w:tc>
          <w:tcPr>
            <w:tcW w:w="5104" w:type="dxa"/>
            <w:shd w:val="clear" w:color="auto" w:fill="auto"/>
            <w:vAlign w:val="center"/>
          </w:tcPr>
          <w:p>
            <w:pPr>
              <w:spacing w:before="0" w:after="0"/>
              <w:ind w:left="142"/>
              <w:contextualSpacing/>
              <w:jc w:val="left"/>
              <w:rPr>
                <w:noProof/>
                <w:sz w:val="22"/>
                <w:szCs w:val="22"/>
              </w:rPr>
            </w:pPr>
            <w:r>
              <w:rPr>
                <w:noProof/>
                <w:sz w:val="22"/>
              </w:rPr>
              <w:t>Procenti no banku norēķinu kontiem</w:t>
            </w:r>
          </w:p>
        </w:tc>
        <w:tc>
          <w:tcPr>
            <w:tcW w:w="1701" w:type="dxa"/>
            <w:shd w:val="clear" w:color="auto" w:fill="auto"/>
            <w:vAlign w:val="center"/>
          </w:tcPr>
          <w:p>
            <w:pPr>
              <w:spacing w:before="0" w:after="0"/>
              <w:contextualSpacing/>
              <w:jc w:val="right"/>
              <w:rPr>
                <w:bCs/>
                <w:noProof/>
                <w:sz w:val="22"/>
                <w:szCs w:val="22"/>
              </w:rPr>
            </w:pPr>
            <w:r>
              <w:rPr>
                <w:noProof/>
                <w:color w:val="000000"/>
                <w:sz w:val="22"/>
              </w:rPr>
              <w:t>3907,14</w:t>
            </w:r>
          </w:p>
        </w:tc>
        <w:tc>
          <w:tcPr>
            <w:tcW w:w="1701" w:type="dxa"/>
            <w:vAlign w:val="center"/>
          </w:tcPr>
          <w:p>
            <w:pPr>
              <w:spacing w:before="0" w:after="0"/>
              <w:contextualSpacing/>
              <w:jc w:val="right"/>
              <w:rPr>
                <w:bCs/>
                <w:noProof/>
                <w:sz w:val="22"/>
                <w:szCs w:val="22"/>
              </w:rPr>
            </w:pPr>
            <w:r>
              <w:rPr>
                <w:noProof/>
                <w:sz w:val="22"/>
              </w:rPr>
              <w:t>13 512,25</w:t>
            </w:r>
          </w:p>
        </w:tc>
      </w:tr>
      <w:tr>
        <w:trPr>
          <w:trHeight w:val="454"/>
        </w:trPr>
        <w:tc>
          <w:tcPr>
            <w:tcW w:w="5104" w:type="dxa"/>
            <w:shd w:val="clear" w:color="auto" w:fill="auto"/>
            <w:vAlign w:val="center"/>
          </w:tcPr>
          <w:p>
            <w:pPr>
              <w:spacing w:before="0" w:after="0"/>
              <w:contextualSpacing/>
              <w:rPr>
                <w:noProof/>
              </w:rPr>
            </w:pPr>
            <w:r>
              <w:rPr>
                <w:b/>
                <w:noProof/>
              </w:rPr>
              <w:t>Procentu ienākumi par aktīviem, kas pieejami pārdošanai</w:t>
            </w:r>
          </w:p>
        </w:tc>
        <w:tc>
          <w:tcPr>
            <w:tcW w:w="1701" w:type="dxa"/>
            <w:shd w:val="clear" w:color="auto" w:fill="auto"/>
            <w:vAlign w:val="center"/>
          </w:tcPr>
          <w:p>
            <w:pPr>
              <w:spacing w:before="0" w:after="0"/>
              <w:contextualSpacing/>
              <w:jc w:val="right"/>
              <w:rPr>
                <w:b/>
                <w:bCs/>
                <w:noProof/>
              </w:rPr>
            </w:pPr>
            <w:r>
              <w:rPr>
                <w:b/>
                <w:noProof/>
                <w:color w:val="000000"/>
              </w:rPr>
              <w:t xml:space="preserve">29 274 967,00 </w:t>
            </w:r>
          </w:p>
        </w:tc>
        <w:tc>
          <w:tcPr>
            <w:tcW w:w="1701" w:type="dxa"/>
            <w:vAlign w:val="center"/>
          </w:tcPr>
          <w:p>
            <w:pPr>
              <w:spacing w:before="0" w:after="0"/>
              <w:contextualSpacing/>
              <w:jc w:val="right"/>
              <w:rPr>
                <w:b/>
                <w:bCs/>
                <w:noProof/>
              </w:rPr>
            </w:pPr>
            <w:r>
              <w:rPr>
                <w:b/>
                <w:noProof/>
              </w:rPr>
              <w:t>31 299 159,53</w:t>
            </w:r>
          </w:p>
        </w:tc>
      </w:tr>
      <w:tr>
        <w:trPr>
          <w:trHeight w:val="454"/>
        </w:trPr>
        <w:tc>
          <w:tcPr>
            <w:tcW w:w="5104" w:type="dxa"/>
            <w:shd w:val="clear" w:color="auto" w:fill="auto"/>
            <w:vAlign w:val="center"/>
          </w:tcPr>
          <w:p>
            <w:pPr>
              <w:spacing w:before="0" w:after="0"/>
              <w:ind w:left="142"/>
              <w:contextualSpacing/>
              <w:jc w:val="left"/>
              <w:rPr>
                <w:noProof/>
                <w:sz w:val="22"/>
                <w:szCs w:val="22"/>
              </w:rPr>
            </w:pPr>
            <w:r>
              <w:rPr>
                <w:noProof/>
                <w:sz w:val="22"/>
              </w:rPr>
              <w:t>Saņemtie procenti – portfelī turētie un pārdošanai pieejamie vērtspapīri</w:t>
            </w:r>
          </w:p>
        </w:tc>
        <w:tc>
          <w:tcPr>
            <w:tcW w:w="1701" w:type="dxa"/>
            <w:shd w:val="clear" w:color="auto" w:fill="auto"/>
            <w:vAlign w:val="center"/>
          </w:tcPr>
          <w:p>
            <w:pPr>
              <w:spacing w:before="0" w:after="0"/>
              <w:ind w:left="142"/>
              <w:contextualSpacing/>
              <w:jc w:val="right"/>
              <w:rPr>
                <w:noProof/>
                <w:sz w:val="22"/>
                <w:szCs w:val="22"/>
              </w:rPr>
            </w:pPr>
            <w:r>
              <w:rPr>
                <w:noProof/>
                <w:sz w:val="22"/>
              </w:rPr>
              <w:t>32 894 240,86</w:t>
            </w:r>
          </w:p>
        </w:tc>
        <w:tc>
          <w:tcPr>
            <w:tcW w:w="1701" w:type="dxa"/>
            <w:vAlign w:val="center"/>
          </w:tcPr>
          <w:p>
            <w:pPr>
              <w:spacing w:before="0" w:after="0"/>
              <w:ind w:left="142"/>
              <w:contextualSpacing/>
              <w:jc w:val="right"/>
              <w:rPr>
                <w:noProof/>
                <w:sz w:val="22"/>
                <w:szCs w:val="22"/>
              </w:rPr>
            </w:pPr>
            <w:r>
              <w:rPr>
                <w:noProof/>
                <w:sz w:val="22"/>
              </w:rPr>
              <w:t>36 599 210,68</w:t>
            </w:r>
          </w:p>
        </w:tc>
      </w:tr>
      <w:tr>
        <w:trPr>
          <w:trHeight w:val="454"/>
        </w:trPr>
        <w:tc>
          <w:tcPr>
            <w:tcW w:w="5104" w:type="dxa"/>
            <w:shd w:val="clear" w:color="auto" w:fill="auto"/>
            <w:vAlign w:val="center"/>
          </w:tcPr>
          <w:p>
            <w:pPr>
              <w:spacing w:before="0" w:after="0"/>
              <w:ind w:left="142"/>
              <w:contextualSpacing/>
              <w:jc w:val="left"/>
              <w:rPr>
                <w:noProof/>
                <w:sz w:val="22"/>
                <w:szCs w:val="22"/>
              </w:rPr>
            </w:pPr>
            <w:r>
              <w:rPr>
                <w:noProof/>
                <w:sz w:val="22"/>
              </w:rPr>
              <w:t>Pārmaiņas uzkrātajos procentos – portfelī turētie un pārdošanai pieejamie vērtspapīri</w:t>
            </w:r>
          </w:p>
        </w:tc>
        <w:tc>
          <w:tcPr>
            <w:tcW w:w="1701" w:type="dxa"/>
            <w:shd w:val="clear" w:color="auto" w:fill="auto"/>
            <w:vAlign w:val="center"/>
          </w:tcPr>
          <w:p>
            <w:pPr>
              <w:spacing w:before="0" w:after="0"/>
              <w:contextualSpacing/>
              <w:jc w:val="right"/>
              <w:rPr>
                <w:noProof/>
                <w:sz w:val="22"/>
                <w:szCs w:val="22"/>
              </w:rPr>
            </w:pPr>
            <w:r>
              <w:rPr>
                <w:noProof/>
                <w:sz w:val="22"/>
              </w:rPr>
              <w:t>-2 303 550,35</w:t>
            </w:r>
          </w:p>
        </w:tc>
        <w:tc>
          <w:tcPr>
            <w:tcW w:w="1701" w:type="dxa"/>
            <w:shd w:val="clear" w:color="auto" w:fill="auto"/>
            <w:vAlign w:val="center"/>
          </w:tcPr>
          <w:p>
            <w:pPr>
              <w:spacing w:before="0" w:after="0"/>
              <w:contextualSpacing/>
              <w:jc w:val="right"/>
              <w:rPr>
                <w:noProof/>
                <w:sz w:val="22"/>
                <w:szCs w:val="22"/>
              </w:rPr>
            </w:pPr>
            <w:r>
              <w:rPr>
                <w:noProof/>
                <w:sz w:val="22"/>
              </w:rPr>
              <w:t>-2 642 922,24</w:t>
            </w:r>
          </w:p>
        </w:tc>
      </w:tr>
      <w:tr>
        <w:trPr>
          <w:trHeight w:val="454"/>
        </w:trPr>
        <w:tc>
          <w:tcPr>
            <w:tcW w:w="5104" w:type="dxa"/>
            <w:shd w:val="clear" w:color="auto" w:fill="auto"/>
            <w:vAlign w:val="center"/>
          </w:tcPr>
          <w:p>
            <w:pPr>
              <w:spacing w:before="0" w:after="0"/>
              <w:ind w:left="142"/>
              <w:contextualSpacing/>
              <w:jc w:val="left"/>
              <w:rPr>
                <w:noProof/>
                <w:sz w:val="22"/>
                <w:szCs w:val="22"/>
              </w:rPr>
            </w:pPr>
            <w:r>
              <w:rPr>
                <w:noProof/>
                <w:sz w:val="22"/>
              </w:rPr>
              <w:t>Prēmija/atlaide</w:t>
            </w:r>
          </w:p>
        </w:tc>
        <w:tc>
          <w:tcPr>
            <w:tcW w:w="1701" w:type="dxa"/>
            <w:shd w:val="clear" w:color="auto" w:fill="auto"/>
            <w:vAlign w:val="center"/>
          </w:tcPr>
          <w:p>
            <w:pPr>
              <w:spacing w:before="0" w:after="0"/>
              <w:ind w:left="142"/>
              <w:contextualSpacing/>
              <w:jc w:val="right"/>
              <w:rPr>
                <w:noProof/>
                <w:sz w:val="22"/>
                <w:szCs w:val="22"/>
              </w:rPr>
            </w:pPr>
            <w:r>
              <w:rPr>
                <w:noProof/>
                <w:sz w:val="22"/>
              </w:rPr>
              <w:t>-1 315 723,51</w:t>
            </w:r>
          </w:p>
        </w:tc>
        <w:tc>
          <w:tcPr>
            <w:tcW w:w="1701" w:type="dxa"/>
            <w:vAlign w:val="center"/>
          </w:tcPr>
          <w:p>
            <w:pPr>
              <w:spacing w:before="0" w:after="0"/>
              <w:ind w:left="142"/>
              <w:contextualSpacing/>
              <w:jc w:val="right"/>
              <w:rPr>
                <w:noProof/>
                <w:sz w:val="22"/>
                <w:szCs w:val="22"/>
              </w:rPr>
            </w:pPr>
            <w:r>
              <w:rPr>
                <w:noProof/>
                <w:sz w:val="22"/>
              </w:rPr>
              <w:t xml:space="preserve"> -2 657 128,91</w:t>
            </w:r>
          </w:p>
        </w:tc>
      </w:tr>
      <w:tr>
        <w:trPr>
          <w:trHeight w:val="454"/>
        </w:trPr>
        <w:tc>
          <w:tcPr>
            <w:tcW w:w="5104" w:type="dxa"/>
            <w:shd w:val="clear" w:color="auto" w:fill="auto"/>
            <w:vAlign w:val="center"/>
          </w:tcPr>
          <w:p>
            <w:pPr>
              <w:spacing w:before="0" w:after="0"/>
              <w:contextualSpacing/>
              <w:rPr>
                <w:b/>
                <w:noProof/>
              </w:rPr>
            </w:pPr>
            <w:r>
              <w:rPr>
                <w:b/>
                <w:noProof/>
              </w:rPr>
              <w:t>Ienākumi no vērtspapīru aizdevumu darbībām</w:t>
            </w:r>
          </w:p>
        </w:tc>
        <w:tc>
          <w:tcPr>
            <w:tcW w:w="1701" w:type="dxa"/>
            <w:shd w:val="clear" w:color="auto" w:fill="auto"/>
            <w:vAlign w:val="center"/>
          </w:tcPr>
          <w:p>
            <w:pPr>
              <w:spacing w:before="0" w:after="0"/>
              <w:contextualSpacing/>
              <w:jc w:val="right"/>
              <w:rPr>
                <w:b/>
                <w:bCs/>
                <w:noProof/>
              </w:rPr>
            </w:pPr>
            <w:r>
              <w:rPr>
                <w:b/>
                <w:noProof/>
                <w:color w:val="000000"/>
              </w:rPr>
              <w:t>99 651,26</w:t>
            </w:r>
          </w:p>
        </w:tc>
        <w:tc>
          <w:tcPr>
            <w:tcW w:w="1701" w:type="dxa"/>
            <w:vAlign w:val="center"/>
          </w:tcPr>
          <w:p>
            <w:pPr>
              <w:spacing w:before="0" w:after="0"/>
              <w:contextualSpacing/>
              <w:jc w:val="right"/>
              <w:rPr>
                <w:b/>
                <w:bCs/>
                <w:noProof/>
              </w:rPr>
            </w:pPr>
            <w:r>
              <w:rPr>
                <w:b/>
                <w:noProof/>
              </w:rPr>
              <w:t xml:space="preserve"> 83 827,76</w:t>
            </w:r>
          </w:p>
        </w:tc>
      </w:tr>
      <w:tr>
        <w:trPr>
          <w:trHeight w:val="454"/>
        </w:trPr>
        <w:tc>
          <w:tcPr>
            <w:tcW w:w="5104" w:type="dxa"/>
            <w:shd w:val="clear" w:color="auto" w:fill="auto"/>
            <w:vAlign w:val="center"/>
          </w:tcPr>
          <w:p>
            <w:pPr>
              <w:spacing w:before="0" w:after="0"/>
              <w:contextualSpacing/>
              <w:rPr>
                <w:noProof/>
              </w:rPr>
            </w:pPr>
            <w:r>
              <w:rPr>
                <w:b/>
                <w:noProof/>
              </w:rPr>
              <w:t>Īstenotā peļņa no finanšu aktīvu pārdošanas</w:t>
            </w:r>
          </w:p>
        </w:tc>
        <w:tc>
          <w:tcPr>
            <w:tcW w:w="1701" w:type="dxa"/>
            <w:shd w:val="clear" w:color="auto" w:fill="auto"/>
            <w:vAlign w:val="center"/>
          </w:tcPr>
          <w:p>
            <w:pPr>
              <w:spacing w:before="0" w:after="0"/>
              <w:contextualSpacing/>
              <w:jc w:val="right"/>
              <w:rPr>
                <w:b/>
                <w:bCs/>
                <w:noProof/>
              </w:rPr>
            </w:pPr>
            <w:r>
              <w:rPr>
                <w:b/>
                <w:noProof/>
                <w:color w:val="000000"/>
              </w:rPr>
              <w:t>1 162 566,88</w:t>
            </w:r>
          </w:p>
        </w:tc>
        <w:tc>
          <w:tcPr>
            <w:tcW w:w="1701" w:type="dxa"/>
            <w:vAlign w:val="center"/>
          </w:tcPr>
          <w:p>
            <w:pPr>
              <w:spacing w:before="0" w:after="0"/>
              <w:contextualSpacing/>
              <w:jc w:val="right"/>
              <w:rPr>
                <w:b/>
                <w:bCs/>
                <w:noProof/>
              </w:rPr>
            </w:pPr>
            <w:r>
              <w:rPr>
                <w:b/>
                <w:noProof/>
              </w:rPr>
              <w:t xml:space="preserve"> 1 364 029,81</w:t>
            </w:r>
          </w:p>
        </w:tc>
      </w:tr>
      <w:tr>
        <w:trPr>
          <w:trHeight w:val="454"/>
        </w:trPr>
        <w:tc>
          <w:tcPr>
            <w:tcW w:w="5104" w:type="dxa"/>
            <w:shd w:val="clear" w:color="auto" w:fill="auto"/>
            <w:vAlign w:val="center"/>
          </w:tcPr>
          <w:p>
            <w:pPr>
              <w:spacing w:before="0" w:after="0"/>
              <w:contextualSpacing/>
              <w:rPr>
                <w:b/>
                <w:noProof/>
              </w:rPr>
            </w:pPr>
            <w:r>
              <w:rPr>
                <w:b/>
                <w:noProof/>
              </w:rPr>
              <w:t>Par pārņemtiem aizdevumiem uzkrātie procenti</w:t>
            </w:r>
          </w:p>
        </w:tc>
        <w:tc>
          <w:tcPr>
            <w:tcW w:w="1701" w:type="dxa"/>
            <w:shd w:val="clear" w:color="auto" w:fill="auto"/>
            <w:vAlign w:val="center"/>
          </w:tcPr>
          <w:p>
            <w:pPr>
              <w:spacing w:before="0" w:after="0"/>
              <w:contextualSpacing/>
              <w:jc w:val="right"/>
              <w:rPr>
                <w:b/>
                <w:noProof/>
              </w:rPr>
            </w:pPr>
            <w:r>
              <w:rPr>
                <w:b/>
                <w:noProof/>
                <w:color w:val="000000"/>
              </w:rPr>
              <w:t>4 405 009,00</w:t>
            </w:r>
          </w:p>
        </w:tc>
        <w:tc>
          <w:tcPr>
            <w:tcW w:w="1701" w:type="dxa"/>
            <w:vAlign w:val="center"/>
          </w:tcPr>
          <w:p>
            <w:pPr>
              <w:spacing w:before="0" w:after="0"/>
              <w:contextualSpacing/>
              <w:jc w:val="right"/>
              <w:rPr>
                <w:b/>
                <w:noProof/>
              </w:rPr>
            </w:pPr>
            <w:r>
              <w:rPr>
                <w:b/>
                <w:noProof/>
              </w:rPr>
              <w:t>2 279 297,84</w:t>
            </w:r>
          </w:p>
        </w:tc>
      </w:tr>
      <w:tr>
        <w:trPr>
          <w:trHeight w:val="454"/>
        </w:trPr>
        <w:tc>
          <w:tcPr>
            <w:tcW w:w="5104" w:type="dxa"/>
            <w:shd w:val="clear" w:color="auto" w:fill="auto"/>
            <w:vAlign w:val="center"/>
          </w:tcPr>
          <w:p>
            <w:pPr>
              <w:spacing w:before="0" w:after="0"/>
              <w:contextualSpacing/>
              <w:rPr>
                <w:b/>
                <w:noProof/>
              </w:rPr>
            </w:pPr>
            <w:r>
              <w:rPr>
                <w:b/>
                <w:noProof/>
              </w:rPr>
              <w:t>Fonda likvīdo aktīvu finanšu ieguldījumu procenti</w:t>
            </w:r>
          </w:p>
        </w:tc>
        <w:tc>
          <w:tcPr>
            <w:tcW w:w="1701" w:type="dxa"/>
            <w:shd w:val="clear" w:color="auto" w:fill="auto"/>
            <w:vAlign w:val="center"/>
          </w:tcPr>
          <w:p>
            <w:pPr>
              <w:spacing w:before="0" w:after="0"/>
              <w:contextualSpacing/>
              <w:jc w:val="right"/>
              <w:rPr>
                <w:b/>
                <w:bCs/>
                <w:noProof/>
              </w:rPr>
            </w:pPr>
            <w:r>
              <w:rPr>
                <w:b/>
                <w:noProof/>
                <w:color w:val="000000"/>
              </w:rPr>
              <w:t>35 209 330,35</w:t>
            </w:r>
          </w:p>
        </w:tc>
        <w:tc>
          <w:tcPr>
            <w:tcW w:w="1701" w:type="dxa"/>
            <w:vAlign w:val="center"/>
          </w:tcPr>
          <w:p>
            <w:pPr>
              <w:spacing w:before="0" w:after="0"/>
              <w:contextualSpacing/>
              <w:jc w:val="right"/>
              <w:rPr>
                <w:b/>
                <w:bCs/>
                <w:noProof/>
              </w:rPr>
            </w:pPr>
            <w:r>
              <w:rPr>
                <w:b/>
                <w:noProof/>
              </w:rPr>
              <w:t>35 234 727,71</w:t>
            </w:r>
          </w:p>
        </w:tc>
      </w:tr>
    </w:tbl>
    <w:p>
      <w:pPr>
        <w:rPr>
          <w:noProof/>
        </w:rPr>
      </w:pPr>
    </w:p>
    <w:p>
      <w:pPr>
        <w:rPr>
          <w:noProof/>
        </w:rPr>
      </w:pPr>
      <w:r>
        <w:rPr>
          <w:noProof/>
        </w:rPr>
        <w:br w:type="page"/>
      </w:r>
    </w:p>
    <w:p>
      <w:pPr>
        <w:pStyle w:val="ManualHeading3"/>
        <w:rPr>
          <w:noProof/>
        </w:rPr>
      </w:pPr>
      <w:bookmarkStart w:id="83" w:name="_Toc416963791"/>
      <w:bookmarkStart w:id="84" w:name="_Toc423680438"/>
      <w:r>
        <w:t>3.2.4.</w:t>
      </w:r>
      <w:r>
        <w:tab/>
      </w:r>
      <w:r>
        <w:rPr>
          <w:noProof/>
        </w:rPr>
        <w:t>Ieņēmumi un izdevumi saimniecisko darbību rezultātā</w:t>
      </w:r>
      <w:bookmarkEnd w:id="83"/>
      <w:bookmarkEnd w:id="84"/>
    </w:p>
    <w:p>
      <w:pPr>
        <w:rPr>
          <w:noProof/>
        </w:rPr>
      </w:pPr>
      <w:r>
        <w:rPr>
          <w:noProof/>
        </w:rPr>
        <w:t>Saimniecisko darbību rezultāts bija EUR -1 253 614, kas ietver EIB pārvaldības maksas EUR 844 873 apmērā, citus darbības izdevumus EUR 170 678 apmērā, ārējās revīzijas maksas EUR 39 500 apmērā, nerealizēto peļņu EUR 263 355 apmērā no valūtas maiņas saistībā ar pārņemtajiem aizdevumiem un uzkrātās piedziņas maksas EUR 461 918 apmērā, kuras maksājamas EIB.</w:t>
      </w:r>
    </w:p>
    <w:p>
      <w:pPr>
        <w:pStyle w:val="ManualHeading1"/>
        <w:rPr>
          <w:noProof/>
        </w:rPr>
      </w:pPr>
      <w:bookmarkStart w:id="85" w:name="_Toc323019513"/>
      <w:bookmarkStart w:id="86" w:name="_Toc354050135"/>
      <w:bookmarkStart w:id="87" w:name="_Toc358294856"/>
      <w:bookmarkStart w:id="88" w:name="_Toc415838353"/>
      <w:bookmarkStart w:id="89" w:name="_Toc416963792"/>
      <w:bookmarkStart w:id="90" w:name="_Toc423680439"/>
      <w:r>
        <w:t>4.</w:t>
      </w:r>
      <w:r>
        <w:tab/>
      </w:r>
      <w:r>
        <w:rPr>
          <w:noProof/>
        </w:rPr>
        <w:t>Fonda saistības</w:t>
      </w:r>
      <w:bookmarkEnd w:id="85"/>
      <w:bookmarkEnd w:id="86"/>
      <w:bookmarkEnd w:id="87"/>
      <w:bookmarkEnd w:id="88"/>
      <w:bookmarkEnd w:id="89"/>
      <w:bookmarkEnd w:id="90"/>
    </w:p>
    <w:p>
      <w:pPr>
        <w:rPr>
          <w:noProof/>
        </w:rPr>
      </w:pPr>
      <w:r>
        <w:rPr>
          <w:noProof/>
        </w:rPr>
        <w:t>Fonda saistības atbilst visām Fonda uzkrātajām finanšu saistībām.</w:t>
      </w:r>
    </w:p>
    <w:p>
      <w:pPr>
        <w:pStyle w:val="ManualHeading2"/>
        <w:rPr>
          <w:noProof/>
        </w:rPr>
      </w:pPr>
      <w:bookmarkStart w:id="91" w:name="_Toc323019514"/>
      <w:bookmarkStart w:id="92" w:name="_Toc354050136"/>
      <w:bookmarkStart w:id="93" w:name="_Toc358294857"/>
      <w:bookmarkStart w:id="94" w:name="_Toc415838354"/>
      <w:bookmarkStart w:id="95" w:name="_Toc416963793"/>
      <w:bookmarkStart w:id="96" w:name="_Toc423680440"/>
      <w:r>
        <w:t>4.1.</w:t>
      </w:r>
      <w:r>
        <w:tab/>
      </w:r>
      <w:r>
        <w:rPr>
          <w:noProof/>
        </w:rPr>
        <w:t>Neizpildīto saistību maksājumi</w:t>
      </w:r>
      <w:bookmarkEnd w:id="91"/>
      <w:bookmarkEnd w:id="92"/>
      <w:bookmarkEnd w:id="93"/>
      <w:bookmarkEnd w:id="94"/>
      <w:bookmarkEnd w:id="95"/>
      <w:bookmarkEnd w:id="96"/>
    </w:p>
    <w:p>
      <w:pPr>
        <w:pStyle w:val="Bullet0"/>
        <w:numPr>
          <w:ilvl w:val="0"/>
          <w:numId w:val="14"/>
        </w:numPr>
        <w:rPr>
          <w:noProof/>
        </w:rPr>
      </w:pPr>
      <w:r>
        <w:rPr>
          <w:noProof/>
        </w:rPr>
        <w:t>Pieprasījumi Garantiju fondam saistībā ar neizpildītajiem maksājumiem</w:t>
      </w:r>
    </w:p>
    <w:p>
      <w:pPr>
        <w:rPr>
          <w:noProof/>
        </w:rPr>
      </w:pPr>
      <w:r>
        <w:rPr>
          <w:noProof/>
        </w:rPr>
        <w:t>Pēc situācijas pasliktināšanās Sīrijā Ārlietu padome, Eiropas Parlaments un Padome 2011. gadā ir pieņēmuši dažus lēmumus par šo valsti. Konkrēti, tie aizliedza EIB veikt izmaksas, pamatojoties uz spēkā esošajiem aizdevuma līgumiem, kā arī pārtrauca EIB tehniskās palīdzības līgumus valdības projektiem Sīrijā. Šis lēmums pēc tam tika konsolidēts Padomes 2011. gada 1. decembra Lēmumā 2011/782/KĀDP un Padomes 2012. gada 18. janvāra Regulā (ES) Nr. 36/2012.</w:t>
      </w:r>
    </w:p>
    <w:p>
      <w:pPr>
        <w:rPr>
          <w:noProof/>
        </w:rPr>
      </w:pPr>
      <w:r>
        <w:rPr>
          <w:noProof/>
        </w:rPr>
        <w:t>Rezultātā kopš 2011. gada maija EIB nav īstenojusi jaunus finansēšanas darījumus, un visi maksājumi un tehniskās palīdzības pakalpojumi Sīrijas Arābu Republikai ir pārtraukti kopš 2011. gada novembra līdz turpmākam paziņojumam.</w:t>
      </w:r>
    </w:p>
    <w:p>
      <w:pPr>
        <w:rPr>
          <w:noProof/>
        </w:rPr>
      </w:pPr>
      <w:r>
        <w:rPr>
          <w:noProof/>
        </w:rPr>
        <w:t>Lai gan pēdējos gados Sīrija pilnībā un laikus apkalpojusi savus bankas aizdevumus, kopš 2011. gada novembra EIB ir parādi par aizdevumiem Sīrijas valstij. Tā rezultātā un saskaņā ar garantiju nolīgumu, kas noslēgts starp ES un EIB, EIB līdz 2014. gada 31. decembrim ir 21 reizi vērsusies ES Garantiju fondā par kopējo summu 165 miljoni euro. Maksājumi par pēdējiem 3 pieprasījumiem (22 miljoni euro) ir jāveic 2015. gada pirmajā ceturksnī.</w:t>
      </w:r>
    </w:p>
    <w:p>
      <w:pPr>
        <w:pStyle w:val="Bullet0"/>
        <w:numPr>
          <w:ilvl w:val="0"/>
          <w:numId w:val="14"/>
        </w:numPr>
        <w:rPr>
          <w:noProof/>
        </w:rPr>
      </w:pPr>
      <w:r>
        <w:rPr>
          <w:noProof/>
        </w:rPr>
        <w:t>Notikumi pēc ziņojuma datuma</w:t>
      </w:r>
    </w:p>
    <w:p>
      <w:pPr>
        <w:rPr>
          <w:noProof/>
        </w:rPr>
      </w:pPr>
      <w:r>
        <w:rPr>
          <w:noProof/>
        </w:rPr>
        <w:t>Līdz 2015. gada februārim tika saņemts vēl viens pieprasījums par Sīrijā neizpildītiem maksājumiem par kopējo summu 7,9 miljoni euro.</w:t>
      </w:r>
    </w:p>
    <w:p>
      <w:pPr>
        <w:pStyle w:val="ManualHeading2"/>
        <w:rPr>
          <w:noProof/>
        </w:rPr>
      </w:pPr>
      <w:bookmarkStart w:id="97" w:name="_Toc323019515"/>
      <w:bookmarkStart w:id="98" w:name="_Toc354050137"/>
      <w:bookmarkStart w:id="99" w:name="_Toc358294858"/>
      <w:bookmarkStart w:id="100" w:name="_Toc415838355"/>
      <w:bookmarkStart w:id="101" w:name="_Toc416963794"/>
      <w:bookmarkStart w:id="102" w:name="_Toc423680441"/>
      <w:r>
        <w:t>4.2.</w:t>
      </w:r>
      <w:r>
        <w:tab/>
      </w:r>
      <w:r>
        <w:rPr>
          <w:noProof/>
        </w:rPr>
        <w:t>Atlīdzība EIB</w:t>
      </w:r>
      <w:bookmarkEnd w:id="97"/>
      <w:bookmarkEnd w:id="98"/>
      <w:bookmarkEnd w:id="99"/>
      <w:bookmarkEnd w:id="100"/>
      <w:bookmarkEnd w:id="101"/>
      <w:bookmarkEnd w:id="102"/>
    </w:p>
    <w:p>
      <w:pPr>
        <w:rPr>
          <w:noProof/>
        </w:rPr>
      </w:pPr>
      <w:r>
        <w:rPr>
          <w:noProof/>
        </w:rPr>
        <w:t>EIB atlīdzību veido pārvaldības maksas un piedziņas maksas. Ar pārvaldības maksām sedz Fonda pārvaldības izdevumus. Ar piedziņas maksām sedz EIB piedziņas izmaksas saistībā ar prasījumiem pēc saistību neizpildes, uz ko attiecas ES garantija EIB finansēšanas darījumiem ārpus Savienības.</w:t>
      </w:r>
    </w:p>
    <w:p>
      <w:pPr>
        <w:rPr>
          <w:noProof/>
        </w:rPr>
      </w:pPr>
      <w:r>
        <w:rPr>
          <w:noProof/>
        </w:rPr>
        <w:br w:type="page"/>
        <w:t>Pārvaldības maksas</w:t>
      </w:r>
    </w:p>
    <w:p>
      <w:pPr>
        <w:rPr>
          <w:noProof/>
        </w:rPr>
      </w:pPr>
      <w:r>
        <w:rPr>
          <w:noProof/>
        </w:rPr>
        <w:t>Nolīguma 2002. gada 26. aprīlī un 8. maijā parakstītajā Otrajā papildu nolīgumā ir noteikts, ka atlīdzību Bankai aprēķina, katrai Fonda aktīvu daļai piemērojot attiecīgās degresīvās gada maksu likmes. Šo atlīdzību aprēķina, pamatojoties uz Fonda gada vidējiem aktīviem.</w:t>
      </w:r>
    </w:p>
    <w:p>
      <w:pPr>
        <w:rPr>
          <w:noProof/>
        </w:rPr>
      </w:pPr>
      <w:r>
        <w:rPr>
          <w:noProof/>
        </w:rPr>
        <w:t>Atlīdzība Bankai par 2014. gadu tika noteikta EUR 844 873 apmērā un uzrādīta saimnieciskā rezultāta pārskatā, kā arī iegrāmatota bilancē kā uzkrājumi (saistības).</w:t>
      </w:r>
      <w:bookmarkStart w:id="103" w:name="_CopyToNewDocument_"/>
      <w:bookmarkEnd w:id="103"/>
    </w:p>
    <w:p>
      <w:pPr>
        <w:rPr>
          <w:rFonts w:ascii="Calibri" w:hAnsi="Calibri"/>
          <w:noProof/>
          <w:color w:val="000000"/>
          <w:sz w:val="22"/>
          <w:szCs w:val="22"/>
        </w:rPr>
      </w:pPr>
      <w:r>
        <w:rPr>
          <w:noProof/>
        </w:rPr>
        <w:t>Piedziņas maksas, kas jāiemaksā EIB, aprēķina, pamatojoties uz piedziņas nolīgumu, kuru 2014. gada jūlijā parakstīja Komisija un Banka. 2014. gada beigās uzkrātā piedziņas maksu summa bija EUR 1 060 285.</w:t>
      </w:r>
    </w:p>
    <w:sectPr>
      <w:headerReference w:type="even" r:id="rId22"/>
      <w:headerReference w:type="default" r:id="rId23"/>
      <w:footerReference w:type="even" r:id="rId24"/>
      <w:footerReference w:type="default" r:id="rId25"/>
      <w:headerReference w:type="first" r:id="rId26"/>
      <w:footerReference w:type="first" r:id="rId27"/>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before="0" w:after="0"/>
      </w:pPr>
      <w:r>
        <w:separator/>
      </w:r>
    </w:p>
  </w:endnote>
  <w:endnote w:type="continuationSeparator" w:id="0">
    <w:p>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EUAlbertina_Bold">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LV</w:t>
    </w:r>
    <w:r>
      <w:rPr>
        <w:rFonts w:ascii="Arial" w:hAnsi="Arial" w:cs="Arial"/>
        <w:b/>
        <w:sz w:val="48"/>
      </w:rPr>
      <w:tab/>
    </w:r>
    <w:r>
      <w:rPr>
        <w:rFonts w:ascii="Arial" w:hAnsi="Arial" w:cs="Arial"/>
        <w:b/>
        <w:sz w:val="48"/>
      </w:rP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LV</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jc w:val="center"/>
    </w:pPr>
    <w:r>
      <w:fldChar w:fldCharType="begin"/>
    </w:r>
    <w:r>
      <w:instrText xml:space="preserve"> PAGE   \* MERGEFORMAT </w:instrText>
    </w:r>
    <w:r>
      <w:fldChar w:fldCharType="separate"/>
    </w:r>
    <w:r>
      <w:rPr>
        <w:noProof/>
      </w:rPr>
      <w:t>2</w:t>
    </w:r>
    <w:r>
      <w:rPr>
        <w:noProof/>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jc w:val="center"/>
    </w:pPr>
    <w:r>
      <w:fldChar w:fldCharType="begin"/>
    </w:r>
    <w:r>
      <w:instrText xml:space="preserve"> PAGE   \* MERGEFORMAT </w:instrText>
    </w:r>
    <w:r>
      <w:fldChar w:fldCharType="separate"/>
    </w:r>
    <w:r>
      <w:rPr>
        <w:noProof/>
      </w:rPr>
      <w:t>12</w:t>
    </w:r>
    <w:r>
      <w:rPr>
        <w:noProof/>
      </w:rPr>
      <w:fldChar w:fldCharType="end"/>
    </w:r>
  </w:p>
  <w:p>
    <w:pPr>
      <w:pStyle w:val="Foote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before="0" w:after="0"/>
      </w:pPr>
      <w:r>
        <w:separator/>
      </w:r>
    </w:p>
  </w:footnote>
  <w:footnote w:type="continuationSeparator" w:id="0">
    <w:p>
      <w:pPr>
        <w:spacing w:before="0" w:after="0"/>
      </w:pPr>
      <w:r>
        <w:continuationSeparator/>
      </w:r>
    </w:p>
  </w:footnote>
  <w:footnote w:id="1">
    <w:p>
      <w:pPr>
        <w:pStyle w:val="FootnoteText"/>
      </w:pPr>
      <w:r>
        <w:rPr>
          <w:rStyle w:val="FootnoteReference"/>
        </w:rPr>
        <w:footnoteRef/>
      </w:r>
      <w:r>
        <w:tab/>
        <w:t xml:space="preserve">OV L 145, 10.6.2009., 10. lpp. </w:t>
      </w:r>
    </w:p>
  </w:footnote>
  <w:footnote w:id="2">
    <w:p>
      <w:pPr>
        <w:pStyle w:val="FootnoteText"/>
      </w:pPr>
      <w:r>
        <w:rPr>
          <w:rStyle w:val="FootnoteReference"/>
        </w:rPr>
        <w:footnoteRef/>
      </w:r>
      <w:r>
        <w:tab/>
        <w:t>Ar Regulu ir noteikts, ka maksājumus, ko Fonds sedz attiecībā uz pievienošanās valstīm, arī pēc pievienošanās datuma garantē ES. Tomēr no minētā datuma šie maksājumi vairs neattiecas uz ES ārējām darbībām un tiek segti tieši no Eiropas Savienības vispārējā budžeta, nevis no Fonda budžeta.</w:t>
      </w:r>
    </w:p>
  </w:footnote>
  <w:footnote w:id="3">
    <w:p>
      <w:pPr>
        <w:pStyle w:val="FootnoteText"/>
      </w:pPr>
      <w:r>
        <w:rPr>
          <w:rStyle w:val="FootnoteReference"/>
        </w:rPr>
        <w:footnoteRef/>
      </w:r>
      <w:r>
        <w:tab/>
        <w:t>Citi grāmatvedības uzkrājumi ietver valūtas kursa atšķirības un piedziņas maksas, kas maksājamas EIB.</w:t>
      </w:r>
    </w:p>
  </w:footnote>
  <w:footnote w:id="4">
    <w:p>
      <w:pPr>
        <w:pStyle w:val="FootnoteText"/>
      </w:pPr>
      <w:r>
        <w:rPr>
          <w:rStyle w:val="FootnoteReference"/>
        </w:rPr>
        <w:footnoteRef/>
      </w:r>
      <w:r>
        <w:tab/>
        <w:t>Grozījumi izdarīti ar 1996. gada 17./23. septembra Papildu nolīgumu Nr. 1, 2002. gada 26. aprīļa / 8. maija Papildu nolīgumu Nr. 2, 2008. gada 25. februāra Papildu nolīgumu Nr. 3 un 2010. gada 9. novembra Papildu nolīgumu Nr. 4.</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333ABAE0"/>
    <w:lvl w:ilvl="0">
      <w:start w:val="1"/>
      <w:numFmt w:val="decimal"/>
      <w:pStyle w:val="ListNumber4"/>
      <w:lvlText w:val="%1."/>
      <w:lvlJc w:val="left"/>
      <w:pPr>
        <w:tabs>
          <w:tab w:val="num" w:pos="1209"/>
        </w:tabs>
        <w:ind w:left="1209" w:hanging="360"/>
      </w:pPr>
      <w:rPr>
        <w:rFonts w:cs="Times New Roman"/>
      </w:rPr>
    </w:lvl>
  </w:abstractNum>
  <w:abstractNum w:abstractNumId="1">
    <w:nsid w:val="FFFFFF7E"/>
    <w:multiLevelType w:val="singleLevel"/>
    <w:tmpl w:val="8FFC5720"/>
    <w:lvl w:ilvl="0">
      <w:start w:val="1"/>
      <w:numFmt w:val="decimal"/>
      <w:pStyle w:val="ListNumber3"/>
      <w:lvlText w:val="%1."/>
      <w:lvlJc w:val="left"/>
      <w:pPr>
        <w:tabs>
          <w:tab w:val="num" w:pos="926"/>
        </w:tabs>
        <w:ind w:left="926" w:hanging="360"/>
      </w:pPr>
      <w:rPr>
        <w:rFonts w:cs="Times New Roman"/>
      </w:rPr>
    </w:lvl>
  </w:abstractNum>
  <w:abstractNum w:abstractNumId="2">
    <w:nsid w:val="FFFFFF7F"/>
    <w:multiLevelType w:val="singleLevel"/>
    <w:tmpl w:val="EEC82E3C"/>
    <w:lvl w:ilvl="0">
      <w:start w:val="1"/>
      <w:numFmt w:val="decimal"/>
      <w:pStyle w:val="ListNumber2"/>
      <w:lvlText w:val="%1."/>
      <w:lvlJc w:val="left"/>
      <w:pPr>
        <w:tabs>
          <w:tab w:val="num" w:pos="643"/>
        </w:tabs>
        <w:ind w:left="643" w:hanging="360"/>
      </w:pPr>
      <w:rPr>
        <w:rFonts w:cs="Times New Roman"/>
      </w:rPr>
    </w:lvl>
  </w:abstractNum>
  <w:abstractNum w:abstractNumId="3">
    <w:nsid w:val="FFFFFF81"/>
    <w:multiLevelType w:val="singleLevel"/>
    <w:tmpl w:val="CDC48C4A"/>
    <w:lvl w:ilvl="0">
      <w:start w:val="1"/>
      <w:numFmt w:val="bullet"/>
      <w:pStyle w:val="ListBullet4"/>
      <w:lvlText w:val=""/>
      <w:lvlJc w:val="left"/>
      <w:pPr>
        <w:tabs>
          <w:tab w:val="num" w:pos="1209"/>
        </w:tabs>
        <w:ind w:left="1209" w:hanging="360"/>
      </w:pPr>
      <w:rPr>
        <w:rFonts w:ascii="Symbol" w:hAnsi="Symbol" w:hint="default"/>
      </w:rPr>
    </w:lvl>
  </w:abstractNum>
  <w:abstractNum w:abstractNumId="4">
    <w:nsid w:val="FFFFFF82"/>
    <w:multiLevelType w:val="singleLevel"/>
    <w:tmpl w:val="F634D4D6"/>
    <w:lvl w:ilvl="0">
      <w:start w:val="1"/>
      <w:numFmt w:val="bullet"/>
      <w:pStyle w:val="ListBullet3"/>
      <w:lvlText w:val=""/>
      <w:lvlJc w:val="left"/>
      <w:pPr>
        <w:tabs>
          <w:tab w:val="num" w:pos="926"/>
        </w:tabs>
        <w:ind w:left="926" w:hanging="360"/>
      </w:pPr>
      <w:rPr>
        <w:rFonts w:ascii="Symbol" w:hAnsi="Symbol" w:hint="default"/>
      </w:rPr>
    </w:lvl>
  </w:abstractNum>
  <w:abstractNum w:abstractNumId="5">
    <w:nsid w:val="FFFFFF83"/>
    <w:multiLevelType w:val="singleLevel"/>
    <w:tmpl w:val="22F69066"/>
    <w:lvl w:ilvl="0">
      <w:start w:val="1"/>
      <w:numFmt w:val="bullet"/>
      <w:pStyle w:val="ListBullet2"/>
      <w:lvlText w:val=""/>
      <w:lvlJc w:val="left"/>
      <w:pPr>
        <w:tabs>
          <w:tab w:val="num" w:pos="643"/>
        </w:tabs>
        <w:ind w:left="643" w:hanging="360"/>
      </w:pPr>
      <w:rPr>
        <w:rFonts w:ascii="Symbol" w:hAnsi="Symbol" w:hint="default"/>
      </w:rPr>
    </w:lvl>
  </w:abstractNum>
  <w:abstractNum w:abstractNumId="6">
    <w:nsid w:val="FFFFFF88"/>
    <w:multiLevelType w:val="singleLevel"/>
    <w:tmpl w:val="71D6A4E8"/>
    <w:lvl w:ilvl="0">
      <w:start w:val="1"/>
      <w:numFmt w:val="decimal"/>
      <w:pStyle w:val="ListNumber"/>
      <w:lvlText w:val="%1."/>
      <w:lvlJc w:val="left"/>
      <w:pPr>
        <w:tabs>
          <w:tab w:val="num" w:pos="360"/>
        </w:tabs>
        <w:ind w:left="360" w:hanging="360"/>
      </w:pPr>
      <w:rPr>
        <w:rFonts w:cs="Times New Roman"/>
      </w:rPr>
    </w:lvl>
  </w:abstractNum>
  <w:abstractNum w:abstractNumId="7">
    <w:nsid w:val="0CB477BA"/>
    <w:multiLevelType w:val="multilevel"/>
    <w:tmpl w:val="9E247306"/>
    <w:lvl w:ilvl="0">
      <w:start w:val="1"/>
      <w:numFmt w:val="decimal"/>
      <w:lvlRestart w:val="0"/>
      <w:pStyle w:val="Heading1"/>
      <w:lvlText w:val="%1."/>
      <w:lvlJc w:val="left"/>
      <w:pPr>
        <w:tabs>
          <w:tab w:val="num" w:pos="850"/>
        </w:tabs>
        <w:ind w:left="850" w:hanging="850"/>
      </w:pPr>
      <w:rPr>
        <w:rFonts w:hint="default"/>
      </w:rPr>
    </w:lvl>
    <w:lvl w:ilvl="1">
      <w:start w:val="1"/>
      <w:numFmt w:val="decimal"/>
      <w:pStyle w:val="Heading2"/>
      <w:lvlText w:val="%1.%2."/>
      <w:lvlJc w:val="left"/>
      <w:pPr>
        <w:tabs>
          <w:tab w:val="num" w:pos="850"/>
        </w:tabs>
        <w:ind w:left="850" w:hanging="850"/>
      </w:pPr>
      <w:rPr>
        <w:rFonts w:hint="default"/>
      </w:rPr>
    </w:lvl>
    <w:lvl w:ilvl="2">
      <w:start w:val="1"/>
      <w:numFmt w:val="decimal"/>
      <w:pStyle w:val="Heading3"/>
      <w:lvlText w:val="%1.%2.%3."/>
      <w:lvlJc w:val="left"/>
      <w:pPr>
        <w:tabs>
          <w:tab w:val="num" w:pos="850"/>
        </w:tabs>
        <w:ind w:left="850" w:hanging="850"/>
      </w:pPr>
      <w:rPr>
        <w:rFonts w:hint="default"/>
      </w:rPr>
    </w:lvl>
    <w:lvl w:ilvl="3">
      <w:start w:val="1"/>
      <w:numFmt w:val="decimal"/>
      <w:lvlText w:val="%1.%2.%3.%4."/>
      <w:lvlJc w:val="left"/>
      <w:pPr>
        <w:tabs>
          <w:tab w:val="num" w:pos="850"/>
        </w:tabs>
        <w:ind w:left="850" w:hanging="85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nsid w:val="0F212747"/>
    <w:multiLevelType w:val="multilevel"/>
    <w:tmpl w:val="FBD0F488"/>
    <w:name w:val="NumPar"/>
    <w:lvl w:ilvl="0">
      <w:start w:val="1"/>
      <w:numFmt w:val="decimal"/>
      <w:lvlRestart w:val="0"/>
      <w:lvlText w:val="%1."/>
      <w:lvlJc w:val="left"/>
      <w:pPr>
        <w:tabs>
          <w:tab w:val="num" w:pos="850"/>
        </w:tabs>
        <w:ind w:left="850" w:hanging="850"/>
      </w:pPr>
      <w:rPr>
        <w:rFonts w:cs="Times New Roman"/>
      </w:rPr>
    </w:lvl>
    <w:lvl w:ilvl="1">
      <w:start w:val="1"/>
      <w:numFmt w:val="decimal"/>
      <w:lvlText w:val="%1.%2."/>
      <w:lvlJc w:val="left"/>
      <w:pPr>
        <w:tabs>
          <w:tab w:val="num" w:pos="850"/>
        </w:tabs>
        <w:ind w:left="850" w:hanging="850"/>
      </w:pPr>
      <w:rPr>
        <w:rFonts w:cs="Times New Roman"/>
      </w:rPr>
    </w:lvl>
    <w:lvl w:ilvl="2">
      <w:start w:val="1"/>
      <w:numFmt w:val="decimal"/>
      <w:lvlText w:val="%1.%2.%3."/>
      <w:lvlJc w:val="left"/>
      <w:pPr>
        <w:tabs>
          <w:tab w:val="num" w:pos="850"/>
        </w:tabs>
        <w:ind w:left="850" w:hanging="850"/>
      </w:pPr>
      <w:rPr>
        <w:rFonts w:cs="Times New Roman"/>
      </w:rPr>
    </w:lvl>
    <w:lvl w:ilvl="3">
      <w:start w:val="1"/>
      <w:numFmt w:val="decimal"/>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9">
    <w:nsid w:val="15592001"/>
    <w:multiLevelType w:val="singleLevel"/>
    <w:tmpl w:val="3C6C7C7E"/>
    <w:lvl w:ilvl="0">
      <w:start w:val="1"/>
      <w:numFmt w:val="bullet"/>
      <w:lvlRestart w:val="0"/>
      <w:lvlText w:val=""/>
      <w:lvlJc w:val="left"/>
      <w:pPr>
        <w:tabs>
          <w:tab w:val="num" w:pos="850"/>
        </w:tabs>
        <w:ind w:left="850" w:hanging="850"/>
      </w:pPr>
      <w:rPr>
        <w:rFonts w:ascii="Symbol" w:hAnsi="Symbol" w:hint="default"/>
      </w:rPr>
    </w:lvl>
  </w:abstractNum>
  <w:abstractNum w:abstractNumId="10">
    <w:nsid w:val="2AF76E7A"/>
    <w:multiLevelType w:val="singleLevel"/>
    <w:tmpl w:val="C74C5A32"/>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1">
    <w:nsid w:val="2F076C74"/>
    <w:multiLevelType w:val="multilevel"/>
    <w:tmpl w:val="CC8EDB14"/>
    <w:name w:val="Point"/>
    <w:lvl w:ilvl="0">
      <w:start w:val="1"/>
      <w:numFmt w:val="decimal"/>
      <w:lvlRestart w:val="0"/>
      <w:lvlText w:val="(%1)"/>
      <w:lvlJc w:val="left"/>
      <w:pPr>
        <w:tabs>
          <w:tab w:val="num" w:pos="850"/>
        </w:tabs>
        <w:ind w:left="850" w:hanging="850"/>
      </w:pPr>
      <w:rPr>
        <w:rFonts w:cs="Times New Roman"/>
      </w:rPr>
    </w:lvl>
    <w:lvl w:ilvl="1">
      <w:start w:val="1"/>
      <w:numFmt w:val="lowerLetter"/>
      <w:lvlText w:val="(%2)"/>
      <w:lvlJc w:val="left"/>
      <w:pPr>
        <w:tabs>
          <w:tab w:val="num" w:pos="850"/>
        </w:tabs>
        <w:ind w:left="850" w:hanging="850"/>
      </w:pPr>
      <w:rPr>
        <w:rFonts w:cs="Times New Roman"/>
      </w:rPr>
    </w:lvl>
    <w:lvl w:ilvl="2">
      <w:start w:val="1"/>
      <w:numFmt w:val="decimal"/>
      <w:lvlText w:val="(%3)"/>
      <w:lvlJc w:val="left"/>
      <w:pPr>
        <w:tabs>
          <w:tab w:val="num" w:pos="1417"/>
        </w:tabs>
        <w:ind w:left="1417" w:hanging="567"/>
      </w:pPr>
      <w:rPr>
        <w:rFonts w:cs="Times New Roman"/>
      </w:rPr>
    </w:lvl>
    <w:lvl w:ilvl="3">
      <w:start w:val="1"/>
      <w:numFmt w:val="lowerLetter"/>
      <w:lvlText w:val="(%4)"/>
      <w:lvlJc w:val="left"/>
      <w:pPr>
        <w:tabs>
          <w:tab w:val="num" w:pos="1417"/>
        </w:tabs>
        <w:ind w:left="1417" w:hanging="567"/>
      </w:pPr>
      <w:rPr>
        <w:rFonts w:cs="Times New Roman"/>
      </w:rPr>
    </w:lvl>
    <w:lvl w:ilvl="4">
      <w:start w:val="1"/>
      <w:numFmt w:val="decimal"/>
      <w:lvlText w:val="(%5)"/>
      <w:lvlJc w:val="left"/>
      <w:pPr>
        <w:tabs>
          <w:tab w:val="num" w:pos="1984"/>
        </w:tabs>
        <w:ind w:left="1984" w:hanging="567"/>
      </w:pPr>
      <w:rPr>
        <w:rFonts w:cs="Times New Roman"/>
      </w:rPr>
    </w:lvl>
    <w:lvl w:ilvl="5">
      <w:start w:val="1"/>
      <w:numFmt w:val="lowerLetter"/>
      <w:lvlText w:val="(%6)"/>
      <w:lvlJc w:val="left"/>
      <w:pPr>
        <w:tabs>
          <w:tab w:val="num" w:pos="1984"/>
        </w:tabs>
        <w:ind w:left="1984" w:hanging="567"/>
      </w:pPr>
      <w:rPr>
        <w:rFonts w:cs="Times New Roman"/>
      </w:rPr>
    </w:lvl>
    <w:lvl w:ilvl="6">
      <w:start w:val="1"/>
      <w:numFmt w:val="decimal"/>
      <w:lvlText w:val="(%7)"/>
      <w:lvlJc w:val="left"/>
      <w:pPr>
        <w:tabs>
          <w:tab w:val="num" w:pos="2551"/>
        </w:tabs>
        <w:ind w:left="2551" w:hanging="567"/>
      </w:pPr>
      <w:rPr>
        <w:rFonts w:cs="Times New Roman"/>
      </w:rPr>
    </w:lvl>
    <w:lvl w:ilvl="7">
      <w:start w:val="1"/>
      <w:numFmt w:val="lowerLetter"/>
      <w:lvlText w:val="(%8)"/>
      <w:lvlJc w:val="left"/>
      <w:pPr>
        <w:tabs>
          <w:tab w:val="num" w:pos="2551"/>
        </w:tabs>
        <w:ind w:left="2551" w:hanging="567"/>
      </w:pPr>
      <w:rPr>
        <w:rFonts w:cs="Times New Roman"/>
      </w:rPr>
    </w:lvl>
    <w:lvl w:ilvl="8">
      <w:start w:val="1"/>
      <w:numFmt w:val="lowerLetter"/>
      <w:lvlText w:val="(%9)"/>
      <w:lvlJc w:val="left"/>
      <w:pPr>
        <w:tabs>
          <w:tab w:val="num" w:pos="3118"/>
        </w:tabs>
        <w:ind w:left="3118" w:hanging="567"/>
      </w:pPr>
      <w:rPr>
        <w:rFonts w:cs="Times New Roman"/>
      </w:rPr>
    </w:lvl>
  </w:abstractNum>
  <w:abstractNum w:abstractNumId="12">
    <w:nsid w:val="3A5459E8"/>
    <w:multiLevelType w:val="singleLevel"/>
    <w:tmpl w:val="2188C922"/>
    <w:name w:val="Tiret 1"/>
    <w:lvl w:ilvl="0">
      <w:start w:val="1"/>
      <w:numFmt w:val="bullet"/>
      <w:lvlRestart w:val="0"/>
      <w:pStyle w:val="Tiret1"/>
      <w:lvlText w:val="–"/>
      <w:lvlJc w:val="left"/>
      <w:pPr>
        <w:tabs>
          <w:tab w:val="num" w:pos="1417"/>
        </w:tabs>
        <w:ind w:left="1417" w:hanging="567"/>
      </w:pPr>
    </w:lvl>
  </w:abstractNum>
  <w:abstractNum w:abstractNumId="13">
    <w:nsid w:val="3BA736C9"/>
    <w:multiLevelType w:val="singleLevel"/>
    <w:tmpl w:val="F00A6C0C"/>
    <w:name w:val="Tiret 0"/>
    <w:lvl w:ilvl="0">
      <w:start w:val="1"/>
      <w:numFmt w:val="bullet"/>
      <w:lvlRestart w:val="0"/>
      <w:pStyle w:val="Tiret0"/>
      <w:lvlText w:val="–"/>
      <w:lvlJc w:val="left"/>
      <w:pPr>
        <w:tabs>
          <w:tab w:val="num" w:pos="850"/>
        </w:tabs>
        <w:ind w:left="850" w:hanging="850"/>
      </w:pPr>
    </w:lvl>
  </w:abstractNum>
  <w:abstractNum w:abstractNumId="14">
    <w:nsid w:val="3C90278F"/>
    <w:multiLevelType w:val="singleLevel"/>
    <w:tmpl w:val="0FE08974"/>
    <w:name w:val="Tiret 3"/>
    <w:lvl w:ilvl="0">
      <w:start w:val="1"/>
      <w:numFmt w:val="bullet"/>
      <w:lvlRestart w:val="0"/>
      <w:pStyle w:val="Tiret3"/>
      <w:lvlText w:val="–"/>
      <w:lvlJc w:val="left"/>
      <w:pPr>
        <w:tabs>
          <w:tab w:val="num" w:pos="2551"/>
        </w:tabs>
        <w:ind w:left="2551" w:hanging="567"/>
      </w:pPr>
    </w:lvl>
  </w:abstractNum>
  <w:abstractNum w:abstractNumId="15">
    <w:nsid w:val="40FF3500"/>
    <w:multiLevelType w:val="singleLevel"/>
    <w:tmpl w:val="84DA1EE8"/>
    <w:name w:val="Default"/>
    <w:lvl w:ilvl="0">
      <w:start w:val="1"/>
      <w:numFmt w:val="bullet"/>
      <w:lvlRestart w:val="0"/>
      <w:lvlText w:val=""/>
      <w:lvlJc w:val="left"/>
      <w:pPr>
        <w:tabs>
          <w:tab w:val="num" w:pos="1417"/>
        </w:tabs>
        <w:ind w:left="1417" w:hanging="567"/>
      </w:pPr>
      <w:rPr>
        <w:rFonts w:ascii="Symbol" w:hAnsi="Symbol" w:hint="default"/>
      </w:rPr>
    </w:lvl>
  </w:abstractNum>
  <w:abstractNum w:abstractNumId="16">
    <w:nsid w:val="43001DEE"/>
    <w:multiLevelType w:val="multilevel"/>
    <w:tmpl w:val="C3843A7A"/>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nsid w:val="48842C30"/>
    <w:multiLevelType w:val="singleLevel"/>
    <w:tmpl w:val="4FA60B9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8">
    <w:nsid w:val="54593082"/>
    <w:multiLevelType w:val="singleLevel"/>
    <w:tmpl w:val="EDE069AC"/>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9">
    <w:nsid w:val="568864DC"/>
    <w:multiLevelType w:val="singleLevel"/>
    <w:tmpl w:val="485EBDAC"/>
    <w:name w:val="Tiret 4"/>
    <w:lvl w:ilvl="0">
      <w:start w:val="1"/>
      <w:numFmt w:val="bullet"/>
      <w:lvlRestart w:val="0"/>
      <w:pStyle w:val="Tiret4"/>
      <w:lvlText w:val="–"/>
      <w:lvlJc w:val="left"/>
      <w:pPr>
        <w:tabs>
          <w:tab w:val="num" w:pos="3118"/>
        </w:tabs>
        <w:ind w:left="3118" w:hanging="567"/>
      </w:pPr>
    </w:lvl>
  </w:abstractNum>
  <w:abstractNum w:abstractNumId="20">
    <w:nsid w:val="5F342530"/>
    <w:multiLevelType w:val="singleLevel"/>
    <w:tmpl w:val="D5444702"/>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21">
    <w:nsid w:val="5F9C40AA"/>
    <w:multiLevelType w:val="singleLevel"/>
    <w:tmpl w:val="B89CB5A2"/>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22">
    <w:nsid w:val="62970F71"/>
    <w:multiLevelType w:val="singleLevel"/>
    <w:tmpl w:val="5AFA8C72"/>
    <w:name w:val="Tiret 2"/>
    <w:lvl w:ilvl="0">
      <w:start w:val="1"/>
      <w:numFmt w:val="bullet"/>
      <w:lvlRestart w:val="0"/>
      <w:pStyle w:val="Tiret2"/>
      <w:lvlText w:val="–"/>
      <w:lvlJc w:val="left"/>
      <w:pPr>
        <w:tabs>
          <w:tab w:val="num" w:pos="1984"/>
        </w:tabs>
        <w:ind w:left="1984" w:hanging="567"/>
      </w:pPr>
    </w:lvl>
  </w:abstractNum>
  <w:abstractNum w:abstractNumId="23">
    <w:nsid w:val="63B26268"/>
    <w:multiLevelType w:val="singleLevel"/>
    <w:tmpl w:val="491E6360"/>
    <w:name w:val="Heading"/>
    <w:lvl w:ilvl="0">
      <w:start w:val="1"/>
      <w:numFmt w:val="decimal"/>
      <w:lvlRestart w:val="0"/>
      <w:lvlText w:val="(%1)"/>
      <w:lvlJc w:val="left"/>
      <w:pPr>
        <w:tabs>
          <w:tab w:val="num" w:pos="709"/>
        </w:tabs>
        <w:ind w:left="709" w:hanging="709"/>
      </w:pPr>
      <w:rPr>
        <w:rFonts w:cs="Times New Roman"/>
      </w:rPr>
    </w:lvl>
  </w:abstractNum>
  <w:abstractNum w:abstractNumId="24">
    <w:nsid w:val="69995580"/>
    <w:multiLevelType w:val="singleLevel"/>
    <w:tmpl w:val="75CC7CBA"/>
    <w:name w:val="Considérant"/>
    <w:lvl w:ilvl="0">
      <w:start w:val="1"/>
      <w:numFmt w:val="decimal"/>
      <w:lvlRestart w:val="0"/>
      <w:pStyle w:val="Considrant"/>
      <w:lvlText w:val="(%1)"/>
      <w:lvlJc w:val="left"/>
      <w:pPr>
        <w:tabs>
          <w:tab w:val="num" w:pos="709"/>
        </w:tabs>
        <w:ind w:left="709" w:hanging="709"/>
      </w:pPr>
    </w:lvl>
  </w:abstractNum>
  <w:abstractNum w:abstractNumId="25">
    <w:nsid w:val="6D2B5511"/>
    <w:multiLevelType w:val="singleLevel"/>
    <w:tmpl w:val="74A09970"/>
    <w:name w:val="0.6452252"/>
    <w:lvl w:ilvl="0">
      <w:start w:val="1"/>
      <w:numFmt w:val="bullet"/>
      <w:lvlRestart w:val="0"/>
      <w:pStyle w:val="ListBullet"/>
      <w:lvlText w:val=""/>
      <w:lvlJc w:val="left"/>
      <w:pPr>
        <w:tabs>
          <w:tab w:val="num" w:pos="283"/>
        </w:tabs>
        <w:ind w:left="283" w:hanging="283"/>
      </w:pPr>
      <w:rPr>
        <w:rFonts w:ascii="Symbol" w:hAnsi="Symbol" w:hint="default"/>
      </w:rPr>
    </w:lvl>
  </w:abstractNum>
  <w:abstractNum w:abstractNumId="26">
    <w:nsid w:val="7BE95D7F"/>
    <w:multiLevelType w:val="multilevel"/>
    <w:tmpl w:val="F126F780"/>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num w:numId="1">
    <w:abstractNumId w:val="18"/>
  </w:num>
  <w:num w:numId="2">
    <w:abstractNumId w:val="10"/>
  </w:num>
  <w:num w:numId="3">
    <w:abstractNumId w:val="21"/>
  </w:num>
  <w:num w:numId="4">
    <w:abstractNumId w:val="20"/>
  </w:num>
  <w:num w:numId="5">
    <w:abstractNumId w:val="17"/>
  </w:num>
  <w:num w:numId="6">
    <w:abstractNumId w:val="24"/>
  </w:num>
  <w:num w:numId="7">
    <w:abstractNumId w:val="26"/>
  </w:num>
  <w:num w:numId="8">
    <w:abstractNumId w:val="13"/>
  </w:num>
  <w:num w:numId="9">
    <w:abstractNumId w:val="12"/>
  </w:num>
  <w:num w:numId="10">
    <w:abstractNumId w:val="22"/>
  </w:num>
  <w:num w:numId="11">
    <w:abstractNumId w:val="14"/>
  </w:num>
  <w:num w:numId="12">
    <w:abstractNumId w:val="19"/>
  </w:num>
  <w:num w:numId="13">
    <w:abstractNumId w:val="11"/>
  </w:num>
  <w:num w:numId="14">
    <w:abstractNumId w:val="9"/>
  </w:num>
  <w:num w:numId="15">
    <w:abstractNumId w:val="25"/>
  </w:num>
  <w:num w:numId="16">
    <w:abstractNumId w:val="5"/>
  </w:num>
  <w:num w:numId="17">
    <w:abstractNumId w:val="4"/>
  </w:num>
  <w:num w:numId="18">
    <w:abstractNumId w:val="3"/>
  </w:num>
  <w:num w:numId="19">
    <w:abstractNumId w:val="6"/>
  </w:num>
  <w:num w:numId="20">
    <w:abstractNumId w:val="2"/>
  </w:num>
  <w:num w:numId="21">
    <w:abstractNumId w:val="1"/>
  </w:num>
  <w:num w:numId="22">
    <w:abstractNumId w:val="0"/>
  </w:num>
  <w:num w:numId="23">
    <w:abstractNumId w:val="16"/>
  </w:num>
  <w:num w:numId="24">
    <w:abstractNumId w:val="7"/>
  </w:num>
  <w:num w:numId="25">
    <w:abstractNumId w:val="7"/>
    <w:lvlOverride w:ilvl="0">
      <w:startOverride w:val="3"/>
    </w:lvlOverride>
    <w:lvlOverride w:ilvl="1">
      <w:startOverride w:val="2"/>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5"/>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VERPAGE_EXISTS" w:val="True"/>
    <w:docVar w:name="DocStatus" w:val="Green"/>
    <w:docVar w:name="LW_CONFIDENCE" w:val=" "/>
    <w:docVar w:name="LW_CONST_RESTREINT_UE" w:val="RESTREINT UE"/>
    <w:docVar w:name="LW_CORRIGENDUM" w:val="&lt;UNUSED&gt;"/>
    <w:docVar w:name="LW_COVERPAGE_GUID" w:val="3370A3EDAB5E436BAB67A0CE08FCD2A9"/>
    <w:docVar w:name="LW_CROSSREFERENCE" w:val="&lt;UNUSED&gt;"/>
    <w:docVar w:name="LW_DocType" w:val="NORMAL"/>
    <w:docVar w:name="LW_EMISSION" w:val="16.7.2015"/>
    <w:docVar w:name="LW_EMISSION_ISODATE" w:val="2015-07-16"/>
    <w:docVar w:name="LW_EMISSION_LOCATION" w:val="BRX"/>
    <w:docVar w:name="LW_EMISSION_PREFIX" w:val="Briselē, "/>
    <w:docVar w:name="LW_EMISSION_SUFFIX" w:val="."/>
    <w:docVar w:name="LW_ID_DOCTYPE_NONLW" w:val="CP-006"/>
    <w:docVar w:name="LW_LANGUE" w:val="LV"/>
    <w:docVar w:name="LW_MARKING" w:val="&lt;UNUSED&gt;"/>
    <w:docVar w:name="LW_NOM.INST" w:val="EIROPAS KOMISIJA"/>
    <w:docVar w:name="LW_NOM.INST_JOINTDOC" w:val="&lt;EMPTY&gt;"/>
    <w:docVar w:name="LW_PART_NBR" w:val="1"/>
    <w:docVar w:name="LW_PART_NBR_TOTAL" w:val="1"/>
    <w:docVar w:name="LW_REF.INST.NEW" w:val="COM"/>
    <w:docVar w:name="LW_REF.INST.NEW_ADOPTED" w:val="final"/>
    <w:docVar w:name="LW_REF.INST.NEW_TEXT" w:val="(2015) 343"/>
    <w:docVar w:name="LW_REF.INTERNE" w:val="&lt;UNUSED&gt;"/>
    <w:docVar w:name="LW_SOUS.TITRE.OBJ.CP" w:val="&lt;UNUSED&gt;"/>
    <w:docVar w:name="LW_SUPERTITRE" w:val="&lt;UNUSED&gt;"/>
    <w:docVar w:name="LW_TITRE.OBJ.CP" w:val="PAR GARANTIJU FONDU UN T\u256? P\u256?RVALD\u298?BU 2014. GAD\u256?"/>
    <w:docVar w:name="LW_TYPE.DOC.CP" w:val="KOMISIJAS ZI\u325?OJUMS EIROPAS PARLAMENTAM UN PADOMEI"/>
  </w:docVar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v-LV" w:eastAsia="lv-LV" w:bidi="lv-LV"/>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er" w:uiPriority="99"/>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pPr>
      <w:spacing w:before="120" w:after="120"/>
      <w:jc w:val="both"/>
    </w:pPr>
    <w:rPr>
      <w:sz w:val="24"/>
      <w:szCs w:val="24"/>
    </w:rPr>
  </w:style>
  <w:style w:type="paragraph" w:styleId="Heading1">
    <w:name w:val="heading 1"/>
    <w:basedOn w:val="Normal"/>
    <w:next w:val="Normal"/>
    <w:qFormat/>
    <w:pPr>
      <w:keepNext/>
      <w:numPr>
        <w:numId w:val="24"/>
      </w:numPr>
      <w:spacing w:before="360"/>
      <w:outlineLvl w:val="0"/>
    </w:pPr>
    <w:rPr>
      <w:b/>
      <w:bCs/>
      <w:smallCaps/>
      <w:szCs w:val="32"/>
    </w:rPr>
  </w:style>
  <w:style w:type="paragraph" w:styleId="Heading2">
    <w:name w:val="heading 2"/>
    <w:basedOn w:val="Normal"/>
    <w:next w:val="Normal"/>
    <w:qFormat/>
    <w:pPr>
      <w:keepNext/>
      <w:numPr>
        <w:ilvl w:val="1"/>
        <w:numId w:val="24"/>
      </w:numPr>
      <w:outlineLvl w:val="1"/>
    </w:pPr>
    <w:rPr>
      <w:b/>
      <w:bCs/>
      <w:iCs/>
      <w:szCs w:val="28"/>
    </w:rPr>
  </w:style>
  <w:style w:type="paragraph" w:styleId="Heading3">
    <w:name w:val="heading 3"/>
    <w:basedOn w:val="Normal"/>
    <w:next w:val="Normal"/>
    <w:link w:val="Heading3Char"/>
    <w:autoRedefine/>
    <w:qFormat/>
    <w:pPr>
      <w:keepNext/>
      <w:numPr>
        <w:ilvl w:val="2"/>
        <w:numId w:val="24"/>
      </w:numPr>
      <w:outlineLvl w:val="2"/>
    </w:pPr>
    <w:rPr>
      <w:bCs/>
      <w:i/>
      <w:szCs w:val="26"/>
    </w:rPr>
  </w:style>
  <w:style w:type="paragraph" w:styleId="Heading4">
    <w:name w:val="heading 4"/>
    <w:basedOn w:val="Normal"/>
    <w:next w:val="Normal"/>
    <w:link w:val="Heading4Char"/>
    <w:qFormat/>
    <w:pPr>
      <w:keepNext/>
      <w:outlineLvl w:val="3"/>
    </w:pPr>
    <w:rPr>
      <w:bCs/>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ccompagnant">
    <w:name w:val="Accompagnant"/>
    <w:basedOn w:val="Normal"/>
    <w:next w:val="Normal"/>
    <w:pPr>
      <w:spacing w:before="0" w:after="240"/>
      <w:jc w:val="center"/>
    </w:pPr>
    <w:rPr>
      <w:b/>
      <w:i/>
    </w:rPr>
  </w:style>
  <w:style w:type="paragraph" w:customStyle="1" w:styleId="AccompagnantPagedecouverture">
    <w:name w:val="Accompagnant (Page de couverture)"/>
    <w:basedOn w:val="Accompagnant"/>
    <w:next w:val="Normal"/>
  </w:style>
  <w:style w:type="character" w:customStyle="1" w:styleId="Added">
    <w:name w:val="Added"/>
    <w:rPr>
      <w:b/>
      <w:u w:val="single"/>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Annexetitre">
    <w:name w:val="Annexe titre"/>
    <w:basedOn w:val="Normal"/>
    <w:next w:val="Normal"/>
    <w:pPr>
      <w:jc w:val="center"/>
    </w:pPr>
    <w:rPr>
      <w:b/>
      <w:u w:val="single"/>
    </w:rPr>
  </w:style>
  <w:style w:type="paragraph" w:customStyle="1" w:styleId="Annexetitreexpos">
    <w:name w:val="Annexe titre (exposé)"/>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Normal"/>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Bullet0">
    <w:name w:val="Bullet 0"/>
    <w:basedOn w:val="Normal"/>
    <w:pPr>
      <w:numPr>
        <w:numId w:val="1"/>
      </w:numPr>
    </w:pPr>
  </w:style>
  <w:style w:type="paragraph" w:customStyle="1" w:styleId="Bullet1">
    <w:name w:val="Bullet 1"/>
    <w:basedOn w:val="Normal"/>
    <w:pPr>
      <w:numPr>
        <w:numId w:val="2"/>
      </w:numPr>
    </w:pPr>
  </w:style>
  <w:style w:type="paragraph" w:customStyle="1" w:styleId="Bullet2">
    <w:name w:val="Bullet 2"/>
    <w:basedOn w:val="Normal"/>
    <w:pPr>
      <w:numPr>
        <w:numId w:val="3"/>
      </w:numPr>
    </w:pPr>
  </w:style>
  <w:style w:type="paragraph" w:customStyle="1" w:styleId="Bullet3">
    <w:name w:val="Bullet 3"/>
    <w:basedOn w:val="Normal"/>
    <w:pPr>
      <w:numPr>
        <w:numId w:val="4"/>
      </w:numPr>
    </w:pPr>
  </w:style>
  <w:style w:type="paragraph" w:customStyle="1" w:styleId="Bullet4">
    <w:name w:val="Bullet 4"/>
    <w:basedOn w:val="Normal"/>
    <w:pPr>
      <w:numPr>
        <w:numId w:val="5"/>
      </w:numPr>
    </w:pPr>
  </w:style>
  <w:style w:type="paragraph" w:customStyle="1" w:styleId="ChapterTitle">
    <w:name w:val="ChapterTitle"/>
    <w:basedOn w:val="Normal"/>
    <w:next w:val="Normal"/>
    <w:pPr>
      <w:keepNext/>
      <w:spacing w:after="360"/>
      <w:jc w:val="center"/>
    </w:pPr>
    <w:rPr>
      <w:b/>
      <w:sz w:val="32"/>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Normal"/>
    <w:pPr>
      <w:spacing w:before="240" w:after="240"/>
      <w:ind w:left="5103"/>
    </w:pPr>
    <w:rPr>
      <w:u w:val="single"/>
    </w:rPr>
  </w:style>
  <w:style w:type="paragraph" w:customStyle="1" w:styleId="Considrant">
    <w:name w:val="Considérant"/>
    <w:basedOn w:val="Normal"/>
    <w:pPr>
      <w:numPr>
        <w:numId w:val="6"/>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Normal"/>
    <w:pPr>
      <w:spacing w:before="360" w:after="0"/>
      <w:jc w:val="center"/>
    </w:pPr>
    <w:rPr>
      <w:b/>
    </w:rPr>
  </w:style>
  <w:style w:type="paragraph" w:customStyle="1" w:styleId="DatedadoptionPagedecouverture">
    <w:name w:val="Date d'adoption (Page de couverture)"/>
    <w:basedOn w:val="Datedadoption"/>
    <w:next w:val="Normal"/>
  </w:style>
  <w:style w:type="character" w:customStyle="1" w:styleId="Deleted">
    <w:name w:val="Deleted"/>
    <w:rPr>
      <w:strike/>
      <w:shd w:val="clear" w:color="auto" w:fill="auto"/>
    </w:rPr>
  </w:style>
  <w:style w:type="paragraph" w:customStyle="1" w:styleId="Emission">
    <w:name w:val="Emission"/>
    <w:basedOn w:val="Normal"/>
    <w:next w:val="Normal"/>
    <w:pPr>
      <w:spacing w:before="0" w:after="0"/>
      <w:ind w:left="5103"/>
      <w:jc w:val="left"/>
    </w:p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Normal"/>
    <w:pPr>
      <w:keepNext/>
      <w:spacing w:after="0"/>
    </w:pPr>
  </w:style>
  <w:style w:type="paragraph" w:customStyle="1" w:styleId="Fichefinanciretitre">
    <w:name w:val="Fiche financière titre"/>
    <w:basedOn w:val="Normal"/>
    <w:next w:val="Normal"/>
    <w:pPr>
      <w:jc w:val="center"/>
    </w:pPr>
    <w:rPr>
      <w:b/>
      <w:u w:val="single"/>
    </w:rPr>
  </w:style>
  <w:style w:type="paragraph" w:styleId="Footer">
    <w:name w:val="footer"/>
    <w:basedOn w:val="Normal"/>
    <w:link w:val="FooterChar"/>
    <w:uiPriority w:val="99"/>
    <w:pPr>
      <w:tabs>
        <w:tab w:val="center" w:pos="4535"/>
        <w:tab w:val="right" w:pos="9071"/>
        <w:tab w:val="right" w:pos="9921"/>
      </w:tabs>
      <w:spacing w:before="360" w:after="0"/>
      <w:ind w:left="-850" w:right="-850"/>
      <w:jc w:val="left"/>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uiPriority w:val="99"/>
    <w:semiHidden/>
    <w:rPr>
      <w:shd w:val="clear" w:color="auto" w:fill="auto"/>
      <w:vertAlign w:val="superscript"/>
    </w:rPr>
  </w:style>
  <w:style w:type="paragraph" w:styleId="FootnoteText">
    <w:name w:val="footnote text"/>
    <w:basedOn w:val="Normal"/>
    <w:link w:val="FootnoteTextChar"/>
    <w:semiHidden/>
    <w:pPr>
      <w:spacing w:before="0" w:after="0"/>
      <w:ind w:left="720" w:hanging="720"/>
    </w:pPr>
    <w:rPr>
      <w:sz w:val="20"/>
      <w:szCs w:val="20"/>
    </w:rPr>
  </w:style>
  <w:style w:type="paragraph" w:customStyle="1" w:styleId="Formuledadoption">
    <w:name w:val="Formule d'adoption"/>
    <w:basedOn w:val="Normal"/>
    <w:next w:val="Normal"/>
    <w:pPr>
      <w:keepNext/>
    </w:pPr>
  </w:style>
  <w:style w:type="paragraph" w:styleId="Header">
    <w:name w:val="header"/>
    <w:basedOn w:val="Normal"/>
    <w:pPr>
      <w:tabs>
        <w:tab w:val="center" w:pos="4535"/>
        <w:tab w:val="right" w:pos="9071"/>
      </w:tabs>
    </w:pPr>
  </w:style>
  <w:style w:type="paragraph" w:customStyle="1" w:styleId="HeaderLandscape">
    <w:name w:val="HeaderLandscape"/>
    <w:basedOn w:val="Normal"/>
    <w:pPr>
      <w:tabs>
        <w:tab w:val="center" w:pos="7285"/>
        <w:tab w:val="right" w:pos="14003"/>
      </w:tabs>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Normal"/>
    <w:pPr>
      <w:keepNext/>
      <w:tabs>
        <w:tab w:val="left" w:pos="4252"/>
      </w:tabs>
      <w:spacing w:before="720" w:after="0"/>
    </w:pPr>
    <w:rPr>
      <w:i/>
    </w:rPr>
  </w:style>
  <w:style w:type="paragraph" w:customStyle="1" w:styleId="Languesfaisantfoi">
    <w:name w:val="Langues faisant foi"/>
    <w:basedOn w:val="Normal"/>
    <w:next w:val="Normal"/>
    <w:pPr>
      <w:spacing w:before="360" w:after="0"/>
      <w:jc w:val="center"/>
    </w:pPr>
  </w:style>
  <w:style w:type="paragraph" w:customStyle="1" w:styleId="IntrtEEE">
    <w:name w:val="Intérêt EEE"/>
    <w:basedOn w:val="Languesfaisantfoi"/>
    <w:next w:val="Normal"/>
    <w:pPr>
      <w:spacing w:after="240"/>
    </w:pPr>
  </w:style>
  <w:style w:type="paragraph" w:customStyle="1" w:styleId="IntrtEEEPagedecouverture">
    <w:name w:val="Intérêt EEE (Page de couverture)"/>
    <w:basedOn w:val="IntrtEEE"/>
    <w:next w:val="Normal"/>
  </w:style>
  <w:style w:type="paragraph" w:customStyle="1" w:styleId="Langue">
    <w:name w:val="Langue"/>
    <w:basedOn w:val="Normal"/>
    <w:next w:val="Normal"/>
    <w:pPr>
      <w:framePr w:wrap="around" w:vAnchor="page" w:hAnchor="text" w:xAlign="center" w:y="14741"/>
      <w:spacing w:before="0" w:after="600"/>
      <w:jc w:val="center"/>
    </w:pPr>
    <w:rPr>
      <w:b/>
      <w:caps/>
    </w:rPr>
  </w:style>
  <w:style w:type="paragraph" w:customStyle="1" w:styleId="LanguesfaisantfoiPagedecouverture">
    <w:name w:val="Langues faisant foi (Page de couverture)"/>
    <w:basedOn w:val="Normal"/>
    <w:next w:val="Normal"/>
    <w:pPr>
      <w:spacing w:before="360" w:after="0"/>
      <w:jc w:val="center"/>
    </w:pPr>
  </w:style>
  <w:style w:type="paragraph" w:customStyle="1" w:styleId="ManualConsidrant">
    <w:name w:val="Manual Considérant"/>
    <w:basedOn w:val="Normal"/>
    <w:pPr>
      <w:ind w:left="709" w:hanging="709"/>
    </w:pPr>
  </w:style>
  <w:style w:type="paragraph" w:customStyle="1" w:styleId="ManualHeading1">
    <w:name w:val="Manual Heading 1"/>
    <w:basedOn w:val="Normal"/>
    <w:next w:val="Normal"/>
    <w:pPr>
      <w:keepNext/>
      <w:tabs>
        <w:tab w:val="left" w:pos="850"/>
      </w:tabs>
      <w:spacing w:before="360"/>
      <w:ind w:left="850" w:hanging="850"/>
      <w:outlineLvl w:val="0"/>
    </w:pPr>
    <w:rPr>
      <w:b/>
      <w:smallCaps/>
    </w:rPr>
  </w:style>
  <w:style w:type="paragraph" w:customStyle="1" w:styleId="ManualHeading2">
    <w:name w:val="Manual Heading 2"/>
    <w:basedOn w:val="Normal"/>
    <w:next w:val="Normal"/>
    <w:pPr>
      <w:keepNext/>
      <w:tabs>
        <w:tab w:val="left" w:pos="850"/>
      </w:tabs>
      <w:ind w:left="850" w:hanging="850"/>
      <w:outlineLvl w:val="1"/>
    </w:pPr>
    <w:rPr>
      <w:b/>
    </w:rPr>
  </w:style>
  <w:style w:type="paragraph" w:customStyle="1" w:styleId="ManualHeading3">
    <w:name w:val="Manual Heading 3"/>
    <w:basedOn w:val="Normal"/>
    <w:next w:val="Normal"/>
    <w:pPr>
      <w:keepNext/>
      <w:tabs>
        <w:tab w:val="left" w:pos="850"/>
      </w:tabs>
      <w:ind w:left="850" w:hanging="850"/>
      <w:outlineLvl w:val="2"/>
    </w:pPr>
    <w:rPr>
      <w:i/>
    </w:rPr>
  </w:style>
  <w:style w:type="paragraph" w:customStyle="1" w:styleId="ManualHeading4">
    <w:name w:val="Manual Heading 4"/>
    <w:basedOn w:val="Normal"/>
    <w:next w:val="Normal"/>
    <w:pPr>
      <w:keepNext/>
      <w:tabs>
        <w:tab w:val="left" w:pos="850"/>
      </w:tabs>
      <w:ind w:left="850" w:hanging="850"/>
      <w:outlineLvl w:val="3"/>
    </w:pPr>
  </w:style>
  <w:style w:type="paragraph" w:customStyle="1" w:styleId="ManualNumPar1">
    <w:name w:val="Manual NumPar 1"/>
    <w:basedOn w:val="Normal"/>
    <w:next w:val="Normal"/>
    <w:pPr>
      <w:ind w:left="850" w:hanging="850"/>
    </w:pPr>
  </w:style>
  <w:style w:type="paragraph" w:customStyle="1" w:styleId="ManualNumPar2">
    <w:name w:val="Manual NumPar 2"/>
    <w:basedOn w:val="Normal"/>
    <w:next w:val="Normal"/>
    <w:pPr>
      <w:ind w:left="850" w:hanging="850"/>
    </w:pPr>
  </w:style>
  <w:style w:type="paragraph" w:customStyle="1" w:styleId="ManualNumPar3">
    <w:name w:val="Manual NumPar 3"/>
    <w:basedOn w:val="Normal"/>
    <w:next w:val="Normal"/>
    <w:pPr>
      <w:ind w:left="850" w:hanging="850"/>
    </w:pPr>
  </w:style>
  <w:style w:type="paragraph" w:customStyle="1" w:styleId="ManualNumPar4">
    <w:name w:val="Manual NumPar 4"/>
    <w:basedOn w:val="Normal"/>
    <w:next w:val="Normal"/>
    <w:pPr>
      <w:ind w:left="850" w:hanging="850"/>
    </w:pPr>
  </w:style>
  <w:style w:type="character" w:customStyle="1" w:styleId="Marker">
    <w:name w:val="Marker"/>
    <w:rPr>
      <w:color w:val="0000FF"/>
      <w:shd w:val="clear" w:color="auto" w:fill="auto"/>
    </w:rPr>
  </w:style>
  <w:style w:type="character" w:customStyle="1" w:styleId="Marker1">
    <w:name w:val="Marker1"/>
    <w:rPr>
      <w:color w:val="008000"/>
      <w:shd w:val="clear" w:color="auto" w:fill="auto"/>
    </w:rPr>
  </w:style>
  <w:style w:type="character" w:customStyle="1" w:styleId="Marker2">
    <w:name w:val="Marker2"/>
    <w:rPr>
      <w:color w:val="FF0000"/>
      <w:shd w:val="clear" w:color="auto" w:fill="auto"/>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NumPar1">
    <w:name w:val="NumPar 1"/>
    <w:basedOn w:val="Normal"/>
    <w:next w:val="Normal"/>
    <w:pPr>
      <w:numPr>
        <w:numId w:val="23"/>
      </w:numPr>
    </w:pPr>
  </w:style>
  <w:style w:type="paragraph" w:customStyle="1" w:styleId="NumPar2">
    <w:name w:val="NumPar 2"/>
    <w:basedOn w:val="Normal"/>
    <w:next w:val="Normal"/>
    <w:pPr>
      <w:numPr>
        <w:ilvl w:val="1"/>
        <w:numId w:val="23"/>
      </w:numPr>
    </w:pPr>
  </w:style>
  <w:style w:type="paragraph" w:customStyle="1" w:styleId="NumPar3">
    <w:name w:val="NumPar 3"/>
    <w:basedOn w:val="Normal"/>
    <w:next w:val="Normal"/>
    <w:pPr>
      <w:numPr>
        <w:ilvl w:val="2"/>
        <w:numId w:val="23"/>
      </w:numPr>
    </w:pPr>
  </w:style>
  <w:style w:type="paragraph" w:customStyle="1" w:styleId="NumPar4">
    <w:name w:val="NumPar 4"/>
    <w:basedOn w:val="Normal"/>
    <w:next w:val="Normal"/>
    <w:pPr>
      <w:numPr>
        <w:ilvl w:val="3"/>
        <w:numId w:val="23"/>
      </w:numPr>
    </w:pPr>
  </w:style>
  <w:style w:type="paragraph" w:customStyle="1" w:styleId="Objetacteprincipal">
    <w:name w:val="Objet acte principal"/>
    <w:basedOn w:val="Normal"/>
    <w:next w:val="Normal"/>
    <w:pPr>
      <w:spacing w:before="0" w:after="360"/>
      <w:jc w:val="center"/>
    </w:pPr>
    <w:rPr>
      <w:b/>
    </w:rPr>
  </w:style>
  <w:style w:type="paragraph" w:customStyle="1" w:styleId="ObjetacteprincipalPagedecouverture">
    <w:name w:val="Objet acte principal (Page de couverture)"/>
    <w:basedOn w:val="Objetacteprincipal"/>
    <w:next w:val="Normal"/>
  </w:style>
  <w:style w:type="paragraph" w:customStyle="1" w:styleId="Objetexterne">
    <w:name w:val="Objet externe"/>
    <w:basedOn w:val="Normal"/>
    <w:next w:val="Normal"/>
    <w:rPr>
      <w:i/>
      <w:caps/>
    </w:rPr>
  </w:style>
  <w:style w:type="paragraph" w:customStyle="1" w:styleId="Pagedecouverture">
    <w:name w:val="Page de couverture"/>
    <w:basedOn w:val="Normal"/>
    <w:next w:val="Normal"/>
  </w:style>
  <w:style w:type="paragraph" w:customStyle="1" w:styleId="PartTitle">
    <w:name w:val="PartTitle"/>
    <w:basedOn w:val="Normal"/>
    <w:next w:val="ChapterTitle"/>
    <w:pPr>
      <w:keepNext/>
      <w:pageBreakBefore/>
      <w:spacing w:after="360"/>
      <w:jc w:val="center"/>
    </w:pPr>
    <w:rPr>
      <w:b/>
      <w:sz w:val="36"/>
    </w:r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Point0">
    <w:name w:val="Point 0"/>
    <w:basedOn w:val="Normal"/>
    <w:pPr>
      <w:ind w:left="850" w:hanging="850"/>
    </w:pPr>
  </w:style>
  <w:style w:type="paragraph" w:customStyle="1" w:styleId="Point0letter">
    <w:name w:val="Point 0 (letter)"/>
    <w:basedOn w:val="Normal"/>
    <w:pPr>
      <w:numPr>
        <w:ilvl w:val="1"/>
        <w:numId w:val="7"/>
      </w:numPr>
    </w:pPr>
  </w:style>
  <w:style w:type="paragraph" w:customStyle="1" w:styleId="Point0number">
    <w:name w:val="Point 0 (number)"/>
    <w:basedOn w:val="Normal"/>
    <w:pPr>
      <w:numPr>
        <w:numId w:val="7"/>
      </w:numPr>
    </w:pPr>
  </w:style>
  <w:style w:type="paragraph" w:customStyle="1" w:styleId="Point1">
    <w:name w:val="Point 1"/>
    <w:basedOn w:val="Normal"/>
    <w:pPr>
      <w:ind w:left="1417" w:hanging="567"/>
    </w:pPr>
  </w:style>
  <w:style w:type="paragraph" w:customStyle="1" w:styleId="Point1letter">
    <w:name w:val="Point 1 (letter)"/>
    <w:basedOn w:val="Normal"/>
    <w:pPr>
      <w:numPr>
        <w:ilvl w:val="3"/>
        <w:numId w:val="7"/>
      </w:numPr>
    </w:pPr>
  </w:style>
  <w:style w:type="paragraph" w:customStyle="1" w:styleId="Point1number">
    <w:name w:val="Point 1 (number)"/>
    <w:basedOn w:val="Normal"/>
    <w:pPr>
      <w:numPr>
        <w:ilvl w:val="2"/>
        <w:numId w:val="7"/>
      </w:numPr>
    </w:pPr>
  </w:style>
  <w:style w:type="paragraph" w:customStyle="1" w:styleId="Point2">
    <w:name w:val="Point 2"/>
    <w:basedOn w:val="Normal"/>
    <w:pPr>
      <w:ind w:left="1984" w:hanging="567"/>
    </w:pPr>
  </w:style>
  <w:style w:type="paragraph" w:customStyle="1" w:styleId="Point2letter">
    <w:name w:val="Point 2 (letter)"/>
    <w:basedOn w:val="Normal"/>
    <w:pPr>
      <w:numPr>
        <w:ilvl w:val="5"/>
        <w:numId w:val="7"/>
      </w:numPr>
    </w:pPr>
  </w:style>
  <w:style w:type="paragraph" w:customStyle="1" w:styleId="Point2number">
    <w:name w:val="Point 2 (number)"/>
    <w:basedOn w:val="Normal"/>
    <w:pPr>
      <w:numPr>
        <w:ilvl w:val="4"/>
        <w:numId w:val="7"/>
      </w:numPr>
    </w:pPr>
  </w:style>
  <w:style w:type="paragraph" w:customStyle="1" w:styleId="Point3">
    <w:name w:val="Point 3"/>
    <w:basedOn w:val="Normal"/>
    <w:pPr>
      <w:ind w:left="2551" w:hanging="567"/>
    </w:pPr>
  </w:style>
  <w:style w:type="paragraph" w:customStyle="1" w:styleId="Point3letter">
    <w:name w:val="Point 3 (letter)"/>
    <w:basedOn w:val="Normal"/>
    <w:pPr>
      <w:numPr>
        <w:ilvl w:val="7"/>
        <w:numId w:val="7"/>
      </w:numPr>
    </w:pPr>
  </w:style>
  <w:style w:type="paragraph" w:customStyle="1" w:styleId="Point3number">
    <w:name w:val="Point 3 (number)"/>
    <w:basedOn w:val="Normal"/>
    <w:pPr>
      <w:numPr>
        <w:ilvl w:val="6"/>
        <w:numId w:val="7"/>
      </w:numPr>
    </w:pPr>
  </w:style>
  <w:style w:type="paragraph" w:customStyle="1" w:styleId="Point4">
    <w:name w:val="Point 4"/>
    <w:basedOn w:val="Normal"/>
    <w:pPr>
      <w:ind w:left="3118" w:hanging="567"/>
    </w:pPr>
  </w:style>
  <w:style w:type="paragraph" w:customStyle="1" w:styleId="Point4letter">
    <w:name w:val="Point 4 (letter)"/>
    <w:basedOn w:val="Normal"/>
    <w:pPr>
      <w:numPr>
        <w:ilvl w:val="8"/>
        <w:numId w:val="7"/>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QuotedNumPar">
    <w:name w:val="Quoted NumPar"/>
    <w:basedOn w:val="Normal"/>
    <w:pPr>
      <w:ind w:left="1417" w:hanging="567"/>
    </w:pPr>
  </w:style>
  <w:style w:type="paragraph" w:customStyle="1" w:styleId="QuotedText">
    <w:name w:val="Quoted Text"/>
    <w:basedOn w:val="Normal"/>
    <w:pPr>
      <w:ind w:left="1417"/>
    </w:pPr>
  </w:style>
  <w:style w:type="paragraph" w:customStyle="1" w:styleId="Rfrencecroise">
    <w:name w:val="Référence croisée"/>
    <w:basedOn w:val="Normal"/>
    <w:pPr>
      <w:spacing w:before="0" w:after="0"/>
      <w:jc w:val="center"/>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Rfrenceinterinstitutionnelle">
    <w:name w:val="Référence interinstitutionnelle"/>
    <w:basedOn w:val="Normal"/>
    <w:next w:val="Normal"/>
    <w:pPr>
      <w:spacing w:before="0" w:after="0"/>
      <w:ind w:left="5103"/>
      <w:jc w:val="left"/>
    </w:pPr>
  </w:style>
  <w:style w:type="paragraph" w:customStyle="1" w:styleId="RfrenceinterinstitutionnellePagedecouverture">
    <w:name w:val="Référence interinstitutionnelle (Page de couverture)"/>
    <w:basedOn w:val="Rfrenceinterinstitutionnelle"/>
    <w:next w:val="Confidentialit"/>
  </w:style>
  <w:style w:type="paragraph" w:customStyle="1" w:styleId="Rfrenceinterne">
    <w:name w:val="Référence interne"/>
    <w:basedOn w:val="Normal"/>
    <w:next w:val="Rfrenceinterinstitutionnelle"/>
    <w:pPr>
      <w:spacing w:before="0" w:after="0"/>
      <w:ind w:left="5103"/>
      <w:jc w:val="left"/>
    </w:pPr>
  </w:style>
  <w:style w:type="paragraph" w:customStyle="1" w:styleId="SectionTitle">
    <w:name w:val="SectionTitle"/>
    <w:basedOn w:val="Normal"/>
    <w:next w:val="Heading1"/>
    <w:pPr>
      <w:keepNext/>
      <w:spacing w:after="360"/>
      <w:jc w:val="center"/>
    </w:pPr>
    <w:rPr>
      <w:b/>
      <w:smallCaps/>
      <w:sz w:val="28"/>
    </w:rPr>
  </w:style>
  <w:style w:type="paragraph" w:customStyle="1" w:styleId="Sous-titreobjet">
    <w:name w:val="Sous-titre objet"/>
    <w:basedOn w:val="Normal"/>
    <w:pPr>
      <w:spacing w:before="0" w:after="0"/>
      <w:jc w:val="center"/>
    </w:pPr>
    <w:rPr>
      <w:b/>
    </w:rPr>
  </w:style>
  <w:style w:type="paragraph" w:customStyle="1" w:styleId="Sous-titreobjetPagedecouverture">
    <w:name w:val="Sous-titre objet (Page de couverture)"/>
    <w:basedOn w:val="Sous-titreobjet"/>
  </w:style>
  <w:style w:type="paragraph" w:customStyle="1" w:styleId="Statut">
    <w:name w:val="Statut"/>
    <w:basedOn w:val="Normal"/>
    <w:next w:val="Normal"/>
    <w:pPr>
      <w:spacing w:before="360" w:after="0"/>
      <w:jc w:val="center"/>
    </w:pPr>
  </w:style>
  <w:style w:type="paragraph" w:customStyle="1" w:styleId="StatutPagedecouverture">
    <w:name w:val="Statut (Page de couverture)"/>
    <w:basedOn w:val="Statut"/>
    <w:next w:val="Normal"/>
  </w:style>
  <w:style w:type="paragraph" w:customStyle="1" w:styleId="Supertitre">
    <w:name w:val="Supertitre"/>
    <w:basedOn w:val="Normal"/>
    <w:next w:val="Normal"/>
    <w:pPr>
      <w:spacing w:before="0" w:after="600"/>
      <w:jc w:val="center"/>
    </w:pPr>
    <w:rPr>
      <w:b/>
    </w:rPr>
  </w:style>
  <w:style w:type="paragraph" w:customStyle="1" w:styleId="TableTitle">
    <w:name w:val="Table Title"/>
    <w:basedOn w:val="Normal"/>
    <w:next w:val="Normal"/>
    <w:pPr>
      <w:jc w:val="center"/>
    </w:pPr>
    <w:rPr>
      <w:b/>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Tiret0">
    <w:name w:val="Tiret 0"/>
    <w:basedOn w:val="Point0"/>
    <w:pPr>
      <w:numPr>
        <w:numId w:val="8"/>
      </w:numPr>
    </w:pPr>
  </w:style>
  <w:style w:type="paragraph" w:customStyle="1" w:styleId="Tiret1">
    <w:name w:val="Tiret 1"/>
    <w:basedOn w:val="Point1"/>
    <w:pPr>
      <w:numPr>
        <w:numId w:val="9"/>
      </w:numPr>
    </w:pPr>
  </w:style>
  <w:style w:type="paragraph" w:customStyle="1" w:styleId="Tiret2">
    <w:name w:val="Tiret 2"/>
    <w:basedOn w:val="Point2"/>
    <w:pPr>
      <w:numPr>
        <w:numId w:val="10"/>
      </w:numPr>
    </w:pPr>
  </w:style>
  <w:style w:type="paragraph" w:customStyle="1" w:styleId="Tiret3">
    <w:name w:val="Tiret 3"/>
    <w:basedOn w:val="Point3"/>
    <w:pPr>
      <w:numPr>
        <w:numId w:val="11"/>
      </w:numPr>
    </w:pPr>
  </w:style>
  <w:style w:type="paragraph" w:customStyle="1" w:styleId="Tiret4">
    <w:name w:val="Tiret 4"/>
    <w:basedOn w:val="Point4"/>
    <w:pPr>
      <w:numPr>
        <w:numId w:val="12"/>
      </w:numP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Sous-titreobjet"/>
    <w:pPr>
      <w:spacing w:before="360" w:after="360"/>
      <w:jc w:val="center"/>
    </w:pPr>
    <w:rPr>
      <w:b/>
    </w:rPr>
  </w:style>
  <w:style w:type="paragraph" w:customStyle="1" w:styleId="TitreobjetPagedecouverture">
    <w:name w:val="Titre objet (Page de couverture)"/>
    <w:basedOn w:val="Titreobjet"/>
    <w:next w:val="Sous-titreobjetPagedecouverture"/>
  </w:style>
  <w:style w:type="paragraph" w:styleId="TOC1">
    <w:name w:val="toc 1"/>
    <w:basedOn w:val="Normal"/>
    <w:next w:val="Normal"/>
    <w:uiPriority w:val="39"/>
    <w:pPr>
      <w:tabs>
        <w:tab w:val="right" w:leader="dot" w:pos="9071"/>
      </w:tabs>
      <w:spacing w:before="60"/>
      <w:ind w:left="850" w:hanging="850"/>
      <w:jc w:val="left"/>
    </w:pPr>
  </w:style>
  <w:style w:type="paragraph" w:styleId="TOC2">
    <w:name w:val="toc 2"/>
    <w:basedOn w:val="Normal"/>
    <w:next w:val="Normal"/>
    <w:uiPriority w:val="39"/>
    <w:pPr>
      <w:tabs>
        <w:tab w:val="right" w:leader="dot" w:pos="9071"/>
      </w:tabs>
      <w:spacing w:before="60"/>
      <w:ind w:left="850" w:hanging="850"/>
      <w:jc w:val="left"/>
    </w:pPr>
  </w:style>
  <w:style w:type="paragraph" w:styleId="TOC3">
    <w:name w:val="toc 3"/>
    <w:basedOn w:val="Normal"/>
    <w:next w:val="Normal"/>
    <w:uiPriority w:val="39"/>
    <w:pPr>
      <w:tabs>
        <w:tab w:val="right" w:leader="dot" w:pos="9071"/>
      </w:tabs>
      <w:spacing w:before="60"/>
      <w:ind w:left="850" w:hanging="850"/>
      <w:jc w:val="left"/>
    </w:pPr>
  </w:style>
  <w:style w:type="paragraph" w:styleId="TOC4">
    <w:name w:val="toc 4"/>
    <w:basedOn w:val="Normal"/>
    <w:next w:val="Normal"/>
    <w:semiHidden/>
    <w:pPr>
      <w:tabs>
        <w:tab w:val="right" w:leader="dot" w:pos="9071"/>
      </w:tabs>
      <w:spacing w:before="60"/>
      <w:ind w:left="850" w:hanging="850"/>
      <w:jc w:val="left"/>
    </w:pPr>
  </w:style>
  <w:style w:type="paragraph" w:styleId="TOC5">
    <w:name w:val="toc 5"/>
    <w:basedOn w:val="Normal"/>
    <w:next w:val="Normal"/>
    <w:semiHidden/>
    <w:pPr>
      <w:tabs>
        <w:tab w:val="right" w:leader="dot" w:pos="9071"/>
      </w:tabs>
      <w:spacing w:before="300"/>
      <w:jc w:val="left"/>
    </w:pPr>
  </w:style>
  <w:style w:type="paragraph" w:styleId="TOC6">
    <w:name w:val="toc 6"/>
    <w:basedOn w:val="Normal"/>
    <w:next w:val="Normal"/>
    <w:semiHidden/>
    <w:pPr>
      <w:tabs>
        <w:tab w:val="right" w:leader="dot" w:pos="9071"/>
      </w:tabs>
      <w:spacing w:before="240"/>
      <w:jc w:val="left"/>
    </w:pPr>
  </w:style>
  <w:style w:type="paragraph" w:styleId="TOC7">
    <w:name w:val="toc 7"/>
    <w:basedOn w:val="Normal"/>
    <w:next w:val="Normal"/>
    <w:semiHidden/>
    <w:pPr>
      <w:tabs>
        <w:tab w:val="right" w:leader="dot" w:pos="9071"/>
      </w:tabs>
      <w:spacing w:before="180"/>
      <w:jc w:val="left"/>
    </w:pPr>
  </w:style>
  <w:style w:type="paragraph" w:styleId="TOC8">
    <w:name w:val="toc 8"/>
    <w:basedOn w:val="Normal"/>
    <w:next w:val="Normal"/>
    <w:semiHidden/>
    <w:pPr>
      <w:tabs>
        <w:tab w:val="right" w:leader="dot" w:pos="9071"/>
      </w:tabs>
      <w:jc w:val="left"/>
    </w:pPr>
  </w:style>
  <w:style w:type="paragraph" w:styleId="TOC9">
    <w:name w:val="toc 9"/>
    <w:basedOn w:val="Normal"/>
    <w:next w:val="Normal"/>
    <w:semiHidden/>
    <w:pPr>
      <w:tabs>
        <w:tab w:val="right" w:leader="dot" w:pos="9071"/>
      </w:tabs>
    </w:pPr>
  </w:style>
  <w:style w:type="paragraph" w:styleId="TOCHeading">
    <w:name w:val="TOC Heading"/>
    <w:basedOn w:val="Normal"/>
    <w:next w:val="Normal"/>
    <w:link w:val="TOCHeadingChar"/>
    <w:uiPriority w:val="39"/>
    <w:qFormat/>
    <w:pPr>
      <w:spacing w:after="240"/>
      <w:jc w:val="center"/>
    </w:pPr>
    <w:rPr>
      <w:b/>
      <w:sz w:val="28"/>
    </w:rPr>
  </w:style>
  <w:style w:type="paragraph" w:customStyle="1" w:styleId="Typeacteprincipal">
    <w:name w:val="Type acte principal"/>
    <w:basedOn w:val="Normal"/>
    <w:next w:val="Objetacteprincipal"/>
    <w:pPr>
      <w:spacing w:before="0" w:after="240"/>
      <w:jc w:val="center"/>
    </w:pPr>
    <w:rPr>
      <w:b/>
    </w:rPr>
  </w:style>
  <w:style w:type="paragraph" w:customStyle="1" w:styleId="TypeacteprincipalPagedecouverture">
    <w:name w:val="Type acte principal (Page de couverture)"/>
    <w:basedOn w:val="Typeacteprincipal"/>
    <w:next w:val="ObjetacteprincipalPagedecouverture"/>
  </w:style>
  <w:style w:type="paragraph" w:customStyle="1" w:styleId="Typedudocument">
    <w:name w:val="Type du document"/>
    <w:basedOn w:val="Normal"/>
    <w:next w:val="Titreobjet"/>
    <w:pPr>
      <w:spacing w:before="360" w:after="0"/>
      <w:jc w:val="center"/>
    </w:pPr>
    <w:rPr>
      <w:b/>
    </w:rPr>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styleId="ListBullet">
    <w:name w:val="List Bullet"/>
    <w:basedOn w:val="Normal"/>
    <w:pPr>
      <w:numPr>
        <w:numId w:val="15"/>
      </w:numPr>
    </w:pPr>
  </w:style>
  <w:style w:type="table" w:styleId="TableGrid">
    <w:name w:val="Table Grid"/>
    <w:basedOn w:val="TableNormal"/>
    <w:pPr>
      <w:spacing w:before="120" w:after="12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link w:val="BalloonText"/>
    <w:rPr>
      <w:rFonts w:ascii="Tahoma" w:hAnsi="Tahoma" w:cs="Tahoma"/>
      <w:sz w:val="16"/>
      <w:szCs w:val="16"/>
      <w:shd w:val="clear" w:color="auto" w:fill="auto"/>
      <w:lang w:eastAsia="lv-LV"/>
    </w:rPr>
  </w:style>
  <w:style w:type="paragraph" w:styleId="ListBullet2">
    <w:name w:val="List Bullet 2"/>
    <w:basedOn w:val="Normal"/>
    <w:pPr>
      <w:numPr>
        <w:numId w:val="16"/>
      </w:numPr>
    </w:pPr>
  </w:style>
  <w:style w:type="paragraph" w:styleId="ListBullet3">
    <w:name w:val="List Bullet 3"/>
    <w:basedOn w:val="Normal"/>
    <w:pPr>
      <w:numPr>
        <w:numId w:val="17"/>
      </w:numPr>
    </w:pPr>
  </w:style>
  <w:style w:type="paragraph" w:styleId="ListBullet4">
    <w:name w:val="List Bullet 4"/>
    <w:basedOn w:val="Normal"/>
    <w:pPr>
      <w:numPr>
        <w:numId w:val="18"/>
      </w:numPr>
    </w:pPr>
  </w:style>
  <w:style w:type="paragraph" w:styleId="Caption">
    <w:name w:val="caption"/>
    <w:basedOn w:val="Normal"/>
    <w:next w:val="Normal"/>
    <w:qFormat/>
    <w:rPr>
      <w:b/>
      <w:bCs/>
      <w:sz w:val="20"/>
      <w:szCs w:val="20"/>
    </w:rPr>
  </w:style>
  <w:style w:type="paragraph" w:styleId="TableofFigures">
    <w:name w:val="table of figures"/>
    <w:basedOn w:val="Normal"/>
    <w:next w:val="Normal"/>
  </w:style>
  <w:style w:type="paragraph" w:styleId="ListNumber">
    <w:name w:val="List Number"/>
    <w:basedOn w:val="Normal"/>
    <w:pPr>
      <w:numPr>
        <w:numId w:val="19"/>
      </w:numPr>
    </w:pPr>
  </w:style>
  <w:style w:type="paragraph" w:styleId="ListNumber2">
    <w:name w:val="List Number 2"/>
    <w:basedOn w:val="Normal"/>
    <w:pPr>
      <w:numPr>
        <w:numId w:val="20"/>
      </w:numPr>
    </w:pPr>
  </w:style>
  <w:style w:type="paragraph" w:styleId="ListNumber3">
    <w:name w:val="List Number 3"/>
    <w:basedOn w:val="Normal"/>
    <w:pPr>
      <w:numPr>
        <w:numId w:val="21"/>
      </w:numPr>
    </w:pPr>
  </w:style>
  <w:style w:type="paragraph" w:styleId="ListNumber4">
    <w:name w:val="List Number 4"/>
    <w:basedOn w:val="Normal"/>
    <w:pPr>
      <w:numPr>
        <w:numId w:val="22"/>
      </w:numPr>
    </w:pPr>
  </w:style>
  <w:style w:type="character" w:styleId="CommentReference">
    <w:name w:val="annotation reference"/>
    <w:rPr>
      <w:rFonts w:cs="Times New Roman"/>
      <w:sz w:val="16"/>
      <w:szCs w:val="16"/>
      <w:shd w:val="clear" w:color="auto" w:fill="auto"/>
    </w:rPr>
  </w:style>
  <w:style w:type="paragraph" w:styleId="CommentText">
    <w:name w:val="annotation text"/>
    <w:basedOn w:val="Normal"/>
    <w:link w:val="CommentTextChar"/>
    <w:rPr>
      <w:sz w:val="20"/>
      <w:szCs w:val="20"/>
    </w:rPr>
  </w:style>
  <w:style w:type="character" w:customStyle="1" w:styleId="CommentTextChar">
    <w:name w:val="Comment Text Char"/>
    <w:link w:val="CommentText"/>
    <w:rPr>
      <w:shd w:val="clear" w:color="auto" w:fill="auto"/>
      <w:lang w:eastAsia="lv-LV"/>
    </w:rPr>
  </w:style>
  <w:style w:type="paragraph" w:styleId="CommentSubject">
    <w:name w:val="annotation subject"/>
    <w:basedOn w:val="CommentText"/>
    <w:next w:val="CommentText"/>
    <w:link w:val="CommentSubjectChar"/>
    <w:rPr>
      <w:b/>
      <w:bCs/>
    </w:rPr>
  </w:style>
  <w:style w:type="character" w:customStyle="1" w:styleId="CommentSubjectChar">
    <w:name w:val="Comment Subject Char"/>
    <w:link w:val="CommentSubject"/>
    <w:rPr>
      <w:b/>
      <w:bCs/>
      <w:shd w:val="clear" w:color="auto" w:fill="auto"/>
      <w:lang w:eastAsia="lv-LV"/>
    </w:rPr>
  </w:style>
  <w:style w:type="character" w:styleId="Hyperlink">
    <w:name w:val="Hyperlink"/>
    <w:uiPriority w:val="99"/>
    <w:rPr>
      <w:rFonts w:cs="Times New Roman"/>
      <w:color w:val="0000FF"/>
      <w:u w:val="single"/>
      <w:shd w:val="clear" w:color="auto" w:fill="auto"/>
    </w:rPr>
  </w:style>
  <w:style w:type="paragraph" w:customStyle="1" w:styleId="Default">
    <w:name w:val="Default"/>
    <w:pPr>
      <w:autoSpaceDE w:val="0"/>
      <w:autoSpaceDN w:val="0"/>
      <w:adjustRightInd w:val="0"/>
    </w:pPr>
    <w:rPr>
      <w:color w:val="000000"/>
      <w:sz w:val="24"/>
      <w:szCs w:val="24"/>
    </w:rPr>
  </w:style>
  <w:style w:type="paragraph" w:customStyle="1" w:styleId="FooterCoverPage">
    <w:name w:val="Footer Cover Page"/>
    <w:basedOn w:val="Normal"/>
    <w:link w:val="FooterCoverPageChar"/>
    <w:pPr>
      <w:tabs>
        <w:tab w:val="center" w:pos="4535"/>
        <w:tab w:val="right" w:pos="9071"/>
        <w:tab w:val="right" w:pos="9921"/>
      </w:tabs>
      <w:spacing w:before="360" w:after="0"/>
      <w:ind w:left="-850" w:right="-850"/>
      <w:jc w:val="left"/>
    </w:pPr>
  </w:style>
  <w:style w:type="character" w:customStyle="1" w:styleId="TOCHeadingChar">
    <w:name w:val="TOC Heading Char"/>
    <w:link w:val="TOCHeading"/>
    <w:uiPriority w:val="39"/>
    <w:rPr>
      <w:b/>
      <w:sz w:val="28"/>
      <w:szCs w:val="24"/>
      <w:shd w:val="clear" w:color="auto" w:fill="auto"/>
      <w:lang w:eastAsia="lv-LV"/>
    </w:rPr>
  </w:style>
  <w:style w:type="character" w:customStyle="1" w:styleId="FooterCoverPageChar">
    <w:name w:val="Footer Cover Page Char"/>
    <w:link w:val="FooterCoverPage"/>
    <w:rPr>
      <w:sz w:val="24"/>
      <w:szCs w:val="24"/>
    </w:rPr>
  </w:style>
  <w:style w:type="paragraph" w:customStyle="1" w:styleId="HeaderCoverPage">
    <w:name w:val="Header Cover Page"/>
    <w:basedOn w:val="Normal"/>
    <w:link w:val="HeaderCoverPageChar"/>
    <w:pPr>
      <w:tabs>
        <w:tab w:val="center" w:pos="4535"/>
        <w:tab w:val="right" w:pos="9071"/>
      </w:tabs>
      <w:spacing w:before="0"/>
    </w:pPr>
  </w:style>
  <w:style w:type="character" w:customStyle="1" w:styleId="HeaderCoverPageChar">
    <w:name w:val="Header Cover Page Char"/>
    <w:link w:val="HeaderCoverPage"/>
    <w:rPr>
      <w:sz w:val="24"/>
      <w:szCs w:val="24"/>
    </w:rPr>
  </w:style>
  <w:style w:type="character" w:customStyle="1" w:styleId="FootnoteTextChar">
    <w:name w:val="Footnote Text Char"/>
    <w:link w:val="FootnoteText"/>
    <w:semiHidden/>
    <w:rPr>
      <w:lang w:eastAsia="lv-LV"/>
    </w:rPr>
  </w:style>
  <w:style w:type="character" w:customStyle="1" w:styleId="Heading4Char">
    <w:name w:val="Heading 4 Char"/>
    <w:link w:val="Heading4"/>
    <w:rPr>
      <w:bCs/>
      <w:sz w:val="24"/>
      <w:szCs w:val="28"/>
      <w:lang w:eastAsia="lv-LV"/>
    </w:rPr>
  </w:style>
  <w:style w:type="character" w:customStyle="1" w:styleId="FooterChar">
    <w:name w:val="Footer Char"/>
    <w:link w:val="Footer"/>
    <w:uiPriority w:val="99"/>
    <w:rPr>
      <w:sz w:val="24"/>
      <w:szCs w:val="24"/>
      <w:lang w:eastAsia="lv-LV"/>
    </w:rPr>
  </w:style>
  <w:style w:type="paragraph" w:styleId="Revision">
    <w:name w:val="Revision"/>
    <w:hidden/>
    <w:uiPriority w:val="99"/>
    <w:semiHidden/>
    <w:rPr>
      <w:sz w:val="24"/>
      <w:szCs w:val="24"/>
    </w:rPr>
  </w:style>
  <w:style w:type="character" w:customStyle="1" w:styleId="Heading3Char">
    <w:name w:val="Heading 3 Char"/>
    <w:link w:val="Heading3"/>
    <w:rPr>
      <w:bCs/>
      <w:i/>
      <w:sz w:val="24"/>
      <w:szCs w:val="26"/>
      <w:lang w:eastAsia="lv-LV"/>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v-LV" w:eastAsia="lv-LV" w:bidi="lv-LV"/>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er" w:uiPriority="99"/>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pPr>
      <w:spacing w:before="120" w:after="120"/>
      <w:jc w:val="both"/>
    </w:pPr>
    <w:rPr>
      <w:sz w:val="24"/>
      <w:szCs w:val="24"/>
    </w:rPr>
  </w:style>
  <w:style w:type="paragraph" w:styleId="Heading1">
    <w:name w:val="heading 1"/>
    <w:basedOn w:val="Normal"/>
    <w:next w:val="Normal"/>
    <w:qFormat/>
    <w:pPr>
      <w:keepNext/>
      <w:numPr>
        <w:numId w:val="24"/>
      </w:numPr>
      <w:spacing w:before="360"/>
      <w:outlineLvl w:val="0"/>
    </w:pPr>
    <w:rPr>
      <w:b/>
      <w:bCs/>
      <w:smallCaps/>
      <w:szCs w:val="32"/>
    </w:rPr>
  </w:style>
  <w:style w:type="paragraph" w:styleId="Heading2">
    <w:name w:val="heading 2"/>
    <w:basedOn w:val="Normal"/>
    <w:next w:val="Normal"/>
    <w:qFormat/>
    <w:pPr>
      <w:keepNext/>
      <w:numPr>
        <w:ilvl w:val="1"/>
        <w:numId w:val="24"/>
      </w:numPr>
      <w:outlineLvl w:val="1"/>
    </w:pPr>
    <w:rPr>
      <w:b/>
      <w:bCs/>
      <w:iCs/>
      <w:szCs w:val="28"/>
    </w:rPr>
  </w:style>
  <w:style w:type="paragraph" w:styleId="Heading3">
    <w:name w:val="heading 3"/>
    <w:basedOn w:val="Normal"/>
    <w:next w:val="Normal"/>
    <w:link w:val="Heading3Char"/>
    <w:autoRedefine/>
    <w:qFormat/>
    <w:pPr>
      <w:keepNext/>
      <w:numPr>
        <w:ilvl w:val="2"/>
        <w:numId w:val="24"/>
      </w:numPr>
      <w:outlineLvl w:val="2"/>
    </w:pPr>
    <w:rPr>
      <w:bCs/>
      <w:i/>
      <w:szCs w:val="26"/>
    </w:rPr>
  </w:style>
  <w:style w:type="paragraph" w:styleId="Heading4">
    <w:name w:val="heading 4"/>
    <w:basedOn w:val="Normal"/>
    <w:next w:val="Normal"/>
    <w:link w:val="Heading4Char"/>
    <w:qFormat/>
    <w:pPr>
      <w:keepNext/>
      <w:outlineLvl w:val="3"/>
    </w:pPr>
    <w:rPr>
      <w:bCs/>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ccompagnant">
    <w:name w:val="Accompagnant"/>
    <w:basedOn w:val="Normal"/>
    <w:next w:val="Normal"/>
    <w:pPr>
      <w:spacing w:before="0" w:after="240"/>
      <w:jc w:val="center"/>
    </w:pPr>
    <w:rPr>
      <w:b/>
      <w:i/>
    </w:rPr>
  </w:style>
  <w:style w:type="paragraph" w:customStyle="1" w:styleId="AccompagnantPagedecouverture">
    <w:name w:val="Accompagnant (Page de couverture)"/>
    <w:basedOn w:val="Accompagnant"/>
    <w:next w:val="Normal"/>
  </w:style>
  <w:style w:type="character" w:customStyle="1" w:styleId="Added">
    <w:name w:val="Added"/>
    <w:rPr>
      <w:b/>
      <w:u w:val="single"/>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Annexetitre">
    <w:name w:val="Annexe titre"/>
    <w:basedOn w:val="Normal"/>
    <w:next w:val="Normal"/>
    <w:pPr>
      <w:jc w:val="center"/>
    </w:pPr>
    <w:rPr>
      <w:b/>
      <w:u w:val="single"/>
    </w:rPr>
  </w:style>
  <w:style w:type="paragraph" w:customStyle="1" w:styleId="Annexetitreexpos">
    <w:name w:val="Annexe titre (exposé)"/>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Normal"/>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Bullet0">
    <w:name w:val="Bullet 0"/>
    <w:basedOn w:val="Normal"/>
    <w:pPr>
      <w:numPr>
        <w:numId w:val="1"/>
      </w:numPr>
    </w:pPr>
  </w:style>
  <w:style w:type="paragraph" w:customStyle="1" w:styleId="Bullet1">
    <w:name w:val="Bullet 1"/>
    <w:basedOn w:val="Normal"/>
    <w:pPr>
      <w:numPr>
        <w:numId w:val="2"/>
      </w:numPr>
    </w:pPr>
  </w:style>
  <w:style w:type="paragraph" w:customStyle="1" w:styleId="Bullet2">
    <w:name w:val="Bullet 2"/>
    <w:basedOn w:val="Normal"/>
    <w:pPr>
      <w:numPr>
        <w:numId w:val="3"/>
      </w:numPr>
    </w:pPr>
  </w:style>
  <w:style w:type="paragraph" w:customStyle="1" w:styleId="Bullet3">
    <w:name w:val="Bullet 3"/>
    <w:basedOn w:val="Normal"/>
    <w:pPr>
      <w:numPr>
        <w:numId w:val="4"/>
      </w:numPr>
    </w:pPr>
  </w:style>
  <w:style w:type="paragraph" w:customStyle="1" w:styleId="Bullet4">
    <w:name w:val="Bullet 4"/>
    <w:basedOn w:val="Normal"/>
    <w:pPr>
      <w:numPr>
        <w:numId w:val="5"/>
      </w:numPr>
    </w:pPr>
  </w:style>
  <w:style w:type="paragraph" w:customStyle="1" w:styleId="ChapterTitle">
    <w:name w:val="ChapterTitle"/>
    <w:basedOn w:val="Normal"/>
    <w:next w:val="Normal"/>
    <w:pPr>
      <w:keepNext/>
      <w:spacing w:after="360"/>
      <w:jc w:val="center"/>
    </w:pPr>
    <w:rPr>
      <w:b/>
      <w:sz w:val="32"/>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Normal"/>
    <w:pPr>
      <w:spacing w:before="240" w:after="240"/>
      <w:ind w:left="5103"/>
    </w:pPr>
    <w:rPr>
      <w:u w:val="single"/>
    </w:rPr>
  </w:style>
  <w:style w:type="paragraph" w:customStyle="1" w:styleId="Considrant">
    <w:name w:val="Considérant"/>
    <w:basedOn w:val="Normal"/>
    <w:pPr>
      <w:numPr>
        <w:numId w:val="6"/>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Normal"/>
    <w:pPr>
      <w:spacing w:before="360" w:after="0"/>
      <w:jc w:val="center"/>
    </w:pPr>
    <w:rPr>
      <w:b/>
    </w:rPr>
  </w:style>
  <w:style w:type="paragraph" w:customStyle="1" w:styleId="DatedadoptionPagedecouverture">
    <w:name w:val="Date d'adoption (Page de couverture)"/>
    <w:basedOn w:val="Datedadoption"/>
    <w:next w:val="Normal"/>
  </w:style>
  <w:style w:type="character" w:customStyle="1" w:styleId="Deleted">
    <w:name w:val="Deleted"/>
    <w:rPr>
      <w:strike/>
      <w:shd w:val="clear" w:color="auto" w:fill="auto"/>
    </w:rPr>
  </w:style>
  <w:style w:type="paragraph" w:customStyle="1" w:styleId="Emission">
    <w:name w:val="Emission"/>
    <w:basedOn w:val="Normal"/>
    <w:next w:val="Normal"/>
    <w:pPr>
      <w:spacing w:before="0" w:after="0"/>
      <w:ind w:left="5103"/>
      <w:jc w:val="left"/>
    </w:p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Normal"/>
    <w:pPr>
      <w:keepNext/>
      <w:spacing w:after="0"/>
    </w:pPr>
  </w:style>
  <w:style w:type="paragraph" w:customStyle="1" w:styleId="Fichefinanciretitre">
    <w:name w:val="Fiche financière titre"/>
    <w:basedOn w:val="Normal"/>
    <w:next w:val="Normal"/>
    <w:pPr>
      <w:jc w:val="center"/>
    </w:pPr>
    <w:rPr>
      <w:b/>
      <w:u w:val="single"/>
    </w:rPr>
  </w:style>
  <w:style w:type="paragraph" w:styleId="Footer">
    <w:name w:val="footer"/>
    <w:basedOn w:val="Normal"/>
    <w:link w:val="FooterChar"/>
    <w:uiPriority w:val="99"/>
    <w:pPr>
      <w:tabs>
        <w:tab w:val="center" w:pos="4535"/>
        <w:tab w:val="right" w:pos="9071"/>
        <w:tab w:val="right" w:pos="9921"/>
      </w:tabs>
      <w:spacing w:before="360" w:after="0"/>
      <w:ind w:left="-850" w:right="-850"/>
      <w:jc w:val="left"/>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uiPriority w:val="99"/>
    <w:semiHidden/>
    <w:rPr>
      <w:shd w:val="clear" w:color="auto" w:fill="auto"/>
      <w:vertAlign w:val="superscript"/>
    </w:rPr>
  </w:style>
  <w:style w:type="paragraph" w:styleId="FootnoteText">
    <w:name w:val="footnote text"/>
    <w:basedOn w:val="Normal"/>
    <w:link w:val="FootnoteTextChar"/>
    <w:semiHidden/>
    <w:pPr>
      <w:spacing w:before="0" w:after="0"/>
      <w:ind w:left="720" w:hanging="720"/>
    </w:pPr>
    <w:rPr>
      <w:sz w:val="20"/>
      <w:szCs w:val="20"/>
    </w:rPr>
  </w:style>
  <w:style w:type="paragraph" w:customStyle="1" w:styleId="Formuledadoption">
    <w:name w:val="Formule d'adoption"/>
    <w:basedOn w:val="Normal"/>
    <w:next w:val="Normal"/>
    <w:pPr>
      <w:keepNext/>
    </w:pPr>
  </w:style>
  <w:style w:type="paragraph" w:styleId="Header">
    <w:name w:val="header"/>
    <w:basedOn w:val="Normal"/>
    <w:pPr>
      <w:tabs>
        <w:tab w:val="center" w:pos="4535"/>
        <w:tab w:val="right" w:pos="9071"/>
      </w:tabs>
    </w:pPr>
  </w:style>
  <w:style w:type="paragraph" w:customStyle="1" w:styleId="HeaderLandscape">
    <w:name w:val="HeaderLandscape"/>
    <w:basedOn w:val="Normal"/>
    <w:pPr>
      <w:tabs>
        <w:tab w:val="center" w:pos="7285"/>
        <w:tab w:val="right" w:pos="14003"/>
      </w:tabs>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Normal"/>
    <w:pPr>
      <w:keepNext/>
      <w:tabs>
        <w:tab w:val="left" w:pos="4252"/>
      </w:tabs>
      <w:spacing w:before="720" w:after="0"/>
    </w:pPr>
    <w:rPr>
      <w:i/>
    </w:rPr>
  </w:style>
  <w:style w:type="paragraph" w:customStyle="1" w:styleId="Languesfaisantfoi">
    <w:name w:val="Langues faisant foi"/>
    <w:basedOn w:val="Normal"/>
    <w:next w:val="Normal"/>
    <w:pPr>
      <w:spacing w:before="360" w:after="0"/>
      <w:jc w:val="center"/>
    </w:pPr>
  </w:style>
  <w:style w:type="paragraph" w:customStyle="1" w:styleId="IntrtEEE">
    <w:name w:val="Intérêt EEE"/>
    <w:basedOn w:val="Languesfaisantfoi"/>
    <w:next w:val="Normal"/>
    <w:pPr>
      <w:spacing w:after="240"/>
    </w:pPr>
  </w:style>
  <w:style w:type="paragraph" w:customStyle="1" w:styleId="IntrtEEEPagedecouverture">
    <w:name w:val="Intérêt EEE (Page de couverture)"/>
    <w:basedOn w:val="IntrtEEE"/>
    <w:next w:val="Normal"/>
  </w:style>
  <w:style w:type="paragraph" w:customStyle="1" w:styleId="Langue">
    <w:name w:val="Langue"/>
    <w:basedOn w:val="Normal"/>
    <w:next w:val="Normal"/>
    <w:pPr>
      <w:framePr w:wrap="around" w:vAnchor="page" w:hAnchor="text" w:xAlign="center" w:y="14741"/>
      <w:spacing w:before="0" w:after="600"/>
      <w:jc w:val="center"/>
    </w:pPr>
    <w:rPr>
      <w:b/>
      <w:caps/>
    </w:rPr>
  </w:style>
  <w:style w:type="paragraph" w:customStyle="1" w:styleId="LanguesfaisantfoiPagedecouverture">
    <w:name w:val="Langues faisant foi (Page de couverture)"/>
    <w:basedOn w:val="Normal"/>
    <w:next w:val="Normal"/>
    <w:pPr>
      <w:spacing w:before="360" w:after="0"/>
      <w:jc w:val="center"/>
    </w:pPr>
  </w:style>
  <w:style w:type="paragraph" w:customStyle="1" w:styleId="ManualConsidrant">
    <w:name w:val="Manual Considérant"/>
    <w:basedOn w:val="Normal"/>
    <w:pPr>
      <w:ind w:left="709" w:hanging="709"/>
    </w:pPr>
  </w:style>
  <w:style w:type="paragraph" w:customStyle="1" w:styleId="ManualHeading1">
    <w:name w:val="Manual Heading 1"/>
    <w:basedOn w:val="Normal"/>
    <w:next w:val="Normal"/>
    <w:pPr>
      <w:keepNext/>
      <w:tabs>
        <w:tab w:val="left" w:pos="850"/>
      </w:tabs>
      <w:spacing w:before="360"/>
      <w:ind w:left="850" w:hanging="850"/>
      <w:outlineLvl w:val="0"/>
    </w:pPr>
    <w:rPr>
      <w:b/>
      <w:smallCaps/>
    </w:rPr>
  </w:style>
  <w:style w:type="paragraph" w:customStyle="1" w:styleId="ManualHeading2">
    <w:name w:val="Manual Heading 2"/>
    <w:basedOn w:val="Normal"/>
    <w:next w:val="Normal"/>
    <w:pPr>
      <w:keepNext/>
      <w:tabs>
        <w:tab w:val="left" w:pos="850"/>
      </w:tabs>
      <w:ind w:left="850" w:hanging="850"/>
      <w:outlineLvl w:val="1"/>
    </w:pPr>
    <w:rPr>
      <w:b/>
    </w:rPr>
  </w:style>
  <w:style w:type="paragraph" w:customStyle="1" w:styleId="ManualHeading3">
    <w:name w:val="Manual Heading 3"/>
    <w:basedOn w:val="Normal"/>
    <w:next w:val="Normal"/>
    <w:pPr>
      <w:keepNext/>
      <w:tabs>
        <w:tab w:val="left" w:pos="850"/>
      </w:tabs>
      <w:ind w:left="850" w:hanging="850"/>
      <w:outlineLvl w:val="2"/>
    </w:pPr>
    <w:rPr>
      <w:i/>
    </w:rPr>
  </w:style>
  <w:style w:type="paragraph" w:customStyle="1" w:styleId="ManualHeading4">
    <w:name w:val="Manual Heading 4"/>
    <w:basedOn w:val="Normal"/>
    <w:next w:val="Normal"/>
    <w:pPr>
      <w:keepNext/>
      <w:tabs>
        <w:tab w:val="left" w:pos="850"/>
      </w:tabs>
      <w:ind w:left="850" w:hanging="850"/>
      <w:outlineLvl w:val="3"/>
    </w:pPr>
  </w:style>
  <w:style w:type="paragraph" w:customStyle="1" w:styleId="ManualNumPar1">
    <w:name w:val="Manual NumPar 1"/>
    <w:basedOn w:val="Normal"/>
    <w:next w:val="Normal"/>
    <w:pPr>
      <w:ind w:left="850" w:hanging="850"/>
    </w:pPr>
  </w:style>
  <w:style w:type="paragraph" w:customStyle="1" w:styleId="ManualNumPar2">
    <w:name w:val="Manual NumPar 2"/>
    <w:basedOn w:val="Normal"/>
    <w:next w:val="Normal"/>
    <w:pPr>
      <w:ind w:left="850" w:hanging="850"/>
    </w:pPr>
  </w:style>
  <w:style w:type="paragraph" w:customStyle="1" w:styleId="ManualNumPar3">
    <w:name w:val="Manual NumPar 3"/>
    <w:basedOn w:val="Normal"/>
    <w:next w:val="Normal"/>
    <w:pPr>
      <w:ind w:left="850" w:hanging="850"/>
    </w:pPr>
  </w:style>
  <w:style w:type="paragraph" w:customStyle="1" w:styleId="ManualNumPar4">
    <w:name w:val="Manual NumPar 4"/>
    <w:basedOn w:val="Normal"/>
    <w:next w:val="Normal"/>
    <w:pPr>
      <w:ind w:left="850" w:hanging="850"/>
    </w:pPr>
  </w:style>
  <w:style w:type="character" w:customStyle="1" w:styleId="Marker">
    <w:name w:val="Marker"/>
    <w:rPr>
      <w:color w:val="0000FF"/>
      <w:shd w:val="clear" w:color="auto" w:fill="auto"/>
    </w:rPr>
  </w:style>
  <w:style w:type="character" w:customStyle="1" w:styleId="Marker1">
    <w:name w:val="Marker1"/>
    <w:rPr>
      <w:color w:val="008000"/>
      <w:shd w:val="clear" w:color="auto" w:fill="auto"/>
    </w:rPr>
  </w:style>
  <w:style w:type="character" w:customStyle="1" w:styleId="Marker2">
    <w:name w:val="Marker2"/>
    <w:rPr>
      <w:color w:val="FF0000"/>
      <w:shd w:val="clear" w:color="auto" w:fill="auto"/>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NumPar1">
    <w:name w:val="NumPar 1"/>
    <w:basedOn w:val="Normal"/>
    <w:next w:val="Normal"/>
    <w:pPr>
      <w:numPr>
        <w:numId w:val="23"/>
      </w:numPr>
    </w:pPr>
  </w:style>
  <w:style w:type="paragraph" w:customStyle="1" w:styleId="NumPar2">
    <w:name w:val="NumPar 2"/>
    <w:basedOn w:val="Normal"/>
    <w:next w:val="Normal"/>
    <w:pPr>
      <w:numPr>
        <w:ilvl w:val="1"/>
        <w:numId w:val="23"/>
      </w:numPr>
    </w:pPr>
  </w:style>
  <w:style w:type="paragraph" w:customStyle="1" w:styleId="NumPar3">
    <w:name w:val="NumPar 3"/>
    <w:basedOn w:val="Normal"/>
    <w:next w:val="Normal"/>
    <w:pPr>
      <w:numPr>
        <w:ilvl w:val="2"/>
        <w:numId w:val="23"/>
      </w:numPr>
    </w:pPr>
  </w:style>
  <w:style w:type="paragraph" w:customStyle="1" w:styleId="NumPar4">
    <w:name w:val="NumPar 4"/>
    <w:basedOn w:val="Normal"/>
    <w:next w:val="Normal"/>
    <w:pPr>
      <w:numPr>
        <w:ilvl w:val="3"/>
        <w:numId w:val="23"/>
      </w:numPr>
    </w:pPr>
  </w:style>
  <w:style w:type="paragraph" w:customStyle="1" w:styleId="Objetacteprincipal">
    <w:name w:val="Objet acte principal"/>
    <w:basedOn w:val="Normal"/>
    <w:next w:val="Normal"/>
    <w:pPr>
      <w:spacing w:before="0" w:after="360"/>
      <w:jc w:val="center"/>
    </w:pPr>
    <w:rPr>
      <w:b/>
    </w:rPr>
  </w:style>
  <w:style w:type="paragraph" w:customStyle="1" w:styleId="ObjetacteprincipalPagedecouverture">
    <w:name w:val="Objet acte principal (Page de couverture)"/>
    <w:basedOn w:val="Objetacteprincipal"/>
    <w:next w:val="Normal"/>
  </w:style>
  <w:style w:type="paragraph" w:customStyle="1" w:styleId="Objetexterne">
    <w:name w:val="Objet externe"/>
    <w:basedOn w:val="Normal"/>
    <w:next w:val="Normal"/>
    <w:rPr>
      <w:i/>
      <w:caps/>
    </w:rPr>
  </w:style>
  <w:style w:type="paragraph" w:customStyle="1" w:styleId="Pagedecouverture">
    <w:name w:val="Page de couverture"/>
    <w:basedOn w:val="Normal"/>
    <w:next w:val="Normal"/>
  </w:style>
  <w:style w:type="paragraph" w:customStyle="1" w:styleId="PartTitle">
    <w:name w:val="PartTitle"/>
    <w:basedOn w:val="Normal"/>
    <w:next w:val="ChapterTitle"/>
    <w:pPr>
      <w:keepNext/>
      <w:pageBreakBefore/>
      <w:spacing w:after="360"/>
      <w:jc w:val="center"/>
    </w:pPr>
    <w:rPr>
      <w:b/>
      <w:sz w:val="36"/>
    </w:r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Point0">
    <w:name w:val="Point 0"/>
    <w:basedOn w:val="Normal"/>
    <w:pPr>
      <w:ind w:left="850" w:hanging="850"/>
    </w:pPr>
  </w:style>
  <w:style w:type="paragraph" w:customStyle="1" w:styleId="Point0letter">
    <w:name w:val="Point 0 (letter)"/>
    <w:basedOn w:val="Normal"/>
    <w:pPr>
      <w:numPr>
        <w:ilvl w:val="1"/>
        <w:numId w:val="7"/>
      </w:numPr>
    </w:pPr>
  </w:style>
  <w:style w:type="paragraph" w:customStyle="1" w:styleId="Point0number">
    <w:name w:val="Point 0 (number)"/>
    <w:basedOn w:val="Normal"/>
    <w:pPr>
      <w:numPr>
        <w:numId w:val="7"/>
      </w:numPr>
    </w:pPr>
  </w:style>
  <w:style w:type="paragraph" w:customStyle="1" w:styleId="Point1">
    <w:name w:val="Point 1"/>
    <w:basedOn w:val="Normal"/>
    <w:pPr>
      <w:ind w:left="1417" w:hanging="567"/>
    </w:pPr>
  </w:style>
  <w:style w:type="paragraph" w:customStyle="1" w:styleId="Point1letter">
    <w:name w:val="Point 1 (letter)"/>
    <w:basedOn w:val="Normal"/>
    <w:pPr>
      <w:numPr>
        <w:ilvl w:val="3"/>
        <w:numId w:val="7"/>
      </w:numPr>
    </w:pPr>
  </w:style>
  <w:style w:type="paragraph" w:customStyle="1" w:styleId="Point1number">
    <w:name w:val="Point 1 (number)"/>
    <w:basedOn w:val="Normal"/>
    <w:pPr>
      <w:numPr>
        <w:ilvl w:val="2"/>
        <w:numId w:val="7"/>
      </w:numPr>
    </w:pPr>
  </w:style>
  <w:style w:type="paragraph" w:customStyle="1" w:styleId="Point2">
    <w:name w:val="Point 2"/>
    <w:basedOn w:val="Normal"/>
    <w:pPr>
      <w:ind w:left="1984" w:hanging="567"/>
    </w:pPr>
  </w:style>
  <w:style w:type="paragraph" w:customStyle="1" w:styleId="Point2letter">
    <w:name w:val="Point 2 (letter)"/>
    <w:basedOn w:val="Normal"/>
    <w:pPr>
      <w:numPr>
        <w:ilvl w:val="5"/>
        <w:numId w:val="7"/>
      </w:numPr>
    </w:pPr>
  </w:style>
  <w:style w:type="paragraph" w:customStyle="1" w:styleId="Point2number">
    <w:name w:val="Point 2 (number)"/>
    <w:basedOn w:val="Normal"/>
    <w:pPr>
      <w:numPr>
        <w:ilvl w:val="4"/>
        <w:numId w:val="7"/>
      </w:numPr>
    </w:pPr>
  </w:style>
  <w:style w:type="paragraph" w:customStyle="1" w:styleId="Point3">
    <w:name w:val="Point 3"/>
    <w:basedOn w:val="Normal"/>
    <w:pPr>
      <w:ind w:left="2551" w:hanging="567"/>
    </w:pPr>
  </w:style>
  <w:style w:type="paragraph" w:customStyle="1" w:styleId="Point3letter">
    <w:name w:val="Point 3 (letter)"/>
    <w:basedOn w:val="Normal"/>
    <w:pPr>
      <w:numPr>
        <w:ilvl w:val="7"/>
        <w:numId w:val="7"/>
      </w:numPr>
    </w:pPr>
  </w:style>
  <w:style w:type="paragraph" w:customStyle="1" w:styleId="Point3number">
    <w:name w:val="Point 3 (number)"/>
    <w:basedOn w:val="Normal"/>
    <w:pPr>
      <w:numPr>
        <w:ilvl w:val="6"/>
        <w:numId w:val="7"/>
      </w:numPr>
    </w:pPr>
  </w:style>
  <w:style w:type="paragraph" w:customStyle="1" w:styleId="Point4">
    <w:name w:val="Point 4"/>
    <w:basedOn w:val="Normal"/>
    <w:pPr>
      <w:ind w:left="3118" w:hanging="567"/>
    </w:pPr>
  </w:style>
  <w:style w:type="paragraph" w:customStyle="1" w:styleId="Point4letter">
    <w:name w:val="Point 4 (letter)"/>
    <w:basedOn w:val="Normal"/>
    <w:pPr>
      <w:numPr>
        <w:ilvl w:val="8"/>
        <w:numId w:val="7"/>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QuotedNumPar">
    <w:name w:val="Quoted NumPar"/>
    <w:basedOn w:val="Normal"/>
    <w:pPr>
      <w:ind w:left="1417" w:hanging="567"/>
    </w:pPr>
  </w:style>
  <w:style w:type="paragraph" w:customStyle="1" w:styleId="QuotedText">
    <w:name w:val="Quoted Text"/>
    <w:basedOn w:val="Normal"/>
    <w:pPr>
      <w:ind w:left="1417"/>
    </w:pPr>
  </w:style>
  <w:style w:type="paragraph" w:customStyle="1" w:styleId="Rfrencecroise">
    <w:name w:val="Référence croisée"/>
    <w:basedOn w:val="Normal"/>
    <w:pPr>
      <w:spacing w:before="0" w:after="0"/>
      <w:jc w:val="center"/>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Rfrenceinterinstitutionnelle">
    <w:name w:val="Référence interinstitutionnelle"/>
    <w:basedOn w:val="Normal"/>
    <w:next w:val="Normal"/>
    <w:pPr>
      <w:spacing w:before="0" w:after="0"/>
      <w:ind w:left="5103"/>
      <w:jc w:val="left"/>
    </w:pPr>
  </w:style>
  <w:style w:type="paragraph" w:customStyle="1" w:styleId="RfrenceinterinstitutionnellePagedecouverture">
    <w:name w:val="Référence interinstitutionnelle (Page de couverture)"/>
    <w:basedOn w:val="Rfrenceinterinstitutionnelle"/>
    <w:next w:val="Confidentialit"/>
  </w:style>
  <w:style w:type="paragraph" w:customStyle="1" w:styleId="Rfrenceinterne">
    <w:name w:val="Référence interne"/>
    <w:basedOn w:val="Normal"/>
    <w:next w:val="Rfrenceinterinstitutionnelle"/>
    <w:pPr>
      <w:spacing w:before="0" w:after="0"/>
      <w:ind w:left="5103"/>
      <w:jc w:val="left"/>
    </w:pPr>
  </w:style>
  <w:style w:type="paragraph" w:customStyle="1" w:styleId="SectionTitle">
    <w:name w:val="SectionTitle"/>
    <w:basedOn w:val="Normal"/>
    <w:next w:val="Heading1"/>
    <w:pPr>
      <w:keepNext/>
      <w:spacing w:after="360"/>
      <w:jc w:val="center"/>
    </w:pPr>
    <w:rPr>
      <w:b/>
      <w:smallCaps/>
      <w:sz w:val="28"/>
    </w:rPr>
  </w:style>
  <w:style w:type="paragraph" w:customStyle="1" w:styleId="Sous-titreobjet">
    <w:name w:val="Sous-titre objet"/>
    <w:basedOn w:val="Normal"/>
    <w:pPr>
      <w:spacing w:before="0" w:after="0"/>
      <w:jc w:val="center"/>
    </w:pPr>
    <w:rPr>
      <w:b/>
    </w:rPr>
  </w:style>
  <w:style w:type="paragraph" w:customStyle="1" w:styleId="Sous-titreobjetPagedecouverture">
    <w:name w:val="Sous-titre objet (Page de couverture)"/>
    <w:basedOn w:val="Sous-titreobjet"/>
  </w:style>
  <w:style w:type="paragraph" w:customStyle="1" w:styleId="Statut">
    <w:name w:val="Statut"/>
    <w:basedOn w:val="Normal"/>
    <w:next w:val="Normal"/>
    <w:pPr>
      <w:spacing w:before="360" w:after="0"/>
      <w:jc w:val="center"/>
    </w:pPr>
  </w:style>
  <w:style w:type="paragraph" w:customStyle="1" w:styleId="StatutPagedecouverture">
    <w:name w:val="Statut (Page de couverture)"/>
    <w:basedOn w:val="Statut"/>
    <w:next w:val="Normal"/>
  </w:style>
  <w:style w:type="paragraph" w:customStyle="1" w:styleId="Supertitre">
    <w:name w:val="Supertitre"/>
    <w:basedOn w:val="Normal"/>
    <w:next w:val="Normal"/>
    <w:pPr>
      <w:spacing w:before="0" w:after="600"/>
      <w:jc w:val="center"/>
    </w:pPr>
    <w:rPr>
      <w:b/>
    </w:rPr>
  </w:style>
  <w:style w:type="paragraph" w:customStyle="1" w:styleId="TableTitle">
    <w:name w:val="Table Title"/>
    <w:basedOn w:val="Normal"/>
    <w:next w:val="Normal"/>
    <w:pPr>
      <w:jc w:val="center"/>
    </w:pPr>
    <w:rPr>
      <w:b/>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Tiret0">
    <w:name w:val="Tiret 0"/>
    <w:basedOn w:val="Point0"/>
    <w:pPr>
      <w:numPr>
        <w:numId w:val="8"/>
      </w:numPr>
    </w:pPr>
  </w:style>
  <w:style w:type="paragraph" w:customStyle="1" w:styleId="Tiret1">
    <w:name w:val="Tiret 1"/>
    <w:basedOn w:val="Point1"/>
    <w:pPr>
      <w:numPr>
        <w:numId w:val="9"/>
      </w:numPr>
    </w:pPr>
  </w:style>
  <w:style w:type="paragraph" w:customStyle="1" w:styleId="Tiret2">
    <w:name w:val="Tiret 2"/>
    <w:basedOn w:val="Point2"/>
    <w:pPr>
      <w:numPr>
        <w:numId w:val="10"/>
      </w:numPr>
    </w:pPr>
  </w:style>
  <w:style w:type="paragraph" w:customStyle="1" w:styleId="Tiret3">
    <w:name w:val="Tiret 3"/>
    <w:basedOn w:val="Point3"/>
    <w:pPr>
      <w:numPr>
        <w:numId w:val="11"/>
      </w:numPr>
    </w:pPr>
  </w:style>
  <w:style w:type="paragraph" w:customStyle="1" w:styleId="Tiret4">
    <w:name w:val="Tiret 4"/>
    <w:basedOn w:val="Point4"/>
    <w:pPr>
      <w:numPr>
        <w:numId w:val="12"/>
      </w:numP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Sous-titreobjet"/>
    <w:pPr>
      <w:spacing w:before="360" w:after="360"/>
      <w:jc w:val="center"/>
    </w:pPr>
    <w:rPr>
      <w:b/>
    </w:rPr>
  </w:style>
  <w:style w:type="paragraph" w:customStyle="1" w:styleId="TitreobjetPagedecouverture">
    <w:name w:val="Titre objet (Page de couverture)"/>
    <w:basedOn w:val="Titreobjet"/>
    <w:next w:val="Sous-titreobjetPagedecouverture"/>
  </w:style>
  <w:style w:type="paragraph" w:styleId="TOC1">
    <w:name w:val="toc 1"/>
    <w:basedOn w:val="Normal"/>
    <w:next w:val="Normal"/>
    <w:uiPriority w:val="39"/>
    <w:pPr>
      <w:tabs>
        <w:tab w:val="right" w:leader="dot" w:pos="9071"/>
      </w:tabs>
      <w:spacing w:before="60"/>
      <w:ind w:left="850" w:hanging="850"/>
      <w:jc w:val="left"/>
    </w:pPr>
  </w:style>
  <w:style w:type="paragraph" w:styleId="TOC2">
    <w:name w:val="toc 2"/>
    <w:basedOn w:val="Normal"/>
    <w:next w:val="Normal"/>
    <w:uiPriority w:val="39"/>
    <w:pPr>
      <w:tabs>
        <w:tab w:val="right" w:leader="dot" w:pos="9071"/>
      </w:tabs>
      <w:spacing w:before="60"/>
      <w:ind w:left="850" w:hanging="850"/>
      <w:jc w:val="left"/>
    </w:pPr>
  </w:style>
  <w:style w:type="paragraph" w:styleId="TOC3">
    <w:name w:val="toc 3"/>
    <w:basedOn w:val="Normal"/>
    <w:next w:val="Normal"/>
    <w:uiPriority w:val="39"/>
    <w:pPr>
      <w:tabs>
        <w:tab w:val="right" w:leader="dot" w:pos="9071"/>
      </w:tabs>
      <w:spacing w:before="60"/>
      <w:ind w:left="850" w:hanging="850"/>
      <w:jc w:val="left"/>
    </w:pPr>
  </w:style>
  <w:style w:type="paragraph" w:styleId="TOC4">
    <w:name w:val="toc 4"/>
    <w:basedOn w:val="Normal"/>
    <w:next w:val="Normal"/>
    <w:semiHidden/>
    <w:pPr>
      <w:tabs>
        <w:tab w:val="right" w:leader="dot" w:pos="9071"/>
      </w:tabs>
      <w:spacing w:before="60"/>
      <w:ind w:left="850" w:hanging="850"/>
      <w:jc w:val="left"/>
    </w:pPr>
  </w:style>
  <w:style w:type="paragraph" w:styleId="TOC5">
    <w:name w:val="toc 5"/>
    <w:basedOn w:val="Normal"/>
    <w:next w:val="Normal"/>
    <w:semiHidden/>
    <w:pPr>
      <w:tabs>
        <w:tab w:val="right" w:leader="dot" w:pos="9071"/>
      </w:tabs>
      <w:spacing w:before="300"/>
      <w:jc w:val="left"/>
    </w:pPr>
  </w:style>
  <w:style w:type="paragraph" w:styleId="TOC6">
    <w:name w:val="toc 6"/>
    <w:basedOn w:val="Normal"/>
    <w:next w:val="Normal"/>
    <w:semiHidden/>
    <w:pPr>
      <w:tabs>
        <w:tab w:val="right" w:leader="dot" w:pos="9071"/>
      </w:tabs>
      <w:spacing w:before="240"/>
      <w:jc w:val="left"/>
    </w:pPr>
  </w:style>
  <w:style w:type="paragraph" w:styleId="TOC7">
    <w:name w:val="toc 7"/>
    <w:basedOn w:val="Normal"/>
    <w:next w:val="Normal"/>
    <w:semiHidden/>
    <w:pPr>
      <w:tabs>
        <w:tab w:val="right" w:leader="dot" w:pos="9071"/>
      </w:tabs>
      <w:spacing w:before="180"/>
      <w:jc w:val="left"/>
    </w:pPr>
  </w:style>
  <w:style w:type="paragraph" w:styleId="TOC8">
    <w:name w:val="toc 8"/>
    <w:basedOn w:val="Normal"/>
    <w:next w:val="Normal"/>
    <w:semiHidden/>
    <w:pPr>
      <w:tabs>
        <w:tab w:val="right" w:leader="dot" w:pos="9071"/>
      </w:tabs>
      <w:jc w:val="left"/>
    </w:pPr>
  </w:style>
  <w:style w:type="paragraph" w:styleId="TOC9">
    <w:name w:val="toc 9"/>
    <w:basedOn w:val="Normal"/>
    <w:next w:val="Normal"/>
    <w:semiHidden/>
    <w:pPr>
      <w:tabs>
        <w:tab w:val="right" w:leader="dot" w:pos="9071"/>
      </w:tabs>
    </w:pPr>
  </w:style>
  <w:style w:type="paragraph" w:styleId="TOCHeading">
    <w:name w:val="TOC Heading"/>
    <w:basedOn w:val="Normal"/>
    <w:next w:val="Normal"/>
    <w:link w:val="TOCHeadingChar"/>
    <w:uiPriority w:val="39"/>
    <w:qFormat/>
    <w:pPr>
      <w:spacing w:after="240"/>
      <w:jc w:val="center"/>
    </w:pPr>
    <w:rPr>
      <w:b/>
      <w:sz w:val="28"/>
    </w:rPr>
  </w:style>
  <w:style w:type="paragraph" w:customStyle="1" w:styleId="Typeacteprincipal">
    <w:name w:val="Type acte principal"/>
    <w:basedOn w:val="Normal"/>
    <w:next w:val="Objetacteprincipal"/>
    <w:pPr>
      <w:spacing w:before="0" w:after="240"/>
      <w:jc w:val="center"/>
    </w:pPr>
    <w:rPr>
      <w:b/>
    </w:rPr>
  </w:style>
  <w:style w:type="paragraph" w:customStyle="1" w:styleId="TypeacteprincipalPagedecouverture">
    <w:name w:val="Type acte principal (Page de couverture)"/>
    <w:basedOn w:val="Typeacteprincipal"/>
    <w:next w:val="ObjetacteprincipalPagedecouverture"/>
  </w:style>
  <w:style w:type="paragraph" w:customStyle="1" w:styleId="Typedudocument">
    <w:name w:val="Type du document"/>
    <w:basedOn w:val="Normal"/>
    <w:next w:val="Titreobjet"/>
    <w:pPr>
      <w:spacing w:before="360" w:after="0"/>
      <w:jc w:val="center"/>
    </w:pPr>
    <w:rPr>
      <w:b/>
    </w:rPr>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styleId="ListBullet">
    <w:name w:val="List Bullet"/>
    <w:basedOn w:val="Normal"/>
    <w:pPr>
      <w:numPr>
        <w:numId w:val="15"/>
      </w:numPr>
    </w:pPr>
  </w:style>
  <w:style w:type="table" w:styleId="TableGrid">
    <w:name w:val="Table Grid"/>
    <w:basedOn w:val="TableNormal"/>
    <w:pPr>
      <w:spacing w:before="120" w:after="12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link w:val="BalloonText"/>
    <w:rPr>
      <w:rFonts w:ascii="Tahoma" w:hAnsi="Tahoma" w:cs="Tahoma"/>
      <w:sz w:val="16"/>
      <w:szCs w:val="16"/>
      <w:shd w:val="clear" w:color="auto" w:fill="auto"/>
      <w:lang w:eastAsia="lv-LV"/>
    </w:rPr>
  </w:style>
  <w:style w:type="paragraph" w:styleId="ListBullet2">
    <w:name w:val="List Bullet 2"/>
    <w:basedOn w:val="Normal"/>
    <w:pPr>
      <w:numPr>
        <w:numId w:val="16"/>
      </w:numPr>
    </w:pPr>
  </w:style>
  <w:style w:type="paragraph" w:styleId="ListBullet3">
    <w:name w:val="List Bullet 3"/>
    <w:basedOn w:val="Normal"/>
    <w:pPr>
      <w:numPr>
        <w:numId w:val="17"/>
      </w:numPr>
    </w:pPr>
  </w:style>
  <w:style w:type="paragraph" w:styleId="ListBullet4">
    <w:name w:val="List Bullet 4"/>
    <w:basedOn w:val="Normal"/>
    <w:pPr>
      <w:numPr>
        <w:numId w:val="18"/>
      </w:numPr>
    </w:pPr>
  </w:style>
  <w:style w:type="paragraph" w:styleId="Caption">
    <w:name w:val="caption"/>
    <w:basedOn w:val="Normal"/>
    <w:next w:val="Normal"/>
    <w:qFormat/>
    <w:rPr>
      <w:b/>
      <w:bCs/>
      <w:sz w:val="20"/>
      <w:szCs w:val="20"/>
    </w:rPr>
  </w:style>
  <w:style w:type="paragraph" w:styleId="TableofFigures">
    <w:name w:val="table of figures"/>
    <w:basedOn w:val="Normal"/>
    <w:next w:val="Normal"/>
  </w:style>
  <w:style w:type="paragraph" w:styleId="ListNumber">
    <w:name w:val="List Number"/>
    <w:basedOn w:val="Normal"/>
    <w:pPr>
      <w:numPr>
        <w:numId w:val="19"/>
      </w:numPr>
    </w:pPr>
  </w:style>
  <w:style w:type="paragraph" w:styleId="ListNumber2">
    <w:name w:val="List Number 2"/>
    <w:basedOn w:val="Normal"/>
    <w:pPr>
      <w:numPr>
        <w:numId w:val="20"/>
      </w:numPr>
    </w:pPr>
  </w:style>
  <w:style w:type="paragraph" w:styleId="ListNumber3">
    <w:name w:val="List Number 3"/>
    <w:basedOn w:val="Normal"/>
    <w:pPr>
      <w:numPr>
        <w:numId w:val="21"/>
      </w:numPr>
    </w:pPr>
  </w:style>
  <w:style w:type="paragraph" w:styleId="ListNumber4">
    <w:name w:val="List Number 4"/>
    <w:basedOn w:val="Normal"/>
    <w:pPr>
      <w:numPr>
        <w:numId w:val="22"/>
      </w:numPr>
    </w:pPr>
  </w:style>
  <w:style w:type="character" w:styleId="CommentReference">
    <w:name w:val="annotation reference"/>
    <w:rPr>
      <w:rFonts w:cs="Times New Roman"/>
      <w:sz w:val="16"/>
      <w:szCs w:val="16"/>
      <w:shd w:val="clear" w:color="auto" w:fill="auto"/>
    </w:rPr>
  </w:style>
  <w:style w:type="paragraph" w:styleId="CommentText">
    <w:name w:val="annotation text"/>
    <w:basedOn w:val="Normal"/>
    <w:link w:val="CommentTextChar"/>
    <w:rPr>
      <w:sz w:val="20"/>
      <w:szCs w:val="20"/>
    </w:rPr>
  </w:style>
  <w:style w:type="character" w:customStyle="1" w:styleId="CommentTextChar">
    <w:name w:val="Comment Text Char"/>
    <w:link w:val="CommentText"/>
    <w:rPr>
      <w:shd w:val="clear" w:color="auto" w:fill="auto"/>
      <w:lang w:eastAsia="lv-LV"/>
    </w:rPr>
  </w:style>
  <w:style w:type="paragraph" w:styleId="CommentSubject">
    <w:name w:val="annotation subject"/>
    <w:basedOn w:val="CommentText"/>
    <w:next w:val="CommentText"/>
    <w:link w:val="CommentSubjectChar"/>
    <w:rPr>
      <w:b/>
      <w:bCs/>
    </w:rPr>
  </w:style>
  <w:style w:type="character" w:customStyle="1" w:styleId="CommentSubjectChar">
    <w:name w:val="Comment Subject Char"/>
    <w:link w:val="CommentSubject"/>
    <w:rPr>
      <w:b/>
      <w:bCs/>
      <w:shd w:val="clear" w:color="auto" w:fill="auto"/>
      <w:lang w:eastAsia="lv-LV"/>
    </w:rPr>
  </w:style>
  <w:style w:type="character" w:styleId="Hyperlink">
    <w:name w:val="Hyperlink"/>
    <w:uiPriority w:val="99"/>
    <w:rPr>
      <w:rFonts w:cs="Times New Roman"/>
      <w:color w:val="0000FF"/>
      <w:u w:val="single"/>
      <w:shd w:val="clear" w:color="auto" w:fill="auto"/>
    </w:rPr>
  </w:style>
  <w:style w:type="paragraph" w:customStyle="1" w:styleId="Default">
    <w:name w:val="Default"/>
    <w:pPr>
      <w:autoSpaceDE w:val="0"/>
      <w:autoSpaceDN w:val="0"/>
      <w:adjustRightInd w:val="0"/>
    </w:pPr>
    <w:rPr>
      <w:color w:val="000000"/>
      <w:sz w:val="24"/>
      <w:szCs w:val="24"/>
    </w:rPr>
  </w:style>
  <w:style w:type="paragraph" w:customStyle="1" w:styleId="FooterCoverPage">
    <w:name w:val="Footer Cover Page"/>
    <w:basedOn w:val="Normal"/>
    <w:link w:val="FooterCoverPageChar"/>
    <w:pPr>
      <w:tabs>
        <w:tab w:val="center" w:pos="4535"/>
        <w:tab w:val="right" w:pos="9071"/>
        <w:tab w:val="right" w:pos="9921"/>
      </w:tabs>
      <w:spacing w:before="360" w:after="0"/>
      <w:ind w:left="-850" w:right="-850"/>
      <w:jc w:val="left"/>
    </w:pPr>
  </w:style>
  <w:style w:type="character" w:customStyle="1" w:styleId="TOCHeadingChar">
    <w:name w:val="TOC Heading Char"/>
    <w:link w:val="TOCHeading"/>
    <w:uiPriority w:val="39"/>
    <w:rPr>
      <w:b/>
      <w:sz w:val="28"/>
      <w:szCs w:val="24"/>
      <w:shd w:val="clear" w:color="auto" w:fill="auto"/>
      <w:lang w:eastAsia="lv-LV"/>
    </w:rPr>
  </w:style>
  <w:style w:type="character" w:customStyle="1" w:styleId="FooterCoverPageChar">
    <w:name w:val="Footer Cover Page Char"/>
    <w:link w:val="FooterCoverPage"/>
    <w:rPr>
      <w:sz w:val="24"/>
      <w:szCs w:val="24"/>
    </w:rPr>
  </w:style>
  <w:style w:type="paragraph" w:customStyle="1" w:styleId="HeaderCoverPage">
    <w:name w:val="Header Cover Page"/>
    <w:basedOn w:val="Normal"/>
    <w:link w:val="HeaderCoverPageChar"/>
    <w:pPr>
      <w:tabs>
        <w:tab w:val="center" w:pos="4535"/>
        <w:tab w:val="right" w:pos="9071"/>
      </w:tabs>
      <w:spacing w:before="0"/>
    </w:pPr>
  </w:style>
  <w:style w:type="character" w:customStyle="1" w:styleId="HeaderCoverPageChar">
    <w:name w:val="Header Cover Page Char"/>
    <w:link w:val="HeaderCoverPage"/>
    <w:rPr>
      <w:sz w:val="24"/>
      <w:szCs w:val="24"/>
    </w:rPr>
  </w:style>
  <w:style w:type="character" w:customStyle="1" w:styleId="FootnoteTextChar">
    <w:name w:val="Footnote Text Char"/>
    <w:link w:val="FootnoteText"/>
    <w:semiHidden/>
    <w:rPr>
      <w:lang w:eastAsia="lv-LV"/>
    </w:rPr>
  </w:style>
  <w:style w:type="character" w:customStyle="1" w:styleId="Heading4Char">
    <w:name w:val="Heading 4 Char"/>
    <w:link w:val="Heading4"/>
    <w:rPr>
      <w:bCs/>
      <w:sz w:val="24"/>
      <w:szCs w:val="28"/>
      <w:lang w:eastAsia="lv-LV"/>
    </w:rPr>
  </w:style>
  <w:style w:type="character" w:customStyle="1" w:styleId="FooterChar">
    <w:name w:val="Footer Char"/>
    <w:link w:val="Footer"/>
    <w:uiPriority w:val="99"/>
    <w:rPr>
      <w:sz w:val="24"/>
      <w:szCs w:val="24"/>
      <w:lang w:eastAsia="lv-LV"/>
    </w:rPr>
  </w:style>
  <w:style w:type="paragraph" w:styleId="Revision">
    <w:name w:val="Revision"/>
    <w:hidden/>
    <w:uiPriority w:val="99"/>
    <w:semiHidden/>
    <w:rPr>
      <w:sz w:val="24"/>
      <w:szCs w:val="24"/>
    </w:rPr>
  </w:style>
  <w:style w:type="character" w:customStyle="1" w:styleId="Heading3Char">
    <w:name w:val="Heading 3 Char"/>
    <w:link w:val="Heading3"/>
    <w:rPr>
      <w:bCs/>
      <w:i/>
      <w:sz w:val="24"/>
      <w:szCs w:val="26"/>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062315">
      <w:bodyDiv w:val="1"/>
      <w:marLeft w:val="0"/>
      <w:marRight w:val="0"/>
      <w:marTop w:val="0"/>
      <w:marBottom w:val="0"/>
      <w:divBdr>
        <w:top w:val="none" w:sz="0" w:space="0" w:color="auto"/>
        <w:left w:val="none" w:sz="0" w:space="0" w:color="auto"/>
        <w:bottom w:val="none" w:sz="0" w:space="0" w:color="auto"/>
        <w:right w:val="none" w:sz="0" w:space="0" w:color="auto"/>
      </w:divBdr>
    </w:div>
    <w:div w:id="154536141">
      <w:bodyDiv w:val="1"/>
      <w:marLeft w:val="0"/>
      <w:marRight w:val="0"/>
      <w:marTop w:val="0"/>
      <w:marBottom w:val="0"/>
      <w:divBdr>
        <w:top w:val="none" w:sz="0" w:space="0" w:color="auto"/>
        <w:left w:val="none" w:sz="0" w:space="0" w:color="auto"/>
        <w:bottom w:val="none" w:sz="0" w:space="0" w:color="auto"/>
        <w:right w:val="none" w:sz="0" w:space="0" w:color="auto"/>
      </w:divBdr>
    </w:div>
    <w:div w:id="287206346">
      <w:bodyDiv w:val="1"/>
      <w:marLeft w:val="0"/>
      <w:marRight w:val="0"/>
      <w:marTop w:val="0"/>
      <w:marBottom w:val="0"/>
      <w:divBdr>
        <w:top w:val="none" w:sz="0" w:space="0" w:color="auto"/>
        <w:left w:val="none" w:sz="0" w:space="0" w:color="auto"/>
        <w:bottom w:val="none" w:sz="0" w:space="0" w:color="auto"/>
        <w:right w:val="none" w:sz="0" w:space="0" w:color="auto"/>
      </w:divBdr>
    </w:div>
    <w:div w:id="571963191">
      <w:bodyDiv w:val="1"/>
      <w:marLeft w:val="0"/>
      <w:marRight w:val="0"/>
      <w:marTop w:val="0"/>
      <w:marBottom w:val="0"/>
      <w:divBdr>
        <w:top w:val="none" w:sz="0" w:space="0" w:color="auto"/>
        <w:left w:val="none" w:sz="0" w:space="0" w:color="auto"/>
        <w:bottom w:val="none" w:sz="0" w:space="0" w:color="auto"/>
        <w:right w:val="none" w:sz="0" w:space="0" w:color="auto"/>
      </w:divBdr>
    </w:div>
    <w:div w:id="593324760">
      <w:bodyDiv w:val="1"/>
      <w:marLeft w:val="0"/>
      <w:marRight w:val="0"/>
      <w:marTop w:val="0"/>
      <w:marBottom w:val="0"/>
      <w:divBdr>
        <w:top w:val="none" w:sz="0" w:space="0" w:color="auto"/>
        <w:left w:val="none" w:sz="0" w:space="0" w:color="auto"/>
        <w:bottom w:val="none" w:sz="0" w:space="0" w:color="auto"/>
        <w:right w:val="none" w:sz="0" w:space="0" w:color="auto"/>
      </w:divBdr>
    </w:div>
    <w:div w:id="1042828534">
      <w:bodyDiv w:val="1"/>
      <w:marLeft w:val="0"/>
      <w:marRight w:val="0"/>
      <w:marTop w:val="0"/>
      <w:marBottom w:val="0"/>
      <w:divBdr>
        <w:top w:val="none" w:sz="0" w:space="0" w:color="auto"/>
        <w:left w:val="none" w:sz="0" w:space="0" w:color="auto"/>
        <w:bottom w:val="none" w:sz="0" w:space="0" w:color="auto"/>
        <w:right w:val="none" w:sz="0" w:space="0" w:color="auto"/>
      </w:divBdr>
    </w:div>
    <w:div w:id="1199899282">
      <w:bodyDiv w:val="1"/>
      <w:marLeft w:val="0"/>
      <w:marRight w:val="0"/>
      <w:marTop w:val="0"/>
      <w:marBottom w:val="0"/>
      <w:divBdr>
        <w:top w:val="none" w:sz="0" w:space="0" w:color="auto"/>
        <w:left w:val="none" w:sz="0" w:space="0" w:color="auto"/>
        <w:bottom w:val="none" w:sz="0" w:space="0" w:color="auto"/>
        <w:right w:val="none" w:sz="0" w:space="0" w:color="auto"/>
      </w:divBdr>
    </w:div>
    <w:div w:id="1219515736">
      <w:bodyDiv w:val="1"/>
      <w:marLeft w:val="0"/>
      <w:marRight w:val="0"/>
      <w:marTop w:val="0"/>
      <w:marBottom w:val="0"/>
      <w:divBdr>
        <w:top w:val="none" w:sz="0" w:space="0" w:color="auto"/>
        <w:left w:val="none" w:sz="0" w:space="0" w:color="auto"/>
        <w:bottom w:val="none" w:sz="0" w:space="0" w:color="auto"/>
        <w:right w:val="none" w:sz="0" w:space="0" w:color="auto"/>
      </w:divBdr>
    </w:div>
    <w:div w:id="1228687047">
      <w:bodyDiv w:val="1"/>
      <w:marLeft w:val="0"/>
      <w:marRight w:val="0"/>
      <w:marTop w:val="0"/>
      <w:marBottom w:val="0"/>
      <w:divBdr>
        <w:top w:val="none" w:sz="0" w:space="0" w:color="auto"/>
        <w:left w:val="none" w:sz="0" w:space="0" w:color="auto"/>
        <w:bottom w:val="none" w:sz="0" w:space="0" w:color="auto"/>
        <w:right w:val="none" w:sz="0" w:space="0" w:color="auto"/>
      </w:divBdr>
    </w:div>
    <w:div w:id="1236281064">
      <w:bodyDiv w:val="1"/>
      <w:marLeft w:val="0"/>
      <w:marRight w:val="0"/>
      <w:marTop w:val="0"/>
      <w:marBottom w:val="0"/>
      <w:divBdr>
        <w:top w:val="none" w:sz="0" w:space="0" w:color="auto"/>
        <w:left w:val="none" w:sz="0" w:space="0" w:color="auto"/>
        <w:bottom w:val="none" w:sz="0" w:space="0" w:color="auto"/>
        <w:right w:val="none" w:sz="0" w:space="0" w:color="auto"/>
      </w:divBdr>
    </w:div>
    <w:div w:id="1283414360">
      <w:bodyDiv w:val="1"/>
      <w:marLeft w:val="0"/>
      <w:marRight w:val="0"/>
      <w:marTop w:val="0"/>
      <w:marBottom w:val="0"/>
      <w:divBdr>
        <w:top w:val="none" w:sz="0" w:space="0" w:color="auto"/>
        <w:left w:val="none" w:sz="0" w:space="0" w:color="auto"/>
        <w:bottom w:val="none" w:sz="0" w:space="0" w:color="auto"/>
        <w:right w:val="none" w:sz="0" w:space="0" w:color="auto"/>
      </w:divBdr>
    </w:div>
    <w:div w:id="1477989874">
      <w:bodyDiv w:val="1"/>
      <w:marLeft w:val="0"/>
      <w:marRight w:val="0"/>
      <w:marTop w:val="0"/>
      <w:marBottom w:val="0"/>
      <w:divBdr>
        <w:top w:val="none" w:sz="0" w:space="0" w:color="auto"/>
        <w:left w:val="none" w:sz="0" w:space="0" w:color="auto"/>
        <w:bottom w:val="none" w:sz="0" w:space="0" w:color="auto"/>
        <w:right w:val="none" w:sz="0" w:space="0" w:color="auto"/>
      </w:divBdr>
    </w:div>
    <w:div w:id="1576280807">
      <w:bodyDiv w:val="1"/>
      <w:marLeft w:val="0"/>
      <w:marRight w:val="0"/>
      <w:marTop w:val="0"/>
      <w:marBottom w:val="0"/>
      <w:divBdr>
        <w:top w:val="none" w:sz="0" w:space="0" w:color="auto"/>
        <w:left w:val="none" w:sz="0" w:space="0" w:color="auto"/>
        <w:bottom w:val="none" w:sz="0" w:space="0" w:color="auto"/>
        <w:right w:val="none" w:sz="0" w:space="0" w:color="auto"/>
      </w:divBdr>
    </w:div>
    <w:div w:id="1591739440">
      <w:bodyDiv w:val="1"/>
      <w:marLeft w:val="0"/>
      <w:marRight w:val="0"/>
      <w:marTop w:val="0"/>
      <w:marBottom w:val="0"/>
      <w:divBdr>
        <w:top w:val="none" w:sz="0" w:space="0" w:color="auto"/>
        <w:left w:val="none" w:sz="0" w:space="0" w:color="auto"/>
        <w:bottom w:val="none" w:sz="0" w:space="0" w:color="auto"/>
        <w:right w:val="none" w:sz="0" w:space="0" w:color="auto"/>
      </w:divBdr>
    </w:div>
    <w:div w:id="1611084318">
      <w:bodyDiv w:val="1"/>
      <w:marLeft w:val="0"/>
      <w:marRight w:val="0"/>
      <w:marTop w:val="0"/>
      <w:marBottom w:val="0"/>
      <w:divBdr>
        <w:top w:val="none" w:sz="0" w:space="0" w:color="auto"/>
        <w:left w:val="none" w:sz="0" w:space="0" w:color="auto"/>
        <w:bottom w:val="none" w:sz="0" w:space="0" w:color="auto"/>
        <w:right w:val="none" w:sz="0" w:space="0" w:color="auto"/>
      </w:divBdr>
    </w:div>
    <w:div w:id="1772168232">
      <w:bodyDiv w:val="1"/>
      <w:marLeft w:val="0"/>
      <w:marRight w:val="0"/>
      <w:marTop w:val="0"/>
      <w:marBottom w:val="0"/>
      <w:divBdr>
        <w:top w:val="none" w:sz="0" w:space="0" w:color="auto"/>
        <w:left w:val="none" w:sz="0" w:space="0" w:color="auto"/>
        <w:bottom w:val="none" w:sz="0" w:space="0" w:color="auto"/>
        <w:right w:val="none" w:sz="0" w:space="0" w:color="auto"/>
      </w:divBdr>
    </w:div>
    <w:div w:id="1784960793">
      <w:bodyDiv w:val="1"/>
      <w:marLeft w:val="0"/>
      <w:marRight w:val="0"/>
      <w:marTop w:val="0"/>
      <w:marBottom w:val="0"/>
      <w:divBdr>
        <w:top w:val="none" w:sz="0" w:space="0" w:color="auto"/>
        <w:left w:val="none" w:sz="0" w:space="0" w:color="auto"/>
        <w:bottom w:val="none" w:sz="0" w:space="0" w:color="auto"/>
        <w:right w:val="none" w:sz="0" w:space="0" w:color="auto"/>
      </w:divBdr>
    </w:div>
    <w:div w:id="1877502957">
      <w:bodyDiv w:val="1"/>
      <w:marLeft w:val="0"/>
      <w:marRight w:val="0"/>
      <w:marTop w:val="0"/>
      <w:marBottom w:val="0"/>
      <w:divBdr>
        <w:top w:val="none" w:sz="0" w:space="0" w:color="auto"/>
        <w:left w:val="none" w:sz="0" w:space="0" w:color="auto"/>
        <w:bottom w:val="none" w:sz="0" w:space="0" w:color="auto"/>
        <w:right w:val="none" w:sz="0" w:space="0" w:color="auto"/>
      </w:divBdr>
    </w:div>
    <w:div w:id="1882089300">
      <w:bodyDiv w:val="1"/>
      <w:marLeft w:val="0"/>
      <w:marRight w:val="0"/>
      <w:marTop w:val="0"/>
      <w:marBottom w:val="0"/>
      <w:divBdr>
        <w:top w:val="none" w:sz="0" w:space="0" w:color="auto"/>
        <w:left w:val="none" w:sz="0" w:space="0" w:color="auto"/>
        <w:bottom w:val="none" w:sz="0" w:space="0" w:color="auto"/>
        <w:right w:val="none" w:sz="0" w:space="0" w:color="auto"/>
      </w:divBdr>
    </w:div>
    <w:div w:id="1965887953">
      <w:bodyDiv w:val="1"/>
      <w:marLeft w:val="0"/>
      <w:marRight w:val="0"/>
      <w:marTop w:val="0"/>
      <w:marBottom w:val="0"/>
      <w:divBdr>
        <w:top w:val="none" w:sz="0" w:space="0" w:color="auto"/>
        <w:left w:val="none" w:sz="0" w:space="0" w:color="auto"/>
        <w:bottom w:val="none" w:sz="0" w:space="0" w:color="auto"/>
        <w:right w:val="none" w:sz="0" w:space="0" w:color="auto"/>
      </w:divBdr>
    </w:div>
    <w:div w:id="2140297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header" Target="header9.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footer" Target="footer8.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footer" Target="footer7.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header" Target="header8.xml"/><Relationship Id="rId28"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footer" Target="footer5.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 Id="rId22" Type="http://schemas.openxmlformats.org/officeDocument/2006/relationships/header" Target="header7.xml"/><Relationship Id="rId27" Type="http://schemas.openxmlformats.org/officeDocument/2006/relationships/footer" Target="footer9.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CF08F5-3161-491E-9556-D442AD2BE9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86</TotalTime>
  <Pages>12</Pages>
  <Words>2723</Words>
  <Characters>16286</Characters>
  <Application>Microsoft Office Word</Application>
  <DocSecurity>0</DocSecurity>
  <Lines>479</Lines>
  <Paragraphs>306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18703</CharactersWithSpaces>
  <SharedDoc>false</SharedDoc>
  <HLinks>
    <vt:vector size="108" baseType="variant">
      <vt:variant>
        <vt:i4>1376307</vt:i4>
      </vt:variant>
      <vt:variant>
        <vt:i4>104</vt:i4>
      </vt:variant>
      <vt:variant>
        <vt:i4>0</vt:i4>
      </vt:variant>
      <vt:variant>
        <vt:i4>5</vt:i4>
      </vt:variant>
      <vt:variant>
        <vt:lpwstr/>
      </vt:variant>
      <vt:variant>
        <vt:lpwstr>_Toc416963794</vt:lpwstr>
      </vt:variant>
      <vt:variant>
        <vt:i4>1376307</vt:i4>
      </vt:variant>
      <vt:variant>
        <vt:i4>98</vt:i4>
      </vt:variant>
      <vt:variant>
        <vt:i4>0</vt:i4>
      </vt:variant>
      <vt:variant>
        <vt:i4>5</vt:i4>
      </vt:variant>
      <vt:variant>
        <vt:lpwstr/>
      </vt:variant>
      <vt:variant>
        <vt:lpwstr>_Toc416963793</vt:lpwstr>
      </vt:variant>
      <vt:variant>
        <vt:i4>1376307</vt:i4>
      </vt:variant>
      <vt:variant>
        <vt:i4>92</vt:i4>
      </vt:variant>
      <vt:variant>
        <vt:i4>0</vt:i4>
      </vt:variant>
      <vt:variant>
        <vt:i4>5</vt:i4>
      </vt:variant>
      <vt:variant>
        <vt:lpwstr/>
      </vt:variant>
      <vt:variant>
        <vt:lpwstr>_Toc416963792</vt:lpwstr>
      </vt:variant>
      <vt:variant>
        <vt:i4>1376307</vt:i4>
      </vt:variant>
      <vt:variant>
        <vt:i4>86</vt:i4>
      </vt:variant>
      <vt:variant>
        <vt:i4>0</vt:i4>
      </vt:variant>
      <vt:variant>
        <vt:i4>5</vt:i4>
      </vt:variant>
      <vt:variant>
        <vt:lpwstr/>
      </vt:variant>
      <vt:variant>
        <vt:lpwstr>_Toc416963791</vt:lpwstr>
      </vt:variant>
      <vt:variant>
        <vt:i4>1376307</vt:i4>
      </vt:variant>
      <vt:variant>
        <vt:i4>80</vt:i4>
      </vt:variant>
      <vt:variant>
        <vt:i4>0</vt:i4>
      </vt:variant>
      <vt:variant>
        <vt:i4>5</vt:i4>
      </vt:variant>
      <vt:variant>
        <vt:lpwstr/>
      </vt:variant>
      <vt:variant>
        <vt:lpwstr>_Toc416963790</vt:lpwstr>
      </vt:variant>
      <vt:variant>
        <vt:i4>1310771</vt:i4>
      </vt:variant>
      <vt:variant>
        <vt:i4>74</vt:i4>
      </vt:variant>
      <vt:variant>
        <vt:i4>0</vt:i4>
      </vt:variant>
      <vt:variant>
        <vt:i4>5</vt:i4>
      </vt:variant>
      <vt:variant>
        <vt:lpwstr/>
      </vt:variant>
      <vt:variant>
        <vt:lpwstr>_Toc416963789</vt:lpwstr>
      </vt:variant>
      <vt:variant>
        <vt:i4>1310771</vt:i4>
      </vt:variant>
      <vt:variant>
        <vt:i4>68</vt:i4>
      </vt:variant>
      <vt:variant>
        <vt:i4>0</vt:i4>
      </vt:variant>
      <vt:variant>
        <vt:i4>5</vt:i4>
      </vt:variant>
      <vt:variant>
        <vt:lpwstr/>
      </vt:variant>
      <vt:variant>
        <vt:lpwstr>_Toc416963788</vt:lpwstr>
      </vt:variant>
      <vt:variant>
        <vt:i4>1310771</vt:i4>
      </vt:variant>
      <vt:variant>
        <vt:i4>62</vt:i4>
      </vt:variant>
      <vt:variant>
        <vt:i4>0</vt:i4>
      </vt:variant>
      <vt:variant>
        <vt:i4>5</vt:i4>
      </vt:variant>
      <vt:variant>
        <vt:lpwstr/>
      </vt:variant>
      <vt:variant>
        <vt:lpwstr>_Toc416963787</vt:lpwstr>
      </vt:variant>
      <vt:variant>
        <vt:i4>1310771</vt:i4>
      </vt:variant>
      <vt:variant>
        <vt:i4>56</vt:i4>
      </vt:variant>
      <vt:variant>
        <vt:i4>0</vt:i4>
      </vt:variant>
      <vt:variant>
        <vt:i4>5</vt:i4>
      </vt:variant>
      <vt:variant>
        <vt:lpwstr/>
      </vt:variant>
      <vt:variant>
        <vt:lpwstr>_Toc416963786</vt:lpwstr>
      </vt:variant>
      <vt:variant>
        <vt:i4>1310771</vt:i4>
      </vt:variant>
      <vt:variant>
        <vt:i4>50</vt:i4>
      </vt:variant>
      <vt:variant>
        <vt:i4>0</vt:i4>
      </vt:variant>
      <vt:variant>
        <vt:i4>5</vt:i4>
      </vt:variant>
      <vt:variant>
        <vt:lpwstr/>
      </vt:variant>
      <vt:variant>
        <vt:lpwstr>_Toc416963785</vt:lpwstr>
      </vt:variant>
      <vt:variant>
        <vt:i4>1310771</vt:i4>
      </vt:variant>
      <vt:variant>
        <vt:i4>44</vt:i4>
      </vt:variant>
      <vt:variant>
        <vt:i4>0</vt:i4>
      </vt:variant>
      <vt:variant>
        <vt:i4>5</vt:i4>
      </vt:variant>
      <vt:variant>
        <vt:lpwstr/>
      </vt:variant>
      <vt:variant>
        <vt:lpwstr>_Toc416963784</vt:lpwstr>
      </vt:variant>
      <vt:variant>
        <vt:i4>1310771</vt:i4>
      </vt:variant>
      <vt:variant>
        <vt:i4>38</vt:i4>
      </vt:variant>
      <vt:variant>
        <vt:i4>0</vt:i4>
      </vt:variant>
      <vt:variant>
        <vt:i4>5</vt:i4>
      </vt:variant>
      <vt:variant>
        <vt:lpwstr/>
      </vt:variant>
      <vt:variant>
        <vt:lpwstr>_Toc416963783</vt:lpwstr>
      </vt:variant>
      <vt:variant>
        <vt:i4>1310771</vt:i4>
      </vt:variant>
      <vt:variant>
        <vt:i4>32</vt:i4>
      </vt:variant>
      <vt:variant>
        <vt:i4>0</vt:i4>
      </vt:variant>
      <vt:variant>
        <vt:i4>5</vt:i4>
      </vt:variant>
      <vt:variant>
        <vt:lpwstr/>
      </vt:variant>
      <vt:variant>
        <vt:lpwstr>_Toc416963782</vt:lpwstr>
      </vt:variant>
      <vt:variant>
        <vt:i4>1310771</vt:i4>
      </vt:variant>
      <vt:variant>
        <vt:i4>26</vt:i4>
      </vt:variant>
      <vt:variant>
        <vt:i4>0</vt:i4>
      </vt:variant>
      <vt:variant>
        <vt:i4>5</vt:i4>
      </vt:variant>
      <vt:variant>
        <vt:lpwstr/>
      </vt:variant>
      <vt:variant>
        <vt:lpwstr>_Toc416963781</vt:lpwstr>
      </vt:variant>
      <vt:variant>
        <vt:i4>1310771</vt:i4>
      </vt:variant>
      <vt:variant>
        <vt:i4>20</vt:i4>
      </vt:variant>
      <vt:variant>
        <vt:i4>0</vt:i4>
      </vt:variant>
      <vt:variant>
        <vt:i4>5</vt:i4>
      </vt:variant>
      <vt:variant>
        <vt:lpwstr/>
      </vt:variant>
      <vt:variant>
        <vt:lpwstr>_Toc416963780</vt:lpwstr>
      </vt:variant>
      <vt:variant>
        <vt:i4>1769523</vt:i4>
      </vt:variant>
      <vt:variant>
        <vt:i4>14</vt:i4>
      </vt:variant>
      <vt:variant>
        <vt:i4>0</vt:i4>
      </vt:variant>
      <vt:variant>
        <vt:i4>5</vt:i4>
      </vt:variant>
      <vt:variant>
        <vt:lpwstr/>
      </vt:variant>
      <vt:variant>
        <vt:lpwstr>_Toc416963779</vt:lpwstr>
      </vt:variant>
      <vt:variant>
        <vt:i4>1769523</vt:i4>
      </vt:variant>
      <vt:variant>
        <vt:i4>8</vt:i4>
      </vt:variant>
      <vt:variant>
        <vt:i4>0</vt:i4>
      </vt:variant>
      <vt:variant>
        <vt:i4>5</vt:i4>
      </vt:variant>
      <vt:variant>
        <vt:lpwstr/>
      </vt:variant>
      <vt:variant>
        <vt:lpwstr>_Toc416963778</vt:lpwstr>
      </vt:variant>
      <vt:variant>
        <vt:i4>1769523</vt:i4>
      </vt:variant>
      <vt:variant>
        <vt:i4>2</vt:i4>
      </vt:variant>
      <vt:variant>
        <vt:i4>0</vt:i4>
      </vt:variant>
      <vt:variant>
        <vt:i4>5</vt:i4>
      </vt:variant>
      <vt:variant>
        <vt:lpwstr/>
      </vt:variant>
      <vt:variant>
        <vt:lpwstr>_Toc416963777</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DIGIT/A3</cp:lastModifiedBy>
  <cp:revision>22</cp:revision>
  <cp:lastPrinted>2015-06-16T13:20:00Z</cp:lastPrinted>
  <dcterms:created xsi:type="dcterms:W3CDTF">2015-07-03T07:47:00Z</dcterms:created>
  <dcterms:modified xsi:type="dcterms:W3CDTF">2015-07-16T07:32:00Z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 </vt:lpwstr>
  </property>
  <property fmtid="{D5CDD505-2E9C-101B-9397-08002B2CF9AE}" pid="3" name="Part">
    <vt:lpwstr>1</vt:lpwstr>
  </property>
  <property fmtid="{D5CDD505-2E9C-101B-9397-08002B2CF9AE}" pid="4" name="Total parts">
    <vt:lpwstr>1</vt:lpwstr>
  </property>
  <property fmtid="{D5CDD505-2E9C-101B-9397-08002B2CF9AE}" pid="5" name="DocStatus">
    <vt:lpwstr>Green</vt:lpwstr>
  </property>
</Properties>
</file>