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42CAFEA45538490C8414EC831AA21484" style="width:450.75pt;height:348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Inhalt</w:t>
      </w:r>
    </w:p>
    <w:sdt>
      <w:sdtPr>
        <w:rPr>
          <w:b w:val="0"/>
          <w:noProof/>
          <w:sz w:val="24"/>
        </w:rPr>
        <w:id w:val="798874053"/>
        <w:docPartObj>
          <w:docPartGallery w:val="Table of Contents"/>
          <w:docPartUnique/>
        </w:docPartObj>
      </w:sdtPr>
      <w:sdtEndPr>
        <w:rPr>
          <w:bCs/>
        </w:rPr>
      </w:sdtEndPr>
      <w:sdtContent>
        <w:p>
          <w:pPr>
            <w:pStyle w:val="TOCHeading"/>
            <w:rPr>
              <w:noProof/>
            </w:rPr>
          </w:pP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23680503"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Einleitung</w:t>
            </w:r>
            <w:r>
              <w:rPr>
                <w:noProof/>
                <w:webHidden/>
              </w:rPr>
              <w:tab/>
            </w:r>
            <w:r>
              <w:rPr>
                <w:noProof/>
                <w:webHidden/>
              </w:rPr>
              <w:fldChar w:fldCharType="begin"/>
            </w:r>
            <w:r>
              <w:rPr>
                <w:noProof/>
                <w:webHidden/>
              </w:rPr>
              <w:instrText xml:space="preserve"> PAGEREF _Toc423680503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23680504"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Durch den EU-Haushalt garantierte Transaktionen</w:t>
            </w:r>
            <w:r>
              <w:rPr>
                <w:noProof/>
                <w:webHidden/>
              </w:rPr>
              <w:tab/>
            </w:r>
            <w:r>
              <w:rPr>
                <w:noProof/>
                <w:webHidden/>
              </w:rPr>
              <w:fldChar w:fldCharType="begin"/>
            </w:r>
            <w:r>
              <w:rPr>
                <w:noProof/>
                <w:webHidden/>
              </w:rPr>
              <w:instrText xml:space="preserve"> PAGEREF _Toc423680504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23680505"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Entwicklungen bei den garantierten Transaktionen</w:t>
            </w:r>
            <w:r>
              <w:rPr>
                <w:noProof/>
                <w:webHidden/>
              </w:rPr>
              <w:tab/>
            </w:r>
            <w:r>
              <w:rPr>
                <w:noProof/>
                <w:webHidden/>
              </w:rPr>
              <w:fldChar w:fldCharType="begin"/>
            </w:r>
            <w:r>
              <w:rPr>
                <w:noProof/>
                <w:webHidden/>
              </w:rPr>
              <w:instrText xml:space="preserve"> PAGEREF _Toc423680505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506"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Direkt von der Kommission verwaltete Transaktionen</w:t>
            </w:r>
            <w:r>
              <w:rPr>
                <w:noProof/>
                <w:webHidden/>
              </w:rPr>
              <w:tab/>
            </w:r>
            <w:r>
              <w:rPr>
                <w:noProof/>
                <w:webHidden/>
              </w:rPr>
              <w:fldChar w:fldCharType="begin"/>
            </w:r>
            <w:r>
              <w:rPr>
                <w:noProof/>
                <w:webHidden/>
              </w:rPr>
              <w:instrText xml:space="preserve"> PAGEREF _Toc423680506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507" w:history="1">
            <w:r>
              <w:rPr>
                <w:rStyle w:val="Hyperlink"/>
                <w:noProof/>
              </w:rPr>
              <w:t>3.1.1.</w:t>
            </w:r>
            <w:r>
              <w:rPr>
                <w:rFonts w:asciiTheme="minorHAnsi" w:eastAsiaTheme="minorEastAsia" w:hAnsiTheme="minorHAnsi" w:cstheme="minorBidi"/>
                <w:noProof/>
                <w:sz w:val="22"/>
                <w:szCs w:val="22"/>
                <w:lang w:val="en-GB" w:eastAsia="en-GB" w:bidi="ar-SA"/>
              </w:rPr>
              <w:tab/>
            </w:r>
            <w:r>
              <w:rPr>
                <w:rStyle w:val="Hyperlink"/>
                <w:noProof/>
              </w:rPr>
              <w:t>Europäischer Finanzstabilisierungsmechanismus (EFSM)</w:t>
            </w:r>
            <w:r>
              <w:rPr>
                <w:noProof/>
                <w:webHidden/>
              </w:rPr>
              <w:tab/>
            </w:r>
            <w:r>
              <w:rPr>
                <w:noProof/>
                <w:webHidden/>
              </w:rPr>
              <w:fldChar w:fldCharType="begin"/>
            </w:r>
            <w:r>
              <w:rPr>
                <w:noProof/>
                <w:webHidden/>
              </w:rPr>
              <w:instrText xml:space="preserve"> PAGEREF _Toc423680507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508" w:history="1">
            <w:r>
              <w:rPr>
                <w:rStyle w:val="Hyperlink"/>
                <w:noProof/>
              </w:rPr>
              <w:t>3.1.2.</w:t>
            </w:r>
            <w:r>
              <w:rPr>
                <w:rFonts w:asciiTheme="minorHAnsi" w:eastAsiaTheme="minorEastAsia" w:hAnsiTheme="minorHAnsi" w:cstheme="minorBidi"/>
                <w:noProof/>
                <w:sz w:val="22"/>
                <w:szCs w:val="22"/>
                <w:lang w:val="en-GB" w:eastAsia="en-GB" w:bidi="ar-SA"/>
              </w:rPr>
              <w:tab/>
            </w:r>
            <w:r>
              <w:rPr>
                <w:rStyle w:val="Hyperlink"/>
                <w:noProof/>
              </w:rPr>
              <w:t>Zahlungsbilanzfazilität</w:t>
            </w:r>
            <w:r>
              <w:rPr>
                <w:noProof/>
                <w:webHidden/>
              </w:rPr>
              <w:tab/>
            </w:r>
            <w:r>
              <w:rPr>
                <w:noProof/>
                <w:webHidden/>
              </w:rPr>
              <w:fldChar w:fldCharType="begin"/>
            </w:r>
            <w:r>
              <w:rPr>
                <w:noProof/>
                <w:webHidden/>
              </w:rPr>
              <w:instrText xml:space="preserve"> PAGEREF _Toc423680508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509" w:history="1">
            <w:r>
              <w:rPr>
                <w:rStyle w:val="Hyperlink"/>
                <w:noProof/>
              </w:rPr>
              <w:t>3.1.3.</w:t>
            </w:r>
            <w:r>
              <w:rPr>
                <w:rFonts w:asciiTheme="minorHAnsi" w:eastAsiaTheme="minorEastAsia" w:hAnsiTheme="minorHAnsi" w:cstheme="minorBidi"/>
                <w:noProof/>
                <w:sz w:val="22"/>
                <w:szCs w:val="22"/>
                <w:lang w:val="en-GB" w:eastAsia="en-GB" w:bidi="ar-SA"/>
              </w:rPr>
              <w:tab/>
            </w:r>
            <w:r>
              <w:rPr>
                <w:rStyle w:val="Hyperlink"/>
                <w:noProof/>
              </w:rPr>
              <w:t>Makrofinanzhilfedarlehen</w:t>
            </w:r>
            <w:r>
              <w:rPr>
                <w:noProof/>
                <w:webHidden/>
              </w:rPr>
              <w:tab/>
            </w:r>
            <w:r>
              <w:rPr>
                <w:noProof/>
                <w:webHidden/>
              </w:rPr>
              <w:fldChar w:fldCharType="begin"/>
            </w:r>
            <w:r>
              <w:rPr>
                <w:noProof/>
                <w:webHidden/>
              </w:rPr>
              <w:instrText xml:space="preserve"> PAGEREF _Toc423680509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510" w:history="1">
            <w:r>
              <w:rPr>
                <w:rStyle w:val="Hyperlink"/>
                <w:noProof/>
              </w:rPr>
              <w:t>3.1.4.</w:t>
            </w:r>
            <w:r>
              <w:rPr>
                <w:rFonts w:asciiTheme="minorHAnsi" w:eastAsiaTheme="minorEastAsia" w:hAnsiTheme="minorHAnsi" w:cstheme="minorBidi"/>
                <w:noProof/>
                <w:sz w:val="22"/>
                <w:szCs w:val="22"/>
                <w:lang w:val="en-GB" w:eastAsia="en-GB" w:bidi="ar-SA"/>
              </w:rPr>
              <w:tab/>
            </w:r>
            <w:r>
              <w:rPr>
                <w:rStyle w:val="Hyperlink"/>
                <w:noProof/>
              </w:rPr>
              <w:t>Euratom-Darlehen</w:t>
            </w:r>
            <w:r>
              <w:rPr>
                <w:noProof/>
                <w:webHidden/>
              </w:rPr>
              <w:tab/>
            </w:r>
            <w:r>
              <w:rPr>
                <w:noProof/>
                <w:webHidden/>
              </w:rPr>
              <w:fldChar w:fldCharType="begin"/>
            </w:r>
            <w:r>
              <w:rPr>
                <w:noProof/>
                <w:webHidden/>
              </w:rPr>
              <w:instrText xml:space="preserve"> PAGEREF _Toc423680510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511"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Entwicklung der EIB-Finanzierungen</w:t>
            </w:r>
            <w:r>
              <w:rPr>
                <w:noProof/>
                <w:webHidden/>
              </w:rPr>
              <w:tab/>
            </w:r>
            <w:r>
              <w:rPr>
                <w:noProof/>
                <w:webHidden/>
              </w:rPr>
              <w:fldChar w:fldCharType="begin"/>
            </w:r>
            <w:r>
              <w:rPr>
                <w:noProof/>
                <w:webHidden/>
              </w:rPr>
              <w:instrText xml:space="preserve"> PAGEREF _Toc423680511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23680512"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Vom EU-Haushalt abgedeckte Risiken</w:t>
            </w:r>
            <w:r>
              <w:rPr>
                <w:noProof/>
                <w:webHidden/>
              </w:rPr>
              <w:tab/>
            </w:r>
            <w:r>
              <w:rPr>
                <w:noProof/>
                <w:webHidden/>
              </w:rPr>
              <w:fldChar w:fldCharType="begin"/>
            </w:r>
            <w:r>
              <w:rPr>
                <w:noProof/>
                <w:webHidden/>
              </w:rPr>
              <w:instrText xml:space="preserve"> PAGEREF _Toc423680512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513"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Risikodefinition</w:t>
            </w:r>
            <w:r>
              <w:rPr>
                <w:noProof/>
                <w:webHidden/>
              </w:rPr>
              <w:tab/>
            </w:r>
            <w:r>
              <w:rPr>
                <w:noProof/>
                <w:webHidden/>
              </w:rPr>
              <w:fldChar w:fldCharType="begin"/>
            </w:r>
            <w:r>
              <w:rPr>
                <w:noProof/>
                <w:webHidden/>
              </w:rPr>
              <w:instrText xml:space="preserve"> PAGEREF _Toc423680513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514"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Gesamtrisikozusammensetzung</w:t>
            </w:r>
            <w:r>
              <w:rPr>
                <w:noProof/>
                <w:webHidden/>
              </w:rPr>
              <w:tab/>
            </w:r>
            <w:r>
              <w:rPr>
                <w:noProof/>
                <w:webHidden/>
              </w:rPr>
              <w:fldChar w:fldCharType="begin"/>
            </w:r>
            <w:r>
              <w:rPr>
                <w:noProof/>
                <w:webHidden/>
              </w:rPr>
              <w:instrText xml:space="preserve"> PAGEREF _Toc423680514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515" w:history="1">
            <w:r>
              <w:rPr>
                <w:rStyle w:val="Hyperlink"/>
                <w:noProof/>
              </w:rPr>
              <w:t>4.3.</w:t>
            </w:r>
            <w:r>
              <w:rPr>
                <w:rFonts w:asciiTheme="minorHAnsi" w:eastAsiaTheme="minorEastAsia" w:hAnsiTheme="minorHAnsi" w:cstheme="minorBidi"/>
                <w:noProof/>
                <w:sz w:val="22"/>
                <w:szCs w:val="22"/>
                <w:lang w:val="en-GB" w:eastAsia="en-GB" w:bidi="ar-SA"/>
              </w:rPr>
              <w:tab/>
            </w:r>
            <w:r>
              <w:rPr>
                <w:rStyle w:val="Hyperlink"/>
                <w:noProof/>
              </w:rPr>
              <w:t>Vom EU-Haushalt gedecktes jährliches Risiko</w:t>
            </w:r>
            <w:r>
              <w:rPr>
                <w:noProof/>
                <w:webHidden/>
              </w:rPr>
              <w:tab/>
            </w:r>
            <w:r>
              <w:rPr>
                <w:noProof/>
                <w:webHidden/>
              </w:rPr>
              <w:fldChar w:fldCharType="begin"/>
            </w:r>
            <w:r>
              <w:rPr>
                <w:noProof/>
                <w:webHidden/>
              </w:rPr>
              <w:instrText xml:space="preserve"> PAGEREF _Toc423680515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516" w:history="1">
            <w:r>
              <w:rPr>
                <w:rStyle w:val="Hyperlink"/>
                <w:noProof/>
              </w:rPr>
              <w:t>4.3.1.</w:t>
            </w:r>
            <w:r>
              <w:rPr>
                <w:rFonts w:asciiTheme="minorHAnsi" w:eastAsiaTheme="minorEastAsia" w:hAnsiTheme="minorHAnsi" w:cstheme="minorBidi"/>
                <w:noProof/>
                <w:sz w:val="22"/>
                <w:szCs w:val="22"/>
                <w:lang w:val="en-GB" w:eastAsia="en-GB" w:bidi="ar-SA"/>
              </w:rPr>
              <w:tab/>
            </w:r>
            <w:r>
              <w:rPr>
                <w:rStyle w:val="Hyperlink"/>
                <w:noProof/>
              </w:rPr>
              <w:t>Risiken im Zusammenhang mit Mitgliedstaaten</w:t>
            </w:r>
            <w:r>
              <w:rPr>
                <w:noProof/>
                <w:webHidden/>
              </w:rPr>
              <w:tab/>
            </w:r>
            <w:r>
              <w:rPr>
                <w:noProof/>
                <w:webHidden/>
              </w:rPr>
              <w:fldChar w:fldCharType="begin"/>
            </w:r>
            <w:r>
              <w:rPr>
                <w:noProof/>
                <w:webHidden/>
              </w:rPr>
              <w:instrText xml:space="preserve"> PAGEREF _Toc423680516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517" w:history="1">
            <w:r>
              <w:rPr>
                <w:rStyle w:val="Hyperlink"/>
                <w:noProof/>
              </w:rPr>
              <w:t>4.3.2.</w:t>
            </w:r>
            <w:r>
              <w:rPr>
                <w:rFonts w:asciiTheme="minorHAnsi" w:eastAsiaTheme="minorEastAsia" w:hAnsiTheme="minorHAnsi" w:cstheme="minorBidi"/>
                <w:noProof/>
                <w:sz w:val="22"/>
                <w:szCs w:val="22"/>
                <w:lang w:val="en-GB" w:eastAsia="en-GB" w:bidi="ar-SA"/>
              </w:rPr>
              <w:tab/>
            </w:r>
            <w:r>
              <w:rPr>
                <w:rStyle w:val="Hyperlink"/>
                <w:noProof/>
              </w:rPr>
              <w:t>Risiken im Zusammenhang mit Drittländern</w:t>
            </w:r>
            <w:r>
              <w:rPr>
                <w:noProof/>
                <w:webHidden/>
              </w:rPr>
              <w:tab/>
            </w:r>
            <w:r>
              <w:rPr>
                <w:noProof/>
                <w:webHidden/>
              </w:rPr>
              <w:fldChar w:fldCharType="begin"/>
            </w:r>
            <w:r>
              <w:rPr>
                <w:noProof/>
                <w:webHidden/>
              </w:rPr>
              <w:instrText xml:space="preserve"> PAGEREF _Toc423680517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23680518"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Abruf von Garantiebeträgen und Entwicklung des Garantiefonds</w:t>
            </w:r>
            <w:r>
              <w:rPr>
                <w:noProof/>
                <w:webHidden/>
              </w:rPr>
              <w:tab/>
            </w:r>
            <w:r>
              <w:rPr>
                <w:noProof/>
                <w:webHidden/>
              </w:rPr>
              <w:fldChar w:fldCharType="begin"/>
            </w:r>
            <w:r>
              <w:rPr>
                <w:noProof/>
                <w:webHidden/>
              </w:rPr>
              <w:instrText xml:space="preserve"> PAGEREF _Toc423680518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519" w:history="1">
            <w:r>
              <w:rPr>
                <w:rStyle w:val="Hyperlink"/>
                <w:noProof/>
              </w:rPr>
              <w:t>5.1.</w:t>
            </w:r>
            <w:r>
              <w:rPr>
                <w:rFonts w:asciiTheme="minorHAnsi" w:eastAsiaTheme="minorEastAsia" w:hAnsiTheme="minorHAnsi" w:cstheme="minorBidi"/>
                <w:noProof/>
                <w:sz w:val="22"/>
                <w:szCs w:val="22"/>
                <w:lang w:val="en-GB" w:eastAsia="en-GB" w:bidi="ar-SA"/>
              </w:rPr>
              <w:tab/>
            </w:r>
            <w:r>
              <w:rPr>
                <w:rStyle w:val="Hyperlink"/>
                <w:noProof/>
              </w:rPr>
              <w:t>Abruf von Garantiebeträgen</w:t>
            </w:r>
            <w:r>
              <w:rPr>
                <w:noProof/>
                <w:webHidden/>
              </w:rPr>
              <w:tab/>
            </w:r>
            <w:r>
              <w:rPr>
                <w:noProof/>
                <w:webHidden/>
              </w:rPr>
              <w:fldChar w:fldCharType="begin"/>
            </w:r>
            <w:r>
              <w:rPr>
                <w:noProof/>
                <w:webHidden/>
              </w:rPr>
              <w:instrText xml:space="preserve"> PAGEREF _Toc423680519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520" w:history="1">
            <w:r>
              <w:rPr>
                <w:rStyle w:val="Hyperlink"/>
                <w:noProof/>
              </w:rPr>
              <w:t>5.1.1.</w:t>
            </w:r>
            <w:r>
              <w:rPr>
                <w:rFonts w:asciiTheme="minorHAnsi" w:eastAsiaTheme="minorEastAsia" w:hAnsiTheme="minorHAnsi" w:cstheme="minorBidi"/>
                <w:noProof/>
                <w:sz w:val="22"/>
                <w:szCs w:val="22"/>
                <w:lang w:val="en-GB" w:eastAsia="en-GB" w:bidi="ar-SA"/>
              </w:rPr>
              <w:tab/>
            </w:r>
            <w:r>
              <w:rPr>
                <w:rStyle w:val="Hyperlink"/>
                <w:noProof/>
              </w:rPr>
              <w:t>Rückgriff auf Kassenmittel</w:t>
            </w:r>
            <w:r>
              <w:rPr>
                <w:noProof/>
                <w:webHidden/>
              </w:rPr>
              <w:tab/>
            </w:r>
            <w:r>
              <w:rPr>
                <w:noProof/>
                <w:webHidden/>
              </w:rPr>
              <w:fldChar w:fldCharType="begin"/>
            </w:r>
            <w:r>
              <w:rPr>
                <w:noProof/>
                <w:webHidden/>
              </w:rPr>
              <w:instrText xml:space="preserve"> PAGEREF _Toc423680520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521" w:history="1">
            <w:r>
              <w:rPr>
                <w:rStyle w:val="Hyperlink"/>
                <w:noProof/>
              </w:rPr>
              <w:t>5.1.2.</w:t>
            </w:r>
            <w:r>
              <w:rPr>
                <w:rFonts w:asciiTheme="minorHAnsi" w:eastAsiaTheme="minorEastAsia" w:hAnsiTheme="minorHAnsi" w:cstheme="minorBidi"/>
                <w:noProof/>
                <w:sz w:val="22"/>
                <w:szCs w:val="22"/>
                <w:lang w:val="en-GB" w:eastAsia="en-GB" w:bidi="ar-SA"/>
              </w:rPr>
              <w:tab/>
            </w:r>
            <w:r>
              <w:rPr>
                <w:rStyle w:val="Hyperlink"/>
                <w:noProof/>
              </w:rPr>
              <w:t>Übertragungen aus dem EU-Gesamthaushaltsplan</w:t>
            </w:r>
            <w:r>
              <w:rPr>
                <w:noProof/>
                <w:webHidden/>
              </w:rPr>
              <w:tab/>
            </w:r>
            <w:r>
              <w:rPr>
                <w:noProof/>
                <w:webHidden/>
              </w:rPr>
              <w:fldChar w:fldCharType="begin"/>
            </w:r>
            <w:r>
              <w:rPr>
                <w:noProof/>
                <w:webHidden/>
              </w:rPr>
              <w:instrText xml:space="preserve"> PAGEREF _Toc423680521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522" w:history="1">
            <w:r>
              <w:rPr>
                <w:rStyle w:val="Hyperlink"/>
                <w:noProof/>
              </w:rPr>
              <w:t>5.1.3.</w:t>
            </w:r>
            <w:r>
              <w:rPr>
                <w:rFonts w:asciiTheme="minorHAnsi" w:eastAsiaTheme="minorEastAsia" w:hAnsiTheme="minorHAnsi" w:cstheme="minorBidi"/>
                <w:noProof/>
                <w:sz w:val="22"/>
                <w:szCs w:val="22"/>
                <w:lang w:val="en-GB" w:eastAsia="en-GB" w:bidi="ar-SA"/>
              </w:rPr>
              <w:tab/>
            </w:r>
            <w:r>
              <w:rPr>
                <w:rStyle w:val="Hyperlink"/>
                <w:noProof/>
              </w:rPr>
              <w:t>Inanspruchnahme des Garantiefonds und Rückzahlungen.</w:t>
            </w:r>
            <w:r>
              <w:rPr>
                <w:noProof/>
                <w:webHidden/>
              </w:rPr>
              <w:tab/>
            </w:r>
            <w:r>
              <w:rPr>
                <w:noProof/>
                <w:webHidden/>
              </w:rPr>
              <w:fldChar w:fldCharType="begin"/>
            </w:r>
            <w:r>
              <w:rPr>
                <w:noProof/>
                <w:webHidden/>
              </w:rPr>
              <w:instrText xml:space="preserve"> PAGEREF _Toc423680522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523" w:history="1">
            <w:r>
              <w:rPr>
                <w:rStyle w:val="Hyperlink"/>
                <w:noProof/>
              </w:rPr>
              <w:t>5.2.</w:t>
            </w:r>
            <w:r>
              <w:rPr>
                <w:rFonts w:asciiTheme="minorHAnsi" w:eastAsiaTheme="minorEastAsia" w:hAnsiTheme="minorHAnsi" w:cstheme="minorBidi"/>
                <w:noProof/>
                <w:sz w:val="22"/>
                <w:szCs w:val="22"/>
                <w:lang w:val="en-GB" w:eastAsia="en-GB" w:bidi="ar-SA"/>
              </w:rPr>
              <w:tab/>
            </w:r>
            <w:r>
              <w:rPr>
                <w:rStyle w:val="Hyperlink"/>
                <w:noProof/>
              </w:rPr>
              <w:t>Entwicklung des Garantiefonds</w:t>
            </w:r>
            <w:r>
              <w:rPr>
                <w:noProof/>
                <w:webHidden/>
              </w:rPr>
              <w:tab/>
            </w:r>
            <w:r>
              <w:rPr>
                <w:noProof/>
                <w:webHidden/>
              </w:rPr>
              <w:fldChar w:fldCharType="begin"/>
            </w:r>
            <w:r>
              <w:rPr>
                <w:noProof/>
                <w:webHidden/>
              </w:rPr>
              <w:instrText xml:space="preserve"> PAGEREF _Toc423680523 \h </w:instrText>
            </w:r>
            <w:r>
              <w:rPr>
                <w:noProof/>
                <w:webHidden/>
              </w:rPr>
            </w:r>
            <w:r>
              <w:rPr>
                <w:noProof/>
                <w:webHidden/>
              </w:rPr>
              <w:fldChar w:fldCharType="separate"/>
            </w:r>
            <w:r>
              <w:rPr>
                <w:noProof/>
                <w:webHidden/>
              </w:rPr>
              <w:t>13</w:t>
            </w:r>
            <w:r>
              <w:rPr>
                <w:noProof/>
                <w:webHidden/>
              </w:rPr>
              <w:fldChar w:fldCharType="end"/>
            </w:r>
          </w:hyperlink>
        </w:p>
        <w:p>
          <w:pPr>
            <w:rPr>
              <w:noProof/>
            </w:rPr>
          </w:pPr>
          <w:r>
            <w:rPr>
              <w:b/>
              <w:bCs/>
              <w:noProof/>
            </w:rPr>
            <w:fldChar w:fldCharType="end"/>
          </w:r>
        </w:p>
      </w:sdtContent>
    </w:sdt>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pPr>
    </w:p>
    <w:p>
      <w:pPr>
        <w:pStyle w:val="ManualHeading1"/>
        <w:rPr>
          <w:noProof/>
        </w:rPr>
      </w:pPr>
      <w:bookmarkStart w:id="2" w:name="_Toc309831354"/>
      <w:bookmarkStart w:id="3" w:name="_Toc329261054"/>
      <w:bookmarkStart w:id="4" w:name="_Toc329855616"/>
      <w:bookmarkStart w:id="5" w:name="_Toc330551221"/>
      <w:bookmarkStart w:id="6" w:name="_Toc342470144"/>
      <w:bookmarkStart w:id="7" w:name="_Toc345073694"/>
      <w:bookmarkStart w:id="8" w:name="_Toc365986211"/>
      <w:bookmarkStart w:id="9" w:name="_Toc367869464"/>
      <w:bookmarkStart w:id="10" w:name="_Toc367869991"/>
      <w:bookmarkStart w:id="11" w:name="_Toc388973009"/>
      <w:bookmarkStart w:id="12" w:name="_Toc389474742"/>
      <w:bookmarkStart w:id="13" w:name="_Toc390944385"/>
      <w:bookmarkStart w:id="14" w:name="_Toc393969956"/>
      <w:bookmarkStart w:id="15" w:name="_Toc417461963"/>
      <w:bookmarkStart w:id="16" w:name="_Toc417998597"/>
      <w:bookmarkStart w:id="17" w:name="_Toc418157623"/>
      <w:bookmarkStart w:id="18" w:name="_Toc418160304"/>
      <w:bookmarkStart w:id="19" w:name="_Toc423680503"/>
      <w:r>
        <w:rPr>
          <w:noProof/>
        </w:rPr>
        <w:lastRenderedPageBreak/>
        <w:t>1.</w:t>
      </w:r>
      <w:r>
        <w:rPr>
          <w:noProof/>
        </w:rPr>
        <w:tab/>
        <w:t>Einleitung</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rPr>
          <w:noProof/>
        </w:rPr>
      </w:pPr>
      <w:r>
        <w:rPr>
          <w:noProof/>
        </w:rPr>
        <w:t>Der vorliegende Bericht dient der Überwachung der Kreditrisiken, die dem Haushalt der Europäischen Union aus den Garantien und Darlehen erwachsen, deren Vergabe direkt durch die Europäische Union oder indirekt im Rahmen der Garantie, die der EIB zur Finanzierung von Projekten außerhalb der Union gewährt wurde, erfolgt.</w:t>
      </w:r>
    </w:p>
    <w:p>
      <w:pPr>
        <w:rPr>
          <w:noProof/>
        </w:rPr>
      </w:pPr>
      <w:r>
        <w:rPr>
          <w:noProof/>
        </w:rPr>
        <w:t>Dieser Bericht wird im Einklang mit Artikel 149 der Haushaltsordnung</w:t>
      </w:r>
      <w:r>
        <w:rPr>
          <w:rStyle w:val="FootnoteReference"/>
          <w:noProof/>
        </w:rPr>
        <w:footnoteReference w:id="1"/>
      </w:r>
      <w:r>
        <w:rPr>
          <w:noProof/>
        </w:rPr>
        <w:t xml:space="preserve"> vorgelegt, wonach die Kommission dem Europäischen Parlament und dem Rat einen Bericht über den Stand der EU-Haushaltsgarantien und der mit diesen Garantien verbundenen Risiken</w:t>
      </w:r>
      <w:r>
        <w:rPr>
          <w:rStyle w:val="Funotenzeichen"/>
          <w:noProof/>
        </w:rPr>
        <w:footnoteReference w:id="2"/>
      </w:r>
      <w:r>
        <w:rPr>
          <w:noProof/>
        </w:rPr>
        <w:t xml:space="preserve"> vorzulegen hat.</w:t>
      </w:r>
    </w:p>
    <w:p>
      <w:pPr>
        <w:rPr>
          <w:noProof/>
        </w:rPr>
      </w:pPr>
      <w:r>
        <w:rPr>
          <w:noProof/>
        </w:rPr>
        <w:t>Der Bericht ist wie folgt strukturiert: Abschnitt 2 bietet einen Überblick über die wesentlichen Merkmale der durch den EU-Haushalt garantierten Transaktionen; zudem werden mehrere andere, zusätzliche Krisenmanagementmechanismen, die keinerlei Risiko für den EU-Haushalt darstellen, erläutert. Abschnitt 3 beschreibt die Entwicklung der garantierten Transaktionen. In Abschnitt 4 werden die größten durch den EU-Haushalt gedeckten Risiken beleuchtet, und in Abschnitt 5 wird abschließend der Abruf von Garantiebeträgen und die Entwicklung des Garantiefonds für Maßnahmen im Zusammenhang mit den Außenbeziehungen („der Garantiefonds“)</w:t>
      </w:r>
      <w:r>
        <w:rPr>
          <w:noProof/>
          <w:vertAlign w:val="superscript"/>
        </w:rPr>
        <w:footnoteReference w:id="3"/>
      </w:r>
      <w:r>
        <w:rPr>
          <w:noProof/>
        </w:rPr>
        <w:t xml:space="preserve"> erläutert.</w:t>
      </w:r>
    </w:p>
    <w:p>
      <w:pPr>
        <w:rPr>
          <w:noProof/>
        </w:rPr>
      </w:pPr>
      <w:r>
        <w:rPr>
          <w:noProof/>
        </w:rPr>
        <w:t>Eine Arbeitsunterlage der Kommissionsdienststellen („Arbeitsunterlage“) ergänzt diesen Bericht mit ausführlichen Tabellen und Erläuterungen. Sie enthält auch eine makroökonomische Analyse der Länder, denen EU-Darlehen und/oder -Garantien gewährt wurden und auf die der Großteil der Forderungen des Fonds entfällt.</w:t>
      </w:r>
    </w:p>
    <w:p>
      <w:pPr>
        <w:pStyle w:val="ManualHeading1"/>
        <w:rPr>
          <w:noProof/>
        </w:rPr>
      </w:pPr>
      <w:bookmarkStart w:id="20" w:name="_Toc309831355"/>
      <w:bookmarkStart w:id="21" w:name="_Toc329261055"/>
      <w:bookmarkStart w:id="22" w:name="_Toc329855617"/>
      <w:bookmarkStart w:id="23" w:name="_Toc330551222"/>
      <w:bookmarkStart w:id="24" w:name="_Toc342470145"/>
      <w:bookmarkStart w:id="25" w:name="_Toc345073695"/>
      <w:bookmarkStart w:id="26" w:name="_Toc365986212"/>
      <w:bookmarkStart w:id="27" w:name="_Toc367869465"/>
      <w:bookmarkStart w:id="28" w:name="_Toc367869992"/>
      <w:bookmarkStart w:id="29" w:name="_Toc388973010"/>
      <w:bookmarkStart w:id="30" w:name="_Toc389474743"/>
      <w:bookmarkStart w:id="31" w:name="_Toc390944386"/>
      <w:bookmarkStart w:id="32" w:name="_Toc393969957"/>
      <w:bookmarkStart w:id="33" w:name="_Toc417461964"/>
      <w:bookmarkStart w:id="34" w:name="_Toc417998598"/>
      <w:bookmarkStart w:id="35" w:name="_Toc418157624"/>
      <w:bookmarkStart w:id="36" w:name="_Toc418160305"/>
      <w:bookmarkStart w:id="37" w:name="_Toc423680504"/>
      <w:r>
        <w:rPr>
          <w:noProof/>
        </w:rPr>
        <w:t>2.</w:t>
      </w:r>
      <w:r>
        <w:rPr>
          <w:noProof/>
        </w:rPr>
        <w:tab/>
        <w:t xml:space="preserve">Durch den </w:t>
      </w:r>
      <w:bookmarkEnd w:id="20"/>
      <w:bookmarkEnd w:id="21"/>
      <w:bookmarkEnd w:id="22"/>
      <w:bookmarkEnd w:id="23"/>
      <w:bookmarkEnd w:id="24"/>
      <w:bookmarkEnd w:id="25"/>
      <w:bookmarkEnd w:id="26"/>
      <w:bookmarkEnd w:id="27"/>
      <w:bookmarkEnd w:id="28"/>
      <w:bookmarkEnd w:id="29"/>
      <w:bookmarkEnd w:id="30"/>
      <w:r>
        <w:rPr>
          <w:noProof/>
        </w:rPr>
        <w:t>EU-Haushalt garantierte Transaktionen</w:t>
      </w:r>
      <w:bookmarkEnd w:id="31"/>
      <w:bookmarkEnd w:id="32"/>
      <w:bookmarkEnd w:id="33"/>
      <w:bookmarkEnd w:id="34"/>
      <w:bookmarkEnd w:id="35"/>
      <w:bookmarkEnd w:id="36"/>
      <w:bookmarkEnd w:id="37"/>
    </w:p>
    <w:p>
      <w:pPr>
        <w:autoSpaceDE w:val="0"/>
        <w:spacing w:before="0" w:after="0"/>
        <w:rPr>
          <w:noProof/>
        </w:rPr>
      </w:pPr>
      <w:r>
        <w:rPr>
          <w:noProof/>
        </w:rPr>
        <w:t>Die vom EU-Haushalt gedeckten Risiken resultieren aus unterschiedlichen Darlehens- und Garantieoperationen, die sich in zwei Kategorien einteilen lassen:</w:t>
      </w:r>
    </w:p>
    <w:p>
      <w:pPr>
        <w:pStyle w:val="ListDash"/>
        <w:rPr>
          <w:noProof/>
        </w:rPr>
      </w:pPr>
      <w:r>
        <w:rPr>
          <w:noProof/>
        </w:rPr>
        <w:t>Darlehen der Europäischen Union mit makroökonomischen Zielen, d. h. Makrofinanzhilfen</w:t>
      </w:r>
      <w:r>
        <w:rPr>
          <w:rStyle w:val="Funotenzeichen"/>
          <w:noProof/>
        </w:rPr>
        <w:footnoteReference w:id="4"/>
      </w:r>
      <w:r>
        <w:rPr>
          <w:noProof/>
        </w:rPr>
        <w:t xml:space="preserve"> („macro-financial assistance“, „MFA“), an Drittländer, Zahlungsbilanzdarlehen</w:t>
      </w:r>
      <w:r>
        <w:rPr>
          <w:rStyle w:val="FootnoteReference"/>
          <w:noProof/>
        </w:rPr>
        <w:footnoteReference w:id="5"/>
      </w:r>
      <w:r>
        <w:rPr>
          <w:noProof/>
        </w:rPr>
        <w:t xml:space="preserve"> („balance-of-payments loans“, „BoP“) zur Unterstützung von nicht zum Euro-Währungsgebiet gehörenden Mitgliedstaaten mit Zahlungsbilanzschwierigkeiten und Darlehen im Rahmen des Europäischen Finanzstabilisierungsmechanismus</w:t>
      </w:r>
      <w:r>
        <w:rPr>
          <w:rStyle w:val="Funotenzeichen"/>
          <w:noProof/>
        </w:rPr>
        <w:footnoteReference w:id="6"/>
      </w:r>
      <w:r>
        <w:rPr>
          <w:noProof/>
        </w:rPr>
        <w:t xml:space="preserve"> (EFSM) zur Unterstützung von Mitgliedstaaten, die aufgrund außergewöhnlicher Ereignisse, die sich ihrer Kontrolle entziehen, von gravierenden wirtschaftlichen oder finanziellen Störungen betroffen oder ernstlich bedroht sind,</w:t>
      </w:r>
    </w:p>
    <w:p>
      <w:pPr>
        <w:pStyle w:val="ListDash"/>
        <w:rPr>
          <w:noProof/>
        </w:rPr>
      </w:pPr>
      <w:r>
        <w:rPr>
          <w:noProof/>
        </w:rPr>
        <w:t>Darlehen mit mikroökonomischen Zielen, d. h. Euratom-Darlehen und vor allem Finanzierungen der Europäischen Investitionsbank (EIB) in Drittländern („EIB-Finanzierungen in Drittländern“), die durch EU-Garantien gedeckt sind</w:t>
      </w:r>
      <w:r>
        <w:rPr>
          <w:rStyle w:val="Funotenzeichen"/>
          <w:noProof/>
        </w:rPr>
        <w:footnoteReference w:id="7"/>
      </w:r>
      <w:r>
        <w:rPr>
          <w:noProof/>
        </w:rPr>
        <w:t>.</w:t>
      </w:r>
    </w:p>
    <w:p>
      <w:pPr>
        <w:rPr>
          <w:noProof/>
        </w:rPr>
      </w:pPr>
      <w:r>
        <w:rPr>
          <w:noProof/>
        </w:rPr>
        <w:t>Garantierte EIB-Finanzierungen in Drittländern sowie MFA- und Euratom-Darlehen an Drittländer werden seit 1994 durch den Garantiefonds abgesichert, Zahlungsbilanz-, EFSM- und Euratom-Darlehen an Mitgliedstaaten dagegen direkt durch den EU-Haushalt.</w:t>
      </w:r>
    </w:p>
    <w:p>
      <w:pPr>
        <w:rPr>
          <w:noProof/>
        </w:rPr>
      </w:pPr>
      <w:r>
        <w:rPr>
          <w:noProof/>
        </w:rPr>
        <w:t>Der Garantiefonds deckt Ausfälle bei Darlehen und Darlehensgarantien für Drittländer bzw. Vorhaben in Drittländern ab. Er wurde eingerichtet, um</w:t>
      </w:r>
    </w:p>
    <w:p>
      <w:pPr>
        <w:pStyle w:val="ListDash"/>
        <w:rPr>
          <w:noProof/>
        </w:rPr>
      </w:pPr>
      <w:r>
        <w:rPr>
          <w:noProof/>
        </w:rPr>
        <w:t>einen „Liquiditätspuffer“ zu bilden, damit nicht jedes Mal der EU-Haushalt in Anspruch genommen werden muss, wenn bei einem garantierten Darlehen ein Zahlungsausfall oder Zahlungsverzug auftritt, und</w:t>
      </w:r>
    </w:p>
    <w:p>
      <w:pPr>
        <w:pStyle w:val="ListDash"/>
        <w:rPr>
          <w:noProof/>
        </w:rPr>
      </w:pPr>
      <w:r>
        <w:rPr>
          <w:noProof/>
        </w:rPr>
        <w:t>ein Instrument zu schaffen, das durch Absteckung eines Finanzrahmens für die Entwicklung der EU-Garantiepolitik bei Kommissions- und EIB-Darlehen an Drittländer zur Haushaltsdisziplin beiträgt</w:t>
      </w:r>
      <w:r>
        <w:rPr>
          <w:rStyle w:val="Funotenzeichen"/>
          <w:noProof/>
        </w:rPr>
        <w:footnoteReference w:id="8"/>
      </w:r>
      <w:r>
        <w:rPr>
          <w:noProof/>
        </w:rPr>
        <w:t>.</w:t>
      </w:r>
    </w:p>
    <w:p>
      <w:pPr>
        <w:rPr>
          <w:noProof/>
        </w:rPr>
      </w:pPr>
      <w:r>
        <w:rPr>
          <w:noProof/>
        </w:rPr>
        <w:t>Die Deckung durch den Garantiefonds entfällt, wenn ein Drittland zu einem Mitgliedstaat wird, wobei das entsprechende Risiko direkt auf den EU-Haushalt übergeht. Die Mittelausstattung des Garantiefonds erfolgt aus dem EU-Haushalt und muss auf einem bestimmten Prozentsatz des vom Garantiefonds gedeckten ausstehenden Darlehens- und Garantiebetrags gehalten werden. Diese so genannte Zielquote beträgt gegenwärtig 9 %</w:t>
      </w:r>
      <w:r>
        <w:rPr>
          <w:rStyle w:val="FootnoteReference"/>
          <w:noProof/>
        </w:rPr>
        <w:footnoteReference w:id="9"/>
      </w:r>
      <w:r>
        <w:rPr>
          <w:noProof/>
        </w:rPr>
        <w:t>. Reichen die Mittel des Garantiefonds nicht aus, so werden die entsprechenden Gelder aus dem EU-Haushalt bereitgestellt.</w:t>
      </w:r>
    </w:p>
    <w:p>
      <w:pPr>
        <w:rPr>
          <w:noProof/>
        </w:rPr>
      </w:pPr>
      <w:r>
        <w:rPr>
          <w:noProof/>
          <w:u w:val="single"/>
        </w:rPr>
        <w:t>Andere Krisenbewältigungsmechanismen, die nicht durch den EU-Haushalt gedeckt sind</w:t>
      </w:r>
    </w:p>
    <w:p>
      <w:pPr>
        <w:rPr>
          <w:noProof/>
        </w:rPr>
      </w:pPr>
      <w:r>
        <w:rPr>
          <w:noProof/>
        </w:rPr>
        <w:t>Als Reaktion auf die Krise wurden außerdem mehrere weitere Mechanismen eingerichtet, die jedoch keinerlei Risiko für den EU-Haushalt beinhalten:</w:t>
      </w:r>
    </w:p>
    <w:p>
      <w:pPr>
        <w:pStyle w:val="NormalWeb"/>
        <w:jc w:val="both"/>
        <w:rPr>
          <w:noProof/>
        </w:rPr>
      </w:pPr>
      <w:r>
        <w:rPr>
          <w:noProof/>
        </w:rPr>
        <w:t xml:space="preserve">- </w:t>
      </w:r>
      <w:r>
        <w:rPr>
          <w:i/>
          <w:noProof/>
        </w:rPr>
        <w:t>Darlehensfazilität für Griechenland</w:t>
      </w:r>
      <w:r>
        <w:rPr>
          <w:noProof/>
        </w:rPr>
        <w:t xml:space="preserve"> („Greek Loan Facility“, „GLF“)</w:t>
      </w:r>
      <w:r>
        <w:rPr>
          <w:rStyle w:val="FootnoteReference"/>
          <w:i/>
          <w:noProof/>
        </w:rPr>
        <w:footnoteReference w:id="10"/>
      </w:r>
      <w:r>
        <w:rPr>
          <w:noProof/>
        </w:rPr>
        <w:t>, die über bilaterale Darlehen der anderen Mitgliedstaaten des Euro-Währungsgebiets finanziert und von der Kommission zentral verwaltet wird.</w:t>
      </w:r>
    </w:p>
    <w:p>
      <w:pPr>
        <w:pStyle w:val="NormalWeb"/>
        <w:jc w:val="both"/>
        <w:rPr>
          <w:noProof/>
        </w:rPr>
      </w:pPr>
      <w:r>
        <w:rPr>
          <w:noProof/>
        </w:rPr>
        <w:t xml:space="preserve">- </w:t>
      </w:r>
      <w:r>
        <w:rPr>
          <w:i/>
          <w:noProof/>
        </w:rPr>
        <w:t>Europäische Finanzstabilisierungsfazilität</w:t>
      </w:r>
      <w:r>
        <w:rPr>
          <w:noProof/>
        </w:rPr>
        <w:t xml:space="preserve"> (EFSF)</w:t>
      </w:r>
      <w:r>
        <w:rPr>
          <w:rStyle w:val="FootnoteReference"/>
          <w:i/>
          <w:noProof/>
        </w:rPr>
        <w:footnoteReference w:id="11"/>
      </w:r>
      <w:r>
        <w:rPr>
          <w:noProof/>
        </w:rPr>
        <w:t xml:space="preserve">: Die EFSF wurde von den Mitgliedstaaten des Euro-Währungsgebiets im Juni 2010 als vorläufiger Rettungsmechanismus eingerichtet, um Mitgliedstaaten des Euro-Währungsgebiets im Rahmen eines makroökonomischen Anpassungsprogramms finanziellen Beistand zu leisten. Der Vertrag über einen dauerhaften Rettungsschirm, den Europäischen Stabilitätsmechanismus (ESM), trat am 27. September 2012 in Kraft. Seit dem </w:t>
      </w:r>
      <w:r>
        <w:rPr>
          <w:rStyle w:val="Strong"/>
          <w:b w:val="0"/>
          <w:noProof/>
        </w:rPr>
        <w:t>1. Juli 2013</w:t>
      </w:r>
      <w:r>
        <w:rPr>
          <w:noProof/>
        </w:rPr>
        <w:t xml:space="preserve"> werden die bestehenden Programme der EFSF für Griechenland (gemeinsam mit dem IWF und einigen Mitgliedstaaten) sowie Irland und Portugal (gemeinsam mit dem IWF, einigen Mitgliedstaaten und EU/EFSM)</w:t>
      </w:r>
      <w:r>
        <w:rPr>
          <w:rStyle w:val="FootnoteReference"/>
          <w:noProof/>
        </w:rPr>
        <w:footnoteReference w:id="12"/>
      </w:r>
      <w:r>
        <w:rPr>
          <w:noProof/>
        </w:rPr>
        <w:t xml:space="preserve"> fortgeführt, allerdings werden keine neuen Finanzierungsprogramme aufgelegt oder Vereinbarungen über Darlehensfazilitäten getroffen. </w:t>
      </w:r>
    </w:p>
    <w:p>
      <w:pPr>
        <w:pStyle w:val="NormalWeb"/>
        <w:jc w:val="both"/>
        <w:rPr>
          <w:noProof/>
        </w:rPr>
      </w:pPr>
      <w:r>
        <w:rPr>
          <w:noProof/>
        </w:rPr>
        <w:t xml:space="preserve">- </w:t>
      </w:r>
      <w:r>
        <w:rPr>
          <w:i/>
          <w:noProof/>
        </w:rPr>
        <w:t>Europäischer Stabilitätsmechanismus</w:t>
      </w:r>
      <w:r>
        <w:rPr>
          <w:noProof/>
        </w:rPr>
        <w:t xml:space="preserve"> (ESM)</w:t>
      </w:r>
      <w:r>
        <w:rPr>
          <w:rStyle w:val="FootnoteReference"/>
          <w:i/>
          <w:noProof/>
        </w:rPr>
        <w:footnoteReference w:id="13"/>
      </w:r>
      <w:r>
        <w:rPr>
          <w:noProof/>
        </w:rPr>
        <w:t>: Der ESM ist ein wichtiger Teil der umfassenden EU-Strategie zur Sicherung der Finanzstabilität des Euro-Währungsgebiets. Dieses Ziel soll erreicht werden, indem Mitgliedstaaten des Euro-Währungsgebiets, die von Finanzierungsproblemen betroffen oder bedroht sind, finanzieller Beistand gewährt wird.</w:t>
      </w:r>
      <w:r>
        <w:rPr>
          <w:rStyle w:val="Strong"/>
          <w:b w:val="0"/>
          <w:noProof/>
        </w:rPr>
        <w:t xml:space="preserve"> </w:t>
      </w:r>
      <w:r>
        <w:rPr>
          <w:noProof/>
        </w:rPr>
        <w:t>Der ESM ist eine auf der Grundlage des Völkerrechts errichtete zwischenstaatliche Organisation mit Sitz in Luxemburg, deren effektive Darlehenskapazität bei 500 Mrd. EUR liegt.</w:t>
      </w:r>
    </w:p>
    <w:p>
      <w:pPr>
        <w:pStyle w:val="ManualHeading1"/>
        <w:rPr>
          <w:noProof/>
        </w:rPr>
      </w:pPr>
      <w:bookmarkStart w:id="38" w:name="_Toc390944387"/>
      <w:bookmarkStart w:id="39" w:name="_Toc393969958"/>
      <w:bookmarkStart w:id="40" w:name="_Toc417461965"/>
      <w:bookmarkStart w:id="41" w:name="_Toc417998599"/>
      <w:bookmarkStart w:id="42" w:name="_Toc418157625"/>
      <w:bookmarkStart w:id="43" w:name="_Toc418160306"/>
      <w:bookmarkStart w:id="44" w:name="_Toc423680505"/>
      <w:bookmarkStart w:id="45" w:name="_Toc309831356"/>
      <w:bookmarkStart w:id="46" w:name="_Toc329261056"/>
      <w:bookmarkStart w:id="47" w:name="_Toc329855618"/>
      <w:bookmarkStart w:id="48" w:name="_Toc330551223"/>
      <w:bookmarkStart w:id="49" w:name="_Toc342470146"/>
      <w:bookmarkStart w:id="50" w:name="_Toc345073696"/>
      <w:bookmarkStart w:id="51" w:name="_Toc365986213"/>
      <w:bookmarkStart w:id="52" w:name="_Toc367869466"/>
      <w:bookmarkStart w:id="53" w:name="_Toc367869993"/>
      <w:bookmarkStart w:id="54" w:name="_Toc388973011"/>
      <w:bookmarkStart w:id="55" w:name="_Toc389474744"/>
      <w:r>
        <w:rPr>
          <w:noProof/>
        </w:rPr>
        <w:t>3.</w:t>
      </w:r>
      <w:r>
        <w:rPr>
          <w:noProof/>
        </w:rPr>
        <w:tab/>
        <w:t>Entwicklungen bei den garantierten Transaktionen</w:t>
      </w:r>
      <w:bookmarkEnd w:id="38"/>
      <w:bookmarkEnd w:id="39"/>
      <w:bookmarkEnd w:id="40"/>
      <w:bookmarkEnd w:id="41"/>
      <w:bookmarkEnd w:id="42"/>
      <w:bookmarkEnd w:id="43"/>
      <w:bookmarkEnd w:id="44"/>
      <w:r>
        <w:rPr>
          <w:noProof/>
        </w:rPr>
        <w:t xml:space="preserve"> </w:t>
      </w:r>
      <w:bookmarkEnd w:id="45"/>
      <w:bookmarkEnd w:id="46"/>
      <w:bookmarkEnd w:id="47"/>
      <w:bookmarkEnd w:id="48"/>
      <w:bookmarkEnd w:id="49"/>
      <w:bookmarkEnd w:id="50"/>
      <w:bookmarkEnd w:id="51"/>
      <w:bookmarkEnd w:id="52"/>
      <w:bookmarkEnd w:id="53"/>
      <w:bookmarkEnd w:id="54"/>
      <w:bookmarkEnd w:id="55"/>
    </w:p>
    <w:p>
      <w:pPr>
        <w:rPr>
          <w:noProof/>
        </w:rPr>
      </w:pPr>
      <w:r>
        <w:rPr>
          <w:noProof/>
        </w:rPr>
        <w:t xml:space="preserve">Dieser Abschnitt beschreibt die Entwicklung bei den garantierten Transaktionen. Zunächst wird auf die unmittelbar von der Kommission verwalteten Transaktionen eingegangen und danach auf die von der EIB verwalteten. </w:t>
      </w:r>
    </w:p>
    <w:tbl>
      <w:tblPr>
        <w:tblW w:w="8839" w:type="dxa"/>
        <w:tblInd w:w="-5" w:type="dxa"/>
        <w:tblLayout w:type="fixed"/>
        <w:tblLook w:val="0000" w:firstRow="0" w:lastRow="0" w:firstColumn="0" w:lastColumn="0" w:noHBand="0" w:noVBand="0"/>
      </w:tblPr>
      <w:tblGrid>
        <w:gridCol w:w="2770"/>
        <w:gridCol w:w="1665"/>
        <w:gridCol w:w="1891"/>
        <w:gridCol w:w="1446"/>
        <w:gridCol w:w="1067"/>
      </w:tblGrid>
      <w:tr>
        <w:trPr>
          <w:trHeight w:val="165"/>
        </w:trPr>
        <w:tc>
          <w:tcPr>
            <w:tcW w:w="8839" w:type="dxa"/>
            <w:gridSpan w:val="5"/>
            <w:tcBorders>
              <w:bottom w:val="single" w:sz="4" w:space="0" w:color="000000"/>
            </w:tcBorders>
          </w:tcPr>
          <w:p>
            <w:pPr>
              <w:snapToGrid w:val="0"/>
              <w:rPr>
                <w:noProof/>
              </w:rPr>
            </w:pPr>
            <w:r>
              <w:rPr>
                <w:noProof/>
              </w:rPr>
              <w:t>Tabelle 1: Zum 31. Dezember 2014 insgesamt ausstehende vom Haushalt gedeckte Beträge (in Mio. EUR)</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p>
        </w:tc>
        <w:tc>
          <w:tcPr>
            <w:tcW w:w="1665" w:type="dxa"/>
            <w:tcBorders>
              <w:top w:val="single" w:sz="4" w:space="0" w:color="000000"/>
              <w:left w:val="single" w:sz="4" w:space="0" w:color="000000"/>
              <w:bottom w:val="single" w:sz="4" w:space="0" w:color="000000"/>
            </w:tcBorders>
          </w:tcPr>
          <w:p>
            <w:pPr>
              <w:snapToGrid w:val="0"/>
              <w:jc w:val="center"/>
              <w:rPr>
                <w:b/>
                <w:noProof/>
              </w:rPr>
            </w:pPr>
            <w:r>
              <w:rPr>
                <w:b/>
                <w:noProof/>
              </w:rPr>
              <w:t>Ausstehender Kapitalbetrag</w:t>
            </w:r>
          </w:p>
        </w:tc>
        <w:tc>
          <w:tcPr>
            <w:tcW w:w="1891" w:type="dxa"/>
            <w:tcBorders>
              <w:top w:val="single" w:sz="4" w:space="0" w:color="000000"/>
              <w:left w:val="single" w:sz="4" w:space="0" w:color="000000"/>
              <w:bottom w:val="single" w:sz="4" w:space="0" w:color="000000"/>
            </w:tcBorders>
          </w:tcPr>
          <w:p>
            <w:pPr>
              <w:snapToGrid w:val="0"/>
              <w:jc w:val="center"/>
              <w:rPr>
                <w:b/>
                <w:noProof/>
              </w:rPr>
            </w:pPr>
            <w:r>
              <w:rPr>
                <w:b/>
                <w:noProof/>
              </w:rPr>
              <w:t>Aufgelaufene Zinsen</w:t>
            </w:r>
          </w:p>
        </w:tc>
        <w:tc>
          <w:tcPr>
            <w:tcW w:w="1446" w:type="dxa"/>
            <w:tcBorders>
              <w:top w:val="single" w:sz="4" w:space="0" w:color="000000"/>
              <w:left w:val="single" w:sz="4" w:space="0" w:color="000000"/>
              <w:bottom w:val="single" w:sz="4" w:space="0" w:color="000000"/>
            </w:tcBorders>
          </w:tcPr>
          <w:p>
            <w:pPr>
              <w:snapToGrid w:val="0"/>
              <w:jc w:val="center"/>
              <w:rPr>
                <w:b/>
                <w:noProof/>
              </w:rPr>
            </w:pPr>
            <w:r>
              <w:rPr>
                <w:b/>
                <w:noProof/>
              </w:rPr>
              <w:t>Insgesamt</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center"/>
              <w:rPr>
                <w:b/>
                <w:noProof/>
              </w:rPr>
            </w:pPr>
            <w:r>
              <w:rPr>
                <w:b/>
                <w:noProof/>
              </w:rPr>
              <w:t>%</w:t>
            </w:r>
          </w:p>
        </w:tc>
      </w:tr>
      <w:tr>
        <w:trPr>
          <w:trHeight w:val="165"/>
        </w:trPr>
        <w:tc>
          <w:tcPr>
            <w:tcW w:w="2770" w:type="dxa"/>
            <w:tcBorders>
              <w:top w:val="single" w:sz="4" w:space="0" w:color="000000"/>
              <w:left w:val="single" w:sz="4" w:space="0" w:color="000000"/>
              <w:bottom w:val="single" w:sz="4" w:space="0" w:color="000000"/>
            </w:tcBorders>
          </w:tcPr>
          <w:p>
            <w:pPr>
              <w:snapToGrid w:val="0"/>
              <w:rPr>
                <w:rStyle w:val="Added"/>
                <w:noProof/>
                <w:u w:val="none"/>
              </w:rPr>
            </w:pPr>
            <w:r>
              <w:rPr>
                <w:rStyle w:val="Added"/>
                <w:noProof/>
                <w:u w:val="none"/>
              </w:rPr>
              <w:t>Mitgliedstaaten*</w:t>
            </w:r>
          </w:p>
        </w:tc>
        <w:tc>
          <w:tcPr>
            <w:tcW w:w="1665" w:type="dxa"/>
            <w:tcBorders>
              <w:top w:val="single" w:sz="4" w:space="0" w:color="000000"/>
              <w:left w:val="single" w:sz="4" w:space="0" w:color="000000"/>
              <w:bottom w:val="single" w:sz="4" w:space="0" w:color="000000"/>
            </w:tcBorders>
          </w:tcPr>
          <w:p>
            <w:pPr>
              <w:snapToGrid w:val="0"/>
              <w:rPr>
                <w:noProof/>
              </w:rPr>
            </w:pPr>
          </w:p>
        </w:tc>
        <w:tc>
          <w:tcPr>
            <w:tcW w:w="1891" w:type="dxa"/>
            <w:tcBorders>
              <w:top w:val="single" w:sz="4" w:space="0" w:color="000000"/>
              <w:left w:val="single" w:sz="4" w:space="0" w:color="000000"/>
              <w:bottom w:val="single" w:sz="4" w:space="0" w:color="000000"/>
            </w:tcBorders>
          </w:tcPr>
          <w:p>
            <w:pPr>
              <w:snapToGrid w:val="0"/>
              <w:rPr>
                <w:noProof/>
              </w:rPr>
            </w:pPr>
          </w:p>
        </w:tc>
        <w:tc>
          <w:tcPr>
            <w:tcW w:w="1446" w:type="dxa"/>
            <w:tcBorders>
              <w:top w:val="single" w:sz="4" w:space="0" w:color="000000"/>
              <w:left w:val="single" w:sz="4" w:space="0" w:color="000000"/>
              <w:bottom w:val="single" w:sz="4" w:space="0" w:color="000000"/>
            </w:tcBorders>
          </w:tcPr>
          <w:p>
            <w:pPr>
              <w:snapToGrid w:val="0"/>
              <w:rPr>
                <w:b/>
                <w:noProof/>
              </w:rPr>
            </w:pPr>
          </w:p>
        </w:tc>
        <w:tc>
          <w:tcPr>
            <w:tcW w:w="1067" w:type="dxa"/>
            <w:tcBorders>
              <w:top w:val="single" w:sz="4" w:space="0" w:color="000000"/>
              <w:left w:val="single" w:sz="4" w:space="0" w:color="000000"/>
              <w:bottom w:val="single" w:sz="4" w:space="0" w:color="000000"/>
              <w:right w:val="single" w:sz="4" w:space="0" w:color="000000"/>
            </w:tcBorders>
          </w:tcPr>
          <w:p>
            <w:pPr>
              <w:snapToGrid w:val="0"/>
              <w:rPr>
                <w:b/>
                <w:noProof/>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Euratom</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324</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1</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326</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&lt; 1</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Zahlungsbilanzhilfe</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8 400</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190</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8 590</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10</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EIB</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2 315</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19</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2 334</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rStyle w:val="Added"/>
                <w:noProof/>
              </w:rPr>
            </w:pPr>
            <w:r>
              <w:rPr>
                <w:b/>
                <w:noProof/>
              </w:rPr>
              <w:t>EFSM</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46 800</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707</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47 507</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56</w:t>
            </w:r>
          </w:p>
        </w:tc>
      </w:tr>
      <w:tr>
        <w:trPr>
          <w:trHeight w:val="165"/>
        </w:trPr>
        <w:tc>
          <w:tcPr>
            <w:tcW w:w="2770" w:type="dxa"/>
            <w:tcBorders>
              <w:top w:val="single" w:sz="4" w:space="0" w:color="000000"/>
              <w:left w:val="single" w:sz="4" w:space="0" w:color="000000"/>
              <w:bottom w:val="single" w:sz="4" w:space="0" w:color="000000"/>
            </w:tcBorders>
          </w:tcPr>
          <w:p>
            <w:pPr>
              <w:snapToGrid w:val="0"/>
              <w:rPr>
                <w:rStyle w:val="Added"/>
                <w:noProof/>
                <w:u w:val="none"/>
              </w:rPr>
            </w:pPr>
            <w:r>
              <w:rPr>
                <w:rStyle w:val="Added"/>
                <w:noProof/>
                <w:u w:val="none"/>
              </w:rPr>
              <w:t>Zwischensumme Mitgliedstaaten</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57 840</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917</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58 757</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69</w:t>
            </w:r>
          </w:p>
        </w:tc>
      </w:tr>
      <w:tr>
        <w:trPr>
          <w:trHeight w:val="165"/>
        </w:trPr>
        <w:tc>
          <w:tcPr>
            <w:tcW w:w="2770" w:type="dxa"/>
            <w:tcBorders>
              <w:top w:val="single" w:sz="4" w:space="0" w:color="000000"/>
              <w:left w:val="single" w:sz="4" w:space="0" w:color="000000"/>
              <w:bottom w:val="single" w:sz="4" w:space="0" w:color="000000"/>
            </w:tcBorders>
          </w:tcPr>
          <w:p>
            <w:pPr>
              <w:snapToGrid w:val="0"/>
              <w:rPr>
                <w:noProof/>
                <w:sz w:val="20"/>
              </w:rPr>
            </w:pPr>
            <w:r>
              <w:rPr>
                <w:rStyle w:val="Added"/>
                <w:noProof/>
                <w:u w:val="none"/>
              </w:rPr>
              <w:t>Drittländer</w:t>
            </w:r>
            <w:r>
              <w:rPr>
                <w:noProof/>
              </w:rPr>
              <w:t>**</w:t>
            </w:r>
          </w:p>
        </w:tc>
        <w:tc>
          <w:tcPr>
            <w:tcW w:w="1665" w:type="dxa"/>
            <w:tcBorders>
              <w:top w:val="single" w:sz="4" w:space="0" w:color="000000"/>
              <w:left w:val="single" w:sz="4" w:space="0" w:color="000000"/>
              <w:bottom w:val="single" w:sz="4" w:space="0" w:color="000000"/>
            </w:tcBorders>
          </w:tcPr>
          <w:p>
            <w:pPr>
              <w:snapToGrid w:val="0"/>
              <w:jc w:val="right"/>
              <w:rPr>
                <w:noProof/>
              </w:rPr>
            </w:pPr>
          </w:p>
        </w:tc>
        <w:tc>
          <w:tcPr>
            <w:tcW w:w="1891" w:type="dxa"/>
            <w:tcBorders>
              <w:top w:val="single" w:sz="4" w:space="0" w:color="000000"/>
              <w:left w:val="single" w:sz="4" w:space="0" w:color="000000"/>
              <w:bottom w:val="single" w:sz="4" w:space="0" w:color="000000"/>
            </w:tcBorders>
          </w:tcPr>
          <w:p>
            <w:pPr>
              <w:snapToGrid w:val="0"/>
              <w:jc w:val="right"/>
              <w:rPr>
                <w:noProof/>
              </w:rPr>
            </w:pPr>
          </w:p>
        </w:tc>
        <w:tc>
          <w:tcPr>
            <w:tcW w:w="1446" w:type="dxa"/>
            <w:tcBorders>
              <w:top w:val="single" w:sz="4" w:space="0" w:color="000000"/>
              <w:left w:val="single" w:sz="4" w:space="0" w:color="000000"/>
              <w:bottom w:val="single" w:sz="4" w:space="0" w:color="000000"/>
            </w:tcBorders>
          </w:tcPr>
          <w:p>
            <w:pPr>
              <w:snapToGrid w:val="0"/>
              <w:jc w:val="right"/>
              <w:rPr>
                <w:noProof/>
              </w:rPr>
            </w:pP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MFA</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1 829</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13</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1 842</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2.</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Euratom</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24</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&lt; 1</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24</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&lt; 1</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EIB***</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24 431</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164</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24 595</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29</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r>
              <w:rPr>
                <w:b/>
                <w:noProof/>
              </w:rPr>
              <w:t>Zwischensumme Drittländer</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26 283</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178</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26 461</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31</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r>
              <w:rPr>
                <w:b/>
                <w:noProof/>
              </w:rPr>
              <w:t>Insgesamt</w:t>
            </w:r>
          </w:p>
        </w:tc>
        <w:tc>
          <w:tcPr>
            <w:tcW w:w="1665" w:type="dxa"/>
            <w:tcBorders>
              <w:top w:val="single" w:sz="4" w:space="0" w:color="000000"/>
              <w:left w:val="single" w:sz="4" w:space="0" w:color="000000"/>
              <w:bottom w:val="single" w:sz="4" w:space="0" w:color="000000"/>
            </w:tcBorders>
          </w:tcPr>
          <w:p>
            <w:pPr>
              <w:snapToGrid w:val="0"/>
              <w:jc w:val="right"/>
              <w:rPr>
                <w:b/>
                <w:noProof/>
              </w:rPr>
            </w:pPr>
            <w:r>
              <w:rPr>
                <w:b/>
                <w:noProof/>
              </w:rPr>
              <w:t>84 123</w:t>
            </w:r>
          </w:p>
        </w:tc>
        <w:tc>
          <w:tcPr>
            <w:tcW w:w="1891" w:type="dxa"/>
            <w:tcBorders>
              <w:top w:val="single" w:sz="4" w:space="0" w:color="000000"/>
              <w:left w:val="single" w:sz="4" w:space="0" w:color="000000"/>
              <w:bottom w:val="single" w:sz="4" w:space="0" w:color="000000"/>
            </w:tcBorders>
          </w:tcPr>
          <w:p>
            <w:pPr>
              <w:snapToGrid w:val="0"/>
              <w:jc w:val="right"/>
              <w:rPr>
                <w:b/>
                <w:noProof/>
              </w:rPr>
            </w:pPr>
            <w:r>
              <w:rPr>
                <w:b/>
                <w:noProof/>
              </w:rPr>
              <w:t>1 095</w:t>
            </w:r>
          </w:p>
        </w:tc>
        <w:tc>
          <w:tcPr>
            <w:tcW w:w="1446" w:type="dxa"/>
            <w:tcBorders>
              <w:top w:val="single" w:sz="4" w:space="0" w:color="000000"/>
              <w:left w:val="single" w:sz="4" w:space="0" w:color="000000"/>
              <w:bottom w:val="single" w:sz="4" w:space="0" w:color="000000"/>
            </w:tcBorders>
          </w:tcPr>
          <w:p>
            <w:pPr>
              <w:snapToGrid w:val="0"/>
              <w:jc w:val="right"/>
              <w:rPr>
                <w:b/>
                <w:noProof/>
              </w:rPr>
            </w:pPr>
            <w:r>
              <w:rPr>
                <w:b/>
                <w:noProof/>
              </w:rPr>
              <w:t>85 218</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b/>
                <w:noProof/>
              </w:rPr>
            </w:pPr>
            <w:r>
              <w:rPr>
                <w:b/>
                <w:noProof/>
              </w:rPr>
              <w:t>100</w:t>
            </w:r>
          </w:p>
        </w:tc>
      </w:tr>
      <w:tr>
        <w:trPr>
          <w:trHeight w:val="284"/>
        </w:trPr>
        <w:tc>
          <w:tcPr>
            <w:tcW w:w="8839" w:type="dxa"/>
            <w:gridSpan w:val="5"/>
            <w:tcBorders>
              <w:top w:val="single" w:sz="4" w:space="0" w:color="000000"/>
              <w:left w:val="single" w:sz="4" w:space="0" w:color="000000"/>
              <w:bottom w:val="single" w:sz="4" w:space="0" w:color="000000"/>
              <w:right w:val="single" w:sz="4" w:space="0" w:color="000000"/>
            </w:tcBorders>
          </w:tcPr>
          <w:p>
            <w:pPr>
              <w:tabs>
                <w:tab w:val="left" w:pos="431"/>
              </w:tabs>
              <w:snapToGrid w:val="0"/>
              <w:spacing w:after="0"/>
              <w:ind w:left="238" w:hanging="238"/>
              <w:jc w:val="left"/>
              <w:rPr>
                <w:noProof/>
                <w:sz w:val="20"/>
              </w:rPr>
            </w:pPr>
            <w:r>
              <w:rPr>
                <w:noProof/>
                <w:sz w:val="20"/>
              </w:rPr>
              <w:t>*</w:t>
            </w:r>
            <w:r>
              <w:rPr>
                <w:noProof/>
              </w:rPr>
              <w:tab/>
            </w:r>
            <w:r>
              <w:rPr>
                <w:noProof/>
              </w:rPr>
              <w:tab/>
            </w:r>
            <w:r>
              <w:rPr>
                <w:noProof/>
                <w:sz w:val="20"/>
              </w:rPr>
              <w:t>Direkt durch den EU-Haushalt gedecktes Risiko. Hierunter fallen auch vor dem EU-Beitritt gewährte Euratom- und EIB-Darlehen.</w:t>
            </w:r>
          </w:p>
          <w:p>
            <w:pPr>
              <w:tabs>
                <w:tab w:val="left" w:pos="431"/>
              </w:tabs>
              <w:spacing w:after="0"/>
              <w:ind w:left="238" w:hanging="238"/>
              <w:jc w:val="left"/>
              <w:rPr>
                <w:noProof/>
                <w:sz w:val="20"/>
              </w:rPr>
            </w:pPr>
            <w:r>
              <w:rPr>
                <w:noProof/>
                <w:sz w:val="20"/>
              </w:rPr>
              <w:t>**</w:t>
            </w:r>
            <w:r>
              <w:rPr>
                <w:noProof/>
              </w:rPr>
              <w:tab/>
            </w:r>
            <w:r>
              <w:rPr>
                <w:noProof/>
              </w:rPr>
              <w:tab/>
            </w:r>
            <w:r>
              <w:rPr>
                <w:noProof/>
                <w:sz w:val="20"/>
              </w:rPr>
              <w:t>Durch den Garantiefonds gedecktes Risiko.</w:t>
            </w:r>
          </w:p>
          <w:p>
            <w:pPr>
              <w:tabs>
                <w:tab w:val="left" w:pos="431"/>
              </w:tabs>
              <w:spacing w:after="0"/>
              <w:ind w:left="238" w:hanging="238"/>
              <w:jc w:val="left"/>
              <w:rPr>
                <w:noProof/>
                <w:sz w:val="20"/>
              </w:rPr>
            </w:pPr>
            <w:r>
              <w:rPr>
                <w:noProof/>
                <w:sz w:val="20"/>
              </w:rPr>
              <w:t>***</w:t>
            </w:r>
            <w:r>
              <w:rPr>
                <w:noProof/>
              </w:rPr>
              <w:tab/>
            </w:r>
            <w:r>
              <w:rPr>
                <w:noProof/>
                <w:sz w:val="20"/>
              </w:rPr>
              <w:t>Darlehen mit Forderungsübergang an die EU infolge der Syrien -Ausfälle bei EIB-Darlehen sind ebenfalls erfasst</w:t>
            </w:r>
            <w:r>
              <w:rPr>
                <w:noProof/>
                <w:sz w:val="20"/>
              </w:rPr>
              <w:br/>
            </w:r>
            <w:r>
              <w:rPr>
                <w:noProof/>
              </w:rPr>
              <w:tab/>
            </w:r>
            <w:r>
              <w:rPr>
                <w:noProof/>
                <w:sz w:val="20"/>
              </w:rPr>
              <w:t>(Betrag: 107 Mio. EUR).</w:t>
            </w:r>
          </w:p>
        </w:tc>
      </w:tr>
    </w:tbl>
    <w:p>
      <w:pPr>
        <w:rPr>
          <w:noProof/>
        </w:rPr>
      </w:pPr>
      <w:r>
        <w:rPr>
          <w:noProof/>
        </w:rPr>
        <w:t>Ausführlichere Angaben zu den ausstehenden Beträgen, insbesondere zu geltenden Obergrenzen, ausgezahlten Beträgen und Deckungssätzen, enthalten die Tabellen A1, A2a, A2b und A3 der Arbeitsunterlage.</w:t>
      </w:r>
    </w:p>
    <w:p>
      <w:pPr>
        <w:pStyle w:val="ManualHeading2"/>
        <w:ind w:left="0" w:firstLine="0"/>
        <w:rPr>
          <w:noProof/>
        </w:rPr>
      </w:pPr>
      <w:bookmarkStart w:id="56" w:name="_Toc389474756"/>
      <w:bookmarkStart w:id="57" w:name="_Toc390944388"/>
      <w:bookmarkStart w:id="58" w:name="_Toc393969959"/>
      <w:bookmarkStart w:id="59" w:name="_Toc417461966"/>
      <w:bookmarkStart w:id="60" w:name="_Toc417998600"/>
      <w:bookmarkStart w:id="61" w:name="_Toc418157626"/>
      <w:bookmarkStart w:id="62" w:name="_Toc418160307"/>
      <w:bookmarkStart w:id="63" w:name="_Toc423680506"/>
      <w:r>
        <w:rPr>
          <w:noProof/>
        </w:rPr>
        <w:t>3.1.</w:t>
      </w:r>
      <w:r>
        <w:rPr>
          <w:noProof/>
        </w:rPr>
        <w:tab/>
        <w:t xml:space="preserve">Direkt von der </w:t>
      </w:r>
      <w:bookmarkEnd w:id="56"/>
      <w:r>
        <w:rPr>
          <w:noProof/>
        </w:rPr>
        <w:t>Kommission verwaltete Transaktionen</w:t>
      </w:r>
      <w:bookmarkEnd w:id="57"/>
      <w:bookmarkEnd w:id="58"/>
      <w:bookmarkEnd w:id="59"/>
      <w:bookmarkEnd w:id="60"/>
      <w:bookmarkEnd w:id="61"/>
      <w:bookmarkEnd w:id="62"/>
      <w:bookmarkEnd w:id="63"/>
      <w:r>
        <w:rPr>
          <w:noProof/>
        </w:rPr>
        <w:t xml:space="preserve"> </w:t>
      </w:r>
    </w:p>
    <w:p>
      <w:pPr>
        <w:pStyle w:val="ManualHeading3"/>
        <w:rPr>
          <w:noProof/>
        </w:rPr>
      </w:pPr>
      <w:bookmarkStart w:id="64" w:name="_Toc390944389"/>
      <w:bookmarkStart w:id="65" w:name="_Toc393969960"/>
      <w:bookmarkStart w:id="66" w:name="_Toc417461967"/>
      <w:bookmarkStart w:id="67" w:name="_Toc417998601"/>
      <w:bookmarkStart w:id="68" w:name="_Toc418157627"/>
      <w:bookmarkStart w:id="69" w:name="_Toc418160308"/>
      <w:bookmarkStart w:id="70" w:name="_Toc423680507"/>
      <w:r>
        <w:rPr>
          <w:noProof/>
        </w:rPr>
        <w:t>3.1.1.</w:t>
      </w:r>
      <w:r>
        <w:rPr>
          <w:noProof/>
        </w:rPr>
        <w:tab/>
        <w:t>Europäischer Finanzstabilisierungsmechanismus</w:t>
      </w:r>
      <w:bookmarkEnd w:id="64"/>
      <w:bookmarkEnd w:id="65"/>
      <w:bookmarkEnd w:id="66"/>
      <w:bookmarkEnd w:id="67"/>
      <w:bookmarkEnd w:id="68"/>
      <w:bookmarkEnd w:id="69"/>
      <w:r>
        <w:rPr>
          <w:noProof/>
        </w:rPr>
        <w:t xml:space="preserve"> (EFSM)</w:t>
      </w:r>
      <w:bookmarkEnd w:id="70"/>
    </w:p>
    <w:p>
      <w:pPr>
        <w:rPr>
          <w:noProof/>
        </w:rPr>
      </w:pPr>
      <w:r>
        <w:rPr>
          <w:noProof/>
        </w:rPr>
        <w:t>In seinen Schlussfolgerungen vom 9./10. Mai 2010 hat der Ecofin-Rat das maximale Finanzvolumen des Mechanismus auf 60 Mrd. EUR festgesetzt.</w:t>
      </w:r>
      <w:r>
        <w:rPr>
          <w:rStyle w:val="Funotenzeichen"/>
          <w:noProof/>
        </w:rPr>
        <w:footnoteReference w:id="14"/>
      </w:r>
      <w:r>
        <w:rPr>
          <w:noProof/>
        </w:rPr>
        <w:t xml:space="preserve"> Zusätzlich ist die Höhe der ausstehenden Darlehen oder Kreditlinien, die Mitgliedstaaten gewährt werden, gemäß Artikel 2 Absatz 2 der Verordnung Nr. 407/2010</w:t>
      </w:r>
      <w:r>
        <w:rPr>
          <w:rStyle w:val="FootnoteReference"/>
          <w:noProof/>
        </w:rPr>
        <w:footnoteReference w:id="15"/>
      </w:r>
      <w:r>
        <w:rPr>
          <w:noProof/>
        </w:rPr>
        <w:t xml:space="preserve"> auf den bei den Mitteln für Zahlungen bis zur Eigenmittel-Obergrenze vorhandenen Spielraum begrenzt.</w:t>
      </w:r>
    </w:p>
    <w:p>
      <w:pPr>
        <w:rPr>
          <w:noProof/>
        </w:rPr>
      </w:pPr>
      <w:r>
        <w:rPr>
          <w:noProof/>
        </w:rPr>
        <w:t>Gemäß den Ratsbeschlüssen über einen finanziellen Beistand der Union für Irland</w:t>
      </w:r>
      <w:r>
        <w:rPr>
          <w:rStyle w:val="FootnoteReference"/>
          <w:noProof/>
        </w:rPr>
        <w:footnoteReference w:id="16"/>
      </w:r>
      <w:r>
        <w:rPr>
          <w:noProof/>
        </w:rPr>
        <w:t xml:space="preserve"> (bis zu 22,5 Mrd. EUR) und Portugal</w:t>
      </w:r>
      <w:r>
        <w:rPr>
          <w:rStyle w:val="FootnoteReference"/>
          <w:noProof/>
        </w:rPr>
        <w:footnoteReference w:id="17"/>
      </w:r>
      <w:r>
        <w:rPr>
          <w:noProof/>
        </w:rPr>
        <w:t xml:space="preserve"> (bis zu 26 Mrd. EUR) wurden 22,5 Mrd. EUR an Irland und 24,3 Mrd. EUR an Portugal ausgezahlt.</w:t>
      </w:r>
    </w:p>
    <w:p>
      <w:pPr>
        <w:spacing w:after="240"/>
        <w:rPr>
          <w:noProof/>
          <w:u w:val="single"/>
        </w:rPr>
      </w:pPr>
      <w:r>
        <w:rPr>
          <w:noProof/>
          <w:u w:val="single"/>
        </w:rPr>
        <w:t>Entwicklungen im Jahr 2014</w:t>
      </w:r>
    </w:p>
    <w:p>
      <w:pPr>
        <w:rPr>
          <w:rFonts w:cs="Arial"/>
          <w:noProof/>
        </w:rPr>
      </w:pPr>
      <w:r>
        <w:rPr>
          <w:noProof/>
        </w:rPr>
        <w:t xml:space="preserve">Im März 2014 wurde die letzte Tranche von 800 Mio. EUR an Irland ausgezahlt, womit die Darlehenskapazität für das Land voll ausgeschöpft wurde. </w:t>
      </w:r>
    </w:p>
    <w:p>
      <w:pPr>
        <w:rPr>
          <w:rFonts w:cs="Arial"/>
          <w:noProof/>
        </w:rPr>
      </w:pPr>
      <w:r>
        <w:rPr>
          <w:noProof/>
        </w:rPr>
        <w:t>An Portugal wurden 2,2 Mrd. EUR in zwei Tranchen ausgezahlt. Die verbleibenden 1,7 Mrd. EUR werden nicht ausgezahlt, da die portugiesische Regierung beschlossen hat, keine Auszahlung zu beantragen. Zudem ist die Auszahlungsfrist bereits verstrichen.</w:t>
      </w:r>
    </w:p>
    <w:p>
      <w:pPr>
        <w:rPr>
          <w:noProof/>
        </w:rPr>
      </w:pPr>
      <w:r>
        <w:rPr>
          <w:noProof/>
        </w:rPr>
        <w:t>Zum 31. Dezember 2014 waren von der Gesamtdarlehenskapazität des EFSM von 60 Mrd. EUR noch 13,2 Mrd. EUR verfügbar, mit denen den Mitgliedstaaten des Euro-Währungsgebiets erforderlichenfalls weiterer Beistand gewährt werden kann</w:t>
      </w:r>
      <w:r>
        <w:rPr>
          <w:rStyle w:val="FootnoteReference"/>
          <w:noProof/>
        </w:rPr>
        <w:footnoteReference w:id="18"/>
      </w:r>
      <w:r>
        <w:rPr>
          <w:noProof/>
        </w:rPr>
        <w:t>.</w:t>
      </w:r>
    </w:p>
    <w:p>
      <w:pPr>
        <w:pStyle w:val="ManualHeading3"/>
        <w:rPr>
          <w:noProof/>
        </w:rPr>
      </w:pPr>
      <w:bookmarkStart w:id="71" w:name="_Toc390944390"/>
      <w:bookmarkStart w:id="72" w:name="_Toc393969961"/>
      <w:bookmarkStart w:id="73" w:name="_Toc417461968"/>
      <w:bookmarkStart w:id="74" w:name="_Toc417998602"/>
      <w:bookmarkStart w:id="75" w:name="_Toc418157628"/>
      <w:bookmarkStart w:id="76" w:name="_Toc418160309"/>
      <w:bookmarkStart w:id="77" w:name="_Toc423680508"/>
      <w:r>
        <w:rPr>
          <w:noProof/>
        </w:rPr>
        <w:t>3.1.2.</w:t>
      </w:r>
      <w:r>
        <w:rPr>
          <w:noProof/>
        </w:rPr>
        <w:tab/>
        <w:t>Zahlungsbilanzfazilität</w:t>
      </w:r>
      <w:bookmarkEnd w:id="71"/>
      <w:bookmarkEnd w:id="72"/>
      <w:bookmarkEnd w:id="73"/>
      <w:bookmarkEnd w:id="74"/>
      <w:bookmarkEnd w:id="75"/>
      <w:bookmarkEnd w:id="76"/>
      <w:bookmarkEnd w:id="77"/>
    </w:p>
    <w:p>
      <w:pPr>
        <w:rPr>
          <w:noProof/>
        </w:rPr>
      </w:pPr>
      <w:r>
        <w:rPr>
          <w:noProof/>
        </w:rPr>
        <w:t xml:space="preserve">Der mittelfristige finanzielle Beistand der EU im Rahmen der Zahlungsbilanzfazilität wurde im November 2008 wieder aktiviert, um Ungarn sowie im Januar bzw. Mai 2009 Lettland und Rumänien mit einer Gesamtzusage von 14,6 Mrd. EUR bei der Wiederherstellung des Marktvertrauens zu unterstützen. 1,2 Mrd. EUR dieses Betrags werden nicht mehr ausgezahlt, da keine Anträge gestellt wurden und die Auszahlungsfrist inzwischen verstrichen ist. </w:t>
      </w:r>
    </w:p>
    <w:p>
      <w:pPr>
        <w:keepNext/>
        <w:spacing w:after="240"/>
        <w:rPr>
          <w:noProof/>
          <w:u w:val="single"/>
        </w:rPr>
      </w:pPr>
      <w:r>
        <w:rPr>
          <w:noProof/>
          <w:u w:val="single"/>
        </w:rPr>
        <w:t>Entwicklungen im Jahr 2014</w:t>
      </w:r>
    </w:p>
    <w:p>
      <w:pPr>
        <w:rPr>
          <w:noProof/>
        </w:rPr>
      </w:pPr>
      <w:r>
        <w:rPr>
          <w:noProof/>
        </w:rPr>
        <w:t xml:space="preserve">Ungarn zahlte 2 Mrd. EUR zurück und Lettland 1 Mrd. EUR. </w:t>
      </w:r>
    </w:p>
    <w:p>
      <w:pPr>
        <w:rPr>
          <w:noProof/>
        </w:rPr>
      </w:pPr>
      <w:r>
        <w:rPr>
          <w:noProof/>
        </w:rPr>
        <w:t>Für Rumänien beschloss der Rat am 22. Oktober 2013 einen zweiten vorsorglichen mittelfristigen finanziellen Beistand</w:t>
      </w:r>
      <w:r>
        <w:rPr>
          <w:rStyle w:val="FootnoteReference"/>
          <w:noProof/>
        </w:rPr>
        <w:footnoteReference w:id="19"/>
      </w:r>
      <w:r>
        <w:rPr>
          <w:noProof/>
        </w:rPr>
        <w:t xml:space="preserve"> in Höhe von bis zu 2 Mrd. EUR in Form eines Darlehens mit einer durchschnittlichen Laufzeit von höchstens acht Jahren. Bislang wurden noch keine Mittel ausgeschüttet, doch die Fazilität kann noch bis zum 30. September 2015 aktiviert werden, sodass Mittel beantragt werden können.</w:t>
      </w:r>
    </w:p>
    <w:p>
      <w:pPr>
        <w:rPr>
          <w:noProof/>
        </w:rPr>
      </w:pPr>
      <w:r>
        <w:rPr>
          <w:noProof/>
        </w:rPr>
        <w:t xml:space="preserve">Zum 31. Dezember 2014 waren von der Gesamtkapazität der Zahlungsbilanzfazilität über 50 Mrd. EUR noch 39,6 Mrd. EUR für eventuell erforderliche weitere Hilfen verfügbar. </w:t>
      </w:r>
    </w:p>
    <w:p>
      <w:pPr>
        <w:autoSpaceDE w:val="0"/>
        <w:autoSpaceDN w:val="0"/>
        <w:adjustRightInd w:val="0"/>
        <w:spacing w:before="0" w:after="240"/>
        <w:rPr>
          <w:noProof/>
        </w:rPr>
      </w:pPr>
      <w:r>
        <w:rPr>
          <w:noProof/>
        </w:rPr>
        <w:t xml:space="preserve">Der Betrag der ausstehenden Zahlungsbilanzdarlehen sank 2014 von 11,4 Mrd. EUR auf 8,4 Mrd. EUR. </w:t>
      </w:r>
    </w:p>
    <w:p>
      <w:pPr>
        <w:spacing w:after="240"/>
        <w:rPr>
          <w:noProof/>
          <w:u w:val="single"/>
        </w:rPr>
      </w:pPr>
      <w:r>
        <w:rPr>
          <w:noProof/>
          <w:u w:val="single"/>
        </w:rPr>
        <w:t>Entwicklungen nach dem 31. Dezember 2014</w:t>
      </w:r>
    </w:p>
    <w:p>
      <w:pPr>
        <w:rPr>
          <w:noProof/>
        </w:rPr>
      </w:pPr>
      <w:r>
        <w:rPr>
          <w:noProof/>
        </w:rPr>
        <w:t>Im Januar 2015 wurden zwei weitere Rückzahlungen getätigt: 1,2 Mrd. EUR von Lettland und 1,5 Mrd. EUR von Rumänien. Damit belaufen sich die ausstehenden Zahlungsbilanzdarlehen per 31. März 2015 auf 5,7 Mrd. EUR.</w:t>
      </w:r>
    </w:p>
    <w:p>
      <w:pPr>
        <w:pStyle w:val="ManualHeading3"/>
        <w:rPr>
          <w:noProof/>
        </w:rPr>
      </w:pPr>
      <w:bookmarkStart w:id="78" w:name="_Toc390944391"/>
      <w:bookmarkStart w:id="79" w:name="_Toc393969962"/>
      <w:bookmarkStart w:id="80" w:name="_Toc417461969"/>
      <w:bookmarkStart w:id="81" w:name="_Toc417998603"/>
      <w:bookmarkStart w:id="82" w:name="_Toc418157629"/>
      <w:bookmarkStart w:id="83" w:name="_Toc418160310"/>
      <w:bookmarkStart w:id="84" w:name="_Toc423680509"/>
      <w:r>
        <w:rPr>
          <w:noProof/>
        </w:rPr>
        <w:t>3.1.3.</w:t>
      </w:r>
      <w:r>
        <w:rPr>
          <w:noProof/>
        </w:rPr>
        <w:tab/>
        <w:t>Makrofinanzhilfedarlehen</w:t>
      </w:r>
      <w:bookmarkEnd w:id="78"/>
      <w:bookmarkEnd w:id="79"/>
      <w:bookmarkEnd w:id="80"/>
      <w:bookmarkEnd w:id="81"/>
      <w:bookmarkEnd w:id="82"/>
      <w:bookmarkEnd w:id="83"/>
      <w:bookmarkEnd w:id="84"/>
    </w:p>
    <w:p>
      <w:pPr>
        <w:autoSpaceDE w:val="0"/>
        <w:autoSpaceDN w:val="0"/>
        <w:adjustRightInd w:val="0"/>
        <w:spacing w:before="0" w:after="240"/>
        <w:rPr>
          <w:noProof/>
        </w:rPr>
      </w:pPr>
      <w:r>
        <w:rPr>
          <w:noProof/>
        </w:rPr>
        <w:t>Beschlüsse über Makrofinanzhilfen werden in der Regel vom Europäischen Parlament und vom Rat erlassen (Artikel 212 AEUV). Jedoch kann der Rat einen Beschluss auf Vorschlag der Kommission erlassen, wenn die Lage in einem Drittland eine umgehende finanzielle Hilfe erfordert (Artikel 213 AEUV); dieses Verfahren kam im Fall des zweiten Makrofinanzhilfepakets für die Ukraine im Jahr 2014 zur Anwendung.</w:t>
      </w:r>
    </w:p>
    <w:p>
      <w:pPr>
        <w:spacing w:after="240"/>
        <w:rPr>
          <w:noProof/>
          <w:u w:val="single"/>
        </w:rPr>
      </w:pPr>
      <w:r>
        <w:rPr>
          <w:noProof/>
          <w:u w:val="single"/>
        </w:rPr>
        <w:t>Entwicklungen im Jahr 2014</w:t>
      </w:r>
    </w:p>
    <w:p>
      <w:pPr>
        <w:spacing w:after="240"/>
        <w:rPr>
          <w:noProof/>
        </w:rPr>
      </w:pPr>
      <w:r>
        <w:rPr>
          <w:noProof/>
        </w:rPr>
        <w:t>Am 14. April 2014 beschloss der Rat MFA-Darlehen für die Ukraine</w:t>
      </w:r>
      <w:r>
        <w:rPr>
          <w:rStyle w:val="FootnoteReference"/>
          <w:noProof/>
        </w:rPr>
        <w:footnoteReference w:id="20"/>
      </w:r>
      <w:r>
        <w:rPr>
          <w:noProof/>
        </w:rPr>
        <w:t xml:space="preserve"> in Höhe von bis zu 1 Mrd. EUR, die 2014 vollständig ausgezahlt wurden. </w:t>
      </w:r>
    </w:p>
    <w:p>
      <w:pPr>
        <w:spacing w:after="240"/>
        <w:rPr>
          <w:noProof/>
        </w:rPr>
      </w:pPr>
      <w:r>
        <w:rPr>
          <w:noProof/>
        </w:rPr>
        <w:t>Die für die Ukraine 2010 genehmigte Makrofinanzhilfe</w:t>
      </w:r>
      <w:r>
        <w:rPr>
          <w:noProof/>
          <w:vertAlign w:val="superscript"/>
        </w:rPr>
        <w:footnoteReference w:id="21"/>
      </w:r>
      <w:r>
        <w:rPr>
          <w:noProof/>
        </w:rPr>
        <w:t xml:space="preserve"> beläuft sich zusammen mit den noch verfügbaren Mitteln aus der 2002 genehmigten Hilfe</w:t>
      </w:r>
      <w:r>
        <w:rPr>
          <w:rStyle w:val="FootnoteReference"/>
          <w:noProof/>
        </w:rPr>
        <w:footnoteReference w:id="22"/>
      </w:r>
      <w:r>
        <w:rPr>
          <w:noProof/>
        </w:rPr>
        <w:t xml:space="preserve"> auf insgesamt 610 Mio. EUR in Form von Darlehen. 2014 wurden 360 Mio EUR ausgezahlt. </w:t>
      </w:r>
    </w:p>
    <w:p>
      <w:pPr>
        <w:rPr>
          <w:noProof/>
        </w:rPr>
      </w:pPr>
      <w:r>
        <w:rPr>
          <w:noProof/>
        </w:rPr>
        <w:t>Am 15. Mai 2014 beschlossen das Europäische Parlament und der Rat eine Makrofinanzhilfe für die Tunesische Republik</w:t>
      </w:r>
      <w:r>
        <w:rPr>
          <w:rStyle w:val="FootnoteReference"/>
          <w:noProof/>
        </w:rPr>
        <w:footnoteReference w:id="23"/>
      </w:r>
      <w:r>
        <w:rPr>
          <w:noProof/>
        </w:rPr>
        <w:t xml:space="preserve"> von bis zu 300 Mio. EUR in Form von Darlehen. </w:t>
      </w:r>
    </w:p>
    <w:p>
      <w:pPr>
        <w:autoSpaceDE w:val="0"/>
        <w:rPr>
          <w:rFonts w:cs="Arial"/>
          <w:noProof/>
        </w:rPr>
      </w:pPr>
      <w:r>
        <w:rPr>
          <w:noProof/>
        </w:rPr>
        <w:t xml:space="preserve">Die Rückzahlungen der Empfängerländer beliefen sich auf 96 Mio. EUR (Bosnien und Herzegowina: 4 Mio. EUR, Ehemalige Jugoslawische Republik Mazedonien: 10 Mio. EUR, Libanon: 25 Mio. EUR, Montenegro: 1 Mio. EUR, Serbien: 52 Mio. EUR und Tadschikistan: 4 Mio. EUR). </w:t>
      </w:r>
    </w:p>
    <w:p>
      <w:pPr>
        <w:autoSpaceDE w:val="0"/>
        <w:autoSpaceDN w:val="0"/>
        <w:adjustRightInd w:val="0"/>
        <w:rPr>
          <w:noProof/>
        </w:rPr>
      </w:pPr>
      <w:r>
        <w:rPr>
          <w:noProof/>
        </w:rPr>
        <w:t xml:space="preserve">Der Betrag der ausstehenden MFA-Darlehen ist im Berichtszeitraum von 564,6 Mio. EUR auf 1828,6 Mio. EUR gestiegen. </w:t>
      </w:r>
    </w:p>
    <w:p>
      <w:pPr>
        <w:spacing w:after="240"/>
        <w:rPr>
          <w:noProof/>
          <w:u w:val="single"/>
        </w:rPr>
      </w:pPr>
      <w:r>
        <w:rPr>
          <w:noProof/>
          <w:u w:val="single"/>
        </w:rPr>
        <w:t>Entwicklungen nach dem 31. Dezember 2014</w:t>
      </w:r>
    </w:p>
    <w:p>
      <w:pPr>
        <w:spacing w:after="240"/>
        <w:rPr>
          <w:noProof/>
        </w:rPr>
      </w:pPr>
      <w:r>
        <w:rPr>
          <w:noProof/>
        </w:rPr>
        <w:t>Die erste Tranche an Jordanien über 100 Mio. EUR (von den beschlossenen 180 Mio. EUR) wurde im Februar 2015 ausgezahlt.</w:t>
      </w:r>
    </w:p>
    <w:p>
      <w:pPr>
        <w:spacing w:after="240"/>
        <w:rPr>
          <w:noProof/>
        </w:rPr>
      </w:pPr>
      <w:r>
        <w:rPr>
          <w:noProof/>
        </w:rPr>
        <w:t>Im April 2015 wurde der verbleibende Betrag von 250 Mio. EUR der früher bewilligten MFA an die Ukraine gemeinsam mit der ersten Tranche an Georgien über 10 Mio. EUR (von den bewilligten 23 Mio. EUR) ausgezahlt.</w:t>
      </w:r>
    </w:p>
    <w:p>
      <w:pPr>
        <w:spacing w:after="240"/>
        <w:rPr>
          <w:noProof/>
        </w:rPr>
      </w:pPr>
      <w:r>
        <w:rPr>
          <w:noProof/>
        </w:rPr>
        <w:t>Die erste Tranche an Tunesien über 100 Mio. EUR (von den bewilligten 300 Mio. EUR) wurde im Mai 2015 ausgezahlt.</w:t>
      </w:r>
    </w:p>
    <w:p>
      <w:pPr>
        <w:pStyle w:val="ManualHeading3"/>
        <w:rPr>
          <w:noProof/>
        </w:rPr>
      </w:pPr>
      <w:bookmarkStart w:id="85" w:name="_Toc390944392"/>
      <w:bookmarkStart w:id="86" w:name="_Toc393969963"/>
      <w:bookmarkStart w:id="87" w:name="_Toc418157630"/>
      <w:bookmarkStart w:id="88" w:name="_Toc418160311"/>
      <w:bookmarkStart w:id="89" w:name="_Toc423680510"/>
      <w:r>
        <w:rPr>
          <w:noProof/>
        </w:rPr>
        <w:t>3.1.4.</w:t>
      </w:r>
      <w:r>
        <w:rPr>
          <w:noProof/>
        </w:rPr>
        <w:tab/>
        <w:t>Euratom-Darlehen</w:t>
      </w:r>
      <w:bookmarkEnd w:id="85"/>
      <w:bookmarkEnd w:id="86"/>
      <w:bookmarkEnd w:id="87"/>
      <w:bookmarkEnd w:id="88"/>
      <w:bookmarkEnd w:id="89"/>
    </w:p>
    <w:p>
      <w:pPr>
        <w:rPr>
          <w:noProof/>
        </w:rPr>
      </w:pPr>
      <w:r>
        <w:rPr>
          <w:noProof/>
        </w:rPr>
        <w:t xml:space="preserve">Die von Euratom an Mitgliedstaaten oder an bestimmte Drittländer (Russische Föderation, Armenien, Ukraine) gewährten Darlehen dürfen insgesamt 4 Mrd. EUR nicht übersteigen, wovon rund 85 % bereits ausgezahlt sind. Ein Darlehen in Höhe von 300 Mio. EUR für die Ukraine, das für die Erhöhung der Betriebssicherheit von Kernkraftwerken bestimmt ist, wurde am 7. August 2013 unterzeichnet. Die Auszahlung kann erfolgen, sobald alle Wirksamkeitsvoraussetzungen hinreichend erfüllt sind. </w:t>
      </w:r>
    </w:p>
    <w:p>
      <w:pPr>
        <w:rPr>
          <w:noProof/>
        </w:rPr>
      </w:pPr>
      <w:r>
        <w:rPr>
          <w:noProof/>
        </w:rPr>
        <w:t>Die von den bewilligten 4 Mrd. EUR noch verbleibenden 326 Mio. EUR können für neue Projekte genutzt werden.</w:t>
      </w:r>
    </w:p>
    <w:p>
      <w:pPr>
        <w:rPr>
          <w:noProof/>
          <w:u w:val="single"/>
        </w:rPr>
      </w:pPr>
      <w:r>
        <w:rPr>
          <w:noProof/>
          <w:u w:val="single"/>
        </w:rPr>
        <w:t>Entwicklungen im Jahr 2014</w:t>
      </w:r>
    </w:p>
    <w:p>
      <w:pPr>
        <w:rPr>
          <w:rFonts w:cs="Arial"/>
          <w:noProof/>
        </w:rPr>
      </w:pPr>
      <w:r>
        <w:rPr>
          <w:noProof/>
        </w:rPr>
        <w:t xml:space="preserve">2014 wurden keine Mittel ausgezahlt. Zurückgezahlt wurden 22,6 Mio. EUR von Bulgarien, 10 Mio. EUR von Rumänien und umgerechnet 6,6 Mio. EUR von der Ukraine. </w:t>
      </w:r>
    </w:p>
    <w:p>
      <w:pPr>
        <w:pStyle w:val="ManualHeading2"/>
        <w:rPr>
          <w:noProof/>
        </w:rPr>
      </w:pPr>
      <w:bookmarkStart w:id="90" w:name="_Toc309831361"/>
      <w:bookmarkStart w:id="91" w:name="_Toc329261061"/>
      <w:bookmarkStart w:id="92" w:name="_Toc329855623"/>
      <w:bookmarkStart w:id="93" w:name="_Toc330551228"/>
      <w:bookmarkStart w:id="94" w:name="_Toc342470151"/>
      <w:bookmarkStart w:id="95" w:name="_Toc345073701"/>
      <w:bookmarkStart w:id="96" w:name="_Toc365986218"/>
      <w:bookmarkStart w:id="97" w:name="_Toc367869471"/>
      <w:bookmarkStart w:id="98" w:name="_Toc367869998"/>
      <w:bookmarkStart w:id="99" w:name="_Toc388973016"/>
      <w:bookmarkStart w:id="100" w:name="_Toc389474749"/>
      <w:bookmarkStart w:id="101" w:name="_Toc423680511"/>
      <w:bookmarkStart w:id="102" w:name="_Toc390944393"/>
      <w:bookmarkStart w:id="103" w:name="_Toc393969964"/>
      <w:bookmarkStart w:id="104" w:name="_Toc417461970"/>
      <w:bookmarkStart w:id="105" w:name="_Toc417998604"/>
      <w:bookmarkStart w:id="106" w:name="_Toc418157631"/>
      <w:bookmarkStart w:id="107" w:name="_Toc418160312"/>
      <w:r>
        <w:rPr>
          <w:noProof/>
        </w:rPr>
        <w:t>3.2.</w:t>
      </w:r>
      <w:r>
        <w:rPr>
          <w:noProof/>
        </w:rPr>
        <w:tab/>
        <w:t>Entwicklung der EIB-Finanzierungen</w:t>
      </w:r>
      <w:bookmarkEnd w:id="90"/>
      <w:bookmarkEnd w:id="91"/>
      <w:bookmarkEnd w:id="92"/>
      <w:bookmarkEnd w:id="93"/>
      <w:bookmarkEnd w:id="94"/>
      <w:bookmarkEnd w:id="95"/>
      <w:bookmarkEnd w:id="96"/>
      <w:bookmarkEnd w:id="97"/>
      <w:bookmarkEnd w:id="98"/>
      <w:bookmarkEnd w:id="99"/>
      <w:bookmarkEnd w:id="100"/>
      <w:bookmarkEnd w:id="101"/>
      <w:r>
        <w:rPr>
          <w:noProof/>
        </w:rPr>
        <w:t xml:space="preserve"> </w:t>
      </w:r>
      <w:bookmarkEnd w:id="102"/>
      <w:bookmarkEnd w:id="103"/>
      <w:bookmarkEnd w:id="104"/>
      <w:bookmarkEnd w:id="105"/>
      <w:bookmarkEnd w:id="106"/>
      <w:bookmarkEnd w:id="107"/>
    </w:p>
    <w:p>
      <w:pPr>
        <w:rPr>
          <w:noProof/>
          <w:u w:val="single"/>
        </w:rPr>
      </w:pPr>
      <w:r>
        <w:rPr>
          <w:noProof/>
          <w:u w:val="single"/>
        </w:rPr>
        <w:t>Entwicklungen im Jahr 2014</w:t>
      </w:r>
    </w:p>
    <w:p>
      <w:pPr>
        <w:rPr>
          <w:noProof/>
        </w:rPr>
      </w:pPr>
      <w:r>
        <w:rPr>
          <w:noProof/>
        </w:rPr>
        <w:t xml:space="preserve">Die bestehende EU-Garantie für Finanzierungen der EIB in Drittländern im Zeitraum 2007-2013 (das „Außenmandat 2007-2013“) wurde bis 30. Juni 2014 verlängert, da von Rat und Europäischem Parlament bis 31. Dezember 2013 kein Beschluss über eine neue EU-Garantieleistung für die EIB erlassen wurde. </w:t>
      </w:r>
    </w:p>
    <w:p>
      <w:pPr>
        <w:rPr>
          <w:noProof/>
        </w:rPr>
      </w:pPr>
      <w:r>
        <w:rPr>
          <w:noProof/>
        </w:rPr>
        <w:t>Der neue Beschluss über eine Garantieleistung der EU für EIB-Finanzierungen außerhalb der Union für den Zeitraum 2014-2020</w:t>
      </w:r>
      <w:r>
        <w:rPr>
          <w:rStyle w:val="FootnoteReference"/>
          <w:noProof/>
        </w:rPr>
        <w:footnoteReference w:id="24"/>
      </w:r>
      <w:r>
        <w:rPr>
          <w:noProof/>
        </w:rPr>
        <w:t xml:space="preserve"> wurde im April 2014 erlassen. Er legt fest, dass der durch die EU-Garantie gedeckte Höchstbetrag in einen Festbetrag von maximal 27 Mrd. EUR und einen zusätzlichen fakultativen Betrag in Höhe von 3 Mrd. EUR unterteilt werden sollte. Über die teilweise oder vollständige Aktivierung des zusätzlichen fakultativen Betrags wird gemäß dem ordentlichen Gesetzgebungsverfahren auf der Grundlage der Halbzeitüberprüfung der Anwendung des Beschlusses durch die EIB und die Entwicklung der Tätigkeiten der EIB entschieden. Parallel dazu wurde am 22. Juli 2014 eine neue Garantievereinbarung im Sinne von Artikel 14 des Beschlusses unterzeichnet.</w:t>
      </w:r>
    </w:p>
    <w:p>
      <w:pPr>
        <w:rPr>
          <w:noProof/>
        </w:rPr>
      </w:pPr>
      <w:r>
        <w:rPr>
          <w:noProof/>
        </w:rPr>
        <w:t>Die Darlehensunterzeichnungen im Rahmen der Außenmandate 2007-2013 und 2014-2020 haben sich im Vergleich zum Vorjahr um 15 % auf 4059 Mio. EUR erhöht. Der Gesamtbetrag der ausgezahlten Darlehen betrug 2,26 Mrd. EUR (+17 % verglichen mit dem Stand zum 30. Dezember 2013). Das Außenmandat 2007-2013 wurde beinahe vollständig genutzt: Die Nettounterzeichnungen betrugen 29 026 Mio. EUR, der genehmigte Höchstbetrag 29 484 Mio. EUR. Angaben zu früheren EIB-Außenmandaten finden sich in Tabelle A3 der Arbeitsunterlage.</w:t>
      </w:r>
    </w:p>
    <w:p>
      <w:pPr>
        <w:rPr>
          <w:noProof/>
        </w:rPr>
      </w:pPr>
      <w:r>
        <w:rPr>
          <w:noProof/>
        </w:rPr>
        <w:t>Bei den Zins- und Tilgungszahlungen der syrischen Regierung kam es 2014 zu weiteren Ausfällen. Die EIB hat zur Deckung dieser Ausfälle auf den Garantiefonds zurückgegriffen (siehe Abschnitt 5.1.3).</w:t>
      </w:r>
    </w:p>
    <w:p>
      <w:pPr>
        <w:spacing w:after="0"/>
        <w:rPr>
          <w:noProof/>
        </w:rPr>
      </w:pPr>
      <w:r>
        <w:rPr>
          <w:noProof/>
        </w:rPr>
        <w:t>Die am 31. Dezember 2014 für die verschiedenen Fazilitäten ausstehenden Beträge sind Tabelle 1 zu entnehmen.</w:t>
      </w:r>
    </w:p>
    <w:p>
      <w:pPr>
        <w:pStyle w:val="ManualHeading1"/>
        <w:rPr>
          <w:noProof/>
        </w:rPr>
      </w:pPr>
      <w:bookmarkStart w:id="108" w:name="_Toc309831362"/>
      <w:bookmarkStart w:id="109" w:name="_Toc329261062"/>
      <w:bookmarkStart w:id="110" w:name="_Toc329855624"/>
      <w:bookmarkStart w:id="111" w:name="_Toc330551229"/>
      <w:bookmarkStart w:id="112" w:name="_Toc342470152"/>
      <w:bookmarkStart w:id="113" w:name="_Toc345073702"/>
      <w:bookmarkStart w:id="114" w:name="_Toc365986219"/>
      <w:bookmarkStart w:id="115" w:name="_Toc367869472"/>
      <w:bookmarkStart w:id="116" w:name="_Toc367869999"/>
      <w:bookmarkStart w:id="117" w:name="_Toc388973017"/>
      <w:bookmarkStart w:id="118" w:name="_Toc389474750"/>
      <w:bookmarkStart w:id="119" w:name="_Toc390944394"/>
      <w:bookmarkStart w:id="120" w:name="_Toc393969965"/>
      <w:bookmarkStart w:id="121" w:name="_Toc417461971"/>
      <w:bookmarkStart w:id="122" w:name="_Toc417998605"/>
      <w:bookmarkStart w:id="123" w:name="_Toc418157632"/>
      <w:bookmarkStart w:id="124" w:name="_Toc418160313"/>
      <w:bookmarkStart w:id="125" w:name="_Toc423680512"/>
      <w:r>
        <w:rPr>
          <w:noProof/>
        </w:rPr>
        <w:t>4.</w:t>
      </w:r>
      <w:r>
        <w:rPr>
          <w:noProof/>
        </w:rPr>
        <w:tab/>
        <w:t xml:space="preserve">Vom </w:t>
      </w:r>
      <w:bookmarkEnd w:id="108"/>
      <w:bookmarkEnd w:id="109"/>
      <w:bookmarkEnd w:id="110"/>
      <w:bookmarkEnd w:id="111"/>
      <w:bookmarkEnd w:id="112"/>
      <w:bookmarkEnd w:id="113"/>
      <w:bookmarkEnd w:id="114"/>
      <w:bookmarkEnd w:id="115"/>
      <w:bookmarkEnd w:id="116"/>
      <w:bookmarkEnd w:id="117"/>
      <w:bookmarkEnd w:id="118"/>
      <w:r>
        <w:rPr>
          <w:noProof/>
        </w:rPr>
        <w:t>EU-Haushalt abgedeckte Risiken</w:t>
      </w:r>
      <w:bookmarkEnd w:id="119"/>
      <w:bookmarkEnd w:id="120"/>
      <w:bookmarkEnd w:id="121"/>
      <w:bookmarkEnd w:id="122"/>
      <w:bookmarkEnd w:id="123"/>
      <w:bookmarkEnd w:id="124"/>
      <w:bookmarkEnd w:id="125"/>
    </w:p>
    <w:p>
      <w:pPr>
        <w:pStyle w:val="ManualHeading2"/>
        <w:rPr>
          <w:noProof/>
        </w:rPr>
      </w:pPr>
      <w:bookmarkStart w:id="126" w:name="_Toc309831363"/>
      <w:bookmarkStart w:id="127" w:name="_Toc329261063"/>
      <w:bookmarkStart w:id="128" w:name="_Toc329855625"/>
      <w:bookmarkStart w:id="129" w:name="_Toc330551230"/>
      <w:bookmarkStart w:id="130" w:name="_Toc342470153"/>
      <w:bookmarkStart w:id="131" w:name="_Toc345073703"/>
      <w:bookmarkStart w:id="132" w:name="_Toc365986220"/>
      <w:bookmarkStart w:id="133" w:name="_Toc367869473"/>
      <w:bookmarkStart w:id="134" w:name="_Toc367870000"/>
      <w:bookmarkStart w:id="135" w:name="_Toc388973018"/>
      <w:bookmarkStart w:id="136" w:name="_Toc389474751"/>
      <w:bookmarkStart w:id="137" w:name="_Toc390944395"/>
      <w:bookmarkStart w:id="138" w:name="_Toc393969966"/>
      <w:bookmarkStart w:id="139" w:name="_Toc417461972"/>
      <w:bookmarkStart w:id="140" w:name="_Toc417998606"/>
      <w:bookmarkStart w:id="141" w:name="_Toc418157633"/>
      <w:bookmarkStart w:id="142" w:name="_Toc418160314"/>
      <w:bookmarkStart w:id="143" w:name="_Toc423680513"/>
      <w:r>
        <w:rPr>
          <w:noProof/>
        </w:rPr>
        <w:t>4.1.</w:t>
      </w:r>
      <w:r>
        <w:rPr>
          <w:noProof/>
        </w:rPr>
        <w:tab/>
        <w:t>Risikodefinition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rPr>
          <w:noProof/>
        </w:rPr>
      </w:pPr>
      <w:r>
        <w:rPr>
          <w:noProof/>
        </w:rPr>
        <w:t>Die Risiken für den EU-Haushalt erwachsen aus den bei den garantierten Transaktionen ausstehenden Kapitalbeträgen und Zinsen.</w:t>
      </w:r>
    </w:p>
    <w:p>
      <w:pPr>
        <w:rPr>
          <w:noProof/>
        </w:rPr>
      </w:pPr>
      <w:r>
        <w:rPr>
          <w:noProof/>
        </w:rPr>
        <w:t>Für die Zwecke dieses Berichts werden die vom EU-Haushalt (direkt oder indirekt über den Garantiefonds) gedeckten Risiken nach zwei Methoden berechnet:</w:t>
      </w:r>
    </w:p>
    <w:p>
      <w:pPr>
        <w:pStyle w:val="ListDash"/>
        <w:rPr>
          <w:noProof/>
        </w:rPr>
      </w:pPr>
      <w:r>
        <w:rPr>
          <w:noProof/>
        </w:rPr>
        <w:t>Berechnung des „gedeckten Gesamtrisikos“, d. h. des zu einem bestimmten Termin bei den betreffenden Transaktionen insgesamt ausstehenden Kapitals einschließlich aufgelaufener Zinsen</w:t>
      </w:r>
      <w:r>
        <w:rPr>
          <w:rStyle w:val="FootnoteReference"/>
          <w:noProof/>
        </w:rPr>
        <w:footnoteReference w:id="25"/>
      </w:r>
      <w:r>
        <w:rPr>
          <w:noProof/>
        </w:rPr>
        <w:t xml:space="preserve">. </w:t>
      </w:r>
    </w:p>
    <w:p>
      <w:pPr>
        <w:pStyle w:val="ListDash"/>
        <w:rPr>
          <w:noProof/>
        </w:rPr>
      </w:pPr>
      <w:r>
        <w:rPr>
          <w:noProof/>
        </w:rPr>
        <w:t>Berechnung des „jährlichen Risikos für den EU-Haushalt”, d. h. des Betrags, den die EU in einem Haushaltsjahr maximal an jährlich fällig werdenden Zahlungen übernehmen müsste, falls alle garantierten Darlehen ausfallen</w:t>
      </w:r>
      <w:r>
        <w:rPr>
          <w:rStyle w:val="Funotenzeichen"/>
          <w:noProof/>
        </w:rPr>
        <w:footnoteReference w:id="26"/>
      </w:r>
      <w:r>
        <w:rPr>
          <w:noProof/>
        </w:rPr>
        <w:t>.</w:t>
      </w:r>
    </w:p>
    <w:p>
      <w:pPr>
        <w:pStyle w:val="ManualHeading2"/>
        <w:rPr>
          <w:noProof/>
        </w:rPr>
      </w:pPr>
      <w:bookmarkStart w:id="144" w:name="_Toc309831364"/>
      <w:bookmarkStart w:id="145" w:name="_Toc329261064"/>
      <w:bookmarkStart w:id="146" w:name="_Toc329855626"/>
      <w:bookmarkStart w:id="147" w:name="_Toc330551231"/>
      <w:bookmarkStart w:id="148" w:name="_Toc342470154"/>
      <w:bookmarkStart w:id="149" w:name="_Toc345073704"/>
      <w:bookmarkStart w:id="150" w:name="_Toc365986221"/>
      <w:bookmarkStart w:id="151" w:name="_Toc367869474"/>
      <w:bookmarkStart w:id="152" w:name="_Toc367870001"/>
      <w:bookmarkStart w:id="153" w:name="_Toc388973019"/>
      <w:bookmarkStart w:id="154" w:name="_Toc389474752"/>
      <w:bookmarkStart w:id="155" w:name="_Toc390944396"/>
      <w:bookmarkStart w:id="156" w:name="_Toc393969967"/>
      <w:bookmarkStart w:id="157" w:name="_Toc417461973"/>
      <w:bookmarkStart w:id="158" w:name="_Toc417998607"/>
      <w:bookmarkStart w:id="159" w:name="_Toc418157634"/>
      <w:bookmarkStart w:id="160" w:name="_Toc418160315"/>
      <w:bookmarkStart w:id="161" w:name="_Toc423680514"/>
      <w:r>
        <w:rPr>
          <w:noProof/>
        </w:rPr>
        <w:t>4.2.</w:t>
      </w:r>
      <w:r>
        <w:rPr>
          <w:noProof/>
        </w:rPr>
        <w:tab/>
        <w:t>Gesamtrisikozusammensetzung</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rPr>
          <w:noProof/>
        </w:rPr>
      </w:pPr>
      <w:r>
        <w:rPr>
          <w:noProof/>
        </w:rPr>
        <w:t>Bis 2010 erwuchs das größte Risiko im Hinblick auf die insgesamt ausstehenden gedeckten Beträge in erster Linie aus den Darlehen an Drittländer. Angesichts der gravierenden Auswirkungen der Finanzkrise auf die öffentlichen Finanzen der Mitgliedstaaten hat die EU seit 2011 ihre Darlehenstätigkeit in diesem Bereich verstärkt, um zur Deckung des erhöhten staatlichen Finanzierungsbedarfs der Mitgliedstaaten beizutragen.</w:t>
      </w:r>
    </w:p>
    <w:p>
      <w:pPr>
        <w:rPr>
          <w:noProof/>
        </w:rPr>
      </w:pPr>
      <w:r>
        <w:rPr>
          <w:noProof/>
        </w:rPr>
        <w:t>Infolgedessen hat sich die Risikozusammensetzung verändert. Zum 31. Dezember 2014 betrafen 69 % der insgesamt ausstehenden Beträge</w:t>
      </w:r>
      <w:r>
        <w:rPr>
          <w:rStyle w:val="FootnoteReference"/>
          <w:noProof/>
        </w:rPr>
        <w:footnoteReference w:id="27"/>
      </w:r>
      <w:r>
        <w:rPr>
          <w:noProof/>
        </w:rPr>
        <w:t xml:space="preserve"> Anleihetransaktionen im Zusammenhang mit direkt durch den EU-Haushalt gedeckten Darlehen an Mitgliedstaaten (gegenüber 45 % zum 31.12.2010).</w:t>
      </w:r>
    </w:p>
    <w:p>
      <w:pPr>
        <w:pStyle w:val="ManualHeading2"/>
        <w:rPr>
          <w:noProof/>
        </w:rPr>
      </w:pPr>
      <w:bookmarkStart w:id="162" w:name="_Toc342470155"/>
      <w:bookmarkStart w:id="163" w:name="_Toc309831365"/>
      <w:bookmarkStart w:id="164" w:name="_Toc329261065"/>
      <w:bookmarkStart w:id="165" w:name="_Toc329855627"/>
      <w:bookmarkStart w:id="166" w:name="_Toc330551232"/>
      <w:bookmarkStart w:id="167" w:name="_Toc342470159"/>
      <w:bookmarkStart w:id="168" w:name="_Toc345073705"/>
      <w:bookmarkStart w:id="169" w:name="_Toc365986222"/>
      <w:bookmarkStart w:id="170" w:name="_Toc367869475"/>
      <w:bookmarkStart w:id="171" w:name="_Toc367870002"/>
      <w:bookmarkStart w:id="172" w:name="_Toc388973020"/>
      <w:bookmarkStart w:id="173" w:name="_Toc389474753"/>
      <w:bookmarkStart w:id="174" w:name="_Toc390944397"/>
      <w:bookmarkStart w:id="175" w:name="_Toc393969968"/>
      <w:bookmarkStart w:id="176" w:name="_Toc417461974"/>
      <w:bookmarkStart w:id="177" w:name="_Toc417998608"/>
      <w:bookmarkStart w:id="178" w:name="_Toc418157635"/>
      <w:bookmarkStart w:id="179" w:name="_Toc418160316"/>
      <w:bookmarkStart w:id="180" w:name="_Toc423680515"/>
      <w:bookmarkEnd w:id="162"/>
      <w:r>
        <w:rPr>
          <w:noProof/>
        </w:rPr>
        <w:t>4.3.</w:t>
      </w:r>
      <w:r>
        <w:rPr>
          <w:noProof/>
        </w:rPr>
        <w:tab/>
        <w:t xml:space="preserve">Vom </w:t>
      </w:r>
      <w:bookmarkEnd w:id="163"/>
      <w:bookmarkEnd w:id="164"/>
      <w:bookmarkEnd w:id="165"/>
      <w:bookmarkEnd w:id="166"/>
      <w:bookmarkEnd w:id="167"/>
      <w:bookmarkEnd w:id="168"/>
      <w:bookmarkEnd w:id="169"/>
      <w:bookmarkEnd w:id="170"/>
      <w:bookmarkEnd w:id="171"/>
      <w:bookmarkEnd w:id="172"/>
      <w:bookmarkEnd w:id="173"/>
      <w:r>
        <w:rPr>
          <w:noProof/>
        </w:rPr>
        <w:t>EU-Haushalt gedecktes jährliches Risiko</w:t>
      </w:r>
      <w:bookmarkEnd w:id="174"/>
      <w:bookmarkEnd w:id="175"/>
      <w:bookmarkEnd w:id="176"/>
      <w:bookmarkEnd w:id="177"/>
      <w:bookmarkEnd w:id="178"/>
      <w:bookmarkEnd w:id="179"/>
      <w:bookmarkEnd w:id="180"/>
    </w:p>
    <w:p>
      <w:pPr>
        <w:rPr>
          <w:noProof/>
        </w:rPr>
      </w:pPr>
      <w:r>
        <w:rPr>
          <w:noProof/>
        </w:rPr>
        <w:t xml:space="preserve">Der höchste Betrag, den die EU (direkt bzw. über den Garantiefonds) für 2015 – unter der </w:t>
      </w:r>
      <w:r>
        <w:rPr>
          <w:i/>
          <w:noProof/>
        </w:rPr>
        <w:t>Annahme</w:t>
      </w:r>
      <w:r>
        <w:rPr>
          <w:noProof/>
        </w:rPr>
        <w:t xml:space="preserve">, dass </w:t>
      </w:r>
      <w:r>
        <w:rPr>
          <w:i/>
          <w:noProof/>
        </w:rPr>
        <w:t>sämtliche</w:t>
      </w:r>
      <w:r>
        <w:rPr>
          <w:noProof/>
        </w:rPr>
        <w:t xml:space="preserve"> garantierte Darlehen ausfallen – auszahlen müsste, beläuft sich auf 12 379,8 Mio. EUR. Dies entspricht den Tilgungsbeträgen und Zinszahlungen im Zusammenhang mit den 2015 fälligen garantierten Darlehen, vorausgesetzt notleidende Darlehen werden nicht vorzeitig fällig gestellt (Einzelheiten siehe Tabelle A4 der Arbeitsunterlage). </w:t>
      </w:r>
    </w:p>
    <w:p>
      <w:pPr>
        <w:pStyle w:val="ManualHeading3"/>
        <w:rPr>
          <w:noProof/>
        </w:rPr>
      </w:pPr>
      <w:bookmarkStart w:id="181" w:name="_Toc309831366"/>
      <w:bookmarkStart w:id="182" w:name="_Toc329261066"/>
      <w:bookmarkStart w:id="183" w:name="_Toc329855628"/>
      <w:bookmarkStart w:id="184" w:name="_Toc330551233"/>
      <w:bookmarkStart w:id="185" w:name="_Toc342470160"/>
      <w:bookmarkStart w:id="186" w:name="_Toc345073706"/>
      <w:bookmarkStart w:id="187" w:name="_Toc365986223"/>
      <w:bookmarkStart w:id="188" w:name="_Toc367869476"/>
      <w:bookmarkStart w:id="189" w:name="_Toc367870003"/>
      <w:bookmarkStart w:id="190" w:name="_Toc388973021"/>
      <w:bookmarkStart w:id="191" w:name="_Toc389474754"/>
      <w:bookmarkStart w:id="192" w:name="_Toc390944398"/>
      <w:bookmarkStart w:id="193" w:name="_Toc393969969"/>
      <w:bookmarkStart w:id="194" w:name="_Toc417461975"/>
      <w:bookmarkStart w:id="195" w:name="_Toc417998609"/>
      <w:r>
        <w:rPr>
          <w:noProof/>
        </w:rPr>
        <w:br w:type="page"/>
      </w:r>
      <w:bookmarkStart w:id="196" w:name="_Toc418157636"/>
      <w:bookmarkStart w:id="197" w:name="_Toc418160317"/>
      <w:bookmarkStart w:id="198" w:name="_Toc423680516"/>
      <w:r>
        <w:rPr>
          <w:noProof/>
        </w:rPr>
        <w:t>4.3.1.</w:t>
      </w:r>
      <w:r>
        <w:rPr>
          <w:noProof/>
        </w:rPr>
        <w:tab/>
        <w:t>Risiken im Zusammenhang mit Mitgliedstaaten</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rPr>
          <w:noProof/>
        </w:rPr>
      </w:pPr>
      <w:r>
        <w:rPr>
          <w:noProof/>
        </w:rPr>
        <w:t>Im Jahr 2015 beläuft sich das jährliche Risiko im Zusammenhang mit Mitgliedstaaten für den Garantiefonds auf maximal 9811 Mio. EUR (ca. 79 % des jährlichen Gesamtrisikos). Das Risiko im Zusammenhang mit Mitgliedstaaten betrifft</w:t>
      </w:r>
    </w:p>
    <w:p>
      <w:pPr>
        <w:rPr>
          <w:noProof/>
        </w:rPr>
      </w:pPr>
      <w:r>
        <w:rPr>
          <w:noProof/>
        </w:rPr>
        <w:t>a) EIB-Darlehen und/oder vor dem EU-Beitritt des Mitgliedstaats gewährte MFA- und/oder Euratom-Darlehen,</w:t>
      </w:r>
    </w:p>
    <w:p>
      <w:pPr>
        <w:rPr>
          <w:noProof/>
        </w:rPr>
      </w:pPr>
      <w:r>
        <w:rPr>
          <w:noProof/>
        </w:rPr>
        <w:t xml:space="preserve">b) Darlehen im Rahmen der Zahlungsbilanzfazilität und </w:t>
      </w:r>
    </w:p>
    <w:p>
      <w:pPr>
        <w:rPr>
          <w:noProof/>
        </w:rPr>
      </w:pPr>
      <w:r>
        <w:rPr>
          <w:noProof/>
        </w:rPr>
        <w:t xml:space="preserve">c) Darlehen im Rahmen des EFSM. </w:t>
      </w:r>
    </w:p>
    <w:p>
      <w:pPr>
        <w:rPr>
          <w:noProof/>
        </w:rPr>
      </w:pPr>
      <w:r>
        <w:rPr>
          <w:noProof/>
        </w:rPr>
        <w:t>Tabelle 2: Rangfolge der Mitgliedstaaten nach ihrem jährlichen Risiko für den EU-Haushalt im Haushaltsjahr 2015 (in Mio. EUR)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509"/>
        <w:gridCol w:w="1244"/>
        <w:gridCol w:w="1464"/>
        <w:gridCol w:w="1870"/>
        <w:gridCol w:w="1836"/>
      </w:tblGrid>
      <w:tr>
        <w:tc>
          <w:tcPr>
            <w:tcW w:w="1101" w:type="dxa"/>
            <w:shd w:val="clear" w:color="auto" w:fill="auto"/>
          </w:tcPr>
          <w:p>
            <w:pPr>
              <w:jc w:val="center"/>
              <w:rPr>
                <w:b/>
                <w:noProof/>
              </w:rPr>
            </w:pPr>
            <w:r>
              <w:rPr>
                <w:b/>
                <w:noProof/>
              </w:rPr>
              <w:t>Rang</w:t>
            </w:r>
          </w:p>
        </w:tc>
        <w:tc>
          <w:tcPr>
            <w:tcW w:w="1417" w:type="dxa"/>
            <w:shd w:val="clear" w:color="auto" w:fill="auto"/>
          </w:tcPr>
          <w:p>
            <w:pPr>
              <w:jc w:val="center"/>
              <w:rPr>
                <w:b/>
                <w:noProof/>
              </w:rPr>
            </w:pPr>
            <w:r>
              <w:rPr>
                <w:b/>
                <w:noProof/>
              </w:rPr>
              <w:t>Land</w:t>
            </w:r>
          </w:p>
        </w:tc>
        <w:tc>
          <w:tcPr>
            <w:tcW w:w="1294" w:type="dxa"/>
            <w:shd w:val="clear" w:color="auto" w:fill="auto"/>
          </w:tcPr>
          <w:p>
            <w:pPr>
              <w:jc w:val="center"/>
              <w:rPr>
                <w:b/>
                <w:noProof/>
              </w:rPr>
            </w:pPr>
            <w:r>
              <w:rPr>
                <w:b/>
                <w:noProof/>
              </w:rPr>
              <w:t>Darlehen</w:t>
            </w:r>
          </w:p>
        </w:tc>
        <w:tc>
          <w:tcPr>
            <w:tcW w:w="1541" w:type="dxa"/>
            <w:shd w:val="clear" w:color="auto" w:fill="auto"/>
          </w:tcPr>
          <w:p>
            <w:pPr>
              <w:jc w:val="center"/>
              <w:rPr>
                <w:b/>
                <w:noProof/>
              </w:rPr>
            </w:pPr>
            <w:r>
              <w:rPr>
                <w:b/>
                <w:noProof/>
              </w:rPr>
              <w:t>Maximales jährliches Risiko</w:t>
            </w:r>
          </w:p>
        </w:tc>
        <w:tc>
          <w:tcPr>
            <w:tcW w:w="1843" w:type="dxa"/>
            <w:shd w:val="clear" w:color="auto" w:fill="auto"/>
          </w:tcPr>
          <w:p>
            <w:pPr>
              <w:jc w:val="center"/>
              <w:rPr>
                <w:b/>
                <w:noProof/>
              </w:rPr>
            </w:pPr>
            <w:r>
              <w:rPr>
                <w:b/>
                <w:noProof/>
              </w:rPr>
              <w:t>Anteil des Landes am jährlichen Risiko im Zusammenhang mit Mitgliedstaaten (MS)</w:t>
            </w:r>
          </w:p>
        </w:tc>
        <w:tc>
          <w:tcPr>
            <w:tcW w:w="1984" w:type="dxa"/>
            <w:shd w:val="clear" w:color="auto" w:fill="auto"/>
          </w:tcPr>
          <w:p>
            <w:pPr>
              <w:jc w:val="center"/>
              <w:rPr>
                <w:b/>
                <w:noProof/>
              </w:rPr>
            </w:pPr>
            <w:r>
              <w:rPr>
                <w:b/>
                <w:noProof/>
              </w:rPr>
              <w:t>Anteil des Landes am jährlichen Gesamtrisiko (MS und Nicht-MS)</w:t>
            </w:r>
          </w:p>
        </w:tc>
      </w:tr>
      <w:tr>
        <w:tc>
          <w:tcPr>
            <w:tcW w:w="1101" w:type="dxa"/>
            <w:shd w:val="clear" w:color="auto" w:fill="auto"/>
          </w:tcPr>
          <w:p>
            <w:pPr>
              <w:jc w:val="center"/>
              <w:rPr>
                <w:b/>
                <w:noProof/>
              </w:rPr>
            </w:pPr>
            <w:r>
              <w:rPr>
                <w:b/>
                <w:noProof/>
              </w:rPr>
              <w:t>1</w:t>
            </w:r>
          </w:p>
        </w:tc>
        <w:tc>
          <w:tcPr>
            <w:tcW w:w="1417" w:type="dxa"/>
            <w:shd w:val="clear" w:color="auto" w:fill="auto"/>
          </w:tcPr>
          <w:p>
            <w:pPr>
              <w:rPr>
                <w:noProof/>
              </w:rPr>
            </w:pPr>
            <w:r>
              <w:rPr>
                <w:noProof/>
              </w:rPr>
              <w:t xml:space="preserve">Irland </w:t>
            </w:r>
          </w:p>
        </w:tc>
        <w:tc>
          <w:tcPr>
            <w:tcW w:w="1294" w:type="dxa"/>
            <w:shd w:val="clear" w:color="auto" w:fill="auto"/>
          </w:tcPr>
          <w:p>
            <w:pPr>
              <w:jc w:val="center"/>
              <w:rPr>
                <w:noProof/>
              </w:rPr>
            </w:pPr>
            <w:r>
              <w:rPr>
                <w:noProof/>
              </w:rPr>
              <w:t>c)</w:t>
            </w:r>
          </w:p>
        </w:tc>
        <w:tc>
          <w:tcPr>
            <w:tcW w:w="1541" w:type="dxa"/>
            <w:shd w:val="clear" w:color="auto" w:fill="auto"/>
          </w:tcPr>
          <w:p>
            <w:pPr>
              <w:jc w:val="right"/>
              <w:rPr>
                <w:noProof/>
              </w:rPr>
            </w:pPr>
            <w:r>
              <w:rPr>
                <w:noProof/>
              </w:rPr>
              <w:t>5 676,4</w:t>
            </w:r>
          </w:p>
        </w:tc>
        <w:tc>
          <w:tcPr>
            <w:tcW w:w="1843" w:type="dxa"/>
            <w:shd w:val="clear" w:color="auto" w:fill="auto"/>
          </w:tcPr>
          <w:p>
            <w:pPr>
              <w:jc w:val="right"/>
              <w:rPr>
                <w:noProof/>
              </w:rPr>
            </w:pPr>
            <w:r>
              <w:rPr>
                <w:noProof/>
              </w:rPr>
              <w:t>57,9 %</w:t>
            </w:r>
          </w:p>
        </w:tc>
        <w:tc>
          <w:tcPr>
            <w:tcW w:w="1984" w:type="dxa"/>
            <w:shd w:val="clear" w:color="auto" w:fill="auto"/>
          </w:tcPr>
          <w:p>
            <w:pPr>
              <w:jc w:val="right"/>
              <w:rPr>
                <w:noProof/>
              </w:rPr>
            </w:pPr>
            <w:r>
              <w:rPr>
                <w:noProof/>
              </w:rPr>
              <w:t>45,9 %</w:t>
            </w:r>
          </w:p>
        </w:tc>
      </w:tr>
      <w:tr>
        <w:tc>
          <w:tcPr>
            <w:tcW w:w="1101" w:type="dxa"/>
            <w:shd w:val="clear" w:color="auto" w:fill="auto"/>
          </w:tcPr>
          <w:p>
            <w:pPr>
              <w:jc w:val="center"/>
              <w:rPr>
                <w:b/>
                <w:noProof/>
              </w:rPr>
            </w:pPr>
            <w:r>
              <w:rPr>
                <w:b/>
                <w:noProof/>
              </w:rPr>
              <w:t>2.</w:t>
            </w:r>
          </w:p>
        </w:tc>
        <w:tc>
          <w:tcPr>
            <w:tcW w:w="1417" w:type="dxa"/>
            <w:shd w:val="clear" w:color="auto" w:fill="auto"/>
          </w:tcPr>
          <w:p>
            <w:pPr>
              <w:rPr>
                <w:noProof/>
              </w:rPr>
            </w:pPr>
            <w:r>
              <w:rPr>
                <w:noProof/>
              </w:rPr>
              <w:t xml:space="preserve">Rumänien </w:t>
            </w:r>
          </w:p>
        </w:tc>
        <w:tc>
          <w:tcPr>
            <w:tcW w:w="1294" w:type="dxa"/>
            <w:shd w:val="clear" w:color="auto" w:fill="auto"/>
          </w:tcPr>
          <w:p>
            <w:pPr>
              <w:jc w:val="center"/>
              <w:rPr>
                <w:noProof/>
              </w:rPr>
            </w:pPr>
            <w:r>
              <w:rPr>
                <w:noProof/>
              </w:rPr>
              <w:t>a)+b)</w:t>
            </w:r>
          </w:p>
        </w:tc>
        <w:tc>
          <w:tcPr>
            <w:tcW w:w="1541" w:type="dxa"/>
            <w:shd w:val="clear" w:color="auto" w:fill="auto"/>
          </w:tcPr>
          <w:p>
            <w:pPr>
              <w:jc w:val="right"/>
              <w:rPr>
                <w:noProof/>
              </w:rPr>
            </w:pPr>
            <w:r>
              <w:rPr>
                <w:noProof/>
              </w:rPr>
              <w:t>1 882,5</w:t>
            </w:r>
          </w:p>
        </w:tc>
        <w:tc>
          <w:tcPr>
            <w:tcW w:w="1843" w:type="dxa"/>
            <w:shd w:val="clear" w:color="auto" w:fill="auto"/>
          </w:tcPr>
          <w:p>
            <w:pPr>
              <w:jc w:val="right"/>
              <w:rPr>
                <w:noProof/>
              </w:rPr>
            </w:pPr>
            <w:r>
              <w:rPr>
                <w:noProof/>
              </w:rPr>
              <w:t>19,2 %</w:t>
            </w:r>
          </w:p>
        </w:tc>
        <w:tc>
          <w:tcPr>
            <w:tcW w:w="1984" w:type="dxa"/>
            <w:shd w:val="clear" w:color="auto" w:fill="auto"/>
          </w:tcPr>
          <w:p>
            <w:pPr>
              <w:jc w:val="right"/>
              <w:rPr>
                <w:noProof/>
              </w:rPr>
            </w:pPr>
            <w:r>
              <w:rPr>
                <w:noProof/>
              </w:rPr>
              <w:t>15,2 %</w:t>
            </w:r>
          </w:p>
        </w:tc>
      </w:tr>
      <w:tr>
        <w:tc>
          <w:tcPr>
            <w:tcW w:w="1101" w:type="dxa"/>
            <w:shd w:val="clear" w:color="auto" w:fill="auto"/>
          </w:tcPr>
          <w:p>
            <w:pPr>
              <w:jc w:val="center"/>
              <w:rPr>
                <w:b/>
                <w:noProof/>
              </w:rPr>
            </w:pPr>
            <w:r>
              <w:rPr>
                <w:b/>
                <w:noProof/>
              </w:rPr>
              <w:t>3</w:t>
            </w:r>
          </w:p>
        </w:tc>
        <w:tc>
          <w:tcPr>
            <w:tcW w:w="1417" w:type="dxa"/>
            <w:shd w:val="clear" w:color="auto" w:fill="auto"/>
          </w:tcPr>
          <w:p>
            <w:pPr>
              <w:rPr>
                <w:noProof/>
              </w:rPr>
            </w:pPr>
            <w:r>
              <w:rPr>
                <w:noProof/>
              </w:rPr>
              <w:t xml:space="preserve">Lettland </w:t>
            </w:r>
          </w:p>
        </w:tc>
        <w:tc>
          <w:tcPr>
            <w:tcW w:w="1294" w:type="dxa"/>
            <w:shd w:val="clear" w:color="auto" w:fill="auto"/>
          </w:tcPr>
          <w:p>
            <w:pPr>
              <w:jc w:val="center"/>
              <w:rPr>
                <w:noProof/>
              </w:rPr>
            </w:pPr>
            <w:r>
              <w:rPr>
                <w:noProof/>
              </w:rPr>
              <w:t>a)+b)</w:t>
            </w:r>
          </w:p>
        </w:tc>
        <w:tc>
          <w:tcPr>
            <w:tcW w:w="1541" w:type="dxa"/>
            <w:shd w:val="clear" w:color="auto" w:fill="auto"/>
          </w:tcPr>
          <w:p>
            <w:pPr>
              <w:jc w:val="right"/>
              <w:rPr>
                <w:noProof/>
              </w:rPr>
            </w:pPr>
            <w:r>
              <w:rPr>
                <w:noProof/>
              </w:rPr>
              <w:t>1 265,3</w:t>
            </w:r>
          </w:p>
        </w:tc>
        <w:tc>
          <w:tcPr>
            <w:tcW w:w="1843" w:type="dxa"/>
            <w:shd w:val="clear" w:color="auto" w:fill="auto"/>
          </w:tcPr>
          <w:p>
            <w:pPr>
              <w:jc w:val="right"/>
              <w:rPr>
                <w:noProof/>
              </w:rPr>
            </w:pPr>
            <w:r>
              <w:rPr>
                <w:noProof/>
              </w:rPr>
              <w:t>12,9 %</w:t>
            </w:r>
          </w:p>
        </w:tc>
        <w:tc>
          <w:tcPr>
            <w:tcW w:w="1984" w:type="dxa"/>
            <w:shd w:val="clear" w:color="auto" w:fill="auto"/>
          </w:tcPr>
          <w:p>
            <w:pPr>
              <w:jc w:val="right"/>
              <w:rPr>
                <w:noProof/>
              </w:rPr>
            </w:pPr>
            <w:r>
              <w:rPr>
                <w:noProof/>
              </w:rPr>
              <w:t>10,2 %</w:t>
            </w:r>
          </w:p>
        </w:tc>
      </w:tr>
      <w:tr>
        <w:tc>
          <w:tcPr>
            <w:tcW w:w="1101" w:type="dxa"/>
            <w:shd w:val="clear" w:color="auto" w:fill="auto"/>
          </w:tcPr>
          <w:p>
            <w:pPr>
              <w:jc w:val="center"/>
              <w:rPr>
                <w:b/>
                <w:noProof/>
              </w:rPr>
            </w:pPr>
            <w:r>
              <w:rPr>
                <w:b/>
                <w:noProof/>
              </w:rPr>
              <w:t>4</w:t>
            </w:r>
          </w:p>
        </w:tc>
        <w:tc>
          <w:tcPr>
            <w:tcW w:w="1417" w:type="dxa"/>
            <w:shd w:val="clear" w:color="auto" w:fill="auto"/>
          </w:tcPr>
          <w:p>
            <w:pPr>
              <w:rPr>
                <w:noProof/>
              </w:rPr>
            </w:pPr>
            <w:r>
              <w:rPr>
                <w:noProof/>
              </w:rPr>
              <w:t xml:space="preserve">Portugal </w:t>
            </w:r>
          </w:p>
        </w:tc>
        <w:tc>
          <w:tcPr>
            <w:tcW w:w="1294" w:type="dxa"/>
            <w:shd w:val="clear" w:color="auto" w:fill="auto"/>
          </w:tcPr>
          <w:p>
            <w:pPr>
              <w:jc w:val="center"/>
              <w:rPr>
                <w:noProof/>
              </w:rPr>
            </w:pPr>
            <w:r>
              <w:rPr>
                <w:noProof/>
              </w:rPr>
              <w:t>c)</w:t>
            </w:r>
          </w:p>
        </w:tc>
        <w:tc>
          <w:tcPr>
            <w:tcW w:w="1541" w:type="dxa"/>
            <w:shd w:val="clear" w:color="auto" w:fill="auto"/>
          </w:tcPr>
          <w:p>
            <w:pPr>
              <w:jc w:val="right"/>
              <w:rPr>
                <w:noProof/>
              </w:rPr>
            </w:pPr>
            <w:r>
              <w:rPr>
                <w:noProof/>
              </w:rPr>
              <w:t>684,5</w:t>
            </w:r>
          </w:p>
        </w:tc>
        <w:tc>
          <w:tcPr>
            <w:tcW w:w="1843" w:type="dxa"/>
            <w:shd w:val="clear" w:color="auto" w:fill="auto"/>
          </w:tcPr>
          <w:p>
            <w:pPr>
              <w:jc w:val="right"/>
              <w:rPr>
                <w:noProof/>
              </w:rPr>
            </w:pPr>
            <w:r>
              <w:rPr>
                <w:noProof/>
              </w:rPr>
              <w:t>7,0 %</w:t>
            </w:r>
          </w:p>
        </w:tc>
        <w:tc>
          <w:tcPr>
            <w:tcW w:w="1984" w:type="dxa"/>
            <w:shd w:val="clear" w:color="auto" w:fill="auto"/>
          </w:tcPr>
          <w:p>
            <w:pPr>
              <w:jc w:val="right"/>
              <w:rPr>
                <w:noProof/>
              </w:rPr>
            </w:pPr>
            <w:r>
              <w:rPr>
                <w:noProof/>
              </w:rPr>
              <w:t>5,5 %</w:t>
            </w:r>
          </w:p>
        </w:tc>
      </w:tr>
      <w:tr>
        <w:tc>
          <w:tcPr>
            <w:tcW w:w="1101" w:type="dxa"/>
            <w:shd w:val="clear" w:color="auto" w:fill="auto"/>
          </w:tcPr>
          <w:p>
            <w:pPr>
              <w:jc w:val="center"/>
              <w:rPr>
                <w:b/>
                <w:noProof/>
              </w:rPr>
            </w:pPr>
            <w:r>
              <w:rPr>
                <w:b/>
                <w:noProof/>
              </w:rPr>
              <w:t>5</w:t>
            </w:r>
          </w:p>
        </w:tc>
        <w:tc>
          <w:tcPr>
            <w:tcW w:w="1417" w:type="dxa"/>
            <w:shd w:val="clear" w:color="auto" w:fill="auto"/>
          </w:tcPr>
          <w:p>
            <w:pPr>
              <w:rPr>
                <w:noProof/>
              </w:rPr>
            </w:pPr>
            <w:r>
              <w:rPr>
                <w:noProof/>
              </w:rPr>
              <w:t xml:space="preserve">Bulgarien </w:t>
            </w:r>
          </w:p>
        </w:tc>
        <w:tc>
          <w:tcPr>
            <w:tcW w:w="1294" w:type="dxa"/>
            <w:shd w:val="clear" w:color="auto" w:fill="auto"/>
          </w:tcPr>
          <w:p>
            <w:pPr>
              <w:jc w:val="center"/>
              <w:rPr>
                <w:noProof/>
              </w:rPr>
            </w:pPr>
            <w:r>
              <w:rPr>
                <w:noProof/>
              </w:rPr>
              <w:t>a)</w:t>
            </w:r>
          </w:p>
        </w:tc>
        <w:tc>
          <w:tcPr>
            <w:tcW w:w="1541" w:type="dxa"/>
            <w:shd w:val="clear" w:color="auto" w:fill="auto"/>
          </w:tcPr>
          <w:p>
            <w:pPr>
              <w:jc w:val="right"/>
              <w:rPr>
                <w:noProof/>
              </w:rPr>
            </w:pPr>
            <w:r>
              <w:rPr>
                <w:noProof/>
              </w:rPr>
              <w:t>86,1</w:t>
            </w:r>
          </w:p>
        </w:tc>
        <w:tc>
          <w:tcPr>
            <w:tcW w:w="1843" w:type="dxa"/>
            <w:shd w:val="clear" w:color="auto" w:fill="auto"/>
          </w:tcPr>
          <w:p>
            <w:pPr>
              <w:jc w:val="right"/>
              <w:rPr>
                <w:noProof/>
              </w:rPr>
            </w:pPr>
            <w:r>
              <w:rPr>
                <w:noProof/>
              </w:rPr>
              <w:t>0,9 %</w:t>
            </w:r>
          </w:p>
        </w:tc>
        <w:tc>
          <w:tcPr>
            <w:tcW w:w="1984" w:type="dxa"/>
            <w:shd w:val="clear" w:color="auto" w:fill="auto"/>
          </w:tcPr>
          <w:p>
            <w:pPr>
              <w:jc w:val="right"/>
              <w:rPr>
                <w:noProof/>
              </w:rPr>
            </w:pPr>
            <w:r>
              <w:rPr>
                <w:noProof/>
              </w:rPr>
              <w:t>0,7 %</w:t>
            </w:r>
          </w:p>
        </w:tc>
      </w:tr>
      <w:tr>
        <w:tc>
          <w:tcPr>
            <w:tcW w:w="1101" w:type="dxa"/>
            <w:shd w:val="clear" w:color="auto" w:fill="auto"/>
          </w:tcPr>
          <w:p>
            <w:pPr>
              <w:jc w:val="center"/>
              <w:rPr>
                <w:b/>
                <w:noProof/>
              </w:rPr>
            </w:pPr>
            <w:r>
              <w:rPr>
                <w:b/>
                <w:noProof/>
              </w:rPr>
              <w:t>6</w:t>
            </w:r>
          </w:p>
        </w:tc>
        <w:tc>
          <w:tcPr>
            <w:tcW w:w="1417" w:type="dxa"/>
            <w:shd w:val="clear" w:color="auto" w:fill="auto"/>
          </w:tcPr>
          <w:p>
            <w:pPr>
              <w:rPr>
                <w:noProof/>
              </w:rPr>
            </w:pPr>
            <w:r>
              <w:rPr>
                <w:noProof/>
              </w:rPr>
              <w:t xml:space="preserve">Ungarn </w:t>
            </w:r>
          </w:p>
        </w:tc>
        <w:tc>
          <w:tcPr>
            <w:tcW w:w="1294" w:type="dxa"/>
            <w:shd w:val="clear" w:color="auto" w:fill="auto"/>
          </w:tcPr>
          <w:p>
            <w:pPr>
              <w:jc w:val="center"/>
              <w:rPr>
                <w:noProof/>
              </w:rPr>
            </w:pPr>
            <w:r>
              <w:rPr>
                <w:noProof/>
              </w:rPr>
              <w:t>a)+b)</w:t>
            </w:r>
          </w:p>
        </w:tc>
        <w:tc>
          <w:tcPr>
            <w:tcW w:w="1541" w:type="dxa"/>
            <w:shd w:val="clear" w:color="auto" w:fill="auto"/>
          </w:tcPr>
          <w:p>
            <w:pPr>
              <w:jc w:val="right"/>
              <w:rPr>
                <w:noProof/>
              </w:rPr>
            </w:pPr>
            <w:r>
              <w:rPr>
                <w:noProof/>
              </w:rPr>
              <w:t>63,0</w:t>
            </w:r>
          </w:p>
        </w:tc>
        <w:tc>
          <w:tcPr>
            <w:tcW w:w="1843" w:type="dxa"/>
            <w:shd w:val="clear" w:color="auto" w:fill="auto"/>
          </w:tcPr>
          <w:p>
            <w:pPr>
              <w:jc w:val="right"/>
              <w:rPr>
                <w:noProof/>
              </w:rPr>
            </w:pPr>
            <w:r>
              <w:rPr>
                <w:noProof/>
              </w:rPr>
              <w:t>0,6 %</w:t>
            </w:r>
          </w:p>
        </w:tc>
        <w:tc>
          <w:tcPr>
            <w:tcW w:w="1984" w:type="dxa"/>
            <w:shd w:val="clear" w:color="auto" w:fill="auto"/>
          </w:tcPr>
          <w:p>
            <w:pPr>
              <w:jc w:val="right"/>
              <w:rPr>
                <w:noProof/>
              </w:rPr>
            </w:pPr>
            <w:r>
              <w:rPr>
                <w:noProof/>
              </w:rPr>
              <w:t>0,5 %</w:t>
            </w:r>
          </w:p>
        </w:tc>
      </w:tr>
      <w:tr>
        <w:tc>
          <w:tcPr>
            <w:tcW w:w="1101" w:type="dxa"/>
            <w:shd w:val="clear" w:color="auto" w:fill="auto"/>
          </w:tcPr>
          <w:p>
            <w:pPr>
              <w:jc w:val="center"/>
              <w:rPr>
                <w:b/>
                <w:noProof/>
              </w:rPr>
            </w:pPr>
            <w:r>
              <w:rPr>
                <w:b/>
                <w:noProof/>
              </w:rPr>
              <w:t>7</w:t>
            </w:r>
          </w:p>
        </w:tc>
        <w:tc>
          <w:tcPr>
            <w:tcW w:w="1417" w:type="dxa"/>
            <w:shd w:val="clear" w:color="auto" w:fill="auto"/>
          </w:tcPr>
          <w:p>
            <w:pPr>
              <w:rPr>
                <w:noProof/>
              </w:rPr>
            </w:pPr>
            <w:r>
              <w:rPr>
                <w:noProof/>
              </w:rPr>
              <w:t xml:space="preserve">Tschechische Republik </w:t>
            </w:r>
          </w:p>
        </w:tc>
        <w:tc>
          <w:tcPr>
            <w:tcW w:w="1294" w:type="dxa"/>
            <w:shd w:val="clear" w:color="auto" w:fill="auto"/>
          </w:tcPr>
          <w:p>
            <w:pPr>
              <w:jc w:val="center"/>
              <w:rPr>
                <w:noProof/>
              </w:rPr>
            </w:pPr>
            <w:r>
              <w:rPr>
                <w:noProof/>
              </w:rPr>
              <w:t>a)</w:t>
            </w:r>
          </w:p>
        </w:tc>
        <w:tc>
          <w:tcPr>
            <w:tcW w:w="1541" w:type="dxa"/>
            <w:shd w:val="clear" w:color="auto" w:fill="auto"/>
          </w:tcPr>
          <w:p>
            <w:pPr>
              <w:jc w:val="right"/>
              <w:rPr>
                <w:noProof/>
              </w:rPr>
            </w:pPr>
            <w:r>
              <w:rPr>
                <w:noProof/>
              </w:rPr>
              <w:t>45,7</w:t>
            </w:r>
          </w:p>
        </w:tc>
        <w:tc>
          <w:tcPr>
            <w:tcW w:w="1843" w:type="dxa"/>
            <w:shd w:val="clear" w:color="auto" w:fill="auto"/>
          </w:tcPr>
          <w:p>
            <w:pPr>
              <w:jc w:val="right"/>
              <w:rPr>
                <w:noProof/>
              </w:rPr>
            </w:pPr>
            <w:r>
              <w:rPr>
                <w:noProof/>
              </w:rPr>
              <w:t>0,5 %</w:t>
            </w:r>
          </w:p>
        </w:tc>
        <w:tc>
          <w:tcPr>
            <w:tcW w:w="1984" w:type="dxa"/>
            <w:shd w:val="clear" w:color="auto" w:fill="auto"/>
          </w:tcPr>
          <w:p>
            <w:pPr>
              <w:jc w:val="right"/>
              <w:rPr>
                <w:noProof/>
              </w:rPr>
            </w:pPr>
            <w:r>
              <w:rPr>
                <w:noProof/>
              </w:rPr>
              <w:t>0,4 %</w:t>
            </w:r>
          </w:p>
        </w:tc>
      </w:tr>
      <w:tr>
        <w:tc>
          <w:tcPr>
            <w:tcW w:w="1101" w:type="dxa"/>
            <w:shd w:val="clear" w:color="auto" w:fill="auto"/>
          </w:tcPr>
          <w:p>
            <w:pPr>
              <w:jc w:val="center"/>
              <w:rPr>
                <w:b/>
                <w:noProof/>
              </w:rPr>
            </w:pPr>
            <w:r>
              <w:rPr>
                <w:b/>
                <w:noProof/>
              </w:rPr>
              <w:t>8</w:t>
            </w:r>
          </w:p>
        </w:tc>
        <w:tc>
          <w:tcPr>
            <w:tcW w:w="1417" w:type="dxa"/>
            <w:shd w:val="clear" w:color="auto" w:fill="auto"/>
          </w:tcPr>
          <w:p>
            <w:pPr>
              <w:rPr>
                <w:noProof/>
              </w:rPr>
            </w:pPr>
            <w:r>
              <w:rPr>
                <w:noProof/>
              </w:rPr>
              <w:t xml:space="preserve">Polen </w:t>
            </w:r>
          </w:p>
        </w:tc>
        <w:tc>
          <w:tcPr>
            <w:tcW w:w="1294" w:type="dxa"/>
            <w:shd w:val="clear" w:color="auto" w:fill="auto"/>
          </w:tcPr>
          <w:p>
            <w:pPr>
              <w:jc w:val="center"/>
              <w:rPr>
                <w:noProof/>
              </w:rPr>
            </w:pPr>
            <w:r>
              <w:rPr>
                <w:noProof/>
              </w:rPr>
              <w:t>a)</w:t>
            </w:r>
          </w:p>
        </w:tc>
        <w:tc>
          <w:tcPr>
            <w:tcW w:w="1541" w:type="dxa"/>
            <w:shd w:val="clear" w:color="auto" w:fill="auto"/>
          </w:tcPr>
          <w:p>
            <w:pPr>
              <w:jc w:val="right"/>
              <w:rPr>
                <w:noProof/>
              </w:rPr>
            </w:pPr>
            <w:r>
              <w:rPr>
                <w:noProof/>
              </w:rPr>
              <w:t>42,8</w:t>
            </w:r>
          </w:p>
        </w:tc>
        <w:tc>
          <w:tcPr>
            <w:tcW w:w="1843" w:type="dxa"/>
            <w:shd w:val="clear" w:color="auto" w:fill="auto"/>
          </w:tcPr>
          <w:p>
            <w:pPr>
              <w:jc w:val="right"/>
              <w:rPr>
                <w:noProof/>
              </w:rPr>
            </w:pPr>
            <w:r>
              <w:rPr>
                <w:noProof/>
              </w:rPr>
              <w:t>0,4 %</w:t>
            </w:r>
          </w:p>
        </w:tc>
        <w:tc>
          <w:tcPr>
            <w:tcW w:w="1984" w:type="dxa"/>
            <w:shd w:val="clear" w:color="auto" w:fill="auto"/>
          </w:tcPr>
          <w:p>
            <w:pPr>
              <w:jc w:val="right"/>
              <w:rPr>
                <w:noProof/>
              </w:rPr>
            </w:pPr>
            <w:r>
              <w:rPr>
                <w:noProof/>
              </w:rPr>
              <w:t>0,3 %</w:t>
            </w:r>
          </w:p>
        </w:tc>
      </w:tr>
      <w:tr>
        <w:tc>
          <w:tcPr>
            <w:tcW w:w="1101" w:type="dxa"/>
            <w:shd w:val="clear" w:color="auto" w:fill="auto"/>
          </w:tcPr>
          <w:p>
            <w:pPr>
              <w:jc w:val="center"/>
              <w:rPr>
                <w:b/>
                <w:noProof/>
              </w:rPr>
            </w:pPr>
            <w:r>
              <w:rPr>
                <w:b/>
                <w:noProof/>
              </w:rPr>
              <w:t>9</w:t>
            </w:r>
          </w:p>
        </w:tc>
        <w:tc>
          <w:tcPr>
            <w:tcW w:w="1417" w:type="dxa"/>
            <w:shd w:val="clear" w:color="auto" w:fill="auto"/>
          </w:tcPr>
          <w:p>
            <w:pPr>
              <w:rPr>
                <w:noProof/>
              </w:rPr>
            </w:pPr>
            <w:r>
              <w:rPr>
                <w:noProof/>
              </w:rPr>
              <w:t>Kroatien</w:t>
            </w:r>
          </w:p>
        </w:tc>
        <w:tc>
          <w:tcPr>
            <w:tcW w:w="1294" w:type="dxa"/>
            <w:shd w:val="clear" w:color="auto" w:fill="auto"/>
          </w:tcPr>
          <w:p>
            <w:pPr>
              <w:jc w:val="center"/>
              <w:rPr>
                <w:noProof/>
              </w:rPr>
            </w:pPr>
            <w:r>
              <w:rPr>
                <w:noProof/>
              </w:rPr>
              <w:t>a)</w:t>
            </w:r>
          </w:p>
        </w:tc>
        <w:tc>
          <w:tcPr>
            <w:tcW w:w="1541" w:type="dxa"/>
            <w:shd w:val="clear" w:color="auto" w:fill="auto"/>
          </w:tcPr>
          <w:p>
            <w:pPr>
              <w:jc w:val="right"/>
              <w:rPr>
                <w:noProof/>
              </w:rPr>
            </w:pPr>
            <w:r>
              <w:rPr>
                <w:noProof/>
              </w:rPr>
              <w:t>40,6</w:t>
            </w:r>
          </w:p>
        </w:tc>
        <w:tc>
          <w:tcPr>
            <w:tcW w:w="1843" w:type="dxa"/>
            <w:shd w:val="clear" w:color="auto" w:fill="auto"/>
          </w:tcPr>
          <w:p>
            <w:pPr>
              <w:jc w:val="right"/>
              <w:rPr>
                <w:noProof/>
              </w:rPr>
            </w:pPr>
            <w:r>
              <w:rPr>
                <w:noProof/>
              </w:rPr>
              <w:t>0,4 %</w:t>
            </w:r>
          </w:p>
        </w:tc>
        <w:tc>
          <w:tcPr>
            <w:tcW w:w="1984" w:type="dxa"/>
            <w:shd w:val="clear" w:color="auto" w:fill="auto"/>
          </w:tcPr>
          <w:p>
            <w:pPr>
              <w:jc w:val="right"/>
              <w:rPr>
                <w:noProof/>
              </w:rPr>
            </w:pPr>
            <w:r>
              <w:rPr>
                <w:noProof/>
              </w:rPr>
              <w:t>0,3 %</w:t>
            </w:r>
          </w:p>
        </w:tc>
      </w:tr>
      <w:tr>
        <w:tc>
          <w:tcPr>
            <w:tcW w:w="1101" w:type="dxa"/>
            <w:shd w:val="clear" w:color="auto" w:fill="auto"/>
          </w:tcPr>
          <w:p>
            <w:pPr>
              <w:jc w:val="center"/>
              <w:rPr>
                <w:b/>
                <w:noProof/>
              </w:rPr>
            </w:pPr>
            <w:r>
              <w:rPr>
                <w:b/>
                <w:noProof/>
              </w:rPr>
              <w:t>10</w:t>
            </w:r>
          </w:p>
        </w:tc>
        <w:tc>
          <w:tcPr>
            <w:tcW w:w="1417" w:type="dxa"/>
            <w:shd w:val="clear" w:color="auto" w:fill="auto"/>
          </w:tcPr>
          <w:p>
            <w:pPr>
              <w:rPr>
                <w:noProof/>
              </w:rPr>
            </w:pPr>
            <w:r>
              <w:rPr>
                <w:noProof/>
              </w:rPr>
              <w:t xml:space="preserve">Slowakische Republik </w:t>
            </w:r>
          </w:p>
        </w:tc>
        <w:tc>
          <w:tcPr>
            <w:tcW w:w="1294" w:type="dxa"/>
            <w:shd w:val="clear" w:color="auto" w:fill="auto"/>
          </w:tcPr>
          <w:p>
            <w:pPr>
              <w:jc w:val="center"/>
              <w:rPr>
                <w:noProof/>
              </w:rPr>
            </w:pPr>
            <w:r>
              <w:rPr>
                <w:noProof/>
              </w:rPr>
              <w:t>a)</w:t>
            </w:r>
          </w:p>
        </w:tc>
        <w:tc>
          <w:tcPr>
            <w:tcW w:w="1541" w:type="dxa"/>
            <w:shd w:val="clear" w:color="auto" w:fill="auto"/>
          </w:tcPr>
          <w:p>
            <w:pPr>
              <w:jc w:val="right"/>
              <w:rPr>
                <w:noProof/>
              </w:rPr>
            </w:pPr>
            <w:r>
              <w:rPr>
                <w:noProof/>
              </w:rPr>
              <w:t>15,1</w:t>
            </w:r>
          </w:p>
        </w:tc>
        <w:tc>
          <w:tcPr>
            <w:tcW w:w="1843" w:type="dxa"/>
            <w:shd w:val="clear" w:color="auto" w:fill="auto"/>
          </w:tcPr>
          <w:p>
            <w:pPr>
              <w:jc w:val="right"/>
              <w:rPr>
                <w:noProof/>
              </w:rPr>
            </w:pPr>
            <w:r>
              <w:rPr>
                <w:noProof/>
              </w:rPr>
              <w:t>0,2 %</w:t>
            </w:r>
          </w:p>
        </w:tc>
        <w:tc>
          <w:tcPr>
            <w:tcW w:w="1984" w:type="dxa"/>
            <w:shd w:val="clear" w:color="auto" w:fill="auto"/>
          </w:tcPr>
          <w:p>
            <w:pPr>
              <w:jc w:val="right"/>
              <w:rPr>
                <w:noProof/>
              </w:rPr>
            </w:pPr>
            <w:r>
              <w:rPr>
                <w:noProof/>
              </w:rPr>
              <w:t>0,1 %</w:t>
            </w:r>
          </w:p>
        </w:tc>
      </w:tr>
      <w:tr>
        <w:tc>
          <w:tcPr>
            <w:tcW w:w="1101" w:type="dxa"/>
            <w:shd w:val="clear" w:color="auto" w:fill="auto"/>
          </w:tcPr>
          <w:p>
            <w:pPr>
              <w:jc w:val="center"/>
              <w:rPr>
                <w:b/>
                <w:noProof/>
              </w:rPr>
            </w:pPr>
            <w:r>
              <w:rPr>
                <w:b/>
                <w:noProof/>
              </w:rPr>
              <w:t>11</w:t>
            </w:r>
          </w:p>
        </w:tc>
        <w:tc>
          <w:tcPr>
            <w:tcW w:w="1417" w:type="dxa"/>
            <w:shd w:val="clear" w:color="auto" w:fill="auto"/>
          </w:tcPr>
          <w:p>
            <w:pPr>
              <w:rPr>
                <w:noProof/>
              </w:rPr>
            </w:pPr>
            <w:r>
              <w:rPr>
                <w:noProof/>
              </w:rPr>
              <w:t xml:space="preserve">Litauen </w:t>
            </w:r>
          </w:p>
        </w:tc>
        <w:tc>
          <w:tcPr>
            <w:tcW w:w="1294" w:type="dxa"/>
            <w:shd w:val="clear" w:color="auto" w:fill="auto"/>
          </w:tcPr>
          <w:p>
            <w:pPr>
              <w:jc w:val="center"/>
              <w:rPr>
                <w:noProof/>
              </w:rPr>
            </w:pPr>
            <w:r>
              <w:rPr>
                <w:noProof/>
              </w:rPr>
              <w:t>a)</w:t>
            </w:r>
          </w:p>
        </w:tc>
        <w:tc>
          <w:tcPr>
            <w:tcW w:w="1541" w:type="dxa"/>
            <w:shd w:val="clear" w:color="auto" w:fill="auto"/>
          </w:tcPr>
          <w:p>
            <w:pPr>
              <w:jc w:val="right"/>
              <w:rPr>
                <w:noProof/>
              </w:rPr>
            </w:pPr>
            <w:r>
              <w:rPr>
                <w:noProof/>
              </w:rPr>
              <w:t>4,8</w:t>
            </w:r>
          </w:p>
        </w:tc>
        <w:tc>
          <w:tcPr>
            <w:tcW w:w="1843" w:type="dxa"/>
            <w:shd w:val="clear" w:color="auto" w:fill="auto"/>
          </w:tcPr>
          <w:p>
            <w:pPr>
              <w:jc w:val="right"/>
              <w:rPr>
                <w:noProof/>
              </w:rPr>
            </w:pPr>
            <w:r>
              <w:rPr>
                <w:noProof/>
              </w:rPr>
              <w:t>&lt; 0,1 %</w:t>
            </w:r>
          </w:p>
        </w:tc>
        <w:tc>
          <w:tcPr>
            <w:tcW w:w="1984" w:type="dxa"/>
            <w:shd w:val="clear" w:color="auto" w:fill="auto"/>
          </w:tcPr>
          <w:p>
            <w:pPr>
              <w:jc w:val="right"/>
              <w:rPr>
                <w:noProof/>
              </w:rPr>
            </w:pPr>
            <w:r>
              <w:rPr>
                <w:noProof/>
              </w:rPr>
              <w:t>&lt; 0,1 %</w:t>
            </w:r>
          </w:p>
        </w:tc>
      </w:tr>
      <w:tr>
        <w:tc>
          <w:tcPr>
            <w:tcW w:w="1101" w:type="dxa"/>
            <w:shd w:val="clear" w:color="auto" w:fill="auto"/>
          </w:tcPr>
          <w:p>
            <w:pPr>
              <w:jc w:val="center"/>
              <w:rPr>
                <w:b/>
                <w:noProof/>
              </w:rPr>
            </w:pPr>
            <w:r>
              <w:rPr>
                <w:b/>
                <w:noProof/>
              </w:rPr>
              <w:t>12</w:t>
            </w:r>
          </w:p>
        </w:tc>
        <w:tc>
          <w:tcPr>
            <w:tcW w:w="1417" w:type="dxa"/>
            <w:shd w:val="clear" w:color="auto" w:fill="auto"/>
          </w:tcPr>
          <w:p>
            <w:pPr>
              <w:rPr>
                <w:noProof/>
              </w:rPr>
            </w:pPr>
            <w:r>
              <w:rPr>
                <w:noProof/>
              </w:rPr>
              <w:t xml:space="preserve">Slowenien </w:t>
            </w:r>
          </w:p>
        </w:tc>
        <w:tc>
          <w:tcPr>
            <w:tcW w:w="1294" w:type="dxa"/>
            <w:shd w:val="clear" w:color="auto" w:fill="auto"/>
          </w:tcPr>
          <w:p>
            <w:pPr>
              <w:jc w:val="center"/>
              <w:rPr>
                <w:noProof/>
              </w:rPr>
            </w:pPr>
            <w:r>
              <w:rPr>
                <w:noProof/>
              </w:rPr>
              <w:t>a)</w:t>
            </w:r>
          </w:p>
        </w:tc>
        <w:tc>
          <w:tcPr>
            <w:tcW w:w="1541" w:type="dxa"/>
            <w:shd w:val="clear" w:color="auto" w:fill="auto"/>
          </w:tcPr>
          <w:p>
            <w:pPr>
              <w:jc w:val="right"/>
              <w:rPr>
                <w:noProof/>
              </w:rPr>
            </w:pPr>
            <w:r>
              <w:rPr>
                <w:noProof/>
              </w:rPr>
              <w:t>4,4</w:t>
            </w:r>
          </w:p>
        </w:tc>
        <w:tc>
          <w:tcPr>
            <w:tcW w:w="1843" w:type="dxa"/>
            <w:shd w:val="clear" w:color="auto" w:fill="auto"/>
          </w:tcPr>
          <w:p>
            <w:pPr>
              <w:jc w:val="right"/>
              <w:rPr>
                <w:noProof/>
              </w:rPr>
            </w:pPr>
            <w:r>
              <w:rPr>
                <w:noProof/>
              </w:rPr>
              <w:t>&lt; 0,1 %</w:t>
            </w:r>
          </w:p>
        </w:tc>
        <w:tc>
          <w:tcPr>
            <w:tcW w:w="1984" w:type="dxa"/>
            <w:shd w:val="clear" w:color="auto" w:fill="auto"/>
          </w:tcPr>
          <w:p>
            <w:pPr>
              <w:jc w:val="right"/>
              <w:rPr>
                <w:noProof/>
              </w:rPr>
            </w:pPr>
            <w:r>
              <w:rPr>
                <w:noProof/>
              </w:rPr>
              <w:t>&lt; 0,1 %</w:t>
            </w:r>
          </w:p>
        </w:tc>
      </w:tr>
      <w:tr>
        <w:tc>
          <w:tcPr>
            <w:tcW w:w="1101" w:type="dxa"/>
            <w:shd w:val="clear" w:color="auto" w:fill="auto"/>
          </w:tcPr>
          <w:p>
            <w:pPr>
              <w:rPr>
                <w:b/>
                <w:noProof/>
              </w:rPr>
            </w:pPr>
            <w:r>
              <w:rPr>
                <w:b/>
                <w:noProof/>
              </w:rPr>
              <w:t>Insgesamt</w:t>
            </w:r>
          </w:p>
        </w:tc>
        <w:tc>
          <w:tcPr>
            <w:tcW w:w="1417" w:type="dxa"/>
            <w:shd w:val="clear" w:color="auto" w:fill="auto"/>
          </w:tcPr>
          <w:p>
            <w:pPr>
              <w:rPr>
                <w:noProof/>
              </w:rPr>
            </w:pPr>
          </w:p>
        </w:tc>
        <w:tc>
          <w:tcPr>
            <w:tcW w:w="1294" w:type="dxa"/>
            <w:shd w:val="clear" w:color="auto" w:fill="auto"/>
          </w:tcPr>
          <w:p>
            <w:pPr>
              <w:jc w:val="right"/>
              <w:rPr>
                <w:noProof/>
              </w:rPr>
            </w:pPr>
          </w:p>
        </w:tc>
        <w:tc>
          <w:tcPr>
            <w:tcW w:w="1541" w:type="dxa"/>
            <w:shd w:val="clear" w:color="auto" w:fill="auto"/>
          </w:tcPr>
          <w:p>
            <w:pPr>
              <w:jc w:val="right"/>
              <w:rPr>
                <w:noProof/>
              </w:rPr>
            </w:pPr>
            <w:r>
              <w:rPr>
                <w:noProof/>
              </w:rPr>
              <w:t>9 811,1</w:t>
            </w:r>
          </w:p>
        </w:tc>
        <w:tc>
          <w:tcPr>
            <w:tcW w:w="1843" w:type="dxa"/>
            <w:shd w:val="clear" w:color="auto" w:fill="auto"/>
          </w:tcPr>
          <w:p>
            <w:pPr>
              <w:jc w:val="right"/>
              <w:rPr>
                <w:noProof/>
              </w:rPr>
            </w:pPr>
            <w:r>
              <w:rPr>
                <w:noProof/>
              </w:rPr>
              <w:t>100 %</w:t>
            </w:r>
          </w:p>
        </w:tc>
        <w:tc>
          <w:tcPr>
            <w:tcW w:w="1984" w:type="dxa"/>
            <w:shd w:val="clear" w:color="auto" w:fill="auto"/>
          </w:tcPr>
          <w:p>
            <w:pPr>
              <w:jc w:val="right"/>
              <w:rPr>
                <w:noProof/>
              </w:rPr>
            </w:pPr>
            <w:r>
              <w:rPr>
                <w:noProof/>
              </w:rPr>
              <w:t>79,3 %</w:t>
            </w:r>
          </w:p>
        </w:tc>
      </w:tr>
    </w:tbl>
    <w:p>
      <w:pPr>
        <w:pStyle w:val="ManualHeading3"/>
        <w:rPr>
          <w:noProof/>
        </w:rPr>
      </w:pPr>
      <w:bookmarkStart w:id="199" w:name="_Toc309831367"/>
      <w:bookmarkStart w:id="200" w:name="_Toc329261067"/>
      <w:bookmarkStart w:id="201" w:name="_Toc329855629"/>
      <w:bookmarkStart w:id="202" w:name="_Toc330551234"/>
      <w:bookmarkStart w:id="203" w:name="_Toc342470161"/>
      <w:bookmarkStart w:id="204" w:name="_Toc345073707"/>
      <w:bookmarkStart w:id="205" w:name="_Toc365986224"/>
      <w:bookmarkStart w:id="206" w:name="_Toc367869477"/>
      <w:bookmarkStart w:id="207" w:name="_Toc367870004"/>
      <w:bookmarkStart w:id="208" w:name="_Toc388973022"/>
      <w:bookmarkStart w:id="209" w:name="_Toc389474755"/>
      <w:r>
        <w:rPr>
          <w:noProof/>
        </w:rPr>
        <w:tab/>
      </w:r>
    </w:p>
    <w:p>
      <w:pPr>
        <w:pStyle w:val="ManualHeading3"/>
        <w:rPr>
          <w:noProof/>
        </w:rPr>
      </w:pPr>
      <w:bookmarkStart w:id="210" w:name="_Toc390944399"/>
      <w:bookmarkStart w:id="211" w:name="_Toc393969970"/>
      <w:bookmarkStart w:id="212" w:name="_Toc417461976"/>
      <w:bookmarkStart w:id="213" w:name="_Toc417998610"/>
      <w:r>
        <w:rPr>
          <w:noProof/>
        </w:rPr>
        <w:br w:type="page"/>
      </w:r>
      <w:bookmarkStart w:id="214" w:name="_Toc418157637"/>
      <w:bookmarkStart w:id="215" w:name="_Toc418160318"/>
      <w:bookmarkStart w:id="216" w:name="_Toc423680517"/>
      <w:r>
        <w:rPr>
          <w:noProof/>
        </w:rPr>
        <w:t>4.3.2.</w:t>
      </w:r>
      <w:r>
        <w:rPr>
          <w:noProof/>
        </w:rPr>
        <w:tab/>
        <w:t>Risiken im Zusammenhang mit Drittländern</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rPr>
          <w:noProof/>
        </w:rPr>
      </w:pPr>
      <w:r>
        <w:rPr>
          <w:noProof/>
        </w:rPr>
        <w:t>Im Jahr 2015 beläuft sich das jährliche Risiko im Zusammenhang mit Drittländern für den Garantiefonds auf maximal 2568,7 Mio. EUR (21 % des jährlichen Gesamtrisikos). Das Risiko im Zusammenhang mit Drittländern ergibt sich aus EIB-Darlehen und/oder MFA- bzw. Euratomdarlehen (Einzelheiten siehe Tabelle A2b der Arbeitsunterlage). Der Garantiefonds deckt garantierte Darlehen an Drittländer mit Laufzeiten bis 2042 ab.</w:t>
      </w:r>
    </w:p>
    <w:p>
      <w:pPr>
        <w:rPr>
          <w:noProof/>
        </w:rPr>
      </w:pPr>
      <w:r>
        <w:rPr>
          <w:noProof/>
        </w:rPr>
        <w:t xml:space="preserve">Nachstehend sind die zehn Länder (von insgesamt 41) mit den höchsten 2015 fälligen Rückzahlungen aufgeführt. Auf sie entfallen 2106 Mio. EUR bzw. 82 % des jährlichen Gesamtrisikos im Zusammenhang mit Drittländern, das der Garantiefonds trägt. Die Wirtschaftslage dieser Länder wird in Abschnitt 3 der Arbeitsunterlage analysiert und kommentiert. Die Ländertabellen enthalten auch die von den Ratingagenturen abgegebenen Bonitätsbewertungen für die einzelnen Länder. </w:t>
      </w:r>
    </w:p>
    <w:p>
      <w:pPr>
        <w:rPr>
          <w:noProof/>
        </w:rPr>
      </w:pPr>
      <w:r>
        <w:rPr>
          <w:noProof/>
        </w:rPr>
        <w:t xml:space="preserve">Tabelle 3: Rangfolge der zehn größten Drittlandsschuldner nach ihrem jährlichen Risiko für den EU-Haushalt im Jahr 2015 (in Mio. EUR) </w:t>
      </w:r>
    </w:p>
    <w:tbl>
      <w:tblPr>
        <w:tblW w:w="8760" w:type="dxa"/>
        <w:tblInd w:w="-5" w:type="dxa"/>
        <w:tblLayout w:type="fixed"/>
        <w:tblLook w:val="0000" w:firstRow="0" w:lastRow="0" w:firstColumn="0" w:lastColumn="0" w:noHBand="0" w:noVBand="0"/>
      </w:tblPr>
      <w:tblGrid>
        <w:gridCol w:w="1814"/>
        <w:gridCol w:w="1701"/>
        <w:gridCol w:w="1560"/>
        <w:gridCol w:w="1842"/>
        <w:gridCol w:w="1843"/>
      </w:tblGrid>
      <w:tr>
        <w:trPr>
          <w:trHeight w:val="405"/>
        </w:trPr>
        <w:tc>
          <w:tcPr>
            <w:tcW w:w="1814" w:type="dxa"/>
            <w:vMerge w:val="restart"/>
            <w:tcBorders>
              <w:top w:val="single" w:sz="4" w:space="0" w:color="000000"/>
              <w:left w:val="single" w:sz="4" w:space="0" w:color="000000"/>
            </w:tcBorders>
          </w:tcPr>
          <w:p>
            <w:pPr>
              <w:jc w:val="center"/>
              <w:rPr>
                <w:b/>
                <w:noProof/>
              </w:rPr>
            </w:pPr>
            <w:r>
              <w:rPr>
                <w:b/>
                <w:noProof/>
              </w:rPr>
              <w:t>Rang</w:t>
            </w:r>
          </w:p>
        </w:tc>
        <w:tc>
          <w:tcPr>
            <w:tcW w:w="1701" w:type="dxa"/>
            <w:vMerge w:val="restart"/>
            <w:tcBorders>
              <w:top w:val="single" w:sz="4" w:space="0" w:color="000000"/>
              <w:left w:val="single" w:sz="4" w:space="0" w:color="000000"/>
            </w:tcBorders>
          </w:tcPr>
          <w:p>
            <w:pPr>
              <w:jc w:val="center"/>
              <w:rPr>
                <w:b/>
                <w:noProof/>
              </w:rPr>
            </w:pPr>
            <w:r>
              <w:rPr>
                <w:b/>
                <w:noProof/>
              </w:rPr>
              <w:t>Land</w:t>
            </w:r>
          </w:p>
        </w:tc>
        <w:tc>
          <w:tcPr>
            <w:tcW w:w="1560" w:type="dxa"/>
            <w:vMerge w:val="restart"/>
            <w:tcBorders>
              <w:top w:val="single" w:sz="4" w:space="0" w:color="000000"/>
              <w:left w:val="single" w:sz="4" w:space="0" w:color="000000"/>
            </w:tcBorders>
          </w:tcPr>
          <w:p>
            <w:pPr>
              <w:jc w:val="center"/>
              <w:rPr>
                <w:b/>
                <w:noProof/>
              </w:rPr>
            </w:pPr>
            <w:r>
              <w:rPr>
                <w:b/>
                <w:noProof/>
              </w:rPr>
              <w:t>Maximales jährliches Risiko</w:t>
            </w:r>
          </w:p>
        </w:tc>
        <w:tc>
          <w:tcPr>
            <w:tcW w:w="1842" w:type="dxa"/>
            <w:tcBorders>
              <w:top w:val="single" w:sz="4" w:space="0" w:color="000000"/>
              <w:left w:val="single" w:sz="4" w:space="0" w:color="000000"/>
            </w:tcBorders>
          </w:tcPr>
          <w:p>
            <w:pPr>
              <w:jc w:val="center"/>
              <w:rPr>
                <w:b/>
                <w:noProof/>
              </w:rPr>
            </w:pPr>
            <w:r>
              <w:rPr>
                <w:b/>
                <w:noProof/>
              </w:rPr>
              <w:t>Anteil des Landes am jährlichen Risiko im Zusammenhang mit Drittländern</w:t>
            </w:r>
          </w:p>
        </w:tc>
        <w:tc>
          <w:tcPr>
            <w:tcW w:w="1843" w:type="dxa"/>
            <w:vMerge w:val="restart"/>
            <w:tcBorders>
              <w:top w:val="single" w:sz="4" w:space="0" w:color="000000"/>
              <w:left w:val="single" w:sz="4" w:space="0" w:color="000000"/>
              <w:right w:val="single" w:sz="4" w:space="0" w:color="000000"/>
            </w:tcBorders>
          </w:tcPr>
          <w:p>
            <w:pPr>
              <w:jc w:val="center"/>
              <w:rPr>
                <w:b/>
                <w:noProof/>
              </w:rPr>
            </w:pPr>
            <w:r>
              <w:rPr>
                <w:b/>
                <w:noProof/>
              </w:rPr>
              <w:t>Anteil des Landes am jährlichen Gesamtrisiko (MS und Nicht-MS)</w:t>
            </w:r>
          </w:p>
        </w:tc>
      </w:tr>
      <w:tr>
        <w:trPr>
          <w:trHeight w:val="525"/>
        </w:trPr>
        <w:tc>
          <w:tcPr>
            <w:tcW w:w="1814" w:type="dxa"/>
            <w:vMerge/>
            <w:tcBorders>
              <w:left w:val="single" w:sz="4" w:space="0" w:color="000000"/>
              <w:bottom w:val="single" w:sz="4" w:space="0" w:color="000000"/>
            </w:tcBorders>
          </w:tcPr>
          <w:p>
            <w:pPr>
              <w:snapToGrid w:val="0"/>
              <w:rPr>
                <w:b/>
                <w:noProof/>
              </w:rPr>
            </w:pPr>
          </w:p>
        </w:tc>
        <w:tc>
          <w:tcPr>
            <w:tcW w:w="1701" w:type="dxa"/>
            <w:vMerge/>
            <w:tcBorders>
              <w:left w:val="single" w:sz="4" w:space="0" w:color="000000"/>
              <w:bottom w:val="single" w:sz="4" w:space="0" w:color="000000"/>
            </w:tcBorders>
          </w:tcPr>
          <w:p>
            <w:pPr>
              <w:snapToGrid w:val="0"/>
              <w:rPr>
                <w:b/>
                <w:noProof/>
              </w:rPr>
            </w:pPr>
          </w:p>
        </w:tc>
        <w:tc>
          <w:tcPr>
            <w:tcW w:w="1560" w:type="dxa"/>
            <w:vMerge/>
            <w:tcBorders>
              <w:left w:val="single" w:sz="4" w:space="0" w:color="000000"/>
              <w:bottom w:val="single" w:sz="4" w:space="0" w:color="000000"/>
            </w:tcBorders>
          </w:tcPr>
          <w:p>
            <w:pPr>
              <w:snapToGrid w:val="0"/>
              <w:rPr>
                <w:b/>
                <w:noProof/>
              </w:rPr>
            </w:pPr>
          </w:p>
        </w:tc>
        <w:tc>
          <w:tcPr>
            <w:tcW w:w="1842" w:type="dxa"/>
            <w:tcBorders>
              <w:left w:val="single" w:sz="4" w:space="0" w:color="000000"/>
              <w:bottom w:val="single" w:sz="4" w:space="0" w:color="000000"/>
            </w:tcBorders>
          </w:tcPr>
          <w:p>
            <w:pPr>
              <w:snapToGrid w:val="0"/>
              <w:rPr>
                <w:b/>
                <w:noProof/>
              </w:rPr>
            </w:pPr>
          </w:p>
        </w:tc>
        <w:tc>
          <w:tcPr>
            <w:tcW w:w="1843" w:type="dxa"/>
            <w:vMerge/>
            <w:tcBorders>
              <w:left w:val="single" w:sz="4" w:space="0" w:color="000000"/>
              <w:bottom w:val="single" w:sz="4" w:space="0" w:color="000000"/>
              <w:right w:val="single" w:sz="4" w:space="0" w:color="000000"/>
            </w:tcBorders>
          </w:tcPr>
          <w:p>
            <w:pPr>
              <w:snapToGrid w:val="0"/>
              <w:rPr>
                <w:b/>
                <w:noProof/>
              </w:rPr>
            </w:pP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1</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Türkei</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535,9</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20,9 %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4,3 %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2</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 xml:space="preserve">Marokko </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309,8</w:t>
            </w:r>
          </w:p>
        </w:tc>
        <w:tc>
          <w:tcPr>
            <w:tcW w:w="1842" w:type="dxa"/>
            <w:tcBorders>
              <w:top w:val="single" w:sz="4" w:space="0" w:color="000000"/>
              <w:left w:val="single" w:sz="4" w:space="0" w:color="000000"/>
              <w:bottom w:val="single" w:sz="4" w:space="0" w:color="000000"/>
            </w:tcBorders>
            <w:vAlign w:val="center"/>
          </w:tcPr>
          <w:p>
            <w:pPr>
              <w:jc w:val="right"/>
              <w:rPr>
                <w:noProof/>
              </w:rPr>
            </w:pPr>
            <w:r>
              <w:rPr>
                <w:noProof/>
              </w:rPr>
              <w:t>12,1 %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2,5 %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3</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 xml:space="preserve">Brasilien </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254,0</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10,0 %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2,1 %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4</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Serbien</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242,0</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9,4 %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2,0 %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5</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 xml:space="preserve">Tunesien </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227,3</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8,8 %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1,8 %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6</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 xml:space="preserve">Ägypten </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204,2</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7,9 %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1,6 %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7</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 xml:space="preserve">Bosnien und Herzegowina </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99,9</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3,9 %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0,8 %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8</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Libanon</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86,9</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3,4 %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0,7 %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9</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 xml:space="preserve">Südafrika </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86,3</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3,4 %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0,7 %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10</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 xml:space="preserve">Syrien </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57,0</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2,2 %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0,5 %</w:t>
            </w:r>
          </w:p>
        </w:tc>
      </w:tr>
      <w:tr>
        <w:tc>
          <w:tcPr>
            <w:tcW w:w="1814" w:type="dxa"/>
            <w:tcBorders>
              <w:top w:val="single" w:sz="4" w:space="0" w:color="000000"/>
              <w:left w:val="single" w:sz="4" w:space="0" w:color="000000"/>
              <w:bottom w:val="single" w:sz="4" w:space="0" w:color="000000"/>
            </w:tcBorders>
          </w:tcPr>
          <w:p>
            <w:pPr>
              <w:snapToGrid w:val="0"/>
              <w:rPr>
                <w:b/>
                <w:noProof/>
              </w:rPr>
            </w:pPr>
            <w:r>
              <w:rPr>
                <w:b/>
                <w:noProof/>
              </w:rPr>
              <w:t>Insgesamt</w:t>
            </w:r>
          </w:p>
        </w:tc>
        <w:tc>
          <w:tcPr>
            <w:tcW w:w="1701" w:type="dxa"/>
            <w:tcBorders>
              <w:top w:val="single" w:sz="4" w:space="0" w:color="000000"/>
              <w:left w:val="single" w:sz="4" w:space="0" w:color="000000"/>
              <w:bottom w:val="single" w:sz="4" w:space="0" w:color="000000"/>
            </w:tcBorders>
          </w:tcPr>
          <w:p>
            <w:pPr>
              <w:snapToGrid w:val="0"/>
              <w:rPr>
                <w:noProof/>
              </w:rPr>
            </w:pP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2 106,3</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82,0 %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17,0 %</w:t>
            </w:r>
          </w:p>
        </w:tc>
      </w:tr>
    </w:tbl>
    <w:p>
      <w:pPr>
        <w:pStyle w:val="ManualHeading1"/>
        <w:rPr>
          <w:noProof/>
        </w:rPr>
      </w:pPr>
      <w:bookmarkStart w:id="217" w:name="_Toc417461977"/>
      <w:bookmarkStart w:id="218" w:name="_Toc417998611"/>
      <w:bookmarkStart w:id="219" w:name="_Toc418157638"/>
      <w:bookmarkStart w:id="220" w:name="_Toc418160319"/>
      <w:bookmarkStart w:id="221" w:name="_Toc423680518"/>
      <w:r>
        <w:rPr>
          <w:noProof/>
        </w:rPr>
        <w:t>5.</w:t>
      </w:r>
      <w:r>
        <w:rPr>
          <w:noProof/>
        </w:rPr>
        <w:tab/>
        <w:t xml:space="preserve"> </w:t>
      </w:r>
      <w:bookmarkStart w:id="222" w:name="_Toc342470163"/>
      <w:bookmarkStart w:id="223" w:name="_Toc309831369"/>
      <w:bookmarkStart w:id="224" w:name="_Toc329261069"/>
      <w:bookmarkStart w:id="225" w:name="_Toc329855631"/>
      <w:bookmarkStart w:id="226" w:name="_Toc330551236"/>
      <w:bookmarkStart w:id="227" w:name="_Toc342470164"/>
      <w:bookmarkStart w:id="228" w:name="_Toc345073709"/>
      <w:bookmarkStart w:id="229" w:name="_Toc365986226"/>
      <w:bookmarkStart w:id="230" w:name="_Toc367869479"/>
      <w:bookmarkStart w:id="231" w:name="_Toc367870006"/>
      <w:bookmarkStart w:id="232" w:name="_Toc388973024"/>
      <w:bookmarkStart w:id="233" w:name="_Toc389474757"/>
      <w:bookmarkStart w:id="234" w:name="_Toc390944400"/>
      <w:bookmarkStart w:id="235" w:name="_Toc393969971"/>
      <w:bookmarkEnd w:id="222"/>
      <w:r>
        <w:rPr>
          <w:noProof/>
        </w:rPr>
        <w:t>Abruf von Garantiebeträgen</w:t>
      </w:r>
      <w:bookmarkEnd w:id="223"/>
      <w:bookmarkEnd w:id="224"/>
      <w:bookmarkEnd w:id="225"/>
      <w:bookmarkEnd w:id="226"/>
      <w:bookmarkEnd w:id="227"/>
      <w:bookmarkEnd w:id="228"/>
      <w:bookmarkEnd w:id="229"/>
      <w:bookmarkEnd w:id="230"/>
      <w:bookmarkEnd w:id="231"/>
      <w:bookmarkEnd w:id="232"/>
      <w:bookmarkEnd w:id="233"/>
      <w:r>
        <w:rPr>
          <w:noProof/>
        </w:rPr>
        <w:t xml:space="preserve"> und Entwicklung des Garantiefonds</w:t>
      </w:r>
      <w:bookmarkEnd w:id="217"/>
      <w:bookmarkEnd w:id="218"/>
      <w:bookmarkEnd w:id="219"/>
      <w:bookmarkEnd w:id="220"/>
      <w:bookmarkEnd w:id="221"/>
      <w:bookmarkEnd w:id="234"/>
      <w:bookmarkEnd w:id="235"/>
    </w:p>
    <w:p>
      <w:pPr>
        <w:pStyle w:val="ManualHeading2"/>
        <w:rPr>
          <w:noProof/>
        </w:rPr>
      </w:pPr>
      <w:bookmarkStart w:id="236" w:name="_Toc390944401"/>
      <w:bookmarkStart w:id="237" w:name="_Toc393969972"/>
      <w:bookmarkStart w:id="238" w:name="_Toc417461978"/>
      <w:bookmarkStart w:id="239" w:name="_Toc417998612"/>
      <w:bookmarkStart w:id="240" w:name="_Toc418157639"/>
      <w:bookmarkStart w:id="241" w:name="_Toc418160320"/>
      <w:bookmarkStart w:id="242" w:name="_Toc423680519"/>
      <w:bookmarkStart w:id="243" w:name="_Toc309831370"/>
      <w:bookmarkStart w:id="244" w:name="_Toc329261070"/>
      <w:bookmarkStart w:id="245" w:name="_Toc329855632"/>
      <w:bookmarkStart w:id="246" w:name="_Toc330551237"/>
      <w:bookmarkStart w:id="247" w:name="_Toc342470165"/>
      <w:bookmarkStart w:id="248" w:name="_Toc345073710"/>
      <w:bookmarkStart w:id="249" w:name="_Toc365986227"/>
      <w:bookmarkStart w:id="250" w:name="_Toc367869480"/>
      <w:bookmarkStart w:id="251" w:name="_Toc367870007"/>
      <w:bookmarkStart w:id="252" w:name="_Toc388973025"/>
      <w:bookmarkStart w:id="253" w:name="_Toc389474758"/>
      <w:r>
        <w:rPr>
          <w:noProof/>
        </w:rPr>
        <w:t>5.1.</w:t>
      </w:r>
      <w:r>
        <w:rPr>
          <w:noProof/>
        </w:rPr>
        <w:tab/>
        <w:t>Abruf von Garantiebeträgen</w:t>
      </w:r>
      <w:bookmarkEnd w:id="236"/>
      <w:bookmarkEnd w:id="237"/>
      <w:bookmarkEnd w:id="238"/>
      <w:bookmarkEnd w:id="239"/>
      <w:bookmarkEnd w:id="240"/>
      <w:bookmarkEnd w:id="241"/>
      <w:bookmarkEnd w:id="242"/>
    </w:p>
    <w:p>
      <w:pPr>
        <w:pStyle w:val="ManualHeading3"/>
        <w:rPr>
          <w:noProof/>
        </w:rPr>
      </w:pPr>
      <w:bookmarkStart w:id="254" w:name="_Toc390944402"/>
      <w:bookmarkStart w:id="255" w:name="_Toc393969973"/>
      <w:bookmarkStart w:id="256" w:name="_Toc417461979"/>
      <w:bookmarkStart w:id="257" w:name="_Toc417998613"/>
      <w:bookmarkStart w:id="258" w:name="_Toc418157640"/>
      <w:bookmarkStart w:id="259" w:name="_Toc418160321"/>
      <w:bookmarkStart w:id="260" w:name="_Toc423680520"/>
      <w:r>
        <w:rPr>
          <w:noProof/>
        </w:rPr>
        <w:t>5.1.1.</w:t>
      </w:r>
      <w:r>
        <w:rPr>
          <w:noProof/>
        </w:rPr>
        <w:tab/>
        <w:t>Rückgriff auf Kassenmittel</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rPr>
          <w:noProof/>
        </w:rPr>
      </w:pPr>
      <w:r>
        <w:rPr>
          <w:noProof/>
        </w:rPr>
        <w:t>Die Kommission greift im Rahmen des Schuldendienstes auf ihre Kassenmittel zurück, um bei Zahlungsverzug eines EU-Schuldners Zahlungsrückstände und dadurch bedingte Kosten zu vermeiden</w:t>
      </w:r>
      <w:r>
        <w:rPr>
          <w:rStyle w:val="Funotenzeichen"/>
          <w:noProof/>
        </w:rPr>
        <w:footnoteReference w:id="28"/>
      </w:r>
      <w:r>
        <w:rPr>
          <w:noProof/>
        </w:rPr>
        <w:t>. Dies war 2014 nicht der Fall.</w:t>
      </w:r>
    </w:p>
    <w:p>
      <w:pPr>
        <w:pStyle w:val="ManualHeading3"/>
        <w:rPr>
          <w:noProof/>
        </w:rPr>
      </w:pPr>
      <w:bookmarkStart w:id="261" w:name="_Toc309831371"/>
      <w:bookmarkStart w:id="262" w:name="_Toc329261071"/>
      <w:bookmarkStart w:id="263" w:name="_Toc329855633"/>
      <w:bookmarkStart w:id="264" w:name="_Toc330551238"/>
      <w:bookmarkStart w:id="265" w:name="_Toc342470166"/>
      <w:bookmarkStart w:id="266" w:name="_Toc345073711"/>
      <w:bookmarkStart w:id="267" w:name="_Toc365986228"/>
      <w:bookmarkStart w:id="268" w:name="_Toc367869481"/>
      <w:bookmarkStart w:id="269" w:name="_Toc367870008"/>
      <w:bookmarkStart w:id="270" w:name="_Toc388973026"/>
      <w:bookmarkStart w:id="271" w:name="_Toc389474759"/>
      <w:bookmarkStart w:id="272" w:name="_Toc390944403"/>
      <w:bookmarkStart w:id="273" w:name="_Toc393969974"/>
      <w:bookmarkStart w:id="274" w:name="_Toc417461980"/>
      <w:bookmarkStart w:id="275" w:name="_Toc417998614"/>
      <w:bookmarkStart w:id="276" w:name="_Toc418157641"/>
      <w:bookmarkStart w:id="277" w:name="_Toc418160322"/>
      <w:bookmarkStart w:id="278" w:name="_Toc423680521"/>
      <w:r>
        <w:rPr>
          <w:noProof/>
        </w:rPr>
        <w:t>5.1.2.</w:t>
      </w:r>
      <w:r>
        <w:rPr>
          <w:noProof/>
        </w:rPr>
        <w:tab/>
        <w:t xml:space="preserve">Übertragungen aus dem </w:t>
      </w:r>
      <w:bookmarkEnd w:id="261"/>
      <w:bookmarkEnd w:id="262"/>
      <w:bookmarkEnd w:id="263"/>
      <w:bookmarkEnd w:id="264"/>
      <w:bookmarkEnd w:id="265"/>
      <w:bookmarkEnd w:id="266"/>
      <w:bookmarkEnd w:id="267"/>
      <w:bookmarkEnd w:id="268"/>
      <w:bookmarkEnd w:id="269"/>
      <w:bookmarkEnd w:id="270"/>
      <w:bookmarkEnd w:id="271"/>
      <w:r>
        <w:rPr>
          <w:noProof/>
        </w:rPr>
        <w:t>EU-Gesamthaushaltsplan</w:t>
      </w:r>
      <w:bookmarkEnd w:id="272"/>
      <w:bookmarkEnd w:id="273"/>
      <w:bookmarkEnd w:id="274"/>
      <w:bookmarkEnd w:id="275"/>
      <w:bookmarkEnd w:id="276"/>
      <w:bookmarkEnd w:id="277"/>
      <w:bookmarkEnd w:id="278"/>
      <w:r>
        <w:rPr>
          <w:noProof/>
        </w:rPr>
        <w:t xml:space="preserve"> </w:t>
      </w:r>
    </w:p>
    <w:p>
      <w:pPr>
        <w:rPr>
          <w:noProof/>
        </w:rPr>
      </w:pPr>
      <w:r>
        <w:rPr>
          <w:noProof/>
        </w:rPr>
        <w:t xml:space="preserve">Sollte es zu einem Ausfall kommen, müsste der EU-Haushalt die verbleibende Lücke schließen. Da 2014 keine Ausfälle von Seiten der Mitgliedstaaten zu verzeichnen waren, wurden auch keine Mittel angefordert.  </w:t>
      </w:r>
      <w:bookmarkStart w:id="279" w:name="_CopyToNewDocument_"/>
      <w:bookmarkEnd w:id="279"/>
    </w:p>
    <w:p>
      <w:pPr>
        <w:pStyle w:val="ManualHeading3"/>
        <w:rPr>
          <w:noProof/>
        </w:rPr>
      </w:pPr>
      <w:bookmarkStart w:id="280" w:name="_Toc309831372"/>
      <w:bookmarkStart w:id="281" w:name="_Toc329261072"/>
      <w:bookmarkStart w:id="282" w:name="_Toc329855634"/>
      <w:bookmarkStart w:id="283" w:name="_Toc330551239"/>
      <w:bookmarkStart w:id="284" w:name="_Toc342470167"/>
      <w:bookmarkStart w:id="285" w:name="_Toc345073712"/>
      <w:bookmarkStart w:id="286" w:name="_Toc365986229"/>
      <w:bookmarkStart w:id="287" w:name="_Toc367869482"/>
      <w:bookmarkStart w:id="288" w:name="_Toc367870009"/>
      <w:bookmarkStart w:id="289" w:name="_Toc388973027"/>
      <w:bookmarkStart w:id="290" w:name="_Toc389474760"/>
      <w:bookmarkStart w:id="291" w:name="_Toc390944404"/>
      <w:bookmarkStart w:id="292" w:name="_Toc393969975"/>
      <w:bookmarkStart w:id="293" w:name="_Toc417461981"/>
      <w:bookmarkStart w:id="294" w:name="_Toc417998615"/>
      <w:bookmarkStart w:id="295" w:name="_Toc418157642"/>
      <w:bookmarkStart w:id="296" w:name="_Toc418160323"/>
      <w:bookmarkStart w:id="297" w:name="_Toc423680522"/>
      <w:r>
        <w:rPr>
          <w:noProof/>
        </w:rPr>
        <w:t>5.1.3.</w:t>
      </w:r>
      <w:r>
        <w:rPr>
          <w:noProof/>
        </w:rPr>
        <w:tab/>
        <w:t xml:space="preserve">Inanspruchnahme des Garantiefonds </w:t>
      </w:r>
      <w:bookmarkEnd w:id="280"/>
      <w:bookmarkEnd w:id="281"/>
      <w:bookmarkEnd w:id="282"/>
      <w:bookmarkEnd w:id="283"/>
      <w:bookmarkEnd w:id="284"/>
      <w:bookmarkEnd w:id="285"/>
      <w:bookmarkEnd w:id="286"/>
      <w:bookmarkEnd w:id="287"/>
      <w:bookmarkEnd w:id="288"/>
      <w:bookmarkEnd w:id="289"/>
      <w:bookmarkEnd w:id="290"/>
      <w:r>
        <w:rPr>
          <w:noProof/>
        </w:rPr>
        <w:t>und Rückzahlungen.</w:t>
      </w:r>
      <w:bookmarkEnd w:id="291"/>
      <w:bookmarkEnd w:id="292"/>
      <w:bookmarkEnd w:id="293"/>
      <w:bookmarkEnd w:id="294"/>
      <w:bookmarkEnd w:id="295"/>
      <w:bookmarkEnd w:id="296"/>
      <w:bookmarkEnd w:id="297"/>
    </w:p>
    <w:p>
      <w:pPr>
        <w:rPr>
          <w:noProof/>
        </w:rPr>
      </w:pPr>
      <w:r>
        <w:rPr>
          <w:noProof/>
        </w:rPr>
        <w:t>Kommt der Empfänger eines von der EU gewährten oder garantierten Drittlanddarlehens seinen Zahlungsverpflichtungen nicht fristgerecht nach, wird der Garantiefonds in Anspruch genommen, der binnen drei Monaten nach Zahlungsaufforderung anstelle des säumigen Schuldners die erforderliche Zahlung leistet</w:t>
      </w:r>
      <w:r>
        <w:rPr>
          <w:rStyle w:val="FootnoteReference"/>
          <w:noProof/>
        </w:rPr>
        <w:footnoteReference w:id="29"/>
      </w:r>
      <w:r>
        <w:rPr>
          <w:noProof/>
        </w:rPr>
        <w:t>.</w:t>
      </w:r>
    </w:p>
    <w:p>
      <w:pPr>
        <w:spacing w:after="240"/>
        <w:rPr>
          <w:noProof/>
        </w:rPr>
      </w:pPr>
      <w:r>
        <w:rPr>
          <w:noProof/>
        </w:rPr>
        <w:t>Ab Dezember 2011 hatte die EIB Ausfälle bei bestimmten Zins- und Darlehensrückzahlungen der syrischen Regierung zu verbuchen. Da offizielle Zahlungsaufforderungen erfolglos blieben, begann die EIB im Mai 2012, den Garantiefonds in Anspruch zu nehmen. Die Entwicklung der Garantieleistungen des Fonds für notleidende Darlehen in Syrien ist Tabelle 4 zu entnehmen.</w:t>
      </w:r>
    </w:p>
    <w:p>
      <w:pPr>
        <w:spacing w:after="240"/>
        <w:rPr>
          <w:noProof/>
        </w:rPr>
      </w:pPr>
      <w:r>
        <w:rPr>
          <w:noProof/>
        </w:rPr>
        <w:t xml:space="preserve">Die von der EIB abgerufenen Beträge werden vom Garantiefondskonto nach Genehmigung durch die Dienststellen der Kommission abgebucht. Wenn die EU eine Zahlung im Rahmen der EU-Garantie leistet, gehen die Rechte und Rechtsmittel der EIB gemäß der Garantievereinbarung auf die EU über. </w:t>
      </w:r>
    </w:p>
    <w:p>
      <w:pPr>
        <w:spacing w:after="240"/>
        <w:rPr>
          <w:noProof/>
        </w:rPr>
      </w:pPr>
      <w:r>
        <w:rPr>
          <w:noProof/>
        </w:rPr>
        <w:t>Die Beitreibungsverfahren für Forderungen, in die die EU eingetreten ist, hat die EIB zu übernehmen.</w:t>
      </w:r>
    </w:p>
    <w:p>
      <w:pPr>
        <w:spacing w:after="240"/>
        <w:rPr>
          <w:noProof/>
        </w:rPr>
      </w:pPr>
      <w:r>
        <w:rPr>
          <w:noProof/>
        </w:rPr>
        <w:br w:type="page"/>
        <w:t>Tabelle 4: Inanspruchnahme des Garantiefonds für notleidende Darlehen in Syrien (in Mio. EUR)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56"/>
        <w:gridCol w:w="1469"/>
        <w:gridCol w:w="1629"/>
        <w:gridCol w:w="1629"/>
        <w:gridCol w:w="1296"/>
      </w:tblGrid>
      <w:tr>
        <w:trPr>
          <w:trHeight w:val="1231"/>
        </w:trPr>
        <w:tc>
          <w:tcPr>
            <w:tcW w:w="1416" w:type="dxa"/>
            <w:shd w:val="clear" w:color="auto" w:fill="auto"/>
          </w:tcPr>
          <w:p>
            <w:pPr>
              <w:spacing w:after="240"/>
              <w:jc w:val="center"/>
              <w:rPr>
                <w:noProof/>
              </w:rPr>
            </w:pPr>
            <w:r>
              <w:rPr>
                <w:noProof/>
              </w:rPr>
              <w:t>Jahr</w:t>
            </w:r>
          </w:p>
        </w:tc>
        <w:tc>
          <w:tcPr>
            <w:tcW w:w="1430" w:type="dxa"/>
            <w:shd w:val="clear" w:color="auto" w:fill="auto"/>
          </w:tcPr>
          <w:p>
            <w:pPr>
              <w:spacing w:after="240"/>
              <w:jc w:val="center"/>
              <w:rPr>
                <w:noProof/>
              </w:rPr>
            </w:pPr>
            <w:r>
              <w:rPr>
                <w:noProof/>
              </w:rPr>
              <w:t>Anzahl der ausgezahlten Abrufe</w:t>
            </w:r>
          </w:p>
        </w:tc>
        <w:tc>
          <w:tcPr>
            <w:tcW w:w="1310" w:type="dxa"/>
            <w:shd w:val="clear" w:color="auto" w:fill="auto"/>
          </w:tcPr>
          <w:p>
            <w:pPr>
              <w:spacing w:after="240"/>
              <w:jc w:val="center"/>
              <w:rPr>
                <w:noProof/>
              </w:rPr>
            </w:pPr>
            <w:r>
              <w:rPr>
                <w:noProof/>
              </w:rPr>
              <w:t>Betrag der geschuldeten Tranchen</w:t>
            </w:r>
          </w:p>
        </w:tc>
        <w:tc>
          <w:tcPr>
            <w:tcW w:w="1431" w:type="dxa"/>
            <w:shd w:val="clear" w:color="auto" w:fill="auto"/>
          </w:tcPr>
          <w:p>
            <w:pPr>
              <w:spacing w:after="240"/>
              <w:jc w:val="center"/>
              <w:rPr>
                <w:noProof/>
              </w:rPr>
            </w:pPr>
            <w:r>
              <w:rPr>
                <w:noProof/>
              </w:rPr>
              <w:t>Verzugszinsen und aufgelaufene Zinsen (1)</w:t>
            </w:r>
          </w:p>
        </w:tc>
        <w:tc>
          <w:tcPr>
            <w:tcW w:w="1366" w:type="dxa"/>
            <w:shd w:val="clear" w:color="auto" w:fill="auto"/>
          </w:tcPr>
          <w:p>
            <w:pPr>
              <w:spacing w:after="240"/>
              <w:jc w:val="center"/>
              <w:rPr>
                <w:noProof/>
              </w:rPr>
            </w:pPr>
            <w:r>
              <w:rPr>
                <w:noProof/>
              </w:rPr>
              <w:t>Beigetriebener Betrag</w:t>
            </w:r>
          </w:p>
        </w:tc>
        <w:tc>
          <w:tcPr>
            <w:tcW w:w="1296" w:type="dxa"/>
            <w:shd w:val="clear" w:color="auto" w:fill="auto"/>
          </w:tcPr>
          <w:p>
            <w:pPr>
              <w:spacing w:after="240"/>
              <w:jc w:val="center"/>
              <w:rPr>
                <w:noProof/>
              </w:rPr>
            </w:pPr>
            <w:r>
              <w:rPr>
                <w:noProof/>
              </w:rPr>
              <w:t>Insgesamt</w:t>
            </w:r>
          </w:p>
        </w:tc>
      </w:tr>
      <w:tr>
        <w:tc>
          <w:tcPr>
            <w:tcW w:w="1416" w:type="dxa"/>
            <w:shd w:val="clear" w:color="auto" w:fill="auto"/>
          </w:tcPr>
          <w:p>
            <w:pPr>
              <w:spacing w:after="240"/>
              <w:jc w:val="center"/>
              <w:rPr>
                <w:noProof/>
              </w:rPr>
            </w:pPr>
            <w:r>
              <w:rPr>
                <w:noProof/>
              </w:rPr>
              <w:t>2012</w:t>
            </w:r>
          </w:p>
        </w:tc>
        <w:tc>
          <w:tcPr>
            <w:tcW w:w="1430" w:type="dxa"/>
            <w:shd w:val="clear" w:color="auto" w:fill="auto"/>
          </w:tcPr>
          <w:p>
            <w:pPr>
              <w:spacing w:after="240"/>
              <w:jc w:val="right"/>
              <w:rPr>
                <w:noProof/>
              </w:rPr>
            </w:pPr>
            <w:r>
              <w:rPr>
                <w:noProof/>
              </w:rPr>
              <w:t>2</w:t>
            </w:r>
          </w:p>
        </w:tc>
        <w:tc>
          <w:tcPr>
            <w:tcW w:w="1310" w:type="dxa"/>
            <w:shd w:val="clear" w:color="auto" w:fill="auto"/>
          </w:tcPr>
          <w:p>
            <w:pPr>
              <w:spacing w:after="240"/>
              <w:jc w:val="right"/>
              <w:rPr>
                <w:noProof/>
              </w:rPr>
            </w:pPr>
            <w:r>
              <w:rPr>
                <w:noProof/>
              </w:rPr>
              <w:t>24,02</w:t>
            </w:r>
          </w:p>
        </w:tc>
        <w:tc>
          <w:tcPr>
            <w:tcW w:w="1431" w:type="dxa"/>
            <w:shd w:val="clear" w:color="auto" w:fill="auto"/>
          </w:tcPr>
          <w:p>
            <w:pPr>
              <w:spacing w:after="240"/>
              <w:jc w:val="right"/>
              <w:rPr>
                <w:noProof/>
              </w:rPr>
            </w:pPr>
            <w:r>
              <w:rPr>
                <w:noProof/>
              </w:rPr>
              <w:t>k. A.</w:t>
            </w:r>
          </w:p>
        </w:tc>
        <w:tc>
          <w:tcPr>
            <w:tcW w:w="1366" w:type="dxa"/>
            <w:shd w:val="clear" w:color="auto" w:fill="auto"/>
          </w:tcPr>
          <w:p>
            <w:pPr>
              <w:spacing w:after="240"/>
              <w:jc w:val="right"/>
              <w:rPr>
                <w:noProof/>
              </w:rPr>
            </w:pPr>
            <w:r>
              <w:rPr>
                <w:noProof/>
              </w:rPr>
              <w:t>2,15</w:t>
            </w:r>
          </w:p>
        </w:tc>
        <w:tc>
          <w:tcPr>
            <w:tcW w:w="1296" w:type="dxa"/>
            <w:shd w:val="clear" w:color="auto" w:fill="auto"/>
          </w:tcPr>
          <w:p>
            <w:pPr>
              <w:spacing w:after="240"/>
              <w:jc w:val="right"/>
              <w:rPr>
                <w:noProof/>
              </w:rPr>
            </w:pPr>
            <w:r>
              <w:rPr>
                <w:noProof/>
              </w:rPr>
              <w:t>21,87</w:t>
            </w:r>
          </w:p>
        </w:tc>
      </w:tr>
      <w:tr>
        <w:tc>
          <w:tcPr>
            <w:tcW w:w="1416" w:type="dxa"/>
            <w:shd w:val="clear" w:color="auto" w:fill="auto"/>
          </w:tcPr>
          <w:p>
            <w:pPr>
              <w:spacing w:after="240"/>
              <w:jc w:val="center"/>
              <w:rPr>
                <w:noProof/>
              </w:rPr>
            </w:pPr>
            <w:r>
              <w:rPr>
                <w:noProof/>
              </w:rPr>
              <w:t>2013</w:t>
            </w:r>
          </w:p>
        </w:tc>
        <w:tc>
          <w:tcPr>
            <w:tcW w:w="1430" w:type="dxa"/>
            <w:shd w:val="clear" w:color="auto" w:fill="auto"/>
          </w:tcPr>
          <w:p>
            <w:pPr>
              <w:spacing w:after="240"/>
              <w:jc w:val="right"/>
              <w:rPr>
                <w:noProof/>
              </w:rPr>
            </w:pPr>
            <w:r>
              <w:rPr>
                <w:noProof/>
              </w:rPr>
              <w:t>8</w:t>
            </w:r>
          </w:p>
        </w:tc>
        <w:tc>
          <w:tcPr>
            <w:tcW w:w="1310" w:type="dxa"/>
            <w:shd w:val="clear" w:color="auto" w:fill="auto"/>
          </w:tcPr>
          <w:p>
            <w:pPr>
              <w:spacing w:after="240"/>
              <w:jc w:val="right"/>
              <w:rPr>
                <w:noProof/>
              </w:rPr>
            </w:pPr>
            <w:r>
              <w:rPr>
                <w:noProof/>
              </w:rPr>
              <w:t>59,27</w:t>
            </w:r>
          </w:p>
        </w:tc>
        <w:tc>
          <w:tcPr>
            <w:tcW w:w="1431" w:type="dxa"/>
            <w:shd w:val="clear" w:color="auto" w:fill="auto"/>
          </w:tcPr>
          <w:p>
            <w:pPr>
              <w:spacing w:after="240"/>
              <w:jc w:val="right"/>
              <w:rPr>
                <w:noProof/>
              </w:rPr>
            </w:pPr>
            <w:r>
              <w:rPr>
                <w:noProof/>
              </w:rPr>
              <w:t>1,36</w:t>
            </w:r>
          </w:p>
        </w:tc>
        <w:tc>
          <w:tcPr>
            <w:tcW w:w="1366" w:type="dxa"/>
            <w:shd w:val="clear" w:color="auto" w:fill="auto"/>
          </w:tcPr>
          <w:p>
            <w:pPr>
              <w:spacing w:after="240"/>
              <w:jc w:val="right"/>
              <w:rPr>
                <w:noProof/>
              </w:rPr>
            </w:pPr>
            <w:r>
              <w:rPr>
                <w:noProof/>
              </w:rPr>
              <w:t>0</w:t>
            </w:r>
          </w:p>
        </w:tc>
        <w:tc>
          <w:tcPr>
            <w:tcW w:w="1296" w:type="dxa"/>
            <w:shd w:val="clear" w:color="auto" w:fill="auto"/>
          </w:tcPr>
          <w:p>
            <w:pPr>
              <w:spacing w:after="240"/>
              <w:jc w:val="right"/>
              <w:rPr>
                <w:noProof/>
              </w:rPr>
            </w:pPr>
            <w:r>
              <w:rPr>
                <w:noProof/>
              </w:rPr>
              <w:t>60,63</w:t>
            </w:r>
          </w:p>
        </w:tc>
      </w:tr>
      <w:tr>
        <w:tc>
          <w:tcPr>
            <w:tcW w:w="1416" w:type="dxa"/>
            <w:shd w:val="clear" w:color="auto" w:fill="auto"/>
          </w:tcPr>
          <w:p>
            <w:pPr>
              <w:spacing w:after="240"/>
              <w:jc w:val="center"/>
              <w:rPr>
                <w:noProof/>
              </w:rPr>
            </w:pPr>
            <w:r>
              <w:rPr>
                <w:noProof/>
              </w:rPr>
              <w:t>2014</w:t>
            </w:r>
          </w:p>
        </w:tc>
        <w:tc>
          <w:tcPr>
            <w:tcW w:w="1430" w:type="dxa"/>
            <w:shd w:val="clear" w:color="auto" w:fill="auto"/>
          </w:tcPr>
          <w:p>
            <w:pPr>
              <w:spacing w:after="240"/>
              <w:jc w:val="right"/>
              <w:rPr>
                <w:noProof/>
              </w:rPr>
            </w:pPr>
            <w:r>
              <w:rPr>
                <w:noProof/>
              </w:rPr>
              <w:t>8</w:t>
            </w:r>
          </w:p>
        </w:tc>
        <w:tc>
          <w:tcPr>
            <w:tcW w:w="1310" w:type="dxa"/>
            <w:shd w:val="clear" w:color="auto" w:fill="auto"/>
          </w:tcPr>
          <w:p>
            <w:pPr>
              <w:spacing w:after="240"/>
              <w:jc w:val="right"/>
              <w:rPr>
                <w:noProof/>
              </w:rPr>
            </w:pPr>
            <w:r>
              <w:rPr>
                <w:noProof/>
              </w:rPr>
              <w:t>58,68</w:t>
            </w:r>
          </w:p>
        </w:tc>
        <w:tc>
          <w:tcPr>
            <w:tcW w:w="1431" w:type="dxa"/>
            <w:shd w:val="clear" w:color="auto" w:fill="auto"/>
          </w:tcPr>
          <w:p>
            <w:pPr>
              <w:spacing w:after="240"/>
              <w:jc w:val="right"/>
              <w:rPr>
                <w:noProof/>
              </w:rPr>
            </w:pPr>
            <w:r>
              <w:rPr>
                <w:noProof/>
              </w:rPr>
              <w:t>1,54</w:t>
            </w:r>
          </w:p>
        </w:tc>
        <w:tc>
          <w:tcPr>
            <w:tcW w:w="1366" w:type="dxa"/>
            <w:shd w:val="clear" w:color="auto" w:fill="auto"/>
          </w:tcPr>
          <w:p>
            <w:pPr>
              <w:spacing w:after="240"/>
              <w:jc w:val="right"/>
              <w:rPr>
                <w:noProof/>
              </w:rPr>
            </w:pPr>
            <w:r>
              <w:rPr>
                <w:noProof/>
              </w:rPr>
              <w:t>2,15</w:t>
            </w:r>
          </w:p>
        </w:tc>
        <w:tc>
          <w:tcPr>
            <w:tcW w:w="1296" w:type="dxa"/>
            <w:shd w:val="clear" w:color="auto" w:fill="auto"/>
          </w:tcPr>
          <w:p>
            <w:pPr>
              <w:spacing w:after="240"/>
              <w:jc w:val="right"/>
              <w:rPr>
                <w:noProof/>
              </w:rPr>
            </w:pPr>
            <w:r>
              <w:rPr>
                <w:noProof/>
              </w:rPr>
              <w:t>60,22</w:t>
            </w:r>
          </w:p>
        </w:tc>
      </w:tr>
      <w:tr>
        <w:tc>
          <w:tcPr>
            <w:tcW w:w="1416" w:type="dxa"/>
            <w:shd w:val="clear" w:color="auto" w:fill="auto"/>
          </w:tcPr>
          <w:p>
            <w:pPr>
              <w:spacing w:after="240"/>
              <w:jc w:val="center"/>
              <w:rPr>
                <w:noProof/>
              </w:rPr>
            </w:pPr>
            <w:r>
              <w:rPr>
                <w:noProof/>
              </w:rPr>
              <w:t>Insgesamt</w:t>
            </w:r>
          </w:p>
        </w:tc>
        <w:tc>
          <w:tcPr>
            <w:tcW w:w="1430" w:type="dxa"/>
            <w:shd w:val="clear" w:color="auto" w:fill="auto"/>
          </w:tcPr>
          <w:p>
            <w:pPr>
              <w:spacing w:after="240"/>
              <w:jc w:val="right"/>
              <w:rPr>
                <w:noProof/>
              </w:rPr>
            </w:pPr>
            <w:r>
              <w:rPr>
                <w:noProof/>
              </w:rPr>
              <w:t>18</w:t>
            </w:r>
          </w:p>
        </w:tc>
        <w:tc>
          <w:tcPr>
            <w:tcW w:w="1310" w:type="dxa"/>
            <w:shd w:val="clear" w:color="auto" w:fill="auto"/>
          </w:tcPr>
          <w:p>
            <w:pPr>
              <w:spacing w:after="240"/>
              <w:jc w:val="right"/>
              <w:rPr>
                <w:noProof/>
              </w:rPr>
            </w:pPr>
            <w:r>
              <w:rPr>
                <w:noProof/>
              </w:rPr>
              <w:t>141,97</w:t>
            </w:r>
          </w:p>
        </w:tc>
        <w:tc>
          <w:tcPr>
            <w:tcW w:w="1431" w:type="dxa"/>
            <w:shd w:val="clear" w:color="auto" w:fill="auto"/>
          </w:tcPr>
          <w:p>
            <w:pPr>
              <w:spacing w:after="240"/>
              <w:jc w:val="right"/>
              <w:rPr>
                <w:noProof/>
              </w:rPr>
            </w:pPr>
            <w:r>
              <w:rPr>
                <w:noProof/>
              </w:rPr>
              <w:t>2,90</w:t>
            </w:r>
          </w:p>
        </w:tc>
        <w:tc>
          <w:tcPr>
            <w:tcW w:w="1366" w:type="dxa"/>
            <w:shd w:val="clear" w:color="auto" w:fill="auto"/>
          </w:tcPr>
          <w:p>
            <w:pPr>
              <w:spacing w:after="240"/>
              <w:jc w:val="right"/>
              <w:rPr>
                <w:noProof/>
              </w:rPr>
            </w:pPr>
            <w:r>
              <w:rPr>
                <w:noProof/>
              </w:rPr>
              <w:t>2,15</w:t>
            </w:r>
          </w:p>
        </w:tc>
        <w:tc>
          <w:tcPr>
            <w:tcW w:w="1296" w:type="dxa"/>
            <w:shd w:val="clear" w:color="auto" w:fill="auto"/>
          </w:tcPr>
          <w:p>
            <w:pPr>
              <w:spacing w:after="240"/>
              <w:jc w:val="right"/>
              <w:rPr>
                <w:noProof/>
              </w:rPr>
            </w:pPr>
            <w:r>
              <w:rPr>
                <w:noProof/>
              </w:rPr>
              <w:t>142,72</w:t>
            </w:r>
          </w:p>
        </w:tc>
      </w:tr>
    </w:tbl>
    <w:p>
      <w:pPr>
        <w:spacing w:after="240"/>
        <w:rPr>
          <w:noProof/>
          <w:sz w:val="20"/>
          <w:szCs w:val="20"/>
        </w:rPr>
      </w:pPr>
      <w:r>
        <w:rPr>
          <w:noProof/>
          <w:sz w:val="20"/>
        </w:rPr>
        <w:t xml:space="preserve">(1) Verzugszinsen und aufgelaufene Zinsen werden von der EIB nur ab der zweiten Zahlungsaufforderung für die einzelnen Darlehen eingefordert und laufen vom Zeitpunkt des Ausfalls bis zum Datum der Zahlung durch den Garantiefonds. </w:t>
      </w:r>
    </w:p>
    <w:p>
      <w:pPr>
        <w:spacing w:after="240"/>
        <w:rPr>
          <w:noProof/>
        </w:rPr>
      </w:pPr>
      <w:r>
        <w:rPr>
          <w:noProof/>
        </w:rPr>
        <w:t>Die gegenüber Syrien zum 31. Dezember 2014 ausstehenden garantierten Darlehen beliefen sich auf insgesamt 554 Mio. EUR</w:t>
      </w:r>
      <w:r>
        <w:rPr>
          <w:rStyle w:val="FootnoteReference"/>
          <w:noProof/>
        </w:rPr>
        <w:footnoteReference w:id="30"/>
      </w:r>
      <w:r>
        <w:rPr>
          <w:noProof/>
        </w:rPr>
        <w:t>; das letzte Darlehen läuft bis 2030.</w:t>
      </w:r>
    </w:p>
    <w:p>
      <w:pPr>
        <w:spacing w:after="240"/>
        <w:rPr>
          <w:noProof/>
          <w:u w:val="single"/>
        </w:rPr>
      </w:pPr>
      <w:r>
        <w:rPr>
          <w:noProof/>
          <w:u w:val="single"/>
        </w:rPr>
        <w:t>Entwicklungen nach dem 31. Dezember 2014</w:t>
      </w:r>
    </w:p>
    <w:p>
      <w:pPr>
        <w:rPr>
          <w:noProof/>
        </w:rPr>
      </w:pPr>
      <w:r>
        <w:rPr>
          <w:noProof/>
        </w:rPr>
        <w:t>In den ersten vier Monaten des Jahres 2015 wurden zwei weitere Anträge auf Auszahlung eines Gesamtbetrags von 12,15 Mio. EUR gestellt.</w:t>
      </w:r>
    </w:p>
    <w:p>
      <w:pPr>
        <w:pStyle w:val="ManualHeading2"/>
        <w:rPr>
          <w:noProof/>
        </w:rPr>
      </w:pPr>
      <w:bookmarkStart w:id="298" w:name="_Toc390944405"/>
      <w:bookmarkStart w:id="299" w:name="_Toc393969976"/>
      <w:bookmarkStart w:id="300" w:name="_Toc417461982"/>
      <w:bookmarkStart w:id="301" w:name="_Toc417998616"/>
      <w:bookmarkStart w:id="302" w:name="_Toc418157643"/>
      <w:bookmarkStart w:id="303" w:name="_Toc418160324"/>
      <w:bookmarkStart w:id="304" w:name="_Toc423680523"/>
      <w:r>
        <w:rPr>
          <w:noProof/>
        </w:rPr>
        <w:t>5.2.</w:t>
      </w:r>
      <w:r>
        <w:rPr>
          <w:noProof/>
        </w:rPr>
        <w:tab/>
        <w:t>Entwicklung des Garantiefonds</w:t>
      </w:r>
      <w:bookmarkEnd w:id="298"/>
      <w:bookmarkEnd w:id="299"/>
      <w:bookmarkEnd w:id="300"/>
      <w:bookmarkEnd w:id="301"/>
      <w:bookmarkEnd w:id="302"/>
      <w:bookmarkEnd w:id="303"/>
      <w:bookmarkEnd w:id="304"/>
    </w:p>
    <w:p>
      <w:pPr>
        <w:rPr>
          <w:noProof/>
        </w:rPr>
      </w:pPr>
      <w:r>
        <w:rPr>
          <w:noProof/>
        </w:rPr>
        <w:t>Nach der Garantiefondsverordnung ist der Fonds mit einer angemessenen Dotierung (Zielbetrag) auszustatten, die auf 9 % der gesamten Kapitalverbindlichkeiten aus allen Transaktionen zuzüglich aufgelaufener Zinsen festgesetzt wurde. Mit einem Dotierungsmechanismus wird sichergestellt, dass dieser Zielbetrag erreicht wird.</w:t>
      </w:r>
    </w:p>
    <w:p>
      <w:pPr>
        <w:rPr>
          <w:noProof/>
        </w:rPr>
      </w:pPr>
      <w:r>
        <w:rPr>
          <w:noProof/>
        </w:rPr>
        <w:t>Auf der Grundlage des Dotierungsmechanismus wurden im Februar 2014 58,43 Mio. EUR aus dem EU-Haushalt an den Garantiefonds gezahlt. Im Februar 2015 belief sich der Betrag auf 144,40 Mio. EUR.</w:t>
      </w:r>
    </w:p>
    <w:p>
      <w:pPr>
        <w:rPr>
          <w:noProof/>
        </w:rPr>
      </w:pPr>
      <w:r>
        <w:rPr>
          <w:noProof/>
        </w:rPr>
        <w:t>Zum 31. Dezember 2014 betrug das Nettoguthaben</w:t>
      </w:r>
      <w:r>
        <w:rPr>
          <w:rStyle w:val="Funotenzeichen"/>
          <w:noProof/>
        </w:rPr>
        <w:footnoteReference w:id="31"/>
      </w:r>
      <w:r>
        <w:rPr>
          <w:noProof/>
        </w:rPr>
        <w:t xml:space="preserve"> des Garantiefonds 2114,67 Mio. EUR.</w:t>
      </w:r>
      <w:r>
        <w:rPr>
          <w:noProof/>
          <w:color w:val="000000"/>
        </w:rPr>
        <w:t xml:space="preserve"> </w:t>
      </w:r>
      <w:r>
        <w:rPr>
          <w:noProof/>
        </w:rPr>
        <w:t>Das Verhältnis zwischen dem Nettoguthaben des Fonds und den Kapitalverbindlichkeiten</w:t>
      </w:r>
      <w:r>
        <w:rPr>
          <w:rStyle w:val="Funotenzeichen"/>
          <w:noProof/>
        </w:rPr>
        <w:footnoteReference w:id="32"/>
      </w:r>
      <w:r>
        <w:rPr>
          <w:noProof/>
        </w:rPr>
        <w:t xml:space="preserve"> (26 353,17 Mio. EUR) im Sinne der Garantiefondsverordnung lag unter dem Zielbetrag. Daher wurde in den Entwurf des EU-Haushaltsplans für 2016 ein Dotierungsbetrag von 257,12 Mio. EUR aufgenommen.</w:t>
      </w:r>
    </w:p>
    <w:p>
      <w:pPr>
        <w:rPr>
          <w:noProof/>
        </w:rPr>
      </w:pPr>
      <w:r>
        <w:rPr>
          <w:noProof/>
        </w:rPr>
        <w:t>Zum 31. Dezember 2014 hatte der Fonds Zahlungsrückstände in Höhe von 142,72 Mio. EUR beizutreiben.</w:t>
      </w: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tabs>
        <w:tab w:val="left" w:pos="507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Verordnung (EU, Euratom) Nr. 966/2012 des Europäischen Parlaments und des Rates vom 25. Oktober 2012 über die Haushaltsordnung für den Gesamthaushaltsplan der Union und zur Aufhebung der Verordnung (EG, Euratom) Nr. 1605/2002 des Rates (ABl. L 298 vom 26.10.2012, S. 1).</w:t>
      </w:r>
    </w:p>
  </w:footnote>
  <w:footnote w:id="2">
    <w:p>
      <w:pPr>
        <w:pStyle w:val="FootnoteText"/>
      </w:pPr>
      <w:r>
        <w:rPr>
          <w:rStyle w:val="FootnoteReference"/>
        </w:rPr>
        <w:footnoteRef/>
      </w:r>
      <w:r>
        <w:tab/>
        <w:t>Vorhergehender Bericht über die Garantien aus dem Gesamthaushaltsplan (Stand: 31. Dezember 2014): COM(2014) 540 final und SWD(2014) 269 final.</w:t>
      </w:r>
    </w:p>
  </w:footnote>
  <w:footnote w:id="3">
    <w:p>
      <w:pPr>
        <w:pStyle w:val="FootnoteText"/>
      </w:pPr>
      <w:r>
        <w:rPr>
          <w:rStyle w:val="FootnoteReference"/>
        </w:rPr>
        <w:footnoteRef/>
      </w:r>
      <w:r>
        <w:tab/>
        <w:t>Verordnung (EG, Euratom) Nr. 480/2009 des Rates vom 25. Mai 2009 zur Einrichtung eines Garantiefonds für Maßnahmen im Zusammenhang mit den Außenbeziehungen (kodifizierte Fassung), „Garantiefondsverordnung“ (ABl. L 145 vom 10.6.2009, S. 10).</w:t>
      </w:r>
    </w:p>
  </w:footnote>
  <w:footnote w:id="4">
    <w:p>
      <w:pPr>
        <w:pStyle w:val="FootnoteText"/>
      </w:pPr>
      <w:r>
        <w:rPr>
          <w:rStyle w:val="FootnoteReference"/>
        </w:rPr>
        <w:footnoteRef/>
      </w:r>
      <w:r>
        <w:tab/>
        <w:t xml:space="preserve">Makrofinanzhilfen können Drittländern auch in Form von Zuschüssen gewährt werden. </w:t>
      </w:r>
    </w:p>
  </w:footnote>
  <w:footnote w:id="5">
    <w:p>
      <w:pPr>
        <w:pStyle w:val="FootnoteText"/>
      </w:pPr>
      <w:r>
        <w:rPr>
          <w:rStyle w:val="FootnoteReference"/>
        </w:rPr>
        <w:footnoteRef/>
      </w:r>
      <w:r>
        <w:tab/>
        <w:t>Verordnung (EG) Nr. 332/2002 des Rates vom 18. Februar 2002 zur Einführung einer Fazilität des mittelfristigen finanziellen Beistands zur Stützung der Zahlungsbilanzen der Mitgliedstaaten (ABl. L 53 vom 23.2.2002, S. 1).</w:t>
      </w:r>
    </w:p>
  </w:footnote>
  <w:footnote w:id="6">
    <w:p>
      <w:pPr>
        <w:pStyle w:val="FootnoteText"/>
      </w:pPr>
      <w:r>
        <w:rPr>
          <w:rStyle w:val="FootnoteReference"/>
        </w:rPr>
        <w:footnoteRef/>
      </w:r>
      <w:r>
        <w:tab/>
        <w:t xml:space="preserve">Verordnung (EU) Nr. 407/2010 des Rates vom 11. Mai 2010 zur Einführung eines europäischen Finanzstabilisierungsmechanismus (ABl. L 118 vom 12.5.2010, S. 1). </w:t>
      </w:r>
    </w:p>
  </w:footnote>
  <w:footnote w:id="7">
    <w:p>
      <w:pPr>
        <w:pStyle w:val="FootnoteText"/>
      </w:pPr>
      <w:r>
        <w:rPr>
          <w:rStyle w:val="FootnoteReference"/>
        </w:rPr>
        <w:footnoteRef/>
      </w:r>
      <w:r>
        <w:tab/>
      </w:r>
      <w:r>
        <w:rPr>
          <w:color w:val="000000"/>
        </w:rPr>
        <w:t>Angabe der Rechtsgrundlagen im Anhang zu Tabelle A3 der Arbeitsunterlage.</w:t>
      </w:r>
    </w:p>
  </w:footnote>
  <w:footnote w:id="8">
    <w:p>
      <w:pPr>
        <w:pStyle w:val="FootnoteText"/>
      </w:pPr>
      <w:r>
        <w:rPr>
          <w:rStyle w:val="FootnoteReference"/>
        </w:rPr>
        <w:footnoteRef/>
      </w:r>
      <w:r>
        <w:tab/>
        <w:t xml:space="preserve">Auch wenn Drittlandsrisiken letztlich durch den EU-Haushalt abgedeckt sind, wirkt der Garantiefonds doch als Instrument, das den EU-Haushalt gegen Ausfallrisiken absichert. Der aktuelle Jahresbericht über den Garantiefonds und dessen Verwaltung findet sich in COM(2014) 463 final und in der zugehörigen Arbeitsunterlage (SWD(2014) 241 final). Der Bericht für das Jahr 2014 ist voraussichtlich ab Juli 2015 online abrufbar: </w:t>
      </w:r>
      <w:hyperlink r:id="rId1">
        <w:r>
          <w:rPr>
            <w:rStyle w:val="Hyperlink"/>
            <w:noProof/>
            <w:color w:val="auto"/>
          </w:rPr>
          <w:t>http://eur-lex.europa.eu/homepage.html</w:t>
        </w:r>
      </w:hyperlink>
    </w:p>
  </w:footnote>
  <w:footnote w:id="9">
    <w:p>
      <w:pPr>
        <w:pStyle w:val="FootnoteText"/>
      </w:pPr>
      <w:r>
        <w:rPr>
          <w:rStyle w:val="FootnoteReference"/>
        </w:rPr>
        <w:footnoteRef/>
      </w:r>
      <w:r>
        <w:tab/>
        <w:t>Einen umfassenden Bericht über die Funktionsweise des Garantiefonds und über die Zielausstattungsquote enthalten COM(2014) 214 final und die zugehörige Arbeitsunterlage (SWD(2014) 129 final).</w:t>
      </w:r>
    </w:p>
  </w:footnote>
  <w:footnote w:id="10">
    <w:p>
      <w:pPr>
        <w:pStyle w:val="FootnoteText"/>
        <w:jc w:val="left"/>
      </w:pPr>
      <w:r>
        <w:rPr>
          <w:rStyle w:val="FootnoteReference"/>
        </w:rPr>
        <w:footnoteRef/>
      </w:r>
      <w:r>
        <w:tab/>
        <w:t>Informationen zur GLF:  http://ec.europa.eu/economy_finance/assistance_eu_ms/greek_loan_facility/index_en.htm.</w:t>
      </w:r>
    </w:p>
  </w:footnote>
  <w:footnote w:id="11">
    <w:p>
      <w:pPr>
        <w:pStyle w:val="FootnoteText"/>
        <w:rPr>
          <w:color w:val="000000"/>
          <w:lang w:val="en-GB"/>
        </w:rPr>
      </w:pPr>
      <w:r>
        <w:rPr>
          <w:rStyle w:val="FootnoteReference"/>
        </w:rPr>
        <w:footnoteRef/>
      </w:r>
      <w:r>
        <w:rPr>
          <w:lang w:val="en-GB"/>
        </w:rPr>
        <w:tab/>
      </w:r>
      <w:hyperlink r:id="rId2">
        <w:r>
          <w:rPr>
            <w:rStyle w:val="Hyperlink"/>
            <w:color w:val="auto"/>
            <w:u w:val="none"/>
            <w:lang w:val="en-GB"/>
          </w:rPr>
          <w:t>About the EFSF</w:t>
        </w:r>
      </w:hyperlink>
      <w:r>
        <w:rPr>
          <w:lang w:val="en-GB"/>
        </w:rPr>
        <w:t>:</w:t>
      </w:r>
      <w:r>
        <w:rPr>
          <w:color w:val="000000"/>
          <w:lang w:val="en-GB"/>
        </w:rPr>
        <w:t xml:space="preserve"> http://www.efsf.europa.eu.</w:t>
      </w:r>
    </w:p>
  </w:footnote>
  <w:footnote w:id="12">
    <w:p>
      <w:pPr>
        <w:pStyle w:val="FootnoteText"/>
      </w:pPr>
      <w:r>
        <w:rPr>
          <w:rStyle w:val="FootnoteReference"/>
        </w:rPr>
        <w:footnoteRef/>
      </w:r>
      <w:r>
        <w:tab/>
        <w:t>Die im Rahmen von EU/EFSM vergebenen Darlehen sind mit einer Garantie aus dem EU-Haushalt ausgestattet.</w:t>
      </w:r>
    </w:p>
  </w:footnote>
  <w:footnote w:id="13">
    <w:p>
      <w:pPr>
        <w:pStyle w:val="FootnoteText"/>
      </w:pPr>
      <w:r>
        <w:rPr>
          <w:rStyle w:val="FootnoteReference"/>
        </w:rPr>
        <w:footnoteRef/>
      </w:r>
      <w:r>
        <w:tab/>
        <w:t xml:space="preserve">Informationen zum ESM: </w:t>
      </w:r>
      <w:hyperlink r:id="rId3">
        <w:r>
          <w:rPr>
            <w:rStyle w:val="Hyperlink"/>
          </w:rPr>
          <w:t>http://esm.europa.eu</w:t>
        </w:r>
      </w:hyperlink>
      <w:r>
        <w:t>.</w:t>
      </w:r>
    </w:p>
  </w:footnote>
  <w:footnote w:id="14">
    <w:p>
      <w:pPr>
        <w:pStyle w:val="FootnoteText"/>
        <w:jc w:val="left"/>
        <w:rPr>
          <w:lang w:val="it-IT"/>
        </w:rPr>
      </w:pPr>
      <w:r>
        <w:rPr>
          <w:rStyle w:val="FootnoteReference"/>
        </w:rPr>
        <w:footnoteRef/>
      </w:r>
      <w:r>
        <w:tab/>
        <w:t>Siehe Pressemitteilung zur außerordentlichen Tagung des Ecofin-Rates vom 9./10. </w:t>
      </w:r>
      <w:r>
        <w:rPr>
          <w:lang w:val="it-IT"/>
        </w:rPr>
        <w:t>Mai 2010 (</w:t>
      </w:r>
      <w:hyperlink r:id="rId4">
        <w:r>
          <w:rPr>
            <w:rStyle w:val="Hyperlink"/>
            <w:color w:val="auto"/>
            <w:lang w:val="it-IT"/>
          </w:rPr>
          <w:t>http://www.consilium.europa.eu/uedocs/cms_data/docs/pressdata/en/ecofin/114324.pdf</w:t>
        </w:r>
      </w:hyperlink>
      <w:r>
        <w:rPr>
          <w:lang w:val="it-IT"/>
        </w:rPr>
        <w:t>).</w:t>
      </w:r>
    </w:p>
  </w:footnote>
  <w:footnote w:id="15">
    <w:p>
      <w:pPr>
        <w:pStyle w:val="FootnoteText"/>
      </w:pPr>
      <w:r>
        <w:rPr>
          <w:rStyle w:val="FootnoteReference"/>
        </w:rPr>
        <w:footnoteRef/>
      </w:r>
      <w:r>
        <w:t xml:space="preserve"> </w:t>
      </w:r>
      <w:r>
        <w:tab/>
        <w:t>Verordnung (EU) Nr. 407/2010 des Rates vom 11. Mai 2010 zur Einführung eines europäischen Finanzstabilisierungsmechanismus (ABl. L 118 vom 12.5.2010, S. 1).</w:t>
      </w:r>
    </w:p>
  </w:footnote>
  <w:footnote w:id="16">
    <w:p>
      <w:pPr>
        <w:pStyle w:val="FootnoteText"/>
      </w:pPr>
      <w:r>
        <w:rPr>
          <w:rStyle w:val="FootnoteReference"/>
        </w:rPr>
        <w:footnoteRef/>
      </w:r>
      <w:r>
        <w:tab/>
        <w:t>Durchführungsbeschluss 2011/77/EU des Rates vom 7. Dezember 2011 über einen finanziellen Beistand der Union für Irland (ABl. L 30 vom 4.2.2011, S. 348).</w:t>
      </w:r>
    </w:p>
  </w:footnote>
  <w:footnote w:id="17">
    <w:p>
      <w:pPr>
        <w:pStyle w:val="FootnoteText"/>
      </w:pPr>
      <w:r>
        <w:rPr>
          <w:rStyle w:val="FootnoteReference"/>
        </w:rPr>
        <w:footnoteRef/>
      </w:r>
      <w:r>
        <w:tab/>
        <w:t>Durchführungsbeschluss 2011/344/EU des Rates vom 17. Mai 2011 über einen finanziellen Beistand der Union für Portugal (ABl. L 159 vom 17.6.2011, S. 88) sowie die Berichtigung dieses Beschlusses (ABl. L 178 vom 10.7.2012, S. 15).</w:t>
      </w:r>
    </w:p>
  </w:footnote>
  <w:footnote w:id="18">
    <w:p>
      <w:pPr>
        <w:pStyle w:val="FootnoteText"/>
      </w:pPr>
      <w:r>
        <w:rPr>
          <w:rStyle w:val="FootnoteReference"/>
        </w:rPr>
        <w:footnoteRef/>
      </w:r>
      <w:r>
        <w:tab/>
        <w:t>Weitere Informationen zum EFSM enthält der Bericht der Kommission über die Anleihe- und Darlehenstätigkeit der Europäischen Union im Jahr 2013, COM(2014) 529 final. Der Bericht für das Jahr 2014 ist voraussichtlich ab Juli 2015 online abrufbar: http://eur-lex.europa.eu/homepage.html</w:t>
      </w:r>
    </w:p>
  </w:footnote>
  <w:footnote w:id="19">
    <w:p>
      <w:pPr>
        <w:pStyle w:val="FootnoteText"/>
      </w:pPr>
      <w:r>
        <w:rPr>
          <w:rStyle w:val="FootnoteReference"/>
        </w:rPr>
        <w:footnoteRef/>
      </w:r>
      <w:r>
        <w:tab/>
        <w:t>Beschluss 2013/531/EU des Rates vom 22. Oktober 2013 über einen vorsorglichen mittelfristigen finanziellen Beistand der Union für Rumänien (ABl. L 286 vom 29.10.2013, S. 1).</w:t>
      </w:r>
    </w:p>
  </w:footnote>
  <w:footnote w:id="20">
    <w:p>
      <w:pPr>
        <w:pStyle w:val="FootnoteText"/>
      </w:pPr>
      <w:r>
        <w:rPr>
          <w:rStyle w:val="FootnoteReference"/>
        </w:rPr>
        <w:footnoteRef/>
      </w:r>
      <w:r>
        <w:tab/>
        <w:t>Beschluss 2014/215/EU des Rates vom 14. April 2014 über eine Makrofinanzhilfe für die Ukraine (ABl. L 111 vom 15.4.2014, S. 85).</w:t>
      </w:r>
    </w:p>
  </w:footnote>
  <w:footnote w:id="21">
    <w:p>
      <w:pPr>
        <w:pStyle w:val="FootnoteText"/>
      </w:pPr>
      <w:r>
        <w:rPr>
          <w:rStyle w:val="FootnoteReference"/>
        </w:rPr>
        <w:footnoteRef/>
      </w:r>
      <w:r>
        <w:tab/>
        <w:t>Beschluss Nr. 388/2010/EU des Europäischen Parlaments und des Rates vom 7. Juli 2010 über eine Makrofinanzhilfe für die Ukraine (ABl. L 179 vom 14.7.2010, S. 1).</w:t>
      </w:r>
    </w:p>
  </w:footnote>
  <w:footnote w:id="22">
    <w:p>
      <w:pPr>
        <w:pStyle w:val="FootnoteText"/>
      </w:pPr>
      <w:r>
        <w:rPr>
          <w:rStyle w:val="FootnoteReference"/>
        </w:rPr>
        <w:footnoteRef/>
      </w:r>
      <w:r>
        <w:tab/>
        <w:t>Beschluss Nr. 2002/639/EG des Rates vom 12. Juli 2002 über eine weitere Makro-Finanzhilfe für die Ukraine (ABl. L 209 vom 6.8.2002, S. 22).</w:t>
      </w:r>
    </w:p>
  </w:footnote>
  <w:footnote w:id="23">
    <w:p>
      <w:pPr>
        <w:pStyle w:val="FootnoteText"/>
      </w:pPr>
      <w:r>
        <w:rPr>
          <w:rStyle w:val="FootnoteReference"/>
        </w:rPr>
        <w:footnoteRef/>
      </w:r>
      <w:r>
        <w:t xml:space="preserve"> </w:t>
      </w:r>
      <w:r>
        <w:tab/>
        <w:t>Beschluss Nr. 534/2014/EU des Europäischen Parlaments und des Rates vom 15. Mai 2014 über eine Makrofinanzhilfe für die Tunesische Republik (ABl. L 151 vom 21.05.2014, S. 9).</w:t>
      </w:r>
    </w:p>
  </w:footnote>
  <w:footnote w:id="24">
    <w:p>
      <w:pPr>
        <w:pStyle w:val="FootnoteText"/>
      </w:pPr>
      <w:r>
        <w:rPr>
          <w:rStyle w:val="FootnoteReference"/>
        </w:rPr>
        <w:footnoteRef/>
      </w:r>
      <w:r>
        <w:tab/>
        <w:t>Beschluss Nr. 466/2014/EU des Europäischen Parlaments und des Rates vom 16. April 2014 über eine Garantieleistung der Europäischen Union für etwaige Verluste der Europäischen Investitionsbank aus Finanzierungen zur Unterstützung von Investitionsvorhaben außerhalb der Union (ABl. l 135 vom 8.5.2014, S. 1).</w:t>
      </w:r>
    </w:p>
  </w:footnote>
  <w:footnote w:id="25">
    <w:p>
      <w:pPr>
        <w:pStyle w:val="FootnoteText"/>
      </w:pPr>
      <w:r>
        <w:rPr>
          <w:rStyle w:val="FootnoteReference"/>
        </w:rPr>
        <w:footnoteRef/>
      </w:r>
      <w:r>
        <w:tab/>
        <w:t>Siehe Tabelle 1 des Berichts.</w:t>
      </w:r>
    </w:p>
  </w:footnote>
  <w:footnote w:id="26">
    <w:p>
      <w:pPr>
        <w:pStyle w:val="FootnoteText"/>
      </w:pPr>
      <w:r>
        <w:rPr>
          <w:rStyle w:val="FootnoteReference"/>
        </w:rPr>
        <w:footnoteRef/>
      </w:r>
      <w:r>
        <w:tab/>
        <w:t>Bei dieser Berechnung wird angenommen, dass notleidende Darlehen nicht vorzeitig fällig gestellt werden, d. h. es werden nur fällige Zahlungen berücksichtigt (siehe auch Tabellen 2 und 3 des Berichts sowie Tabelle A4 der Arbeitsunterlage).</w:t>
      </w:r>
    </w:p>
  </w:footnote>
  <w:footnote w:id="27">
    <w:p>
      <w:pPr>
        <w:pStyle w:val="FootnoteText"/>
      </w:pPr>
      <w:r>
        <w:rPr>
          <w:rStyle w:val="FootnoteReference"/>
        </w:rPr>
        <w:footnoteRef/>
      </w:r>
      <w:r>
        <w:t xml:space="preserve"> </w:t>
      </w:r>
      <w:r>
        <w:tab/>
        <w:t>Siehe Tabelle 1.</w:t>
      </w:r>
    </w:p>
  </w:footnote>
  <w:footnote w:id="28">
    <w:p>
      <w:pPr>
        <w:pStyle w:val="FootnoteText"/>
      </w:pPr>
      <w:r>
        <w:rPr>
          <w:rStyle w:val="FootnoteReference"/>
        </w:rPr>
        <w:footnoteRef/>
      </w:r>
      <w:r>
        <w:tab/>
      </w:r>
      <w:r>
        <w:rPr>
          <w:color w:val="000000"/>
        </w:rPr>
        <w:t>Siehe Artikel 12 der Verordnung (EG, Euratom) Nr. 1150/2000 des Rates vom 22. Mai 2000 zur Durchführung des Beschlusses 2007/436/EG, Euratom über das System der Eigenmittel der Europäischen Gemeinschaften (ABl. L 130 vom 31.5.2000, S. 1).</w:t>
      </w:r>
    </w:p>
  </w:footnote>
  <w:footnote w:id="29">
    <w:p>
      <w:pPr>
        <w:pStyle w:val="FootnoteText"/>
      </w:pPr>
      <w:r>
        <w:rPr>
          <w:rStyle w:val="FootnoteReference"/>
        </w:rPr>
        <w:footnoteRef/>
      </w:r>
      <w:r>
        <w:tab/>
        <w:t>Seit seiner Einrichtung im Jahr 1994 ist der Garantiefonds bis zum Berichtstag insgesamt mit einem Betrag von 645 Mio. EUR in Anspruch genommen worden. 579 Mio. EUR wurden wiedereingezogen (in diesem Betrag sind Rückzahlungen in Form von Kapital und Zinsen, zuzüglich Verzugszinsen und realisierte Wechselkursgewinne bzw. -verluste enthalten). Mehr dazu in Abschnitt 2.5.4 der Arbeitsunterlage.</w:t>
      </w:r>
    </w:p>
    <w:p>
      <w:pPr>
        <w:pStyle w:val="FootnoteText"/>
      </w:pPr>
    </w:p>
  </w:footnote>
  <w:footnote w:id="30">
    <w:p>
      <w:pPr>
        <w:pStyle w:val="FootnoteText"/>
      </w:pPr>
      <w:r>
        <w:rPr>
          <w:rStyle w:val="FootnoteReference"/>
        </w:rPr>
        <w:footnoteRef/>
      </w:r>
      <w:r>
        <w:t xml:space="preserve"> </w:t>
      </w:r>
      <w:r>
        <w:tab/>
        <w:t>Einschließlich der 142,72 Mio. EUR, die bereits von der EIB abgerufen und von der Kommission ausgezahlt wurden.</w:t>
      </w:r>
    </w:p>
  </w:footnote>
  <w:footnote w:id="31">
    <w:p>
      <w:pPr>
        <w:pStyle w:val="FootnoteText"/>
      </w:pPr>
      <w:r>
        <w:rPr>
          <w:rStyle w:val="FootnoteReference"/>
        </w:rPr>
        <w:footnoteRef/>
      </w:r>
      <w:r>
        <w:tab/>
        <w:t>Gesamtvermögen des Fonds abzüglich aufgelaufener Verbindlichkeiten (EIB-Gebühren und Prüfungshonorare).</w:t>
      </w:r>
    </w:p>
  </w:footnote>
  <w:footnote w:id="32">
    <w:p>
      <w:pPr>
        <w:pStyle w:val="FootnoteText"/>
      </w:pPr>
      <w:r>
        <w:rPr>
          <w:rStyle w:val="FootnoteReference"/>
        </w:rPr>
        <w:footnoteRef/>
      </w:r>
      <w:r>
        <w:tab/>
        <w:t>Einschließlich aufgelaufener Zinsen.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E00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7">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8">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9">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4">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9">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23">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8A241BD"/>
    <w:multiLevelType w:val="singleLevel"/>
    <w:tmpl w:val="53C4DF32"/>
    <w:name w:val="NumPar"/>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6">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8">
    <w:nsid w:val="7D8820A0"/>
    <w:multiLevelType w:val="singleLevel"/>
    <w:tmpl w:val="54F6C7B4"/>
    <w:name w:val="Heading"/>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29">
    <w:nsid w:val="7F7154E1"/>
    <w:multiLevelType w:val="singleLevel"/>
    <w:tmpl w:val="E3F6D2C6"/>
    <w:name w:val="List Dash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2"/>
  </w:num>
  <w:num w:numId="2">
    <w:abstractNumId w:val="5"/>
  </w:num>
  <w:num w:numId="3">
    <w:abstractNumId w:val="17"/>
  </w:num>
  <w:num w:numId="4">
    <w:abstractNumId w:val="15"/>
  </w:num>
  <w:num w:numId="5">
    <w:abstractNumId w:val="11"/>
  </w:num>
  <w:num w:numId="6">
    <w:abstractNumId w:val="20"/>
  </w:num>
  <w:num w:numId="7">
    <w:abstractNumId w:val="24"/>
  </w:num>
  <w:num w:numId="8">
    <w:abstractNumId w:val="24"/>
  </w:num>
  <w:num w:numId="9">
    <w:abstractNumId w:val="23"/>
  </w:num>
  <w:num w:numId="10">
    <w:abstractNumId w:val="27"/>
  </w:num>
  <w:num w:numId="11">
    <w:abstractNumId w:val="7"/>
  </w:num>
  <w:num w:numId="12">
    <w:abstractNumId w:val="6"/>
  </w:num>
  <w:num w:numId="13">
    <w:abstractNumId w:val="18"/>
  </w:num>
  <w:num w:numId="14">
    <w:abstractNumId w:val="8"/>
  </w:num>
  <w:num w:numId="15">
    <w:abstractNumId w:val="13"/>
  </w:num>
  <w:num w:numId="16">
    <w:abstractNumId w:val="16"/>
  </w:num>
  <w:num w:numId="17">
    <w:abstractNumId w:val="26"/>
  </w:num>
  <w:num w:numId="18">
    <w:abstractNumId w:val="4"/>
  </w:num>
  <w:num w:numId="19">
    <w:abstractNumId w:val="2"/>
  </w:num>
  <w:num w:numId="20">
    <w:abstractNumId w:val="1"/>
  </w:num>
  <w:num w:numId="21">
    <w:abstractNumId w:val="21"/>
  </w:num>
  <w:num w:numId="22">
    <w:abstractNumId w:val="3"/>
  </w:num>
  <w:num w:numId="23">
    <w:abstractNumId w:val="9"/>
  </w:num>
  <w:num w:numId="24">
    <w:abstractNumId w:val="29"/>
  </w:num>
  <w:num w:numId="25">
    <w:abstractNumId w:val="10"/>
  </w:num>
  <w:num w:numId="26">
    <w:abstractNumId w:val="19"/>
  </w:num>
  <w:num w:numId="27">
    <w:abstractNumId w:val="14"/>
  </w:num>
  <w:num w:numId="28">
    <w:abstractNumId w:val="25"/>
  </w:num>
  <w:num w:numId="29">
    <w:abstractNumId w:val="28"/>
  </w:num>
  <w:num w:numId="30">
    <w:abstractNumId w:val="0"/>
  </w:num>
  <w:num w:numId="31">
    <w:abstractNumId w:val="24"/>
  </w:num>
  <w:num w:numId="3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2CAFEA45538490C8414EC831AA21484"/>
    <w:docVar w:name="LW_CROSSREFERENCE" w:val="{SWD(2015) 148 final}"/>
    <w:docVar w:name="LW_DocType" w:val="NORMAL"/>
    <w:docVar w:name="LW_EMISSION" w:val="31.7.2015"/>
    <w:docVar w:name="LW_EMISSION_ISODATE" w:val="2015-07-31"/>
    <w:docVar w:name="LW_EMISSION_LOCATION" w:val="BRX"/>
    <w:docVar w:name="LW_EMISSION_PREFIX" w:val="Brüssel, den "/>
    <w:docVar w:name="LW_EMISSION_SUFFIX" w:val=" "/>
    <w:docVar w:name="LW_ID_DOCTYPE_NONLW" w:val="CP-006"/>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5) 373"/>
    <w:docVar w:name="LW_REF.INTERNE" w:val="&lt;UNUSED&gt;"/>
    <w:docVar w:name="LW_SOUS.TITRE.OBJ.CP" w:val="&lt;UNUSED&gt;"/>
    <w:docVar w:name="LW_SUPERTITRE" w:val="&lt;UNUSED&gt;"/>
    <w:docVar w:name="LW_TITRE.OBJ.CP" w:val="über die Garantien aus dem Gesamthaushaltsplan_x000b_Stand: 31. Dezember 2014_x000b_"/>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style>
  <w:style w:type="paragraph" w:styleId="ListNumber">
    <w:name w:val="List Number"/>
    <w:basedOn w:val="Normal"/>
    <w:pPr>
      <w:numPr>
        <w:numId w:val="16"/>
      </w:numPr>
    </w:pPr>
  </w:style>
  <w:style w:type="paragraph" w:customStyle="1" w:styleId="ListDash">
    <w:name w:val="List Dash"/>
    <w:basedOn w:val="Normal"/>
    <w:pPr>
      <w:numPr>
        <w:numId w:val="25"/>
      </w:numPr>
    </w:pPr>
  </w:style>
  <w:style w:type="paragraph" w:customStyle="1" w:styleId="ListNumberLevel2">
    <w:name w:val="List Number (Level 2)"/>
    <w:basedOn w:val="Normal"/>
    <w:pPr>
      <w:numPr>
        <w:ilvl w:val="1"/>
        <w:numId w:val="16"/>
      </w:numPr>
    </w:pPr>
  </w:style>
  <w:style w:type="paragraph" w:customStyle="1" w:styleId="ListNumberLevel3">
    <w:name w:val="List Number (Level 3)"/>
    <w:basedOn w:val="Normal"/>
    <w:pPr>
      <w:numPr>
        <w:ilvl w:val="2"/>
        <w:numId w:val="16"/>
      </w:numPr>
    </w:pPr>
  </w:style>
  <w:style w:type="paragraph" w:customStyle="1" w:styleId="ListNumberLevel4">
    <w:name w:val="List Number (Level 4)"/>
    <w:basedOn w:val="Normal"/>
    <w:pPr>
      <w:numPr>
        <w:ilvl w:val="3"/>
        <w:numId w:val="16"/>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de-DE"/>
    </w:r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customStyle="1" w:styleId="ListNumber1">
    <w:name w:val="List Number 1"/>
    <w:basedOn w:val="Text1"/>
    <w:pPr>
      <w:numPr>
        <w:numId w:val="17"/>
      </w:numPr>
    </w:pPr>
  </w:style>
  <w:style w:type="paragraph" w:customStyle="1" w:styleId="ListNumber1Level2">
    <w:name w:val="List Number 1 (Level 2)"/>
    <w:basedOn w:val="Text1"/>
    <w:pPr>
      <w:numPr>
        <w:ilvl w:val="1"/>
        <w:numId w:val="17"/>
      </w:numPr>
    </w:pPr>
  </w:style>
  <w:style w:type="paragraph" w:customStyle="1" w:styleId="ListNumber2Level2">
    <w:name w:val="List Number 2 (Level 2)"/>
    <w:basedOn w:val="Text2"/>
    <w:pPr>
      <w:numPr>
        <w:ilvl w:val="1"/>
        <w:numId w:val="18"/>
      </w:numPr>
    </w:pPr>
  </w:style>
  <w:style w:type="paragraph" w:customStyle="1" w:styleId="ListNumber3Level2">
    <w:name w:val="List Number 3 (Level 2)"/>
    <w:basedOn w:val="Text3"/>
    <w:pPr>
      <w:numPr>
        <w:ilvl w:val="1"/>
        <w:numId w:val="19"/>
      </w:numPr>
    </w:pPr>
  </w:style>
  <w:style w:type="paragraph" w:customStyle="1" w:styleId="ListNumber4Level2">
    <w:name w:val="List Number 4 (Level 2)"/>
    <w:basedOn w:val="Text4"/>
    <w:pPr>
      <w:numPr>
        <w:ilvl w:val="1"/>
        <w:numId w:val="20"/>
      </w:numPr>
    </w:pPr>
  </w:style>
  <w:style w:type="paragraph" w:customStyle="1" w:styleId="ListNumber1Level3">
    <w:name w:val="List Number 1 (Level 3)"/>
    <w:basedOn w:val="Text1"/>
    <w:pPr>
      <w:numPr>
        <w:ilvl w:val="2"/>
        <w:numId w:val="17"/>
      </w:numPr>
    </w:pPr>
  </w:style>
  <w:style w:type="paragraph" w:customStyle="1" w:styleId="ListNumber2Level3">
    <w:name w:val="List Number 2 (Level 3)"/>
    <w:basedOn w:val="Text2"/>
    <w:pPr>
      <w:numPr>
        <w:ilvl w:val="2"/>
        <w:numId w:val="18"/>
      </w:numPr>
    </w:pPr>
  </w:style>
  <w:style w:type="paragraph" w:customStyle="1" w:styleId="ListNumber3Level3">
    <w:name w:val="List Number 3 (Level 3)"/>
    <w:basedOn w:val="Text3"/>
    <w:pPr>
      <w:numPr>
        <w:ilvl w:val="2"/>
        <w:numId w:val="19"/>
      </w:numPr>
    </w:pPr>
  </w:style>
  <w:style w:type="paragraph" w:customStyle="1" w:styleId="ListNumber4Level3">
    <w:name w:val="List Number 4 (Level 3)"/>
    <w:basedOn w:val="Text4"/>
    <w:pPr>
      <w:numPr>
        <w:ilvl w:val="2"/>
        <w:numId w:val="20"/>
      </w:numPr>
    </w:pPr>
  </w:style>
  <w:style w:type="paragraph" w:customStyle="1" w:styleId="ListNumber1Level4">
    <w:name w:val="List Number 1 (Level 4)"/>
    <w:basedOn w:val="Text1"/>
    <w:pPr>
      <w:numPr>
        <w:ilvl w:val="3"/>
        <w:numId w:val="17"/>
      </w:numPr>
    </w:pPr>
  </w:style>
  <w:style w:type="paragraph" w:customStyle="1" w:styleId="ListNumber2Level4">
    <w:name w:val="List Number 2 (Level 4)"/>
    <w:basedOn w:val="Text2"/>
    <w:pPr>
      <w:numPr>
        <w:ilvl w:val="3"/>
        <w:numId w:val="18"/>
      </w:numPr>
    </w:pPr>
  </w:style>
  <w:style w:type="paragraph" w:customStyle="1" w:styleId="ListNumber3Level4">
    <w:name w:val="List Number 3 (Level 4)"/>
    <w:basedOn w:val="Text3"/>
    <w:pPr>
      <w:numPr>
        <w:ilvl w:val="3"/>
        <w:numId w:val="19"/>
      </w:numPr>
    </w:pPr>
  </w:style>
  <w:style w:type="paragraph" w:customStyle="1" w:styleId="ListNumber4Level4">
    <w:name w:val="List Number 4 (Level 4)"/>
    <w:basedOn w:val="Text4"/>
    <w:pPr>
      <w:numPr>
        <w:ilvl w:val="3"/>
        <w:numId w:val="20"/>
      </w:numPr>
    </w:pPr>
  </w:style>
  <w:style w:type="paragraph" w:customStyle="1" w:styleId="ListBullet1">
    <w:name w:val="List Bullet 1"/>
    <w:basedOn w:val="Normal"/>
    <w:pPr>
      <w:numPr>
        <w:numId w:val="21"/>
      </w:numPr>
    </w:pPr>
  </w:style>
  <w:style w:type="paragraph" w:styleId="ListBullet2">
    <w:name w:val="List Bullet 2"/>
    <w:basedOn w:val="Normal"/>
    <w:pPr>
      <w:numPr>
        <w:numId w:val="22"/>
      </w:numPr>
    </w:pPr>
  </w:style>
  <w:style w:type="paragraph" w:styleId="ListBullet3">
    <w:name w:val="List Bullet 3"/>
    <w:basedOn w:val="Normal"/>
    <w:pPr>
      <w:numPr>
        <w:numId w:val="23"/>
      </w:numPr>
    </w:pPr>
  </w:style>
  <w:style w:type="paragraph" w:styleId="ListBullet4">
    <w:name w:val="List Bullet 4"/>
    <w:basedOn w:val="Normal"/>
    <w:pPr>
      <w:numPr>
        <w:numId w:val="24"/>
      </w:numPr>
    </w:pPr>
  </w:style>
  <w:style w:type="paragraph" w:customStyle="1" w:styleId="ListDash1">
    <w:name w:val="List Dash 1"/>
    <w:basedOn w:val="Normal"/>
    <w:pPr>
      <w:numPr>
        <w:numId w:val="26"/>
      </w:numPr>
    </w:pPr>
  </w:style>
  <w:style w:type="paragraph" w:customStyle="1" w:styleId="ListDash2">
    <w:name w:val="List Dash 2"/>
    <w:basedOn w:val="Normal"/>
    <w:pPr>
      <w:numPr>
        <w:numId w:val="27"/>
      </w:numPr>
    </w:pPr>
  </w:style>
  <w:style w:type="paragraph" w:customStyle="1" w:styleId="ListDash3">
    <w:name w:val="List Dash 3"/>
    <w:basedOn w:val="Normal"/>
    <w:pPr>
      <w:numPr>
        <w:numId w:val="28"/>
      </w:numPr>
    </w:pPr>
  </w:style>
  <w:style w:type="paragraph" w:customStyle="1" w:styleId="ListDash4">
    <w:name w:val="List Dash 4"/>
    <w:basedOn w:val="Normal"/>
    <w:pPr>
      <w:numPr>
        <w:numId w:val="29"/>
      </w:numPr>
    </w:p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de-DE"/>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de-DE"/>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semiHidden/>
    <w:rPr>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de-DE"/>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erChar">
    <w:name w:val="Footer Char"/>
    <w:link w:val="Footer"/>
    <w:uiPriority w:val="99"/>
    <w:rPr>
      <w:sz w:val="24"/>
      <w:szCs w:val="24"/>
      <w:lang w:eastAsia="de-D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de-DE"/>
    </w:rPr>
  </w:style>
  <w:style w:type="paragraph" w:styleId="NormalWeb">
    <w:name w:val="Normal (Web)"/>
    <w:basedOn w:val="Normal"/>
    <w:uiPriority w:val="99"/>
    <w:unhideWhenUsed/>
    <w:pPr>
      <w:spacing w:before="100" w:beforeAutospacing="1" w:after="100" w:afterAutospacing="1"/>
      <w:jc w:val="left"/>
    </w:p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rPr>
  </w:style>
  <w:style w:type="character" w:customStyle="1" w:styleId="Heading1Char">
    <w:name w:val="Heading 1 Char"/>
    <w:link w:val="Heading1"/>
    <w:rPr>
      <w:b/>
      <w:bCs/>
      <w:smallCaps/>
      <w:sz w:val="24"/>
      <w:szCs w:val="32"/>
      <w:lang w:eastAsia="de-DE"/>
    </w:rPr>
  </w:style>
  <w:style w:type="character" w:customStyle="1" w:styleId="Heading2Char">
    <w:name w:val="Heading 2 Char"/>
    <w:link w:val="Heading2"/>
    <w:rPr>
      <w:b/>
      <w:bCs/>
      <w:iCs/>
      <w:noProof/>
      <w:sz w:val="24"/>
      <w:szCs w:val="28"/>
      <w:lang w:eastAsia="de-DE"/>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de-DE"/>
    </w:rPr>
  </w:style>
  <w:style w:type="character" w:styleId="EndnoteReference">
    <w:name w:val="endnote reference"/>
    <w:rPr>
      <w:shd w:val="clear" w:color="auto" w:fill="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style>
  <w:style w:type="paragraph" w:styleId="ListNumber">
    <w:name w:val="List Number"/>
    <w:basedOn w:val="Normal"/>
    <w:pPr>
      <w:numPr>
        <w:numId w:val="16"/>
      </w:numPr>
    </w:pPr>
  </w:style>
  <w:style w:type="paragraph" w:customStyle="1" w:styleId="ListDash">
    <w:name w:val="List Dash"/>
    <w:basedOn w:val="Normal"/>
    <w:pPr>
      <w:numPr>
        <w:numId w:val="25"/>
      </w:numPr>
    </w:pPr>
  </w:style>
  <w:style w:type="paragraph" w:customStyle="1" w:styleId="ListNumberLevel2">
    <w:name w:val="List Number (Level 2)"/>
    <w:basedOn w:val="Normal"/>
    <w:pPr>
      <w:numPr>
        <w:ilvl w:val="1"/>
        <w:numId w:val="16"/>
      </w:numPr>
    </w:pPr>
  </w:style>
  <w:style w:type="paragraph" w:customStyle="1" w:styleId="ListNumberLevel3">
    <w:name w:val="List Number (Level 3)"/>
    <w:basedOn w:val="Normal"/>
    <w:pPr>
      <w:numPr>
        <w:ilvl w:val="2"/>
        <w:numId w:val="16"/>
      </w:numPr>
    </w:pPr>
  </w:style>
  <w:style w:type="paragraph" w:customStyle="1" w:styleId="ListNumberLevel4">
    <w:name w:val="List Number (Level 4)"/>
    <w:basedOn w:val="Normal"/>
    <w:pPr>
      <w:numPr>
        <w:ilvl w:val="3"/>
        <w:numId w:val="16"/>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de-DE"/>
    </w:r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customStyle="1" w:styleId="ListNumber1">
    <w:name w:val="List Number 1"/>
    <w:basedOn w:val="Text1"/>
    <w:pPr>
      <w:numPr>
        <w:numId w:val="17"/>
      </w:numPr>
    </w:pPr>
  </w:style>
  <w:style w:type="paragraph" w:customStyle="1" w:styleId="ListNumber1Level2">
    <w:name w:val="List Number 1 (Level 2)"/>
    <w:basedOn w:val="Text1"/>
    <w:pPr>
      <w:numPr>
        <w:ilvl w:val="1"/>
        <w:numId w:val="17"/>
      </w:numPr>
    </w:pPr>
  </w:style>
  <w:style w:type="paragraph" w:customStyle="1" w:styleId="ListNumber2Level2">
    <w:name w:val="List Number 2 (Level 2)"/>
    <w:basedOn w:val="Text2"/>
    <w:pPr>
      <w:numPr>
        <w:ilvl w:val="1"/>
        <w:numId w:val="18"/>
      </w:numPr>
    </w:pPr>
  </w:style>
  <w:style w:type="paragraph" w:customStyle="1" w:styleId="ListNumber3Level2">
    <w:name w:val="List Number 3 (Level 2)"/>
    <w:basedOn w:val="Text3"/>
    <w:pPr>
      <w:numPr>
        <w:ilvl w:val="1"/>
        <w:numId w:val="19"/>
      </w:numPr>
    </w:pPr>
  </w:style>
  <w:style w:type="paragraph" w:customStyle="1" w:styleId="ListNumber4Level2">
    <w:name w:val="List Number 4 (Level 2)"/>
    <w:basedOn w:val="Text4"/>
    <w:pPr>
      <w:numPr>
        <w:ilvl w:val="1"/>
        <w:numId w:val="20"/>
      </w:numPr>
    </w:pPr>
  </w:style>
  <w:style w:type="paragraph" w:customStyle="1" w:styleId="ListNumber1Level3">
    <w:name w:val="List Number 1 (Level 3)"/>
    <w:basedOn w:val="Text1"/>
    <w:pPr>
      <w:numPr>
        <w:ilvl w:val="2"/>
        <w:numId w:val="17"/>
      </w:numPr>
    </w:pPr>
  </w:style>
  <w:style w:type="paragraph" w:customStyle="1" w:styleId="ListNumber2Level3">
    <w:name w:val="List Number 2 (Level 3)"/>
    <w:basedOn w:val="Text2"/>
    <w:pPr>
      <w:numPr>
        <w:ilvl w:val="2"/>
        <w:numId w:val="18"/>
      </w:numPr>
    </w:pPr>
  </w:style>
  <w:style w:type="paragraph" w:customStyle="1" w:styleId="ListNumber3Level3">
    <w:name w:val="List Number 3 (Level 3)"/>
    <w:basedOn w:val="Text3"/>
    <w:pPr>
      <w:numPr>
        <w:ilvl w:val="2"/>
        <w:numId w:val="19"/>
      </w:numPr>
    </w:pPr>
  </w:style>
  <w:style w:type="paragraph" w:customStyle="1" w:styleId="ListNumber4Level3">
    <w:name w:val="List Number 4 (Level 3)"/>
    <w:basedOn w:val="Text4"/>
    <w:pPr>
      <w:numPr>
        <w:ilvl w:val="2"/>
        <w:numId w:val="20"/>
      </w:numPr>
    </w:pPr>
  </w:style>
  <w:style w:type="paragraph" w:customStyle="1" w:styleId="ListNumber1Level4">
    <w:name w:val="List Number 1 (Level 4)"/>
    <w:basedOn w:val="Text1"/>
    <w:pPr>
      <w:numPr>
        <w:ilvl w:val="3"/>
        <w:numId w:val="17"/>
      </w:numPr>
    </w:pPr>
  </w:style>
  <w:style w:type="paragraph" w:customStyle="1" w:styleId="ListNumber2Level4">
    <w:name w:val="List Number 2 (Level 4)"/>
    <w:basedOn w:val="Text2"/>
    <w:pPr>
      <w:numPr>
        <w:ilvl w:val="3"/>
        <w:numId w:val="18"/>
      </w:numPr>
    </w:pPr>
  </w:style>
  <w:style w:type="paragraph" w:customStyle="1" w:styleId="ListNumber3Level4">
    <w:name w:val="List Number 3 (Level 4)"/>
    <w:basedOn w:val="Text3"/>
    <w:pPr>
      <w:numPr>
        <w:ilvl w:val="3"/>
        <w:numId w:val="19"/>
      </w:numPr>
    </w:pPr>
  </w:style>
  <w:style w:type="paragraph" w:customStyle="1" w:styleId="ListNumber4Level4">
    <w:name w:val="List Number 4 (Level 4)"/>
    <w:basedOn w:val="Text4"/>
    <w:pPr>
      <w:numPr>
        <w:ilvl w:val="3"/>
        <w:numId w:val="20"/>
      </w:numPr>
    </w:pPr>
  </w:style>
  <w:style w:type="paragraph" w:customStyle="1" w:styleId="ListBullet1">
    <w:name w:val="List Bullet 1"/>
    <w:basedOn w:val="Normal"/>
    <w:pPr>
      <w:numPr>
        <w:numId w:val="21"/>
      </w:numPr>
    </w:pPr>
  </w:style>
  <w:style w:type="paragraph" w:styleId="ListBullet2">
    <w:name w:val="List Bullet 2"/>
    <w:basedOn w:val="Normal"/>
    <w:pPr>
      <w:numPr>
        <w:numId w:val="22"/>
      </w:numPr>
    </w:pPr>
  </w:style>
  <w:style w:type="paragraph" w:styleId="ListBullet3">
    <w:name w:val="List Bullet 3"/>
    <w:basedOn w:val="Normal"/>
    <w:pPr>
      <w:numPr>
        <w:numId w:val="23"/>
      </w:numPr>
    </w:pPr>
  </w:style>
  <w:style w:type="paragraph" w:styleId="ListBullet4">
    <w:name w:val="List Bullet 4"/>
    <w:basedOn w:val="Normal"/>
    <w:pPr>
      <w:numPr>
        <w:numId w:val="24"/>
      </w:numPr>
    </w:pPr>
  </w:style>
  <w:style w:type="paragraph" w:customStyle="1" w:styleId="ListDash1">
    <w:name w:val="List Dash 1"/>
    <w:basedOn w:val="Normal"/>
    <w:pPr>
      <w:numPr>
        <w:numId w:val="26"/>
      </w:numPr>
    </w:pPr>
  </w:style>
  <w:style w:type="paragraph" w:customStyle="1" w:styleId="ListDash2">
    <w:name w:val="List Dash 2"/>
    <w:basedOn w:val="Normal"/>
    <w:pPr>
      <w:numPr>
        <w:numId w:val="27"/>
      </w:numPr>
    </w:pPr>
  </w:style>
  <w:style w:type="paragraph" w:customStyle="1" w:styleId="ListDash3">
    <w:name w:val="List Dash 3"/>
    <w:basedOn w:val="Normal"/>
    <w:pPr>
      <w:numPr>
        <w:numId w:val="28"/>
      </w:numPr>
    </w:pPr>
  </w:style>
  <w:style w:type="paragraph" w:customStyle="1" w:styleId="ListDash4">
    <w:name w:val="List Dash 4"/>
    <w:basedOn w:val="Normal"/>
    <w:pPr>
      <w:numPr>
        <w:numId w:val="29"/>
      </w:numPr>
    </w:p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de-DE"/>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de-DE"/>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semiHidden/>
    <w:rPr>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de-DE"/>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erChar">
    <w:name w:val="Footer Char"/>
    <w:link w:val="Footer"/>
    <w:uiPriority w:val="99"/>
    <w:rPr>
      <w:sz w:val="24"/>
      <w:szCs w:val="24"/>
      <w:lang w:eastAsia="de-D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de-DE"/>
    </w:rPr>
  </w:style>
  <w:style w:type="paragraph" w:styleId="NormalWeb">
    <w:name w:val="Normal (Web)"/>
    <w:basedOn w:val="Normal"/>
    <w:uiPriority w:val="99"/>
    <w:unhideWhenUsed/>
    <w:pPr>
      <w:spacing w:before="100" w:beforeAutospacing="1" w:after="100" w:afterAutospacing="1"/>
      <w:jc w:val="left"/>
    </w:p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rPr>
  </w:style>
  <w:style w:type="character" w:customStyle="1" w:styleId="Heading1Char">
    <w:name w:val="Heading 1 Char"/>
    <w:link w:val="Heading1"/>
    <w:rPr>
      <w:b/>
      <w:bCs/>
      <w:smallCaps/>
      <w:sz w:val="24"/>
      <w:szCs w:val="32"/>
      <w:lang w:eastAsia="de-DE"/>
    </w:rPr>
  </w:style>
  <w:style w:type="character" w:customStyle="1" w:styleId="Heading2Char">
    <w:name w:val="Heading 2 Char"/>
    <w:link w:val="Heading2"/>
    <w:rPr>
      <w:b/>
      <w:bCs/>
      <w:iCs/>
      <w:noProof/>
      <w:sz w:val="24"/>
      <w:szCs w:val="28"/>
      <w:lang w:eastAsia="de-DE"/>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de-DE"/>
    </w:rPr>
  </w:style>
  <w:style w:type="character" w:styleId="EndnoteReference">
    <w:name w:val="endnote reference"/>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53083">
      <w:bodyDiv w:val="1"/>
      <w:marLeft w:val="0"/>
      <w:marRight w:val="0"/>
      <w:marTop w:val="0"/>
      <w:marBottom w:val="0"/>
      <w:divBdr>
        <w:top w:val="none" w:sz="0" w:space="0" w:color="auto"/>
        <w:left w:val="none" w:sz="0" w:space="0" w:color="auto"/>
        <w:bottom w:val="none" w:sz="0" w:space="0" w:color="auto"/>
        <w:right w:val="none" w:sz="0" w:space="0" w:color="auto"/>
      </w:divBdr>
    </w:div>
    <w:div w:id="552615252">
      <w:bodyDiv w:val="1"/>
      <w:marLeft w:val="0"/>
      <w:marRight w:val="0"/>
      <w:marTop w:val="0"/>
      <w:marBottom w:val="0"/>
      <w:divBdr>
        <w:top w:val="none" w:sz="0" w:space="0" w:color="auto"/>
        <w:left w:val="none" w:sz="0" w:space="0" w:color="auto"/>
        <w:bottom w:val="none" w:sz="0" w:space="0" w:color="auto"/>
        <w:right w:val="none" w:sz="0" w:space="0" w:color="auto"/>
      </w:divBdr>
    </w:div>
    <w:div w:id="983241643">
      <w:bodyDiv w:val="1"/>
      <w:marLeft w:val="0"/>
      <w:marRight w:val="0"/>
      <w:marTop w:val="0"/>
      <w:marBottom w:val="0"/>
      <w:divBdr>
        <w:top w:val="none" w:sz="0" w:space="0" w:color="auto"/>
        <w:left w:val="none" w:sz="0" w:space="0" w:color="auto"/>
        <w:bottom w:val="none" w:sz="0" w:space="0" w:color="auto"/>
        <w:right w:val="none" w:sz="0" w:space="0" w:color="auto"/>
      </w:divBdr>
    </w:div>
    <w:div w:id="1435828464">
      <w:bodyDiv w:val="1"/>
      <w:marLeft w:val="0"/>
      <w:marRight w:val="0"/>
      <w:marTop w:val="0"/>
      <w:marBottom w:val="0"/>
      <w:divBdr>
        <w:top w:val="none" w:sz="0" w:space="0" w:color="auto"/>
        <w:left w:val="none" w:sz="0" w:space="0" w:color="auto"/>
        <w:bottom w:val="none" w:sz="0" w:space="0" w:color="auto"/>
        <w:right w:val="none" w:sz="0" w:space="0" w:color="auto"/>
      </w:divBdr>
    </w:div>
    <w:div w:id="1449197605">
      <w:bodyDiv w:val="1"/>
      <w:marLeft w:val="0"/>
      <w:marRight w:val="0"/>
      <w:marTop w:val="0"/>
      <w:marBottom w:val="0"/>
      <w:divBdr>
        <w:top w:val="none" w:sz="0" w:space="0" w:color="auto"/>
        <w:left w:val="none" w:sz="0" w:space="0" w:color="auto"/>
        <w:bottom w:val="none" w:sz="0" w:space="0" w:color="auto"/>
        <w:right w:val="none" w:sz="0" w:space="0" w:color="auto"/>
      </w:divBdr>
      <w:divsChild>
        <w:div w:id="1638997413">
          <w:marLeft w:val="0"/>
          <w:marRight w:val="0"/>
          <w:marTop w:val="0"/>
          <w:marBottom w:val="0"/>
          <w:divBdr>
            <w:top w:val="none" w:sz="0" w:space="0" w:color="auto"/>
            <w:left w:val="none" w:sz="0" w:space="0" w:color="auto"/>
            <w:bottom w:val="none" w:sz="0" w:space="0" w:color="auto"/>
            <w:right w:val="none" w:sz="0" w:space="0" w:color="auto"/>
          </w:divBdr>
          <w:divsChild>
            <w:div w:id="1195967791">
              <w:marLeft w:val="-300"/>
              <w:marRight w:val="0"/>
              <w:marTop w:val="0"/>
              <w:marBottom w:val="270"/>
              <w:divBdr>
                <w:top w:val="none" w:sz="0" w:space="0" w:color="auto"/>
                <w:left w:val="none" w:sz="0" w:space="0" w:color="auto"/>
                <w:bottom w:val="none" w:sz="0" w:space="0" w:color="auto"/>
                <w:right w:val="none" w:sz="0" w:space="0" w:color="auto"/>
              </w:divBdr>
              <w:divsChild>
                <w:div w:id="1963266378">
                  <w:marLeft w:val="0"/>
                  <w:marRight w:val="0"/>
                  <w:marTop w:val="0"/>
                  <w:marBottom w:val="0"/>
                  <w:divBdr>
                    <w:top w:val="none" w:sz="0" w:space="0" w:color="auto"/>
                    <w:left w:val="none" w:sz="0" w:space="0" w:color="auto"/>
                    <w:bottom w:val="none" w:sz="0" w:space="0" w:color="auto"/>
                    <w:right w:val="none" w:sz="0" w:space="0" w:color="auto"/>
                  </w:divBdr>
                  <w:divsChild>
                    <w:div w:id="969550347">
                      <w:marLeft w:val="0"/>
                      <w:marRight w:val="0"/>
                      <w:marTop w:val="0"/>
                      <w:marBottom w:val="270"/>
                      <w:divBdr>
                        <w:top w:val="none" w:sz="0" w:space="0" w:color="auto"/>
                        <w:left w:val="none" w:sz="0" w:space="0" w:color="auto"/>
                        <w:bottom w:val="none" w:sz="0" w:space="0" w:color="auto"/>
                        <w:right w:val="none" w:sz="0" w:space="0" w:color="auto"/>
                      </w:divBdr>
                      <w:divsChild>
                        <w:div w:id="1118140803">
                          <w:marLeft w:val="0"/>
                          <w:marRight w:val="0"/>
                          <w:marTop w:val="0"/>
                          <w:marBottom w:val="0"/>
                          <w:divBdr>
                            <w:top w:val="none" w:sz="0" w:space="0" w:color="auto"/>
                            <w:left w:val="none" w:sz="0" w:space="0" w:color="auto"/>
                            <w:bottom w:val="none" w:sz="0" w:space="0" w:color="auto"/>
                            <w:right w:val="none" w:sz="0" w:space="0" w:color="auto"/>
                          </w:divBdr>
                          <w:divsChild>
                            <w:div w:id="2042395949">
                              <w:marLeft w:val="0"/>
                              <w:marRight w:val="0"/>
                              <w:marTop w:val="0"/>
                              <w:marBottom w:val="0"/>
                              <w:divBdr>
                                <w:top w:val="none" w:sz="0" w:space="0" w:color="auto"/>
                                <w:left w:val="none" w:sz="0" w:space="0" w:color="auto"/>
                                <w:bottom w:val="none" w:sz="0" w:space="0" w:color="auto"/>
                                <w:right w:val="none" w:sz="0" w:space="0" w:color="auto"/>
                              </w:divBdr>
                              <w:divsChild>
                                <w:div w:id="59836253">
                                  <w:marLeft w:val="0"/>
                                  <w:marRight w:val="0"/>
                                  <w:marTop w:val="0"/>
                                  <w:marBottom w:val="0"/>
                                  <w:divBdr>
                                    <w:top w:val="none" w:sz="0" w:space="0" w:color="auto"/>
                                    <w:left w:val="none" w:sz="0" w:space="0" w:color="auto"/>
                                    <w:bottom w:val="none" w:sz="0" w:space="0" w:color="auto"/>
                                    <w:right w:val="none" w:sz="0" w:space="0" w:color="auto"/>
                                  </w:divBdr>
                                  <w:divsChild>
                                    <w:div w:id="15700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337983">
      <w:bodyDiv w:val="1"/>
      <w:marLeft w:val="0"/>
      <w:marRight w:val="0"/>
      <w:marTop w:val="0"/>
      <w:marBottom w:val="0"/>
      <w:divBdr>
        <w:top w:val="none" w:sz="0" w:space="0" w:color="auto"/>
        <w:left w:val="none" w:sz="0" w:space="0" w:color="auto"/>
        <w:bottom w:val="none" w:sz="0" w:space="0" w:color="auto"/>
        <w:right w:val="none" w:sz="0" w:space="0" w:color="auto"/>
      </w:divBdr>
      <w:divsChild>
        <w:div w:id="557279205">
          <w:marLeft w:val="0"/>
          <w:marRight w:val="0"/>
          <w:marTop w:val="0"/>
          <w:marBottom w:val="0"/>
          <w:divBdr>
            <w:top w:val="none" w:sz="0" w:space="0" w:color="auto"/>
            <w:left w:val="none" w:sz="0" w:space="0" w:color="auto"/>
            <w:bottom w:val="none" w:sz="0" w:space="0" w:color="auto"/>
            <w:right w:val="none" w:sz="0" w:space="0" w:color="auto"/>
          </w:divBdr>
          <w:divsChild>
            <w:div w:id="1843855925">
              <w:marLeft w:val="0"/>
              <w:marRight w:val="0"/>
              <w:marTop w:val="0"/>
              <w:marBottom w:val="0"/>
              <w:divBdr>
                <w:top w:val="none" w:sz="0" w:space="0" w:color="auto"/>
                <w:left w:val="none" w:sz="0" w:space="0" w:color="auto"/>
                <w:bottom w:val="none" w:sz="0" w:space="0" w:color="auto"/>
                <w:right w:val="none" w:sz="0" w:space="0" w:color="auto"/>
              </w:divBdr>
              <w:divsChild>
                <w:div w:id="335615287">
                  <w:marLeft w:val="0"/>
                  <w:marRight w:val="0"/>
                  <w:marTop w:val="0"/>
                  <w:marBottom w:val="0"/>
                  <w:divBdr>
                    <w:top w:val="none" w:sz="0" w:space="0" w:color="auto"/>
                    <w:left w:val="none" w:sz="0" w:space="0" w:color="auto"/>
                    <w:bottom w:val="none" w:sz="0" w:space="0" w:color="auto"/>
                    <w:right w:val="none" w:sz="0" w:space="0" w:color="auto"/>
                  </w:divBdr>
                  <w:divsChild>
                    <w:div w:id="1252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66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esm.europa.eu./" TargetMode="External"/><Relationship Id="rId2" Type="http://schemas.openxmlformats.org/officeDocument/2006/relationships/hyperlink" Target="http://www.efsf.europa.eu./" TargetMode="External"/><Relationship Id="rId1" Type="http://schemas.openxmlformats.org/officeDocument/2006/relationships/hyperlink" Target="http://eur-lex.europa.eu/homepage.html" TargetMode="External"/><Relationship Id="rId4" Type="http://schemas.openxmlformats.org/officeDocument/2006/relationships/hyperlink" Target="http://www.consilium.europa.eu/uedocs/cms_data/docs/pressdata/en/ecofin/1143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2C1E-86E1-4B4B-BF4E-3E5E6EE0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3522</Words>
  <Characters>21735</Characters>
  <Application>Microsoft Office Word</Application>
  <DocSecurity>0</DocSecurity>
  <Lines>658</Lines>
  <Paragraphs>435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24822</CharactersWithSpaces>
  <SharedDoc>false</SharedDoc>
  <HLinks>
    <vt:vector size="150" baseType="variant">
      <vt:variant>
        <vt:i4>1376313</vt:i4>
      </vt:variant>
      <vt:variant>
        <vt:i4>122</vt:i4>
      </vt:variant>
      <vt:variant>
        <vt:i4>0</vt:i4>
      </vt:variant>
      <vt:variant>
        <vt:i4>5</vt:i4>
      </vt:variant>
      <vt:variant>
        <vt:lpwstr/>
      </vt:variant>
      <vt:variant>
        <vt:lpwstr>_Toc418160324</vt:lpwstr>
      </vt:variant>
      <vt:variant>
        <vt:i4>1376313</vt:i4>
      </vt:variant>
      <vt:variant>
        <vt:i4>116</vt:i4>
      </vt:variant>
      <vt:variant>
        <vt:i4>0</vt:i4>
      </vt:variant>
      <vt:variant>
        <vt:i4>5</vt:i4>
      </vt:variant>
      <vt:variant>
        <vt:lpwstr/>
      </vt:variant>
      <vt:variant>
        <vt:lpwstr>_Toc418160323</vt:lpwstr>
      </vt:variant>
      <vt:variant>
        <vt:i4>1376313</vt:i4>
      </vt:variant>
      <vt:variant>
        <vt:i4>110</vt:i4>
      </vt:variant>
      <vt:variant>
        <vt:i4>0</vt:i4>
      </vt:variant>
      <vt:variant>
        <vt:i4>5</vt:i4>
      </vt:variant>
      <vt:variant>
        <vt:lpwstr/>
      </vt:variant>
      <vt:variant>
        <vt:lpwstr>_Toc418160322</vt:lpwstr>
      </vt:variant>
      <vt:variant>
        <vt:i4>1376313</vt:i4>
      </vt:variant>
      <vt:variant>
        <vt:i4>104</vt:i4>
      </vt:variant>
      <vt:variant>
        <vt:i4>0</vt:i4>
      </vt:variant>
      <vt:variant>
        <vt:i4>5</vt:i4>
      </vt:variant>
      <vt:variant>
        <vt:lpwstr/>
      </vt:variant>
      <vt:variant>
        <vt:lpwstr>_Toc418160321</vt:lpwstr>
      </vt:variant>
      <vt:variant>
        <vt:i4>1376313</vt:i4>
      </vt:variant>
      <vt:variant>
        <vt:i4>98</vt:i4>
      </vt:variant>
      <vt:variant>
        <vt:i4>0</vt:i4>
      </vt:variant>
      <vt:variant>
        <vt:i4>5</vt:i4>
      </vt:variant>
      <vt:variant>
        <vt:lpwstr/>
      </vt:variant>
      <vt:variant>
        <vt:lpwstr>_Toc418160320</vt:lpwstr>
      </vt:variant>
      <vt:variant>
        <vt:i4>1441849</vt:i4>
      </vt:variant>
      <vt:variant>
        <vt:i4>92</vt:i4>
      </vt:variant>
      <vt:variant>
        <vt:i4>0</vt:i4>
      </vt:variant>
      <vt:variant>
        <vt:i4>5</vt:i4>
      </vt:variant>
      <vt:variant>
        <vt:lpwstr/>
      </vt:variant>
      <vt:variant>
        <vt:lpwstr>_Toc418160319</vt:lpwstr>
      </vt:variant>
      <vt:variant>
        <vt:i4>1441849</vt:i4>
      </vt:variant>
      <vt:variant>
        <vt:i4>86</vt:i4>
      </vt:variant>
      <vt:variant>
        <vt:i4>0</vt:i4>
      </vt:variant>
      <vt:variant>
        <vt:i4>5</vt:i4>
      </vt:variant>
      <vt:variant>
        <vt:lpwstr/>
      </vt:variant>
      <vt:variant>
        <vt:lpwstr>_Toc418160318</vt:lpwstr>
      </vt:variant>
      <vt:variant>
        <vt:i4>1441849</vt:i4>
      </vt:variant>
      <vt:variant>
        <vt:i4>80</vt:i4>
      </vt:variant>
      <vt:variant>
        <vt:i4>0</vt:i4>
      </vt:variant>
      <vt:variant>
        <vt:i4>5</vt:i4>
      </vt:variant>
      <vt:variant>
        <vt:lpwstr/>
      </vt:variant>
      <vt:variant>
        <vt:lpwstr>_Toc418160317</vt:lpwstr>
      </vt:variant>
      <vt:variant>
        <vt:i4>1441849</vt:i4>
      </vt:variant>
      <vt:variant>
        <vt:i4>74</vt:i4>
      </vt:variant>
      <vt:variant>
        <vt:i4>0</vt:i4>
      </vt:variant>
      <vt:variant>
        <vt:i4>5</vt:i4>
      </vt:variant>
      <vt:variant>
        <vt:lpwstr/>
      </vt:variant>
      <vt:variant>
        <vt:lpwstr>_Toc418160316</vt:lpwstr>
      </vt:variant>
      <vt:variant>
        <vt:i4>1441849</vt:i4>
      </vt:variant>
      <vt:variant>
        <vt:i4>68</vt:i4>
      </vt:variant>
      <vt:variant>
        <vt:i4>0</vt:i4>
      </vt:variant>
      <vt:variant>
        <vt:i4>5</vt:i4>
      </vt:variant>
      <vt:variant>
        <vt:lpwstr/>
      </vt:variant>
      <vt:variant>
        <vt:lpwstr>_Toc418160315</vt:lpwstr>
      </vt:variant>
      <vt:variant>
        <vt:i4>1441849</vt:i4>
      </vt:variant>
      <vt:variant>
        <vt:i4>62</vt:i4>
      </vt:variant>
      <vt:variant>
        <vt:i4>0</vt:i4>
      </vt:variant>
      <vt:variant>
        <vt:i4>5</vt:i4>
      </vt:variant>
      <vt:variant>
        <vt:lpwstr/>
      </vt:variant>
      <vt:variant>
        <vt:lpwstr>_Toc418160314</vt:lpwstr>
      </vt:variant>
      <vt:variant>
        <vt:i4>1441849</vt:i4>
      </vt:variant>
      <vt:variant>
        <vt:i4>56</vt:i4>
      </vt:variant>
      <vt:variant>
        <vt:i4>0</vt:i4>
      </vt:variant>
      <vt:variant>
        <vt:i4>5</vt:i4>
      </vt:variant>
      <vt:variant>
        <vt:lpwstr/>
      </vt:variant>
      <vt:variant>
        <vt:lpwstr>_Toc418160313</vt:lpwstr>
      </vt:variant>
      <vt:variant>
        <vt:i4>1441849</vt:i4>
      </vt:variant>
      <vt:variant>
        <vt:i4>50</vt:i4>
      </vt:variant>
      <vt:variant>
        <vt:i4>0</vt:i4>
      </vt:variant>
      <vt:variant>
        <vt:i4>5</vt:i4>
      </vt:variant>
      <vt:variant>
        <vt:lpwstr/>
      </vt:variant>
      <vt:variant>
        <vt:lpwstr>_Toc418160312</vt:lpwstr>
      </vt:variant>
      <vt:variant>
        <vt:i4>1441849</vt:i4>
      </vt:variant>
      <vt:variant>
        <vt:i4>44</vt:i4>
      </vt:variant>
      <vt:variant>
        <vt:i4>0</vt:i4>
      </vt:variant>
      <vt:variant>
        <vt:i4>5</vt:i4>
      </vt:variant>
      <vt:variant>
        <vt:lpwstr/>
      </vt:variant>
      <vt:variant>
        <vt:lpwstr>_Toc418160311</vt:lpwstr>
      </vt:variant>
      <vt:variant>
        <vt:i4>1441849</vt:i4>
      </vt:variant>
      <vt:variant>
        <vt:i4>38</vt:i4>
      </vt:variant>
      <vt:variant>
        <vt:i4>0</vt:i4>
      </vt:variant>
      <vt:variant>
        <vt:i4>5</vt:i4>
      </vt:variant>
      <vt:variant>
        <vt:lpwstr/>
      </vt:variant>
      <vt:variant>
        <vt:lpwstr>_Toc418160310</vt:lpwstr>
      </vt:variant>
      <vt:variant>
        <vt:i4>1507385</vt:i4>
      </vt:variant>
      <vt:variant>
        <vt:i4>32</vt:i4>
      </vt:variant>
      <vt:variant>
        <vt:i4>0</vt:i4>
      </vt:variant>
      <vt:variant>
        <vt:i4>5</vt:i4>
      </vt:variant>
      <vt:variant>
        <vt:lpwstr/>
      </vt:variant>
      <vt:variant>
        <vt:lpwstr>_Toc418160309</vt:lpwstr>
      </vt:variant>
      <vt:variant>
        <vt:i4>1507385</vt:i4>
      </vt:variant>
      <vt:variant>
        <vt:i4>26</vt:i4>
      </vt:variant>
      <vt:variant>
        <vt:i4>0</vt:i4>
      </vt:variant>
      <vt:variant>
        <vt:i4>5</vt:i4>
      </vt:variant>
      <vt:variant>
        <vt:lpwstr/>
      </vt:variant>
      <vt:variant>
        <vt:lpwstr>_Toc418160308</vt:lpwstr>
      </vt:variant>
      <vt:variant>
        <vt:i4>1507385</vt:i4>
      </vt:variant>
      <vt:variant>
        <vt:i4>20</vt:i4>
      </vt:variant>
      <vt:variant>
        <vt:i4>0</vt:i4>
      </vt:variant>
      <vt:variant>
        <vt:i4>5</vt:i4>
      </vt:variant>
      <vt:variant>
        <vt:lpwstr/>
      </vt:variant>
      <vt:variant>
        <vt:lpwstr>_Toc418160307</vt:lpwstr>
      </vt:variant>
      <vt:variant>
        <vt:i4>1507385</vt:i4>
      </vt:variant>
      <vt:variant>
        <vt:i4>14</vt:i4>
      </vt:variant>
      <vt:variant>
        <vt:i4>0</vt:i4>
      </vt:variant>
      <vt:variant>
        <vt:i4>5</vt:i4>
      </vt:variant>
      <vt:variant>
        <vt:lpwstr/>
      </vt:variant>
      <vt:variant>
        <vt:lpwstr>_Toc418160306</vt:lpwstr>
      </vt:variant>
      <vt:variant>
        <vt:i4>1507385</vt:i4>
      </vt:variant>
      <vt:variant>
        <vt:i4>8</vt:i4>
      </vt:variant>
      <vt:variant>
        <vt:i4>0</vt:i4>
      </vt:variant>
      <vt:variant>
        <vt:i4>5</vt:i4>
      </vt:variant>
      <vt:variant>
        <vt:lpwstr/>
      </vt:variant>
      <vt:variant>
        <vt:lpwstr>_Toc418160305</vt:lpwstr>
      </vt:variant>
      <vt:variant>
        <vt:i4>1507385</vt:i4>
      </vt:variant>
      <vt:variant>
        <vt:i4>2</vt:i4>
      </vt:variant>
      <vt:variant>
        <vt:i4>0</vt:i4>
      </vt:variant>
      <vt:variant>
        <vt:i4>5</vt:i4>
      </vt:variant>
      <vt:variant>
        <vt:lpwstr/>
      </vt:variant>
      <vt:variant>
        <vt:lpwstr>_Toc418160304</vt:lpwstr>
      </vt:variant>
      <vt:variant>
        <vt:i4>786490</vt:i4>
      </vt:variant>
      <vt:variant>
        <vt:i4>9</vt:i4>
      </vt:variant>
      <vt:variant>
        <vt:i4>0</vt:i4>
      </vt:variant>
      <vt:variant>
        <vt:i4>5</vt:i4>
      </vt:variant>
      <vt:variant>
        <vt:lpwstr>http://www.consilium.europa.eu/uedocs/cms_data/docs/pressdata/en/ecofin/114324.pdf</vt:lpwstr>
      </vt:variant>
      <vt:variant>
        <vt:lpwstr/>
      </vt:variant>
      <vt:variant>
        <vt:i4>2031690</vt:i4>
      </vt:variant>
      <vt:variant>
        <vt:i4>6</vt:i4>
      </vt:variant>
      <vt:variant>
        <vt:i4>0</vt:i4>
      </vt:variant>
      <vt:variant>
        <vt:i4>5</vt:i4>
      </vt:variant>
      <vt:variant>
        <vt:lpwstr>http://esm.europa.eu/</vt:lpwstr>
      </vt:variant>
      <vt:variant>
        <vt:lpwstr/>
      </vt:variant>
      <vt:variant>
        <vt:i4>8192108</vt:i4>
      </vt:variant>
      <vt:variant>
        <vt:i4>3</vt:i4>
      </vt:variant>
      <vt:variant>
        <vt:i4>0</vt:i4>
      </vt:variant>
      <vt:variant>
        <vt:i4>5</vt:i4>
      </vt:variant>
      <vt:variant>
        <vt:lpwstr>../../skrynna/AppData/Local/Microsoft/Windows/skrynna/AppData/Local/Microsoft/Windows/Temporary Internet Files/sinesca/AppData/Local/Microsoft/Windows/Temporary Internet Files/skrynna/AppData/Local/Microsoft/Windows/Temporary Internet Files/skrynna/AppData/Local/Microsoft/Windows/steimpa/AppData/Local/Microsoft/Windows/Temporary Internet Files/Content.Outlook/ASMTF00S/About the EFSF</vt:lpwstr>
      </vt:variant>
      <vt:variant>
        <vt:lpwstr/>
      </vt:variant>
      <vt:variant>
        <vt:i4>3145760</vt:i4>
      </vt:variant>
      <vt:variant>
        <vt:i4>0</vt:i4>
      </vt:variant>
      <vt:variant>
        <vt:i4>0</vt:i4>
      </vt:variant>
      <vt:variant>
        <vt:i4>5</vt:i4>
      </vt:variant>
      <vt:variant>
        <vt:lpwstr>http://eur-lex.europa.eu/homepage.html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2015-06-25T08:14:00Z</cp:lastPrinted>
  <dcterms:created xsi:type="dcterms:W3CDTF">2015-07-02T15:33:00Z</dcterms:created>
  <dcterms:modified xsi:type="dcterms:W3CDTF">2015-07-29T12:46:00Z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