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A1D0C0FFD65140B984556131FCCFDAF0" style="width:450.75pt;height:348pt">
            <v:imagedata r:id="rId12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>
      <w:pPr>
        <w:pStyle w:val="Brdtext"/>
        <w:spacing w:after="0" w:line="240" w:lineRule="auto"/>
        <w:rPr>
          <w:rFonts w:hAnsi="Times New Roman" w:cs="Times New Roman"/>
          <w:b/>
          <w:bCs/>
          <w:smallCaps/>
          <w:noProof/>
          <w:u w:val="single"/>
        </w:rPr>
      </w:pPr>
      <w:bookmarkStart w:id="1" w:name="_GoBack"/>
      <w:bookmarkEnd w:id="1"/>
      <w:r>
        <w:rPr>
          <w:rFonts w:hAnsi="Times New Roman" w:cs="Times New Roman"/>
          <w:b/>
          <w:smallCaps/>
          <w:noProof/>
          <w:u w:val="single"/>
        </w:rPr>
        <w:lastRenderedPageBreak/>
        <w:t>1. Souvislosti</w:t>
      </w:r>
    </w:p>
    <w:p>
      <w:pPr>
        <w:pStyle w:val="Brdtext"/>
        <w:spacing w:after="0" w:line="240" w:lineRule="auto"/>
        <w:rPr>
          <w:rFonts w:hAnsi="Times New Roman" w:cs="Times New Roman"/>
          <w:b/>
          <w:bCs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Evropa stojí před několika naléhavými úkoly: obnovit tvorbu pracovních míst a zajistit hospodářskou obnovu; dosáhnout udržitelného růstu; překlenout investiční mezery; posílit sociální soudržnosti; věnovat zvláštní pozornost radikalizaci a násilí. Zároveň musí řešit dlouhodobé výzvy, jako je stárnutí, přizpůsobování se digitálnímu věku a soutěž v celosvětové znalostní ekonomice.</w:t>
      </w:r>
    </w:p>
    <w:p>
      <w:pPr>
        <w:pStyle w:val="Brdtext"/>
        <w:tabs>
          <w:tab w:val="left" w:pos="1152"/>
        </w:tabs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Politická reakce Evropy v rámci nové agendy pro zaměstnanost, růst, spravedlnost a demokratickou změnu Představuje nový začátek. Existují přesvědčivé hospodářské důvody, aby v rámci této nové agendy hrálo rozhodující úlohu odvětví vzdělávání a odborné přípravy, jakožto sektor příznivý pro růst. Investice do lidského kapitálu představují dobře vynaložené prostředky. Kvalitní vzdělávání a odborná příprava pomáhají podporovat udržitelný hospodářský růst: jsou hybnou silou výzkumu a vývoje, inovací, produktivity a konkurenceschopnosti. Jak je zdůrazněno v hlavních směrech politik zaměstnanosti pro rok 2015, měla by se zlepšit účinnost a účelnost systémů vzdělávání a odborné přípravy by, aby zvyšovaly úroveň dovedností pracovní síly, odstranily nesoulad mezi nabízenými a požadovanými dovednostmi a lépe předvídaly rychle se měnící potřeby trhů práce a reagovaly na ně. To je důležité zejména ve stále více digitalizované společnosti a s ohledem na přechod k oběhovému hospodářství.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Tragické výbuchy násilného extremismu na počátku roku 2015 připomněly, že vzdělávání a odborná příprava jsou nesmírně důležité pro účinnější začleňování a prosazování rovnosti, rozvíjení vzájemné úcty a upevňování základních hodnot v otevřené a demokratické společnosti. Poskytování vzdělání a odborné přípravy – zejména nejvíce znevýhodněným osobám – má zásadní význam pro předcházení chudobě, sociálnímu vyloučení a diskriminaci a boj proti těmto jevům a pro budování základů, na nichž spočívá aktivní občanství.</w:t>
      </w:r>
      <w:r>
        <w:rPr>
          <w:rFonts w:hAnsi="Times New Roman" w:cs="Times New Roman"/>
          <w:noProof/>
          <w:color w:val="auto"/>
        </w:rPr>
        <w:t xml:space="preserve"> </w:t>
      </w:r>
      <w:r>
        <w:rPr>
          <w:rFonts w:hAnsi="Times New Roman" w:cs="Times New Roman"/>
          <w:noProof/>
        </w:rPr>
        <w:t>Vzdělávání a odborná příprava by proto měly zvýšit úsilí o zlepšení přístupu ke kvalitnímu učení pro všechny, což posílí sociální konvergenci směrem nahoru.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Vzdělávání a odborná příprava proto významným způsobem přispívají k řadě strategií a iniciativ EU, včetně strategie Evropa 2020, iniciativy týkající se jednotného digitálního trhu, Evropského programu pro bezpečnost a investičního plánu pro Evropu, a zároveň respektují pravomoci členských států, pokud jde o jejich systémy vzdělávání a odborné přípravy. Spolupráce v rámci strategického rámce evropské spolupráce v oblasti vzdělávání a oborné přípravy 2020 doplňuje vnitrostátní opatření a prostřednictvím výměny zkušeností, vzájemného učení a získávání faktických údajů podporuje členské státy v provádění reforem, jež mají dále zlepšit jejich výkonnost. 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Monitor vzdělávání a odborné přípravy z roku 2014, který předložila Komise, ukazuje, že přetrvávají závažné problémy: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tabs>
          <w:tab w:val="left" w:pos="426"/>
        </w:tabs>
        <w:spacing w:after="0" w:line="240" w:lineRule="auto"/>
        <w:ind w:left="426" w:hanging="426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  <w:t>20 % 15letých občanů EU má špatné výsledky ve čtení, přírodních vědách a matematice; 20 % dospělých vykazuje nízkou úroveň gramotnosti a matematické gramotnosti a 25 % vykazuje nízkou úroveň digitální gramotnosti; celoživotního učení se účastní pouze 10,7 % dospělých, přičemž podíl dospělých s velmi nízkou kvalifikací, kteří se ho účastní, je velmi nízký.</w:t>
      </w: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  <w:t>Míra předčasného ukončování školní docházky nyní činí 11,1 % a 19 členských států dosáhlo hlavního cíle strategie Evropa 2020, nicméně počet osob, které předčasně ukončily školní docházku, přesahuje5 milionů a míra nezaměstnanosti těchto osob je vysoká (41 %),</w:t>
      </w: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  <w:t xml:space="preserve">Podíl osob s vysokoškolským vzděláním se nadále zlepšuje a v současné době činí 37,9 %; 16 členských států splnilo hlavní cíl strategie Evropa 2020, ale vážným problémem nadále zůstává zaměstnatelnost absolventů v zemích nejvíce postižených krizí. 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Komplexní hodnocení strategického rámce ET 2020 v polovině období provedené roku 2014, do něhož byly zapojeny členské státy a hlavní zúčastněné subjekty a jež tvoří východisko pro tuto zprávu, vedlo ke třem hlavním politickým závěrům:</w:t>
      </w:r>
    </w:p>
    <w:p>
      <w:pPr>
        <w:pStyle w:val="Brdtext"/>
        <w:spacing w:after="0"/>
        <w:rPr>
          <w:rFonts w:hAnsi="Times New Roman" w:cs="Times New Roman"/>
          <w:noProof/>
        </w:rPr>
      </w:pPr>
    </w:p>
    <w:p>
      <w:pPr>
        <w:pStyle w:val="Brdtext"/>
        <w:spacing w:after="0"/>
        <w:ind w:left="426" w:hanging="426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  <w:t>Bylo potvrzeno, že integrovaný rámec vztahující se na vzdělávání a odbornou přípravu na všech úrovních představuje velký přínos. Dnešní potřeba flexibility a prostupnosti mezi znalostmi získanými učením vyžaduje soudržnou politiku od předškolního a školního vzdělávání až po vysokoškolské vzdělávání, odborné vzdělávání a přípravu a vzdělávání dospělých.</w:t>
      </w:r>
    </w:p>
    <w:p>
      <w:pPr>
        <w:pStyle w:val="Brdtext"/>
        <w:spacing w:after="0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/>
        <w:ind w:left="426" w:hanging="426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  <w:t>Čtyři strategické cíle rámce ET 2020 (a stávající referenční úrovně EU) jsou nadále platné, protože v závěrech Rady o rámci ET 2020 z roku 2009 byly vyjádřeny komplexním způsobem zaměřeným na budoucnost, a proto poskytují pevný základ pro činnosti v rámci ET 2020 do roku 2020. Je však třeba znovu vyvážit politické zaměření tak, aby byla pozornost věnována jak naléhavým výzvám v oblasti hospodářství a zaměstnanosti, tak úloze vzdělávání při prosazování rovnosti a nediskriminace a předávání základních hodnot, mezikulturních schopností a</w:t>
      </w:r>
      <w:r>
        <w:rPr>
          <w:noProof/>
        </w:rPr>
        <w:t> </w:t>
      </w:r>
      <w:r>
        <w:rPr>
          <w:rFonts w:hAnsi="Times New Roman" w:cs="Times New Roman"/>
          <w:noProof/>
        </w:rPr>
        <w:t>aktivního občanství.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  <w:t>Musí být dále prohloubena úloha strategického rámce ET 2020, pokud jde o jeho příspěvek k naplňování všeobecného programu EU pro pracovní místa, růst a investice, včetně evropského semestru. To znamená, že je třeba posílit získávání faktických údajů a vzájemného učení v souvislosti s reformními úkoly a zvýšit význam rámce pro jednotlivé země.</w:t>
      </w: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strike/>
          <w:noProof/>
        </w:rPr>
      </w:pPr>
      <w:r>
        <w:rPr>
          <w:rFonts w:hAnsi="Times New Roman" w:cs="Times New Roman"/>
          <w:noProof/>
        </w:rPr>
        <w:t>Tato společná zpráva v souvislosti s  výše zmíněnými výzvami a politickými závěry a v zájmu lepšího sladění strategického rámce ET 2020 s politickými aspekty a prioritami EU navrhuje, aby evropská spolupráce podle tohoto rámce probíhala až do roku 2020, a aby tedy byl její pracovní cyklus prodloužen ze tří na pět let.</w:t>
      </w:r>
    </w:p>
    <w:p>
      <w:pPr>
        <w:pStyle w:val="Brdtext"/>
        <w:spacing w:after="0" w:line="240" w:lineRule="auto"/>
        <w:ind w:left="426" w:hanging="426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Text1"/>
        <w:spacing w:after="0" w:line="240" w:lineRule="auto"/>
        <w:ind w:left="0"/>
        <w:rPr>
          <w:rFonts w:hAnsi="Times New Roman" w:cs="Times New Roman"/>
          <w:b/>
          <w:bCs/>
          <w:smallCaps/>
          <w:noProof/>
          <w:u w:val="single"/>
        </w:rPr>
      </w:pPr>
      <w:r>
        <w:rPr>
          <w:rFonts w:hAnsi="Times New Roman" w:cs="Times New Roman"/>
          <w:b/>
          <w:smallCaps/>
          <w:noProof/>
          <w:u w:val="single"/>
        </w:rPr>
        <w:t>2. Hlavní výzvy a budoucí priority</w:t>
      </w:r>
    </w:p>
    <w:p>
      <w:pPr>
        <w:pStyle w:val="Brdtext"/>
        <w:spacing w:after="0" w:line="240" w:lineRule="auto"/>
        <w:ind w:firstLine="1"/>
        <w:rPr>
          <w:rFonts w:hAnsi="Times New Roman" w:cs="Times New Roman"/>
          <w:b/>
          <w:bCs/>
          <w:smallCaps/>
          <w:noProof/>
          <w:u w:val="single"/>
        </w:rPr>
      </w:pPr>
    </w:p>
    <w:p>
      <w:pPr>
        <w:pStyle w:val="Brdtext"/>
        <w:spacing w:after="0" w:line="240" w:lineRule="auto"/>
        <w:ind w:firstLine="1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Tato kapitola vychází z hodnocení a rozpoznání rozdílů mezi členskými státy a představuje hlavní vývoj a změny v oblasti evropského vzdělávání a odborné přípravy a je východiskem pro určení nových </w:t>
      </w:r>
      <w:r>
        <w:rPr>
          <w:rFonts w:hAnsi="Times New Roman" w:cs="Times New Roman"/>
          <w:i/>
          <w:noProof/>
        </w:rPr>
        <w:t>prioritních oblastí</w:t>
      </w:r>
      <w:r>
        <w:rPr>
          <w:rFonts w:hAnsi="Times New Roman" w:cs="Times New Roman"/>
          <w:noProof/>
        </w:rPr>
        <w:t xml:space="preserve"> a </w:t>
      </w:r>
      <w:r>
        <w:rPr>
          <w:rFonts w:hAnsi="Times New Roman" w:cs="Times New Roman"/>
          <w:i/>
          <w:noProof/>
        </w:rPr>
        <w:t>konkrétních témat</w:t>
      </w:r>
      <w:r>
        <w:rPr>
          <w:rFonts w:hAnsi="Times New Roman" w:cs="Times New Roman"/>
          <w:noProof/>
        </w:rPr>
        <w:t xml:space="preserve"> k další práci do roku 2020 – viz příloha 1.</w:t>
      </w:r>
    </w:p>
    <w:p>
      <w:pPr>
        <w:pStyle w:val="Text1"/>
        <w:spacing w:after="0" w:line="240" w:lineRule="auto"/>
        <w:ind w:left="0"/>
        <w:rPr>
          <w:rFonts w:hAnsi="Times New Roman" w:cs="Times New Roman"/>
          <w:noProof/>
        </w:rPr>
      </w:pPr>
    </w:p>
    <w:p>
      <w:pPr>
        <w:pStyle w:val="Brdtext"/>
        <w:keepNext/>
        <w:spacing w:after="0" w:line="240" w:lineRule="auto"/>
        <w:rPr>
          <w:rFonts w:hAnsi="Times New Roman" w:cs="Times New Roman"/>
          <w:b/>
          <w:bCs/>
          <w:i/>
          <w:iCs/>
          <w:noProof/>
        </w:rPr>
      </w:pPr>
      <w:r>
        <w:rPr>
          <w:rFonts w:hAnsi="Times New Roman" w:cs="Times New Roman"/>
          <w:b/>
          <w:i/>
          <w:noProof/>
        </w:rPr>
        <w:t>2.1. Kvalita a relevantnost výsledků učení jsou klíčové pro rozvoj dovedností</w:t>
      </w:r>
    </w:p>
    <w:p>
      <w:pPr>
        <w:pStyle w:val="Brdtext"/>
        <w:keepNext/>
        <w:spacing w:after="0" w:line="240" w:lineRule="auto"/>
        <w:rPr>
          <w:rFonts w:hAnsi="Times New Roman" w:cs="Times New Roman"/>
          <w:b/>
          <w:bCs/>
          <w:i/>
          <w:iCs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Nízká úroveň základních kompetencí v Evropě brání hospodářskému pokroku a závažně omezuje jednotlivce v jejich profesní, sociální a osobní realizaci. Pokud má dojít k posílení zaměstnatelnosti, inovací a aktivního občanství, musí být základní kompetence provázeny dalšími klíčovými dovednostmi a postoji: tvořivostí, podnikavostí a smyslem pro iniciativu, digitální gramotností (včetně programování), znalostmi cizích jazyků, kritickým myšlením, rovněž prostřednictvím elektronické a mediální gramotnosti, a dovednostmi odrážejícími rostoucí sektory, jako je zelené hospodářství. 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b/>
          <w:i/>
          <w:noProof/>
        </w:rPr>
        <w:t>Kvalitu výsledků učení je třeba stimulovat v perspektivě celého života.</w:t>
      </w:r>
      <w:r>
        <w:rPr>
          <w:rFonts w:hAnsi="Times New Roman" w:cs="Times New Roman"/>
          <w:noProof/>
        </w:rPr>
        <w:t xml:space="preserve"> Komplexní strategie celoživotního učení zavedlo 16 členských států, nicméně takovéto strategie by měly vytvořit všechny země a měly by zajistit prostupnost mezi různými formami a úrovněmi učení a mezi sférou vzdělávání, odborné přípravy a zaměstnání. To vyžaduje trvalé úsilí v oblasti koordinace a partnerství mezi různými oblastmi vzdělávání.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b/>
          <w:i/>
          <w:noProof/>
        </w:rPr>
        <w:t>Výchozím bodem</w:t>
      </w:r>
      <w:r>
        <w:rPr>
          <w:noProof/>
        </w:rPr>
        <w:t xml:space="preserve"> a jedním z nejúčinnějších prostředků zdokonalování v klíčových schopnostech</w:t>
      </w:r>
      <w:r>
        <w:rPr>
          <w:b/>
          <w:i/>
          <w:noProof/>
        </w:rPr>
        <w:t xml:space="preserve"> je péče o děti v předškolním věku a jejich vzdělávání</w:t>
      </w:r>
      <w:r>
        <w:rPr>
          <w:noProof/>
        </w:rPr>
        <w:t>, nicméně se potýká s dvojí výzvou – zlepšováním přístupu a kvality. Zvláště problematické je poskytování služeb pro děti mladší tří let. V návaznosti na rámec kvality péče o děti v předškolním věku a jejich vzdělávání, který vytvořily členské státy během předchozího pracovního cyklu, jsou pro další práci klíčové otázky jako zlepšování přístupu, zaměření na znevýhodněné osoby, profesionalizace zaměstnanců a účinné systémy správy, financování a sledování.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  <w:color w:val="000000" w:themeColor="text1"/>
        </w:rPr>
      </w:pPr>
      <w:r>
        <w:rPr>
          <w:b/>
          <w:i/>
          <w:noProof/>
        </w:rPr>
        <w:t>Opatření k omezení předčasného ukončování školní docházky zavedly</w:t>
      </w:r>
      <w:r>
        <w:rPr>
          <w:noProof/>
        </w:rPr>
        <w:t xml:space="preserve"> všechny členské státy, ale ne vždy byla součástí komplexní strategie, jak to vyžaduje doporučení Rady z roku 2011. Pro úspěšnou reakci je nezbytné přijmout dlouhodobý závazek a navázat spolupráci napříč sektory se zaměřením na prevenci a včasnou intervenci.</w:t>
      </w:r>
      <w:r>
        <w:rPr>
          <w:noProof/>
          <w:color w:val="000000" w:themeColor="text1"/>
        </w:rPr>
        <w:t xml:space="preserve"> Strategie k omezování předčasného ukončování školní docházky vycházející ze škol by měly obsahovat společné přístupy, partnerství s vnějšími zúčastněnými subjekty a společenstvím a měly by zlepšovat výsledky učení všech žáků.</w:t>
      </w:r>
    </w:p>
    <w:p>
      <w:pPr>
        <w:pStyle w:val="Text1"/>
        <w:spacing w:after="0" w:line="240" w:lineRule="auto"/>
        <w:ind w:left="0"/>
        <w:rPr>
          <w:rFonts w:hAnsi="Times New Roman" w:cs="Times New Roman"/>
          <w:noProof/>
          <w:color w:val="000000" w:themeColor="text1"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b/>
          <w:i/>
          <w:noProof/>
        </w:rPr>
        <w:t>Systémy vysokoškolského vzdělávání by měly podporovat znalostní ekonomiku.</w:t>
      </w:r>
      <w:r>
        <w:rPr>
          <w:noProof/>
        </w:rPr>
        <w:t xml:space="preserve"> Vysokoškolské vzdělávání musí účinně reagovat na požadavky měnící se společnosti a trhu práce tím, že zajistí, aby se modernizace soustředila na součinnosti mezi výukou, výzkumem a inovacemi (propojením institucí vysokoškolského vzdělávání a místních společenství a regionů) inovativními přístupy k posílení relevantnosti osnov, a to rovněž za použití informačních a komunikačních technologií (IKT). Zvyšovat počty absolventů vysokých škol je pro mnohé členské státy nadále problematické, zvláště ve znevýhodněných skupinách.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b/>
          <w:i/>
          <w:noProof/>
        </w:rPr>
        <w:t>Absolventi odborného vzdělávání a přípravy</w:t>
      </w:r>
      <w:r>
        <w:rPr>
          <w:rFonts w:hAnsi="Times New Roman" w:cs="Times New Roman"/>
          <w:noProof/>
        </w:rPr>
        <w:t xml:space="preserve"> </w:t>
      </w:r>
      <w:r>
        <w:rPr>
          <w:rFonts w:hAnsi="Times New Roman" w:cs="Times New Roman"/>
          <w:b/>
          <w:i/>
          <w:noProof/>
        </w:rPr>
        <w:t>vykazují</w:t>
      </w:r>
      <w:r>
        <w:rPr>
          <w:rFonts w:hAnsi="Times New Roman" w:cs="Times New Roman"/>
          <w:noProof/>
        </w:rPr>
        <w:t xml:space="preserve"> ve většině členských států </w:t>
      </w:r>
      <w:r>
        <w:rPr>
          <w:rFonts w:hAnsi="Times New Roman" w:cs="Times New Roman"/>
          <w:b/>
          <w:i/>
          <w:noProof/>
        </w:rPr>
        <w:t>vysokou míru zaměstnanosti.</w:t>
      </w:r>
      <w:r>
        <w:rPr>
          <w:rFonts w:hAnsi="Times New Roman" w:cs="Times New Roman"/>
          <w:noProof/>
        </w:rPr>
        <w:t xml:space="preserve"> Systémy učňovského vzdělávání a duálního odborného vzdělávání a přípravy jsou zvláště důležité, neboť zajišťují náležité dovednosti usnadňující přechod na trh práce. Členské státy přijaly mnoho opatření k plnění cílů vymezených v komuniké z Brugg (2010) pro období 2011–2014 s cílem zlepšit výkonnost, kvalitu a přitažlivost odborného vzdělávání a přípravy, přičemž důraz se klade na učení založené na pracovní činnosti. Podpora takového učení ve všech jeho formách by měla pokračovat v příštím pracovním cyklu a zároveň by měla být posílena Evropská aliance pro učňovskou přípravu a předvídání budoucích potřeb trhu práce v oblasti dovedností. Střednědobé cíle vymezené v závěrech z Rigy ze dne 22. června 2015 (viz příloha 2) byly zpřesněny a jejich počet byl snížen.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Default"/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i/>
          <w:noProof/>
        </w:rPr>
        <w:t xml:space="preserve">Vzdělávání dospělých je základem pro zvyšování kvalifikace a rekvalifikaci. </w:t>
      </w:r>
      <w:r>
        <w:rPr>
          <w:rFonts w:ascii="Times New Roman" w:hAnsi="Times New Roman" w:cs="Times New Roman"/>
          <w:noProof/>
        </w:rPr>
        <w:t>Vzhledem k nedávným trendům vyznačujícím se nízkou úrovní základních dovedností dospělých a vysokou mírou nezaměstnanosti je nezbytné posílit provádění evropského programu pro vzdělávání dospělých.</w:t>
      </w:r>
      <w:r>
        <w:rPr>
          <w:rFonts w:ascii="Times New Roman" w:hAnsi="Times New Roman" w:cs="Times New Roman"/>
          <w:i/>
          <w:noProof/>
        </w:rPr>
        <w:t xml:space="preserve"> </w:t>
      </w:r>
      <w:r>
        <w:rPr>
          <w:rFonts w:ascii="Times New Roman" w:hAnsi="Times New Roman" w:cs="Times New Roman"/>
          <w:noProof/>
        </w:rPr>
        <w:t>K prioritám by měla patřit účinnější správa, významný nárůst v nabídce a jejím využívání, flexibilnější nabídka, širší přístup, podrobnější monitorování a lepší zajištění kvality (viz příloha 2).</w:t>
      </w:r>
    </w:p>
    <w:p>
      <w:pPr>
        <w:pStyle w:val="Brdtext"/>
        <w:widowControl w:val="0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b/>
          <w:bCs/>
          <w:i/>
          <w:iCs/>
          <w:noProof/>
        </w:rPr>
      </w:pPr>
      <w:r>
        <w:rPr>
          <w:rFonts w:hAnsi="Times New Roman" w:cs="Times New Roman"/>
          <w:b/>
          <w:i/>
          <w:noProof/>
        </w:rPr>
        <w:t>2.2. Vzdělávání musí přispívat k sociální soudržnosti, rovnosti, nediskriminaci a vytváření občanských dovedností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Nerovnost je za posledních 30 let ve většině evropských zemí a zemí OECD na nejvyšší úrovni a má negativní dopad na výsledky vzdělávání, protože vzdělávací systémy mají tendenci reprodukovat stávající vzorce, pokud jde o socioekonomický status. Proto musí být prioritou prolomení mezigeneračního cyklu nízkých kvalifikací. Zatímco většina členských států přijala opatření ke zlepšení přístupu ke vzdělávání pro znevýhodněné žáky, přetrvávají ve vzdělání značné rozdíly a zajištění přístupu ke kvalitnímu běžnému vzdělávání a odborné přípravě i nadále představuje v mnoha oblastech v EU problém. Je třeba přijmout účinná opatření pro vzdělávání a odbornou přípravu podporující začleňování a dostupné všem studentům, a zaměřit se přitom na osoby pocházející ze znevýhodněného prostředí, osoby se zvláštními potřebami, migranty nebo osoby z rodin migrantů a na Romy. Měl by být plně mobilizován systém záruk pro mladé lidi.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Je třeba řešit rozdíly mezi muži a ženami ve vzdělání a ve volbě studijních oborů. Nelze tolerovat šikanu a násilí ve školním prostředí, včetně těchto jevů spojených s příslušností k určitému pohlaví. Vzdělávací instituce a učitelé musí být vybaveni a podporováni takovým způsobem, aby studenti ve svém školním prostředí získávali zkušenost se začleněním, rovností, nediskriminací a demokratickým občanstvím.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hd w:val="clear" w:color="auto" w:fill="FFFFFF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Pařížské prohlášení přijaté ministry školství dne 17. března 2015 vyzvalo k přijetí opatření na všech úrovních, která by posílila úlohu vzdělávání při podpoře občanství a společných hodnot svobody, tolerance a nediskriminace, a dále při posilování sociální soudržnosti a napomáhání mladým lidem k tomu, aby se stávali zodpovědnými, nepředpojatými a aktivními členy naší rozmanité společnosti vstřícné vůči začleňování</w:t>
      </w:r>
      <w:r>
        <w:rPr>
          <w:rFonts w:hAnsi="Times New Roman" w:cs="Times New Roman"/>
          <w:noProof/>
          <w:vertAlign w:val="superscript"/>
        </w:rPr>
        <w:footnoteReference w:id="2"/>
      </w:r>
      <w:r>
        <w:rPr>
          <w:rFonts w:hAnsi="Times New Roman" w:cs="Times New Roman"/>
          <w:noProof/>
        </w:rPr>
        <w:t>. Vzdělávání má význam pro předcházení marginalizaci a radikalizaci a pro potírání těchto jevů. Hlavní prioritou v novém pracovním cyklu jsou kroky navazující na toto prohlášení, jejichž součástí jsou konkrétní opatření podpořená finančními prostředky z programu Erasmus+ v souladu s následujícími čtyřmi oblastmi vymezenými v uvedeném prohlášení: i) podpora získávání sociálních, občanských a mezikulturních schopností a posilování základních evropských hodnot a aktivního občanství; ii) podpora kritického myšlení a mediální gramotnosti; iii) podpora vzdělávání znevýhodněných dětí a mladých lidí a iv) podpora mezikulturního dialogu.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b/>
          <w:bCs/>
          <w:i/>
          <w:iCs/>
          <w:noProof/>
        </w:rPr>
      </w:pPr>
      <w:r>
        <w:rPr>
          <w:b/>
          <w:i/>
          <w:noProof/>
        </w:rPr>
        <w:t>2.3. Relevantní a kvalitní učení vyžaduje...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Default"/>
        <w:spacing w:after="0" w:line="240" w:lineRule="auto"/>
        <w:rPr>
          <w:rFonts w:ascii="Times New Roman" w:eastAsia="Arial Unicode MS" w:hAnsi="Times New Roman" w:cs="Times New Roman"/>
          <w:noProof/>
        </w:rPr>
      </w:pPr>
      <w:r>
        <w:rPr>
          <w:rFonts w:ascii="Times New Roman" w:hAnsi="Times New Roman" w:cs="Times New Roman"/>
          <w:b/>
          <w:i/>
          <w:noProof/>
        </w:rPr>
        <w:t>Aktivnější využívání inovativních pedagogických metod a digitálních dovedností a nástrojů:</w:t>
      </w:r>
      <w:r>
        <w:rPr>
          <w:rFonts w:ascii="Times New Roman" w:hAnsi="Times New Roman" w:cs="Times New Roman"/>
          <w:noProof/>
        </w:rPr>
        <w:t xml:space="preserve"> v některých členských státech fungují iniciativy, jejichž cílem je posílení digitální gramotnosti učitelů a studentů, a třetina zemí zavedla vnitrostátní strategie digitalizace vzdělávání.</w:t>
      </w:r>
      <w:r>
        <w:rPr>
          <w:rFonts w:ascii="Times New Roman" w:hAnsi="Times New Roman" w:cs="Times New Roman"/>
          <w:i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Přesto je však ještě třeba splnit důležité úkoly. Digitální revoluce zvyšuje poptávku po digitálních dovednostech a schopnostech; vzdělávání a odborná příprava musí na tuto potřebu reagovat, což vyžaduje investice do infrastruktury, organizační změny, digitální zařízení a digitální schopnosti učitelů a vytváření digitálních (a otevřených) vzdělávacích zdrojů a kvalitního vzdělávacího softwaru. Vzdělávání a odborná příprava by měly využívat přínosů z rozvoje nových informačních a komunikačních technologií a zavádět inovativní a aktivní pedagogické metody založené na účasti a projektech. Otevřená vzdělávací prostředí mohou pomoci ke spolupráci mezi různými oblastmi ve vzdělávání, rovněž pokud jde o znevýhodněné studenty. 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b/>
          <w:i/>
          <w:noProof/>
        </w:rPr>
        <w:t>Silná podpora pro učitele:</w:t>
      </w:r>
      <w:r>
        <w:rPr>
          <w:noProof/>
        </w:rPr>
        <w:t xml:space="preserve"> mnoho členských států uplatňuje opatření na zlepšení odborné přípravy učitelů a zdůrazňuje, že k tomuto účelu by měly být vhodné počáteční vzdělání a nepřetržitý profesní rozvoj učitelů a školitelů, které propojují konkrétní předměty, pedagogiku a praxi. Učitelům by mělo být poskytnuto školení týkající se řešení narůstající rozdílnosti studentů, předcházení předčasnému ukončování školní docházky a optimálního využívání inovativních pedagogických metod a nástrojů IKT, a zároveň by měli být podporováni na počátku profesní dráhy (tzv. zapracování).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>V mnoha státech je stále větší překážkou pro kvalitní vyučování nedostatek zaměstnanců a zároveň se snižuje zájem o povolání učitele. Je zapotřebí komplexních dlouhodobých strategií, aby bylo možné vybírat nejvhodnější uchazeče pocházející z různých prostředí a s různými zkušenostmi, přičemž je nutné zohlednit, že v tomto povolání existuje výrazný nepoměr v zastoupení mužů a žen, a zájemcům je třeba nabídnout atraktivní profesní vyhlídky.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  <w:sz w:val="22"/>
          <w:szCs w:val="22"/>
        </w:rPr>
      </w:pPr>
      <w:r>
        <w:rPr>
          <w:b/>
          <w:i/>
          <w:noProof/>
        </w:rPr>
        <w:t xml:space="preserve">Usnadnění mobility ve vzdělávání: </w:t>
      </w:r>
      <w:r>
        <w:rPr>
          <w:noProof/>
        </w:rPr>
        <w:t>z prvního srovnávacího přehledu výsledků v oblasti mobility (2014) vyplývá, že prostředí pro mobilitu ve vzdělávání se mezi členskými státy ve značné míře liší, přičemž přetrvávají podstatné překážky v oblasti informací, podpory studentů a uznávání. Je třeba sledovat opatření v oblasti transparentnosti, zajištění kvality a validace a uznávání dovedností a kvalifikací a pokračovat v jejich provádění. Jsou zapotřebí lepší údaje pro sledování skutečností v oblasti mobility.</w:t>
      </w:r>
    </w:p>
    <w:p>
      <w:pPr>
        <w:pStyle w:val="Brdtext"/>
        <w:spacing w:after="0" w:line="240" w:lineRule="auto"/>
        <w:rPr>
          <w:rFonts w:hAnsi="Times New Roman" w:cs="Times New Roman"/>
          <w:noProof/>
          <w:sz w:val="22"/>
          <w:szCs w:val="22"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I nadále bude prioritou podpora internacionalizace vysokoškolského vzdělávání, včetně rozvoje strategických partnerství a společných studijních programů a podpory mobility studentů, zaměstnanců a výzkumných pracovníků.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b/>
          <w:i/>
          <w:noProof/>
        </w:rPr>
        <w:t xml:space="preserve">Posílená a zjednodušená transparentnost a nástroje pro uznávání na úrovni EU: </w:t>
      </w:r>
      <w:r>
        <w:rPr>
          <w:rFonts w:hAnsi="Times New Roman" w:cs="Times New Roman"/>
          <w:noProof/>
        </w:rPr>
        <w:t>transparentnost a nástroje pro uznávání jsou nezbytné pro mobilitu, zaměstnatelnost a celoživotní učení a rovněž pro zajištění využívání kvalifikací získaných mimo EU. Většina členských států vytvořila vnitrostátní rámce kvalifikací, jež odkazují na evropský rámec kvalifikací. Další činnost by měla podporovat posun od transparentnosti k uznávání kvalifikací v rámci celé Evropy, a to prostřednictvím posílení významu evropského rámce kvalifikací a prosazováním validace neformálního a informálního učení. Vhodné nástroje k uznávání a validaci digitálně získaných znalostí, dovedností a schopností mohou podpořit využívání otevřených a inovativních postupů učení. Zvláštní pozornost by měla být věnována zjednodušení a racionalizaci současných nástrojů EU pro dovednosti a kvalifikace zaměřených na širší veřejnost, aby se rozšířil jejich dosah.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b/>
          <w:i/>
          <w:noProof/>
        </w:rPr>
        <w:t xml:space="preserve">Odstranění investiční mezery: </w:t>
      </w:r>
      <w:r>
        <w:rPr>
          <w:rFonts w:hAnsi="Times New Roman" w:cs="Times New Roman"/>
          <w:noProof/>
        </w:rPr>
        <w:t>účinné investice do kvalitního vzdělávání a odborné přípravy jsou zdrojem udržitelného růstu. Nicméně od doby krize jsou veřejné rozpočty napjaté a některé členské státy omezují reálnou hodnotu svých výdajů v oblasti vzdělávání a odborné přípravy. To znamená, že je třeba členské státy podporovat v navrhování reforem, díky nimž bude poskytování kvalitního vzdělávání a odborné přípravy v širších společenských souvislostech účinnější. Investiční plán pro Evropu, Erasmus+, evropské strukturální a investiční fondy, včetně Iniciativy na podporu zaměstnanosti mladých lidí a programu Horizont 2020, mohou pomoci stimulovat investice a podpořit politické priority rámce ET 2020 a zároveň zajistit pevné vazby s politikami.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  <w:sz w:val="22"/>
          <w:szCs w:val="22"/>
        </w:rPr>
      </w:pPr>
    </w:p>
    <w:p>
      <w:pPr>
        <w:pStyle w:val="Text1"/>
        <w:spacing w:after="0" w:line="240" w:lineRule="auto"/>
        <w:ind w:left="0"/>
        <w:rPr>
          <w:rFonts w:hAnsi="Times New Roman" w:cs="Times New Roman"/>
          <w:b/>
          <w:bCs/>
          <w:smallCaps/>
          <w:noProof/>
          <w:u w:val="single"/>
        </w:rPr>
      </w:pPr>
      <w:r>
        <w:rPr>
          <w:rFonts w:hAnsi="Times New Roman" w:cs="Times New Roman"/>
          <w:b/>
          <w:smallCaps/>
          <w:noProof/>
          <w:u w:val="single"/>
        </w:rPr>
        <w:t>3. Řízení a pracovní metody</w:t>
      </w: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  <w:sz w:val="22"/>
          <w:szCs w:val="22"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>Od vydání společné zprávy v roce 2012 se řízení strategického rámce ET 2020 zlepšilo, zejména díky lepšímu získávání faktických údajů (Monitor vzdělávání a odborné přípravy) a funkčnosti pracovních skupin a pravidelných platforem pro výměnu zkušeností mezi hlavními zúčastněnými stranami, jako je např. Evropské fórum pro vzdělávání, odbornou přípravu a mládež. Hodnocení naznačuje konsensus ohledně následujícího přístupu v příštím pracovním cyklu: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rPr>
          <w:noProof/>
        </w:rPr>
      </w:pPr>
      <w:r>
        <w:rPr>
          <w:noProof/>
        </w:rPr>
        <w:t xml:space="preserve">Pro zajištění účinnosti rámce ET  2020 jsou nezbytné </w:t>
      </w:r>
      <w:r>
        <w:rPr>
          <w:b/>
          <w:i/>
          <w:noProof/>
        </w:rPr>
        <w:t>spolehlivé analytické údaje a monitorování pokroku</w:t>
      </w:r>
      <w:r>
        <w:rPr>
          <w:noProof/>
        </w:rPr>
        <w:t>. Údaje budou shromažďovány a sledování pokroku bude prováděno ve spolupráci s Eurostatem, sítí Eurydice, Evropským střediskem pro rozvoj odborného vzdělávání, OECD a dalšími organizacemi.</w:t>
      </w:r>
    </w:p>
    <w:p>
      <w:pPr>
        <w:pStyle w:val="BodyText"/>
        <w:spacing w:after="0" w:line="240" w:lineRule="auto"/>
        <w:ind w:left="714"/>
        <w:rPr>
          <w:noProof/>
        </w:rPr>
      </w:pPr>
    </w:p>
    <w:p>
      <w:pPr>
        <w:pStyle w:val="BodyText"/>
        <w:numPr>
          <w:ilvl w:val="0"/>
          <w:numId w:val="1"/>
        </w:numPr>
        <w:tabs>
          <w:tab w:val="num" w:pos="720"/>
        </w:tabs>
        <w:spacing w:after="0" w:line="240" w:lineRule="auto"/>
        <w:ind w:left="714" w:hanging="357"/>
        <w:rPr>
          <w:noProof/>
        </w:rPr>
      </w:pPr>
      <w:r>
        <w:rPr>
          <w:noProof/>
        </w:rPr>
        <w:t xml:space="preserve">Prioritou je i nadále zjednodušení a </w:t>
      </w:r>
      <w:r>
        <w:rPr>
          <w:b/>
          <w:i/>
          <w:noProof/>
        </w:rPr>
        <w:t>racionalizace podávání zpráv</w:t>
      </w:r>
      <w:r>
        <w:rPr>
          <w:noProof/>
        </w:rPr>
        <w:t xml:space="preserve"> v rámci ET 2020, což bude podporováno prodloužením pracovního cyklu na pět let.</w:t>
      </w:r>
    </w:p>
    <w:p>
      <w:pPr>
        <w:pStyle w:val="BodyText"/>
        <w:spacing w:after="0" w:line="240" w:lineRule="auto"/>
        <w:ind w:left="720"/>
        <w:rPr>
          <w:noProof/>
        </w:rPr>
      </w:pPr>
    </w:p>
    <w:p>
      <w:pPr>
        <w:pStyle w:val="BodyText"/>
        <w:numPr>
          <w:ilvl w:val="0"/>
          <w:numId w:val="2"/>
        </w:numPr>
        <w:spacing w:after="0" w:line="240" w:lineRule="auto"/>
        <w:ind w:left="720" w:hanging="360"/>
        <w:rPr>
          <w:noProof/>
        </w:rPr>
      </w:pPr>
      <w:r>
        <w:rPr>
          <w:b/>
          <w:i/>
          <w:noProof/>
        </w:rPr>
        <w:t>Pevnější vazby mezi oblastmi vzdělávání, podnikání a výzkumu a zapojení sociálních partnerů a občanské společnosti</w:t>
      </w:r>
      <w:r>
        <w:rPr>
          <w:noProof/>
        </w:rPr>
        <w:t xml:space="preserve"> posílí dopad rámce ET 2020 a relevantnost výukových systémů pro zvyšování evropské inovační kapacity. V tomto ohledu určují směr vývoje znalostní aliance, aliance odvětvových dovedností v rámci programu Erasmus+, akce Marie Curie-Skłodowská a Evropský inovační a technologický institut v rámci programu Horizont 2020. Zapojení zúčastněných stran bude stimulováno rovněž prostřednictvím Evropského fóra pro vzdělávání, odbornou přípravu a mládež, evropského Fóra univerzit a podniků, Fóra pro odborné vzdělávání a přípravu a podnikání a tematických fór v členských státech. Bude probíhat spolupráce s evropskou občanskou společností a evropskými sociálními partnery, aby bylo možné optimálně využívat jejich odborných znalostí a schopnosti oslovit veřejnost. </w:t>
      </w:r>
    </w:p>
    <w:p>
      <w:pPr>
        <w:pStyle w:val="BodyText"/>
        <w:spacing w:after="0" w:line="240" w:lineRule="auto"/>
        <w:ind w:left="720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>Nástroje spolupráce ET 2020 se osvědčily, ale neměly vždy účinný dopad na vnitrostátní úrovni, zvláště vzhledem k nedostatečné synchronizaci činností, nedostatkům v oblasti šíření a malému povědomí o užitečnosti výsledků v rámci členského státu. Soubor nástrojů ET 2020 bude rozšířen: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  <w:t xml:space="preserve">Komise v zájmu zlepšení transparentnosti a soudržnosti činností rámce ET 2020 ve spolupráci s členskými státy (včetně trojice předsednictví Rady) připraví </w:t>
      </w:r>
      <w:r>
        <w:rPr>
          <w:rFonts w:hAnsi="Times New Roman" w:cs="Times New Roman"/>
          <w:b/>
          <w:i/>
          <w:noProof/>
        </w:rPr>
        <w:t>orientační průběžný pracovní plán ET 2020</w:t>
      </w:r>
      <w:r>
        <w:rPr>
          <w:rFonts w:hAnsi="Times New Roman" w:cs="Times New Roman"/>
          <w:noProof/>
        </w:rPr>
        <w:t>, který bude zahrnovat a poskytovat jasný přehled akcí vzájemného učení a klíčových činností plánovaných v pracovních skupinách ET 2020 a neformálních skupinách vyšších úředníků, tj. zasedání generálních ředitelů odpovědných za školství, odborné vzdělávání a přípravu a vysokoškolské vzdělávání (zasedání GŘ), a skupin na vysoké úrovni pro vzdělávání a odbornou přípravu.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  <w:t xml:space="preserve">Od roku 2016 bude v </w:t>
      </w:r>
      <w:r>
        <w:rPr>
          <w:rFonts w:hAnsi="Times New Roman" w:cs="Times New Roman"/>
          <w:i/>
          <w:noProof/>
        </w:rPr>
        <w:t>prioritních oblastech ET 2020</w:t>
      </w:r>
      <w:r>
        <w:rPr>
          <w:rFonts w:hAnsi="Times New Roman" w:cs="Times New Roman"/>
          <w:noProof/>
        </w:rPr>
        <w:t xml:space="preserve"> pracovat nová generace </w:t>
      </w:r>
      <w:r>
        <w:rPr>
          <w:rFonts w:hAnsi="Times New Roman" w:cs="Times New Roman"/>
          <w:b/>
          <w:i/>
          <w:noProof/>
        </w:rPr>
        <w:t>pracovních skupin</w:t>
      </w:r>
      <w:r>
        <w:rPr>
          <w:rFonts w:hAnsi="Times New Roman" w:cs="Times New Roman"/>
          <w:noProof/>
        </w:rPr>
        <w:t>. Tyto pracovní skupiny budou podávat zprávy příslušným neformálním skupinám vyšších úředníků, jež budou zajišťovat vedení a budou filtrovat relevantní výsledky, které budou poskytnuty Radě. Budou podporovány inovativní pracovní metody a výstupy skupin budou lépe šířeny se snahou o skutečné sdílení poznatků.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</w:r>
      <w:r>
        <w:rPr>
          <w:rFonts w:hAnsi="Times New Roman" w:cs="Times New Roman"/>
          <w:b/>
          <w:i/>
          <w:noProof/>
        </w:rPr>
        <w:t>Činnosti vzájemného učení v rámci ET 2020</w:t>
      </w:r>
      <w:r>
        <w:rPr>
          <w:rFonts w:hAnsi="Times New Roman" w:cs="Times New Roman"/>
          <w:noProof/>
        </w:rPr>
        <w:t xml:space="preserve">, které jsou obvykle součástí pracovních skupin, budou posíleny a umožní členským státům, jež sdílejí obdobné politické výzvy, pracovat v klastrech. </w:t>
      </w:r>
      <w:r>
        <w:rPr>
          <w:rFonts w:hAnsi="Times New Roman" w:cs="Times New Roman"/>
          <w:b/>
          <w:i/>
          <w:noProof/>
        </w:rPr>
        <w:t>Vzájemná hodnocení</w:t>
      </w:r>
      <w:r>
        <w:rPr>
          <w:rFonts w:hAnsi="Times New Roman" w:cs="Times New Roman"/>
          <w:noProof/>
        </w:rPr>
        <w:t xml:space="preserve"> v souvislosti se zasedáními generálních ředitelů zaměřená na výzvy specifické pro jednotlivé země se ukázala být užitečná, nicméně vyžadují větší přípravu a interaktivní dialog. Konkrétní vnitrostátní programy reforem mohou být podpořeny </w:t>
      </w:r>
      <w:r>
        <w:rPr>
          <w:rFonts w:hAnsi="Times New Roman" w:cs="Times New Roman"/>
          <w:b/>
          <w:i/>
          <w:noProof/>
        </w:rPr>
        <w:t>vzájemným poskytováním</w:t>
      </w:r>
      <w:r>
        <w:rPr>
          <w:rFonts w:hAnsi="Times New Roman" w:cs="Times New Roman"/>
          <w:noProof/>
        </w:rPr>
        <w:t xml:space="preserve"> individuálně přizpůsobeného </w:t>
      </w:r>
      <w:r>
        <w:rPr>
          <w:rFonts w:hAnsi="Times New Roman" w:cs="Times New Roman"/>
          <w:b/>
          <w:i/>
          <w:noProof/>
        </w:rPr>
        <w:t>poradenství</w:t>
      </w:r>
      <w:r>
        <w:rPr>
          <w:rFonts w:hAnsi="Times New Roman" w:cs="Times New Roman"/>
          <w:noProof/>
        </w:rPr>
        <w:t>.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</w:r>
      <w:r>
        <w:rPr>
          <w:rFonts w:hAnsi="Times New Roman" w:cs="Times New Roman"/>
          <w:b/>
          <w:i/>
          <w:noProof/>
        </w:rPr>
        <w:t>Šíření osvědčených postupů</w:t>
      </w:r>
      <w:r>
        <w:rPr>
          <w:rFonts w:hAnsi="Times New Roman" w:cs="Times New Roman"/>
          <w:noProof/>
        </w:rPr>
        <w:t xml:space="preserve"> a získaných poznatků s využitím mezinárodních faktů, je-li to na místě, bude posíleno tematickými akcemi, výměnami politických poznatků a různými ujednáními o přenosu znalostí a výměně zkušeností o tom, co v oblasti vzdělávání funguje.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</w:r>
      <w:r>
        <w:rPr>
          <w:rFonts w:hAnsi="Times New Roman" w:cs="Times New Roman"/>
          <w:b/>
          <w:i/>
          <w:noProof/>
        </w:rPr>
        <w:t>Monitor vzdělávání a odborné přípravy</w:t>
      </w:r>
      <w:r>
        <w:rPr>
          <w:rFonts w:hAnsi="Times New Roman" w:cs="Times New Roman"/>
          <w:noProof/>
        </w:rPr>
        <w:t>, synchronizovaný s evropským semestrem a poskytující aktuální údaje týkající se jednotlivých témat a zemí (včetně silných stránek a problémů), bude systematiky využíván tak, aby byl zdrojem informací pro politické diskuse na úrovni Rady a Evropského parlamentu při projednávání výzev a reforem v oblasti vzdělávání.</w:t>
      </w: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ind w:left="425" w:hanging="425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– </w:t>
      </w:r>
      <w:r>
        <w:rPr>
          <w:rFonts w:hAnsi="Times New Roman" w:cs="Times New Roman"/>
          <w:noProof/>
        </w:rPr>
        <w:tab/>
        <w:t xml:space="preserve">Potenciál programu </w:t>
      </w:r>
      <w:r>
        <w:rPr>
          <w:rFonts w:hAnsi="Times New Roman" w:cs="Times New Roman"/>
          <w:b/>
          <w:i/>
          <w:noProof/>
        </w:rPr>
        <w:t>Erasmus+</w:t>
      </w:r>
      <w:r>
        <w:rPr>
          <w:rFonts w:hAnsi="Times New Roman" w:cs="Times New Roman"/>
          <w:noProof/>
        </w:rPr>
        <w:t xml:space="preserve"> bude plně využit ke zvýšení dopadu nástrojů ET 2020, a to rovněž prostřednictvím zařazení přípravy na experimentální politické postupy do pracovních skupin a využívání údajů shromážděných v rámci vynikajících projektů.</w:t>
      </w: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br w:type="page"/>
      </w:r>
    </w:p>
    <w:p>
      <w:pPr>
        <w:pStyle w:val="Brdtext"/>
        <w:spacing w:after="0" w:line="240" w:lineRule="auto"/>
        <w:jc w:val="left"/>
        <w:rPr>
          <w:rFonts w:hAnsi="Times New Roman" w:cs="Times New Roman"/>
          <w:b/>
          <w:bCs/>
          <w:smallCaps/>
          <w:noProof/>
          <w:u w:val="single"/>
        </w:rPr>
      </w:pPr>
    </w:p>
    <w:p>
      <w:pPr>
        <w:pStyle w:val="Brdtext"/>
        <w:spacing w:after="0" w:line="240" w:lineRule="auto"/>
        <w:rPr>
          <w:rFonts w:hAnsi="Times New Roman" w:cs="Times New Roman"/>
          <w:b/>
          <w:bCs/>
          <w:smallCaps/>
          <w:noProof/>
          <w:u w:val="single"/>
        </w:rPr>
      </w:pPr>
      <w:r>
        <w:rPr>
          <w:rFonts w:hAnsi="Times New Roman" w:cs="Times New Roman"/>
          <w:b/>
          <w:smallCaps/>
          <w:noProof/>
          <w:u w:val="single"/>
        </w:rPr>
        <w:t>Příloha 1: Prioritní oblasti pro evropskou spolupráci v oblasti vzdělávání a odborné přípravy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 xml:space="preserve">Hodnocení v polovině období potvrdilo čtyři </w:t>
      </w:r>
      <w:r>
        <w:rPr>
          <w:b/>
          <w:i/>
          <w:noProof/>
        </w:rPr>
        <w:t>strategické cíle</w:t>
      </w:r>
      <w:r>
        <w:rPr>
          <w:noProof/>
        </w:rPr>
        <w:t xml:space="preserve"> rámce ET 2020, které stanovila Rada roku 2009:</w:t>
      </w:r>
    </w:p>
    <w:p>
      <w:pPr>
        <w:pStyle w:val="BodyText"/>
        <w:spacing w:after="0" w:line="240" w:lineRule="auto"/>
        <w:ind w:left="426" w:hanging="426"/>
        <w:rPr>
          <w:noProof/>
        </w:rPr>
      </w:pPr>
      <w:r>
        <w:rPr>
          <w:noProof/>
        </w:rPr>
        <w:t>1.</w:t>
      </w:r>
      <w:r>
        <w:rPr>
          <w:noProof/>
        </w:rPr>
        <w:tab/>
        <w:t>Realizovat koncepci celoživotního učení a mobility;</w:t>
      </w:r>
    </w:p>
    <w:p>
      <w:pPr>
        <w:pStyle w:val="BodyText"/>
        <w:spacing w:after="0" w:line="240" w:lineRule="auto"/>
        <w:ind w:left="426" w:hanging="426"/>
        <w:rPr>
          <w:noProof/>
        </w:rPr>
      </w:pPr>
      <w:r>
        <w:rPr>
          <w:noProof/>
        </w:rPr>
        <w:t>2.</w:t>
      </w:r>
      <w:r>
        <w:rPr>
          <w:noProof/>
        </w:rPr>
        <w:tab/>
        <w:t>Zlepšit kvalitu a efektivitu vzdělávání a odborné přípravy;</w:t>
      </w:r>
    </w:p>
    <w:p>
      <w:pPr>
        <w:pStyle w:val="BodyText"/>
        <w:spacing w:after="0" w:line="240" w:lineRule="auto"/>
        <w:ind w:left="426" w:hanging="426"/>
        <w:rPr>
          <w:noProof/>
        </w:rPr>
      </w:pPr>
      <w:r>
        <w:rPr>
          <w:noProof/>
        </w:rPr>
        <w:t>3.</w:t>
      </w:r>
      <w:r>
        <w:rPr>
          <w:noProof/>
        </w:rPr>
        <w:tab/>
        <w:t>Podporovat spravedlnost, sociální soudržnost a aktivní občanství;</w:t>
      </w:r>
    </w:p>
    <w:p>
      <w:pPr>
        <w:pStyle w:val="BodyText"/>
        <w:spacing w:after="0" w:line="240" w:lineRule="auto"/>
        <w:ind w:left="426" w:hanging="426"/>
        <w:rPr>
          <w:noProof/>
        </w:rPr>
      </w:pPr>
      <w:r>
        <w:rPr>
          <w:noProof/>
        </w:rPr>
        <w:t>4.</w:t>
      </w:r>
      <w:r>
        <w:rPr>
          <w:noProof/>
        </w:rPr>
        <w:tab/>
        <w:t>Zlepšit kreativitu a inovace, včetně podnikatelských schopností, na všech úrovních vzdělávání a odborné přípravy.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 xml:space="preserve">Hodnocení v rámci těchto strategických cílů vyzdvihlo společný cíl členských států, kterým je zefektivnění stávajících prioritních oblastí činnosti. Tabulka níže navrhuje v období do roku 2020 </w:t>
      </w:r>
      <w:r>
        <w:rPr>
          <w:rFonts w:hAnsi="Times New Roman" w:cs="Times New Roman"/>
          <w:b/>
          <w:noProof/>
        </w:rPr>
        <w:t>snížit počet prioritních oblastí ze třinácti na šest</w:t>
      </w:r>
      <w:r>
        <w:rPr>
          <w:rFonts w:hAnsi="Times New Roman" w:cs="Times New Roman"/>
          <w:noProof/>
        </w:rPr>
        <w:t>, přičemž každá tato oblast může přispět k jednomu nebo více strategickým cílům, přičemž takový postup je v plném souladu se všeobecnými politickými prioritami EU a přispívá k nim.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</w:rPr>
      </w:pPr>
      <w:r>
        <w:rPr>
          <w:noProof/>
        </w:rPr>
        <w:t xml:space="preserve">V tabulce níže jsou prioritní oblasti rozvedeny do </w:t>
      </w:r>
      <w:r>
        <w:rPr>
          <w:b/>
          <w:i/>
          <w:noProof/>
        </w:rPr>
        <w:t>konkrétních témat</w:t>
      </w:r>
      <w:r>
        <w:rPr>
          <w:noProof/>
        </w:rPr>
        <w:t xml:space="preserve"> v reakci na žádost Rady o konkrétnější vymezení témat, na nichž bude třeba pracovat. K práci na těchto oblastech budou využity pracovní metody spolupráce ET 2020 a příslušný soubor nástrojů; tyto oblasti i) odrážejí společné výzvy členských států a ii) jejich řešení na evropské úrovni představuje přidanou hodnotu.</w:t>
      </w:r>
    </w:p>
    <w:p>
      <w:pPr>
        <w:pStyle w:val="BodyText"/>
        <w:spacing w:after="0" w:line="240" w:lineRule="auto"/>
        <w:rPr>
          <w:noProof/>
        </w:rPr>
      </w:pPr>
    </w:p>
    <w:p>
      <w:pPr>
        <w:pStyle w:val="BodyText"/>
        <w:spacing w:after="0" w:line="240" w:lineRule="auto"/>
        <w:rPr>
          <w:noProof/>
          <w:color w:val="auto"/>
        </w:rPr>
      </w:pPr>
      <w:r>
        <w:rPr>
          <w:noProof/>
        </w:rPr>
        <w:t>Členské státy si v souladu s vnitrostátními prioritami vyberou oblasti a témata pro práci a spolupráci, do kterých se chtějí zapojit.</w:t>
      </w:r>
    </w:p>
    <w:p>
      <w:pPr>
        <w:rPr>
          <w:rFonts w:eastAsia="Times New Roman"/>
          <w:noProof/>
          <w:u w:color="000000"/>
        </w:rPr>
      </w:pPr>
      <w:r>
        <w:rPr>
          <w:noProof/>
        </w:rPr>
        <w:br w:type="page"/>
      </w:r>
    </w:p>
    <w:p>
      <w:pPr>
        <w:pStyle w:val="Brdtext"/>
        <w:widowControl w:val="0"/>
        <w:spacing w:after="0" w:line="240" w:lineRule="auto"/>
        <w:rPr>
          <w:rFonts w:hAnsi="Times New Roman" w:cs="Times New Roman"/>
          <w:smallCaps/>
          <w:noProof/>
          <w:sz w:val="20"/>
          <w:szCs w:val="20"/>
        </w:rPr>
      </w:pPr>
    </w:p>
    <w:tbl>
      <w:tblPr>
        <w:tblW w:w="861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252"/>
        <w:gridCol w:w="5925"/>
      </w:tblGrid>
      <w:tr>
        <w:trPr>
          <w:trHeight w:val="44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noProof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center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b/>
                <w:smallCaps/>
                <w:noProof/>
                <w:sz w:val="20"/>
              </w:rPr>
              <w:t>Prioritní oblasti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center"/>
              <w:rPr>
                <w:rFonts w:hAnsi="Times New Roman" w:cs="Times New Roman"/>
                <w:b/>
                <w:bCs/>
                <w:smallCaps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smallCaps/>
                <w:noProof/>
                <w:sz w:val="20"/>
              </w:rPr>
              <w:t>Konkrétní témata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noProof/>
                <w:sz w:val="20"/>
              </w:rPr>
              <w:t>1.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keepNext/>
              <w:spacing w:after="0" w:line="240" w:lineRule="auto"/>
              <w:jc w:val="left"/>
              <w:outlineLvl w:val="1"/>
              <w:rPr>
                <w:rFonts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noProof/>
                <w:sz w:val="20"/>
              </w:rPr>
              <w:t>Relevantní a kvalitní dovednosti a schopnosti, zaměření na výsledky učení, zaměstnatelnost, inovace a aktivní občanství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396"/>
              </w:tabs>
              <w:ind w:left="396" w:hanging="396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Posílení cílených politických opatření k odstranění nízké úrovně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základních schopností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v celé Evropě, což se vztahuje na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gramotnost, matematiku, přírodní vědy a digitální gramotnost</w:t>
            </w:r>
          </w:p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4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>Posílení rozvoje</w:t>
            </w:r>
            <w:r>
              <w:rPr>
                <w:rFonts w:hAnsi="Times New Roman" w:cs="Times New Roman"/>
                <w:b/>
                <w:noProof/>
                <w:sz w:val="20"/>
              </w:rPr>
              <w:t xml:space="preserve"> průřezových dovedností a klíčových schopností</w:t>
            </w:r>
            <w:r>
              <w:rPr>
                <w:rFonts w:hAnsi="Times New Roman" w:cs="Times New Roman"/>
                <w:noProof/>
                <w:sz w:val="20"/>
              </w:rPr>
              <w:t xml:space="preserve"> v souladu s referenčním rámcem pro klíčové schopnosti pro celoživotní učení, zejména </w:t>
            </w:r>
            <w:r>
              <w:rPr>
                <w:rFonts w:hAnsi="Times New Roman" w:cs="Times New Roman"/>
                <w:b/>
                <w:noProof/>
                <w:sz w:val="20"/>
              </w:rPr>
              <w:t>digitálních, podnikatelských a jazykových schopností</w:t>
            </w:r>
            <w:r>
              <w:rPr>
                <w:rFonts w:hAnsi="Times New Roman" w:cs="Times New Roman"/>
                <w:noProof/>
                <w:sz w:val="20"/>
              </w:rPr>
              <w:t>, prostřednictvím společných rámců EU a nástrojů pro vlastní hodnocení, jako je HEInnovate</w:t>
            </w:r>
          </w:p>
          <w:p>
            <w:pPr>
              <w:pStyle w:val="Brdtext"/>
              <w:tabs>
                <w:tab w:val="left" w:pos="2280"/>
              </w:tabs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val="clear" w:pos="360"/>
                <w:tab w:val="num" w:pos="396"/>
              </w:tabs>
              <w:ind w:left="396" w:hanging="396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Oživení strategií celoživotního učení, které se zabývají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fázemi přechodu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v rámci školního vzdělávání a zároveň podporují přechod k odbornému vzdělávání a přípravě, vysokoškolskému vzdělávání a vzdělávání dospělých, včetně neformálního a informálního učení, přechod mezi těmito druhy vzdělávání a přechod od vzdělávání a odborné přípravy do zaměstnání</w:t>
            </w:r>
          </w:p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6"/>
              </w:numPr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Posílení přístupu ke kvalitní </w:t>
            </w:r>
            <w:r>
              <w:rPr>
                <w:rFonts w:hAnsi="Times New Roman" w:cs="Times New Roman"/>
                <w:b/>
                <w:noProof/>
                <w:sz w:val="20"/>
              </w:rPr>
              <w:t>péči o děti v předškolním věku a jejich vzdělávání</w:t>
            </w:r>
            <w:r>
              <w:rPr>
                <w:rFonts w:hAnsi="Times New Roman" w:cs="Times New Roman"/>
                <w:noProof/>
                <w:sz w:val="20"/>
              </w:rPr>
              <w:t>, zvláště pro znevýhodněné děti, a provádění rámce kvality v této oblasti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7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>Omezení</w:t>
            </w:r>
            <w:r>
              <w:rPr>
                <w:rFonts w:hAnsi="Times New Roman" w:cs="Times New Roman"/>
                <w:b/>
                <w:noProof/>
                <w:sz w:val="20"/>
              </w:rPr>
              <w:t xml:space="preserve"> předčasného ukončování školní docházky</w:t>
            </w:r>
            <w:r>
              <w:rPr>
                <w:rFonts w:hAnsi="Times New Roman" w:cs="Times New Roman"/>
                <w:noProof/>
                <w:sz w:val="20"/>
              </w:rPr>
              <w:t xml:space="preserve"> prostřednictvím podpory strategií vycházejících ze škol a prostřednictvím poskytování druhé šance, s důrazem na účinná výuková prostředí a pedagogické metody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Podpora společenského významu </w:t>
            </w:r>
            <w:r>
              <w:rPr>
                <w:rFonts w:hAnsi="Times New Roman" w:cs="Times New Roman"/>
                <w:b/>
                <w:noProof/>
                <w:sz w:val="20"/>
              </w:rPr>
              <w:t>vysokoškolského vzdělávání</w:t>
            </w:r>
            <w:r>
              <w:rPr>
                <w:rFonts w:hAnsi="Times New Roman" w:cs="Times New Roman"/>
                <w:noProof/>
                <w:sz w:val="20"/>
              </w:rPr>
              <w:t xml:space="preserve"> a jeho významu z hlediska trhu práce, a to rovněž prostřednictvím lepší informovanosti a předvídání potřeb trhu práce a výsledků na trhu práce, nových forem učebních osnov, většího podílu učení se prací a posílené spolupráce mezi institucemi a zaměstnavateli</w:t>
            </w:r>
          </w:p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9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Provádění střednědobých cílů z Rigy v oblasti </w:t>
            </w:r>
            <w:r>
              <w:rPr>
                <w:rFonts w:hAnsi="Times New Roman" w:cs="Times New Roman"/>
                <w:b/>
                <w:noProof/>
                <w:sz w:val="20"/>
              </w:rPr>
              <w:t>odborného vzdělávání a přípravy</w:t>
            </w:r>
            <w:r>
              <w:rPr>
                <w:rFonts w:hAnsi="Times New Roman" w:cs="Times New Roman"/>
                <w:noProof/>
                <w:sz w:val="20"/>
              </w:rPr>
              <w:t xml:space="preserve"> (viz příloha 2), souběžné posílení Evropské aliance pro učňovskou přípravu a posílení předvídání budoucích potřeb trhu práce v oblasti dovedností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10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Provádění </w:t>
            </w:r>
            <w:r>
              <w:rPr>
                <w:rFonts w:hAnsi="Times New Roman" w:cs="Times New Roman"/>
                <w:b/>
                <w:noProof/>
                <w:sz w:val="20"/>
              </w:rPr>
              <w:t>evropské agendy pro vzdělávání dospělých</w:t>
            </w:r>
            <w:r>
              <w:rPr>
                <w:rFonts w:hAnsi="Times New Roman" w:cs="Times New Roman"/>
                <w:noProof/>
                <w:sz w:val="20"/>
              </w:rPr>
              <w:t xml:space="preserve"> (viz příloha 2)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noProof/>
                <w:sz w:val="20"/>
              </w:rPr>
              <w:t>2.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Text2"/>
              <w:spacing w:after="0" w:line="240" w:lineRule="auto"/>
              <w:ind w:left="0"/>
              <w:jc w:val="left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b/>
                <w:noProof/>
                <w:sz w:val="20"/>
              </w:rPr>
              <w:t>Vzdělávání podporující začleňování, rovnost, nediskriminace a podpora občanských schopností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Řešení stále větší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rozdílnosti studentů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a zlepšení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přístupu ke kvalitnímu běžnému vzdělávání a odborné přípravě podporujícím začleňování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pro všechny studenty, včetně studentů ze znevýhodněného prostředí, studentů se zvláštními potřebami, migrantů a Romů, a zároveň boj proti diskriminaci, rasismu, segregaci, šikaně, násilí a stereotypům</w:t>
            </w:r>
          </w:p>
          <w:p>
            <w:pPr>
              <w:pStyle w:val="ListParagraph"/>
              <w:ind w:left="396"/>
              <w:contextualSpacing/>
              <w:rPr>
                <w:rFonts w:ascii="Times New Roman" w:eastAsia="Times New Roman" w:hAnsi="Times New Roman" w:cs="Times New Roman"/>
                <w:noProof/>
                <w:sz w:val="20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Odstraňování nerovnováhy v zastoupení žen a mužů v oblasti vzdělávání a podpora v tomto ohledu vyváženějšího výběru studijních oborů</w:t>
            </w:r>
          </w:p>
          <w:p>
            <w:pPr>
              <w:contextualSpacing/>
              <w:rPr>
                <w:rFonts w:eastAsia="Times New Roman"/>
                <w:noProof/>
                <w:sz w:val="20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Usnadnění účinného osvojování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jazyka, v němž probíhá výuka a zaměstnání,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ze strany migrantů </w:t>
            </w:r>
          </w:p>
          <w:p>
            <w:pPr>
              <w:rPr>
                <w:rFonts w:eastAsia="Times New Roman"/>
                <w:noProof/>
              </w:rPr>
            </w:pP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Podpora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občanských, mezikulturních, sociálních a vztahových schopností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, vzájemného porozumění a respektu a upevňování demokratických hodnot a základních práv </w:t>
            </w:r>
          </w:p>
          <w:p>
            <w:pPr>
              <w:contextualSpacing/>
              <w:rPr>
                <w:rFonts w:eastAsia="Times New Roman"/>
                <w:noProof/>
                <w:sz w:val="20"/>
              </w:rPr>
            </w:pPr>
          </w:p>
          <w:p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Posílení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kritického myšlení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a počítačové a mediální gramotnosti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3.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b/>
                <w:noProof/>
                <w:sz w:val="20"/>
              </w:rPr>
              <w:t xml:space="preserve">Otevřené a inovativní vzdělávání a odborná příprava, včetně plného přijetí digitálního věku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Paragraph"/>
              <w:numPr>
                <w:ilvl w:val="0"/>
                <w:numId w:val="14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Podpora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inovativních a aktivních pedagogických metod</w:t>
            </w:r>
            <w:r>
              <w:rPr>
                <w:rFonts w:ascii="Times New Roman" w:hAnsi="Times New Roman" w:cs="Times New Roman"/>
                <w:noProof/>
                <w:sz w:val="20"/>
              </w:rPr>
              <w:t>, jako jsou interdisciplinární učení a metody spolupráce, s cílem posílit rozvoj relevantních dovedností a schopností na vysoké úrovni, a zároveň posilování vzdělávání podporujícího začleňování, včetně znevýhodněných studentů a studentů se zdravotním postižením</w:t>
            </w:r>
          </w:p>
          <w:p>
            <w:pPr>
              <w:pStyle w:val="ListParagraph"/>
              <w:ind w:left="360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15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Posílení 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participativní správy v oblasti vzdělávání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prostřednictvím podpory zapojování studentů, učitelů, rodičů a širšího místního společenství, jako jsou skupiny občanské společnosti, sociální partneři a podniky</w:t>
            </w:r>
          </w:p>
          <w:p>
            <w:pPr>
              <w:pStyle w:val="Brdtext"/>
              <w:spacing w:after="0" w:line="240" w:lineRule="auto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360"/>
                <w:tab w:val="num" w:pos="396"/>
              </w:tabs>
              <w:ind w:left="396" w:hanging="396"/>
              <w:contextualSpacing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>Zvyšování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 xml:space="preserve"> součinnosti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mezi činnostmi v oblasti vzdělávání, výzkumu a inovací s vyhlídkou na udržitelný růst v návaznosti na rozvoj v oblasti vysokoškolského vzdělání a nově rovněž se zaměřením na odborné vzdělávání a přípravu a školy</w:t>
            </w:r>
          </w:p>
          <w:p>
            <w:pPr>
              <w:pStyle w:val="Brdtext"/>
              <w:spacing w:after="0" w:line="240" w:lineRule="auto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17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contextualSpacing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Podpora využívání </w:t>
            </w:r>
            <w:r>
              <w:rPr>
                <w:rFonts w:hAnsi="Times New Roman" w:cs="Times New Roman"/>
                <w:b/>
                <w:noProof/>
                <w:sz w:val="20"/>
              </w:rPr>
              <w:t>Informačních a komunikačních technologií jako hybné síly pro systémovou změnu</w:t>
            </w:r>
            <w:r>
              <w:rPr>
                <w:rFonts w:hAnsi="Times New Roman" w:cs="Times New Roman"/>
                <w:noProof/>
                <w:sz w:val="20"/>
              </w:rPr>
              <w:t xml:space="preserve"> za účelem zvýšení kvality a významu vzdělávání na všech úrovních</w:t>
            </w:r>
          </w:p>
          <w:p>
            <w:pPr>
              <w:pStyle w:val="Brdtext"/>
              <w:spacing w:after="0" w:line="240" w:lineRule="auto"/>
              <w:contextualSpacing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18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contextualSpacing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Posilování dostupnosti a kvality </w:t>
            </w:r>
            <w:r>
              <w:rPr>
                <w:rFonts w:hAnsi="Times New Roman" w:cs="Times New Roman"/>
                <w:b/>
                <w:noProof/>
                <w:sz w:val="20"/>
              </w:rPr>
              <w:t>otevřených a digitálních vzdělávacích zdrojů</w:t>
            </w:r>
            <w:r>
              <w:rPr>
                <w:rFonts w:hAnsi="Times New Roman" w:cs="Times New Roman"/>
                <w:noProof/>
                <w:sz w:val="20"/>
              </w:rPr>
              <w:t xml:space="preserve"> a pedagogických metod na všech úrovních vzdělávání ve spolupráci s evropskými uživateli softwaru s otevřeným zdrojovým kódem</w:t>
            </w:r>
          </w:p>
          <w:p>
            <w:pPr>
              <w:pStyle w:val="Brdtext"/>
              <w:spacing w:after="0" w:line="240" w:lineRule="auto"/>
              <w:ind w:left="432"/>
              <w:contextualSpacing/>
              <w:jc w:val="left"/>
              <w:rPr>
                <w:rFonts w:hAnsi="Times New Roman" w:cs="Times New Roman"/>
                <w:noProof/>
                <w:sz w:val="20"/>
              </w:rPr>
            </w:pPr>
          </w:p>
          <w:p>
            <w:pPr>
              <w:pStyle w:val="Brdtext"/>
              <w:numPr>
                <w:ilvl w:val="0"/>
                <w:numId w:val="18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contextualSpacing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Řešení rozvoje </w:t>
            </w:r>
            <w:r>
              <w:rPr>
                <w:rFonts w:hAnsi="Times New Roman" w:cs="Times New Roman"/>
                <w:b/>
                <w:noProof/>
                <w:sz w:val="20"/>
              </w:rPr>
              <w:t>digitálních dovedností a schopností na všech úrovních učení</w:t>
            </w:r>
            <w:r>
              <w:rPr>
                <w:rFonts w:hAnsi="Times New Roman" w:cs="Times New Roman"/>
                <w:noProof/>
                <w:sz w:val="20"/>
              </w:rPr>
              <w:t xml:space="preserve"> v reakci na digitální revoluci </w:t>
            </w:r>
          </w:p>
          <w:p>
            <w:pPr>
              <w:pStyle w:val="Brdtext"/>
              <w:shd w:val="clear" w:color="auto" w:fill="FFFFFF"/>
              <w:spacing w:after="0" w:line="240" w:lineRule="auto"/>
              <w:ind w:left="360"/>
              <w:contextualSpacing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 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noProof/>
                <w:sz w:val="20"/>
              </w:rPr>
              <w:t>4.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keepNext/>
              <w:spacing w:after="0" w:line="240" w:lineRule="auto"/>
              <w:jc w:val="left"/>
              <w:outlineLvl w:val="1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b/>
                <w:noProof/>
                <w:sz w:val="20"/>
              </w:rPr>
              <w:t>Silná podpora pro učitele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numPr>
                <w:ilvl w:val="0"/>
                <w:numId w:val="19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Posílení </w:t>
            </w:r>
            <w:r>
              <w:rPr>
                <w:rFonts w:hAnsi="Times New Roman" w:cs="Times New Roman"/>
                <w:b/>
                <w:noProof/>
                <w:sz w:val="20"/>
              </w:rPr>
              <w:t>přijímání, výběru a zapracování</w:t>
            </w:r>
            <w:r>
              <w:rPr>
                <w:rFonts w:hAnsi="Times New Roman" w:cs="Times New Roman"/>
                <w:noProof/>
                <w:sz w:val="20"/>
              </w:rPr>
              <w:t xml:space="preserve"> těch nejlepších a nejvhodnějších uchazečů o povolání učitele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Zvýšení </w:t>
            </w:r>
            <w:r>
              <w:rPr>
                <w:rFonts w:hAnsi="Times New Roman" w:cs="Times New Roman"/>
                <w:b/>
                <w:noProof/>
                <w:sz w:val="20"/>
              </w:rPr>
              <w:t>přitažlivosti a prestiže</w:t>
            </w:r>
            <w:r>
              <w:rPr>
                <w:rFonts w:hAnsi="Times New Roman" w:cs="Times New Roman"/>
                <w:noProof/>
                <w:sz w:val="20"/>
              </w:rPr>
              <w:t xml:space="preserve"> povolání učitele, rovněž prostřednictvím komplexních strategií</w:t>
            </w:r>
            <w:r>
              <w:rPr>
                <w:rFonts w:hAnsi="Times New Roman" w:cs="Times New Roman"/>
                <w:noProof/>
                <w:color w:val="000000" w:themeColor="text1"/>
                <w:sz w:val="20"/>
              </w:rPr>
              <w:t xml:space="preserve"> 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21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Podpora </w:t>
            </w:r>
            <w:r>
              <w:rPr>
                <w:rFonts w:hAnsi="Times New Roman" w:cs="Times New Roman"/>
                <w:b/>
                <w:noProof/>
                <w:sz w:val="20"/>
              </w:rPr>
              <w:t>počátečního vzdělání a nepřetržitého profesního rozvoje</w:t>
            </w:r>
            <w:r>
              <w:rPr>
                <w:rFonts w:hAnsi="Times New Roman" w:cs="Times New Roman"/>
                <w:noProof/>
                <w:sz w:val="20"/>
              </w:rPr>
              <w:t xml:space="preserve"> učitelů, zvláště pokud jde o vypořádání se se zvýšenou různorodostí studentů, předčasné ukončování školní docházky, učení se prací, digitální schopnosti a inovativní pedagogické metody, rovněž prostřednictvím nástrojů EU, jako jsou eTwinning, School Education Gateway a elektronická platforma pro vzdělávání dospělých v Evropě (EPALE)</w:t>
            </w:r>
          </w:p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22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>Podpora vynikající kvality v oblasti</w:t>
            </w:r>
            <w:r>
              <w:rPr>
                <w:rFonts w:hAnsi="Times New Roman" w:cs="Times New Roman"/>
                <w:b/>
                <w:noProof/>
                <w:sz w:val="20"/>
              </w:rPr>
              <w:t xml:space="preserve"> výuky</w:t>
            </w:r>
            <w:r>
              <w:rPr>
                <w:rFonts w:hAnsi="Times New Roman" w:cs="Times New Roman"/>
                <w:noProof/>
                <w:sz w:val="20"/>
              </w:rPr>
              <w:t xml:space="preserve"> na všech úrovních prostřednictvím návrhu programu, organizace výuky a pobídkových struktur a zkoumání nových způsobů měření kvality odborné přípravy učitelů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noProof/>
                <w:sz w:val="20"/>
              </w:rPr>
              <w:t>5.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b/>
                <w:noProof/>
                <w:sz w:val="20"/>
              </w:rPr>
              <w:t xml:space="preserve">Transparentnost a uznávání dovedností a kvalifikací za účelem usnadnění učení a pracovní mobility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>Posílení</w:t>
            </w:r>
            <w:r>
              <w:rPr>
                <w:rFonts w:hAnsi="Times New Roman" w:cs="Times New Roman"/>
                <w:b/>
                <w:noProof/>
                <w:sz w:val="20"/>
              </w:rPr>
              <w:t xml:space="preserve"> transparentnosti, zajištění kvality a validace a uznávání</w:t>
            </w:r>
            <w:r>
              <w:rPr>
                <w:rFonts w:hAnsi="Times New Roman" w:cs="Times New Roman"/>
                <w:noProof/>
                <w:sz w:val="20"/>
              </w:rPr>
              <w:t xml:space="preserve"> dovedností a kvalifikací, včetně dovedností a kvalifikací získaných digitálním, online a otevřeným učením a validace informálního a neformálního učení</w:t>
            </w:r>
          </w:p>
          <w:p>
            <w:pPr>
              <w:pStyle w:val="Brdtext"/>
              <w:spacing w:after="0" w:line="240" w:lineRule="auto"/>
              <w:ind w:left="357"/>
              <w:jc w:val="left"/>
              <w:rPr>
                <w:rFonts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  <w:tab w:val="num" w:pos="396"/>
              </w:tabs>
              <w:ind w:left="396" w:hanging="396"/>
              <w:rPr>
                <w:rFonts w:ascii="Times New Roman" w:eastAsia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Zjednodušení a racionalizace</w:t>
            </w:r>
            <w:r>
              <w:rPr>
                <w:rFonts w:ascii="Times New Roman" w:hAnsi="Times New Roman" w:cs="Times New Roman"/>
                <w:noProof/>
                <w:sz w:val="20"/>
              </w:rPr>
              <w:t xml:space="preserve"> transparentnosti, dokumentace a nástrojů validace a uznávání, jejichž součástí je přímý kontakt se studenty, pracovníky a zaměstnavateli a podpora využívání kvalifikačních rámců</w:t>
            </w:r>
          </w:p>
          <w:p>
            <w:pPr>
              <w:pStyle w:val="ListParagraph"/>
              <w:ind w:left="357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>
            <w:pPr>
              <w:pStyle w:val="Brdtext"/>
              <w:numPr>
                <w:ilvl w:val="0"/>
                <w:numId w:val="25"/>
              </w:numPr>
              <w:tabs>
                <w:tab w:val="clear" w:pos="360"/>
                <w:tab w:val="num" w:pos="432"/>
              </w:tabs>
              <w:spacing w:after="0" w:line="240" w:lineRule="auto"/>
              <w:ind w:left="432" w:hanging="432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Podpora mobility studentů, zaměstnanců a výzkumných pracovníků a rozvoj strategických partnerství a společných studijních programů prostřednictvím větší </w:t>
            </w:r>
            <w:r>
              <w:rPr>
                <w:rFonts w:hAnsi="Times New Roman" w:cs="Times New Roman"/>
                <w:b/>
                <w:noProof/>
                <w:sz w:val="20"/>
              </w:rPr>
              <w:t>internacionalizace</w:t>
            </w:r>
            <w:r>
              <w:rPr>
                <w:rFonts w:hAnsi="Times New Roman" w:cs="Times New Roman"/>
                <w:noProof/>
                <w:sz w:val="20"/>
              </w:rPr>
              <w:t xml:space="preserve"> vysokoškolského vzdělávání</w:t>
            </w:r>
            <w:r>
              <w:rPr>
                <w:rFonts w:hAnsi="Times New Roman" w:cs="Times New Roman"/>
                <w:b/>
                <w:noProof/>
                <w:sz w:val="20"/>
              </w:rPr>
              <w:t xml:space="preserve"> 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noProof/>
                <w:sz w:val="20"/>
              </w:rPr>
              <w:t>6.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noProof/>
              </w:rPr>
            </w:pPr>
            <w:r>
              <w:rPr>
                <w:rFonts w:hAnsi="Times New Roman" w:cs="Times New Roman"/>
                <w:b/>
                <w:noProof/>
                <w:sz w:val="20"/>
              </w:rPr>
              <w:t xml:space="preserve">Udržitelné investice, výkonnost a účinnost systémů vzdělávání a odborné přípravy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numPr>
                <w:ilvl w:val="0"/>
                <w:numId w:val="26"/>
              </w:numPr>
              <w:spacing w:after="0" w:line="240" w:lineRule="auto"/>
              <w:ind w:left="323" w:hanging="284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  <w:szCs w:val="20"/>
              </w:rPr>
              <w:t>Využití</w:t>
            </w:r>
            <w:r>
              <w:rPr>
                <w:rFonts w:hAnsi="Times New Roman" w:cs="Times New Roman"/>
                <w:b/>
                <w:noProof/>
                <w:sz w:val="20"/>
                <w:szCs w:val="20"/>
              </w:rPr>
              <w:t xml:space="preserve"> potenciálu investičního plánu pro Evropu</w:t>
            </w:r>
            <w:r>
              <w:rPr>
                <w:rFonts w:hAnsi="Times New Roman" w:cs="Times New Roman"/>
                <w:noProof/>
                <w:sz w:val="20"/>
                <w:szCs w:val="20"/>
              </w:rPr>
              <w:t xml:space="preserve"> v oblasti vzdělávání a odborné přípravy, včetně podpory modelů financování, jež přilákají soukromé subjekty a kapitál</w:t>
            </w:r>
          </w:p>
          <w:p>
            <w:pPr>
              <w:pStyle w:val="Brdtext"/>
              <w:spacing w:after="0" w:line="240" w:lineRule="auto"/>
              <w:ind w:left="431"/>
              <w:jc w:val="left"/>
              <w:rPr>
                <w:rFonts w:hAnsi="Times New Roman" w:cs="Times New Roman"/>
                <w:noProof/>
                <w:sz w:val="20"/>
              </w:rPr>
            </w:pPr>
          </w:p>
          <w:p>
            <w:pPr>
              <w:pStyle w:val="Brdtext"/>
              <w:widowControl w:val="0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Vybízení členských států k tomu, aby tvořily politiku založenou na průkazném základě za účelem </w:t>
            </w:r>
            <w:r>
              <w:rPr>
                <w:rFonts w:hAnsi="Times New Roman" w:cs="Times New Roman"/>
                <w:b/>
                <w:noProof/>
                <w:sz w:val="20"/>
              </w:rPr>
              <w:t>sledování politik a navrhování reforem</w:t>
            </w:r>
            <w:r>
              <w:rPr>
                <w:rFonts w:hAnsi="Times New Roman" w:cs="Times New Roman"/>
                <w:noProof/>
                <w:sz w:val="20"/>
              </w:rPr>
              <w:t>, které účinněji zajistí kvalitní vzdělávání</w:t>
            </w:r>
          </w:p>
          <w:p>
            <w:pPr>
              <w:pStyle w:val="ListParagraph"/>
              <w:rPr>
                <w:rFonts w:hAnsi="Times New Roman" w:cs="Times New Roman"/>
                <w:noProof/>
                <w:sz w:val="20"/>
              </w:rPr>
            </w:pPr>
          </w:p>
          <w:p>
            <w:pPr>
              <w:pStyle w:val="Brdtext"/>
              <w:widowControl w:val="0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hAnsi="Times New Roman" w:cs="Times New Roman"/>
                <w:noProof/>
                <w:sz w:val="20"/>
              </w:rPr>
            </w:pPr>
            <w:r>
              <w:rPr>
                <w:rFonts w:hAnsi="Times New Roman" w:cs="Times New Roman"/>
                <w:noProof/>
                <w:sz w:val="20"/>
              </w:rPr>
              <w:t xml:space="preserve">Podpora inovativních způsobů zajištění </w:t>
            </w:r>
            <w:r>
              <w:rPr>
                <w:rFonts w:hAnsi="Times New Roman" w:cs="Times New Roman"/>
                <w:b/>
                <w:noProof/>
                <w:sz w:val="20"/>
              </w:rPr>
              <w:t>udržitelných investic</w:t>
            </w:r>
            <w:r>
              <w:rPr>
                <w:rFonts w:hAnsi="Times New Roman" w:cs="Times New Roman"/>
                <w:noProof/>
                <w:sz w:val="20"/>
              </w:rPr>
              <w:t xml:space="preserve"> ve všech formách a na všech úrovních učení, včetně financování na základě výkonnosti a sdílení nákladů</w:t>
            </w:r>
          </w:p>
        </w:tc>
      </w:tr>
      <w:tr>
        <w:trPr>
          <w:trHeight w:val="141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rPr>
                <w:rFonts w:hAnsi="Times New Roman" w:cs="Times New Roman"/>
                <w:noProof/>
                <w:sz w:val="2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Brdtext"/>
              <w:spacing w:after="0" w:line="240" w:lineRule="auto"/>
              <w:jc w:val="left"/>
              <w:rPr>
                <w:rFonts w:hAnsi="Times New Roman" w:cs="Times New Roman"/>
                <w:b/>
                <w:noProof/>
                <w:sz w:val="2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ListNumber"/>
              <w:numPr>
                <w:ilvl w:val="0"/>
                <w:numId w:val="0"/>
              </w:numPr>
              <w:ind w:left="709" w:hanging="709"/>
              <w:rPr>
                <w:noProof/>
              </w:rPr>
            </w:pPr>
          </w:p>
        </w:tc>
      </w:tr>
    </w:tbl>
    <w:p>
      <w:pPr>
        <w:pStyle w:val="Brdtext"/>
        <w:widowControl w:val="0"/>
        <w:spacing w:after="0" w:line="240" w:lineRule="auto"/>
        <w:rPr>
          <w:rFonts w:hAnsi="Times New Roman" w:cs="Times New Roman"/>
          <w:smallCaps/>
          <w:noProof/>
          <w:sz w:val="20"/>
          <w:szCs w:val="20"/>
        </w:rPr>
      </w:pPr>
    </w:p>
    <w:p>
      <w:pPr>
        <w:pStyle w:val="Brdtext"/>
        <w:spacing w:after="0" w:line="240" w:lineRule="auto"/>
        <w:jc w:val="left"/>
        <w:rPr>
          <w:rFonts w:hAnsi="Times New Roman" w:cs="Times New Roman"/>
          <w:smallCaps/>
          <w:noProof/>
          <w:sz w:val="20"/>
          <w:szCs w:val="20"/>
        </w:rPr>
      </w:pP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br w:type="page"/>
      </w:r>
    </w:p>
    <w:p>
      <w:pPr>
        <w:pStyle w:val="Brdtext"/>
        <w:spacing w:after="0" w:line="240" w:lineRule="auto"/>
        <w:jc w:val="left"/>
        <w:rPr>
          <w:rFonts w:hAnsi="Times New Roman" w:cs="Times New Roman"/>
          <w:b/>
          <w:bCs/>
          <w:smallCaps/>
          <w:noProof/>
          <w:u w:val="single"/>
        </w:rPr>
      </w:pPr>
      <w:r>
        <w:rPr>
          <w:rFonts w:hAnsi="Times New Roman" w:cs="Times New Roman"/>
          <w:b/>
          <w:smallCaps/>
          <w:noProof/>
          <w:u w:val="single"/>
        </w:rPr>
        <w:t>Příloha 2: Zvláštní priority v oblasti odborného vzdělávání a přípravy a vzdělávání dospělých do roku 2020</w:t>
      </w:r>
    </w:p>
    <w:p>
      <w:pPr>
        <w:pStyle w:val="Brdtext"/>
        <w:spacing w:after="0" w:line="240" w:lineRule="auto"/>
        <w:jc w:val="left"/>
        <w:rPr>
          <w:rFonts w:hAnsi="Times New Roman" w:cs="Times New Roman"/>
          <w:noProof/>
        </w:rPr>
      </w:pP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  <w:r>
        <w:rPr>
          <w:rFonts w:hAnsi="Times New Roman" w:cs="Times New Roman"/>
          <w:noProof/>
        </w:rPr>
        <w:t>Odvětvové agendy v oblasti odborného vzdělávání a přípravy (kodaňský a bruggský proces) a obnovená evropská agenda pro vzdělávání dospělých vyžadují podrobnější vymezení výsledků/priorit na období do roku 2020 a jejich schválení prostřednictvím této společné zprávy.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Brdtext"/>
        <w:keepNext/>
        <w:keepLines/>
        <w:spacing w:after="0" w:line="240" w:lineRule="auto"/>
        <w:outlineLvl w:val="0"/>
        <w:rPr>
          <w:rFonts w:hAnsi="Times New Roman" w:cs="Times New Roman"/>
          <w:b/>
          <w:bCs/>
          <w:noProof/>
        </w:rPr>
      </w:pPr>
      <w:r>
        <w:rPr>
          <w:rFonts w:hAnsi="Times New Roman" w:cs="Times New Roman"/>
          <w:b/>
          <w:noProof/>
        </w:rPr>
        <w:t>Střednědobé cíle z Rigy v oblasti odborného vzdělávání a přípravy</w:t>
      </w:r>
    </w:p>
    <w:p>
      <w:pPr>
        <w:pStyle w:val="Brdtext"/>
        <w:keepNext/>
        <w:keepLines/>
        <w:spacing w:after="0" w:line="240" w:lineRule="auto"/>
        <w:outlineLvl w:val="0"/>
        <w:rPr>
          <w:rFonts w:hAnsi="Times New Roman" w:cs="Times New Roman"/>
          <w:noProof/>
        </w:rPr>
      </w:pPr>
    </w:p>
    <w:p>
      <w:pPr>
        <w:pStyle w:val="ListParagraph"/>
        <w:numPr>
          <w:ilvl w:val="0"/>
          <w:numId w:val="28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sz w:val="24"/>
        </w:rPr>
        <w:t xml:space="preserve">Podpora </w:t>
      </w:r>
      <w:r>
        <w:rPr>
          <w:rFonts w:ascii="Times New Roman" w:hAnsi="Times New Roman" w:cs="Times New Roman"/>
          <w:b/>
          <w:noProof/>
          <w:color w:val="auto"/>
          <w:sz w:val="24"/>
        </w:rPr>
        <w:t>učení se prací</w:t>
      </w:r>
      <w:r>
        <w:rPr>
          <w:rFonts w:ascii="Times New Roman" w:hAnsi="Times New Roman" w:cs="Times New Roman"/>
          <w:noProof/>
          <w:color w:val="auto"/>
          <w:sz w:val="24"/>
        </w:rPr>
        <w:t xml:space="preserve"> ve všech jeho podobách se zvláštní pozorností věnovanou učňovské přípravě, a to prostřednictvím zapojení sociálních partnerů, společností, komor a poskytovatelů odborného vzdělávání a přípravy a rovněž prostřednictvím podpory inovací a podnikání</w:t>
      </w:r>
    </w:p>
    <w:p>
      <w:pPr>
        <w:pStyle w:val="ListParagraph"/>
        <w:numPr>
          <w:ilvl w:val="0"/>
          <w:numId w:val="29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sz w:val="24"/>
        </w:rPr>
        <w:t xml:space="preserve">Další rozvoj mechanismů </w:t>
      </w:r>
      <w:r>
        <w:rPr>
          <w:rFonts w:ascii="Times New Roman" w:hAnsi="Times New Roman" w:cs="Times New Roman"/>
          <w:b/>
          <w:noProof/>
          <w:color w:val="auto"/>
          <w:sz w:val="24"/>
        </w:rPr>
        <w:t>zajištění kvality</w:t>
      </w:r>
      <w:r>
        <w:rPr>
          <w:rFonts w:ascii="Times New Roman" w:hAnsi="Times New Roman" w:cs="Times New Roman"/>
          <w:noProof/>
          <w:color w:val="auto"/>
          <w:sz w:val="24"/>
        </w:rPr>
        <w:t xml:space="preserve"> v oblasti odborného vzdělávání a přípravy v souladu s doporučením evropského referenčního rámce pro zajišťování kvality v oblasti odborného vzdělávání a přípravy a zavádění průběžných</w:t>
      </w:r>
      <w:r>
        <w:rPr>
          <w:rFonts w:ascii="Times New Roman" w:hAnsi="Times New Roman" w:cs="Times New Roman"/>
          <w:b/>
          <w:noProof/>
          <w:color w:val="auto"/>
          <w:sz w:val="24"/>
        </w:rPr>
        <w:t xml:space="preserve"> informačních okruhů a cyklické zpětné vazby do systémů počátečního i dalšího odborného vzdělávání a přípravy na základě výsledků učení</w:t>
      </w:r>
      <w:r>
        <w:rPr>
          <w:rFonts w:ascii="Times New Roman" w:hAnsi="Times New Roman" w:cs="Times New Roman"/>
          <w:noProof/>
          <w:color w:val="auto"/>
          <w:sz w:val="24"/>
        </w:rPr>
        <w:t xml:space="preserve"> jakožto součásti systémů zajišťování kvality</w:t>
      </w:r>
    </w:p>
    <w:p>
      <w:pPr>
        <w:pStyle w:val="ListParagraph"/>
        <w:numPr>
          <w:ilvl w:val="0"/>
          <w:numId w:val="30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sz w:val="24"/>
        </w:rPr>
        <w:t xml:space="preserve">Zlepšování </w:t>
      </w:r>
      <w:r>
        <w:rPr>
          <w:rFonts w:ascii="Times New Roman" w:hAnsi="Times New Roman" w:cs="Times New Roman"/>
          <w:b/>
          <w:noProof/>
          <w:color w:val="auto"/>
          <w:sz w:val="24"/>
        </w:rPr>
        <w:t>přístupu k odbornému vzdělávání a přípravě a ke kvalifikacím pro všechny</w:t>
      </w:r>
      <w:r>
        <w:rPr>
          <w:rFonts w:ascii="Times New Roman" w:hAnsi="Times New Roman" w:cs="Times New Roman"/>
          <w:noProof/>
          <w:color w:val="auto"/>
          <w:sz w:val="24"/>
        </w:rPr>
        <w:t xml:space="preserve"> prostřednictvím flexibilnějších a prostupnějších systémů, zejména v podobě nabídky účinných a integrovaných poradenských služeb a zpřístupněním validace neformálního a informálního učení</w:t>
      </w:r>
    </w:p>
    <w:p>
      <w:pPr>
        <w:pStyle w:val="ListParagraph"/>
        <w:numPr>
          <w:ilvl w:val="0"/>
          <w:numId w:val="31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sz w:val="24"/>
        </w:rPr>
        <w:t xml:space="preserve">Další posílení </w:t>
      </w:r>
      <w:r>
        <w:rPr>
          <w:rFonts w:ascii="Times New Roman" w:hAnsi="Times New Roman" w:cs="Times New Roman"/>
          <w:b/>
          <w:noProof/>
          <w:color w:val="auto"/>
          <w:sz w:val="24"/>
        </w:rPr>
        <w:t>klíčových schopností</w:t>
      </w:r>
      <w:r>
        <w:rPr>
          <w:rFonts w:ascii="Times New Roman" w:hAnsi="Times New Roman" w:cs="Times New Roman"/>
          <w:noProof/>
          <w:color w:val="auto"/>
          <w:sz w:val="24"/>
        </w:rPr>
        <w:t xml:space="preserve"> v osnovách v oblasti odborného vzdělávání a přípravy a poskytování účinnějších příležitostí k získání nebo rozvoji těchto dovedností prostřednictvím počátečního i dalšího odborného vzdělávání a přípravy</w:t>
      </w:r>
    </w:p>
    <w:p>
      <w:pPr>
        <w:pStyle w:val="ListParagraph"/>
        <w:numPr>
          <w:ilvl w:val="0"/>
          <w:numId w:val="32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sz w:val="24"/>
        </w:rPr>
        <w:t xml:space="preserve">Zavádění systematických přístupů k </w:t>
      </w:r>
      <w:r>
        <w:rPr>
          <w:rFonts w:ascii="Times New Roman" w:hAnsi="Times New Roman" w:cs="Times New Roman"/>
          <w:b/>
          <w:noProof/>
          <w:color w:val="auto"/>
          <w:sz w:val="24"/>
        </w:rPr>
        <w:t>počátečnímu i navazujícímu profesnímu rozvoji učitelů, školitelů a instruktorů působících v oblasti odborného vzdělávání a přípravy</w:t>
      </w:r>
      <w:r>
        <w:rPr>
          <w:rFonts w:ascii="Times New Roman" w:hAnsi="Times New Roman" w:cs="Times New Roman"/>
          <w:noProof/>
          <w:color w:val="auto"/>
          <w:sz w:val="24"/>
        </w:rPr>
        <w:t>, a to jak ve školách, tak i na pracovišti a vytváření příležitostí k takovému profesnímu rozvoji</w:t>
      </w:r>
    </w:p>
    <w:p>
      <w:pPr>
        <w:pStyle w:val="Brdtext"/>
        <w:keepNext/>
        <w:keepLines/>
        <w:spacing w:after="0" w:line="240" w:lineRule="auto"/>
        <w:outlineLvl w:val="0"/>
        <w:rPr>
          <w:rFonts w:hAnsi="Times New Roman" w:cs="Times New Roman"/>
          <w:noProof/>
        </w:rPr>
      </w:pPr>
    </w:p>
    <w:p>
      <w:pPr>
        <w:pStyle w:val="Brdtext"/>
        <w:keepNext/>
        <w:keepLines/>
        <w:spacing w:after="0" w:line="240" w:lineRule="auto"/>
        <w:outlineLvl w:val="0"/>
        <w:rPr>
          <w:rFonts w:hAnsi="Times New Roman" w:cs="Times New Roman"/>
          <w:b/>
          <w:bCs/>
          <w:noProof/>
        </w:rPr>
      </w:pPr>
      <w:r>
        <w:rPr>
          <w:rFonts w:hAnsi="Times New Roman" w:cs="Times New Roman"/>
          <w:b/>
          <w:noProof/>
        </w:rPr>
        <w:t>Priority obnovené evropské agendy pro vzdělávání dospělých</w:t>
      </w:r>
    </w:p>
    <w:p>
      <w:pPr>
        <w:pStyle w:val="Brdtext"/>
        <w:spacing w:after="0" w:line="240" w:lineRule="auto"/>
        <w:rPr>
          <w:rFonts w:hAnsi="Times New Roman" w:cs="Times New Roman"/>
          <w:noProof/>
        </w:rPr>
      </w:pPr>
    </w:p>
    <w:p>
      <w:pPr>
        <w:pStyle w:val="ListParagraph"/>
        <w:numPr>
          <w:ilvl w:val="0"/>
          <w:numId w:val="33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Řízení: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>zajištění soudržnosti mezi vzděláváním dospělých a jinými politickými oblastmi, zlepšení koordinace, účinnosti a významu z hlediska potřeb společnosti, hospodářství a životního prostředí; navýšení investic</w:t>
      </w:r>
    </w:p>
    <w:p>
      <w:pPr>
        <w:pStyle w:val="ListParagraph"/>
        <w:numPr>
          <w:ilvl w:val="0"/>
          <w:numId w:val="34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sz w:val="24"/>
        </w:rPr>
        <w:t>Nabídka a její využívání</w:t>
      </w:r>
      <w:r>
        <w:rPr>
          <w:rFonts w:ascii="Times New Roman" w:hAnsi="Times New Roman" w:cs="Times New Roman"/>
          <w:noProof/>
          <w:sz w:val="24"/>
        </w:rPr>
        <w:t>: značný nárůst nabídky kvalitního vzdělávání dospělých, zejména v oblasti gramotnosti, matematické gramotnosti a digitální gramotnosti, a zvýšení jejího využívání prostřednictvím účinného informování, poradenství a prostřednictvím motivačních strategií zaměřených na nejpotřebnější skupiny</w:t>
      </w:r>
    </w:p>
    <w:p>
      <w:pPr>
        <w:pStyle w:val="ListParagraph"/>
        <w:numPr>
          <w:ilvl w:val="0"/>
          <w:numId w:val="35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sz w:val="24"/>
        </w:rPr>
        <w:t>Flexibilita a přístup</w:t>
      </w:r>
      <w:r>
        <w:rPr>
          <w:rFonts w:ascii="Times New Roman" w:hAnsi="Times New Roman" w:cs="Times New Roman"/>
          <w:noProof/>
          <w:sz w:val="24"/>
        </w:rPr>
        <w:t>: rozšíření přístupu prostřednictvím zvýšení dostupností učení se prací a prostřednictvím účinného využívání IKT; zavedení postupů k určení a posouzení dovedností dospělých osob s nízkou kvalifikací a poskytování dostatečných možností druhé šance, jež by vedly k uznání kvalifikace podle evropského rámce kvalifikací pro osoby bez třetí kvalifikační úrovně</w:t>
      </w:r>
    </w:p>
    <w:p>
      <w:pPr>
        <w:pStyle w:val="ListParagraph"/>
        <w:numPr>
          <w:ilvl w:val="0"/>
          <w:numId w:val="36"/>
        </w:numPr>
        <w:tabs>
          <w:tab w:val="clear" w:pos="360"/>
          <w:tab w:val="num" w:pos="330"/>
        </w:tabs>
        <w:ind w:left="330" w:hanging="33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sz w:val="24"/>
        </w:rPr>
        <w:t xml:space="preserve">Kvalita: </w:t>
      </w:r>
      <w:r>
        <w:rPr>
          <w:rFonts w:ascii="Times New Roman" w:hAnsi="Times New Roman" w:cs="Times New Roman"/>
          <w:noProof/>
          <w:sz w:val="24"/>
        </w:rPr>
        <w:t>lepší zajištění kvality, včetně monitorování a posuzování dopadů, zlepšení počátečního i dalšího vzdělávání osob, které vyučují dospělé, a shromažďování nezbytných údajů o potřebách, aby bylo možné účinně zacílit a navrhnout opatření</w:t>
      </w: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1021" w:right="1701" w:bottom="1021" w:left="1588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69282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  <w:footnote w:id="2">
    <w:p>
      <w:pPr>
        <w:pStyle w:val="FootnoteText"/>
        <w:spacing w:after="0" w:line="240" w:lineRule="auto"/>
        <w:ind w:left="0" w:firstLine="0"/>
        <w:rPr>
          <w:lang w:val="en-GB"/>
        </w:rPr>
      </w:pPr>
      <w:r>
        <w:rPr>
          <w:rStyle w:val="FootnoteReference"/>
        </w:rPr>
        <w:footnoteRef/>
      </w:r>
      <w:r>
        <w:t xml:space="preserve"> Neformální vzdělávání je důležité pro podporu sociální a demokratické účasti mladých lidí, což je jedna z priorit rámce spolupráce EU v oblasti mládeže; viz připravovaná zpráva EU o mládeži za rok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3774440</wp:posOffset>
              </wp:positionV>
              <wp:extent cx="5237480" cy="3142615"/>
              <wp:effectExtent l="342900" t="1409700" r="306070" b="1410335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rdtext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</w:tabs>
                            <w:suppressAutoHyphens/>
                            <w:spacing w:after="0" w:line="240" w:lineRule="auto"/>
                            <w:jc w:val="left"/>
                            <w:outlineLvl w:val="0"/>
                          </w:pP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left:0;text-align:left;margin-left:88.6pt;margin-top:297.2pt;width:412.4pt;height:247.45pt;rotation:-45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" filled="f" stroked="f" strokeweight="1pt">
              <v:stroke miterlimit="4"/>
              <v:path arrowok="t"/>
              <v:textbox inset="0,0,0,0">
                <w:txbxContent>
                  <w:p>
                    <w:pPr>
                      <w:pStyle w:val="Brdtext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</w:tabs>
                      <w:suppressAutoHyphens/>
                      <w:spacing w:after="0" w:line="240" w:lineRule="auto"/>
                      <w:jc w:val="left"/>
                      <w:outlineLvl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5B7798"/>
    <w:multiLevelType w:val="multilevel"/>
    <w:tmpl w:val="B82601F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B24081C"/>
    <w:multiLevelType w:val="multilevel"/>
    <w:tmpl w:val="A2122FD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DD30EA6"/>
    <w:multiLevelType w:val="multilevel"/>
    <w:tmpl w:val="56C2A6EA"/>
    <w:styleLink w:val="List0"/>
    <w:lvl w:ilvl="0"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</w:abstractNum>
  <w:abstractNum w:abstractNumId="4">
    <w:nsid w:val="0FE56BB3"/>
    <w:multiLevelType w:val="multilevel"/>
    <w:tmpl w:val="F0A8DD6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04B2EAE"/>
    <w:multiLevelType w:val="multilevel"/>
    <w:tmpl w:val="F9886196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7">
    <w:nsid w:val="13554F3C"/>
    <w:multiLevelType w:val="multilevel"/>
    <w:tmpl w:val="D53625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9">
    <w:nsid w:val="18AF35D0"/>
    <w:multiLevelType w:val="multilevel"/>
    <w:tmpl w:val="73588A5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9464EBE"/>
    <w:multiLevelType w:val="multilevel"/>
    <w:tmpl w:val="210E61DE"/>
    <w:lvl w:ilvl="0"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1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2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  <w:lvl w:ilvl="3">
      <w:start w:val="1"/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4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5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  <w:lvl w:ilvl="6">
      <w:start w:val="1"/>
      <w:numFmt w:val="bullet"/>
      <w:lvlText w:val="•"/>
      <w:lvlJc w:val="left"/>
      <w:rPr>
        <w:b/>
        <w:bCs/>
        <w:i/>
        <w:iCs/>
        <w:position w:val="0"/>
        <w:rtl w:val="0"/>
        <w:lang w:val="en-US"/>
      </w:rPr>
    </w:lvl>
    <w:lvl w:ilvl="7">
      <w:start w:val="1"/>
      <w:numFmt w:val="bullet"/>
      <w:lvlText w:val="o"/>
      <w:lvlJc w:val="left"/>
      <w:rPr>
        <w:b/>
        <w:bCs/>
        <w:i/>
        <w:iCs/>
        <w:position w:val="0"/>
        <w:rtl w:val="0"/>
        <w:lang w:val="en-US"/>
      </w:rPr>
    </w:lvl>
    <w:lvl w:ilvl="8">
      <w:start w:val="1"/>
      <w:numFmt w:val="bullet"/>
      <w:lvlText w:val="▪"/>
      <w:lvlJc w:val="left"/>
      <w:rPr>
        <w:b/>
        <w:bCs/>
        <w:i/>
        <w:iCs/>
        <w:position w:val="0"/>
        <w:rtl w:val="0"/>
        <w:lang w:val="en-US"/>
      </w:rPr>
    </w:lvl>
  </w:abstractNum>
  <w:abstractNum w:abstractNumId="11">
    <w:nsid w:val="19A32EB5"/>
    <w:multiLevelType w:val="multilevel"/>
    <w:tmpl w:val="29060FA6"/>
    <w:styleLink w:val="List2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A310A9F"/>
    <w:multiLevelType w:val="multilevel"/>
    <w:tmpl w:val="6212AA1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AB5421A"/>
    <w:multiLevelType w:val="multilevel"/>
    <w:tmpl w:val="600C4858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C313F0A"/>
    <w:multiLevelType w:val="multilevel"/>
    <w:tmpl w:val="6812F1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05F2472"/>
    <w:multiLevelType w:val="multilevel"/>
    <w:tmpl w:val="AD8A25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0970612"/>
    <w:multiLevelType w:val="multilevel"/>
    <w:tmpl w:val="39A862D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1D6557D"/>
    <w:multiLevelType w:val="multilevel"/>
    <w:tmpl w:val="BCDE09F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b/>
        <w:bCs/>
        <w:position w:val="0"/>
        <w:sz w:val="24"/>
        <w:szCs w:val="24"/>
      </w:rPr>
    </w:lvl>
  </w:abstractNum>
  <w:abstractNum w:abstractNumId="18">
    <w:nsid w:val="232867C5"/>
    <w:multiLevelType w:val="multilevel"/>
    <w:tmpl w:val="9B90831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0">
    <w:nsid w:val="29752FDE"/>
    <w:multiLevelType w:val="multilevel"/>
    <w:tmpl w:val="21BA6634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2">
    <w:nsid w:val="2E7B638F"/>
    <w:multiLevelType w:val="multilevel"/>
    <w:tmpl w:val="3DA2FC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b/>
        <w:bCs/>
        <w:position w:val="0"/>
        <w:sz w:val="24"/>
        <w:szCs w:val="24"/>
      </w:rPr>
    </w:lvl>
  </w:abstractNum>
  <w:abstractNum w:abstractNumId="23">
    <w:nsid w:val="31B7071E"/>
    <w:multiLevelType w:val="multilevel"/>
    <w:tmpl w:val="68BA36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24">
    <w:nsid w:val="37E058EB"/>
    <w:multiLevelType w:val="multilevel"/>
    <w:tmpl w:val="F4B08E2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6">
    <w:nsid w:val="3BB12D54"/>
    <w:multiLevelType w:val="multilevel"/>
    <w:tmpl w:val="46C424E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27">
    <w:nsid w:val="3BF73649"/>
    <w:multiLevelType w:val="multilevel"/>
    <w:tmpl w:val="92182D4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3EE46E37"/>
    <w:multiLevelType w:val="multilevel"/>
    <w:tmpl w:val="29EE196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468947AE"/>
    <w:multiLevelType w:val="multilevel"/>
    <w:tmpl w:val="210AC12C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49115D01"/>
    <w:multiLevelType w:val="multilevel"/>
    <w:tmpl w:val="5ADE72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35">
    <w:nsid w:val="49A6196E"/>
    <w:multiLevelType w:val="multilevel"/>
    <w:tmpl w:val="9964FF4E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4B373E02"/>
    <w:multiLevelType w:val="multilevel"/>
    <w:tmpl w:val="1AD6E5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b/>
        <w:bCs/>
        <w:position w:val="0"/>
        <w:sz w:val="24"/>
        <w:szCs w:val="24"/>
      </w:rPr>
    </w:lvl>
  </w:abstractNum>
  <w:abstractNum w:abstractNumId="37">
    <w:nsid w:val="4DB67F0E"/>
    <w:multiLevelType w:val="multilevel"/>
    <w:tmpl w:val="2A0468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38">
    <w:nsid w:val="4E42769F"/>
    <w:multiLevelType w:val="multilevel"/>
    <w:tmpl w:val="2AC6607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0">
    <w:nsid w:val="55A448CE"/>
    <w:multiLevelType w:val="multilevel"/>
    <w:tmpl w:val="87705274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</w:rPr>
    </w:lvl>
  </w:abstractNum>
  <w:abstractNum w:abstractNumId="41">
    <w:nsid w:val="5BFB7A0F"/>
    <w:multiLevelType w:val="multilevel"/>
    <w:tmpl w:val="D9E8289A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3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>
    <w:nsid w:val="68D338F7"/>
    <w:multiLevelType w:val="multilevel"/>
    <w:tmpl w:val="2B9207A0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68DE5CDA"/>
    <w:multiLevelType w:val="multilevel"/>
    <w:tmpl w:val="B1489B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>
    <w:nsid w:val="6A3D6936"/>
    <w:multiLevelType w:val="multilevel"/>
    <w:tmpl w:val="2822E60E"/>
    <w:styleLink w:val="List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b/>
        <w:bCs/>
        <w:position w:val="0"/>
        <w:sz w:val="24"/>
        <w:szCs w:val="24"/>
      </w:rPr>
    </w:lvl>
  </w:abstractNum>
  <w:abstractNum w:abstractNumId="48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9">
    <w:nsid w:val="75FB7E37"/>
    <w:multiLevelType w:val="multilevel"/>
    <w:tmpl w:val="99D64BE0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>
    <w:nsid w:val="7AA020F8"/>
    <w:multiLevelType w:val="multilevel"/>
    <w:tmpl w:val="16E6CB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60"/>
        </w:tabs>
        <w:ind w:left="24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620"/>
        </w:tabs>
        <w:ind w:left="462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60"/>
        </w:tabs>
        <w:ind w:left="6060" w:hanging="30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50"/>
  </w:num>
  <w:num w:numId="5">
    <w:abstractNumId w:val="5"/>
  </w:num>
  <w:num w:numId="6">
    <w:abstractNumId w:val="2"/>
  </w:num>
  <w:num w:numId="7">
    <w:abstractNumId w:val="7"/>
  </w:num>
  <w:num w:numId="8">
    <w:abstractNumId w:val="28"/>
  </w:num>
  <w:num w:numId="9">
    <w:abstractNumId w:val="4"/>
  </w:num>
  <w:num w:numId="10">
    <w:abstractNumId w:val="24"/>
  </w:num>
  <w:num w:numId="11">
    <w:abstractNumId w:val="14"/>
  </w:num>
  <w:num w:numId="12">
    <w:abstractNumId w:val="16"/>
  </w:num>
  <w:num w:numId="13">
    <w:abstractNumId w:val="35"/>
  </w:num>
  <w:num w:numId="14">
    <w:abstractNumId w:val="41"/>
  </w:num>
  <w:num w:numId="15">
    <w:abstractNumId w:val="45"/>
  </w:num>
  <w:num w:numId="16">
    <w:abstractNumId w:val="49"/>
  </w:num>
  <w:num w:numId="17">
    <w:abstractNumId w:val="12"/>
  </w:num>
  <w:num w:numId="18">
    <w:abstractNumId w:val="1"/>
  </w:num>
  <w:num w:numId="19">
    <w:abstractNumId w:val="27"/>
  </w:num>
  <w:num w:numId="20">
    <w:abstractNumId w:val="15"/>
  </w:num>
  <w:num w:numId="21">
    <w:abstractNumId w:val="9"/>
  </w:num>
  <w:num w:numId="22">
    <w:abstractNumId w:val="13"/>
  </w:num>
  <w:num w:numId="23">
    <w:abstractNumId w:val="46"/>
  </w:num>
  <w:num w:numId="24">
    <w:abstractNumId w:val="20"/>
  </w:num>
  <w:num w:numId="25">
    <w:abstractNumId w:val="11"/>
  </w:num>
  <w:num w:numId="26">
    <w:abstractNumId w:val="38"/>
  </w:num>
  <w:num w:numId="27">
    <w:abstractNumId w:val="32"/>
  </w:num>
  <w:num w:numId="28">
    <w:abstractNumId w:val="26"/>
  </w:num>
  <w:num w:numId="29">
    <w:abstractNumId w:val="23"/>
  </w:num>
  <w:num w:numId="30">
    <w:abstractNumId w:val="34"/>
  </w:num>
  <w:num w:numId="31">
    <w:abstractNumId w:val="37"/>
  </w:num>
  <w:num w:numId="32">
    <w:abstractNumId w:val="40"/>
  </w:num>
  <w:num w:numId="33">
    <w:abstractNumId w:val="17"/>
  </w:num>
  <w:num w:numId="34">
    <w:abstractNumId w:val="36"/>
  </w:num>
  <w:num w:numId="35">
    <w:abstractNumId w:val="22"/>
  </w:num>
  <w:num w:numId="36">
    <w:abstractNumId w:val="47"/>
  </w:num>
  <w:num w:numId="37">
    <w:abstractNumId w:val="39"/>
  </w:num>
  <w:num w:numId="38">
    <w:abstractNumId w:val="25"/>
  </w:num>
  <w:num w:numId="39">
    <w:abstractNumId w:val="21"/>
  </w:num>
  <w:num w:numId="40">
    <w:abstractNumId w:val="8"/>
  </w:num>
  <w:num w:numId="41">
    <w:abstractNumId w:val="6"/>
  </w:num>
  <w:num w:numId="42">
    <w:abstractNumId w:val="42"/>
  </w:num>
  <w:num w:numId="43">
    <w:abstractNumId w:val="44"/>
  </w:num>
  <w:num w:numId="44">
    <w:abstractNumId w:val="43"/>
  </w:num>
  <w:num w:numId="45">
    <w:abstractNumId w:val="48"/>
  </w:num>
  <w:num w:numId="46">
    <w:abstractNumId w:val="19"/>
  </w:num>
  <w:num w:numId="47">
    <w:abstractNumId w:val="29"/>
  </w:num>
  <w:num w:numId="48">
    <w:abstractNumId w:val="31"/>
  </w:num>
  <w:num w:numId="49">
    <w:abstractNumId w:val="30"/>
  </w:num>
  <w:num w:numId="50">
    <w:abstractNumId w:val="0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FigNum" w:val="1"/>
    <w:docVar w:name="LW_CONFIDENCE" w:val=" "/>
    <w:docVar w:name="LW_CONST_RESTREINT_UE" w:val="RESTREINT UE"/>
    <w:docVar w:name="LW_CORRIGENDUM" w:val="&lt;UNUSED&gt;"/>
    <w:docVar w:name="LW_COVERPAGE_GUID" w:val="A1D0C0FFD65140B984556131FCCFDAF0"/>
    <w:docVar w:name="LW_CROSSREFERENCE" w:val="{SWD(2015) 161 final}"/>
    <w:docVar w:name="LW_DocType" w:val="NORMAL"/>
    <w:docVar w:name="LW_EMISSION" w:val="26.8.2015"/>
    <w:docVar w:name="LW_EMISSION_ISODATE" w:val="2015-08-26"/>
    <w:docVar w:name="LW_EMISSION_LOCATION" w:val="BRX"/>
    <w:docVar w:name="LW_EMISSION_PREFIX" w:val="V Bruselu dne "/>
    <w:docVar w:name="LW_EMISSION_SUFFIX" w:val=" "/>
    <w:docVar w:name="LW_ID_DOCTYPE_NONLW" w:val="CP-014"/>
    <w:docVar w:name="LW_LANGUE" w:val="CS"/>
    <w:docVar w:name="LW_MARKING" w:val="&lt;UNUSED&gt;"/>
    <w:docVar w:name="LW_NOM.INST" w:val="EVROPSKÁ KOMISE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408"/>
    <w:docVar w:name="LW_REF.INTERNE" w:val="&lt;UNUSED&gt;"/>
    <w:docVar w:name="LW_SOUS.TITRE.OBJ" w:val="Nové priority evropské spolupráce v oblasti vzd\u283?lávání a odborné p\u345?ípravy"/>
    <w:docVar w:name="LW_SOUS.TITRE.OBJ.CP" w:val="Nové priority evropské spolupráce v oblasti vzd\u283?lávání a odborné p\u345?ípravy"/>
    <w:docVar w:name="LW_SUPERTITRE" w:val="&lt;UNUSED&gt;"/>
    <w:docVar w:name="LW_TITRE.OBJ.CP" w:val="Návrh spole\u269?né zprávy Rady a Komise pro rok 2015 o provád\u283?ní strategického rámce evropské spolupráce v oblasti vzd\u283?lávání a odborné p\u345?ípravy (ET 2020)"/>
    <w:docVar w:name="LW_TYPE.DOC.CP" w:val="SD\u282?LENÍ KOMISE EVROPSKÉMU PARLAMENTU, RAD\u282?, EVROPSKÉMU HOSPODÁ\u344?SKÉMU A SOCIÁLNÍMU VÝBORU A VÝBORU REGION\u366?"/>
    <w:docVar w:name="LW_TYPE.DOC.CP.USERTEXT" w:val="&lt;EMPTY&gt;"/>
  </w:docVar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cs-CZ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  <w:spacing w:after="360" w:line="280" w:lineRule="atLeast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rdtext">
    <w:name w:val="Brödtext"/>
    <w:pPr>
      <w:spacing w:after="360" w:line="280" w:lineRule="atLeast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spacing w:line="280" w:lineRule="atLeast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Caption">
    <w:name w:val="caption"/>
    <w:next w:val="Brdtext"/>
    <w:pPr>
      <w:spacing w:before="120" w:after="120" w:line="280" w:lineRule="atLeast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ZCom">
    <w:name w:val="Z_Com"/>
    <w:next w:val="ZDGName"/>
    <w:pPr>
      <w:widowControl w:val="0"/>
      <w:spacing w:line="280" w:lineRule="atLeast"/>
      <w:ind w:right="85"/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ZDGName">
    <w:name w:val="Z_DGName"/>
    <w:pPr>
      <w:widowControl w:val="0"/>
      <w:spacing w:line="280" w:lineRule="atLeast"/>
      <w:ind w:right="85"/>
    </w:pPr>
    <w:rPr>
      <w:rFonts w:ascii="Arial" w:hAnsi="Arial Unicode MS" w:cs="Arial Unicode MS"/>
      <w:color w:val="000000"/>
      <w:sz w:val="16"/>
      <w:szCs w:val="16"/>
      <w:u w:color="000000"/>
    </w:rPr>
  </w:style>
  <w:style w:type="paragraph" w:styleId="Date">
    <w:name w:val="Date"/>
    <w:pPr>
      <w:spacing w:line="280" w:lineRule="atLeast"/>
      <w:ind w:left="5103"/>
    </w:pPr>
    <w:rPr>
      <w:rFonts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80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Frval">
    <w:name w:val="Förval"/>
    <w:rPr>
      <w:rFonts w:ascii="Helvetica" w:eastAsia="Helvetica" w:hAnsi="Helvetica" w:cs="Helvetica"/>
      <w:color w:val="000000"/>
      <w:sz w:val="22"/>
      <w:szCs w:val="22"/>
    </w:rPr>
  </w:style>
  <w:style w:type="paragraph" w:styleId="FootnoteText">
    <w:name w:val="footnote text"/>
    <w:link w:val="FootnoteTextChar"/>
    <w:uiPriority w:val="99"/>
    <w:pPr>
      <w:spacing w:after="360" w:line="280" w:lineRule="atLeast"/>
      <w:ind w:left="357" w:hanging="357"/>
      <w:jc w:val="both"/>
    </w:pPr>
    <w:rPr>
      <w:rFonts w:eastAsia="Times New Roman"/>
      <w:color w:val="000000"/>
      <w:u w:color="000000"/>
    </w:rPr>
  </w:style>
  <w:style w:type="paragraph" w:customStyle="1" w:styleId="Text1">
    <w:name w:val="Text 1"/>
    <w:pPr>
      <w:spacing w:after="360" w:line="280" w:lineRule="atLeast"/>
      <w:ind w:left="482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color w:val="000000"/>
      <w:u w:val="single" w:color="000000"/>
      <w:lang w:val="cs-CZ"/>
    </w:rPr>
  </w:style>
  <w:style w:type="paragraph" w:customStyle="1" w:styleId="Default">
    <w:name w:val="Default"/>
    <w:pPr>
      <w:spacing w:after="360" w:line="280" w:lineRule="atLeast"/>
      <w:jc w:val="both"/>
    </w:pPr>
    <w:rPr>
      <w:rFonts w:ascii="EUAlbertina" w:eastAsia="EUAlbertina" w:hAnsi="EUAlbertina" w:cs="EUAlbertina"/>
      <w:color w:val="000000"/>
      <w:sz w:val="24"/>
      <w:szCs w:val="24"/>
      <w:u w:color="000000"/>
    </w:rPr>
  </w:style>
  <w:style w:type="numbering" w:customStyle="1" w:styleId="List0">
    <w:name w:val="List 0"/>
    <w:basedOn w:val="Importeradestilen2"/>
    <w:pPr>
      <w:numPr>
        <w:numId w:val="2"/>
      </w:numPr>
    </w:pPr>
  </w:style>
  <w:style w:type="numbering" w:customStyle="1" w:styleId="Importeradestilen2">
    <w:name w:val="Importerade stilen 2"/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radestilen3"/>
    <w:pPr>
      <w:numPr>
        <w:numId w:val="5"/>
      </w:numPr>
    </w:pPr>
  </w:style>
  <w:style w:type="numbering" w:customStyle="1" w:styleId="Importeradestilen3">
    <w:name w:val="Importerade stilen 3"/>
  </w:style>
  <w:style w:type="numbering" w:customStyle="1" w:styleId="List21">
    <w:name w:val="List 21"/>
    <w:basedOn w:val="Importeradestilen4"/>
    <w:pPr>
      <w:numPr>
        <w:numId w:val="25"/>
      </w:numPr>
    </w:pPr>
  </w:style>
  <w:style w:type="numbering" w:customStyle="1" w:styleId="Importeradestilen4">
    <w:name w:val="Importerade stilen 4"/>
  </w:style>
  <w:style w:type="paragraph" w:customStyle="1" w:styleId="Text2">
    <w:name w:val="Text 2"/>
    <w:pPr>
      <w:tabs>
        <w:tab w:val="left" w:pos="2160"/>
      </w:tabs>
      <w:spacing w:after="360" w:line="280" w:lineRule="atLeast"/>
      <w:ind w:left="1077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31">
    <w:name w:val="List 31"/>
    <w:basedOn w:val="Importeradestilen5"/>
    <w:pPr>
      <w:numPr>
        <w:numId w:val="13"/>
      </w:numPr>
    </w:pPr>
  </w:style>
  <w:style w:type="numbering" w:customStyle="1" w:styleId="Importeradestilen5">
    <w:name w:val="Importerade stilen 5"/>
  </w:style>
  <w:style w:type="numbering" w:customStyle="1" w:styleId="List41">
    <w:name w:val="List 41"/>
    <w:basedOn w:val="Importeradestilen6"/>
    <w:pPr>
      <w:numPr>
        <w:numId w:val="14"/>
      </w:numPr>
    </w:pPr>
  </w:style>
  <w:style w:type="numbering" w:customStyle="1" w:styleId="Importeradestilen6">
    <w:name w:val="Importerade stilen 6"/>
  </w:style>
  <w:style w:type="numbering" w:customStyle="1" w:styleId="List51">
    <w:name w:val="List 51"/>
    <w:basedOn w:val="Importeradestilen7"/>
    <w:pPr>
      <w:numPr>
        <w:numId w:val="15"/>
      </w:numPr>
    </w:pPr>
  </w:style>
  <w:style w:type="numbering" w:customStyle="1" w:styleId="Importeradestilen7">
    <w:name w:val="Importerade stilen 7"/>
  </w:style>
  <w:style w:type="numbering" w:customStyle="1" w:styleId="List6">
    <w:name w:val="List 6"/>
    <w:basedOn w:val="Importeradestilen8"/>
    <w:pPr>
      <w:numPr>
        <w:numId w:val="16"/>
      </w:numPr>
    </w:pPr>
  </w:style>
  <w:style w:type="numbering" w:customStyle="1" w:styleId="Importeradestilen8">
    <w:name w:val="Importerade stilen 8"/>
  </w:style>
  <w:style w:type="numbering" w:customStyle="1" w:styleId="List7">
    <w:name w:val="List 7"/>
    <w:basedOn w:val="Importeradestilen40"/>
    <w:pPr>
      <w:numPr>
        <w:numId w:val="22"/>
      </w:numPr>
    </w:pPr>
  </w:style>
  <w:style w:type="numbering" w:customStyle="1" w:styleId="Importeradestilen40">
    <w:name w:val="Importerade stilen 4.0"/>
  </w:style>
  <w:style w:type="numbering" w:customStyle="1" w:styleId="List8">
    <w:name w:val="List 8"/>
    <w:basedOn w:val="Importeradestilen9"/>
    <w:pPr>
      <w:numPr>
        <w:numId w:val="24"/>
      </w:numPr>
    </w:pPr>
  </w:style>
  <w:style w:type="numbering" w:customStyle="1" w:styleId="Importeradestilen9">
    <w:name w:val="Importerade stilen 9"/>
  </w:style>
  <w:style w:type="numbering" w:customStyle="1" w:styleId="List9">
    <w:name w:val="List 9"/>
    <w:basedOn w:val="Importeradestilen10"/>
    <w:pPr>
      <w:numPr>
        <w:numId w:val="27"/>
      </w:numPr>
    </w:pPr>
  </w:style>
  <w:style w:type="numbering" w:customStyle="1" w:styleId="Importeradestilen10">
    <w:name w:val="Importerade stilen 10"/>
  </w:style>
  <w:style w:type="character" w:customStyle="1" w:styleId="Hyperlink1">
    <w:name w:val="Hyperlink.1"/>
    <w:basedOn w:val="Lnk"/>
    <w:rPr>
      <w:color w:val="000000"/>
      <w:u w:val="single" w:color="000000"/>
      <w:lang w:val="cs-CZ"/>
    </w:rPr>
  </w:style>
  <w:style w:type="numbering" w:customStyle="1" w:styleId="List10">
    <w:name w:val="List 10"/>
    <w:basedOn w:val="Importeradestilen11"/>
    <w:pPr>
      <w:numPr>
        <w:numId w:val="32"/>
      </w:numPr>
    </w:pPr>
  </w:style>
  <w:style w:type="numbering" w:customStyle="1" w:styleId="Importeradestilen11">
    <w:name w:val="Importerade stilen 11"/>
  </w:style>
  <w:style w:type="numbering" w:customStyle="1" w:styleId="List11">
    <w:name w:val="List 11"/>
    <w:basedOn w:val="Importeradestilen12"/>
    <w:pPr>
      <w:numPr>
        <w:numId w:val="36"/>
      </w:numPr>
    </w:pPr>
  </w:style>
  <w:style w:type="numbering" w:customStyle="1" w:styleId="Importeradestilen12">
    <w:name w:val="Importerade stilen 12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cs-CZ" w:eastAsia="cs-CZ"/>
    </w:rPr>
  </w:style>
  <w:style w:type="paragraph" w:styleId="Revision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/>
      <w:color w:val="000000"/>
      <w:u w:color="000000"/>
      <w:lang w:val="cs-CZ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HAnsi"/>
      <w:szCs w:val="22"/>
      <w:bdr w:val="none" w:sz="0" w:space="0" w:color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color w:val="000000"/>
      <w:sz w:val="16"/>
      <w:szCs w:val="16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Contact">
    <w:name w:val="Contact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ind w:left="567" w:hanging="567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Bullet">
    <w:name w:val="List Bullet"/>
    <w:basedOn w:val="Normal"/>
    <w:pPr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Bullet1">
    <w:name w:val="List Bullet 1"/>
    <w:basedOn w:val="Text1"/>
    <w:pPr>
      <w:numPr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Bullet2">
    <w:name w:val="List Bullet 2"/>
    <w:basedOn w:val="Text2"/>
    <w:pPr>
      <w:numPr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Bullet3">
    <w:name w:val="List Bullet 3"/>
    <w:basedOn w:val="Normal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Bullet4">
    <w:name w:val="List Bullet 4"/>
    <w:basedOn w:val="Normal"/>
    <w:pPr>
      <w:numPr>
        <w:numId w:val="4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">
    <w:name w:val="List Dash"/>
    <w:basedOn w:val="Normal"/>
    <w:pPr>
      <w:numPr>
        <w:numId w:val="4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1">
    <w:name w:val="List Dash 1"/>
    <w:basedOn w:val="Text1"/>
    <w:pPr>
      <w:numPr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Dash2">
    <w:name w:val="List Dash 2"/>
    <w:basedOn w:val="Text2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Dash3">
    <w:name w:val="List Dash 3"/>
    <w:basedOn w:val="Normal"/>
    <w:pPr>
      <w:numPr>
        <w:numId w:val="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4">
    <w:name w:val="List Dash 4"/>
    <w:basedOn w:val="Normal"/>
    <w:pPr>
      <w:numPr>
        <w:numId w:val="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Number">
    <w:name w:val="List Number"/>
    <w:basedOn w:val="Normal"/>
    <w:pPr>
      <w:numPr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">
    <w:name w:val="List Number 1"/>
    <w:basedOn w:val="Text1"/>
    <w:pPr>
      <w:numPr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Number2">
    <w:name w:val="List Number 2"/>
    <w:basedOn w:val="Text2"/>
    <w:pPr>
      <w:numPr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Number3">
    <w:name w:val="List Number 3"/>
    <w:basedOn w:val="Normal"/>
    <w:pPr>
      <w:numPr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Number4">
    <w:name w:val="List Number 4"/>
    <w:basedOn w:val="Normal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2">
    <w:name w:val="List Number 1 (Level 2)"/>
    <w:basedOn w:val="Text1"/>
    <w:pPr>
      <w:numPr>
        <w:ilvl w:val="1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2">
    <w:name w:val="List Number 2 (Level 2)"/>
    <w:basedOn w:val="Text2"/>
    <w:pPr>
      <w:numPr>
        <w:ilvl w:val="1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3">
    <w:name w:val="List Number 1 (Level 3)"/>
    <w:basedOn w:val="Text1"/>
    <w:pPr>
      <w:numPr>
        <w:ilvl w:val="2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3">
    <w:name w:val="List Number 2 (Level 3)"/>
    <w:basedOn w:val="Text2"/>
    <w:pPr>
      <w:numPr>
        <w:ilvl w:val="2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4">
    <w:name w:val="List Number 1 (Level 4)"/>
    <w:basedOn w:val="Text1"/>
    <w:pPr>
      <w:numPr>
        <w:ilvl w:val="3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4">
    <w:name w:val="List Number 2 (Level 4)"/>
    <w:basedOn w:val="Text2"/>
    <w:pPr>
      <w:numPr>
        <w:ilvl w:val="3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TOC5">
    <w:name w:val="toc 5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1"/>
      </w:tabs>
      <w:spacing w:before="240" w:after="120"/>
      <w:ind w:right="720"/>
      <w:jc w:val="both"/>
    </w:pPr>
    <w:rPr>
      <w:rFonts w:eastAsia="Times New Roman"/>
      <w:caps/>
      <w:szCs w:val="20"/>
      <w:bdr w:val="none" w:sz="0" w:space="0" w:color="auto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cs-CZ" w:eastAsia="cs-CZ"/>
    </w:rPr>
  </w:style>
  <w:style w:type="paragraph" w:styleId="TOCHeading">
    <w:name w:val="TOC Heading"/>
    <w:basedOn w:val="Normal"/>
    <w:next w:val="Normal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eastAsia="Times New Roman"/>
      <w:b/>
      <w:szCs w:val="20"/>
      <w:bdr w:val="none" w:sz="0" w:space="0" w:color="auto"/>
      <w:lang w:eastAsia="en-US" w:bidi="ar-SA"/>
    </w:rPr>
  </w:style>
  <w:style w:type="paragraph" w:styleId="TOC1">
    <w:name w:val="toc 1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0"/>
      </w:tabs>
      <w:spacing w:before="120" w:after="120"/>
      <w:ind w:left="482" w:right="720" w:hanging="482"/>
      <w:jc w:val="both"/>
    </w:pPr>
    <w:rPr>
      <w:rFonts w:eastAsia="Times New Roman"/>
      <w:caps/>
      <w:szCs w:val="20"/>
      <w:bdr w:val="none" w:sz="0" w:space="0" w:color="auto"/>
    </w:rPr>
  </w:style>
  <w:style w:type="paragraph" w:styleId="TOC2">
    <w:name w:val="toc 2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0"/>
      </w:tabs>
      <w:spacing w:before="60" w:after="60"/>
      <w:ind w:left="1077" w:right="720" w:hanging="595"/>
      <w:jc w:val="both"/>
    </w:pPr>
    <w:rPr>
      <w:rFonts w:eastAsia="Times New Roman"/>
      <w:szCs w:val="20"/>
      <w:bdr w:val="none" w:sz="0" w:space="0" w:color="auto"/>
    </w:rPr>
  </w:style>
  <w:style w:type="paragraph" w:styleId="TOC3">
    <w:name w:val="toc 3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0"/>
      </w:tabs>
      <w:spacing w:before="60" w:after="60"/>
      <w:ind w:left="1916" w:right="720" w:hanging="839"/>
      <w:jc w:val="both"/>
    </w:pPr>
    <w:rPr>
      <w:rFonts w:eastAsia="Times New Roman"/>
      <w:szCs w:val="20"/>
      <w:bdr w:val="none" w:sz="0" w:space="0" w:color="auto"/>
    </w:rPr>
  </w:style>
  <w:style w:type="paragraph" w:styleId="TOC4">
    <w:name w:val="toc 4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1"/>
      </w:tabs>
      <w:spacing w:before="60" w:after="60"/>
      <w:ind w:left="2880" w:right="720" w:hanging="964"/>
      <w:jc w:val="both"/>
    </w:pPr>
    <w:rPr>
      <w:rFonts w:eastAsia="Times New Roman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cs-CZ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  <w:spacing w:after="360" w:line="280" w:lineRule="atLeast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rdtext">
    <w:name w:val="Brödtext"/>
    <w:pPr>
      <w:spacing w:after="360" w:line="280" w:lineRule="atLeast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spacing w:line="280" w:lineRule="atLeast"/>
    </w:pPr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Caption">
    <w:name w:val="caption"/>
    <w:next w:val="Brdtext"/>
    <w:pPr>
      <w:spacing w:before="120" w:after="120" w:line="280" w:lineRule="atLeast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ZCom">
    <w:name w:val="Z_Com"/>
    <w:next w:val="ZDGName"/>
    <w:pPr>
      <w:widowControl w:val="0"/>
      <w:spacing w:line="280" w:lineRule="atLeast"/>
      <w:ind w:right="85"/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ZDGName">
    <w:name w:val="Z_DGName"/>
    <w:pPr>
      <w:widowControl w:val="0"/>
      <w:spacing w:line="280" w:lineRule="atLeast"/>
      <w:ind w:right="85"/>
    </w:pPr>
    <w:rPr>
      <w:rFonts w:ascii="Arial" w:hAnsi="Arial Unicode MS" w:cs="Arial Unicode MS"/>
      <w:color w:val="000000"/>
      <w:sz w:val="16"/>
      <w:szCs w:val="16"/>
      <w:u w:color="000000"/>
    </w:rPr>
  </w:style>
  <w:style w:type="paragraph" w:styleId="Date">
    <w:name w:val="Date"/>
    <w:pPr>
      <w:spacing w:line="280" w:lineRule="atLeast"/>
      <w:ind w:left="5103"/>
    </w:pPr>
    <w:rPr>
      <w:rFonts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80" w:lineRule="atLeast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Frval">
    <w:name w:val="Förval"/>
    <w:rPr>
      <w:rFonts w:ascii="Helvetica" w:eastAsia="Helvetica" w:hAnsi="Helvetica" w:cs="Helvetica"/>
      <w:color w:val="000000"/>
      <w:sz w:val="22"/>
      <w:szCs w:val="22"/>
    </w:rPr>
  </w:style>
  <w:style w:type="paragraph" w:styleId="FootnoteText">
    <w:name w:val="footnote text"/>
    <w:link w:val="FootnoteTextChar"/>
    <w:uiPriority w:val="99"/>
    <w:pPr>
      <w:spacing w:after="360" w:line="280" w:lineRule="atLeast"/>
      <w:ind w:left="357" w:hanging="357"/>
      <w:jc w:val="both"/>
    </w:pPr>
    <w:rPr>
      <w:rFonts w:eastAsia="Times New Roman"/>
      <w:color w:val="000000"/>
      <w:u w:color="000000"/>
    </w:rPr>
  </w:style>
  <w:style w:type="paragraph" w:customStyle="1" w:styleId="Text1">
    <w:name w:val="Text 1"/>
    <w:pPr>
      <w:spacing w:after="360" w:line="280" w:lineRule="atLeast"/>
      <w:ind w:left="482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Lnk">
    <w:name w:val="Länk"/>
    <w:rPr>
      <w:color w:val="0000FF"/>
      <w:u w:val="single" w:color="0000FF"/>
    </w:rPr>
  </w:style>
  <w:style w:type="character" w:customStyle="1" w:styleId="Hyperlink0">
    <w:name w:val="Hyperlink.0"/>
    <w:basedOn w:val="Lnk"/>
    <w:rPr>
      <w:color w:val="000000"/>
      <w:u w:val="single" w:color="000000"/>
      <w:lang w:val="cs-CZ"/>
    </w:rPr>
  </w:style>
  <w:style w:type="paragraph" w:customStyle="1" w:styleId="Default">
    <w:name w:val="Default"/>
    <w:pPr>
      <w:spacing w:after="360" w:line="280" w:lineRule="atLeast"/>
      <w:jc w:val="both"/>
    </w:pPr>
    <w:rPr>
      <w:rFonts w:ascii="EUAlbertina" w:eastAsia="EUAlbertina" w:hAnsi="EUAlbertina" w:cs="EUAlbertina"/>
      <w:color w:val="000000"/>
      <w:sz w:val="24"/>
      <w:szCs w:val="24"/>
      <w:u w:color="000000"/>
    </w:rPr>
  </w:style>
  <w:style w:type="numbering" w:customStyle="1" w:styleId="List0">
    <w:name w:val="List 0"/>
    <w:basedOn w:val="Importeradestilen2"/>
    <w:pPr>
      <w:numPr>
        <w:numId w:val="2"/>
      </w:numPr>
    </w:pPr>
  </w:style>
  <w:style w:type="numbering" w:customStyle="1" w:styleId="Importeradestilen2">
    <w:name w:val="Importerade stilen 2"/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radestilen3"/>
    <w:pPr>
      <w:numPr>
        <w:numId w:val="5"/>
      </w:numPr>
    </w:pPr>
  </w:style>
  <w:style w:type="numbering" w:customStyle="1" w:styleId="Importeradestilen3">
    <w:name w:val="Importerade stilen 3"/>
  </w:style>
  <w:style w:type="numbering" w:customStyle="1" w:styleId="List21">
    <w:name w:val="List 21"/>
    <w:basedOn w:val="Importeradestilen4"/>
    <w:pPr>
      <w:numPr>
        <w:numId w:val="25"/>
      </w:numPr>
    </w:pPr>
  </w:style>
  <w:style w:type="numbering" w:customStyle="1" w:styleId="Importeradestilen4">
    <w:name w:val="Importerade stilen 4"/>
  </w:style>
  <w:style w:type="paragraph" w:customStyle="1" w:styleId="Text2">
    <w:name w:val="Text 2"/>
    <w:pPr>
      <w:tabs>
        <w:tab w:val="left" w:pos="2160"/>
      </w:tabs>
      <w:spacing w:after="360" w:line="280" w:lineRule="atLeast"/>
      <w:ind w:left="1077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31">
    <w:name w:val="List 31"/>
    <w:basedOn w:val="Importeradestilen5"/>
    <w:pPr>
      <w:numPr>
        <w:numId w:val="13"/>
      </w:numPr>
    </w:pPr>
  </w:style>
  <w:style w:type="numbering" w:customStyle="1" w:styleId="Importeradestilen5">
    <w:name w:val="Importerade stilen 5"/>
  </w:style>
  <w:style w:type="numbering" w:customStyle="1" w:styleId="List41">
    <w:name w:val="List 41"/>
    <w:basedOn w:val="Importeradestilen6"/>
    <w:pPr>
      <w:numPr>
        <w:numId w:val="14"/>
      </w:numPr>
    </w:pPr>
  </w:style>
  <w:style w:type="numbering" w:customStyle="1" w:styleId="Importeradestilen6">
    <w:name w:val="Importerade stilen 6"/>
  </w:style>
  <w:style w:type="numbering" w:customStyle="1" w:styleId="List51">
    <w:name w:val="List 51"/>
    <w:basedOn w:val="Importeradestilen7"/>
    <w:pPr>
      <w:numPr>
        <w:numId w:val="15"/>
      </w:numPr>
    </w:pPr>
  </w:style>
  <w:style w:type="numbering" w:customStyle="1" w:styleId="Importeradestilen7">
    <w:name w:val="Importerade stilen 7"/>
  </w:style>
  <w:style w:type="numbering" w:customStyle="1" w:styleId="List6">
    <w:name w:val="List 6"/>
    <w:basedOn w:val="Importeradestilen8"/>
    <w:pPr>
      <w:numPr>
        <w:numId w:val="16"/>
      </w:numPr>
    </w:pPr>
  </w:style>
  <w:style w:type="numbering" w:customStyle="1" w:styleId="Importeradestilen8">
    <w:name w:val="Importerade stilen 8"/>
  </w:style>
  <w:style w:type="numbering" w:customStyle="1" w:styleId="List7">
    <w:name w:val="List 7"/>
    <w:basedOn w:val="Importeradestilen40"/>
    <w:pPr>
      <w:numPr>
        <w:numId w:val="22"/>
      </w:numPr>
    </w:pPr>
  </w:style>
  <w:style w:type="numbering" w:customStyle="1" w:styleId="Importeradestilen40">
    <w:name w:val="Importerade stilen 4.0"/>
  </w:style>
  <w:style w:type="numbering" w:customStyle="1" w:styleId="List8">
    <w:name w:val="List 8"/>
    <w:basedOn w:val="Importeradestilen9"/>
    <w:pPr>
      <w:numPr>
        <w:numId w:val="24"/>
      </w:numPr>
    </w:pPr>
  </w:style>
  <w:style w:type="numbering" w:customStyle="1" w:styleId="Importeradestilen9">
    <w:name w:val="Importerade stilen 9"/>
  </w:style>
  <w:style w:type="numbering" w:customStyle="1" w:styleId="List9">
    <w:name w:val="List 9"/>
    <w:basedOn w:val="Importeradestilen10"/>
    <w:pPr>
      <w:numPr>
        <w:numId w:val="27"/>
      </w:numPr>
    </w:pPr>
  </w:style>
  <w:style w:type="numbering" w:customStyle="1" w:styleId="Importeradestilen10">
    <w:name w:val="Importerade stilen 10"/>
  </w:style>
  <w:style w:type="character" w:customStyle="1" w:styleId="Hyperlink1">
    <w:name w:val="Hyperlink.1"/>
    <w:basedOn w:val="Lnk"/>
    <w:rPr>
      <w:color w:val="000000"/>
      <w:u w:val="single" w:color="000000"/>
      <w:lang w:val="cs-CZ"/>
    </w:rPr>
  </w:style>
  <w:style w:type="numbering" w:customStyle="1" w:styleId="List10">
    <w:name w:val="List 10"/>
    <w:basedOn w:val="Importeradestilen11"/>
    <w:pPr>
      <w:numPr>
        <w:numId w:val="32"/>
      </w:numPr>
    </w:pPr>
  </w:style>
  <w:style w:type="numbering" w:customStyle="1" w:styleId="Importeradestilen11">
    <w:name w:val="Importerade stilen 11"/>
  </w:style>
  <w:style w:type="numbering" w:customStyle="1" w:styleId="List11">
    <w:name w:val="List 11"/>
    <w:basedOn w:val="Importeradestilen12"/>
    <w:pPr>
      <w:numPr>
        <w:numId w:val="36"/>
      </w:numPr>
    </w:pPr>
  </w:style>
  <w:style w:type="numbering" w:customStyle="1" w:styleId="Importeradestilen12">
    <w:name w:val="Importerade stilen 12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cs-CZ" w:eastAsia="cs-CZ"/>
    </w:rPr>
  </w:style>
  <w:style w:type="paragraph" w:styleId="Revision">
    <w:name w:val="Revision"/>
    <w:hidden/>
    <w:uiPriority w:val="99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="Times New Roman"/>
      <w:color w:val="000000"/>
      <w:u w:color="000000"/>
      <w:lang w:val="cs-CZ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HAnsi"/>
      <w:szCs w:val="22"/>
      <w:bdr w:val="none" w:sz="0" w:space="0" w:color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color w:val="000000"/>
      <w:sz w:val="16"/>
      <w:szCs w:val="16"/>
      <w:u w:color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Contact">
    <w:name w:val="Contact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ind w:left="567" w:hanging="567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Bullet">
    <w:name w:val="List Bullet"/>
    <w:basedOn w:val="Normal"/>
    <w:pPr>
      <w:numPr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Bullet1">
    <w:name w:val="List Bullet 1"/>
    <w:basedOn w:val="Text1"/>
    <w:pPr>
      <w:numPr>
        <w:numId w:val="3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Bullet2">
    <w:name w:val="List Bullet 2"/>
    <w:basedOn w:val="Text2"/>
    <w:pPr>
      <w:numPr>
        <w:numId w:val="3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Bullet3">
    <w:name w:val="List Bullet 3"/>
    <w:basedOn w:val="Normal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Bullet4">
    <w:name w:val="List Bullet 4"/>
    <w:basedOn w:val="Normal"/>
    <w:pPr>
      <w:numPr>
        <w:numId w:val="4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">
    <w:name w:val="List Dash"/>
    <w:basedOn w:val="Normal"/>
    <w:pPr>
      <w:numPr>
        <w:numId w:val="4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1">
    <w:name w:val="List Dash 1"/>
    <w:basedOn w:val="Text1"/>
    <w:pPr>
      <w:numPr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Dash2">
    <w:name w:val="List Dash 2"/>
    <w:basedOn w:val="Text2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Dash3">
    <w:name w:val="List Dash 3"/>
    <w:basedOn w:val="Normal"/>
    <w:pPr>
      <w:numPr>
        <w:numId w:val="4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Dash4">
    <w:name w:val="List Dash 4"/>
    <w:basedOn w:val="Normal"/>
    <w:pPr>
      <w:numPr>
        <w:numId w:val="4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Number">
    <w:name w:val="List Number"/>
    <w:basedOn w:val="Normal"/>
    <w:pPr>
      <w:numPr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">
    <w:name w:val="List Number 1"/>
    <w:basedOn w:val="Text1"/>
    <w:pPr>
      <w:numPr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Number2">
    <w:name w:val="List Number 2"/>
    <w:basedOn w:val="Text2"/>
    <w:pPr>
      <w:numPr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styleId="ListNumber3">
    <w:name w:val="List Number 3"/>
    <w:basedOn w:val="Normal"/>
    <w:pPr>
      <w:numPr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ListNumber4">
    <w:name w:val="List Number 4"/>
    <w:basedOn w:val="Normal"/>
    <w:pPr>
      <w:numPr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2">
    <w:name w:val="List Number (Level 2)"/>
    <w:basedOn w:val="Normal"/>
    <w:pPr>
      <w:numPr>
        <w:ilvl w:val="1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2">
    <w:name w:val="List Number 1 (Level 2)"/>
    <w:basedOn w:val="Text1"/>
    <w:pPr>
      <w:numPr>
        <w:ilvl w:val="1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2">
    <w:name w:val="List Number 2 (Level 2)"/>
    <w:basedOn w:val="Text2"/>
    <w:pPr>
      <w:numPr>
        <w:ilvl w:val="1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2">
    <w:name w:val="List Number 3 (Level 2)"/>
    <w:basedOn w:val="Normal"/>
    <w:pPr>
      <w:numPr>
        <w:ilvl w:val="1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2">
    <w:name w:val="List Number 4 (Level 2)"/>
    <w:basedOn w:val="Normal"/>
    <w:pPr>
      <w:numPr>
        <w:ilvl w:val="1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3">
    <w:name w:val="List Number (Level 3)"/>
    <w:basedOn w:val="Normal"/>
    <w:pPr>
      <w:numPr>
        <w:ilvl w:val="2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3">
    <w:name w:val="List Number 1 (Level 3)"/>
    <w:basedOn w:val="Text1"/>
    <w:pPr>
      <w:numPr>
        <w:ilvl w:val="2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3">
    <w:name w:val="List Number 2 (Level 3)"/>
    <w:basedOn w:val="Text2"/>
    <w:pPr>
      <w:numPr>
        <w:ilvl w:val="2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3">
    <w:name w:val="List Number 3 (Level 3)"/>
    <w:basedOn w:val="Normal"/>
    <w:pPr>
      <w:numPr>
        <w:ilvl w:val="2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3">
    <w:name w:val="List Number 4 (Level 3)"/>
    <w:basedOn w:val="Normal"/>
    <w:pPr>
      <w:numPr>
        <w:ilvl w:val="2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Level4">
    <w:name w:val="List Number (Level 4)"/>
    <w:basedOn w:val="Normal"/>
    <w:pPr>
      <w:numPr>
        <w:ilvl w:val="3"/>
        <w:numId w:val="4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1Level4">
    <w:name w:val="List Number 1 (Level 4)"/>
    <w:basedOn w:val="Text1"/>
    <w:pPr>
      <w:numPr>
        <w:ilvl w:val="3"/>
        <w:numId w:val="4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2Level4">
    <w:name w:val="List Number 2 (Level 4)"/>
    <w:basedOn w:val="Text2"/>
    <w:pPr>
      <w:numPr>
        <w:ilvl w:val="3"/>
        <w:numId w:val="4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2160"/>
      </w:tabs>
      <w:spacing w:after="240" w:line="240" w:lineRule="auto"/>
    </w:pPr>
    <w:rPr>
      <w:rFonts w:eastAsia="Times New Roman" w:hAnsi="Times New Roman" w:cs="Times New Roman"/>
      <w:color w:val="auto"/>
      <w:szCs w:val="20"/>
      <w:bdr w:val="none" w:sz="0" w:space="0" w:color="auto"/>
      <w:lang w:eastAsia="en-US" w:bidi="ar-SA"/>
    </w:rPr>
  </w:style>
  <w:style w:type="paragraph" w:customStyle="1" w:styleId="ListNumber3Level4">
    <w:name w:val="List Number 3 (Level 4)"/>
    <w:basedOn w:val="Normal"/>
    <w:pPr>
      <w:numPr>
        <w:ilvl w:val="3"/>
        <w:numId w:val="5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customStyle="1" w:styleId="ListNumber4Level4">
    <w:name w:val="List Number 4 (Level 4)"/>
    <w:basedOn w:val="Normal"/>
    <w:pPr>
      <w:numPr>
        <w:ilvl w:val="3"/>
        <w:numId w:val="5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Cs w:val="20"/>
      <w:bdr w:val="none" w:sz="0" w:space="0" w:color="auto"/>
      <w:lang w:eastAsia="en-US" w:bidi="ar-SA"/>
    </w:rPr>
  </w:style>
  <w:style w:type="paragraph" w:styleId="TOC5">
    <w:name w:val="toc 5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1"/>
      </w:tabs>
      <w:spacing w:before="240" w:after="120"/>
      <w:ind w:right="720"/>
      <w:jc w:val="both"/>
    </w:pPr>
    <w:rPr>
      <w:rFonts w:eastAsia="Times New Roman"/>
      <w:caps/>
      <w:szCs w:val="20"/>
      <w:bdr w:val="none" w:sz="0" w:space="0" w:color="auto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cs-CZ" w:eastAsia="cs-CZ"/>
    </w:rPr>
  </w:style>
  <w:style w:type="paragraph" w:styleId="TOCHeading">
    <w:name w:val="TOC Heading"/>
    <w:basedOn w:val="Normal"/>
    <w:next w:val="Normal"/>
    <w:qFormat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eastAsia="Times New Roman"/>
      <w:b/>
      <w:szCs w:val="20"/>
      <w:bdr w:val="none" w:sz="0" w:space="0" w:color="auto"/>
      <w:lang w:eastAsia="en-US" w:bidi="ar-SA"/>
    </w:rPr>
  </w:style>
  <w:style w:type="paragraph" w:styleId="TOC1">
    <w:name w:val="toc 1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0"/>
      </w:tabs>
      <w:spacing w:before="120" w:after="120"/>
      <w:ind w:left="482" w:right="720" w:hanging="482"/>
      <w:jc w:val="both"/>
    </w:pPr>
    <w:rPr>
      <w:rFonts w:eastAsia="Times New Roman"/>
      <w:caps/>
      <w:szCs w:val="20"/>
      <w:bdr w:val="none" w:sz="0" w:space="0" w:color="auto"/>
    </w:rPr>
  </w:style>
  <w:style w:type="paragraph" w:styleId="TOC2">
    <w:name w:val="toc 2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0"/>
      </w:tabs>
      <w:spacing w:before="60" w:after="60"/>
      <w:ind w:left="1077" w:right="720" w:hanging="595"/>
      <w:jc w:val="both"/>
    </w:pPr>
    <w:rPr>
      <w:rFonts w:eastAsia="Times New Roman"/>
      <w:szCs w:val="20"/>
      <w:bdr w:val="none" w:sz="0" w:space="0" w:color="auto"/>
    </w:rPr>
  </w:style>
  <w:style w:type="paragraph" w:styleId="TOC3">
    <w:name w:val="toc 3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0"/>
      </w:tabs>
      <w:spacing w:before="60" w:after="60"/>
      <w:ind w:left="1916" w:right="720" w:hanging="839"/>
      <w:jc w:val="both"/>
    </w:pPr>
    <w:rPr>
      <w:rFonts w:eastAsia="Times New Roman"/>
      <w:szCs w:val="20"/>
      <w:bdr w:val="none" w:sz="0" w:space="0" w:color="auto"/>
    </w:rPr>
  </w:style>
  <w:style w:type="paragraph" w:styleId="TOC4">
    <w:name w:val="toc 4"/>
    <w:basedOn w:val="Normal"/>
    <w:next w:val="Normal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8641"/>
      </w:tabs>
      <w:spacing w:before="60" w:after="60"/>
      <w:ind w:left="2880" w:right="720" w:hanging="964"/>
      <w:jc w:val="both"/>
    </w:pPr>
    <w:rPr>
      <w:rFonts w:eastAsia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1" hangingPunct="0">
          <a:lnSpc>
            <a:spcPts val="2800"/>
          </a:lnSpc>
          <a:spcBef>
            <a:spcPts val="18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EF3DD52A00642B1CF603C340C58E0" ma:contentTypeVersion="0" ma:contentTypeDescription="Create a new document." ma:contentTypeScope="" ma:versionID="77c9195bc15cc93ca92ef0b19dd5c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2501E5-ABE3-4E6A-A499-B034D2309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15F35-CF0E-4825-BE43-E2997D115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01CF6-B29B-47A7-8768-E9227F92F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D4F519-2CFA-4F4A-8CC7-249594BB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9</TotalTime>
  <Pages>13</Pages>
  <Words>4356</Words>
  <Characters>28055</Characters>
  <Application>Microsoft Office Word</Application>
  <DocSecurity>0</DocSecurity>
  <Lines>596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22</cp:revision>
  <cp:lastPrinted>2015-08-24T13:33:00Z</cp:lastPrinted>
  <dcterms:created xsi:type="dcterms:W3CDTF">2015-08-26T15:32:00Z</dcterms:created>
  <dcterms:modified xsi:type="dcterms:W3CDTF">2015-08-27T07:23:00Z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ContentTypeId">
    <vt:lpwstr>0x010100930EF3DD52A00642B1CF603C340C58E0</vt:lpwstr>
  </property>
  <property fmtid="{D5CDD505-2E9C-101B-9397-08002B2CF9AE}" pid="6" name="ELDocType">
    <vt:lpwstr>NOT.DOT</vt:lpwstr>
  </property>
  <property fmtid="{D5CDD505-2E9C-101B-9397-08002B2CF9AE}" pid="7" name="Created using">
    <vt:lpwstr>3.0</vt:lpwstr>
  </property>
  <property fmtid="{D5CDD505-2E9C-101B-9397-08002B2CF9AE}" pid="8" name="Last edited using">
    <vt:lpwstr>EL </vt:lpwstr>
  </property>
  <property fmtid="{D5CDD505-2E9C-101B-9397-08002B2CF9AE}" pid="9" name="Formatting">
    <vt:lpwstr>4.1</vt:lpwstr>
  </property>
  <property fmtid="{D5CDD505-2E9C-101B-9397-08002B2CF9AE}" pid="10" name="DocStatus">
    <vt:lpwstr>Green</vt:lpwstr>
  </property>
</Properties>
</file>