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937FD7FDE3C48AA8CC0DF5B24C53000"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BEGRUNDELSE</w:t>
      </w:r>
    </w:p>
    <w:p>
      <w:pPr>
        <w:pStyle w:val="ManualHeading1"/>
        <w:rPr>
          <w:noProof/>
        </w:rPr>
      </w:pPr>
      <w:r>
        <w:rPr>
          <w:noProof/>
        </w:rPr>
        <w:t>BAGGRUND FOR FORSLAGET</w:t>
      </w:r>
    </w:p>
    <w:p>
      <w:pPr>
        <w:pStyle w:val="ManualNumPar1"/>
        <w:rPr>
          <w:noProof/>
        </w:rPr>
      </w:pPr>
      <w:r>
        <w:t>1.</w:t>
      </w:r>
      <w:r>
        <w:tab/>
      </w:r>
      <w:r>
        <w:rPr>
          <w:noProof/>
        </w:rPr>
        <w:t>De regler, der gælder for økonomisk støtte fra Den Europæiske Fond for Tilpasning til Globaliseringen (EGF), er fastsat i Europa-Parlamentets og Rådets forordning (EU) nr. 1309/2013 af 17. december 2013 om Den Europæiske Fond for Tilpasning til Globaliseringen (2014-2020) og ophævelse af forordning (EF) nr. 1927/2006</w:t>
      </w:r>
      <w:r>
        <w:rPr>
          <w:rStyle w:val="FootnoteReference"/>
          <w:noProof/>
        </w:rPr>
        <w:footnoteReference w:id="1"/>
      </w:r>
      <w:r>
        <w:rPr>
          <w:noProof/>
        </w:rPr>
        <w:t xml:space="preserve"> ("EGF-forordningen").</w:t>
      </w:r>
    </w:p>
    <w:p>
      <w:pPr>
        <w:pStyle w:val="ManualNumPar1"/>
        <w:rPr>
          <w:noProof/>
        </w:rPr>
      </w:pPr>
      <w:r>
        <w:t>2.</w:t>
      </w:r>
      <w:r>
        <w:tab/>
      </w:r>
      <w:r>
        <w:rPr>
          <w:noProof/>
        </w:rPr>
        <w:t>Den 24. marts 2015 indgav Belgien ansøgning EGF/2015/003 BE/Ford Genk om økonomisk EGF-støtte som følge af afskedigelser</w:t>
      </w:r>
      <w:r>
        <w:rPr>
          <w:rStyle w:val="FootnoteReference"/>
          <w:noProof/>
        </w:rPr>
        <w:footnoteReference w:id="2"/>
      </w:r>
      <w:r>
        <w:rPr>
          <w:noProof/>
        </w:rPr>
        <w:t xml:space="preserve"> i Ford Genk og hos 11 leverandører og producenter i efterfølgende produktionsled i Belgien. </w:t>
      </w:r>
    </w:p>
    <w:p>
      <w:pPr>
        <w:pStyle w:val="ManualNumPar1"/>
        <w:rPr>
          <w:noProof/>
        </w:rPr>
      </w:pPr>
      <w:r>
        <w:t>3.</w:t>
      </w:r>
      <w:r>
        <w:tab/>
      </w:r>
      <w:r>
        <w:rPr>
          <w:noProof/>
        </w:rPr>
        <w:t xml:space="preserve">Efter en vurdering af denne ansøgning har Kommissionen i overensstemmelse med de gældende bestemmelser i EGF-forordningen konkluderet, at betingelserne for økonomisk EGF-støtte er opfyldt. </w:t>
      </w:r>
    </w:p>
    <w:p>
      <w:pPr>
        <w:pStyle w:val="ManualHeading1"/>
        <w:rPr>
          <w:noProof/>
        </w:rPr>
      </w:pPr>
      <w:r>
        <w:rPr>
          <w:noProof/>
        </w:rPr>
        <w:t>RESUMÉ AF ANSØGNINGEN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EGF-ansøgning</w:t>
            </w:r>
          </w:p>
        </w:tc>
        <w:tc>
          <w:tcPr>
            <w:tcW w:w="4379" w:type="dxa"/>
            <w:shd w:val="clear" w:color="auto" w:fill="auto"/>
          </w:tcPr>
          <w:p>
            <w:pPr>
              <w:spacing w:before="60" w:after="60"/>
              <w:ind w:rightChars="192" w:right="461"/>
              <w:jc w:val="left"/>
              <w:rPr>
                <w:rFonts w:eastAsia="Calibri"/>
                <w:noProof/>
              </w:rPr>
            </w:pPr>
            <w:r>
              <w:rPr>
                <w:noProof/>
              </w:rPr>
              <w:t xml:space="preserve">EGF/2015/003 BE/Ford Genk </w:t>
            </w:r>
          </w:p>
        </w:tc>
      </w:tr>
      <w:tr>
        <w:tc>
          <w:tcPr>
            <w:tcW w:w="4908" w:type="dxa"/>
            <w:shd w:val="clear" w:color="auto" w:fill="auto"/>
          </w:tcPr>
          <w:p>
            <w:pPr>
              <w:spacing w:before="60" w:after="60"/>
              <w:jc w:val="left"/>
              <w:rPr>
                <w:rFonts w:eastAsia="Calibri"/>
                <w:noProof/>
              </w:rPr>
            </w:pPr>
            <w:r>
              <w:rPr>
                <w:noProof/>
              </w:rPr>
              <w:t>Medlemsstat</w:t>
            </w:r>
          </w:p>
        </w:tc>
        <w:tc>
          <w:tcPr>
            <w:tcW w:w="4379" w:type="dxa"/>
            <w:shd w:val="clear" w:color="auto" w:fill="auto"/>
          </w:tcPr>
          <w:p>
            <w:pPr>
              <w:spacing w:before="60" w:after="60"/>
              <w:ind w:rightChars="192" w:right="461"/>
              <w:jc w:val="left"/>
              <w:rPr>
                <w:rFonts w:eastAsia="Calibri"/>
                <w:noProof/>
              </w:rPr>
            </w:pPr>
            <w:r>
              <w:rPr>
                <w:noProof/>
              </w:rPr>
              <w:t>Belgien</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Berørt(e) region(er) (på NUTS 2-niveau)</w:t>
            </w:r>
          </w:p>
        </w:tc>
        <w:tc>
          <w:tcPr>
            <w:tcW w:w="4379" w:type="dxa"/>
            <w:tcBorders>
              <w:bottom w:val="single" w:sz="4" w:space="0" w:color="auto"/>
            </w:tcBorders>
            <w:shd w:val="clear" w:color="auto" w:fill="auto"/>
            <w:vAlign w:val="center"/>
          </w:tcPr>
          <w:p>
            <w:pPr>
              <w:spacing w:before="0" w:after="0"/>
              <w:ind w:rightChars="192" w:right="461"/>
              <w:jc w:val="left"/>
              <w:rPr>
                <w:noProof/>
                <w:szCs w:val="24"/>
              </w:rPr>
            </w:pPr>
            <w:r>
              <w:rPr>
                <w:noProof/>
              </w:rPr>
              <w:t>BE22 (Limburg)</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Dato for indgivelse af ansøgningen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24. marts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Dato for kvittering for modtagelse af ansøgningen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april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Dato for anmodning om yderligere oplysninger</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april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Frist for indsendelse af yderligere oplysninger</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maj 2015</w:t>
            </w:r>
          </w:p>
        </w:tc>
      </w:tr>
      <w:tr>
        <w:tc>
          <w:tcPr>
            <w:tcW w:w="4908" w:type="dxa"/>
            <w:tcBorders>
              <w:top w:val="dotted" w:sz="4" w:space="0" w:color="auto"/>
            </w:tcBorders>
            <w:shd w:val="clear" w:color="auto" w:fill="auto"/>
          </w:tcPr>
          <w:p>
            <w:pPr>
              <w:spacing w:before="60" w:after="60"/>
              <w:jc w:val="left"/>
              <w:rPr>
                <w:rFonts w:eastAsia="Calibri"/>
                <w:noProof/>
              </w:rPr>
            </w:pPr>
            <w:r>
              <w:rPr>
                <w:noProof/>
              </w:rPr>
              <w:t>Frist for afslutningen af vurderingen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11. august 2015</w:t>
            </w:r>
          </w:p>
        </w:tc>
      </w:tr>
      <w:tr>
        <w:tc>
          <w:tcPr>
            <w:tcW w:w="4908" w:type="dxa"/>
            <w:shd w:val="clear" w:color="auto" w:fill="auto"/>
          </w:tcPr>
          <w:p>
            <w:pPr>
              <w:spacing w:before="60" w:after="60"/>
              <w:jc w:val="left"/>
              <w:rPr>
                <w:rFonts w:eastAsia="Calibri"/>
                <w:noProof/>
              </w:rPr>
            </w:pPr>
            <w:r>
              <w:rPr>
                <w:noProof/>
              </w:rPr>
              <w:t>Interventionskriterium</w:t>
            </w:r>
          </w:p>
        </w:tc>
        <w:tc>
          <w:tcPr>
            <w:tcW w:w="4379" w:type="dxa"/>
            <w:shd w:val="clear" w:color="auto" w:fill="auto"/>
          </w:tcPr>
          <w:p>
            <w:pPr>
              <w:spacing w:before="60" w:after="60"/>
              <w:ind w:rightChars="192" w:right="461"/>
              <w:jc w:val="left"/>
              <w:rPr>
                <w:rFonts w:eastAsia="Calibri"/>
                <w:noProof/>
              </w:rPr>
            </w:pPr>
            <w:r>
              <w:rPr>
                <w:noProof/>
              </w:rPr>
              <w:t>EGF-forordningens artikel 4, stk. 1, litra a)</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t>Hovedvirksomhed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Ford Genk</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Antal berørte virksomheder</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12</w:t>
            </w:r>
          </w:p>
        </w:tc>
      </w:tr>
      <w:tr>
        <w:tc>
          <w:tcPr>
            <w:tcW w:w="4908" w:type="dxa"/>
            <w:shd w:val="clear" w:color="auto" w:fill="auto"/>
          </w:tcPr>
          <w:p>
            <w:pPr>
              <w:spacing w:before="60" w:after="60"/>
              <w:jc w:val="left"/>
              <w:rPr>
                <w:rFonts w:eastAsia="Calibri"/>
                <w:noProof/>
              </w:rPr>
            </w:pPr>
            <w:r>
              <w:rPr>
                <w:noProof/>
              </w:rPr>
              <w:t>Økonomisk(e) aktivitetssektor(er)</w:t>
            </w:r>
          </w:p>
          <w:p>
            <w:pPr>
              <w:spacing w:before="60" w:after="60"/>
              <w:jc w:val="left"/>
              <w:rPr>
                <w:rFonts w:eastAsia="Calibri"/>
                <w:noProof/>
              </w:rPr>
            </w:pPr>
            <w:r>
              <w:rPr>
                <w:noProof/>
              </w:rPr>
              <w:t>(NACE rev. 2 hovedgruppe)</w:t>
            </w:r>
            <w:r>
              <w:rPr>
                <w:rStyle w:val="FootnoteReference"/>
                <w:noProof/>
              </w:rPr>
              <w:footnoteReference w:id="3"/>
            </w:r>
          </w:p>
        </w:tc>
        <w:tc>
          <w:tcPr>
            <w:tcW w:w="4379" w:type="dxa"/>
            <w:shd w:val="clear" w:color="auto" w:fill="auto"/>
          </w:tcPr>
          <w:p>
            <w:pPr>
              <w:spacing w:before="60" w:after="60"/>
              <w:ind w:rightChars="192" w:right="461"/>
              <w:jc w:val="left"/>
              <w:rPr>
                <w:rFonts w:eastAsia="Calibri"/>
                <w:noProof/>
              </w:rPr>
            </w:pPr>
            <w:r>
              <w:rPr>
                <w:noProof/>
              </w:rPr>
              <w:t>29 (Fremstilling af motorkøretøjer, påhængsvogne og sættevogne)</w:t>
            </w:r>
          </w:p>
        </w:tc>
      </w:tr>
      <w:tr>
        <w:tc>
          <w:tcPr>
            <w:tcW w:w="4908" w:type="dxa"/>
            <w:shd w:val="clear" w:color="auto" w:fill="auto"/>
          </w:tcPr>
          <w:p>
            <w:pPr>
              <w:spacing w:before="60" w:after="60"/>
              <w:jc w:val="left"/>
              <w:rPr>
                <w:rFonts w:eastAsia="Calibri"/>
                <w:noProof/>
              </w:rPr>
            </w:pPr>
            <w:r>
              <w:rPr>
                <w:noProof/>
              </w:rPr>
              <w:br w:type="page"/>
              <w:t>Antal dattervirksomheder, leverandører og producenter i efterfølgende produktionsled</w:t>
            </w:r>
          </w:p>
        </w:tc>
        <w:tc>
          <w:tcPr>
            <w:tcW w:w="4379" w:type="dxa"/>
            <w:shd w:val="clear" w:color="auto" w:fill="auto"/>
          </w:tcPr>
          <w:p>
            <w:pPr>
              <w:spacing w:before="60" w:after="60"/>
              <w:ind w:rightChars="192" w:right="461"/>
              <w:jc w:val="left"/>
              <w:rPr>
                <w:rFonts w:eastAsia="Calibri"/>
                <w:noProof/>
              </w:rPr>
            </w:pPr>
            <w:r>
              <w:rPr>
                <w:noProof/>
              </w:rPr>
              <w:t>11</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Referenceperiode (fire måneder):</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 september 2014 – 31. december 2014</w:t>
            </w:r>
          </w:p>
        </w:tc>
      </w:tr>
    </w:tbl>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Antal afskedigelser i referenceperioden (</w:t>
            </w:r>
            <w:r>
              <w:rPr>
                <w:i/>
                <w:noProof/>
              </w:rPr>
              <w:t>a</w:t>
            </w:r>
            <w:r>
              <w:rPr>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 xml:space="preserve">4 881 </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Antal afskedigelser før og efter referenceperioden (</w:t>
            </w:r>
            <w:r>
              <w:rPr>
                <w:i/>
                <w:noProof/>
              </w:rPr>
              <w:t>b</w:t>
            </w:r>
            <w:r>
              <w:rPr>
                <w:noProof/>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Samlet antal afskedigelser (</w:t>
            </w:r>
            <w:r>
              <w:rPr>
                <w:i/>
                <w:noProof/>
              </w:rPr>
              <w:t>a</w:t>
            </w:r>
            <w:r>
              <w:rPr>
                <w:noProof/>
              </w:rPr>
              <w:t xml:space="preserve"> + </w:t>
            </w:r>
            <w:r>
              <w:rPr>
                <w:i/>
                <w:noProof/>
              </w:rPr>
              <w:t>b</w:t>
            </w:r>
            <w:r>
              <w:rPr>
                <w:noProof/>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5 111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Samlet antal støtteberettigede personer</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5 111</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Det samlede antal modtagere, der er tiltænkt støtte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4 500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Antal unge, der er tiltænkt støtte, og som ikke er i beskæftigelse eller under uddannelse</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til de individualiserede tilbud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10 127 607</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EGF-implementeringsbudget</w:t>
            </w:r>
            <w:r>
              <w:rPr>
                <w:rStyle w:val="FootnoteReference"/>
                <w:noProof/>
              </w:rPr>
              <w:footnoteReference w:id="4"/>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320 000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Samlet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10 447 607</w:t>
            </w:r>
          </w:p>
        </w:tc>
      </w:tr>
      <w:tr>
        <w:tc>
          <w:tcPr>
            <w:tcW w:w="4908" w:type="dxa"/>
            <w:tcBorders>
              <w:top w:val="dotted" w:sz="4" w:space="0" w:color="auto"/>
            </w:tcBorders>
            <w:shd w:val="clear" w:color="auto" w:fill="auto"/>
            <w:vAlign w:val="center"/>
          </w:tcPr>
          <w:p>
            <w:pPr>
              <w:spacing w:before="0" w:after="0"/>
              <w:jc w:val="left"/>
              <w:rPr>
                <w:noProof/>
              </w:rPr>
            </w:pPr>
            <w:r>
              <w:rPr>
                <w:noProof/>
              </w:rPr>
              <w:t>EGF-støtte (60 %) i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6 268 564</w:t>
            </w:r>
          </w:p>
        </w:tc>
      </w:tr>
    </w:tbl>
    <w:p>
      <w:pPr>
        <w:pStyle w:val="ManualHeading1"/>
        <w:rPr>
          <w:noProof/>
        </w:rPr>
      </w:pPr>
      <w:r>
        <w:rPr>
          <w:noProof/>
        </w:rPr>
        <w:t>VURDERING AF ANSØGNINGEN</w:t>
      </w:r>
    </w:p>
    <w:p>
      <w:pPr>
        <w:pStyle w:val="ManualHeading2"/>
        <w:rPr>
          <w:noProof/>
        </w:rPr>
      </w:pPr>
      <w:r>
        <w:rPr>
          <w:noProof/>
        </w:rPr>
        <w:t>Procedure</w:t>
      </w:r>
    </w:p>
    <w:p>
      <w:pPr>
        <w:pStyle w:val="ManualNumPar1"/>
        <w:rPr>
          <w:noProof/>
        </w:rPr>
      </w:pPr>
      <w:r>
        <w:t>4.</w:t>
      </w:r>
      <w:r>
        <w:tab/>
      </w:r>
      <w:r>
        <w:rPr>
          <w:noProof/>
        </w:rPr>
        <w:t xml:space="preserve">De belgiske myndigheder indgav ansøgning EGF/2015/003 BE/Ford Genk den 24. marts 2015, dvs. inden for en periode på 12 uger fra den dato, hvor interventionskriterierne, der er omhandlet i EGF-forordningens artikel 4, var opfyldt. Kommissionen bekræftede den 7. april 2015 modtagelsen af ansøgningen inden for to uger fra datoen for indgivelsen af ansøgningen og anmodede de belgiske myndigheder samme dato om supplerende oplysninger. Der blev indsendt supplerende oplysninger inden for seks uger efter anmodningen. Den frist på 12 uger efter modtagelsen af den fuldstændige ansøgning, inden for hvilken Kommissionen skal afslutte sin vurdering af, om ansøgningen opfylder betingelserne, for at der kan ydes økonomisk støtte, udløber den 11. august 2015. </w:t>
      </w:r>
    </w:p>
    <w:p>
      <w:pPr>
        <w:pStyle w:val="ManualHeading2"/>
        <w:rPr>
          <w:noProof/>
        </w:rPr>
      </w:pPr>
      <w:r>
        <w:rPr>
          <w:noProof/>
        </w:rPr>
        <w:t>Ansøgningens støtteberettigelse</w:t>
      </w:r>
    </w:p>
    <w:p>
      <w:pPr>
        <w:pStyle w:val="ManualHeading3"/>
        <w:rPr>
          <w:noProof/>
        </w:rPr>
      </w:pPr>
      <w:r>
        <w:rPr>
          <w:noProof/>
        </w:rPr>
        <w:t>Berørte virksomheder og støttemodtagere</w:t>
      </w:r>
    </w:p>
    <w:p>
      <w:pPr>
        <w:pStyle w:val="ManualNumPar1"/>
        <w:rPr>
          <w:noProof/>
          <w:szCs w:val="24"/>
        </w:rPr>
      </w:pPr>
      <w:r>
        <w:t>5.</w:t>
      </w:r>
      <w:r>
        <w:tab/>
      </w:r>
      <w:r>
        <w:rPr>
          <w:noProof/>
        </w:rPr>
        <w:t>Ansøgningen vedrører 5 111 arbejdstagere, som er blevet afskediget af Ford Genk og af 11 leverandører eller producenter i efterfølgende produktionsled. Hovedvirksomheden var aktiv i den økonomiske sektor, som er klassificeret under NACE rev. 2 hovedgruppe 29 (Fremstilling af motorkøretøjer, påhængsvogne og sættevogne). De afskedigelser, som de pågældende virksomheder har foretaget, er hovedsagelig lokaliseret i NUTS</w:t>
      </w:r>
      <w:r>
        <w:rPr>
          <w:rStyle w:val="FootnoteReference"/>
          <w:noProof/>
        </w:rPr>
        <w:footnoteReference w:id="5"/>
      </w:r>
      <w:r>
        <w:rPr>
          <w:noProof/>
        </w:rPr>
        <w:t xml:space="preserve"> 2-regionen (BE 02) Limburg.</w:t>
      </w:r>
    </w:p>
    <w:p>
      <w:pPr>
        <w:rPr>
          <w:noProof/>
        </w:rPr>
      </w:pPr>
      <w:r>
        <w:rPr>
          <w:noProof/>
        </w:rPr>
        <w:br w:type="page"/>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Virksomheder og antal afskedigelser i referenceperioden</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FORD</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3 701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ISS Industrial Cleaning nv</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23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BASF</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16</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LEAR</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201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BELPLAS</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89</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SML</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284</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FACIL</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34</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SYNCREON</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234</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HENKEL</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17</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TRANSPORT SERVICE</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47</w:t>
            </w:r>
          </w:p>
        </w:tc>
      </w:tr>
      <w:tr>
        <w:tc>
          <w:tcPr>
            <w:tcW w:w="3360" w:type="dxa"/>
            <w:tcBorders>
              <w:top w:val="nil"/>
              <w:bottom w:val="single" w:sz="4" w:space="0" w:color="auto"/>
              <w:right w:val="nil"/>
            </w:tcBorders>
            <w:shd w:val="clear" w:color="auto" w:fill="auto"/>
            <w:vAlign w:val="center"/>
          </w:tcPr>
          <w:p>
            <w:pPr>
              <w:spacing w:before="0" w:after="0"/>
              <w:jc w:val="left"/>
              <w:rPr>
                <w:noProof/>
                <w:sz w:val="20"/>
              </w:rPr>
            </w:pPr>
            <w:r>
              <w:rPr>
                <w:noProof/>
                <w:sz w:val="20"/>
              </w:rPr>
              <w:t>IAC</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171</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ZENDER</w:t>
            </w:r>
          </w:p>
        </w:tc>
        <w:tc>
          <w:tcPr>
            <w:tcW w:w="600" w:type="dxa"/>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64</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Virksomheder i alt:</w:t>
            </w:r>
            <w:r>
              <w:rPr>
                <w:b/>
                <w:noProof/>
                <w:sz w:val="22"/>
              </w:rPr>
              <w:t xml:space="preserve"> </w:t>
            </w:r>
            <w:r>
              <w:rPr>
                <w:b/>
                <w:noProof/>
              </w:rPr>
              <w:t>12</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Antal afskedigelser i alt:</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4 881</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Antal selvstændige, hvis aktivitet er ophørt:</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I alt (støtteberettigede arbejdstagere og selvstændige):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4 881</w:t>
            </w:r>
          </w:p>
        </w:tc>
      </w:tr>
    </w:tbl>
    <w:p>
      <w:pPr>
        <w:pStyle w:val="ManualHeading3"/>
        <w:rPr>
          <w:noProof/>
        </w:rPr>
      </w:pPr>
      <w:r>
        <w:rPr>
          <w:noProof/>
        </w:rPr>
        <w:t>Interventionskriterier</w:t>
      </w:r>
    </w:p>
    <w:p>
      <w:pPr>
        <w:pStyle w:val="ManualNumPar1"/>
        <w:rPr>
          <w:noProof/>
        </w:rPr>
      </w:pPr>
      <w:r>
        <w:t>6.</w:t>
      </w:r>
      <w:r>
        <w:tab/>
      </w:r>
      <w:r>
        <w:rPr>
          <w:noProof/>
        </w:rPr>
        <w:t>De belgiske myndigheder indgav ansøgningen med henvisning til interventionskriterierne i EGF-forordningens artikel 4, stk. 1, litra a), som forudsætter mindst 500 afskedigelser af arbejdstagere i løbet af en fire måneders referenceperiode i en virksomhed i en medlemsstat, inklusive arbejdstagere, der er blevet afskediget af leverandører eller producenter i efterfølgende produktionsled, og/eller selvstændige, hvis aktivitet er ophørt.</w:t>
      </w:r>
    </w:p>
    <w:p>
      <w:pPr>
        <w:pStyle w:val="ManualNumPar1"/>
        <w:rPr>
          <w:noProof/>
        </w:rPr>
      </w:pPr>
      <w:bookmarkStart w:id="1" w:name="_Ref372189348"/>
      <w:r>
        <w:t>7.</w:t>
      </w:r>
      <w:r>
        <w:tab/>
      </w:r>
      <w:r>
        <w:rPr>
          <w:noProof/>
        </w:rPr>
        <w:t xml:space="preserve">Referenceperioden på fire måneder for ansøgningen løber fra den 1. september 2014 til den </w:t>
      </w:r>
      <w:bookmarkEnd w:id="1"/>
      <w:r>
        <w:rPr>
          <w:noProof/>
        </w:rPr>
        <w:t>31. december 2014.</w:t>
      </w:r>
    </w:p>
    <w:p>
      <w:pPr>
        <w:pStyle w:val="ManualNumPar1"/>
        <w:rPr>
          <w:noProof/>
        </w:rPr>
      </w:pPr>
      <w:r>
        <w:t>8.</w:t>
      </w:r>
      <w:r>
        <w:tab/>
      </w:r>
      <w:r>
        <w:rPr>
          <w:noProof/>
        </w:rPr>
        <w:t>Afskedigelserne i referenceperioden fordeler sig som følger:</w:t>
      </w:r>
    </w:p>
    <w:p>
      <w:pPr>
        <w:pStyle w:val="Tiret1"/>
        <w:numPr>
          <w:ilvl w:val="0"/>
          <w:numId w:val="11"/>
        </w:numPr>
        <w:rPr>
          <w:noProof/>
        </w:rPr>
      </w:pPr>
      <w:r>
        <w:rPr>
          <w:noProof/>
        </w:rPr>
        <w:t>3 701 afskedigelser i Ford Genk</w:t>
      </w:r>
    </w:p>
    <w:p>
      <w:pPr>
        <w:pStyle w:val="Tiret1"/>
        <w:numPr>
          <w:ilvl w:val="0"/>
          <w:numId w:val="11"/>
        </w:numPr>
        <w:rPr>
          <w:noProof/>
        </w:rPr>
      </w:pPr>
      <w:r>
        <w:rPr>
          <w:noProof/>
        </w:rPr>
        <w:t>1 180 afskedigelser hos 11 af Ford Genks leverandører eller producenter i efterfølgende produktionsled.</w:t>
      </w:r>
    </w:p>
    <w:p>
      <w:pPr>
        <w:pStyle w:val="ManualHeading3"/>
        <w:rPr>
          <w:noProof/>
        </w:rPr>
      </w:pPr>
      <w:r>
        <w:rPr>
          <w:noProof/>
        </w:rPr>
        <w:t>Beregning af afskedigelser og aktivitetsophør</w:t>
      </w:r>
    </w:p>
    <w:p>
      <w:pPr>
        <w:pStyle w:val="ManualNumPar1"/>
        <w:rPr>
          <w:noProof/>
        </w:rPr>
      </w:pPr>
      <w:r>
        <w:t>9.</w:t>
      </w:r>
      <w:r>
        <w:tab/>
      </w:r>
      <w:r>
        <w:rPr>
          <w:noProof/>
        </w:rPr>
        <w:t>Afskedigelserne i referenceperioden er beregnet til at fordele sig som følger:</w:t>
      </w:r>
    </w:p>
    <w:p>
      <w:pPr>
        <w:pStyle w:val="Tiret1"/>
        <w:numPr>
          <w:ilvl w:val="0"/>
          <w:numId w:val="1"/>
        </w:numPr>
        <w:rPr>
          <w:noProof/>
        </w:rPr>
      </w:pPr>
      <w:r>
        <w:rPr>
          <w:noProof/>
        </w:rPr>
        <w:t>4 858 fra den dato, hvor arbejdsgiveren giver den enkelte arbejdstager meddelelse om afskedigelse eller opsigelse af arbejdstagerens ansættelseskontrakt</w:t>
      </w:r>
    </w:p>
    <w:p>
      <w:pPr>
        <w:pStyle w:val="Tiret1"/>
        <w:numPr>
          <w:ilvl w:val="0"/>
          <w:numId w:val="1"/>
        </w:numPr>
        <w:rPr>
          <w:noProof/>
        </w:rPr>
      </w:pPr>
      <w:r>
        <w:rPr>
          <w:noProof/>
        </w:rPr>
        <w:t>23 fra den dato, hvor ansættelseskontrakten faktisk opsiges eller udløber.</w:t>
      </w:r>
    </w:p>
    <w:p>
      <w:pPr>
        <w:pStyle w:val="ManualHeading3"/>
        <w:rPr>
          <w:noProof/>
        </w:rPr>
      </w:pPr>
      <w:r>
        <w:rPr>
          <w:noProof/>
        </w:rPr>
        <w:t>Støtteberettigede modtagere</w:t>
      </w:r>
    </w:p>
    <w:p>
      <w:pPr>
        <w:pStyle w:val="ManualNumPar1"/>
        <w:rPr>
          <w:noProof/>
        </w:rPr>
      </w:pPr>
      <w:r>
        <w:t>10.</w:t>
      </w:r>
      <w:r>
        <w:tab/>
      </w:r>
      <w:r>
        <w:rPr>
          <w:noProof/>
        </w:rPr>
        <w:t>Ud over de allerede omhandlede arbejdstagere omfatter de støtteberettigede modtagere 230 arbejdstagere, der blev afskediget før eller efter referenceperioden på fire måneder. Disse arbejdstagere blev alle afskediget efter den generelle meddelelse om de planlagte afskedigelser den 22. oktober 2012. Der kan etableres en klar årsagssammenhæng til den begivenhed, som udløste afskedigelserne i referenceperioden.</w:t>
      </w:r>
    </w:p>
    <w:p>
      <w:pPr>
        <w:pStyle w:val="ManualNumPar1"/>
        <w:rPr>
          <w:noProof/>
        </w:rPr>
      </w:pPr>
      <w:r>
        <w:t>11.</w:t>
      </w:r>
      <w:r>
        <w:tab/>
      </w:r>
      <w:r>
        <w:rPr>
          <w:noProof/>
        </w:rPr>
        <w:t>Det samlede antal støtteberettigede modtagere er således på 5 111.</w:t>
      </w:r>
    </w:p>
    <w:p>
      <w:pPr>
        <w:pStyle w:val="ManualHeading3"/>
        <w:rPr>
          <w:noProof/>
        </w:rPr>
      </w:pPr>
      <w:r>
        <w:rPr>
          <w:noProof/>
        </w:rPr>
        <w:t>Sammenhæng mellem afskedigelserne og de gennemgribende strukturelle ændringer i verdenshandelsmønstrene, som kan tilskrives globaliseringen</w:t>
      </w:r>
    </w:p>
    <w:p>
      <w:pPr>
        <w:pStyle w:val="ManualNumPar1"/>
        <w:rPr>
          <w:noProof/>
        </w:rPr>
      </w:pPr>
      <w:r>
        <w:t>12.</w:t>
      </w:r>
      <w:r>
        <w:tab/>
      </w:r>
      <w:r>
        <w:rPr>
          <w:noProof/>
        </w:rPr>
        <w:t>Til støtte for, at der er en sammenhæng mellem afskedigelserne og de gennemgribende strukturelle ændringer i verdenshandelsmønstrene, som kan tilskrives globaliseringen, anfører Belgien, at den europæiske automobilindustri har mistet betydelige markedsandele i det sidste årti. Produktionen af personbiler faldt med 14,6 % i EU-27 mellem 2007 og 2012. I samme periode mere end fordoblede Kina sin markedsandel i produktionen af personbiler.</w:t>
      </w:r>
    </w:p>
    <w:p>
      <w:pPr>
        <w:pStyle w:val="ManualNumPar1"/>
        <w:rPr>
          <w:noProof/>
        </w:rPr>
      </w:pPr>
      <w:r>
        <w:t>13.</w:t>
      </w:r>
      <w:r>
        <w:tab/>
      </w:r>
      <w:r>
        <w:rPr>
          <w:noProof/>
        </w:rPr>
        <w:t>En væsentlig drivkraft bag denne tendens er det geografiske skift i forbrug, der er forbundet med globaliseringen, navnlig den kraftige vækst i efterspørgsel på det asiatiske marked, som EU-fabrikanter nyder mindre godt af, da de traditionelt har været mindre godt placeret på disse markeder. Registreringer af personbiler i EU faldt fortsat mellem 2008 og 2012 med blot en lille stigning i 2009</w:t>
      </w:r>
      <w:r>
        <w:rPr>
          <w:rStyle w:val="FootnoteReference"/>
          <w:noProof/>
        </w:rPr>
        <w:footnoteReference w:id="6"/>
      </w:r>
      <w:r>
        <w:rPr>
          <w:noProof/>
        </w:rPr>
        <w:t xml:space="preserve">. </w:t>
      </w:r>
    </w:p>
    <w:p>
      <w:pPr>
        <w:jc w:val="center"/>
        <w:rPr>
          <w:b/>
          <w:noProof/>
        </w:rPr>
      </w:pPr>
      <w:r>
        <w:rPr>
          <w:b/>
          <w:noProof/>
          <w:sz w:val="22"/>
        </w:rPr>
        <w:t>Fremstilling af personbiler — international sammenligning (andel i %)</w:t>
      </w:r>
      <w:r>
        <w:rPr>
          <w:rStyle w:val="FootnoteReference"/>
          <w:b/>
          <w:noProof/>
          <w:sz w:val="22"/>
        </w:rPr>
        <w:footnoteReference w:id="7"/>
      </w:r>
    </w:p>
    <w:p>
      <w:pPr>
        <w:rPr>
          <w:noProof/>
        </w:rPr>
      </w:pPr>
      <w:r>
        <w:rPr>
          <w:noProof/>
        </w:rPr>
        <w:pict>
          <v:shape id="_x0000_i1026" type="#_x0000_t75" style="width:453.5pt;height:183.25pt">
            <v:imagedata r:id="rId11" o:title=""/>
          </v:shape>
        </w:pict>
      </w:r>
    </w:p>
    <w:p>
      <w:pPr>
        <w:pStyle w:val="ManualNumPar1"/>
        <w:rPr>
          <w:noProof/>
        </w:rPr>
      </w:pPr>
      <w:r>
        <w:t>14.</w:t>
      </w:r>
      <w:r>
        <w:tab/>
      </w:r>
      <w:r>
        <w:rPr>
          <w:noProof/>
        </w:rPr>
        <w:t>Den ovenstående graf viser faldet i EU's markedsandel for personbiler fra 2000 til 2012. EU's markedsandel faldt fra 32,2 % i 2007 til 23,2 % i 2012, hvilket var et fald på 28,2 %</w:t>
      </w:r>
    </w:p>
    <w:p>
      <w:pPr>
        <w:pStyle w:val="ManualNumPar1"/>
        <w:rPr>
          <w:noProof/>
        </w:rPr>
      </w:pPr>
      <w:r>
        <w:t>15.</w:t>
      </w:r>
      <w:r>
        <w:tab/>
      </w:r>
      <w:r>
        <w:rPr>
          <w:noProof/>
        </w:rPr>
        <w:t xml:space="preserve">I absolute tal steg den globale produktion med 18,9 %, navnlig i Kina (143,3 %) samt i andre økonomier i Sydøstasien og Mellemøsten, mens EU oplevede en produktionsnedgang for personbiler på 14,6 % mellem 2007 og 2012. </w:t>
      </w:r>
    </w:p>
    <w:p>
      <w:pPr>
        <w:pStyle w:val="ManualNumPar1"/>
        <w:rPr>
          <w:noProof/>
        </w:rPr>
      </w:pPr>
      <w:r>
        <w:t>16.</w:t>
      </w:r>
      <w:r>
        <w:tab/>
      </w:r>
      <w:r>
        <w:rPr>
          <w:noProof/>
        </w:rPr>
        <w:t>Den økonomiske og finansielle krise forværrede situationen for den europæiske automobilindustri, der også var hæmmet af importrestriktioner i tredjelande (nye krav vedrørende importlicenser, f.eks. i Argentina og Brasilien, og øgede importafgifter, f.eks. i Rusland).</w:t>
      </w:r>
    </w:p>
    <w:p>
      <w:pPr>
        <w:pStyle w:val="ManualNumPar1"/>
        <w:rPr>
          <w:noProof/>
        </w:rPr>
      </w:pPr>
      <w:r>
        <w:t>17.</w:t>
      </w:r>
      <w:r>
        <w:tab/>
      </w:r>
      <w:r>
        <w:rPr>
          <w:noProof/>
        </w:rPr>
        <w:t>Ifølge tallene for Belgien har den belgiske automobilindustri lidt under den fulde virkning af disse tendenser med et fald i produktionen af personbiler fra  596 461 enheder i 2011 til 503 504 enheder i 2013 (et produktionsfald på 15,58 %). Den belgiske bileksport faldt med 16,41 % i samme periode</w:t>
      </w:r>
      <w:r>
        <w:rPr>
          <w:rStyle w:val="FootnoteReference"/>
          <w:noProof/>
        </w:rPr>
        <w:footnoteReference w:id="8"/>
      </w:r>
      <w:r>
        <w:rPr>
          <w:noProof/>
        </w:rPr>
        <w:t>.</w:t>
      </w:r>
    </w:p>
    <w:p>
      <w:pPr>
        <w:pStyle w:val="ManualNumPar1"/>
        <w:rPr>
          <w:noProof/>
        </w:rPr>
      </w:pPr>
      <w:r>
        <w:t>18.</w:t>
      </w:r>
      <w:r>
        <w:tab/>
      </w:r>
      <w:r>
        <w:rPr>
          <w:noProof/>
        </w:rPr>
        <w:t>NACE Rev. 2, hovedgruppe 29 (Fremstilling af motorkøretøjer, påhængsvogne og sættevogne) har hidtil været baggrunden for 21 EGF-ansøgninger, hvoraf 11 var baseret på handelsrelateret globalisering og 10 på den globale finansielle og økonomiske krise.</w:t>
      </w:r>
    </w:p>
    <w:p>
      <w:pPr>
        <w:pStyle w:val="ManualHeading3"/>
        <w:rPr>
          <w:noProof/>
        </w:rPr>
      </w:pPr>
      <w:r>
        <w:rPr>
          <w:noProof/>
        </w:rPr>
        <w:t>Begivenheder, der gav anledning til afskedigelserne og til aktivitetsophør</w:t>
      </w:r>
    </w:p>
    <w:p>
      <w:pPr>
        <w:pStyle w:val="ManualNumPar1"/>
        <w:rPr>
          <w:noProof/>
        </w:rPr>
      </w:pPr>
      <w:r>
        <w:t>19.</w:t>
      </w:r>
      <w:r>
        <w:tab/>
      </w:r>
      <w:r>
        <w:rPr>
          <w:noProof/>
        </w:rPr>
        <w:t>Begivenheden, der gav anledning til disse afskedigelser, er den permanente lukning af Fordfabrikken i Genk, som blev annonceret den 22. oktober 2012. Det blev skønnet, at 8 000 job er ved at gå tabt i Limburgprovinsen på grund af lukningen af Fords produktionsfacilitet (herunder indirekte jobtab). Fords ledelse begrundede lukningen af Genkfabrikken med en betydelig produktionsmæssig overkapacitet på ca. 20 % inden for den europæiske del af virksomheden. Ford vil beholde tre produktionsanlæg i Europa og producere et begrænset antal Mondeo-, S-MAX- og Galaxymodeller i deres produktionsanlæg i Valencia, Spanien.</w:t>
      </w:r>
    </w:p>
    <w:p>
      <w:pPr>
        <w:pStyle w:val="ManualNumPar1"/>
        <w:rPr>
          <w:noProof/>
        </w:rPr>
      </w:pPr>
      <w:r>
        <w:t>20.</w:t>
      </w:r>
      <w:r>
        <w:tab/>
      </w:r>
      <w:r>
        <w:rPr>
          <w:noProof/>
        </w:rPr>
        <w:t>Lukningen af Fords Genkfabrik var uventet, da der i 2010 blev indgået en fremadrettet kontrakt mellem arbejdsgiver og arbejdstagere, der omfattede jobsikkerhed frem til 2020 (aftalen indeholdt nedskæringer i personaleomkostningerne på 12 %). Fords ledelse bekræftede i august 2012, at de ville respektere den opnåede aftale indtil 2020. Denne udtalelse blev fulgt af spekulationer i pressen, og i oktober 2012 annoncerede Ford lukningen af deres fabrik i Genk.</w:t>
      </w:r>
    </w:p>
    <w:p>
      <w:pPr>
        <w:pStyle w:val="ManualNumPar1"/>
        <w:rPr>
          <w:noProof/>
        </w:rPr>
      </w:pPr>
      <w:r>
        <w:t>21.</w:t>
      </w:r>
      <w:r>
        <w:tab/>
      </w:r>
      <w:r>
        <w:rPr>
          <w:noProof/>
        </w:rPr>
        <w:t>De arbejdstagere, der blev afskediget fra fabrikken i 2013, var omfattet af den første EGF-ansøgning, der også var baseret på globalisering. Denne ansøgning er ved at blive gennemført i øjeblikket</w:t>
      </w:r>
      <w:r>
        <w:rPr>
          <w:rStyle w:val="FootnoteReference"/>
          <w:noProof/>
        </w:rPr>
        <w:footnoteReference w:id="9"/>
      </w:r>
      <w:r>
        <w:rPr>
          <w:noProof/>
        </w:rPr>
        <w:t>. Denne anden ansøgning handler om afskedigelserne på Fords fabrik i Genk i 2014 og op til fabrikkens endelige lukning i december 2014.</w:t>
      </w:r>
    </w:p>
    <w:p>
      <w:pPr>
        <w:pStyle w:val="ManualHeading3"/>
        <w:rPr>
          <w:noProof/>
        </w:rPr>
      </w:pPr>
      <w:r>
        <w:rPr>
          <w:noProof/>
        </w:rPr>
        <w:t>Afskedigelsernes forventede virkning på økonomien på lokalt, regionalt og nationalt plan og på beskæftigelsen</w:t>
      </w:r>
    </w:p>
    <w:p>
      <w:pPr>
        <w:pStyle w:val="ManualNumPar1"/>
        <w:rPr>
          <w:noProof/>
        </w:rPr>
      </w:pPr>
      <w:r>
        <w:t>22.</w:t>
      </w:r>
      <w:r>
        <w:tab/>
      </w:r>
      <w:r>
        <w:rPr>
          <w:noProof/>
        </w:rPr>
        <w:t>Den økonomiske virkning på regionen af lukningen af Ford Genk blev analyseret i en undersøgelse udarbejdet af Knowledge Centre for Entrepreneurship and Innovation (KIZOK) ved Hasselt Universitet</w:t>
      </w:r>
      <w:r>
        <w:rPr>
          <w:rStyle w:val="FootnoteReference"/>
          <w:noProof/>
        </w:rPr>
        <w:footnoteReference w:id="10"/>
      </w:r>
      <w:r>
        <w:rPr>
          <w:noProof/>
        </w:rPr>
        <w:t>. I undersøgelsen påpeges den betragtelige skade, som Limburgs økonomi var udsat for med et samlet tab på mere end 8 000 job (inkl. indirekte jobtab), en stigning i arbejdsløsheden på mellem 1,8 og 2 procentpoint (en stigning på op til 29,4 % i regionens arbejdsløshed fra 6,8 % til 8,8 %), et fald i BNP på mellem 2,6 % og 2,9 % og et potentielt fald i arbejdsproduktiviteten på 10,9 % på grund af automobilindustriens store betydning for arbejdsproduktiviteten i regionen. Det vil desuden være meget svært for de tidligere Fordansatte at finde et nyt arbejde på grund af de få ledige muligheder og den høje arbejdsløshedskoncentration i området.</w:t>
      </w:r>
    </w:p>
    <w:p>
      <w:pPr>
        <w:pStyle w:val="ManualHeading2"/>
        <w:rPr>
          <w:noProof/>
        </w:rPr>
      </w:pPr>
      <w:r>
        <w:rPr>
          <w:noProof/>
        </w:rPr>
        <w:t>Støttemodtagere og de foreslåede foranstaltninger</w:t>
      </w:r>
    </w:p>
    <w:p>
      <w:pPr>
        <w:pStyle w:val="ManualHeading3"/>
        <w:rPr>
          <w:noProof/>
        </w:rPr>
      </w:pPr>
      <w:r>
        <w:rPr>
          <w:noProof/>
        </w:rPr>
        <w:t>Støttemodtagere</w:t>
      </w:r>
    </w:p>
    <w:p>
      <w:pPr>
        <w:pStyle w:val="ManualNumPar1"/>
        <w:rPr>
          <w:noProof/>
        </w:rPr>
      </w:pPr>
      <w:r>
        <w:t>23.</w:t>
      </w:r>
      <w:r>
        <w:tab/>
      </w:r>
      <w:r>
        <w:rPr>
          <w:noProof/>
        </w:rPr>
        <w:t>Det anslåede antal afskedigede arbejdstagere, der forventes at deltage i foranstaltningerne, er på 4 500. Fordelingen af disse arbejdstagere på køn, nationalitet og aldersgruppe er som følger:</w:t>
      </w:r>
    </w:p>
    <w:p>
      <w:pPr>
        <w:rPr>
          <w:noProof/>
        </w:rPr>
      </w:pPr>
      <w:r>
        <w:rPr>
          <w:noProof/>
        </w:rPr>
        <w:br w:type="page"/>
      </w:r>
    </w:p>
    <w:tbl>
      <w:tblPr>
        <w:tblW w:w="0" w:type="auto"/>
        <w:jc w:val="center"/>
        <w:tblLook w:val="04A0" w:firstRow="1" w:lastRow="0" w:firstColumn="1" w:lastColumn="0" w:noHBand="0" w:noVBand="1"/>
      </w:tblPr>
      <w:tblGrid>
        <w:gridCol w:w="18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Kategori</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Antal </w:t>
            </w:r>
            <w:r>
              <w:rPr>
                <w:noProof/>
              </w:rPr>
              <w:br/>
              <w:t>støttemodtagere</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Køn:</w:t>
            </w:r>
          </w:p>
        </w:tc>
        <w:tc>
          <w:tcPr>
            <w:tcW w:w="2063" w:type="dxa"/>
            <w:tcBorders>
              <w:top w:val="single" w:sz="4" w:space="0" w:color="auto"/>
              <w:left w:val="nil"/>
              <w:bottom w:val="nil"/>
              <w:right w:val="nil"/>
            </w:tcBorders>
            <w:hideMark/>
          </w:tcPr>
          <w:p>
            <w:pPr>
              <w:spacing w:before="60" w:after="60"/>
              <w:rPr>
                <w:noProof/>
              </w:rPr>
            </w:pPr>
            <w:r>
              <w:rPr>
                <w:noProof/>
              </w:rPr>
              <w:t>Mænd:</w:t>
            </w:r>
          </w:p>
        </w:tc>
        <w:tc>
          <w:tcPr>
            <w:tcW w:w="1176" w:type="dxa"/>
            <w:tcBorders>
              <w:top w:val="single" w:sz="4" w:space="0" w:color="auto"/>
              <w:left w:val="nil"/>
              <w:bottom w:val="nil"/>
              <w:right w:val="nil"/>
            </w:tcBorders>
            <w:hideMark/>
          </w:tcPr>
          <w:p>
            <w:pPr>
              <w:spacing w:before="60" w:after="60"/>
              <w:jc w:val="right"/>
              <w:rPr>
                <w:noProof/>
              </w:rPr>
            </w:pPr>
            <w:r>
              <w:rPr>
                <w:noProof/>
              </w:rPr>
              <w:t>3 956</w:t>
            </w:r>
          </w:p>
        </w:tc>
        <w:tc>
          <w:tcPr>
            <w:tcW w:w="1176" w:type="dxa"/>
            <w:tcBorders>
              <w:top w:val="single" w:sz="4" w:space="0" w:color="auto"/>
              <w:left w:val="nil"/>
              <w:bottom w:val="nil"/>
              <w:right w:val="nil"/>
            </w:tcBorders>
            <w:hideMark/>
          </w:tcPr>
          <w:p>
            <w:pPr>
              <w:spacing w:before="60" w:after="60"/>
              <w:jc w:val="right"/>
              <w:rPr>
                <w:noProof/>
              </w:rPr>
            </w:pPr>
            <w:r>
              <w:rPr>
                <w:noProof/>
              </w:rPr>
              <w:t>(87,9 %)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Kvinder:</w:t>
            </w:r>
          </w:p>
        </w:tc>
        <w:tc>
          <w:tcPr>
            <w:tcW w:w="1176" w:type="dxa"/>
            <w:hideMark/>
          </w:tcPr>
          <w:p>
            <w:pPr>
              <w:spacing w:before="60" w:after="60"/>
              <w:jc w:val="right"/>
              <w:rPr>
                <w:noProof/>
              </w:rPr>
            </w:pPr>
            <w:r>
              <w:rPr>
                <w:noProof/>
              </w:rPr>
              <w:t>544</w:t>
            </w:r>
          </w:p>
        </w:tc>
        <w:tc>
          <w:tcPr>
            <w:tcW w:w="1176" w:type="dxa"/>
            <w:hideMark/>
          </w:tcPr>
          <w:p>
            <w:pPr>
              <w:spacing w:before="60" w:after="60"/>
              <w:jc w:val="right"/>
              <w:rPr>
                <w:noProof/>
              </w:rPr>
            </w:pPr>
            <w:r>
              <w:rPr>
                <w:noProof/>
              </w:rPr>
              <w:t>(12,1 %)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Statsborgerskab:</w:t>
            </w:r>
          </w:p>
        </w:tc>
        <w:tc>
          <w:tcPr>
            <w:tcW w:w="2063" w:type="dxa"/>
            <w:tcBorders>
              <w:top w:val="single" w:sz="4" w:space="0" w:color="auto"/>
              <w:left w:val="nil"/>
              <w:bottom w:val="nil"/>
              <w:right w:val="nil"/>
            </w:tcBorders>
            <w:hideMark/>
          </w:tcPr>
          <w:p>
            <w:pPr>
              <w:spacing w:before="60" w:after="60"/>
              <w:rPr>
                <w:noProof/>
              </w:rPr>
            </w:pPr>
            <w:r>
              <w:rPr>
                <w:noProof/>
              </w:rPr>
              <w:t>EU-borgere:</w:t>
            </w:r>
          </w:p>
        </w:tc>
        <w:tc>
          <w:tcPr>
            <w:tcW w:w="1176" w:type="dxa"/>
            <w:hideMark/>
          </w:tcPr>
          <w:p>
            <w:pPr>
              <w:spacing w:before="60" w:after="60"/>
              <w:jc w:val="right"/>
              <w:rPr>
                <w:noProof/>
              </w:rPr>
            </w:pPr>
            <w:r>
              <w:rPr>
                <w:noProof/>
              </w:rPr>
              <w:t>4 474</w:t>
            </w:r>
          </w:p>
        </w:tc>
        <w:tc>
          <w:tcPr>
            <w:tcW w:w="1176" w:type="dxa"/>
            <w:hideMark/>
          </w:tcPr>
          <w:p>
            <w:pPr>
              <w:spacing w:before="60" w:after="60"/>
              <w:jc w:val="right"/>
              <w:rPr>
                <w:noProof/>
              </w:rPr>
            </w:pPr>
            <w:r>
              <w:rPr>
                <w:noProof/>
              </w:rPr>
              <w:t>(99,4 %)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Ikke-EU-borgere:</w:t>
            </w:r>
          </w:p>
        </w:tc>
        <w:tc>
          <w:tcPr>
            <w:tcW w:w="1176" w:type="dxa"/>
            <w:hideMark/>
          </w:tcPr>
          <w:p>
            <w:pPr>
              <w:spacing w:before="60" w:after="60"/>
              <w:jc w:val="right"/>
              <w:rPr>
                <w:noProof/>
              </w:rPr>
            </w:pPr>
            <w:r>
              <w:rPr>
                <w:noProof/>
              </w:rPr>
              <w:t>26</w:t>
            </w:r>
          </w:p>
        </w:tc>
        <w:tc>
          <w:tcPr>
            <w:tcW w:w="1176" w:type="dxa"/>
            <w:hideMark/>
          </w:tcPr>
          <w:p>
            <w:pPr>
              <w:spacing w:before="60" w:after="60"/>
              <w:jc w:val="right"/>
              <w:rPr>
                <w:noProof/>
              </w:rPr>
            </w:pPr>
            <w:r>
              <w:rPr>
                <w:noProof/>
              </w:rPr>
              <w:t>(0,6 %)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Aldersgruppe:</w:t>
            </w:r>
          </w:p>
        </w:tc>
        <w:tc>
          <w:tcPr>
            <w:tcW w:w="2063" w:type="dxa"/>
            <w:tcBorders>
              <w:top w:val="single" w:sz="4" w:space="0" w:color="auto"/>
              <w:left w:val="nil"/>
              <w:bottom w:val="nil"/>
              <w:right w:val="nil"/>
            </w:tcBorders>
            <w:hideMark/>
          </w:tcPr>
          <w:p>
            <w:pPr>
              <w:spacing w:before="60" w:after="60"/>
              <w:rPr>
                <w:noProof/>
              </w:rPr>
            </w:pPr>
            <w:r>
              <w:rPr>
                <w:noProof/>
              </w:rPr>
              <w:t>15-24-årige:</w:t>
            </w:r>
          </w:p>
        </w:tc>
        <w:tc>
          <w:tcPr>
            <w:tcW w:w="1176" w:type="dxa"/>
            <w:hideMark/>
          </w:tcPr>
          <w:p>
            <w:pPr>
              <w:spacing w:before="60" w:after="60"/>
              <w:jc w:val="right"/>
              <w:rPr>
                <w:noProof/>
              </w:rPr>
            </w:pPr>
            <w:r>
              <w:rPr>
                <w:noProof/>
              </w:rPr>
              <w:t>19</w:t>
            </w:r>
          </w:p>
        </w:tc>
        <w:tc>
          <w:tcPr>
            <w:tcW w:w="1176" w:type="dxa"/>
            <w:hideMark/>
          </w:tcPr>
          <w:p>
            <w:pPr>
              <w:spacing w:before="60" w:after="60"/>
              <w:jc w:val="right"/>
              <w:rPr>
                <w:noProof/>
              </w:rPr>
            </w:pPr>
            <w:r>
              <w:rPr>
                <w:noProof/>
              </w:rPr>
              <w:t>(0,4 %)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25-29-årige:</w:t>
            </w:r>
          </w:p>
        </w:tc>
        <w:tc>
          <w:tcPr>
            <w:tcW w:w="1176" w:type="dxa"/>
            <w:hideMark/>
          </w:tcPr>
          <w:p>
            <w:pPr>
              <w:spacing w:before="60" w:after="60"/>
              <w:jc w:val="right"/>
              <w:rPr>
                <w:noProof/>
              </w:rPr>
            </w:pPr>
            <w:r>
              <w:rPr>
                <w:noProof/>
              </w:rPr>
              <w:t>85</w:t>
            </w:r>
          </w:p>
        </w:tc>
        <w:tc>
          <w:tcPr>
            <w:tcW w:w="1176" w:type="dxa"/>
            <w:hideMark/>
          </w:tcPr>
          <w:p>
            <w:pPr>
              <w:spacing w:before="60" w:after="60"/>
              <w:jc w:val="right"/>
              <w:rPr>
                <w:noProof/>
              </w:rPr>
            </w:pPr>
            <w:r>
              <w:rPr>
                <w:noProof/>
              </w:rPr>
              <w:t>(1,9 %)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30-54-årige:</w:t>
            </w:r>
          </w:p>
        </w:tc>
        <w:tc>
          <w:tcPr>
            <w:tcW w:w="1176" w:type="dxa"/>
            <w:hideMark/>
          </w:tcPr>
          <w:p>
            <w:pPr>
              <w:spacing w:before="60" w:after="60"/>
              <w:jc w:val="right"/>
              <w:rPr>
                <w:noProof/>
              </w:rPr>
            </w:pPr>
            <w:r>
              <w:rPr>
                <w:noProof/>
              </w:rPr>
              <w:t>3 154</w:t>
            </w:r>
          </w:p>
        </w:tc>
        <w:tc>
          <w:tcPr>
            <w:tcW w:w="1176" w:type="dxa"/>
            <w:hideMark/>
          </w:tcPr>
          <w:p>
            <w:pPr>
              <w:spacing w:before="60" w:after="60"/>
              <w:jc w:val="right"/>
              <w:rPr>
                <w:noProof/>
              </w:rPr>
            </w:pPr>
            <w:r>
              <w:rPr>
                <w:noProof/>
              </w:rPr>
              <w:t>(70,1 %)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55-64-årige:</w:t>
            </w:r>
          </w:p>
        </w:tc>
        <w:tc>
          <w:tcPr>
            <w:tcW w:w="1176" w:type="dxa"/>
            <w:hideMark/>
          </w:tcPr>
          <w:p>
            <w:pPr>
              <w:spacing w:before="60" w:after="60"/>
              <w:jc w:val="right"/>
              <w:rPr>
                <w:noProof/>
              </w:rPr>
            </w:pPr>
            <w:r>
              <w:rPr>
                <w:noProof/>
              </w:rPr>
              <w:t>1 240</w:t>
            </w:r>
          </w:p>
        </w:tc>
        <w:tc>
          <w:tcPr>
            <w:tcW w:w="1176" w:type="dxa"/>
            <w:hideMark/>
          </w:tcPr>
          <w:p>
            <w:pPr>
              <w:spacing w:before="60" w:after="60"/>
              <w:jc w:val="right"/>
              <w:rPr>
                <w:noProof/>
              </w:rPr>
            </w:pPr>
            <w:r>
              <w:rPr>
                <w:noProof/>
              </w:rPr>
              <w:t>(27,6 %)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år:</w:t>
            </w:r>
          </w:p>
        </w:tc>
        <w:tc>
          <w:tcPr>
            <w:tcW w:w="1176" w:type="dxa"/>
            <w:tcBorders>
              <w:top w:val="nil"/>
              <w:left w:val="nil"/>
              <w:bottom w:val="single" w:sz="4" w:space="0" w:color="auto"/>
              <w:right w:val="nil"/>
            </w:tcBorders>
            <w:hideMark/>
          </w:tcPr>
          <w:p>
            <w:pPr>
              <w:spacing w:before="60" w:after="60"/>
              <w:jc w:val="right"/>
              <w:rPr>
                <w:noProof/>
              </w:rPr>
            </w:pPr>
            <w:r>
              <w:rPr>
                <w:noProof/>
              </w:rPr>
              <w:t>2</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bCs/>
          <w:i w:val="0"/>
          <w:noProof/>
        </w:rPr>
      </w:pPr>
      <w:r>
        <w:rPr>
          <w:noProof/>
        </w:rPr>
        <w:t>De foreslåede foranstaltningers støtteberettigelse</w:t>
      </w:r>
    </w:p>
    <w:p>
      <w:pPr>
        <w:pStyle w:val="ManualNumPar1"/>
        <w:rPr>
          <w:noProof/>
        </w:rPr>
      </w:pPr>
      <w:bookmarkStart w:id="2" w:name="_Ref372214239"/>
      <w:r>
        <w:t>24.</w:t>
      </w:r>
      <w:r>
        <w:tab/>
      </w:r>
      <w:r>
        <w:rPr>
          <w:noProof/>
        </w:rPr>
        <w:t>De individualiserede tilbud, der skal ydes til de afskedigede arbejdstagere, omfatter følgende foranstaltninger</w:t>
      </w:r>
      <w:bookmarkEnd w:id="2"/>
      <w:r>
        <w:rPr>
          <w:noProof/>
        </w:rPr>
        <w:t>:</w:t>
      </w:r>
    </w:p>
    <w:p>
      <w:pPr>
        <w:pStyle w:val="Point1"/>
        <w:rPr>
          <w:noProof/>
        </w:rPr>
      </w:pPr>
      <w:r>
        <w:rPr>
          <w:noProof/>
        </w:rPr>
        <w:t>1)</w:t>
      </w:r>
      <w:r>
        <w:rPr>
          <w:noProof/>
        </w:rPr>
        <w:tab/>
        <w:t>I</w:t>
      </w:r>
      <w:r>
        <w:rPr>
          <w:noProof/>
          <w:u w:val="single"/>
        </w:rPr>
        <w:t>ndividuel hjælp til jobsøgning og sagsstyring og generelle informationstjenester</w:t>
      </w:r>
    </w:p>
    <w:p>
      <w:pPr>
        <w:pStyle w:val="Tiret1"/>
        <w:rPr>
          <w:noProof/>
        </w:rPr>
      </w:pPr>
      <w:r>
        <w:rPr>
          <w:noProof/>
          <w:u w:val="single"/>
        </w:rPr>
        <w:t>Lancering af et websted</w:t>
      </w:r>
      <w:r>
        <w:rPr>
          <w:noProof/>
        </w:rPr>
        <w:t>: Udvikling af et websted med vigtige oplysninger om støtten fra de beskæftigelsesenheder, der er oprettet for virksomhederne. Dette websted vil være et værdifuldt redskab for både de afskedigede arbejdstagere og potentielle nye arbejdsgivere.</w:t>
      </w:r>
    </w:p>
    <w:p>
      <w:pPr>
        <w:pStyle w:val="Tiret1"/>
        <w:rPr>
          <w:noProof/>
        </w:rPr>
      </w:pPr>
      <w:r>
        <w:rPr>
          <w:noProof/>
          <w:u w:val="single"/>
        </w:rPr>
        <w:t>Central sagsbehandler</w:t>
      </w:r>
      <w:r>
        <w:rPr>
          <w:noProof/>
        </w:rPr>
        <w:t>: Et betydeligt antal potentielle arbejdsgivere har udtrykt interesse i at ansætte nogle af de tidligere Fordarbejdstagere (virksomheder inden for bygge- og anlæg, SMV'er, sundhedsplejeorganisationer og offentlige institutioner). En central sagsbehandler vil koordinere alle disse initiativer inden for en foranstaltning kaldet "job til Limburg".</w:t>
      </w:r>
    </w:p>
    <w:p>
      <w:pPr>
        <w:pStyle w:val="Tiret1"/>
        <w:rPr>
          <w:noProof/>
        </w:rPr>
      </w:pPr>
      <w:r>
        <w:rPr>
          <w:noProof/>
          <w:u w:val="single"/>
        </w:rPr>
        <w:t>Rådgivere inden for intervention af social karakter</w:t>
      </w:r>
      <w:r>
        <w:rPr>
          <w:noProof/>
        </w:rPr>
        <w:t>: Tjenesten vedrørende intervention af social karakter vil levere den første støtte og bistand med administrative sager og foretage individuelle interviews for at fastlægge en profil for hver enkelt arbejdssøgende.</w:t>
      </w:r>
    </w:p>
    <w:p>
      <w:pPr>
        <w:pStyle w:val="Tiret1"/>
        <w:rPr>
          <w:noProof/>
        </w:rPr>
      </w:pPr>
      <w:r>
        <w:rPr>
          <w:noProof/>
          <w:u w:val="single"/>
        </w:rPr>
        <w:t>Oplysninger om erhvervsuddannelse og uddannelsesmuligheder:</w:t>
      </w:r>
      <w:r>
        <w:rPr>
          <w:noProof/>
        </w:rPr>
        <w:t xml:space="preserve"> Denne foranstaltning vil involvere generelle informationsmøder om jobmuligheder, f.eks. ved den nationale jernbanevirksomhed, Infrabel. Disse informationsmøder, der er organiseret særligt for de tidligere Fordarbejdstagere af potentielle arbejdsgivere, vil præcisere virksomhedernes behov for kvalifikationer og sigter mod at opfordre deltagerne til aktivt at søge beskæftigelse i virksomhederne.</w:t>
      </w:r>
    </w:p>
    <w:p>
      <w:pPr>
        <w:pStyle w:val="Tiret1"/>
        <w:rPr>
          <w:noProof/>
        </w:rPr>
      </w:pPr>
      <w:r>
        <w:rPr>
          <w:noProof/>
          <w:u w:val="single"/>
        </w:rPr>
        <w:t>Aktiv job-orienteret vejledning:</w:t>
      </w:r>
      <w:r>
        <w:rPr>
          <w:noProof/>
        </w:rPr>
        <w:t xml:space="preserve"> En beskæftigelsesfremmende foranstaltning, hvor konsulenterne tager direkte kontakt til arbejdsgivere for at støtte de jobsøgende i målgruppen. Denne foranstaltning omfatter også virksomhedsbesøg for støttemodtagere.</w:t>
      </w:r>
    </w:p>
    <w:p>
      <w:pPr>
        <w:pStyle w:val="Tiret1"/>
        <w:rPr>
          <w:noProof/>
        </w:rPr>
      </w:pPr>
      <w:r>
        <w:rPr>
          <w:noProof/>
          <w:u w:val="single"/>
        </w:rPr>
        <w:t>Jobmesser:</w:t>
      </w:r>
      <w:r>
        <w:rPr>
          <w:noProof/>
        </w:rPr>
        <w:t xml:space="preserve"> Jobmesser med et antal potentielle fremtidige arbejdsgivere, der tilbyder job i overensstemmelse med de afskedigede arbejdstageres specifikke kompetencer. Disse jobmesser vil blive organiseret i partnerskab med genplaceringsvirksomheder og sektororganisationer.</w:t>
      </w:r>
    </w:p>
    <w:p>
      <w:pPr>
        <w:pStyle w:val="Tiret1"/>
        <w:rPr>
          <w:noProof/>
        </w:rPr>
      </w:pPr>
      <w:r>
        <w:rPr>
          <w:noProof/>
          <w:u w:val="single"/>
        </w:rPr>
        <w:t>Kurser i jobsøgning:</w:t>
      </w:r>
      <w:r>
        <w:rPr>
          <w:noProof/>
        </w:rPr>
        <w:t xml:space="preserve"> Genplaceringsfirmaerne tilbyder standardkurser i jobsøgning for at styrke støttemodtagernes position på arbejdsmarkedet. Yderligere kurser i jobsøgning vil blive afholdt af specialiserede virksomheder, f.eks. organiseret for særlige målgrupper såsom ikkeindfødte sprogbrugere og ældre jobsøgende.</w:t>
      </w:r>
    </w:p>
    <w:p>
      <w:pPr>
        <w:pStyle w:val="Tiret1"/>
        <w:rPr>
          <w:noProof/>
        </w:rPr>
      </w:pPr>
      <w:r>
        <w:rPr>
          <w:noProof/>
          <w:u w:val="single"/>
        </w:rPr>
        <w:t>Yderligere rådgivning og opmærksomhed på kompetencer set i sammenhæng med karriereorienteret coaching:</w:t>
      </w:r>
      <w:r>
        <w:rPr>
          <w:noProof/>
        </w:rPr>
        <w:t xml:space="preserve"> dybdegående undersøgelse af de støttemodtagendes kompetencer under forskellige faser i reintegrationsprocessen. Denne undersøgelse vil blive foretaget for at fremme endnu mere skrædddersyet bistand til klienterne i det omfang, der er behov for det.</w:t>
      </w:r>
    </w:p>
    <w:p>
      <w:pPr>
        <w:pStyle w:val="Point1"/>
        <w:rPr>
          <w:noProof/>
        </w:rPr>
      </w:pPr>
      <w:r>
        <w:rPr>
          <w:noProof/>
        </w:rPr>
        <w:t>2)</w:t>
      </w:r>
      <w:r>
        <w:rPr>
          <w:noProof/>
        </w:rPr>
        <w:tab/>
      </w:r>
      <w:r>
        <w:rPr>
          <w:noProof/>
          <w:u w:val="single"/>
        </w:rPr>
        <w:t>Uddannelse og omskoling</w:t>
      </w:r>
    </w:p>
    <w:p>
      <w:pPr>
        <w:pStyle w:val="Tiret1"/>
        <w:rPr>
          <w:noProof/>
          <w:u w:val="single"/>
        </w:rPr>
      </w:pPr>
      <w:r>
        <w:rPr>
          <w:noProof/>
          <w:u w:val="single"/>
        </w:rPr>
        <w:t>Uddannelse og styrkelse af kompetencer:</w:t>
      </w:r>
      <w:r>
        <w:rPr>
          <w:noProof/>
        </w:rPr>
        <w:t xml:space="preserve"> Kurser for jobsøgende i form af skræddersyet læring og uddannelse i en bred vifte af områder målrettet servicesektoren og adskillige erhvervsgrene. Uddannelseskurserne kan enten leveres via "gruppeundervisning", hvor alle deltagerne følger et fælles forløb, eller "åben uddannelse", hvor individuelle forløb fastlægges. Noget af den indledende faglige uddannelse vil blive leveret af den flamske arbejdsformidling og erhvervsuddannelsestjeneste. Mere specialiserede uddannelseskurser vil enten blive organiseret i samarbejde med sektorielle uddannelsesfonde, uddannelsescenteret Syntra i Limburg eller udliciteret til andre uddannelsesudbydere. Denne foranstaltning vil også omfatte praktikophold af både kort og lang varighed enten som en særskilt jobfremmende foranstaltning eller som del af et uddannelsesforløb. Den afholdte uddannelse kan føre til certificering anerkendt af den flamske arbejdsformidling eller et akkrediteret uddannelsesdiplom.</w:t>
      </w:r>
    </w:p>
    <w:p>
      <w:pPr>
        <w:pStyle w:val="Tiret1"/>
        <w:rPr>
          <w:noProof/>
          <w:u w:val="single"/>
        </w:rPr>
      </w:pPr>
      <w:r>
        <w:rPr>
          <w:noProof/>
          <w:u w:val="single"/>
        </w:rPr>
        <w:t>Uddannelse leveret af den tidligere arbejdsgiver:</w:t>
      </w:r>
      <w:r>
        <w:rPr>
          <w:noProof/>
        </w:rPr>
        <w:t xml:space="preserve"> Ford leverer et antal uddannelseskurser i første halvdel af 2015 til et begrænset antal tidligere ansatte. Disse er primært af teknisk art.</w:t>
      </w:r>
    </w:p>
    <w:p>
      <w:pPr>
        <w:pStyle w:val="Tiret1"/>
        <w:rPr>
          <w:noProof/>
          <w:u w:val="single"/>
        </w:rPr>
      </w:pPr>
      <w:r>
        <w:rPr>
          <w:noProof/>
          <w:u w:val="single"/>
        </w:rPr>
        <w:t>Beskæftigelse gennem individuel erhvervsuddannelse:</w:t>
      </w:r>
      <w:r>
        <w:rPr>
          <w:noProof/>
        </w:rPr>
        <w:t xml:space="preserve"> Denne foranstaltning omfatter arbejdsbaseret læring, der anbringer uddannelsen i en realistisk sammenhæng og mindsker de jobsøgendes vej til beskæftigelse. Efter denne uddannelse er de deltagende virksomheder forpligtet til at tilbyde den jobsøgende enten en tidsubegrænset ansættelseskontrakt eller en midlertidig kontrakt af mindst samme varighed som uddannelsen.</w:t>
      </w:r>
    </w:p>
    <w:p>
      <w:pPr>
        <w:pStyle w:val="Point1"/>
        <w:rPr>
          <w:noProof/>
        </w:rPr>
      </w:pPr>
      <w:r>
        <w:rPr>
          <w:noProof/>
        </w:rPr>
        <w:t>3)</w:t>
      </w:r>
      <w:r>
        <w:rPr>
          <w:noProof/>
        </w:rPr>
        <w:tab/>
      </w:r>
      <w:r>
        <w:rPr>
          <w:noProof/>
          <w:u w:val="single"/>
        </w:rPr>
        <w:t>Tilskud og incitamenter</w:t>
      </w:r>
    </w:p>
    <w:p>
      <w:pPr>
        <w:pStyle w:val="Tiret1"/>
        <w:rPr>
          <w:noProof/>
        </w:rPr>
      </w:pPr>
      <w:r>
        <w:rPr>
          <w:noProof/>
          <w:u w:val="single"/>
        </w:rPr>
        <w:t>Ansættelsesbonusser for arbejdsgiverne:</w:t>
      </w:r>
      <w:r>
        <w:rPr>
          <w:noProof/>
        </w:rPr>
        <w:t xml:space="preserve"> Virksomheder i Genkområdet, der ansætter en støttemodtager i målgruppen, kan modtage en ansættelsesbonus fra den 1. januar 2015. Ansættelsesbonussen er på enten 2 000 EUR eller 3 000 EUR for et fuldtidsjob afhængig af den jobsøgendes rettigheder. Ansættelseskontrakten kan være tidsubegrænset eller tidsbegrænset, men så skal der være tale om mindst 12 måneders beskæftigelse inden for en periode på 18 måneder, og der gælder følgende betingelser: Beskæftigelsen kan ikke begynde før den 1. januar 2015, virksomheden kan kun indkræve ansættelsesbonussen én gang, og støtten kan kun ydes én gang pr. afskediget arbejdstager. En arbejdsgiver, der nyder godt af denne foranstaltning, kan derfor ikke modtage en ansættelsesbonus fra andre kilder for personer, der udgør dette forslags målgruppe, inden for gennemførelsesperioden.</w:t>
      </w:r>
    </w:p>
    <w:p>
      <w:pPr>
        <w:pStyle w:val="ManualNumPar1"/>
        <w:rPr>
          <w:noProof/>
        </w:rPr>
      </w:pPr>
      <w:bookmarkStart w:id="3" w:name="_Ref372214242"/>
      <w:r>
        <w:t>25.</w:t>
      </w:r>
      <w:r>
        <w:tab/>
      </w:r>
      <w:r>
        <w:rPr>
          <w:noProof/>
        </w:rPr>
        <w:t>De foreslåede foranstaltninger, som her er beskrevet, udgør aktive arbejdsmarkedsforanstaltninger, som falder ind under de støtteberettigede foranstaltninger, der er fastlagt i EGF-forordningens artikel 7. Disse foranstaltninger erstatter ikke passive socialsikringsforanstaltninger.</w:t>
      </w:r>
    </w:p>
    <w:p>
      <w:pPr>
        <w:pStyle w:val="ManualNumPar1"/>
        <w:rPr>
          <w:noProof/>
        </w:rPr>
      </w:pPr>
      <w:r>
        <w:t>26.</w:t>
      </w:r>
      <w:r>
        <w:tab/>
      </w:r>
      <w:r>
        <w:rPr>
          <w:noProof/>
        </w:rPr>
        <w:t>De belgiske myndigheder har leveret de ønskede oplysninger om foranstaltninger, der er obligatoriske for den berørte virksomhed i medfør af national lov eller kollektive overenskomster. De belgiske myndigheder har bekræftet, at den økonomiske EGF-støtte ikke erstatter sådanne foranstaltninger.</w:t>
      </w:r>
      <w:bookmarkEnd w:id="3"/>
    </w:p>
    <w:p>
      <w:pPr>
        <w:pStyle w:val="ManualHeading3"/>
        <w:rPr>
          <w:noProof/>
        </w:rPr>
      </w:pPr>
      <w:r>
        <w:rPr>
          <w:noProof/>
        </w:rPr>
        <w:t>Budgetoverslag</w:t>
      </w:r>
    </w:p>
    <w:p>
      <w:pPr>
        <w:pStyle w:val="ManualNumPar1"/>
        <w:rPr>
          <w:noProof/>
        </w:rPr>
      </w:pPr>
      <w:r>
        <w:t>27.</w:t>
      </w:r>
      <w:r>
        <w:tab/>
      </w:r>
      <w:r>
        <w:rPr>
          <w:noProof/>
        </w:rPr>
        <w:t>De anslåede samlede omkostninger er på 10 447 607 EUR og omfatter udgifterne til de individualiserede tilbud på 10 127 607 EUR samt udgifter til forberedelse, forvaltning, oplysning, offentlig omtale, kontrol- og rapporteringsaktiviteter på 320 000 EUR.</w:t>
      </w:r>
    </w:p>
    <w:p>
      <w:pPr>
        <w:pStyle w:val="ManualNumPar1"/>
        <w:rPr>
          <w:noProof/>
        </w:rPr>
      </w:pPr>
      <w:bookmarkStart w:id="4" w:name="_Ref372550770"/>
      <w:r>
        <w:t>28.</w:t>
      </w:r>
      <w:r>
        <w:tab/>
      </w:r>
      <w:r>
        <w:rPr>
          <w:noProof/>
        </w:rPr>
        <w:t>Der anmodes om økonomisk EGF-støtte på i alt 6 268 564 EUR (60 % af de samlede omkostninger).</w:t>
      </w:r>
      <w:bookmarkEnd w:id="4"/>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Foranstaltninger</w:t>
            </w:r>
          </w:p>
        </w:tc>
        <w:tc>
          <w:tcPr>
            <w:tcW w:w="1548" w:type="dxa"/>
            <w:shd w:val="clear" w:color="auto" w:fill="auto"/>
            <w:vAlign w:val="center"/>
          </w:tcPr>
          <w:p>
            <w:pPr>
              <w:spacing w:before="60" w:after="60"/>
              <w:jc w:val="center"/>
              <w:rPr>
                <w:rFonts w:eastAsia="Times New Roman"/>
                <w:noProof/>
                <w:sz w:val="22"/>
              </w:rPr>
            </w:pPr>
            <w:r>
              <w:rPr>
                <w:noProof/>
                <w:sz w:val="22"/>
              </w:rPr>
              <w:t>Forventet antal deltagere</w:t>
            </w:r>
          </w:p>
        </w:tc>
        <w:tc>
          <w:tcPr>
            <w:tcW w:w="1548" w:type="dxa"/>
            <w:shd w:val="clear" w:color="auto" w:fill="auto"/>
            <w:vAlign w:val="center"/>
          </w:tcPr>
          <w:p>
            <w:pPr>
              <w:spacing w:before="60" w:after="60"/>
              <w:jc w:val="center"/>
              <w:rPr>
                <w:rFonts w:eastAsia="Times New Roman"/>
                <w:noProof/>
                <w:sz w:val="22"/>
              </w:rPr>
            </w:pPr>
            <w:r>
              <w:rPr>
                <w:noProof/>
                <w:sz w:val="22"/>
              </w:rPr>
              <w:t>Anslåede omkostninger pr. deltager</w:t>
            </w:r>
            <w:r>
              <w:rPr>
                <w:rFonts w:eastAsia="Times New Roman"/>
                <w:noProof/>
                <w:sz w:val="22"/>
              </w:rPr>
              <w:br/>
            </w:r>
            <w:r>
              <w:rPr>
                <w:i/>
                <w:noProof/>
                <w:sz w:val="22"/>
              </w:rPr>
              <w:t>(i EUR)</w:t>
            </w:r>
            <w:r>
              <w:rPr>
                <w:rStyle w:val="FootnoteReference"/>
                <w:i/>
                <w:noProof/>
                <w:sz w:val="22"/>
              </w:rPr>
              <w:footnoteReference w:id="11"/>
            </w:r>
          </w:p>
        </w:tc>
        <w:tc>
          <w:tcPr>
            <w:tcW w:w="1548" w:type="dxa"/>
            <w:shd w:val="clear" w:color="auto" w:fill="auto"/>
            <w:vAlign w:val="center"/>
          </w:tcPr>
          <w:p>
            <w:pPr>
              <w:spacing w:before="60" w:after="60"/>
              <w:jc w:val="center"/>
              <w:rPr>
                <w:rFonts w:eastAsia="Times New Roman"/>
                <w:noProof/>
                <w:sz w:val="22"/>
              </w:rPr>
            </w:pPr>
            <w:r>
              <w:rPr>
                <w:noProof/>
                <w:sz w:val="22"/>
              </w:rPr>
              <w:t>Samlede anslåede omkostninger</w:t>
            </w:r>
          </w:p>
          <w:p>
            <w:pPr>
              <w:spacing w:before="60" w:after="60"/>
              <w:jc w:val="center"/>
              <w:rPr>
                <w:rFonts w:eastAsia="Times New Roman"/>
                <w:noProof/>
                <w:sz w:val="22"/>
              </w:rPr>
            </w:pPr>
            <w:r>
              <w:rPr>
                <w:i/>
                <w:noProof/>
                <w:sz w:val="22"/>
              </w:rPr>
              <w:t xml:space="preserve">(i EUR) </w:t>
            </w:r>
          </w:p>
        </w:tc>
      </w:tr>
      <w:tr>
        <w:tc>
          <w:tcPr>
            <w:tcW w:w="9288" w:type="dxa"/>
            <w:gridSpan w:val="4"/>
            <w:shd w:val="clear" w:color="auto" w:fill="auto"/>
          </w:tcPr>
          <w:p>
            <w:pPr>
              <w:spacing w:before="60" w:after="60"/>
              <w:jc w:val="left"/>
              <w:rPr>
                <w:rFonts w:eastAsia="Times New Roman"/>
                <w:noProof/>
                <w:sz w:val="22"/>
              </w:rPr>
            </w:pPr>
            <w:r>
              <w:rPr>
                <w:noProof/>
                <w:sz w:val="22"/>
              </w:rPr>
              <w:t>Individualiserede tilbud (foranstaltninger i henhold til EGF-forordningens artikel 7, stk. 1, litra a) og c))</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Lancering af et websted</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Central sagsbehandler</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Rådgiver inden for intervention af social karakter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500 000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Oplysninger om erhvervsuddannelse og uddannelsesmuligheder</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Aktiv joborienteret vejledning</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870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870 000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Jobmesser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30 000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Kurser i jobsøgning</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1 600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251</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401 600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Yderligere rådgivning og opmærksomhed på kompetencer set i sammenhæng med karriereorienteret coaching</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128</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128 000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Interne uddannelseskurser i et VDAB-center</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2 510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2 510 000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Uddannelse gennem udlicitering</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5 020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2 008 000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 xml:space="preserve">Uddannelseskurser i samarbejde med sektorielle uddannelsesfonde: FTML, LIMOB, LIMTEC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422</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2 287</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965 324</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Uddannelseskurser i samarbejde med Syntra</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4 500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900 000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Praktikophold</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1 200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617</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739 800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Uddannelse leveret af Ford</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 xml:space="preserve">168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967</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162 383</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Beskæftigelse gennem individuel erhvervsuddannelse</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750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470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352 500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Subtotal (a):</w:t>
            </w:r>
          </w:p>
          <w:p>
            <w:pPr>
              <w:spacing w:before="60" w:after="60"/>
              <w:jc w:val="right"/>
              <w:rPr>
                <w:rFonts w:eastAsia="Times New Roman"/>
                <w:noProof/>
                <w:sz w:val="22"/>
              </w:rPr>
            </w:pPr>
            <w:r>
              <w:rPr>
                <w:noProof/>
                <w:sz w:val="22"/>
              </w:rPr>
              <w:t xml:space="preserve">Procentdel af pakken af individualiserede tilbud: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9 627 607</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95,06 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Tilskud og incitamenter (foranstaltninger i henhold til EGF-forordningens artikel 7, stk. 1, litra b))</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Ansættelsesbonusser for arbejdsgiverne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500 000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Subtotal (b):</w:t>
            </w:r>
          </w:p>
          <w:p>
            <w:pPr>
              <w:spacing w:before="60" w:after="60"/>
              <w:jc w:val="right"/>
              <w:rPr>
                <w:rFonts w:eastAsia="Times New Roman"/>
                <w:noProof/>
                <w:sz w:val="22"/>
              </w:rPr>
            </w:pPr>
            <w:r>
              <w:rPr>
                <w:noProof/>
                <w:sz w:val="22"/>
              </w:rPr>
              <w:t>Procentdel af pakken af individualiserede tilbud:</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500 000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4,94 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Foranstaltninger i henhold til EGF-forordningens artikel 7, stk. 4</w:t>
            </w:r>
          </w:p>
        </w:tc>
      </w:tr>
      <w:tr>
        <w:tc>
          <w:tcPr>
            <w:tcW w:w="4644" w:type="dxa"/>
            <w:shd w:val="clear" w:color="auto" w:fill="auto"/>
          </w:tcPr>
          <w:p>
            <w:pPr>
              <w:spacing w:before="60" w:after="60"/>
              <w:ind w:left="284"/>
              <w:jc w:val="left"/>
              <w:rPr>
                <w:rFonts w:eastAsia="Times New Roman"/>
                <w:noProof/>
                <w:sz w:val="22"/>
              </w:rPr>
            </w:pPr>
            <w:r>
              <w:rPr>
                <w:noProof/>
                <w:sz w:val="22"/>
              </w:rPr>
              <w:t>1. Forberedelser</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Forvaltning</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noProof/>
                <w:sz w:val="22"/>
              </w:rPr>
              <w:t>3. Oplysning og offentlig omtale</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20 000</w:t>
            </w:r>
          </w:p>
        </w:tc>
      </w:tr>
      <w:tr>
        <w:tc>
          <w:tcPr>
            <w:tcW w:w="4644" w:type="dxa"/>
            <w:shd w:val="clear" w:color="auto" w:fill="auto"/>
          </w:tcPr>
          <w:p>
            <w:pPr>
              <w:spacing w:before="60" w:after="60"/>
              <w:ind w:left="284"/>
              <w:jc w:val="left"/>
              <w:rPr>
                <w:rFonts w:eastAsia="Times New Roman"/>
                <w:noProof/>
                <w:sz w:val="22"/>
              </w:rPr>
            </w:pPr>
            <w:r>
              <w:rPr>
                <w:noProof/>
                <w:sz w:val="22"/>
              </w:rPr>
              <w:t>4. Kontrol og rapportering</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noProof/>
                <w:sz w:val="22"/>
              </w:rPr>
              <w:t>5. Andet</w:t>
            </w:r>
          </w:p>
        </w:tc>
        <w:tc>
          <w:tcPr>
            <w:tcW w:w="3096" w:type="dxa"/>
            <w:gridSpan w:val="2"/>
            <w:shd w:val="clear" w:color="auto" w:fill="D9D9D9"/>
            <w:vAlign w:val="center"/>
          </w:tcPr>
          <w:p>
            <w:pPr>
              <w:spacing w:before="60" w:after="60"/>
              <w:jc w:val="center"/>
              <w:rPr>
                <w:rFonts w:eastAsia="Times New Roman"/>
                <w:noProof/>
                <w:sz w:val="22"/>
              </w:rPr>
            </w:pPr>
          </w:p>
        </w:tc>
        <w:tc>
          <w:tcPr>
            <w:tcW w:w="1548" w:type="dxa"/>
            <w:tcBorders>
              <w:bottom w:val="single" w:sz="4" w:space="0" w:color="auto"/>
            </w:tcBorders>
            <w:shd w:val="clear" w:color="auto" w:fill="auto"/>
          </w:tcPr>
          <w:p>
            <w:pPr>
              <w:spacing w:before="60" w:after="60"/>
              <w:jc w:val="center"/>
              <w:rPr>
                <w:noProof/>
              </w:rPr>
            </w:pPr>
            <w:r>
              <w:rPr>
                <w:noProof/>
              </w:rPr>
              <w:t>100 000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Subtotal (c):</w:t>
            </w:r>
          </w:p>
          <w:p>
            <w:pPr>
              <w:spacing w:before="60" w:after="60"/>
              <w:jc w:val="right"/>
              <w:rPr>
                <w:rFonts w:eastAsia="Times New Roman"/>
                <w:noProof/>
                <w:sz w:val="22"/>
              </w:rPr>
            </w:pPr>
            <w:r>
              <w:rPr>
                <w:noProof/>
                <w:sz w:val="22"/>
              </w:rPr>
              <w:t>Procentdel af de samlede omkostninger:</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320 000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3,06 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Samlede omkostninger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10 447 607</w:t>
            </w:r>
          </w:p>
        </w:tc>
      </w:tr>
      <w:tr>
        <w:tc>
          <w:tcPr>
            <w:tcW w:w="4644" w:type="dxa"/>
            <w:shd w:val="clear" w:color="auto" w:fill="auto"/>
          </w:tcPr>
          <w:p>
            <w:pPr>
              <w:spacing w:before="60" w:after="60"/>
              <w:jc w:val="left"/>
              <w:rPr>
                <w:rFonts w:eastAsia="Times New Roman"/>
                <w:noProof/>
                <w:sz w:val="22"/>
              </w:rPr>
            </w:pPr>
            <w:r>
              <w:rPr>
                <w:noProof/>
                <w:sz w:val="22"/>
              </w:rPr>
              <w:t>EGF-støtte (60 % af de samlede omkostninger)</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6 268 564</w:t>
            </w:r>
          </w:p>
        </w:tc>
      </w:tr>
    </w:tbl>
    <w:p>
      <w:pPr>
        <w:pStyle w:val="ManualNumPar1"/>
        <w:rPr>
          <w:noProof/>
          <w:szCs w:val="20"/>
        </w:rPr>
      </w:pPr>
      <w:r>
        <w:t>29.</w:t>
      </w:r>
      <w:r>
        <w:tab/>
      </w:r>
      <w:r>
        <w:rPr>
          <w:noProof/>
        </w:rPr>
        <w:t>Omkostningerne til de foranstaltninger, der er identificeret i ovenstående tabel som foranstaltninger i henhold til EGF-forordningens artikel 7, stk. 1, litra b), overstiger ikke 35 % af de samlede omkostninger ved den samordnede pakke af individualiserede tilbud. De belgiske myndigheder har bekræftet, at disse foranstaltninger er betinget af, at de modtagere, der er tiltænkt støtte, deltager aktivt i jobsøgnings- eller uddannelsesaktiviteterne.</w:t>
      </w:r>
    </w:p>
    <w:p>
      <w:pPr>
        <w:pStyle w:val="ManualHeading3"/>
        <w:rPr>
          <w:noProof/>
        </w:rPr>
      </w:pPr>
      <w:r>
        <w:rPr>
          <w:noProof/>
        </w:rPr>
        <w:t>Periode for udgifternes støtteberettigelse</w:t>
      </w:r>
    </w:p>
    <w:p>
      <w:pPr>
        <w:pStyle w:val="ManualNumPar1"/>
        <w:rPr>
          <w:noProof/>
        </w:rPr>
      </w:pPr>
      <w:r>
        <w:t>30.</w:t>
      </w:r>
      <w:r>
        <w:tab/>
      </w:r>
      <w:r>
        <w:rPr>
          <w:noProof/>
        </w:rPr>
        <w:t>De belgiske myndigheder begyndte den 1. januar 2014 at yde individualiserede tilbud til de modtagere, der var tiltænkt støtte. Udgifterne til foranstaltningerne i punkt 24 skal derfor være støtteberettigede til økonomisk EGF-støtte fra den 1. januar 2014 til den 24. marts 2017.</w:t>
      </w:r>
    </w:p>
    <w:p>
      <w:pPr>
        <w:pStyle w:val="ManualNumPar1"/>
        <w:rPr>
          <w:noProof/>
        </w:rPr>
      </w:pPr>
      <w:r>
        <w:t>31.</w:t>
      </w:r>
      <w:r>
        <w:tab/>
      </w:r>
      <w:r>
        <w:rPr>
          <w:noProof/>
        </w:rPr>
        <w:t xml:space="preserve">De belgiske myndigheder påtog sig den administrative udgift, der skal gennemføre EGF, den 1. september 2014. Udgifterne til det forberedende arbejde, forvaltning, oplysning, offentlig omtale og kontrol- og rapporteringsaktiviteter skal derfor være støtteberettigede til økonomisk EGF-støtte fra den 1. september 2014 til den 24. september 2017. </w:t>
      </w:r>
    </w:p>
    <w:p>
      <w:pPr>
        <w:pStyle w:val="ManualHeading3"/>
        <w:rPr>
          <w:noProof/>
        </w:rPr>
      </w:pPr>
      <w:r>
        <w:rPr>
          <w:noProof/>
        </w:rPr>
        <w:t>Komplementaritet med de foranstaltninger, der finansieres af nationale midler eller af EU-midler</w:t>
      </w:r>
    </w:p>
    <w:p>
      <w:pPr>
        <w:rPr>
          <w:noProof/>
        </w:rPr>
      </w:pPr>
      <w:r>
        <w:rPr>
          <w:noProof/>
        </w:rPr>
        <w:t>Kilderne til national forfinansiering eller medfinansiering er et antal parter involveret i denne ansøgning:</w:t>
      </w:r>
    </w:p>
    <w:p>
      <w:pPr>
        <w:pStyle w:val="Bullet1"/>
        <w:numPr>
          <w:ilvl w:val="0"/>
          <w:numId w:val="14"/>
        </w:numPr>
        <w:rPr>
          <w:noProof/>
        </w:rPr>
      </w:pPr>
      <w:r>
        <w:rPr>
          <w:noProof/>
        </w:rPr>
        <w:t>den flamske arbejdsformidling og erhvervsuddannelsestjeneste (VDAB)</w:t>
      </w:r>
    </w:p>
    <w:p>
      <w:pPr>
        <w:pStyle w:val="Bullet1"/>
        <w:rPr>
          <w:noProof/>
        </w:rPr>
      </w:pPr>
      <w:r>
        <w:rPr>
          <w:noProof/>
        </w:rPr>
        <w:t>den nationale arbejdsformidling (RVA)</w:t>
      </w:r>
    </w:p>
    <w:p>
      <w:pPr>
        <w:pStyle w:val="Bullet1"/>
        <w:rPr>
          <w:noProof/>
        </w:rPr>
      </w:pPr>
      <w:r>
        <w:rPr>
          <w:noProof/>
        </w:rPr>
        <w:t>regeringen i Limburgprovinsen</w:t>
      </w:r>
    </w:p>
    <w:p>
      <w:pPr>
        <w:pStyle w:val="Bullet1"/>
        <w:rPr>
          <w:noProof/>
        </w:rPr>
      </w:pPr>
      <w:r>
        <w:rPr>
          <w:noProof/>
        </w:rPr>
        <w:t>byen Genk</w:t>
      </w:r>
    </w:p>
    <w:p>
      <w:pPr>
        <w:pStyle w:val="Bullet1"/>
        <w:rPr>
          <w:noProof/>
        </w:rPr>
      </w:pPr>
      <w:r>
        <w:rPr>
          <w:noProof/>
        </w:rPr>
        <w:t>beskæftigelses- og uddannelsesfonden for Limburgs metalindustri (FTML)</w:t>
      </w:r>
    </w:p>
    <w:p>
      <w:pPr>
        <w:pStyle w:val="Bullet1"/>
        <w:rPr>
          <w:noProof/>
        </w:rPr>
      </w:pPr>
      <w:r>
        <w:rPr>
          <w:noProof/>
        </w:rPr>
        <w:t>Limburgs Institut for uddannelse af ansatte i metalforarbejdningsindustrien (LIMOB)</w:t>
      </w:r>
    </w:p>
    <w:p>
      <w:pPr>
        <w:pStyle w:val="Bullet1"/>
        <w:rPr>
          <w:noProof/>
        </w:rPr>
      </w:pPr>
      <w:r>
        <w:rPr>
          <w:noProof/>
        </w:rPr>
        <w:t>uddannelsescenteret Syntra</w:t>
      </w:r>
    </w:p>
    <w:p>
      <w:pPr>
        <w:pStyle w:val="Bullet1"/>
        <w:rPr>
          <w:noProof/>
        </w:rPr>
      </w:pPr>
      <w:r>
        <w:rPr>
          <w:noProof/>
        </w:rPr>
        <w:t>Ford.</w:t>
      </w:r>
    </w:p>
    <w:p>
      <w:pPr>
        <w:pStyle w:val="ManualNumPar1"/>
        <w:rPr>
          <w:noProof/>
        </w:rPr>
      </w:pPr>
      <w:r>
        <w:t>32.</w:t>
      </w:r>
      <w:r>
        <w:tab/>
      </w:r>
      <w:r>
        <w:rPr>
          <w:noProof/>
        </w:rPr>
        <w:t>De belgiske myndigheder har anført, at de ovenfor beskrevne foranstaltninger, der modtager økonomisk EGF-støtte, ikke samtidig modtager økonomisk støtte fra andre af Unionens finansielle instrumenter.</w:t>
      </w:r>
    </w:p>
    <w:p>
      <w:pPr>
        <w:pStyle w:val="ManualHeading3"/>
        <w:rPr>
          <w:noProof/>
          <w:u w:val="single"/>
        </w:rPr>
      </w:pPr>
      <w:r>
        <w:rPr>
          <w:noProof/>
        </w:rPr>
        <w:t>Fremgangsmåder ved høringen af støttemodtagerne eller disses repræsentanter eller arbejdsmarkedets parter samt lokale og regionale myndigheder</w:t>
      </w:r>
    </w:p>
    <w:p>
      <w:pPr>
        <w:pStyle w:val="ManualNumPar1"/>
        <w:rPr>
          <w:noProof/>
        </w:rPr>
      </w:pPr>
      <w:r>
        <w:t>33.</w:t>
      </w:r>
      <w:r>
        <w:tab/>
      </w:r>
      <w:r>
        <w:rPr>
          <w:noProof/>
        </w:rPr>
        <w:t xml:space="preserve">De belgiske myndigheder har tilkendegivet, at den samordnede pakke af individualiserede tilbud er blevet udarbejdet i samråd med støttemodtagerne i målgruppen, deres repræsentanter, arbejdsmarkedets parter, lokale, regionale og nationale offentlige arbejdsformidlingsorganer og uddannelsesinstitutioner samt virksomheden. </w:t>
      </w:r>
    </w:p>
    <w:p>
      <w:pPr>
        <w:pStyle w:val="ManualHeading2"/>
        <w:rPr>
          <w:noProof/>
        </w:rPr>
      </w:pPr>
      <w:r>
        <w:rPr>
          <w:noProof/>
        </w:rPr>
        <w:t>Forvaltnings- og kontrolsystemer</w:t>
      </w:r>
    </w:p>
    <w:p>
      <w:pPr>
        <w:pStyle w:val="ManualNumPar1"/>
        <w:rPr>
          <w:noProof/>
        </w:rPr>
      </w:pPr>
      <w:r>
        <w:t>34.</w:t>
      </w:r>
      <w:r>
        <w:tab/>
      </w:r>
      <w:r>
        <w:rPr>
          <w:noProof/>
        </w:rPr>
        <w:t>Ansøgningen indeholder en detaljeret beskrivelse af forvaltnings- og kontrolsystemerne og fastlægger de involverede organers ansvarsområder. De belgiske myndigheder har meddelt Kommissionen, at den økonomiske støtte vil blive forvaltet og kontrolleret af de samme organer som dem, der forvalter og kontrollerer Den Europæiske Socialfond i Flandern.</w:t>
      </w:r>
    </w:p>
    <w:p>
      <w:pPr>
        <w:pStyle w:val="ManualHeading2"/>
        <w:rPr>
          <w:noProof/>
        </w:rPr>
      </w:pPr>
      <w:r>
        <w:rPr>
          <w:noProof/>
        </w:rPr>
        <w:t>Tilsagn afgivet af den pågældende medlemsstat</w:t>
      </w:r>
    </w:p>
    <w:p>
      <w:pPr>
        <w:pStyle w:val="ManualNumPar1"/>
        <w:rPr>
          <w:noProof/>
        </w:rPr>
      </w:pPr>
      <w:r>
        <w:t>35.</w:t>
      </w:r>
      <w:r>
        <w:tab/>
      </w:r>
      <w:r>
        <w:rPr>
          <w:noProof/>
        </w:rPr>
        <w:t xml:space="preserve">De belgiske myndigheder har givet alle nødvendige garantier med hensyn til følgende: </w:t>
      </w:r>
    </w:p>
    <w:p>
      <w:pPr>
        <w:pStyle w:val="Tiret1"/>
        <w:numPr>
          <w:ilvl w:val="0"/>
          <w:numId w:val="12"/>
        </w:numPr>
        <w:rPr>
          <w:noProof/>
        </w:rPr>
      </w:pPr>
      <w:r>
        <w:rPr>
          <w:noProof/>
        </w:rPr>
        <w:t>Principperne om ligebehandling og ikke-forskelsbehandling overholdes i forbindelse med adgang til de foreslåede foranstaltninger og deres gennemførelse.</w:t>
      </w:r>
    </w:p>
    <w:p>
      <w:pPr>
        <w:pStyle w:val="Tiret1"/>
        <w:numPr>
          <w:ilvl w:val="0"/>
          <w:numId w:val="12"/>
        </w:numPr>
        <w:rPr>
          <w:noProof/>
        </w:rPr>
      </w:pPr>
      <w:r>
        <w:rPr>
          <w:noProof/>
        </w:rPr>
        <w:t>Kravene i den nationale lovgivning og i EU-lovgivningen vedrørende kollektiv afskedigelse er blevet overholdt.</w:t>
      </w:r>
    </w:p>
    <w:p>
      <w:pPr>
        <w:pStyle w:val="Tiret1"/>
        <w:numPr>
          <w:ilvl w:val="0"/>
          <w:numId w:val="12"/>
        </w:numPr>
        <w:rPr>
          <w:noProof/>
        </w:rPr>
      </w:pPr>
      <w:r>
        <w:rPr>
          <w:noProof/>
        </w:rPr>
        <w:t>De foreslåede foranstaltninger modtager ikke finansiel støtte fra andre EU-fonde eller fra finansielle instrumenter, og dobbeltfinansiering vil blive forhindret.</w:t>
      </w:r>
    </w:p>
    <w:p>
      <w:pPr>
        <w:pStyle w:val="Tiret1"/>
        <w:numPr>
          <w:ilvl w:val="0"/>
          <w:numId w:val="12"/>
        </w:numPr>
        <w:rPr>
          <w:noProof/>
        </w:rPr>
      </w:pPr>
      <w:r>
        <w:rPr>
          <w:noProof/>
        </w:rPr>
        <w:t>De foreslåede foranstaltninger supplerer de foranstaltninger, der finansieres af strukturfondene.</w:t>
      </w:r>
    </w:p>
    <w:p>
      <w:pPr>
        <w:pStyle w:val="Tiret1"/>
        <w:numPr>
          <w:ilvl w:val="0"/>
          <w:numId w:val="12"/>
        </w:numPr>
        <w:rPr>
          <w:noProof/>
        </w:rPr>
      </w:pPr>
      <w:r>
        <w:rPr>
          <w:noProof/>
        </w:rPr>
        <w:t>Den økonomiske EGF-støtte overholder de proceduremæssige og materielle EU-bestemmelser om statsstøtte.</w:t>
      </w:r>
    </w:p>
    <w:p>
      <w:pPr>
        <w:pStyle w:val="ManualHeading1"/>
        <w:rPr>
          <w:noProof/>
        </w:rPr>
      </w:pPr>
      <w:r>
        <w:rPr>
          <w:noProof/>
        </w:rPr>
        <w:t>VIRKNINGER FOR BUDGETTET</w:t>
      </w:r>
    </w:p>
    <w:p>
      <w:pPr>
        <w:pStyle w:val="ManualHeading2"/>
        <w:rPr>
          <w:noProof/>
        </w:rPr>
      </w:pPr>
      <w:r>
        <w:rPr>
          <w:noProof/>
        </w:rPr>
        <w:t>Budgetmæssigt forslag</w:t>
      </w:r>
    </w:p>
    <w:p>
      <w:pPr>
        <w:pStyle w:val="ManualNumPar1"/>
        <w:rPr>
          <w:noProof/>
        </w:rPr>
      </w:pPr>
      <w:r>
        <w:t>36.</w:t>
      </w:r>
      <w:r>
        <w:tab/>
      </w:r>
      <w:r>
        <w:rPr>
          <w:noProof/>
        </w:rPr>
        <w:t>EGF må ikke overstige et maksimalt årligt beløb på 150 mio. EUR (i 2011-priser), jf. artikel 12 i Rådets forordning (EU, Euratom) nr. 1311/2013 af 2. december 2013 om fastlæggelse af den flerårige finansielle ramme for årene 2014-2020</w:t>
      </w:r>
      <w:r>
        <w:rPr>
          <w:rStyle w:val="FootnoteReference"/>
          <w:noProof/>
        </w:rPr>
        <w:footnoteReference w:id="12"/>
      </w:r>
      <w:r>
        <w:rPr>
          <w:noProof/>
        </w:rPr>
        <w:t>.</w:t>
      </w:r>
    </w:p>
    <w:p>
      <w:pPr>
        <w:pStyle w:val="ManualNumPar1"/>
        <w:rPr>
          <w:rFonts w:eastAsia="Calibri"/>
          <w:noProof/>
        </w:rPr>
      </w:pPr>
      <w:r>
        <w:t>37.</w:t>
      </w:r>
      <w:r>
        <w:tab/>
      </w:r>
      <w:r>
        <w:rPr>
          <w:noProof/>
        </w:rPr>
        <w:t>Efter at have gennemgået ansøgningen for så vidt angår de betingelser, der er fastsat i EGF-forordningens artikel 13, stk. 1, og under hensyntagen til antallet af støttemodtagere, de foreslåede foranstaltninger og de forventede omkostninger, foreslår Kommissionen at mobilisere EGF med et beløb på 6 268 564 EUR, hvilket svarer til 60 % af de samlede omkostninger ved de foreslåede foranstaltninger for at kunne yde økonomisk støtte til ansøgningen.</w:t>
      </w:r>
    </w:p>
    <w:p>
      <w:pPr>
        <w:pStyle w:val="ManualNumPar1"/>
        <w:rPr>
          <w:rFonts w:eastAsia="Times New Roman"/>
          <w:noProof/>
        </w:rPr>
      </w:pPr>
      <w:r>
        <w:t>38.</w:t>
      </w:r>
      <w:r>
        <w:tab/>
      </w:r>
      <w:r>
        <w:rPr>
          <w:noProof/>
        </w:rPr>
        <w:t>Den planlagte afgørelse om at mobilisere EGF vil blive truffet i fællesskab af Europa-Parlamentet og Rådet, jf. punkt 13 i den interinstitutionelle aftale af 2. december 2013 mellem Europa-Parlamentet, Rådet og Kommissionen om budgetdisciplin, om samarbejde på budgetområdet og om forsvarlig økonomisk forvaltning</w:t>
      </w:r>
      <w:r>
        <w:rPr>
          <w:rStyle w:val="FootnoteReference"/>
          <w:noProof/>
        </w:rPr>
        <w:footnoteReference w:id="13"/>
      </w:r>
      <w:r>
        <w:rPr>
          <w:noProof/>
        </w:rPr>
        <w:t>.</w:t>
      </w:r>
    </w:p>
    <w:p>
      <w:pPr>
        <w:pStyle w:val="ManualHeading2"/>
        <w:rPr>
          <w:noProof/>
        </w:rPr>
      </w:pPr>
      <w:r>
        <w:rPr>
          <w:noProof/>
        </w:rPr>
        <w:t>Tilhørende retsakter</w:t>
      </w:r>
    </w:p>
    <w:p>
      <w:pPr>
        <w:pStyle w:val="ManualNumPar1"/>
        <w:rPr>
          <w:noProof/>
        </w:rPr>
      </w:pPr>
      <w:r>
        <w:t>39.</w:t>
      </w:r>
      <w:r>
        <w:tab/>
      </w:r>
      <w:r>
        <w:rPr>
          <w:noProof/>
        </w:rPr>
        <w:t>Samtidig med at Kommissionen forelægger dette forslag til en afgørelse om at mobilisere EGF, forelægger den et forslag for Europa-Parlamentet og Rådet om overførsel til den relevante budgetpost af et beløb på 6 268 564 EUR.</w:t>
      </w:r>
    </w:p>
    <w:p>
      <w:pPr>
        <w:pStyle w:val="ManualNumPar1"/>
        <w:rPr>
          <w:noProof/>
        </w:rPr>
      </w:pPr>
      <w:r>
        <w:t>40.</w:t>
      </w:r>
      <w:r>
        <w:tab/>
      </w:r>
      <w:r>
        <w:rPr>
          <w:noProof/>
        </w:rPr>
        <w:t>Samtidig med at Kommissionen vedtager dette forslag til en afgørelse om at mobilisere EGF, vedtager den ved en gennemførelsesretsakt en afgørelse om økonomisk støtte, der træder i kraft den dag, hvor Europa-Parlamentet og Rådet vedtager den foreslåede afgørelse om at mobilisere EGF.</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Statut"/>
        <w:rPr>
          <w:noProof/>
        </w:rPr>
      </w:pPr>
      <w:r>
        <w:rPr>
          <w:noProof/>
        </w:rPr>
        <w:t>Forslag til</w:t>
      </w:r>
    </w:p>
    <w:p>
      <w:pPr>
        <w:pStyle w:val="Typedudocument"/>
        <w:rPr>
          <w:noProof/>
        </w:rPr>
      </w:pPr>
      <w:r>
        <w:rPr>
          <w:noProof/>
        </w:rPr>
        <w:t>EUROPA-PARLAMENTETS OG RÅDETS AFGØRELSE</w:t>
      </w:r>
    </w:p>
    <w:p>
      <w:pPr>
        <w:pStyle w:val="Titreobjet"/>
        <w:rPr>
          <w:noProof/>
        </w:rPr>
      </w:pPr>
      <w:r>
        <w:rPr>
          <w:noProof/>
        </w:rPr>
        <w:t xml:space="preserve">om mobilisering af Den Europæiske Fond for Tilpasning til Globaliseringen </w:t>
      </w:r>
      <w:r>
        <w:rPr>
          <w:noProof/>
        </w:rPr>
        <w:br/>
        <w:t>(ansøgning fra Belgien — EGF/2015/003 BE/Ford Genk)</w:t>
      </w:r>
    </w:p>
    <w:p>
      <w:pPr>
        <w:pStyle w:val="Institutionquiagit"/>
        <w:rPr>
          <w:noProof/>
        </w:rPr>
      </w:pPr>
      <w:r>
        <w:rPr>
          <w:noProof/>
        </w:rPr>
        <w:t>EUROPA-PARLAMENTET OG RÅDET FOR DEN EUROPÆISKE UNION HAR —</w:t>
      </w:r>
    </w:p>
    <w:p>
      <w:pPr>
        <w:rPr>
          <w:noProof/>
        </w:rPr>
      </w:pPr>
      <w:r>
        <w:rPr>
          <w:noProof/>
        </w:rPr>
        <w:t>under henvisning til traktaten om Den Europæiske Unions funktionsmåde,</w:t>
      </w:r>
    </w:p>
    <w:p>
      <w:pPr>
        <w:rPr>
          <w:noProof/>
        </w:rPr>
      </w:pPr>
      <w:r>
        <w:rPr>
          <w:noProof/>
        </w:rPr>
        <w:t>under henvisning til Europa-Parlamentets og Rådets forordning (EU) nr. 1309/2013 af 17. december 2013 om Den Europæiske Fond for Tilpasning til Globaliseringen (2014-2020) og ophævelse af forordning (EF) nr. 1927/2006</w:t>
      </w:r>
      <w:r>
        <w:rPr>
          <w:rStyle w:val="FootnoteReference"/>
          <w:noProof/>
        </w:rPr>
        <w:footnoteReference w:id="14"/>
      </w:r>
      <w:r>
        <w:rPr>
          <w:noProof/>
        </w:rPr>
        <w:t>, særlig artikel 15, stk. 4,</w:t>
      </w:r>
    </w:p>
    <w:p>
      <w:pPr>
        <w:rPr>
          <w:noProof/>
        </w:rPr>
      </w:pPr>
      <w:r>
        <w:rPr>
          <w:noProof/>
        </w:rPr>
        <w:t>under henvisning til den interinstitutionelle aftale af 2. december 2013 mellem Europa-Parlamentet, Rådet og Kommissionen om budgetdisciplin, om samarbejde på budgetområdet og om forsvarlig økonomisk forvaltning</w:t>
      </w:r>
      <w:r>
        <w:rPr>
          <w:rStyle w:val="FootnoteReference"/>
          <w:noProof/>
        </w:rPr>
        <w:footnoteReference w:id="15"/>
      </w:r>
      <w:r>
        <w:rPr>
          <w:noProof/>
        </w:rPr>
        <w:t>, særlig punkt 13,</w:t>
      </w:r>
    </w:p>
    <w:p>
      <w:pPr>
        <w:rPr>
          <w:noProof/>
        </w:rPr>
      </w:pPr>
      <w:r>
        <w:rPr>
          <w:noProof/>
        </w:rPr>
        <w:t>under henvisning til forslag fra Europa-Kommissionen, og</w:t>
      </w:r>
    </w:p>
    <w:p>
      <w:pPr>
        <w:rPr>
          <w:noProof/>
        </w:rPr>
      </w:pPr>
      <w:r>
        <w:rPr>
          <w:noProof/>
        </w:rPr>
        <w:t>ud fra følgende betragtninger:</w:t>
      </w:r>
    </w:p>
    <w:p>
      <w:pPr>
        <w:pStyle w:val="ManualConsidrant"/>
        <w:rPr>
          <w:noProof/>
        </w:rPr>
      </w:pPr>
      <w:r>
        <w:t>(1)</w:t>
      </w:r>
      <w:r>
        <w:tab/>
      </w:r>
      <w:r>
        <w:rPr>
          <w:noProof/>
        </w:rPr>
        <w:t>Den Europæiske Fond for Tilpasning til Globaliseringen (EGF) har til formål at yde støtte til arbejdstagere, der er blevet afskediget, og selvstændige erhvervsdrivende, hvis virksomhed er ophørt som følge af gennemgribende strukturelle ændringer i verdenshandelsmønstrene, der kan tilskrives globaliseringen, som følge af en fortsættelse af den internationale finansielle og økonomiske krise, eller som følge af en ny global finansiel og økonomisk krise, og hjælpe disse med at vende tilbage til arbejdsmarkedet.</w:t>
      </w:r>
    </w:p>
    <w:p>
      <w:pPr>
        <w:pStyle w:val="ManualConsidrant"/>
        <w:rPr>
          <w:noProof/>
          <w:lang w:val="nn-NO"/>
        </w:rPr>
      </w:pPr>
      <w:r>
        <w:t>(2)</w:t>
      </w:r>
      <w:r>
        <w:tab/>
      </w:r>
      <w:r>
        <w:rPr>
          <w:noProof/>
        </w:rPr>
        <w:t xml:space="preserve">EGF må ikke overstige et årligt beløb på 150 mio. </w:t>
      </w:r>
      <w:r>
        <w:rPr>
          <w:noProof/>
          <w:lang w:val="nn-NO"/>
        </w:rPr>
        <w:t>EUR (i 2011-priser), jf. artikel 12 i Rådets forordning (EU, Euratom) nr. 1311/2013</w:t>
      </w:r>
      <w:r>
        <w:rPr>
          <w:rStyle w:val="FootnoteReference"/>
          <w:noProof/>
        </w:rPr>
        <w:footnoteReference w:id="16"/>
      </w:r>
      <w:r>
        <w:rPr>
          <w:noProof/>
          <w:lang w:val="nn-NO"/>
        </w:rPr>
        <w:t>.</w:t>
      </w:r>
    </w:p>
    <w:p>
      <w:pPr>
        <w:pStyle w:val="ManualConsidrant"/>
        <w:rPr>
          <w:noProof/>
        </w:rPr>
      </w:pPr>
      <w:r>
        <w:t>(3)</w:t>
      </w:r>
      <w:r>
        <w:tab/>
      </w:r>
      <w:r>
        <w:rPr>
          <w:noProof/>
        </w:rPr>
        <w:t>Den 24. marts 2015 indgav Belgien ansøgning EGF/2015/003 BE/Ford Genk om økonomisk EGF-støtte som følge af afskedigelser og ophør med aktiviteter (i det følgende benævnt "afskedigelser") i Ford Genk og hos 11 leverandører og producenter i efterfølgende produktionsled. Den blev suppleret med yderligere oplysninger i henhold til artikel 8, stk. 3, i forordning (EU) nr. 1309/2013. Ansøgningen opfylder kravene til fastlæggelse af størrelsen på et økonomisk støttebeløb fra EGF, jf. artikel 13 i nævnte forordning.</w:t>
      </w:r>
    </w:p>
    <w:p>
      <w:pPr>
        <w:pStyle w:val="ManualConsidrant"/>
        <w:rPr>
          <w:noProof/>
        </w:rPr>
      </w:pPr>
      <w:r>
        <w:t>(4)</w:t>
      </w:r>
      <w:r>
        <w:tab/>
      </w:r>
      <w:r>
        <w:rPr>
          <w:noProof/>
        </w:rPr>
        <w:t>Som følge af Belgiens ansøgning bør EGF derfor mobiliseres til at yde en økonomisk støtte på 6 268 564 EUR.</w:t>
      </w:r>
    </w:p>
    <w:p>
      <w:pPr>
        <w:pStyle w:val="ManualConsidrant"/>
        <w:rPr>
          <w:noProof/>
        </w:rPr>
      </w:pPr>
      <w:r>
        <w:t>(5)</w:t>
      </w:r>
      <w:r>
        <w:tab/>
      </w:r>
      <w:r>
        <w:rPr>
          <w:noProof/>
        </w:rPr>
        <w:t>Med henblik på at minimere den tid, det tager at mobilisere EGF-midlerne, bør denne afgørelse derfor anvendes fra vedtagelsesdatoen —</w:t>
      </w:r>
    </w:p>
    <w:p>
      <w:pPr>
        <w:pStyle w:val="Formuledadoption"/>
        <w:rPr>
          <w:noProof/>
        </w:rPr>
      </w:pPr>
      <w:r>
        <w:rPr>
          <w:noProof/>
        </w:rPr>
        <w:t xml:space="preserve">VEDTAGET DENNE AFGØRELSE: </w:t>
      </w:r>
    </w:p>
    <w:p>
      <w:pPr>
        <w:pStyle w:val="Titrearticle"/>
        <w:rPr>
          <w:noProof/>
        </w:rPr>
      </w:pPr>
      <w:r>
        <w:rPr>
          <w:noProof/>
        </w:rPr>
        <w:t>Artikel 1</w:t>
      </w:r>
    </w:p>
    <w:p>
      <w:pPr>
        <w:rPr>
          <w:noProof/>
        </w:rPr>
      </w:pPr>
      <w:r>
        <w:rPr>
          <w:noProof/>
        </w:rPr>
        <w:t>Inden for rammerne af Den Europæiske Unions almindelige budget for regnskabsåret 2015 stilles der et beløb til rådighed fra Den Europæiske Fond for Tilpasning til Globaliseringen på 6 268 564 EUR i forpligtelses- og betalingsbevillinger.</w:t>
      </w:r>
    </w:p>
    <w:p>
      <w:pPr>
        <w:pStyle w:val="Titrearticle"/>
        <w:rPr>
          <w:noProof/>
        </w:rPr>
      </w:pPr>
      <w:r>
        <w:rPr>
          <w:noProof/>
        </w:rPr>
        <w:t>Artikel 2</w:t>
      </w:r>
    </w:p>
    <w:p>
      <w:pPr>
        <w:keepNext/>
        <w:keepLines/>
        <w:rPr>
          <w:noProof/>
        </w:rPr>
      </w:pPr>
      <w:r>
        <w:rPr>
          <w:noProof/>
        </w:rPr>
        <w:t xml:space="preserve">Denne afgørelse træder i kraft på dagen for offentliggørelsen i </w:t>
      </w:r>
      <w:r>
        <w:rPr>
          <w:i/>
          <w:noProof/>
        </w:rPr>
        <w:t>Den Europæiske Unions Tidende</w:t>
      </w:r>
      <w:r>
        <w:rPr>
          <w:noProof/>
        </w:rPr>
        <w:t xml:space="preserve">. Den anvendes fra den </w:t>
      </w:r>
      <w:r>
        <w:rPr>
          <w:noProof/>
          <w:highlight w:val="yellow"/>
        </w:rPr>
        <w:t>...</w:t>
      </w:r>
      <w:r>
        <w:rPr>
          <w:noProof/>
        </w:rPr>
        <w:t xml:space="preserve"> [</w:t>
      </w:r>
      <w:r>
        <w:rPr>
          <w:i/>
          <w:noProof/>
        </w:rPr>
        <w:t>the date of its adoption</w:t>
      </w:r>
      <w:r>
        <w:rPr>
          <w:noProof/>
        </w:rPr>
        <w:t>]</w:t>
      </w:r>
      <w:r>
        <w:rPr>
          <w:rStyle w:val="FootnoteReference"/>
          <w:noProof/>
        </w:rPr>
        <w:sym w:font="Symbol" w:char="F02A"/>
      </w:r>
      <w:r>
        <w:rPr>
          <w:noProof/>
        </w:rPr>
        <w:t>.</w:t>
      </w:r>
    </w:p>
    <w:p>
      <w:pPr>
        <w:pStyle w:val="Fait"/>
        <w:rPr>
          <w:noProof/>
        </w:rPr>
      </w:pPr>
      <w:r>
        <w:rPr>
          <w:noProof/>
        </w:rPr>
        <w:footnoteReference w:customMarkFollows="1" w:id="17"/>
        <w:t>Udfærdiget i Bruxelles, den .</w:t>
      </w:r>
    </w:p>
    <w:p>
      <w:pPr>
        <w:pStyle w:val="Institutionquisigne"/>
        <w:rPr>
          <w:noProof/>
        </w:rPr>
      </w:pPr>
      <w:r>
        <w:rPr>
          <w:noProof/>
        </w:rPr>
        <w:t>På Europa-Parlamentets vegne</w:t>
      </w:r>
      <w:r>
        <w:rPr>
          <w:noProof/>
        </w:rPr>
        <w:tab/>
        <w:t>På Rådets vegne</w:t>
      </w:r>
      <w:r>
        <w:rPr>
          <w:noProof/>
        </w:rPr>
        <w:tab/>
      </w:r>
      <w:r>
        <w:rPr>
          <w:noProof/>
        </w:rPr>
        <w:br/>
      </w:r>
    </w:p>
    <w:p>
      <w:pPr>
        <w:pStyle w:val="Personnequisigne"/>
        <w:rPr>
          <w:noProof/>
        </w:rPr>
      </w:pPr>
      <w:r>
        <w:rPr>
          <w:noProof/>
        </w:rPr>
        <w:t>Formand</w:t>
      </w:r>
      <w:r>
        <w:rPr>
          <w:noProof/>
        </w:rPr>
        <w:tab/>
        <w:t>Formand</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EUT L 347 af 20.12.2013, s. 855.</w:t>
      </w:r>
    </w:p>
  </w:footnote>
  <w:footnote w:id="2">
    <w:p>
      <w:pPr>
        <w:pStyle w:val="FootnoteText"/>
      </w:pPr>
      <w:r>
        <w:rPr>
          <w:rStyle w:val="FootnoteReference"/>
        </w:rPr>
        <w:footnoteRef/>
      </w:r>
      <w:r>
        <w:tab/>
        <w:t>Jf. EGF-forordningens artikel 3.</w:t>
      </w:r>
    </w:p>
  </w:footnote>
  <w:footnote w:id="3">
    <w:p>
      <w:pPr>
        <w:pStyle w:val="FootnoteText"/>
      </w:pPr>
      <w:r>
        <w:rPr>
          <w:rStyle w:val="FootnoteReference"/>
        </w:rPr>
        <w:footnoteRef/>
      </w:r>
      <w:r>
        <w:tab/>
        <w:t>EUT L 393 af 30.12.2006, s. 1.</w:t>
      </w:r>
    </w:p>
  </w:footnote>
  <w:footnote w:id="4">
    <w:p>
      <w:pPr>
        <w:pStyle w:val="FootnoteText"/>
      </w:pPr>
      <w:r>
        <w:rPr>
          <w:rStyle w:val="FootnoteReference"/>
        </w:rPr>
        <w:footnoteRef/>
      </w:r>
      <w:r>
        <w:tab/>
        <w:t>I overensstemmelse med artikel 7, stk. 4, i forordning (EU) nr. 1309/2013.</w:t>
      </w:r>
    </w:p>
  </w:footnote>
  <w:footnote w:id="5">
    <w:p>
      <w:pPr>
        <w:pStyle w:val="FootnoteText"/>
      </w:pPr>
      <w:r>
        <w:rPr>
          <w:rStyle w:val="FootnoteReference"/>
        </w:rPr>
        <w:footnoteRef/>
      </w:r>
      <w:r>
        <w:tab/>
        <w:t>Kommissionens forordning (EU) nr. 1046/2012 af 8. november 2012 om gennemførelse af Europa-Parlamentets og Rådets forordning (EF) nr. 1059/2003 om indførelse af en fælles nomenklatur for regionale enheder (NUTS) for så vidt angår indberetningen af tidsrækker for den nye regionale opdeling (EUT L 310 af 9.11.2012, s. 34).</w:t>
      </w:r>
    </w:p>
  </w:footnote>
  <w:footnote w:id="6">
    <w:p>
      <w:pPr>
        <w:pStyle w:val="FootnoteText"/>
      </w:pPr>
      <w:r>
        <w:rPr>
          <w:rStyle w:val="FootnoteReference"/>
        </w:rPr>
        <w:footnoteRef/>
      </w:r>
      <w:r>
        <w:tab/>
        <w:t xml:space="preserve">Halvårlig rapport fra Foreningen af Europæiske Automobilfabrikanter 2013. </w:t>
      </w:r>
    </w:p>
  </w:footnote>
  <w:footnote w:id="7">
    <w:p>
      <w:pPr>
        <w:pStyle w:val="FootnoteText"/>
      </w:pPr>
      <w:r>
        <w:rPr>
          <w:rStyle w:val="FootnoteReference"/>
        </w:rPr>
        <w:footnoteRef/>
      </w:r>
      <w:r>
        <w:tab/>
        <w:t>ACEA, The automobile Industry Pocket Guide 2013 (automobilindustriens håndbog).</w:t>
      </w:r>
    </w:p>
  </w:footnote>
  <w:footnote w:id="8">
    <w:p>
      <w:pPr>
        <w:pStyle w:val="FootnoteText"/>
        <w:jc w:val="left"/>
        <w:rPr>
          <w:lang w:val="fr-BE"/>
        </w:rPr>
      </w:pPr>
      <w:r>
        <w:rPr>
          <w:rStyle w:val="FootnoteReference"/>
        </w:rPr>
        <w:footnoteRef/>
      </w:r>
      <w:r>
        <w:rPr>
          <w:lang w:val="fr-FR"/>
        </w:rPr>
        <w:tab/>
        <w:t>FEBIAC (la Fédération Belge de l'Automobile et du Cycle): http://www.febiac.be/public/statistics.aspx?lang=FR.</w:t>
      </w:r>
    </w:p>
  </w:footnote>
  <w:footnote w:id="9">
    <w:p>
      <w:pPr>
        <w:pStyle w:val="FootnoteText"/>
        <w:rPr>
          <w:lang w:val="nl-NL"/>
        </w:rPr>
      </w:pPr>
      <w:r>
        <w:rPr>
          <w:rStyle w:val="FootnoteReference"/>
        </w:rPr>
        <w:footnoteRef/>
      </w:r>
      <w:r>
        <w:rPr>
          <w:lang w:val="nl-NL"/>
        </w:rPr>
        <w:tab/>
        <w:t>COM(2014) 532 final.</w:t>
      </w:r>
    </w:p>
  </w:footnote>
  <w:footnote w:id="10">
    <w:p>
      <w:pPr>
        <w:pStyle w:val="FootnoteText"/>
        <w:rPr>
          <w:lang w:val="nl-NL"/>
        </w:rPr>
      </w:pPr>
      <w:r>
        <w:rPr>
          <w:rStyle w:val="FootnoteReference"/>
        </w:rPr>
        <w:footnoteRef/>
      </w:r>
      <w:r>
        <w:rPr>
          <w:lang w:val="nl-NL"/>
        </w:rPr>
        <w:tab/>
        <w:t xml:space="preserve">Universiteit Hasselt, Kenniscentrum voor Ondernemerschap en Innovatie (Prof. Dr. Ludo Peeters og Prof. Dr. Mark Vancauteren: Studie van de Economische Impact van de Sluiting van Ford Genk, november 2012. </w:t>
      </w:r>
    </w:p>
  </w:footnote>
  <w:footnote w:id="11">
    <w:p>
      <w:pPr>
        <w:pStyle w:val="FootnoteText"/>
      </w:pPr>
      <w:r>
        <w:rPr>
          <w:rStyle w:val="FootnoteReference"/>
        </w:rPr>
        <w:footnoteRef/>
      </w:r>
      <w:r>
        <w:tab/>
        <w:t>Skøn baseret på antallet af deltagere og de samlede omkostninger.</w:t>
      </w:r>
    </w:p>
  </w:footnote>
  <w:footnote w:id="12">
    <w:p>
      <w:pPr>
        <w:pStyle w:val="FootnoteText"/>
      </w:pPr>
      <w:r>
        <w:rPr>
          <w:rStyle w:val="FootnoteReference"/>
        </w:rPr>
        <w:footnoteRef/>
      </w:r>
      <w:r>
        <w:tab/>
        <w:t>EUT L 347 af 20.12.2013, s. 884.</w:t>
      </w:r>
    </w:p>
  </w:footnote>
  <w:footnote w:id="13">
    <w:p>
      <w:pPr>
        <w:pStyle w:val="FootnoteText"/>
      </w:pPr>
      <w:r>
        <w:rPr>
          <w:rStyle w:val="FootnoteReference"/>
        </w:rPr>
        <w:footnoteRef/>
      </w:r>
      <w:r>
        <w:tab/>
        <w:t>EUT C 373 af 20.12.2013, s. 1.</w:t>
      </w:r>
    </w:p>
  </w:footnote>
  <w:footnote w:id="14">
    <w:p>
      <w:pPr>
        <w:pStyle w:val="FootnoteText"/>
      </w:pPr>
      <w:r>
        <w:rPr>
          <w:rStyle w:val="FootnoteReference"/>
        </w:rPr>
        <w:footnoteRef/>
      </w:r>
      <w:r>
        <w:tab/>
        <w:t>EUT L 347 af 20.12.2013, s. 855.</w:t>
      </w:r>
    </w:p>
  </w:footnote>
  <w:footnote w:id="15">
    <w:p>
      <w:pPr>
        <w:pStyle w:val="FootnoteText"/>
      </w:pPr>
      <w:r>
        <w:rPr>
          <w:rStyle w:val="FootnoteReference"/>
        </w:rPr>
        <w:footnoteRef/>
      </w:r>
      <w:r>
        <w:tab/>
        <w:t>EUT C 373 af 20.12.2013, s. 1.</w:t>
      </w:r>
    </w:p>
  </w:footnote>
  <w:footnote w:id="16">
    <w:p>
      <w:pPr>
        <w:pStyle w:val="FootnoteText"/>
      </w:pPr>
      <w:r>
        <w:rPr>
          <w:rStyle w:val="FootnoteReference"/>
        </w:rPr>
        <w:footnoteRef/>
      </w:r>
      <w:r>
        <w:tab/>
        <w:t>Rådets forordning (EU, Euratom) nr. 1311/2013 om fastlæggelse af den flerårige finansielle ramme for 2014-2020 (EUT L 347 af 20.12.2013, s. 884).</w:t>
      </w:r>
    </w:p>
  </w:footnote>
  <w:footnote w:id="17">
    <w:p>
      <w:pPr>
        <w:pStyle w:val="FootnoteText"/>
      </w:pPr>
      <w:r>
        <w:rPr>
          <w:rStyle w:val="FootnoteReference"/>
        </w:rPr>
        <w:sym w:font="Symbol" w:char="F02A"/>
      </w:r>
      <w:r>
        <w:t xml:space="preserve"> </w:t>
      </w:r>
      <w: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8"/>
  </w:num>
  <w:num w:numId="3">
    <w:abstractNumId w:val="6"/>
  </w:num>
  <w:num w:numId="4">
    <w:abstractNumId w:val="5"/>
  </w:num>
  <w:num w:numId="5">
    <w:abstractNumId w:val="4"/>
  </w:num>
  <w:num w:numId="6">
    <w:abstractNumId w:val="3"/>
  </w:num>
  <w:num w:numId="7">
    <w:abstractNumId w:val="20"/>
    <w:lvlOverride w:ilvl="0">
      <w:startOverride w:val="1"/>
    </w:lvlOverride>
  </w:num>
  <w:num w:numId="8">
    <w:abstractNumId w:val="2"/>
  </w:num>
  <w:num w:numId="9">
    <w:abstractNumId w:val="1"/>
  </w:num>
  <w:num w:numId="10">
    <w:abstractNumId w:val="0"/>
  </w:num>
  <w:num w:numId="11">
    <w:abstractNumId w:val="11"/>
    <w:lvlOverride w:ilvl="0">
      <w:startOverride w:val="1"/>
    </w:lvlOverride>
  </w:num>
  <w:num w:numId="12">
    <w:abstractNumId w:val="1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7"/>
  </w:num>
  <w:num w:numId="16">
    <w:abstractNumId w:val="11"/>
  </w:num>
  <w:num w:numId="17">
    <w:abstractNumId w:val="19"/>
  </w:num>
  <w:num w:numId="18">
    <w:abstractNumId w:val="10"/>
  </w:num>
  <w:num w:numId="19">
    <w:abstractNumId w:val="12"/>
  </w:num>
  <w:num w:numId="20">
    <w:abstractNumId w:val="8"/>
  </w:num>
  <w:num w:numId="21">
    <w:abstractNumId w:val="18"/>
  </w:num>
  <w:num w:numId="22">
    <w:abstractNumId w:val="7"/>
  </w:num>
  <w:num w:numId="23">
    <w:abstractNumId w:val="13"/>
  </w:num>
  <w:num w:numId="24">
    <w:abstractNumId w:val="15"/>
  </w:num>
  <w:num w:numId="25">
    <w:abstractNumId w:val="16"/>
  </w:num>
  <w:num w:numId="26">
    <w:abstractNumId w:val="9"/>
  </w:num>
  <w:num w:numId="27">
    <w:abstractNumId w:val="14"/>
  </w:num>
  <w:num w:numId="28">
    <w:abstractNumId w:val="20"/>
  </w:num>
  <w:num w:numId="29">
    <w:abstractNumId w:val="17"/>
  </w:num>
  <w:num w:numId="30">
    <w:abstractNumId w:val="11"/>
  </w:num>
  <w:num w:numId="31">
    <w:abstractNumId w:val="19"/>
  </w:num>
  <w:num w:numId="32">
    <w:abstractNumId w:val="10"/>
  </w:num>
  <w:num w:numId="33">
    <w:abstractNumId w:val="12"/>
  </w:num>
  <w:num w:numId="34">
    <w:abstractNumId w:val="8"/>
  </w:num>
  <w:num w:numId="35">
    <w:abstractNumId w:val="18"/>
  </w:num>
  <w:num w:numId="36">
    <w:abstractNumId w:val="7"/>
  </w:num>
  <w:num w:numId="37">
    <w:abstractNumId w:val="13"/>
  </w:num>
  <w:num w:numId="38">
    <w:abstractNumId w:val="15"/>
  </w:num>
  <w:num w:numId="39">
    <w:abstractNumId w:val="16"/>
  </w:num>
  <w:num w:numId="40">
    <w:abstractNumId w:val="9"/>
  </w:num>
  <w:num w:numId="41">
    <w:abstractNumId w:val="14"/>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hideSpellingErrors/>
  <w:hideGrammaticalErrors/>
  <w:attachedTemplate r:id="rId1"/>
  <w:revisionView w:markup="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0 10:04:1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3937FD7FDE3C48AA8CC0DF5B24C53000"/>
    <w:docVar w:name="LW_CROSSREFERENCE" w:val="&lt;UNUSED&gt;"/>
    <w:docVar w:name="LW_DocType" w:val="COM"/>
    <w:docVar w:name="LW_EMISSION" w:val="14.7.2015"/>
    <w:docVar w:name="LW_EMISSION_ISODATE" w:val="2015-07-14"/>
    <w:docVar w:name="LW_EMISSION_LOCATION" w:val="BRX"/>
    <w:docVar w:name="LW_EMISSION_PREFIX" w:val="Bruxelles, den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DA"/>
    <w:docVar w:name="LW_MARKING" w:val="&lt;UNUSED&gt;"/>
    <w:docVar w:name="LW_NOM.INST" w:val="EUROPA-KOMMISSIONE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36"/>
    <w:docVar w:name="LW_REF.INTERNE" w:val="&lt;UNUSED&gt;"/>
    <w:docVar w:name="LW_SOUS.TITRE.OBJ.CP" w:val="&lt;UNUSED&gt;"/>
    <w:docVar w:name="LW_STATUT.CP" w:val="Forslag til"/>
    <w:docVar w:name="LW_SUPERTITRE" w:val="&lt;UNUSED&gt;"/>
    <w:docVar w:name="LW_TITRE.OBJ.CP" w:val="om mobilisering af Den Europæiske Fond for Tilpasning til Globaliseringen _x000b_(ansøgning fra Belgien \u8212? EGF/2015/003 BE/Ford Genk)"/>
    <w:docVar w:name="LW_TYPE.DOC.CP" w:val="EUROPA-PARLAMENTETS OG RÅDETS AFGØREL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709"/>
      </w:tabs>
      <w:ind w:left="709" w:hanging="709"/>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709"/>
      </w:tabs>
      <w:ind w:left="709" w:hanging="709"/>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1A9F-56A7-4D56-9BBE-B6371635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3733</Words>
  <Characters>23182</Characters>
  <Application>Microsoft Office Word</Application>
  <DocSecurity>0</DocSecurity>
  <Lines>626</Lines>
  <Paragraphs>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2015-07-08T14:42:00Z</cp:lastPrinted>
  <dcterms:created xsi:type="dcterms:W3CDTF">2015-07-09T07:53:00Z</dcterms:created>
  <dcterms:modified xsi:type="dcterms:W3CDTF">2015-07-10T08:04:00Z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02)</vt:lpwstr>
  </property>
</Properties>
</file>