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0ECF3E7E28640C8BD138DE5AF943C7D" style="width:450.8pt;height:38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ANHANG</w:t>
      </w:r>
    </w:p>
    <w:p>
      <w:pPr>
        <w:pStyle w:val="Accompagnant"/>
        <w:rPr>
          <w:noProof/>
        </w:rPr>
      </w:pPr>
      <w:r>
        <w:rPr>
          <w:noProof/>
        </w:rPr>
        <w:t>zu dem</w:t>
      </w:r>
    </w:p>
    <w:p>
      <w:pPr>
        <w:pStyle w:val="Typeacteprincipal"/>
        <w:rPr>
          <w:noProof/>
        </w:rPr>
      </w:pPr>
      <w:r>
        <w:rPr>
          <w:noProof/>
        </w:rPr>
        <w:t>Vorschlag für einen Beschluss des Rates</w:t>
      </w:r>
    </w:p>
    <w:p>
      <w:pPr>
        <w:pStyle w:val="Objetacteprincipal"/>
        <w:rPr>
          <w:noProof/>
        </w:rPr>
      </w:pPr>
      <w:r>
        <w:rPr>
          <w:noProof/>
        </w:rPr>
        <w:t>über den Abschluss des Abkommens zwischen der Europäischen Union und der Republik Peru über die Befreiung von der Visumpflicht für Kurzaufenthalte</w:t>
      </w:r>
    </w:p>
    <w:p>
      <w:pPr>
        <w:jc w:val="center"/>
        <w:rPr>
          <w:b/>
          <w:noProof/>
          <w:sz w:val="32"/>
          <w:szCs w:val="32"/>
        </w:rPr>
      </w:pPr>
      <w:r>
        <w:rPr>
          <w:noProof/>
        </w:rPr>
        <w:br w:type="page"/>
      </w:r>
      <w:r>
        <w:rPr>
          <w:b/>
          <w:noProof/>
          <w:sz w:val="32"/>
        </w:rPr>
        <w:lastRenderedPageBreak/>
        <w:t>ABKOMMEN</w:t>
      </w:r>
    </w:p>
    <w:p>
      <w:pPr>
        <w:jc w:val="center"/>
        <w:rPr>
          <w:b/>
          <w:noProof/>
          <w:sz w:val="32"/>
        </w:rPr>
      </w:pPr>
      <w:r>
        <w:rPr>
          <w:b/>
          <w:noProof/>
          <w:sz w:val="32"/>
        </w:rPr>
        <w:t>zwischen der Europäischen Union und der Republik Peru über die Befreiung von der Visumpflicht für Kurzaufenthalte</w:t>
      </w:r>
    </w:p>
    <w:p>
      <w:pPr>
        <w:rPr>
          <w:noProof/>
        </w:rPr>
      </w:pPr>
    </w:p>
    <w:p>
      <w:pPr>
        <w:rPr>
          <w:noProof/>
        </w:rPr>
      </w:pPr>
      <w:r>
        <w:rPr>
          <w:noProof/>
        </w:rPr>
        <w:t>DIE EUROPÄISCHE UNION, nachstehend „Union“ oder „EU“ genannt, und</w:t>
      </w:r>
    </w:p>
    <w:p>
      <w:pPr>
        <w:rPr>
          <w:noProof/>
        </w:rPr>
      </w:pPr>
    </w:p>
    <w:p>
      <w:pPr>
        <w:rPr>
          <w:noProof/>
        </w:rPr>
      </w:pPr>
      <w:r>
        <w:rPr>
          <w:noProof/>
        </w:rPr>
        <w:t xml:space="preserve">DIE REPUBLIK PERU, nachstehend „Peru“ genannt, </w:t>
      </w:r>
    </w:p>
    <w:p>
      <w:pPr>
        <w:rPr>
          <w:noProof/>
        </w:rPr>
      </w:pPr>
    </w:p>
    <w:p>
      <w:pPr>
        <w:rPr>
          <w:noProof/>
        </w:rPr>
      </w:pPr>
      <w:r>
        <w:rPr>
          <w:noProof/>
        </w:rPr>
        <w:t>nachstehend gemeinsam „Vertragsparteien“ genannt —</w:t>
      </w:r>
    </w:p>
    <w:p>
      <w:pPr>
        <w:rPr>
          <w:noProof/>
        </w:rPr>
      </w:pPr>
    </w:p>
    <w:p>
      <w:pPr>
        <w:rPr>
          <w:noProof/>
        </w:rPr>
      </w:pPr>
      <w:r>
        <w:rPr>
          <w:noProof/>
        </w:rPr>
        <w:t>IN DEM BESTREBEN, die freundschaftlichen Beziehungen zwischen den Vertragsparteien weiter auszubauen, und von dem Wunsch geleitet, Reisen ihrer Bürger durch die Sicherstellung der Visumfreiheit für Einreise und Kurzaufenthalt zu erleichtern,</w:t>
      </w:r>
    </w:p>
    <w:p>
      <w:pPr>
        <w:rPr>
          <w:noProof/>
        </w:rPr>
      </w:pPr>
    </w:p>
    <w:p>
      <w:pPr>
        <w:rPr>
          <w:noProof/>
        </w:rPr>
      </w:pPr>
      <w:r>
        <w:rPr>
          <w:noProof/>
        </w:rPr>
        <w:t>GESTÜTZT auf die Verordnung (EU) Nr. 509/2014 des Europäischen Parlaments und des Rates vom 15. Mai 2014 zur Änderung der Verordnung (EG) Nr. 539/2001 des Rates zur Aufstellung der Liste der Drittländer, deren Staatsangehörige beim Überschreiten der Außengrenzen im Besitz eines Visums sein müssen, sowie der Liste der Drittländer, deren Staatsangehörige von dieser Visumpflicht befreit sind</w:t>
      </w:r>
      <w:r>
        <w:rPr>
          <w:rStyle w:val="FootnoteReference"/>
          <w:noProof/>
        </w:rPr>
        <w:footnoteReference w:id="1"/>
      </w:r>
      <w:r>
        <w:rPr>
          <w:noProof/>
        </w:rPr>
        <w:t>, mit der unter anderem 19 Drittländer, darunter Peru, in die Liste der Drittländer aufgenommen wurden, deren Staatsangehörige von der Visumpflicht für Kurzaufenthalte in den Mitgliedstaaten befreit sind,</w:t>
      </w:r>
    </w:p>
    <w:p>
      <w:pPr>
        <w:rPr>
          <w:noProof/>
        </w:rPr>
      </w:pPr>
    </w:p>
    <w:p>
      <w:pPr>
        <w:rPr>
          <w:noProof/>
        </w:rPr>
      </w:pPr>
      <w:r>
        <w:rPr>
          <w:noProof/>
        </w:rPr>
        <w:t>ANGESICHTS DES UMSTANDS, dass die Befreiung von der Visumpflicht gemäß Artikel 1 der Verordnung (EU) Nr. 509/2014 für diese 19 Länder ab dem Zeitpunkt des Inkrafttretens eines mit der Union zu schließenden Abkommens über die Befreiung von der Visumpflicht gilt,</w:t>
      </w:r>
    </w:p>
    <w:p>
      <w:pPr>
        <w:rPr>
          <w:noProof/>
        </w:rPr>
      </w:pPr>
    </w:p>
    <w:p>
      <w:pPr>
        <w:rPr>
          <w:noProof/>
        </w:rPr>
      </w:pPr>
      <w:r>
        <w:rPr>
          <w:noProof/>
        </w:rPr>
        <w:t>IN DEM WUNSCH, den Grundsatz der Gleichbehandlung aller EU-Bürger zu wahren,</w:t>
      </w:r>
    </w:p>
    <w:p>
      <w:pPr>
        <w:rPr>
          <w:noProof/>
        </w:rPr>
      </w:pPr>
    </w:p>
    <w:p>
      <w:pPr>
        <w:rPr>
          <w:noProof/>
        </w:rPr>
      </w:pPr>
      <w:r>
        <w:rPr>
          <w:noProof/>
        </w:rPr>
        <w:t>UNTER BERÜCKSICHTIGUNG DES UMSTANDS, dass Personen, deren Reise dem Zweck dient, während ihres Kurzaufenthalts einer Erwerbstätigkeit nachzugehen, nicht unter dieses Abkommen fallen und somit für diese Personengruppe die einschlägigen Bestimmungen des Unionsrechts und der Rechtsvorschriften der Mitgliedstaaten sowie der Rechtsvorschriften Perus hinsichtlich der Visumpflicht oder -freiheit und des Zugangs zur Beschäftigung weiterhin Anwendung finden,</w:t>
      </w:r>
    </w:p>
    <w:p>
      <w:pPr>
        <w:rPr>
          <w:noProof/>
        </w:rPr>
      </w:pPr>
    </w:p>
    <w:p>
      <w:pPr>
        <w:rPr>
          <w:noProof/>
        </w:rPr>
      </w:pPr>
      <w:r>
        <w:rPr>
          <w:noProof/>
        </w:rPr>
        <w:lastRenderedPageBreak/>
        <w:t>UNTER BERÜCKSICHTIGUNG des Protokolls über die Position des Vereinigten Königreichs und Irlands hinsichtlich des Raums der Freiheit, der Sicherheit und des Rechts und des Protokolls über den in den Rahmen der Europäischen Union einbezogenen Schengen-Besitzstand, die dem Vertrag über die Europäische Union und dem Vertrag über die Arbeitsweise der Europäischen Union beigefügt sind, und in Bestätigung, dass die Bestimmungen dieses Abkommens nicht für das Vereinigte Königreich und Irland gelten —</w:t>
      </w:r>
    </w:p>
    <w:p>
      <w:pPr>
        <w:rPr>
          <w:noProof/>
        </w:rPr>
      </w:pPr>
    </w:p>
    <w:p>
      <w:pPr>
        <w:rPr>
          <w:noProof/>
        </w:rPr>
      </w:pPr>
      <w:r>
        <w:rPr>
          <w:noProof/>
        </w:rPr>
        <w:t>SIND WIE FOLGT ÜBEREINGEKOMMEN:</w:t>
      </w:r>
    </w:p>
    <w:p>
      <w:pPr>
        <w:jc w:val="center"/>
        <w:rPr>
          <w:noProof/>
        </w:rPr>
      </w:pPr>
    </w:p>
    <w:p>
      <w:pPr>
        <w:jc w:val="center"/>
        <w:rPr>
          <w:noProof/>
        </w:rPr>
      </w:pPr>
    </w:p>
    <w:p>
      <w:pPr>
        <w:jc w:val="center"/>
        <w:rPr>
          <w:noProof/>
        </w:rPr>
      </w:pPr>
      <w:r>
        <w:rPr>
          <w:noProof/>
        </w:rPr>
        <w:t>ARTIKEL 1</w:t>
      </w:r>
    </w:p>
    <w:p>
      <w:pPr>
        <w:jc w:val="center"/>
        <w:rPr>
          <w:noProof/>
        </w:rPr>
      </w:pPr>
    </w:p>
    <w:p>
      <w:pPr>
        <w:jc w:val="center"/>
        <w:rPr>
          <w:noProof/>
        </w:rPr>
      </w:pPr>
      <w:r>
        <w:rPr>
          <w:noProof/>
        </w:rPr>
        <w:t>Zweck</w:t>
      </w:r>
    </w:p>
    <w:p>
      <w:pPr>
        <w:rPr>
          <w:noProof/>
        </w:rPr>
      </w:pPr>
    </w:p>
    <w:p>
      <w:pPr>
        <w:rPr>
          <w:noProof/>
        </w:rPr>
      </w:pPr>
      <w:r>
        <w:rPr>
          <w:noProof/>
        </w:rPr>
        <w:t>Dieses Abkommen sieht für die Bürger der Union und die Bürger Perus die Befreiung von der Visumpflicht vor, wenn sie für höchstens 90 Tage in einem Zeitraum von 180 Tagen in das Hoheitsgebiet der anderen Vertragspartei reisen.</w:t>
      </w:r>
    </w:p>
    <w:p>
      <w:pPr>
        <w:rPr>
          <w:b/>
          <w:noProof/>
        </w:rPr>
      </w:pPr>
    </w:p>
    <w:p>
      <w:pPr>
        <w:rPr>
          <w:b/>
          <w:noProof/>
        </w:rPr>
      </w:pPr>
    </w:p>
    <w:p>
      <w:pPr>
        <w:rPr>
          <w:b/>
          <w:noProof/>
        </w:rPr>
      </w:pPr>
    </w:p>
    <w:p>
      <w:pPr>
        <w:jc w:val="center"/>
        <w:rPr>
          <w:bCs/>
          <w:noProof/>
        </w:rPr>
      </w:pPr>
      <w:r>
        <w:rPr>
          <w:noProof/>
        </w:rPr>
        <w:t>ARTIKEL 2</w:t>
      </w:r>
    </w:p>
    <w:p>
      <w:pPr>
        <w:jc w:val="center"/>
        <w:rPr>
          <w:bCs/>
          <w:noProof/>
        </w:rPr>
      </w:pPr>
    </w:p>
    <w:p>
      <w:pPr>
        <w:jc w:val="center"/>
        <w:rPr>
          <w:bCs/>
          <w:noProof/>
        </w:rPr>
      </w:pPr>
      <w:r>
        <w:rPr>
          <w:noProof/>
        </w:rPr>
        <w:t>Begriffsbestimmungen</w:t>
      </w:r>
    </w:p>
    <w:p>
      <w:pPr>
        <w:rPr>
          <w:noProof/>
        </w:rPr>
      </w:pPr>
    </w:p>
    <w:p>
      <w:pPr>
        <w:rPr>
          <w:noProof/>
        </w:rPr>
      </w:pPr>
      <w:r>
        <w:rPr>
          <w:noProof/>
        </w:rPr>
        <w:t>Für die Zwecke dieses Abkommens bezeichnet der Ausdruck:</w:t>
      </w:r>
    </w:p>
    <w:p>
      <w:pPr>
        <w:rPr>
          <w:noProof/>
        </w:rPr>
      </w:pPr>
    </w:p>
    <w:p>
      <w:pPr>
        <w:ind w:left="567" w:hanging="567"/>
        <w:rPr>
          <w:noProof/>
        </w:rPr>
      </w:pPr>
      <w:r>
        <w:rPr>
          <w:noProof/>
        </w:rPr>
        <w:t>a)</w:t>
      </w:r>
      <w:r>
        <w:rPr>
          <w:noProof/>
        </w:rPr>
        <w:tab/>
        <w:t>„Mitgliedstaat“ einen Mitgliedstaat der Union mit Ausnahme des Vereinigten Königreichs und Irlands;</w:t>
      </w:r>
    </w:p>
    <w:p>
      <w:pPr>
        <w:rPr>
          <w:noProof/>
        </w:rPr>
      </w:pPr>
    </w:p>
    <w:p>
      <w:pPr>
        <w:ind w:left="567" w:hanging="567"/>
        <w:rPr>
          <w:noProof/>
        </w:rPr>
      </w:pPr>
      <w:r>
        <w:rPr>
          <w:noProof/>
        </w:rPr>
        <w:t>b)</w:t>
      </w:r>
      <w:r>
        <w:rPr>
          <w:noProof/>
        </w:rPr>
        <w:tab/>
        <w:t>„Bürger der Union“ eine Person, die die Staatsangehörigkeit eines Mitgliedstaats im Sinne von Buchstabe a besitzt;</w:t>
      </w:r>
    </w:p>
    <w:p>
      <w:pPr>
        <w:rPr>
          <w:noProof/>
        </w:rPr>
      </w:pPr>
    </w:p>
    <w:p>
      <w:pPr>
        <w:ind w:left="567" w:hanging="567"/>
        <w:rPr>
          <w:noProof/>
        </w:rPr>
      </w:pPr>
      <w:r>
        <w:rPr>
          <w:noProof/>
        </w:rPr>
        <w:t>c)</w:t>
      </w:r>
      <w:r>
        <w:rPr>
          <w:noProof/>
        </w:rPr>
        <w:tab/>
        <w:t>„Bürger Perus“ eine Person, die die Staatsangehörigkeit Perus besitzt;</w:t>
      </w:r>
    </w:p>
    <w:p>
      <w:pPr>
        <w:rPr>
          <w:noProof/>
        </w:rPr>
      </w:pPr>
    </w:p>
    <w:p>
      <w:pPr>
        <w:ind w:left="567" w:hanging="567"/>
        <w:rPr>
          <w:noProof/>
        </w:rPr>
      </w:pPr>
      <w:r>
        <w:rPr>
          <w:noProof/>
        </w:rPr>
        <w:lastRenderedPageBreak/>
        <w:t>d)</w:t>
      </w:r>
      <w:r>
        <w:rPr>
          <w:noProof/>
        </w:rPr>
        <w:tab/>
        <w:t xml:space="preserve">„Schengen-Raum“ den Raum ohne Binnengrenzen, der das Hoheitsgebiet der Mitgliedstaaten im Sinne von Buchstabe a umfasst, die den Schengen-Besitzstand vollständig anwenden. </w:t>
      </w:r>
    </w:p>
    <w:p>
      <w:pPr>
        <w:rPr>
          <w:noProof/>
        </w:rPr>
      </w:pPr>
    </w:p>
    <w:p>
      <w:pPr>
        <w:rPr>
          <w:noProof/>
        </w:rPr>
      </w:pPr>
    </w:p>
    <w:p>
      <w:pPr>
        <w:jc w:val="center"/>
        <w:rPr>
          <w:bCs/>
          <w:noProof/>
        </w:rPr>
      </w:pPr>
      <w:r>
        <w:rPr>
          <w:noProof/>
        </w:rPr>
        <w:br w:type="page"/>
      </w:r>
      <w:r>
        <w:rPr>
          <w:noProof/>
        </w:rPr>
        <w:lastRenderedPageBreak/>
        <w:t>ARTIKEL 3</w:t>
      </w:r>
    </w:p>
    <w:p>
      <w:pPr>
        <w:jc w:val="center"/>
        <w:rPr>
          <w:bCs/>
          <w:noProof/>
        </w:rPr>
      </w:pPr>
    </w:p>
    <w:p>
      <w:pPr>
        <w:jc w:val="center"/>
        <w:rPr>
          <w:bCs/>
          <w:noProof/>
        </w:rPr>
      </w:pPr>
      <w:r>
        <w:rPr>
          <w:noProof/>
        </w:rPr>
        <w:t>Anwendungsbereich</w:t>
      </w:r>
    </w:p>
    <w:p>
      <w:pPr>
        <w:rPr>
          <w:noProof/>
        </w:rPr>
      </w:pPr>
    </w:p>
    <w:p>
      <w:pPr>
        <w:rPr>
          <w:noProof/>
        </w:rPr>
      </w:pPr>
      <w:r>
        <w:rPr>
          <w:noProof/>
        </w:rPr>
        <w:t>(1)</w:t>
      </w:r>
      <w:r>
        <w:rPr>
          <w:noProof/>
        </w:rPr>
        <w:tab/>
        <w:t>Bürger der Union, die einen von einem Mitgliedstaat ausgestellten gültigen normalen Pass oder Diplomaten-, Dienst- oder Sonderpass besitzen, dürfen ohne Visum in das Hoheitsgebiet Perus einreisen und sich dort für die in Artikel 4 Absatz 1 festgelegte Dauer aufhalten.</w:t>
      </w:r>
    </w:p>
    <w:p>
      <w:pPr>
        <w:rPr>
          <w:noProof/>
        </w:rPr>
      </w:pPr>
    </w:p>
    <w:p>
      <w:pPr>
        <w:rPr>
          <w:noProof/>
        </w:rPr>
      </w:pPr>
      <w:r>
        <w:rPr>
          <w:noProof/>
        </w:rPr>
        <w:t>Bürger Perus, die einen von Peru ausgestellten gültigen normalen Pass oder Diplomaten-, Dienst- oder Sonderpass besitzen, dürfen ohne Visum in das Hoheitsgebiet der Mitgliedstaaten einreisen und sich dort für die in Artikel 4 Absatz 2 festgelegte Dauer aufhalten.</w:t>
      </w:r>
    </w:p>
    <w:p>
      <w:pPr>
        <w:rPr>
          <w:noProof/>
        </w:rPr>
      </w:pPr>
    </w:p>
    <w:p>
      <w:pPr>
        <w:rPr>
          <w:noProof/>
        </w:rPr>
      </w:pPr>
      <w:r>
        <w:rPr>
          <w:noProof/>
        </w:rPr>
        <w:t>(2)</w:t>
      </w:r>
      <w:r>
        <w:rPr>
          <w:noProof/>
        </w:rPr>
        <w:tab/>
        <w:t>Absatz 1 gilt nicht für Personen, deren Reise dem Zweck dient, einer Erwerbstätigkeit nachzugehen.</w:t>
      </w:r>
    </w:p>
    <w:p>
      <w:pPr>
        <w:rPr>
          <w:noProof/>
        </w:rPr>
      </w:pPr>
    </w:p>
    <w:p>
      <w:pPr>
        <w:rPr>
          <w:noProof/>
        </w:rPr>
      </w:pPr>
      <w:r>
        <w:rPr>
          <w:noProof/>
        </w:rPr>
        <w:t>Für Bürger Perus, die dieser Personengruppe angehören, kann jeder Mitgliedstaat gemäß Artikel 4 Absatz 3 der Verordnung (EG) Nr. 539/2001</w:t>
      </w:r>
      <w:r>
        <w:rPr>
          <w:rStyle w:val="FootnoteReference"/>
          <w:noProof/>
        </w:rPr>
        <w:footnoteReference w:id="2"/>
      </w:r>
      <w:r>
        <w:rPr>
          <w:noProof/>
        </w:rPr>
        <w:t xml:space="preserve"> einzeln beschließen, die Visumpflicht beizubehalten oder aufzuheben.</w:t>
      </w:r>
    </w:p>
    <w:p>
      <w:pPr>
        <w:rPr>
          <w:noProof/>
        </w:rPr>
      </w:pPr>
    </w:p>
    <w:p>
      <w:pPr>
        <w:rPr>
          <w:noProof/>
        </w:rPr>
      </w:pPr>
      <w:r>
        <w:rPr>
          <w:noProof/>
        </w:rPr>
        <w:t>Für Bürger der Mitgliedstaaten, die dieser Personengruppe angehören, kann Peru in Bezug auf jeden einzelnen Mitgliedstaat gemäß seinen nationalen Rechtsvorschriften beschließen, die Visumpflicht beizubehalten oder aufzuheben.</w:t>
      </w:r>
    </w:p>
    <w:p>
      <w:pPr>
        <w:rPr>
          <w:noProof/>
        </w:rPr>
      </w:pPr>
    </w:p>
    <w:p>
      <w:pPr>
        <w:rPr>
          <w:noProof/>
        </w:rPr>
      </w:pPr>
      <w:r>
        <w:rPr>
          <w:noProof/>
        </w:rPr>
        <w:t>(3)</w:t>
      </w:r>
      <w:r>
        <w:rPr>
          <w:noProof/>
        </w:rPr>
        <w:tab/>
        <w:t>Die mit diesem Abkommen eingeführte Befreiung von der Visumpflicht findet unbeschadet der Rechtsvorschriften der Vertragsparteien über die Bedingungen für Einreise und Kurzaufenthalt Anwendung. Die Mitgliedstaaten und Peru behalten sich vor, die Einreise in ihr jeweiliges Hoheitsgebiet und den Kurzaufenthalt in diesem Gebiet zu verweigern, wenn eine oder mehrere dieser Bedingungen nicht erfüllt sind.</w:t>
      </w:r>
    </w:p>
    <w:p>
      <w:pPr>
        <w:rPr>
          <w:noProof/>
        </w:rPr>
      </w:pPr>
    </w:p>
    <w:p>
      <w:pPr>
        <w:rPr>
          <w:noProof/>
        </w:rPr>
      </w:pPr>
      <w:r>
        <w:rPr>
          <w:noProof/>
        </w:rPr>
        <w:t>(4)</w:t>
      </w:r>
      <w:r>
        <w:rPr>
          <w:noProof/>
        </w:rPr>
        <w:tab/>
        <w:t>Die Befreiung von der Visumpflicht gilt unabhängig von dem für das Überschreiten der Grenzen der Vertragsparteien verwendeten Verkehrsmittel.</w:t>
      </w:r>
    </w:p>
    <w:p>
      <w:pPr>
        <w:rPr>
          <w:noProof/>
        </w:rPr>
      </w:pPr>
    </w:p>
    <w:p>
      <w:pPr>
        <w:rPr>
          <w:noProof/>
        </w:rPr>
      </w:pPr>
      <w:r>
        <w:rPr>
          <w:noProof/>
        </w:rPr>
        <w:lastRenderedPageBreak/>
        <w:t>(5)</w:t>
      </w:r>
      <w:r>
        <w:rPr>
          <w:noProof/>
        </w:rPr>
        <w:tab/>
        <w:t>Fragen, die nicht unter dieses Abkommen fallen, werden durch das Unionsrecht, die nationalen Rechtsvorschriften der Mitgliedstaaten oder die nationalen Rechtsvorschriften Perus geregelt.</w:t>
      </w:r>
    </w:p>
    <w:p>
      <w:pPr>
        <w:rPr>
          <w:noProof/>
        </w:rPr>
      </w:pPr>
    </w:p>
    <w:p>
      <w:pPr>
        <w:rPr>
          <w:noProof/>
        </w:rPr>
      </w:pPr>
    </w:p>
    <w:p>
      <w:pPr>
        <w:jc w:val="center"/>
        <w:rPr>
          <w:bCs/>
          <w:noProof/>
        </w:rPr>
      </w:pPr>
      <w:r>
        <w:rPr>
          <w:noProof/>
        </w:rPr>
        <w:t>ARTIKEL 4</w:t>
      </w:r>
    </w:p>
    <w:p>
      <w:pPr>
        <w:jc w:val="center"/>
        <w:rPr>
          <w:bCs/>
          <w:noProof/>
        </w:rPr>
      </w:pPr>
    </w:p>
    <w:p>
      <w:pPr>
        <w:jc w:val="center"/>
        <w:rPr>
          <w:bCs/>
          <w:noProof/>
        </w:rPr>
      </w:pPr>
      <w:r>
        <w:rPr>
          <w:noProof/>
        </w:rPr>
        <w:t>Aufenthaltsdauer</w:t>
      </w:r>
    </w:p>
    <w:p>
      <w:pPr>
        <w:rPr>
          <w:noProof/>
        </w:rPr>
      </w:pPr>
    </w:p>
    <w:p>
      <w:pPr>
        <w:rPr>
          <w:noProof/>
        </w:rPr>
      </w:pPr>
      <w:r>
        <w:rPr>
          <w:noProof/>
        </w:rPr>
        <w:t>(1)</w:t>
      </w:r>
      <w:r>
        <w:rPr>
          <w:noProof/>
        </w:rPr>
        <w:tab/>
        <w:t>Bürger der Union dürfen sich höchstens 90 Tage in einem Zeitraum von 180 Tagen im Hoheitsgebiet Perus aufhalten.</w:t>
      </w:r>
    </w:p>
    <w:p>
      <w:pPr>
        <w:rPr>
          <w:noProof/>
        </w:rPr>
      </w:pPr>
    </w:p>
    <w:p>
      <w:pPr>
        <w:rPr>
          <w:noProof/>
        </w:rPr>
      </w:pPr>
      <w:r>
        <w:rPr>
          <w:noProof/>
        </w:rPr>
        <w:t>(2)</w:t>
      </w:r>
      <w:r>
        <w:rPr>
          <w:noProof/>
        </w:rPr>
        <w:tab/>
        <w:t>Bürger Perus dürfen sich höchstens 90 Tage in einem Zeitraum von 180 Tagen im Hoheitsgebiet der Mitgliedstaaten, die den Schengen-Besitzstand vollständig anwenden, aufhalten. Dieser Zeitraum wird unabhängig von einem etwaigen Aufenthalt in einem Mitgliedstaat berechnet, der den Schengen-Besitzstand noch nicht vollständig anwendet.</w:t>
      </w:r>
    </w:p>
    <w:p>
      <w:pPr>
        <w:rPr>
          <w:noProof/>
        </w:rPr>
      </w:pPr>
    </w:p>
    <w:p>
      <w:pPr>
        <w:rPr>
          <w:noProof/>
        </w:rPr>
      </w:pPr>
      <w:r>
        <w:rPr>
          <w:noProof/>
        </w:rPr>
        <w:t>Unabhängig von der für das Hoheitsgebiet der den Schengen-Besitzstand vollständig anwendenden Mitgliedstaaten berechneten Aufenthaltsdauer dürfen sich Bürger Perus im Hoheitsgebiet eines Mitgliedstaats, der den Schengen-Besitzstand noch nicht vollständig anwendet, jeweils höchstens 90 Tage in einem Zeitraum von 180 Tagen aufhalten.</w:t>
      </w:r>
    </w:p>
    <w:p>
      <w:pPr>
        <w:rPr>
          <w:noProof/>
        </w:rPr>
      </w:pPr>
    </w:p>
    <w:p>
      <w:pPr>
        <w:rPr>
          <w:noProof/>
        </w:rPr>
      </w:pPr>
      <w:r>
        <w:rPr>
          <w:noProof/>
        </w:rPr>
        <w:t>(3)</w:t>
      </w:r>
      <w:r>
        <w:rPr>
          <w:noProof/>
        </w:rPr>
        <w:tab/>
        <w:t>Dieses Abkommen lässt die Möglichkeit für Peru und die Mitgliedstaaten unberührt, die Aufenthaltsdauer im Einklang mit den jeweiligen nationalen Rechtsvorschriften und dem Unionsrecht über 90 Tage hinaus zu verlängern.</w:t>
      </w:r>
    </w:p>
    <w:p>
      <w:pPr>
        <w:rPr>
          <w:noProof/>
        </w:rPr>
      </w:pPr>
    </w:p>
    <w:p>
      <w:pPr>
        <w:rPr>
          <w:noProof/>
        </w:rPr>
      </w:pPr>
    </w:p>
    <w:p>
      <w:pPr>
        <w:rPr>
          <w:noProof/>
        </w:rPr>
      </w:pPr>
    </w:p>
    <w:p>
      <w:pPr>
        <w:rPr>
          <w:noProof/>
        </w:rPr>
      </w:pPr>
    </w:p>
    <w:p>
      <w:pPr>
        <w:jc w:val="center"/>
        <w:rPr>
          <w:bCs/>
          <w:noProof/>
        </w:rPr>
      </w:pPr>
      <w:r>
        <w:rPr>
          <w:noProof/>
        </w:rPr>
        <w:t>ARTIKEL 5</w:t>
      </w:r>
    </w:p>
    <w:p>
      <w:pPr>
        <w:jc w:val="center"/>
        <w:rPr>
          <w:bCs/>
          <w:noProof/>
        </w:rPr>
      </w:pPr>
    </w:p>
    <w:p>
      <w:pPr>
        <w:jc w:val="center"/>
        <w:rPr>
          <w:bCs/>
          <w:noProof/>
        </w:rPr>
      </w:pPr>
      <w:r>
        <w:rPr>
          <w:noProof/>
        </w:rPr>
        <w:t>Räumlicher Geltungsbereich</w:t>
      </w:r>
    </w:p>
    <w:p>
      <w:pPr>
        <w:jc w:val="center"/>
        <w:rPr>
          <w:noProof/>
        </w:rPr>
      </w:pPr>
    </w:p>
    <w:p>
      <w:pPr>
        <w:rPr>
          <w:noProof/>
        </w:rPr>
      </w:pPr>
      <w:r>
        <w:rPr>
          <w:noProof/>
        </w:rPr>
        <w:t>(1)</w:t>
      </w:r>
      <w:r>
        <w:rPr>
          <w:noProof/>
        </w:rPr>
        <w:tab/>
        <w:t>Dieses Abkommen gilt für die Französische Republik nur für das europäische Hoheitsgebiet der Französischen Republik.</w:t>
      </w:r>
    </w:p>
    <w:p>
      <w:pPr>
        <w:rPr>
          <w:noProof/>
        </w:rPr>
      </w:pPr>
    </w:p>
    <w:p>
      <w:pPr>
        <w:rPr>
          <w:noProof/>
        </w:rPr>
      </w:pPr>
      <w:r>
        <w:rPr>
          <w:noProof/>
        </w:rPr>
        <w:lastRenderedPageBreak/>
        <w:t>(2)</w:t>
      </w:r>
      <w:r>
        <w:rPr>
          <w:noProof/>
        </w:rPr>
        <w:tab/>
        <w:t>Dieses Abkommen gilt für das Königreich der Niederlande nur für das europäische Hoheitsgebiet des Königreichs der Niederlande.</w:t>
      </w:r>
    </w:p>
    <w:p>
      <w:pPr>
        <w:rPr>
          <w:noProof/>
        </w:rPr>
      </w:pPr>
    </w:p>
    <w:p>
      <w:pPr>
        <w:rPr>
          <w:noProof/>
        </w:rPr>
      </w:pPr>
    </w:p>
    <w:p>
      <w:pPr>
        <w:rPr>
          <w:noProof/>
        </w:rPr>
      </w:pPr>
    </w:p>
    <w:p>
      <w:pPr>
        <w:rPr>
          <w:noProof/>
        </w:rPr>
      </w:pPr>
    </w:p>
    <w:p>
      <w:pPr>
        <w:rPr>
          <w:noProof/>
        </w:rPr>
      </w:pPr>
    </w:p>
    <w:p>
      <w:pPr>
        <w:rPr>
          <w:noProof/>
        </w:rPr>
      </w:pPr>
    </w:p>
    <w:p>
      <w:pPr>
        <w:jc w:val="center"/>
        <w:rPr>
          <w:bCs/>
          <w:noProof/>
        </w:rPr>
      </w:pPr>
      <w:r>
        <w:rPr>
          <w:noProof/>
        </w:rPr>
        <w:t>ARTIKEL 6</w:t>
      </w:r>
    </w:p>
    <w:p>
      <w:pPr>
        <w:jc w:val="center"/>
        <w:rPr>
          <w:bCs/>
          <w:noProof/>
        </w:rPr>
      </w:pPr>
    </w:p>
    <w:p>
      <w:pPr>
        <w:jc w:val="center"/>
        <w:rPr>
          <w:bCs/>
          <w:noProof/>
        </w:rPr>
      </w:pPr>
      <w:r>
        <w:rPr>
          <w:noProof/>
        </w:rPr>
        <w:t>Gemischter Ausschuss für die Verwaltung des Abkommens</w:t>
      </w:r>
    </w:p>
    <w:p>
      <w:pPr>
        <w:jc w:val="center"/>
        <w:rPr>
          <w:bCs/>
          <w:noProof/>
        </w:rPr>
      </w:pPr>
    </w:p>
    <w:p>
      <w:pPr>
        <w:rPr>
          <w:noProof/>
        </w:rPr>
      </w:pPr>
      <w:r>
        <w:rPr>
          <w:noProof/>
        </w:rPr>
        <w:t>(1)</w:t>
      </w:r>
      <w:r>
        <w:rPr>
          <w:noProof/>
        </w:rPr>
        <w:tab/>
        <w:t>Die Vertragsparteien setzen einen Gemischten Sachverständigenausschuss (nachstehend „Ausschuss“) ein, der sich aus Vertretern der Union und Vertretern Perus zusammensetzt. Die Union wird durch die Europäische Kommission vertreten.</w:t>
      </w:r>
    </w:p>
    <w:p>
      <w:pPr>
        <w:rPr>
          <w:noProof/>
        </w:rPr>
      </w:pPr>
    </w:p>
    <w:p>
      <w:pPr>
        <w:rPr>
          <w:noProof/>
        </w:rPr>
      </w:pPr>
      <w:r>
        <w:rPr>
          <w:noProof/>
        </w:rPr>
        <w:t>(2)</w:t>
      </w:r>
      <w:r>
        <w:rPr>
          <w:noProof/>
        </w:rPr>
        <w:tab/>
        <w:t>Der Ausschuss hat unter anderem folgende Aufgaben:</w:t>
      </w:r>
    </w:p>
    <w:p>
      <w:pPr>
        <w:rPr>
          <w:noProof/>
        </w:rPr>
      </w:pPr>
    </w:p>
    <w:p>
      <w:pPr>
        <w:rPr>
          <w:noProof/>
        </w:rPr>
      </w:pPr>
      <w:r>
        <w:rPr>
          <w:noProof/>
        </w:rPr>
        <w:t>a)</w:t>
      </w:r>
      <w:r>
        <w:rPr>
          <w:noProof/>
        </w:rPr>
        <w:tab/>
        <w:t>Überwachung der Durchführung dieses Abkommens;</w:t>
      </w:r>
    </w:p>
    <w:p>
      <w:pPr>
        <w:rPr>
          <w:noProof/>
        </w:rPr>
      </w:pPr>
    </w:p>
    <w:p>
      <w:pPr>
        <w:rPr>
          <w:noProof/>
        </w:rPr>
      </w:pPr>
      <w:r>
        <w:rPr>
          <w:noProof/>
        </w:rPr>
        <w:t>b)</w:t>
      </w:r>
      <w:r>
        <w:rPr>
          <w:noProof/>
        </w:rPr>
        <w:tab/>
        <w:t>Unterbreitung von Vorschlägen zur Änderung oder Ergänzung dieses Abkommens;</w:t>
      </w:r>
    </w:p>
    <w:p>
      <w:pPr>
        <w:rPr>
          <w:noProof/>
        </w:rPr>
      </w:pPr>
    </w:p>
    <w:p>
      <w:pPr>
        <w:ind w:left="720" w:hanging="720"/>
        <w:rPr>
          <w:noProof/>
        </w:rPr>
      </w:pPr>
      <w:r>
        <w:rPr>
          <w:noProof/>
        </w:rPr>
        <w:t>c)</w:t>
      </w:r>
      <w:r>
        <w:rPr>
          <w:noProof/>
        </w:rPr>
        <w:tab/>
        <w:t>Beilegung von Streitigkeiten betreffend die Auslegung oder Anwendung dieses Abkommens.</w:t>
      </w:r>
    </w:p>
    <w:p>
      <w:pPr>
        <w:rPr>
          <w:noProof/>
        </w:rPr>
      </w:pPr>
    </w:p>
    <w:p>
      <w:pPr>
        <w:rPr>
          <w:noProof/>
        </w:rPr>
      </w:pPr>
      <w:r>
        <w:rPr>
          <w:noProof/>
        </w:rPr>
        <w:t>(3)</w:t>
      </w:r>
      <w:r>
        <w:rPr>
          <w:noProof/>
        </w:rPr>
        <w:tab/>
        <w:t>Der Ausschuss wird bei Bedarf auf Antrag einer Vertragspartei einberufen.</w:t>
      </w:r>
    </w:p>
    <w:p>
      <w:pPr>
        <w:rPr>
          <w:noProof/>
        </w:rPr>
      </w:pPr>
    </w:p>
    <w:p>
      <w:pPr>
        <w:rPr>
          <w:noProof/>
        </w:rPr>
      </w:pPr>
      <w:r>
        <w:rPr>
          <w:noProof/>
        </w:rPr>
        <w:t>(4)</w:t>
      </w:r>
      <w:r>
        <w:rPr>
          <w:noProof/>
        </w:rPr>
        <w:tab/>
        <w:t>Der Ausschuss gibt sich eine Geschäftsordnung.</w:t>
      </w:r>
    </w:p>
    <w:p>
      <w:pPr>
        <w:jc w:val="center"/>
        <w:rPr>
          <w:bCs/>
          <w:noProof/>
        </w:rPr>
      </w:pPr>
    </w:p>
    <w:p>
      <w:pPr>
        <w:jc w:val="center"/>
        <w:rPr>
          <w:bCs/>
          <w:noProof/>
        </w:rPr>
      </w:pPr>
    </w:p>
    <w:p>
      <w:pPr>
        <w:jc w:val="center"/>
        <w:rPr>
          <w:bCs/>
          <w:noProof/>
        </w:rPr>
      </w:pPr>
    </w:p>
    <w:p>
      <w:pPr>
        <w:jc w:val="center"/>
        <w:rPr>
          <w:bCs/>
          <w:noProof/>
        </w:rPr>
      </w:pPr>
    </w:p>
    <w:p>
      <w:pPr>
        <w:jc w:val="center"/>
        <w:rPr>
          <w:bCs/>
          <w:noProof/>
        </w:rPr>
      </w:pPr>
      <w:r>
        <w:rPr>
          <w:noProof/>
        </w:rPr>
        <w:t>ARTIKEL 7</w:t>
      </w:r>
    </w:p>
    <w:p>
      <w:pPr>
        <w:jc w:val="center"/>
        <w:rPr>
          <w:bCs/>
          <w:noProof/>
        </w:rPr>
      </w:pPr>
    </w:p>
    <w:p>
      <w:pPr>
        <w:jc w:val="center"/>
        <w:rPr>
          <w:bCs/>
          <w:noProof/>
        </w:rPr>
      </w:pPr>
      <w:r>
        <w:rPr>
          <w:noProof/>
        </w:rPr>
        <w:t>Verhältnis zwischen diesem Abkommen und bestehenden bilateralen Abkommen</w:t>
      </w:r>
      <w:r>
        <w:rPr>
          <w:noProof/>
        </w:rPr>
        <w:br/>
        <w:t>zwischen den Mitgliedstaaten und Peru über die Befreiung von der Visumpflicht</w:t>
      </w:r>
    </w:p>
    <w:p>
      <w:pPr>
        <w:rPr>
          <w:noProof/>
        </w:rPr>
      </w:pPr>
    </w:p>
    <w:p>
      <w:pPr>
        <w:rPr>
          <w:noProof/>
        </w:rPr>
      </w:pPr>
      <w:r>
        <w:rPr>
          <w:noProof/>
        </w:rPr>
        <w:t>Dieses Abkommen hat Vorrang vor bilateralen Abkommen oder Vereinbarungen zwischen einzelnen Mitgliedstaaten und Peru, soweit sie Fragen betreffen, die unter dieses Abkommen fallen.</w:t>
      </w:r>
    </w:p>
    <w:p>
      <w:pPr>
        <w:rPr>
          <w:noProof/>
        </w:rPr>
      </w:pPr>
    </w:p>
    <w:p>
      <w:pPr>
        <w:rPr>
          <w:noProof/>
        </w:rPr>
      </w:pPr>
    </w:p>
    <w:p>
      <w:pPr>
        <w:rPr>
          <w:noProof/>
        </w:rPr>
      </w:pPr>
    </w:p>
    <w:p>
      <w:pPr>
        <w:jc w:val="center"/>
        <w:rPr>
          <w:bCs/>
          <w:noProof/>
        </w:rPr>
      </w:pPr>
      <w:r>
        <w:rPr>
          <w:noProof/>
        </w:rPr>
        <w:t>ARTIKEL 8</w:t>
      </w:r>
    </w:p>
    <w:p>
      <w:pPr>
        <w:jc w:val="center"/>
        <w:rPr>
          <w:bCs/>
          <w:noProof/>
        </w:rPr>
      </w:pPr>
    </w:p>
    <w:p>
      <w:pPr>
        <w:jc w:val="center"/>
        <w:rPr>
          <w:bCs/>
          <w:noProof/>
        </w:rPr>
      </w:pPr>
      <w:r>
        <w:rPr>
          <w:noProof/>
        </w:rPr>
        <w:t>Schlussbestimmungen</w:t>
      </w:r>
    </w:p>
    <w:p>
      <w:pPr>
        <w:rPr>
          <w:noProof/>
        </w:rPr>
      </w:pPr>
    </w:p>
    <w:p>
      <w:pPr>
        <w:rPr>
          <w:noProof/>
        </w:rPr>
      </w:pPr>
      <w:r>
        <w:rPr>
          <w:noProof/>
        </w:rPr>
        <w:t>(1)</w:t>
      </w:r>
      <w:r>
        <w:rPr>
          <w:noProof/>
        </w:rPr>
        <w:tab/>
        <w:t>Dieses Abkommen wird nach den innerstaatlichen Verfahren jeder Vertragspartei ratifiziert oder genehmigt und tritt am ersten Tag des zweiten Monats in Kraft, der auf den Tag der letzten der beiden Notifikationen folgt, mit denen die Vertragsparteien einander den Abschluss der hierfür erforderlichen Verfahren notifiziert haben.</w:t>
      </w:r>
    </w:p>
    <w:p>
      <w:pPr>
        <w:rPr>
          <w:noProof/>
          <w:szCs w:val="24"/>
        </w:rPr>
      </w:pPr>
    </w:p>
    <w:p>
      <w:pPr>
        <w:rPr>
          <w:noProof/>
          <w:szCs w:val="24"/>
        </w:rPr>
      </w:pPr>
      <w:r>
        <w:rPr>
          <w:noProof/>
        </w:rPr>
        <w:t>Dieses Abkommen wird ab dem Tag nach dem Datum seiner Unterzeichnung vorläufig angewendet.</w:t>
      </w:r>
    </w:p>
    <w:p>
      <w:pPr>
        <w:rPr>
          <w:noProof/>
        </w:rPr>
      </w:pPr>
    </w:p>
    <w:p>
      <w:pPr>
        <w:rPr>
          <w:noProof/>
        </w:rPr>
      </w:pPr>
      <w:r>
        <w:rPr>
          <w:noProof/>
        </w:rPr>
        <w:t>(2)</w:t>
      </w:r>
      <w:r>
        <w:rPr>
          <w:noProof/>
        </w:rPr>
        <w:tab/>
        <w:t>Dieses Abkommen wird auf unbegrenzte Zeit geschlossen, kann aber gemäß Absatz 5 gekündigt werden.</w:t>
      </w:r>
    </w:p>
    <w:p>
      <w:pPr>
        <w:rPr>
          <w:noProof/>
        </w:rPr>
      </w:pPr>
    </w:p>
    <w:p>
      <w:pPr>
        <w:rPr>
          <w:noProof/>
        </w:rPr>
      </w:pPr>
      <w:r>
        <w:rPr>
          <w:noProof/>
        </w:rPr>
        <w:t>(3)</w:t>
      </w:r>
      <w:r>
        <w:rPr>
          <w:noProof/>
        </w:rPr>
        <w:tab/>
        <w:t>Dieses Abkommen kann von den Vertragsparteien durch eine schriftliche Vereinbarung geändert werden. Änderungen treten in Kraft, sobald die Vertragsparteien einander notifiziert haben, dass ihre für die Änderung des Abkommens erforderlichen innerstaatlichen Verfahren abgeschlossen sind.</w:t>
      </w:r>
    </w:p>
    <w:p>
      <w:pPr>
        <w:rPr>
          <w:noProof/>
        </w:rPr>
      </w:pPr>
    </w:p>
    <w:p>
      <w:pPr>
        <w:rPr>
          <w:noProof/>
        </w:rPr>
      </w:pPr>
      <w:r>
        <w:rPr>
          <w:noProof/>
        </w:rPr>
        <w:t>(4)</w:t>
      </w:r>
      <w:r>
        <w:rPr>
          <w:noProof/>
        </w:rPr>
        <w:tab/>
        <w:t>Jede Vertragspartei kann dieses Abkommen insbesondere aus Gründen der öffentlichen Ordnung, zum Schutz der nationalen Sicherheit oder der öffentlichen Gesundheit, wegen irregulärer Einwanderung oder der Wiedereinführung der Visumpflicht durch eine Vertragspartei ganz oder teilweise aussetzen. Die Entscheidung über die Aussetzung wird der anderen Vertragspartei spätestens zwei Monate vor ihrem geplanten Inkrafttreten notifiziert. Eine Vertragspartei, die die Anwendung des Abkommens ausgesetzt hat, unterrichtet unverzüglich die andere Vertragspartei, sobald die für die Aussetzung ausschlaggebenden Gründe nicht mehr bestehen, und hebt die Aussetzung auf.</w:t>
      </w:r>
    </w:p>
    <w:p>
      <w:pPr>
        <w:rPr>
          <w:noProof/>
        </w:rPr>
      </w:pPr>
    </w:p>
    <w:p>
      <w:pPr>
        <w:rPr>
          <w:noProof/>
        </w:rPr>
      </w:pPr>
      <w:r>
        <w:rPr>
          <w:noProof/>
        </w:rPr>
        <w:t>(5)</w:t>
      </w:r>
      <w:r>
        <w:rPr>
          <w:noProof/>
        </w:rPr>
        <w:tab/>
        <w:t>Jede Vertragspartei kann dieses Abkommen gegenüber der anderen Vertragspartei schriftlich kündigen. Das Abkommen tritt 90 Tage nach der Kündigung außer Kraft.</w:t>
      </w:r>
    </w:p>
    <w:p>
      <w:pPr>
        <w:rPr>
          <w:noProof/>
        </w:rPr>
      </w:pPr>
    </w:p>
    <w:p>
      <w:pPr>
        <w:rPr>
          <w:noProof/>
        </w:rPr>
      </w:pPr>
      <w:r>
        <w:rPr>
          <w:noProof/>
        </w:rPr>
        <w:t>(6)</w:t>
      </w:r>
      <w:r>
        <w:rPr>
          <w:noProof/>
        </w:rPr>
        <w:tab/>
        <w:t>Peru kann dieses Abkommen nur für alle Mitgliedstaaten aussetzen oder kündigen.</w:t>
      </w:r>
    </w:p>
    <w:p>
      <w:pPr>
        <w:rPr>
          <w:noProof/>
        </w:rPr>
      </w:pPr>
    </w:p>
    <w:p>
      <w:pPr>
        <w:rPr>
          <w:noProof/>
        </w:rPr>
      </w:pPr>
      <w:r>
        <w:rPr>
          <w:noProof/>
        </w:rPr>
        <w:t>(7)</w:t>
      </w:r>
      <w:r>
        <w:rPr>
          <w:noProof/>
        </w:rPr>
        <w:tab/>
        <w:t>Die Union kann dieses Abkommen nur für alle ihre Mitgliedstaaten aussetzen oder kündigen.</w:t>
      </w:r>
    </w:p>
    <w:p>
      <w:pPr>
        <w:rPr>
          <w:noProof/>
        </w:rPr>
      </w:pPr>
    </w:p>
    <w:p>
      <w:pPr>
        <w:rPr>
          <w:noProof/>
        </w:rPr>
      </w:pPr>
      <w:r>
        <w:rPr>
          <w:noProof/>
        </w:rPr>
        <w:t>Abgefasst in doppelter Urschrift in bulgarischer, spanischer, tschechischer, dänischer, deutscher, estnischer, griechischer, englischer, französischer, kroatischer, italienischer, lettischer, litauischer, ungarischer, maltesischer, niederländischer, polnischer, portugiesischer, rumänischer, slowakischer, slowenischer, finnischer und schwedischer Sprache, wobei jeder Wortlaut gleichermaßen verbindlich ist.</w:t>
      </w:r>
    </w:p>
    <w:p>
      <w:pPr>
        <w:jc w:val="center"/>
        <w:rPr>
          <w:noProof/>
        </w:rPr>
        <w:sectPr>
          <w:footerReference w:type="default" r:id="rId15"/>
          <w:footerReference w:type="first" r:id="rId16"/>
          <w:footnotePr>
            <w:numRestart w:val="eachPage"/>
          </w:footnotePr>
          <w:endnotePr>
            <w:numFmt w:val="decimal"/>
          </w:endnotePr>
          <w:pgSz w:w="11907" w:h="16840" w:code="9"/>
          <w:pgMar w:top="1134" w:right="1134" w:bottom="1134" w:left="1134" w:header="1134" w:footer="1134" w:gutter="0"/>
          <w:cols w:space="720"/>
          <w:docGrid w:linePitch="326"/>
        </w:sectPr>
      </w:pPr>
    </w:p>
    <w:p>
      <w:pPr>
        <w:jc w:val="center"/>
        <w:rPr>
          <w:noProof/>
        </w:rPr>
      </w:pPr>
    </w:p>
    <w:p>
      <w:pPr>
        <w:jc w:val="center"/>
        <w:rPr>
          <w:noProof/>
        </w:rPr>
      </w:pPr>
      <w:r>
        <w:rPr>
          <w:noProof/>
        </w:rPr>
        <w:t>GEMEINSAME ERKLÄRUNG ZU ISLAND, NORWEGEN, DER SCHWEIZ</w:t>
      </w:r>
      <w:r>
        <w:rPr>
          <w:noProof/>
        </w:rPr>
        <w:br/>
        <w:t>UND LIECHTENSTEIN</w:t>
      </w:r>
    </w:p>
    <w:p>
      <w:pPr>
        <w:rPr>
          <w:noProof/>
        </w:rPr>
      </w:pPr>
    </w:p>
    <w:p>
      <w:pPr>
        <w:rPr>
          <w:noProof/>
        </w:rPr>
      </w:pPr>
      <w:r>
        <w:rPr>
          <w:noProof/>
        </w:rPr>
        <w:t xml:space="preserve">Die Vertragsparteien nehmen die engen Beziehungen zwischen der Europäischen Union und Island, Norwegen, der Schweiz und Liechtenstein zur Kenntnis, die insbesondere auf dem Übereinkommen vom 18. Mai 1999 und dem Abkommen vom 26. Oktober 2004 über die Assoziierung dieser Länder bei der Umsetzung, Anwendung und Entwicklung des Schengen-Besitzstands beruhen. </w:t>
      </w:r>
    </w:p>
    <w:p>
      <w:pPr>
        <w:rPr>
          <w:noProof/>
        </w:rPr>
      </w:pPr>
    </w:p>
    <w:p>
      <w:pPr>
        <w:rPr>
          <w:noProof/>
        </w:rPr>
      </w:pPr>
      <w:r>
        <w:rPr>
          <w:noProof/>
        </w:rPr>
        <w:t xml:space="preserve">Daher ist es wünschenswert, dass Island, Norwegen, die Schweiz und Liechtenstein einerseits sowie Peru andererseits unverzüglich bilaterale Abkommen über die Befreiung von der Visumpflicht für Kurzaufenthalte mit ähnlichen Bestimmungen schließen, wie sie dieses Abkommen vorsieht. </w:t>
      </w:r>
    </w:p>
    <w:p>
      <w:pPr>
        <w:jc w:val="center"/>
        <w:rPr>
          <w:noProof/>
        </w:rPr>
      </w:pPr>
    </w:p>
    <w:p>
      <w:pPr>
        <w:jc w:val="center"/>
        <w:rPr>
          <w:noProof/>
        </w:rPr>
      </w:pPr>
    </w:p>
    <w:p>
      <w:pPr>
        <w:jc w:val="center"/>
        <w:rPr>
          <w:noProof/>
        </w:rPr>
      </w:pPr>
    </w:p>
    <w:p>
      <w:pPr>
        <w:jc w:val="center"/>
        <w:rPr>
          <w:noProof/>
        </w:rPr>
      </w:pPr>
      <w:r>
        <w:rPr>
          <w:noProof/>
        </w:rPr>
        <w:t>GEMEINSAME ERKLÄRUNG ZUR AUSLEGUNG VON ARTIKEL 3 ABSATZ 2 DIESES ABKOMMENS BETREFFEND DIE PERSONENGRUPPE, DEREN REISEZWECK DARIN BESTEHT, EINER ERWERBSTÄTIGKEIT NACHZUGEHEN</w:t>
      </w:r>
    </w:p>
    <w:p>
      <w:pPr>
        <w:jc w:val="center"/>
        <w:rPr>
          <w:noProof/>
        </w:rPr>
      </w:pPr>
    </w:p>
    <w:p>
      <w:pPr>
        <w:rPr>
          <w:noProof/>
        </w:rPr>
      </w:pPr>
      <w:r>
        <w:rPr>
          <w:noProof/>
        </w:rPr>
        <w:t xml:space="preserve">In dem Wunsch, eine gemeinsame Auslegung zu gewährleisten, vereinbaren die Vertragsparteien, dass für die Zwecke dieses Abkommens die Personengruppe, die einer Erwerbstätigkeit nachgeht, Personen umfasst, deren Einreise dem Zweck dient, im Hoheitsgebiet der anderen Vertragspartei als Arbeitnehmer oder Dienstleistungserbringer einer Erwerbstätigkeit nachzugehen. </w:t>
      </w:r>
    </w:p>
    <w:p>
      <w:pPr>
        <w:rPr>
          <w:noProof/>
        </w:rPr>
      </w:pPr>
    </w:p>
    <w:p>
      <w:pPr>
        <w:rPr>
          <w:noProof/>
        </w:rPr>
      </w:pPr>
      <w:r>
        <w:rPr>
          <w:noProof/>
        </w:rPr>
        <w:t xml:space="preserve">In diese Personengruppe fallen nicht: </w:t>
      </w:r>
    </w:p>
    <w:p>
      <w:pPr>
        <w:ind w:left="720" w:hanging="720"/>
        <w:rPr>
          <w:noProof/>
        </w:rPr>
      </w:pPr>
      <w:r>
        <w:rPr>
          <w:noProof/>
        </w:rPr>
        <w:t>–</w:t>
      </w:r>
      <w:r>
        <w:rPr>
          <w:noProof/>
        </w:rPr>
        <w:tab/>
        <w:t xml:space="preserve">Geschäftsleute, d. h. Personen, die zum Zweck geschäftlicher Beratungen reisen (ohne im Land der anderen Vertragspartei beschäftigt zu sein), </w:t>
      </w:r>
    </w:p>
    <w:p>
      <w:pPr>
        <w:ind w:left="720" w:hanging="720"/>
        <w:rPr>
          <w:noProof/>
        </w:rPr>
      </w:pPr>
      <w:r>
        <w:rPr>
          <w:noProof/>
        </w:rPr>
        <w:t>–</w:t>
      </w:r>
      <w:r>
        <w:rPr>
          <w:noProof/>
        </w:rPr>
        <w:tab/>
        <w:t xml:space="preserve">Sportler oder Künstler, die punktuell an einer Veranstaltung teilnehmen oder ein Engagement wahrnehmen, </w:t>
      </w:r>
    </w:p>
    <w:p>
      <w:pPr>
        <w:rPr>
          <w:noProof/>
        </w:rPr>
      </w:pPr>
      <w:r>
        <w:rPr>
          <w:noProof/>
        </w:rPr>
        <w:t>–</w:t>
      </w:r>
      <w:r>
        <w:rPr>
          <w:noProof/>
        </w:rPr>
        <w:tab/>
        <w:t xml:space="preserve">Journalisten, die von den Medien ihres Wohnsitzlands entsandt werden, und </w:t>
      </w:r>
    </w:p>
    <w:p>
      <w:pPr>
        <w:rPr>
          <w:noProof/>
        </w:rPr>
      </w:pPr>
      <w:r>
        <w:rPr>
          <w:noProof/>
        </w:rPr>
        <w:t>–</w:t>
      </w:r>
      <w:r>
        <w:rPr>
          <w:noProof/>
        </w:rPr>
        <w:tab/>
        <w:t xml:space="preserve">innerbetriebliche Auszubildende. </w:t>
      </w:r>
    </w:p>
    <w:p>
      <w:pPr>
        <w:rPr>
          <w:noProof/>
        </w:rPr>
      </w:pPr>
    </w:p>
    <w:p>
      <w:pPr>
        <w:rPr>
          <w:noProof/>
        </w:rPr>
      </w:pPr>
      <w:r>
        <w:rPr>
          <w:noProof/>
        </w:rPr>
        <w:t xml:space="preserve">Der Gemischte Ausschuss überwacht die Umsetzung dieser Erklärung im Rahmen seiner Zuständigkeit nach Artikel 6 dieses Abkommens; er kann Änderungen vorschlagen, wenn er dies aufgrund der Erfahrungen der Vertragsparteien für erforderlich hält. </w:t>
      </w:r>
    </w:p>
    <w:p>
      <w:pPr>
        <w:rPr>
          <w:noProof/>
        </w:rPr>
      </w:pPr>
    </w:p>
    <w:p>
      <w:pPr>
        <w:rPr>
          <w:noProof/>
        </w:rPr>
      </w:pPr>
      <w:r>
        <w:rPr>
          <w:noProof/>
        </w:rPr>
        <w:lastRenderedPageBreak/>
        <w:t>Diese Erklärung berührt nicht die Definition von Gruppen von Reisenden in den nationalen Rechtsvorschriften Perus zum Zwecke der Einreise, der Ausreise, der Durchreise und des Aufenthalts im Hoheitsgebiet Perus.</w:t>
      </w:r>
    </w:p>
    <w:p>
      <w:pPr>
        <w:jc w:val="center"/>
        <w:rPr>
          <w:noProof/>
        </w:rPr>
      </w:pPr>
    </w:p>
    <w:p>
      <w:pPr>
        <w:jc w:val="center"/>
        <w:rPr>
          <w:noProof/>
        </w:rPr>
      </w:pPr>
    </w:p>
    <w:p>
      <w:pPr>
        <w:jc w:val="center"/>
        <w:rPr>
          <w:noProof/>
        </w:rPr>
      </w:pPr>
    </w:p>
    <w:p>
      <w:pPr>
        <w:jc w:val="center"/>
        <w:rPr>
          <w:noProof/>
        </w:rPr>
      </w:pPr>
      <w:r>
        <w:rPr>
          <w:noProof/>
        </w:rPr>
        <w:t>GEMEINSAME ERKLÄRUNG ZUR ABGRENZUNG DES ZEITRAUMS VON 90 TAGEN</w:t>
      </w:r>
      <w:r>
        <w:rPr>
          <w:noProof/>
        </w:rPr>
        <w:br/>
        <w:t>IN EINEM ZEITRAUM VON 180 TAGEN GEMÄSS ARTIKEL 4 DIESES ABKOMMENS</w:t>
      </w:r>
    </w:p>
    <w:p>
      <w:pPr>
        <w:rPr>
          <w:noProof/>
        </w:rPr>
      </w:pPr>
    </w:p>
    <w:p>
      <w:pPr>
        <w:rPr>
          <w:noProof/>
        </w:rPr>
      </w:pPr>
      <w:r>
        <w:rPr>
          <w:noProof/>
        </w:rPr>
        <w:t>Die Vertragsparteien vereinbaren, dass der Zeitraum von höchstens 90 Tagen in einem Zeitraum von 180 Tagen gemäß Artikel 4 dieses Abkommens entweder einen ununterbrochenen Aufenthalt oder mehrere aufeinanderfolgende Aufenthalte bezeichnet, deren Gesamtdauer in einem Zeitraum von 180 Tagen 90 Tage nicht übersteigt.</w:t>
      </w:r>
    </w:p>
    <w:p>
      <w:pPr>
        <w:rPr>
          <w:noProof/>
        </w:rPr>
      </w:pPr>
    </w:p>
    <w:p>
      <w:pPr>
        <w:rPr>
          <w:noProof/>
        </w:rPr>
      </w:pPr>
      <w:r>
        <w:rPr>
          <w:noProof/>
        </w:rPr>
        <w:t>Zugrunde gelegt wird ein „gleitender“ Zeitraum von 180 Tagen, wobei rückblickend geprüft wird, ob die Vorgabe von 90 Tagen in einem Zeitraum von 180 Tagen weiterhin an jedem einzelnen Aufenthaltstag im letzten Zeitraum von 180 Tagen erfüllt ist. Unter anderem bedeutet dies, dass die Abwesenheit während eines ununterbrochenen Zeitraums von 90 Tagen zu einem neuen Aufenthalt bis zu 90 Tagen berechtigt.</w:t>
      </w:r>
    </w:p>
    <w:p>
      <w:pPr>
        <w:rPr>
          <w:noProof/>
        </w:rPr>
      </w:pPr>
    </w:p>
    <w:p>
      <w:pPr>
        <w:rPr>
          <w:noProof/>
        </w:rPr>
      </w:pPr>
    </w:p>
    <w:p>
      <w:pPr>
        <w:rPr>
          <w:noProof/>
        </w:rPr>
      </w:pPr>
    </w:p>
    <w:p>
      <w:pPr>
        <w:rPr>
          <w:noProof/>
        </w:rPr>
      </w:pPr>
    </w:p>
    <w:p>
      <w:pPr>
        <w:jc w:val="center"/>
        <w:rPr>
          <w:noProof/>
        </w:rPr>
      </w:pPr>
      <w:r>
        <w:rPr>
          <w:noProof/>
        </w:rPr>
        <w:t>GEMEINSAME ERKLÄRUNG ZUR INFORMATION DER BÜRGER</w:t>
      </w:r>
      <w:r>
        <w:rPr>
          <w:noProof/>
        </w:rPr>
        <w:br/>
        <w:t>ÜBER DAS ABKOMMEN ZUR BEFREIUNG VON DER VISUMPFLICHT</w:t>
      </w:r>
    </w:p>
    <w:p>
      <w:pPr>
        <w:rPr>
          <w:noProof/>
        </w:rPr>
      </w:pPr>
    </w:p>
    <w:p>
      <w:pPr>
        <w:rPr>
          <w:noProof/>
        </w:rPr>
      </w:pPr>
      <w:r>
        <w:rPr>
          <w:noProof/>
        </w:rPr>
        <w:t>In Anerkennung der Bedeutung der Transparenz für die Bürger der Europäischen Union und die Bürger Perus vereinbaren die Vertragsparteien, die uneingeschränkte Verbreitung der Informationen über Inhalt und Folgen des Abkommens über die Befreiung von der Visumpflicht und damit zusammenhängende Fragen wie die Einreisebedingungen sicherzustellen.</w:t>
      </w:r>
    </w:p>
    <w:p>
      <w:pPr>
        <w:rPr>
          <w:noProof/>
        </w:rPr>
      </w:pPr>
    </w:p>
    <w:p>
      <w:pPr>
        <w:jc w:val="center"/>
        <w:rPr>
          <w:caps/>
          <w:noProof/>
        </w:rPr>
      </w:pPr>
    </w:p>
    <w:p>
      <w:pPr>
        <w:jc w:val="center"/>
        <w:rPr>
          <w:caps/>
          <w:noProof/>
        </w:rPr>
      </w:pPr>
    </w:p>
    <w:p>
      <w:pPr>
        <w:jc w:val="center"/>
        <w:rPr>
          <w:caps/>
          <w:noProof/>
        </w:rPr>
      </w:pPr>
    </w:p>
    <w:p>
      <w:pPr>
        <w:jc w:val="center"/>
        <w:rPr>
          <w:caps/>
          <w:noProof/>
        </w:rPr>
      </w:pPr>
      <w:r>
        <w:rPr>
          <w:caps/>
          <w:noProof/>
        </w:rPr>
        <w:t>GEMEINSAME ERKLÄRUNG ZUR EINFÜHRUNG BIOMETRISCHER REISEPÄSSE DURCH DIE REPUBLIK PERU</w:t>
      </w:r>
    </w:p>
    <w:p>
      <w:pPr>
        <w:rPr>
          <w:noProof/>
        </w:rPr>
      </w:pPr>
    </w:p>
    <w:p>
      <w:pPr>
        <w:rPr>
          <w:noProof/>
        </w:rPr>
      </w:pPr>
      <w:r>
        <w:rPr>
          <w:noProof/>
        </w:rPr>
        <w:lastRenderedPageBreak/>
        <w:t>Die Republik Peru als Vertragspartei erklärt, dass sie die Herstellung biometrischer Reisepässe in Auftrag gegeben hat und sich verpflichtet, spätestens am 31. Dezember 2015 biometrische Reisepässe an ihre Bürger auszugeben. Diese Reisepässe werden den ICAO-Vorgaben im ICAO-Dokument 9303 vollständig entsprechen.</w:t>
      </w:r>
    </w:p>
    <w:p>
      <w:pPr>
        <w:rPr>
          <w:noProof/>
        </w:rPr>
      </w:pPr>
    </w:p>
    <w:p>
      <w:pPr>
        <w:rPr>
          <w:noProof/>
        </w:rPr>
      </w:pPr>
      <w:r>
        <w:rPr>
          <w:noProof/>
        </w:rPr>
        <w:t>Die Vertragsparteien vereinbaren, dass die Nichteinführung biometrischer Reisepässe bis zum 31. Dezember 2015 einen ausreichenden Grund für die Aussetzung dieses Abkommens gemäß den in Artikel 8 Absatz 4 festgelegten Modalitäten darstellt.</w:t>
      </w:r>
    </w:p>
    <w:p>
      <w:pPr>
        <w:rPr>
          <w:noProof/>
        </w:rPr>
      </w:pPr>
    </w:p>
    <w:p>
      <w:pPr>
        <w:rPr>
          <w:noProof/>
        </w:rPr>
      </w:pPr>
    </w:p>
    <w:p>
      <w:pPr>
        <w:rPr>
          <w:noProof/>
        </w:rPr>
      </w:pPr>
    </w:p>
    <w:p>
      <w:pPr>
        <w:jc w:val="center"/>
        <w:rPr>
          <w:noProof/>
        </w:rPr>
      </w:pPr>
    </w:p>
    <w:p>
      <w:pPr>
        <w:jc w:val="center"/>
        <w:rPr>
          <w:noProof/>
        </w:rPr>
      </w:pPr>
      <w:r>
        <w:rPr>
          <w:noProof/>
        </w:rPr>
        <w:t>GEMEINSAME ERKLÄRUNG ZUR ZUSAMMENARBEIT HINSICHTLICH DER IRREGULÄREN MIGRATION</w:t>
      </w:r>
    </w:p>
    <w:p>
      <w:pPr>
        <w:rPr>
          <w:noProof/>
        </w:rPr>
      </w:pPr>
    </w:p>
    <w:p>
      <w:pPr>
        <w:rPr>
          <w:noProof/>
        </w:rPr>
      </w:pPr>
      <w:r>
        <w:rPr>
          <w:noProof/>
        </w:rPr>
        <w:t xml:space="preserve">Die Vertragsparteien erinnern daran, dass gemäß Artikel 49 Absatz 3 des Abkommens über politischen Dialog und Zusammenarbeit zwischen der Europäischen Gemeinschaft und ihren Mitgliedstaaten einerseits und der Andengemeinschaft und ihren Mitgliedsländern andererseits die Vertragsparteien übereinkommen, ihre irregulären Migranten rückzuübernehmen. </w:t>
      </w:r>
    </w:p>
    <w:p>
      <w:pPr>
        <w:rPr>
          <w:noProof/>
        </w:rPr>
      </w:pPr>
    </w:p>
    <w:p>
      <w:pPr>
        <w:rPr>
          <w:noProof/>
        </w:rPr>
      </w:pPr>
      <w:r>
        <w:rPr>
          <w:noProof/>
        </w:rPr>
        <w:t>Die Vertragsparteien werden die Einhaltung dieser Verpflichtung genau überwachen. Sie vereinbaren, auf Ersuchen einer Vertragspartei und insbesondere im Falle einer Zunahme der irregulären Migration und der Probleme bei der Rückübernahme irregulärer Migranten nach Inkrafttreten des Abkommens über die Befreiung von der Visumpflicht für Kurzaufenthalte ein Abkommen zu schließen, das die besonderen Rückübernahmepflichten beider Vertragsparteien regelt.</w:t>
      </w:r>
    </w:p>
    <w:p>
      <w:pPr>
        <w:rPr>
          <w:noProof/>
        </w:rPr>
      </w:pPr>
    </w:p>
    <w:p>
      <w:pPr>
        <w:rPr>
          <w:noProof/>
        </w:rPr>
      </w:pPr>
      <w:r>
        <w:rPr>
          <w:noProof/>
        </w:rPr>
        <w:t xml:space="preserve">Die Vertragsparteien vereinbaren, dass das Nichtzustandekommen eines solchen auf Ersuchen einer Vertragspartei zu schließenden Rückübernahmeabkommens einen ausreichenden Grund für die Aussetzung des vorliegenden Abkommens gemäß den in Artikel 8 Absatz 4 festgelegten Modalitäten darstellt. </w:t>
      </w:r>
    </w:p>
    <w:p>
      <w:pPr>
        <w:rPr>
          <w:noProof/>
        </w:rPr>
      </w:pPr>
    </w:p>
    <w:p>
      <w:pPr>
        <w:rPr>
          <w:noProof/>
        </w:rPr>
      </w:pPr>
    </w:p>
    <w:p>
      <w:pPr>
        <w:jc w:val="center"/>
        <w:rPr>
          <w:rFonts w:ascii="Arial" w:hAnsi="Arial" w:cs="Arial"/>
          <w:noProof/>
          <w:sz w:val="23"/>
          <w:szCs w:val="23"/>
          <w:lang w:val="en"/>
        </w:rPr>
      </w:pPr>
      <w:r>
        <w:rPr>
          <w:rFonts w:ascii="Arial" w:hAnsi="Arial" w:cs="Arial"/>
          <w:noProof/>
          <w:sz w:val="23"/>
          <w:szCs w:val="23"/>
          <w:lang w:val="en"/>
        </w:rPr>
        <w:t>_________________</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o-RO"/>
        </w:rPr>
      </w:pPr>
      <w:r>
        <w:rPr>
          <w:rStyle w:val="FootnoteReference"/>
        </w:rPr>
        <w:footnoteRef/>
      </w:r>
      <w:r>
        <w:tab/>
        <w:t>ABl. L 149 vom 20.5.2014, S. 67.</w:t>
      </w:r>
    </w:p>
  </w:footnote>
  <w:footnote w:id="2">
    <w:p>
      <w:pPr>
        <w:pStyle w:val="FootnoteText"/>
      </w:pPr>
      <w:r>
        <w:rPr>
          <w:rStyle w:val="FootnoteReference"/>
        </w:rPr>
        <w:footnoteRef/>
      </w:r>
      <w:r>
        <w:tab/>
        <w:t>Verordnung (EG) Nr. 539/2001 des Rates vom 15. März 2001 zur Aufstellung der Liste der Drittländer, deren Staatsangehörige beim Überschreiten der Außengrenzen im Besitz eines Visums sein müssen, sowie der Liste der Drittländer, deren Staatsangehörige von dieser Visumpflicht befreit sind (ABl. L 81 vom 21.3.2001, S. 1).</w:t>
      </w:r>
    </w:p>
    <w:p>
      <w:pPr>
        <w:pStyle w:val="FootnoteText"/>
        <w:rPr>
          <w:lang w:val="ro-RO"/>
        </w:rPr>
      </w:pPr>
      <w: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D1C2E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65A83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66C1E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984AF4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DF82F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7E628F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BE0A50"/>
    <w:lvl w:ilvl="0">
      <w:start w:val="1"/>
      <w:numFmt w:val="decimal"/>
      <w:pStyle w:val="ListNumber"/>
      <w:lvlText w:val="%1."/>
      <w:lvlJc w:val="left"/>
      <w:pPr>
        <w:tabs>
          <w:tab w:val="num" w:pos="360"/>
        </w:tabs>
        <w:ind w:left="360" w:hanging="360"/>
      </w:pPr>
    </w:lvl>
  </w:abstractNum>
  <w:abstractNum w:abstractNumId="7">
    <w:nsid w:val="FFFFFF89"/>
    <w:multiLevelType w:val="singleLevel"/>
    <w:tmpl w:val="843A232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12 21:08:1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115"/>
    <w:docVar w:name="DQCResult_UnknownFonts" w:val="0;0"/>
    <w:docVar w:name="DQCResult_UnknownStyles" w:val="0;0"/>
    <w:docVar w:name="DQCStatus" w:val="Green"/>
    <w:docVar w:name="DQCVersion" w:val="3"/>
    <w:docVar w:name="DQCWithWarnings" w:val="0"/>
    <w:docVar w:name="LW_ACCOMPAGNANT.CP" w:val="zu dem"/>
    <w:docVar w:name="LW_ANNEX_NBR_FIRST" w:val="1"/>
    <w:docVar w:name="LW_ANNEX_NBR_LAST" w:val="1"/>
    <w:docVar w:name="LW_CONFIDENCE" w:val=" "/>
    <w:docVar w:name="LW_CONST_RESTREINT_UE" w:val="RESTREINT UE"/>
    <w:docVar w:name="LW_CORRIGENDUM" w:val="&lt;UNUSED&gt;"/>
    <w:docVar w:name="LW_COVERPAGE_GUID" w:val="B0ECF3E7E28640C8BD138DE5AF943C7D"/>
    <w:docVar w:name="LW_CROSSREFERENCE" w:val="&lt;UNUSED&gt;"/>
    <w:docVar w:name="LW_DocType" w:val="ANNEX"/>
    <w:docVar w:name="LW_EMISSION" w:val="14.9.2015"/>
    <w:docVar w:name="LW_EMISSION_ISODATE" w:val="2015-09-14"/>
    <w:docVar w:name="LW_EMISSION_LOCATION" w:val="BRX"/>
    <w:docVar w:name="LW_EMISSION_PREFIX" w:val="Brüssel, den "/>
    <w:docVar w:name="LW_EMISSION_SUFFIX" w:val=" "/>
    <w:docVar w:name="LW_ID_DOCSTRUCTURE" w:val="COM/ANNEX"/>
    <w:docVar w:name="LW_ID_DOCTYPE" w:val="SG-017"/>
    <w:docVar w:name="LW_LANGUE" w:val="DE"/>
    <w:docVar w:name="LW_MARKING" w:val="&lt;UNUSED&gt;"/>
    <w:docVar w:name="LW_NOM.INST" w:val="EUROPÄISCHE KOMMISSION"/>
    <w:docVar w:name="LW_NOM.INST_JOINTDOC" w:val="&lt;EMPTY&gt;"/>
    <w:docVar w:name="LW_OBJETACTEPRINCIPAL.CP" w:val="über den Abschluss des Abkommens zwischen der Europäischen Union und der Republik Peru über die Befreiung von der Visumpflicht für Kurzaufenthalte"/>
    <w:docVar w:name="LW_PART_NBR" w:val="1"/>
    <w:docVar w:name="LW_PART_NBR_TOTAL" w:val="1"/>
    <w:docVar w:name="LW_REF.INST.NEW" w:val="COM"/>
    <w:docVar w:name="LW_REF.INST.NEW_ADOPTED" w:val="final"/>
    <w:docVar w:name="LW_REF.INST.NEW_TEXT" w:val="(2015) 439"/>
    <w:docVar w:name="LW_REF.INTERNE" w:val="&lt;UNUSED&gt;"/>
    <w:docVar w:name="LW_SUPERTITRE" w:val="&lt;UNUSED&gt;"/>
    <w:docVar w:name="LW_TITRE.OBJ.CP" w:val="&lt;UNUSED&gt;"/>
    <w:docVar w:name="LW_TYPE.DOC.CP" w:val="ANHANG"/>
    <w:docVar w:name="LW_TYPEACTEPRINCIPAL.CP" w:val="Vorschlag für einen Beschluss des Rates"/>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13</Pages>
  <Words>1985</Words>
  <Characters>13305</Characters>
  <Application>Microsoft Office Word</Application>
  <DocSecurity>0</DocSecurity>
  <Lines>359</Lines>
  <Paragraphs>108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SCHWARZ Guido (EMPL)</dc:creator>
  <cp:lastModifiedBy>DIGIT/A3</cp:lastModifiedBy>
  <cp:revision>7</cp:revision>
  <cp:lastPrinted>2015-08-20T13:15:00Z</cp:lastPrinted>
  <dcterms:created xsi:type="dcterms:W3CDTF">2015-08-20T13:46:00Z</dcterms:created>
  <dcterms:modified xsi:type="dcterms:W3CDTF">2015-09-12T19:08:00Z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