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507F228E074268BE0B2E6EFC81A08E"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rPr>
      </w:pPr>
      <w:r>
        <w:rPr>
          <w:noProof/>
        </w:rPr>
        <w:t>1.</w:t>
      </w:r>
      <w:r>
        <w:rPr>
          <w:noProof/>
        </w:rPr>
        <w:tab/>
        <w:t>EHDOTUKSEN TAUSTA</w:t>
      </w:r>
    </w:p>
    <w:p>
      <w:pPr>
        <w:pStyle w:val="ManualHeading2"/>
        <w:rPr>
          <w:rFonts w:eastAsia="Arial Unicode MS"/>
          <w:noProof/>
        </w:rPr>
      </w:pPr>
      <w:r>
        <w:rPr>
          <w:noProof/>
        </w:rPr>
        <w:t>•</w:t>
      </w:r>
      <w:r>
        <w:rPr>
          <w:noProof/>
        </w:rPr>
        <w:tab/>
        <w:t>Ehdotuksen perustelut ja tavoitteet</w:t>
      </w:r>
    </w:p>
    <w:p>
      <w:pPr>
        <w:rPr>
          <w:noProof/>
        </w:rPr>
      </w:pPr>
      <w:r>
        <w:rPr>
          <w:noProof/>
        </w:rPr>
        <w:t xml:space="preserve">Vuonna 1995 allekirjoitettu Euro–Välimeri-assosiaatiosopimus, jäljempänä ”sopimus”, muodostaa tällä hetkellä Euroopan unionin ja Tunisian tasavallan, jäljempänä ”Tunisia”, välisten kauppasuhteiden puitteet. Sopimus tuli voimaan vuonna 1998 ja sillä luodaan perusta vapaakauppa-alueen perustamiselle, mihin kuuluu myös maataloustuotteiden kaupan asteittainen vapauttaminen. Tunisia ja EU ovat aloittamassa neuvottelut pitkälle menevän ja laaja-alaisen vapaakauppasopimuksen tekemisestä. Kyseisessä sopimuksessa on erityisesti tarkoitus mennä maatalouskaupan vapauttamisessa entistä syvemmälle. </w:t>
      </w:r>
    </w:p>
    <w:p>
      <w:pPr>
        <w:rPr>
          <w:noProof/>
        </w:rPr>
      </w:pPr>
      <w:r>
        <w:rPr>
          <w:noProof/>
        </w:rPr>
        <w:t>Soussessa 26. kesäkuuta 2015 tapahtunut terrori-isku herätti EU:ssa tarpeen auttaa konkreettisella ja kohdennetulla tavalla Tunisiaa sen poliittisessa ja taloudellisessa siirtymäprosessissa toteuttamalla toimia, jotka voivat olla tehokkaita lyhyellä aikavälillä.</w:t>
      </w:r>
    </w:p>
    <w:p>
      <w:pPr>
        <w:rPr>
          <w:noProof/>
        </w:rPr>
      </w:pPr>
      <w:r>
        <w:rPr>
          <w:noProof/>
        </w:rPr>
        <w:t>Ulkoasiainneuvosto keskusteli 20. heinäkuuta 2015 Tunisian tilanteesta ja konkreettisista toimenpiteistä, joilla EU voisi auttaa sitä. Neuvosto antoi Tunisiaa koskevat päätelmät</w:t>
      </w:r>
      <w:r>
        <w:rPr>
          <w:rStyle w:val="FootnoteReference"/>
          <w:noProof/>
        </w:rPr>
        <w:footnoteReference w:id="1"/>
      </w:r>
      <w:r>
        <w:rPr>
          <w:noProof/>
        </w:rPr>
        <w:t>, joissa kartoitetaan Tunisian poliittiselle ja taloudelliselle siirtymäprosessille annettavaa tukea.</w:t>
      </w:r>
    </w:p>
    <w:p>
      <w:pPr>
        <w:rPr>
          <w:noProof/>
        </w:rPr>
      </w:pPr>
      <w:r>
        <w:rPr>
          <w:noProof/>
        </w:rPr>
        <w:t>Näin ollen Euroopan komissio ehdottaa yksipuolisen kaupan toimenpiteen toteuttamista, jonka mukaisesti Tunisia voisi vuosittain viedä unioniin oliiviöljyä väliaikaisessa yksipuolisessa tariffikiintiössä, jonka suuruus on 35 000 tonnia ja jossa ei kanneta tullia. Tämä kiintiö olisi käytössä kahden vuoden ajan 1. tammikuuta 2016 ja 31. joulukuuta 2017 välisen ajan. Tämä lisämäärä asetetaan käyttöön, kun sopimuksessa määrätty nykyinen 56 700 tonnin suuruinen tulliton tariffikiintiö on käytetty loppuun.</w:t>
      </w:r>
    </w:p>
    <w:p>
      <w:pPr>
        <w:rPr>
          <w:noProof/>
        </w:rPr>
      </w:pPr>
      <w:r>
        <w:rPr>
          <w:noProof/>
        </w:rPr>
        <w:t xml:space="preserve">Oliiviöljy on tärkein Tunisiasta EU:hun vietävä maataloustuote. Ala on tärkeä osa maan taloutta, sillä se työllistää suoraan ja välillisesti yli miljoona ihmistä. Tämä tarkoittaa, että viidesosa kaikista maatalouden työpaikoista on Tunisiassa oliiviöljyalalla. </w:t>
      </w:r>
    </w:p>
    <w:p>
      <w:pPr>
        <w:rPr>
          <w:noProof/>
        </w:rPr>
      </w:pPr>
      <w:r>
        <w:rPr>
          <w:noProof/>
        </w:rPr>
        <w:t>On huomattava, ettei mainitun myönnytyksen tulisi vaikuttaa lokakuussa 2015 alkaviksi suunniteltujen pitkälle menevää ja laaja-alaista vapaakauppasopimusta koskevien maatalousneuvottelujen tuloksiin.</w:t>
      </w:r>
    </w:p>
    <w:p>
      <w:pPr>
        <w:pStyle w:val="ManualHeading1"/>
        <w:rPr>
          <w:noProof/>
        </w:rPr>
      </w:pPr>
      <w:r>
        <w:rPr>
          <w:noProof/>
        </w:rPr>
        <w:t>2.</w:t>
      </w:r>
      <w:r>
        <w:rPr>
          <w:noProof/>
        </w:rPr>
        <w:tab/>
        <w:t>OIKEUSPERUSTA SEKÄ TOISSIJAISUUS- JA SUHTEELLISUUSPERIAATE</w:t>
      </w:r>
    </w:p>
    <w:p>
      <w:pPr>
        <w:pBdr>
          <w:top w:val="nil"/>
          <w:left w:val="nil"/>
          <w:bottom w:val="nil"/>
          <w:right w:val="nil"/>
          <w:between w:val="nil"/>
          <w:bar w:val="nil"/>
        </w:pBdr>
        <w:rPr>
          <w:rFonts w:eastAsia="Arial Unicode MS"/>
          <w:noProof/>
        </w:rPr>
      </w:pPr>
      <w:r>
        <w:rPr>
          <w:noProof/>
        </w:rPr>
        <w:t>Ehdotuksen oikeusperusta on Euroopan unionin toiminnasta tehdyn sopimuksen 207 artiklan 2 kohta. Aloite kuuluu EU:n yksinomaiseen toimivaltaan Euroopan unionin toiminnasta tehdyn sopimuksen 3 artiklan e alakohdan mukaisesti. Sen vuoksi toissijaisuusperiaatetta ei sovelleta.</w:t>
      </w:r>
    </w:p>
    <w:p>
      <w:pPr>
        <w:pStyle w:val="ManualHeading1"/>
        <w:rPr>
          <w:noProof/>
        </w:rPr>
      </w:pPr>
      <w:r>
        <w:rPr>
          <w:noProof/>
        </w:rPr>
        <w:t>3.</w:t>
      </w:r>
      <w:r>
        <w:rPr>
          <w:noProof/>
        </w:rPr>
        <w:tab/>
        <w:t>TALOUSARVIOVAIKUTUKSET</w:t>
      </w:r>
    </w:p>
    <w:p>
      <w:pPr>
        <w:pBdr>
          <w:top w:val="nil"/>
          <w:left w:val="nil"/>
          <w:bottom w:val="nil"/>
          <w:right w:val="nil"/>
          <w:between w:val="nil"/>
          <w:bar w:val="nil"/>
        </w:pBdr>
        <w:rPr>
          <w:noProof/>
        </w:rPr>
      </w:pPr>
      <w:r>
        <w:rPr>
          <w:noProof/>
        </w:rPr>
        <w:t xml:space="preserve">Toimenpiteet saattavat johtaa nettotuonnin kohtuulliseen lisääntymiseen, koska suurin osa kiintiön lisämäärästä todennäköisesti korvaa nykyisen sisäisestä jalostuksesta saatujen tuotteiden kaupan (noin 50 000 tonnia oliiviöljyä vuodessa sisäisen jalostuksen menettelyssä), </w:t>
      </w:r>
      <w:r>
        <w:rPr>
          <w:noProof/>
        </w:rPr>
        <w:lastRenderedPageBreak/>
        <w:t xml:space="preserve">mikä siis johtaa kyseisessä menettelyssä tapahtuvan tuonnin määrän alenemiseen. Talousarviovaikutuksia (jotka johtuvat tullien kantamisesta) ei voida tällä hetkellä esittää määrällisesti, mutta niiden oletetaan olevan vähämerkityksellisiä.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2015/0218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kiireellisten yksipuolisten kauppatoimenpiteiden toteuttamisesta Tunisian tasavallan osalta</w:t>
      </w:r>
    </w:p>
    <w:p>
      <w:pPr>
        <w:pStyle w:val="Institutionquiagit"/>
        <w:rPr>
          <w:noProof/>
        </w:rPr>
      </w:pPr>
      <w:r>
        <w:rPr>
          <w:noProof/>
        </w:rPr>
        <w:t>EUROOPAN PARLAMENTTI JA EUROOPAN UNIONIN NEUVOSTO, jotka</w:t>
      </w:r>
    </w:p>
    <w:p>
      <w:pPr>
        <w:rPr>
          <w:noProof/>
        </w:rPr>
      </w:pPr>
      <w:r>
        <w:rPr>
          <w:noProof/>
        </w:rPr>
        <w:t>ottavat huomioon Euroopan unionin toiminnasta tehdyn sopimuksen ja erityisesti sen 207 artiklan 2 kohdan,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noudattavat tavallista lainsäätämisjärjestystä,</w:t>
      </w:r>
    </w:p>
    <w:p>
      <w:pPr>
        <w:rPr>
          <w:noProof/>
        </w:rPr>
      </w:pPr>
      <w:r>
        <w:rPr>
          <w:noProof/>
        </w:rPr>
        <w:t>sekä katsovat seuraavaa:</w:t>
      </w:r>
    </w:p>
    <w:p>
      <w:pPr>
        <w:pStyle w:val="ManualConsidrant"/>
        <w:rPr>
          <w:noProof/>
        </w:rPr>
      </w:pPr>
      <w:r>
        <w:t>(1)</w:t>
      </w:r>
      <w:r>
        <w:tab/>
      </w:r>
      <w:r>
        <w:rPr>
          <w:noProof/>
        </w:rPr>
        <w:t>Euro–Välimeri-sopimus</w:t>
      </w:r>
      <w:r>
        <w:rPr>
          <w:rStyle w:val="FootnoteReference"/>
          <w:noProof/>
        </w:rPr>
        <w:footnoteReference w:id="2"/>
      </w:r>
      <w:r>
        <w:rPr>
          <w:noProof/>
        </w:rPr>
        <w:t xml:space="preserve"> muodostaa unionin ja Tunisian välisten suhteiden perustan.</w:t>
      </w:r>
    </w:p>
    <w:p>
      <w:pPr>
        <w:pStyle w:val="ManualConsidrant"/>
        <w:rPr>
          <w:noProof/>
        </w:rPr>
      </w:pPr>
      <w:r>
        <w:t>(2)</w:t>
      </w:r>
      <w:r>
        <w:tab/>
      </w:r>
      <w:r>
        <w:rPr>
          <w:noProof/>
        </w:rPr>
        <w:t>Soussessa Tunisiassa 26 päivänä kesäkuuta 2015 tapahtuneen terrori-iskun jälkeen Euroopan unionin neuvosto totesi 20 päivänä heinäkuuta 2015 antamissaan päätelmissä, että unioni tutkisi yhdessä sen jäsenvaltioiden kanssa mahdollisuutta toteuttaa poikkeustoimenpiteitä Tunisian talouden tukemiseksi.</w:t>
      </w:r>
    </w:p>
    <w:p>
      <w:pPr>
        <w:pStyle w:val="ManualConsidrant"/>
        <w:rPr>
          <w:noProof/>
        </w:rPr>
      </w:pPr>
      <w:r>
        <w:t>(3)</w:t>
      </w:r>
      <w:r>
        <w:tab/>
      </w:r>
      <w:r>
        <w:rPr>
          <w:noProof/>
        </w:rPr>
        <w:t>Oliiviöljy on tärkein Tunisiasta unioniin vietävä maataloustuote, ja oliiviöljyala on tärkeä osa maan taloutta.</w:t>
      </w:r>
    </w:p>
    <w:p>
      <w:pPr>
        <w:pStyle w:val="ManualConsidrant"/>
        <w:rPr>
          <w:noProof/>
        </w:rPr>
      </w:pPr>
      <w:r>
        <w:t>(4)</w:t>
      </w:r>
      <w:r>
        <w:tab/>
      </w:r>
      <w:r>
        <w:rPr>
          <w:noProof/>
        </w:rPr>
        <w:t xml:space="preserve">Paras tapa, jolla unioni voi tukea Tunisian taloutta Euroopan naapuruuspolitiikan ja Euro–Välimeri-sopimuksen tavoitteiden mukaisesti, on luoda houkuttelevat ja luotettavat markkinat Tunisiasta vietävälle oliiviöljylle. Tämä edellyttää sellaisten yksipuolisten kauppatoimenpiteiden toteuttamista, jotka mahdollistavat mainitun tuotteen tuonnin unioniin tullittomassa tariffikiintiössä. </w:t>
      </w:r>
    </w:p>
    <w:p>
      <w:pPr>
        <w:pStyle w:val="ManualConsidrant"/>
        <w:rPr>
          <w:noProof/>
        </w:rPr>
      </w:pPr>
      <w:r>
        <w:t>(5)</w:t>
      </w:r>
      <w:r>
        <w:tab/>
      </w:r>
      <w:r>
        <w:rPr>
          <w:noProof/>
        </w:rPr>
        <w:t>Petosten estämiseksi suunnitelluissa yksipuolissa kauppatoimenpiteissä olisi edellytettävä, että Tunisia noudattaa unionin asiaankuuluvia alkuperäsääntöjä ja niihin liittyviä menettelyjä ja että Tunisia tekee tehokasta hallinnollista yhteistyötä unionin kanssa.</w:t>
      </w:r>
    </w:p>
    <w:p>
      <w:pPr>
        <w:pStyle w:val="ManualConsidrant"/>
        <w:rPr>
          <w:noProof/>
        </w:rPr>
      </w:pPr>
      <w:r>
        <w:t>(6)</w:t>
      </w:r>
      <w:r>
        <w:tab/>
      </w:r>
      <w:r>
        <w:rPr>
          <w:noProof/>
        </w:rPr>
        <w:t>Unionin oliiviöljymarkkinoiden vakauden säilyminen edellyttää, että yksipuolisten kauppatoimenpiteiden synnyttämä lisämäärä asetetaan saataville vasta sen jälkeen, kun Euro–Välimeri-sopimuksen pöytäkirjassa N:o 1 olevassa 3 artiklan 1 kohdassa määrätty oliiviöljyn vuotuinen tulliton tariffikiintiö on käytetty loppuun.</w:t>
      </w:r>
    </w:p>
    <w:p>
      <w:pPr>
        <w:pStyle w:val="ManualConsidrant"/>
        <w:rPr>
          <w:noProof/>
        </w:rPr>
      </w:pPr>
      <w:r>
        <w:lastRenderedPageBreak/>
        <w:t>(7)</w:t>
      </w:r>
      <w:r>
        <w:tab/>
      </w:r>
      <w:r>
        <w:rPr>
          <w:noProof/>
        </w:rPr>
        <w:t>Euroopan parlamentin ja neuvoston asetuksen (EU) N:o 1308/2013</w:t>
      </w:r>
      <w:r>
        <w:rPr>
          <w:rStyle w:val="FootnoteReference"/>
          <w:noProof/>
        </w:rPr>
        <w:footnoteReference w:id="3"/>
      </w:r>
      <w:r>
        <w:rPr>
          <w:noProof/>
        </w:rPr>
        <w:t xml:space="preserve"> 184 artiklassa säädetään tariffikiintiöiden hallinnointia koskevat säännöt. Kyseisiä sääntöjä sovelletaan tässä asetuksessa säädettyihin toimenpiteisiin. </w:t>
      </w:r>
    </w:p>
    <w:p>
      <w:pPr>
        <w:pStyle w:val="ManualConsidrant"/>
        <w:rPr>
          <w:noProof/>
        </w:rPr>
      </w:pPr>
      <w:r>
        <w:t>(8)</w:t>
      </w:r>
      <w:r>
        <w:tab/>
      </w:r>
      <w:r>
        <w:rPr>
          <w:noProof/>
        </w:rPr>
        <w:t>Tämän asetuksen täytäntöönpanon yhdenmukaisten edellytysten varmistamiseksi komissiolle olisi siirrettävä täytäntöönpanovalta niiden edellytysten osalta, joiden on täytyttävä etuusjärjestelyjä noudatettaessa. Tätä täytäntöönpanovaltaa olisi käytettävä maatalouden yhteisen markkinajärjestelyn komitean avustuksella ja Euroopan parlamentin ja neuvoston asetuksen (EU) N:o 182/2011</w:t>
      </w:r>
      <w:r>
        <w:rPr>
          <w:rStyle w:val="FootnoteReference"/>
          <w:noProof/>
        </w:rPr>
        <w:footnoteReference w:id="4"/>
      </w:r>
      <w:r>
        <w:rPr>
          <w:noProof/>
        </w:rPr>
        <w:t xml:space="preserve"> mukaisesti. </w:t>
      </w:r>
    </w:p>
    <w:p>
      <w:pPr>
        <w:pStyle w:val="ManualConsidrant"/>
        <w:rPr>
          <w:noProof/>
        </w:rPr>
      </w:pPr>
      <w:r>
        <w:t>(9)</w:t>
      </w:r>
      <w:r>
        <w:tab/>
      </w:r>
      <w:r>
        <w:rPr>
          <w:noProof/>
        </w:rPr>
        <w:t xml:space="preserve">Tällä asetuksella käyttöön otettavien erityisten yksipuolisten kauppatoimenpiteiden tarkoituksena on helpottaa terrori-iskuista johtuvaa Tunisian vaikeata taloustilannetta. Sen vuoksi nämä toimenpiteet olisi rajoitettava ajallisesti ja niitä olisi sovellettava rajoittamatta lokakuussa 2015 alkaviksi suunniteltujen neuvottelujen käymistä unionin ja Tunisian välillä pitkälle menevän ja laaja-alaisen vapaakauppasopimuksen tekemisestä. Niiden voimassaolon jatkamista tämän ajanjakson päättymisen jälkeen voidaan harkita, jos tämä on perusteltua markkinatilanteen ja mainittua sopimusta koskevien neuvottelujen etenemisen vuoksi. </w:t>
      </w:r>
    </w:p>
    <w:p>
      <w:pPr>
        <w:pStyle w:val="ManualConsidrant"/>
        <w:rPr>
          <w:noProof/>
        </w:rPr>
      </w:pPr>
      <w:r>
        <w:t>(10)</w:t>
      </w:r>
      <w:r>
        <w:tab/>
      </w:r>
      <w:r>
        <w:rPr>
          <w:noProof/>
        </w:rPr>
        <w:t>Koska Soussessa 26 päivänä kesäkuuta 2015 tapahtunut terrori-isku aiheutti Tunisian taloudelle ja erityisesti sen matkailualalle vakavaa vahinkoa ja koska on tarpeen toteuttaa toimenpiteitä Tunisian taloustilanteen helpottamiseksi lyhyellä aikavälillä, katsottiin aiheelliseksi säätää poikkeuksesta Euroopan unionista tehdyn sopimuksen, Euroopan unionin toiminnasta tehdyn sopimuksen ja Euroopan atomienergiayhteisön perustamissopimuksen liitteenä olevassa pöytäkirjassa N:o 1 olevassa kansallisten parlamenttien asemaa koskevassa 4 artiklassa tarkoitettuun kahdeksan viikon ajanjaksoon,</w:t>
      </w:r>
    </w:p>
    <w:p>
      <w:pPr>
        <w:pStyle w:val="Formuledadoption"/>
        <w:rPr>
          <w:noProof/>
        </w:rPr>
      </w:pPr>
      <w:r>
        <w:rPr>
          <w:noProof/>
        </w:rPr>
        <w:t>OVAT HYVÄKSYNEET TÄMÄN ASETUKSEN:</w:t>
      </w:r>
    </w:p>
    <w:p>
      <w:pPr>
        <w:pStyle w:val="Titrearticle"/>
        <w:rPr>
          <w:noProof/>
        </w:rPr>
      </w:pPr>
      <w:r>
        <w:rPr>
          <w:noProof/>
        </w:rPr>
        <w:t>1 artikla</w:t>
      </w:r>
    </w:p>
    <w:p>
      <w:pPr>
        <w:pStyle w:val="Titrearticle"/>
        <w:rPr>
          <w:b/>
          <w:noProof/>
        </w:rPr>
      </w:pPr>
      <w:r>
        <w:rPr>
          <w:b/>
          <w:noProof/>
        </w:rPr>
        <w:t>Etuusjärjestelyt</w:t>
      </w:r>
    </w:p>
    <w:p>
      <w:pPr>
        <w:pStyle w:val="ManualNumPar1"/>
        <w:ind w:left="0" w:firstLine="0"/>
        <w:rPr>
          <w:noProof/>
        </w:rPr>
      </w:pPr>
      <w:r>
        <w:rPr>
          <w:noProof/>
        </w:rPr>
        <w:t>Avataan unioniin tuotavalle Tunisiasta peräisin olevalle CN-koodin 1509 10 10 ja 1509 10 90 oliiviöljylle vuotuinen 35 000 tonnin suuruinen tulliton tariffikiintiö.</w:t>
      </w:r>
    </w:p>
    <w:p>
      <w:pPr>
        <w:pStyle w:val="Titrearticle"/>
        <w:rPr>
          <w:noProof/>
        </w:rPr>
      </w:pPr>
      <w:r>
        <w:rPr>
          <w:noProof/>
        </w:rPr>
        <w:lastRenderedPageBreak/>
        <w:t>2 artikla</w:t>
      </w:r>
    </w:p>
    <w:p>
      <w:pPr>
        <w:pStyle w:val="Titrearticle"/>
        <w:rPr>
          <w:rFonts w:eastAsia="Times New Roman"/>
          <w:b/>
          <w:noProof/>
          <w:szCs w:val="24"/>
        </w:rPr>
      </w:pPr>
      <w:r>
        <w:rPr>
          <w:b/>
          <w:noProof/>
        </w:rPr>
        <w:t>Oikeus tuoda tuontitariffikiintiössä</w:t>
      </w:r>
    </w:p>
    <w:p>
      <w:pPr>
        <w:pStyle w:val="ManualNumPar1"/>
        <w:ind w:left="0" w:firstLine="0"/>
        <w:rPr>
          <w:noProof/>
        </w:rPr>
      </w:pPr>
      <w:r>
        <w:rPr>
          <w:noProof/>
        </w:rPr>
        <w:t>Tunisialla on oikeus tuoda tämän asetuksen 1 artiklassa tarkoitetussa tuontitariffikiintiössä, jos se noudattaa Euro–Välimeri-sopimuksen pöytäkirjassa N:o 4 määrättyjä tuotteiden alkuperäsääntöjä ja niihin liittyviä menettelyjä.</w:t>
      </w:r>
    </w:p>
    <w:p>
      <w:pPr>
        <w:pStyle w:val="Titrearticle"/>
        <w:rPr>
          <w:rFonts w:eastAsia="Times New Roman"/>
          <w:noProof/>
        </w:rPr>
      </w:pPr>
      <w:r>
        <w:rPr>
          <w:noProof/>
        </w:rPr>
        <w:t>3 artikla</w:t>
      </w:r>
    </w:p>
    <w:p>
      <w:pPr>
        <w:pStyle w:val="Titrearticle"/>
        <w:rPr>
          <w:rFonts w:eastAsia="Times New Roman"/>
          <w:noProof/>
        </w:rPr>
      </w:pPr>
      <w:r>
        <w:rPr>
          <w:b/>
          <w:noProof/>
        </w:rPr>
        <w:t>Vuotuisen tariffikiintiön käyttö</w:t>
      </w:r>
    </w:p>
    <w:p>
      <w:pPr>
        <w:pStyle w:val="ManualNumPar1"/>
        <w:ind w:left="0" w:firstLine="0"/>
        <w:rPr>
          <w:noProof/>
        </w:rPr>
      </w:pPr>
      <w:r>
        <w:rPr>
          <w:noProof/>
        </w:rPr>
        <w:t>Tämän asetuksen 1 artiklassa tarkoitettu vuotuinen tariffikiintiö voidaan asettaa saataville vasta sen jälkeen, kun Euro–Välimeri-sopimuksen pöytäkirjassa N:o 1 olevassa 3 artiklan 1 kohdassa määrätty oliiviöljyn vuotuinen tulliton tariffikiintiö on käytetty loppuun.</w:t>
      </w:r>
    </w:p>
    <w:p>
      <w:pPr>
        <w:pStyle w:val="Titrearticle"/>
        <w:rPr>
          <w:noProof/>
        </w:rPr>
      </w:pPr>
      <w:r>
        <w:rPr>
          <w:noProof/>
        </w:rPr>
        <w:t>4 artikla</w:t>
      </w:r>
    </w:p>
    <w:p>
      <w:pPr>
        <w:pStyle w:val="Titrearticle"/>
        <w:rPr>
          <w:rFonts w:eastAsia="Times New Roman"/>
          <w:b/>
          <w:noProof/>
          <w:szCs w:val="24"/>
        </w:rPr>
      </w:pPr>
      <w:r>
        <w:rPr>
          <w:b/>
          <w:noProof/>
        </w:rPr>
        <w:t>Kiintiön hallinnointi</w:t>
      </w:r>
    </w:p>
    <w:p>
      <w:pPr>
        <w:pStyle w:val="ManualNumPar1"/>
        <w:ind w:left="0" w:firstLine="0"/>
        <w:rPr>
          <w:i/>
          <w:noProof/>
        </w:rPr>
      </w:pPr>
      <w:r>
        <w:rPr>
          <w:noProof/>
        </w:rPr>
        <w:t>Komissio hallinnoi tariffikiintiötä asetuksen (EU) N:o 1308/2013 184 artiklan mukaisesti.</w:t>
      </w:r>
    </w:p>
    <w:p>
      <w:pPr>
        <w:pStyle w:val="Titrearticle"/>
        <w:rPr>
          <w:noProof/>
        </w:rPr>
      </w:pPr>
      <w:r>
        <w:rPr>
          <w:noProof/>
        </w:rPr>
        <w:t>5 artikla</w:t>
      </w:r>
    </w:p>
    <w:p>
      <w:pPr>
        <w:pStyle w:val="Titrearticle"/>
        <w:rPr>
          <w:rFonts w:eastAsia="Times New Roman"/>
          <w:b/>
          <w:noProof/>
          <w:szCs w:val="24"/>
        </w:rPr>
      </w:pPr>
      <w:r>
        <w:rPr>
          <w:b/>
          <w:noProof/>
        </w:rPr>
        <w:t>Tilapäinen keskeyttäminen</w:t>
      </w:r>
    </w:p>
    <w:p>
      <w:pPr>
        <w:pStyle w:val="ManualNumPar1"/>
        <w:ind w:left="0" w:firstLine="0"/>
        <w:rPr>
          <w:noProof/>
        </w:rPr>
      </w:pPr>
      <w:r>
        <w:rPr>
          <w:noProof/>
        </w:rPr>
        <w:t>Jos komissio katsoo, että todisteita on riittävästi siitä, ettei Tunisia ole noudattanut 2 artiklassa säädettyjä edellytyksiä, se voi hyväksyä täytäntöönpanosäädöksen, jolla 1 artiklassa säädetty etuusjärjestely keskeytetään kokonaan tai osittain. Kyseinen täytäntöönpanosäädös hyväksytään 6 artiklan 2 kohdassa tarkoitettua tarkastelumenettelyä noudattaen.</w:t>
      </w:r>
    </w:p>
    <w:p>
      <w:pPr>
        <w:pStyle w:val="Titrearticle"/>
        <w:rPr>
          <w:noProof/>
        </w:rPr>
      </w:pPr>
      <w:r>
        <w:rPr>
          <w:noProof/>
        </w:rPr>
        <w:t>6 artikla</w:t>
      </w:r>
    </w:p>
    <w:p>
      <w:pPr>
        <w:pStyle w:val="Titrearticle"/>
        <w:rPr>
          <w:rFonts w:eastAsia="Times New Roman"/>
          <w:b/>
          <w:noProof/>
          <w:szCs w:val="24"/>
        </w:rPr>
      </w:pPr>
      <w:r>
        <w:rPr>
          <w:b/>
          <w:noProof/>
        </w:rPr>
        <w:t>Komiteamenettely</w:t>
      </w:r>
    </w:p>
    <w:p>
      <w:pPr>
        <w:pStyle w:val="ManualNumPar1"/>
        <w:rPr>
          <w:noProof/>
        </w:rPr>
      </w:pPr>
      <w:r>
        <w:t>1.</w:t>
      </w:r>
      <w:r>
        <w:tab/>
      </w:r>
      <w:r>
        <w:rPr>
          <w:noProof/>
        </w:rPr>
        <w:t>Komissiota avustaa asetuksen (EU) N:o 1308/2013 229 artiklalla perustettu maatalouden yhteisen markkinajärjestelyn komitea. Kyseinen komitea on asetuksessa (EU) N:o 182/2011 tarkoitettu komitea.</w:t>
      </w:r>
    </w:p>
    <w:p>
      <w:pPr>
        <w:pStyle w:val="ManualNumPar1"/>
        <w:rPr>
          <w:noProof/>
        </w:rPr>
      </w:pPr>
      <w:r>
        <w:t>2.</w:t>
      </w:r>
      <w:r>
        <w:tab/>
      </w:r>
      <w:r>
        <w:rPr>
          <w:noProof/>
        </w:rPr>
        <w:t>Kun viitataan tähän kohtaan, sovelletaan asetuksen (EU) N:o 182/2011 5 artiklaa.</w:t>
      </w:r>
    </w:p>
    <w:p>
      <w:pPr>
        <w:pStyle w:val="Titrearticle"/>
        <w:rPr>
          <w:noProof/>
        </w:rPr>
      </w:pPr>
      <w:r>
        <w:rPr>
          <w:noProof/>
        </w:rPr>
        <w:t>7 artikla</w:t>
      </w:r>
    </w:p>
    <w:p>
      <w:pPr>
        <w:pStyle w:val="Titrearticle"/>
        <w:rPr>
          <w:b/>
          <w:bCs/>
          <w:noProof/>
        </w:rPr>
      </w:pPr>
      <w:r>
        <w:rPr>
          <w:b/>
          <w:noProof/>
        </w:rPr>
        <w:t>Voimaantulo ja soveltaminen</w:t>
      </w:r>
    </w:p>
    <w:p>
      <w:pPr>
        <w:rPr>
          <w:noProof/>
        </w:rPr>
      </w:pPr>
      <w:r>
        <w:rPr>
          <w:noProof/>
        </w:rPr>
        <w:t xml:space="preserve">Tämä asetus tulee voimaan seuraavana päivänä sen jälkeen, kun se on julkaistu </w:t>
      </w:r>
      <w:r>
        <w:rPr>
          <w:i/>
          <w:noProof/>
        </w:rPr>
        <w:t>Euroopan unionin virallisessa lehdessä</w:t>
      </w:r>
      <w:r>
        <w:rPr>
          <w:noProof/>
        </w:rPr>
        <w:t>.</w:t>
      </w:r>
    </w:p>
    <w:p>
      <w:pPr>
        <w:rPr>
          <w:noProof/>
        </w:rPr>
      </w:pPr>
      <w:r>
        <w:rPr>
          <w:noProof/>
        </w:rPr>
        <w:t>Sitä sovelletaan 1 päivän tammikuuta 2016 ja 31 päivän joulukuuta 2017 välisenä aikana.</w:t>
      </w:r>
    </w:p>
    <w:p>
      <w:pPr>
        <w:pStyle w:val="Applicationdirecte"/>
        <w:rPr>
          <w:noProof/>
        </w:rPr>
      </w:pPr>
      <w:r>
        <w:rPr>
          <w:noProof/>
        </w:rPr>
        <w:lastRenderedPageBreak/>
        <w:t xml:space="preserve">Tämä asetus on kaikilta osiltaan velvoittava, ja sitä sovelletaan sellaisenaan kaikissa jäsenvaltioissa. </w:t>
      </w:r>
    </w:p>
    <w:p>
      <w:pPr>
        <w:pStyle w:val="Fait"/>
        <w:rPr>
          <w:noProof/>
        </w:rPr>
      </w:pPr>
      <w:r>
        <w:rPr>
          <w:noProof/>
        </w:rP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Puheenjohtaja</w:t>
      </w:r>
      <w:r>
        <w:rPr>
          <w:noProof/>
        </w:rPr>
        <w:tab/>
        <w:t>Puhemies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Neuvoston päätelmät Tunisiasta, 11076/15.</w:t>
      </w:r>
    </w:p>
  </w:footnote>
  <w:footnote w:id="2">
    <w:p>
      <w:pPr>
        <w:pStyle w:val="FootnoteText"/>
      </w:pPr>
      <w:r>
        <w:rPr>
          <w:rStyle w:val="FootnoteReference"/>
        </w:rPr>
        <w:footnoteRef/>
      </w:r>
      <w:r>
        <w:tab/>
        <w:t>Euro–Välimeri-sopimus Euroopan yhteisöjen ja niiden jäsenvaltioiden sekä Tunisian tasavallan välisestä assosioinnista (EYVL L 97, 30.3.1998, s. 2).</w:t>
      </w:r>
    </w:p>
  </w:footnote>
  <w:footnote w:id="3">
    <w:p>
      <w:pPr>
        <w:pStyle w:val="FootnoteText"/>
      </w:pPr>
      <w:r>
        <w:rPr>
          <w:rStyle w:val="FootnoteReference"/>
        </w:rPr>
        <w:footnoteRef/>
      </w:r>
      <w:r>
        <w:tab/>
        <w:t>Euroopan parlamentin ja neuvoston asetus (EU) N:o 1308/2013, annettu 17 päivänä joulukuuta 2013, maataloustuotteiden yhteisestä markkinajärjestelystä ja neuvoston asetusten (ETY) N:o 992/72, (ETY) N:o 234/79, (EY) N:o 1037/2001 ja (EY) N:o 1234/2007 kumoamisesta (EUVL L 347, 20.12.2013, s. 671).</w:t>
      </w:r>
    </w:p>
  </w:footnote>
  <w:footnote w:id="4">
    <w:p>
      <w:pPr>
        <w:pStyle w:val="FootnoteText"/>
      </w:pPr>
      <w:r>
        <w:rPr>
          <w:rStyle w:val="FootnoteReference"/>
        </w:rPr>
        <w:footnoteRef/>
      </w:r>
      <w:r>
        <w:tab/>
        <w:t>Euroopan parlamentin ja neuvoston asetus (EU) N:o 182/2011, annettu 16 päivänä helmikuuta 2011, yleisistä säännöistä ja periaatteista, joiden mukaisesti jäsenvaltiot valvovat komission täytäntöönpanovallan käyttöä (EUVL L 55, 28.2.2011, s.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1"/>
  </w:num>
  <w:num w:numId="4">
    <w:abstractNumId w:val="0"/>
  </w:num>
  <w:num w:numId="5">
    <w:abstractNumId w:val="20"/>
  </w:num>
  <w:num w:numId="6">
    <w:abstractNumId w:val="12"/>
  </w:num>
  <w:num w:numId="7">
    <w:abstractNumId w:val="8"/>
  </w:num>
  <w:num w:numId="8">
    <w:abstractNumId w:val="4"/>
  </w:num>
  <w:num w:numId="9">
    <w:abstractNumId w:val="3"/>
  </w:num>
  <w:num w:numId="10">
    <w:abstractNumId w:val="26"/>
  </w:num>
  <w:num w:numId="11">
    <w:abstractNumId w:val="28"/>
  </w:num>
  <w:num w:numId="12">
    <w:abstractNumId w:val="27"/>
  </w:num>
  <w:num w:numId="13">
    <w:abstractNumId w:val="30"/>
  </w:num>
  <w:num w:numId="14">
    <w:abstractNumId w:val="7"/>
  </w:num>
  <w:num w:numId="15">
    <w:abstractNumId w:val="14"/>
  </w:num>
  <w:num w:numId="16">
    <w:abstractNumId w:val="18"/>
  </w:num>
  <w:num w:numId="17">
    <w:abstractNumId w:val="16"/>
  </w:num>
  <w:num w:numId="18">
    <w:abstractNumId w:val="2"/>
  </w:num>
  <w:num w:numId="19">
    <w:abstractNumId w:val="19"/>
  </w:num>
  <w:num w:numId="20">
    <w:abstractNumId w:val="11"/>
  </w:num>
  <w:num w:numId="21">
    <w:abstractNumId w:val="24"/>
  </w:num>
  <w:num w:numId="22">
    <w:abstractNumId w:val="13"/>
  </w:num>
  <w:num w:numId="23">
    <w:abstractNumId w:val="29"/>
  </w:num>
  <w:num w:numId="24">
    <w:abstractNumId w:val="10"/>
  </w:num>
  <w:num w:numId="25">
    <w:abstractNumId w:val="15"/>
  </w:num>
  <w:num w:numId="26">
    <w:abstractNumId w:val="6"/>
  </w:num>
  <w:num w:numId="27">
    <w:abstractNumId w:val="25"/>
  </w:num>
  <w:num w:numId="28">
    <w:abstractNumId w:val="5"/>
  </w:num>
  <w:num w:numId="29">
    <w:abstractNumId w:val="17"/>
  </w:num>
  <w:num w:numId="30">
    <w:abstractNumId w:val="22"/>
  </w:num>
  <w:num w:numId="31">
    <w:abstractNumId w:val="23"/>
  </w:num>
  <w:num w:numId="32">
    <w:abstractNumId w:val="9"/>
  </w:num>
  <w:num w:numId="33">
    <w:abstractNumId w:val="21"/>
  </w:num>
  <w:num w:numId="34">
    <w:abstractNumId w:val="31"/>
  </w:num>
  <w:num w:numId="35">
    <w:abstractNumId w:val="24"/>
  </w:num>
  <w:num w:numId="36">
    <w:abstractNumId w:val="13"/>
  </w:num>
  <w:num w:numId="37">
    <w:abstractNumId w:val="29"/>
  </w:num>
  <w:num w:numId="38">
    <w:abstractNumId w:val="10"/>
  </w:num>
  <w:num w:numId="39">
    <w:abstractNumId w:val="15"/>
  </w:num>
  <w:num w:numId="40">
    <w:abstractNumId w:val="6"/>
  </w:num>
  <w:num w:numId="41">
    <w:abstractNumId w:val="25"/>
  </w:num>
  <w:num w:numId="42">
    <w:abstractNumId w:val="5"/>
  </w:num>
  <w:num w:numId="43">
    <w:abstractNumId w:val="17"/>
  </w:num>
  <w:num w:numId="44">
    <w:abstractNumId w:val="22"/>
  </w:num>
  <w:num w:numId="45">
    <w:abstractNumId w:val="23"/>
  </w:num>
  <w:num w:numId="46">
    <w:abstractNumId w:val="9"/>
  </w:num>
  <w:num w:numId="47">
    <w:abstractNumId w:val="21"/>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9-15 16:12: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3507F228E074268BE0B2E6EFC81A08E"/>
    <w:docVar w:name="LW_CROSSREFERENCE" w:val="&lt;UNUSED&gt;"/>
    <w:docVar w:name="LW_DocType" w:val="COM"/>
    <w:docVar w:name="LW_EMISSION" w:val="17.9.2015"/>
    <w:docVar w:name="LW_EMISSION_ISODATE" w:val="2015-09-17"/>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218"/>
    <w:docVar w:name="LW_REF.II.NEW.CP_YEAR" w:val="2015"/>
    <w:docVar w:name="LW_REF.INST.NEW" w:val="COM"/>
    <w:docVar w:name="LW_REF.INST.NEW_ADOPTED" w:val="final"/>
    <w:docVar w:name="LW_REF.INST.NEW_TEXT" w:val="(2015) 460"/>
    <w:docVar w:name="LW_REF.INTERNE" w:val="&lt;UNUSED&gt;"/>
    <w:docVar w:name="LW_SOUS.TITRE.OBJ.CP" w:val="&lt;UNUSED&gt;"/>
    <w:docVar w:name="LW_STATUT.CP" w:val="Ehdotus"/>
    <w:docVar w:name="LW_SUPERTITRE" w:val="&lt;UNUSED&gt;"/>
    <w:docVar w:name="LW_TITRE.OBJ.CP" w:val="kiireellisten yksipuolisten kauppatoimenpiteiden toteuttamisesta Tunisian tasavallan osalta"/>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i-FI"/>
    </w:rPr>
  </w:style>
  <w:style w:type="character" w:styleId="Emphasis">
    <w:name w:val="Emphasis"/>
    <w:uiPriority w:val="20"/>
    <w:qFormat/>
    <w:rPr>
      <w:i/>
      <w:iCs/>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semiHidden/>
    <w:rPr>
      <w:rFonts w:ascii="Times New Roman" w:hAnsi="Times New Roman"/>
      <w:szCs w:val="22"/>
      <w:lang w:val="fi-FI"/>
    </w:rPr>
  </w:style>
  <w:style w:type="character" w:customStyle="1" w:styleId="CommentSubjectChar">
    <w:name w:val="Comment Subject Char"/>
    <w:link w:val="CommentSubject"/>
    <w:uiPriority w:val="99"/>
    <w:semiHidden/>
    <w:rPr>
      <w:rFonts w:ascii="Times New Roman" w:hAnsi="Times New Roman"/>
      <w:b/>
      <w:bCs/>
      <w:szCs w:val="22"/>
      <w:lang w:val="fi-FI"/>
    </w:rPr>
  </w:style>
  <w:style w:type="character" w:styleId="Hyperlink">
    <w:name w:val="Hyperlink"/>
    <w:uiPriority w:val="99"/>
    <w:unhideWhenUsed/>
    <w:rPr>
      <w:color w:val="0000FF"/>
      <w:u w:val="single"/>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5"/>
      </w:numPr>
    </w:pPr>
  </w:style>
  <w:style w:type="paragraph" w:styleId="ListBullet2">
    <w:name w:val="List Bullet 2"/>
    <w:basedOn w:val="Text2"/>
    <w:pPr>
      <w:numPr>
        <w:numId w:val="7"/>
      </w:numPr>
    </w:pPr>
  </w:style>
  <w:style w:type="paragraph" w:styleId="ListBullet3">
    <w:name w:val="List Bullet 3"/>
    <w:basedOn w:val="Text3"/>
    <w:pPr>
      <w:numPr>
        <w:numId w:val="8"/>
      </w:numPr>
    </w:pPr>
  </w:style>
  <w:style w:type="paragraph" w:styleId="ListBullet4">
    <w:name w:val="List Bullet 4"/>
    <w:basedOn w:val="Text4"/>
    <w:pPr>
      <w:numPr>
        <w:numId w:val="9"/>
      </w:numPr>
    </w:pPr>
  </w:style>
  <w:style w:type="paragraph" w:styleId="ListBullet5">
    <w:name w:val="List Bullet 5"/>
    <w:basedOn w:val="Normal"/>
    <w:autoRedefine/>
    <w:pPr>
      <w:numPr>
        <w:numId w:val="3"/>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5"/>
      </w:numPr>
    </w:pPr>
  </w:style>
  <w:style w:type="paragraph" w:styleId="ListNumber2">
    <w:name w:val="List Number 2"/>
    <w:basedOn w:val="Text2"/>
    <w:pPr>
      <w:numPr>
        <w:numId w:val="17"/>
      </w:numPr>
    </w:pPr>
  </w:style>
  <w:style w:type="paragraph" w:styleId="ListNumber3">
    <w:name w:val="List Number 3"/>
    <w:basedOn w:val="Text3"/>
    <w:pPr>
      <w:numPr>
        <w:numId w:val="18"/>
      </w:numPr>
    </w:pPr>
  </w:style>
  <w:style w:type="paragraph" w:styleId="ListNumber4">
    <w:name w:val="List Number 4"/>
    <w:basedOn w:val="Text4"/>
    <w:pPr>
      <w:numPr>
        <w:numId w:val="19"/>
      </w:numPr>
    </w:p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6"/>
      </w:numPr>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pPr>
  </w:style>
  <w:style w:type="paragraph" w:customStyle="1" w:styleId="ListDash2">
    <w:name w:val="List Dash 2"/>
    <w:basedOn w:val="Text2"/>
    <w:pPr>
      <w:numPr>
        <w:numId w:val="12"/>
      </w:numPr>
    </w:pPr>
  </w:style>
  <w:style w:type="paragraph" w:customStyle="1" w:styleId="ListDash3">
    <w:name w:val="List Dash 3"/>
    <w:basedOn w:val="Text3"/>
    <w:pPr>
      <w:numPr>
        <w:numId w:val="13"/>
      </w:numPr>
    </w:pPr>
  </w:style>
  <w:style w:type="paragraph" w:customStyle="1" w:styleId="ListDash4">
    <w:name w:val="List Dash 4"/>
    <w:basedOn w:val="Text4"/>
    <w:pPr>
      <w:numPr>
        <w:numId w:val="14"/>
      </w:numPr>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pPr>
  </w:style>
  <w:style w:type="paragraph" w:customStyle="1" w:styleId="ListNumber2Level3">
    <w:name w:val="List Number 2 (Level 3)"/>
    <w:basedOn w:val="Text2"/>
    <w:pPr>
      <w:numPr>
        <w:ilvl w:val="2"/>
        <w:numId w:val="17"/>
      </w:numPr>
    </w:pPr>
  </w:style>
  <w:style w:type="paragraph" w:customStyle="1" w:styleId="ListNumber2Level4">
    <w:name w:val="List Number 2 (Level 4)"/>
    <w:basedOn w:val="Text2"/>
    <w:pPr>
      <w:numPr>
        <w:ilvl w:val="3"/>
        <w:numId w:val="17"/>
      </w:numPr>
      <w:ind w:left="3901" w:hanging="703"/>
    </w:pPr>
  </w:style>
  <w:style w:type="paragraph" w:customStyle="1" w:styleId="ListNumber3Level2">
    <w:name w:val="List Number 3 (Level 2)"/>
    <w:basedOn w:val="Text3"/>
    <w:pPr>
      <w:numPr>
        <w:ilvl w:val="1"/>
        <w:numId w:val="18"/>
      </w:numPr>
    </w:pPr>
  </w:style>
  <w:style w:type="paragraph" w:customStyle="1" w:styleId="ListNumber3Level3">
    <w:name w:val="List Number 3 (Level 3)"/>
    <w:basedOn w:val="Text3"/>
    <w:pPr>
      <w:numPr>
        <w:ilvl w:val="2"/>
        <w:numId w:val="18"/>
      </w:numPr>
    </w:pPr>
  </w:style>
  <w:style w:type="paragraph" w:customStyle="1" w:styleId="ListNumber3Level4">
    <w:name w:val="List Number 3 (Level 4)"/>
    <w:basedOn w:val="Text3"/>
    <w:pPr>
      <w:numPr>
        <w:ilvl w:val="3"/>
        <w:numId w:val="18"/>
      </w:numPr>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0"/>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1875-5BCD-4C36-862B-6181D9A4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985</Words>
  <Characters>8045</Characters>
  <Application>Microsoft Office Word</Application>
  <DocSecurity>0</DocSecurity>
  <Lines>141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2015-08-07T14:52:00Z</cp:lastPrinted>
  <dcterms:created xsi:type="dcterms:W3CDTF">2015-09-14T12:03:00Z</dcterms:created>
  <dcterms:modified xsi:type="dcterms:W3CDTF">2015-09-15T14:12:00Z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