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7B7CA96B409452E8E403E49B1C96501" style="width:450.75pt;height:334.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ManualNumPar1"/>
        <w:rPr>
          <w:noProof/>
        </w:rPr>
      </w:pPr>
      <w:bookmarkStart w:id="1" w:name="_GoBack"/>
      <w:bookmarkEnd w:id="1"/>
      <w:r>
        <w:lastRenderedPageBreak/>
        <w:t>1.</w:t>
      </w:r>
      <w:r>
        <w:tab/>
      </w:r>
      <w:r>
        <w:rPr>
          <w:noProof/>
        </w:rPr>
        <w:t>Inledning</w:t>
      </w:r>
    </w:p>
    <w:p>
      <w:pPr>
        <w:rPr>
          <w:noProof/>
        </w:rPr>
      </w:pPr>
    </w:p>
    <w:p>
      <w:pPr>
        <w:pStyle w:val="ManualNumPar2"/>
        <w:rPr>
          <w:noProof/>
        </w:rPr>
      </w:pPr>
      <w:r>
        <w:t>1.1.</w:t>
      </w:r>
      <w:r>
        <w:tab/>
      </w:r>
      <w:r>
        <w:rPr>
          <w:noProof/>
        </w:rPr>
        <w:t>Varför en kontroll av ändamålsenligheten hos lagstiftningen om säkerheten på passagerarfartyg?</w:t>
      </w:r>
    </w:p>
    <w:p>
      <w:pPr>
        <w:rPr>
          <w:noProof/>
        </w:rPr>
      </w:pPr>
      <w:r>
        <w:rPr>
          <w:noProof/>
        </w:rPr>
        <w:t xml:space="preserve">Av EU:s 28 medlemsstater är 23 kuststater, varav fyra är östater. Passagerarfartyg spelar därför en viktig roll för EU-medborgarnas rörlighet. Enligt uppskattningar passerar i genomsnitt över 400 miljoner människor genom EU:s hamnar varje år. 120 miljoner passagerare transporteras med passagerarfartyg i inrikes trafik, dvs. mellan hamnar i en och samma medlemsstat.  </w:t>
      </w:r>
    </w:p>
    <w:p>
      <w:pPr>
        <w:rPr>
          <w:noProof/>
        </w:rPr>
      </w:pPr>
      <w:r>
        <w:rPr>
          <w:noProof/>
        </w:rPr>
        <w:t xml:space="preserve">EU:s lagstiftning om säkerheten på passagerarfartyg har införts under en 15-årsperiod, främst som en reaktion på olyckor. Det har resulterat i en uppsättning direktiv som skapats med hänsyn till och påverkats av de omständigheter som låg bakom utarbetandet. De har alla samma övergripande syfte, nämligen att säkra en gemensam, hög nivå för säkerheten på passagerarfartyg, men de utgör inte någon helt och hållet sammanhängande ram. Varje direktiv har olika tillämpningsområde och gäller olika typer av fartyg och resor. Dessutom har, vilket är viktigare, det senaste årtiondet inneburit en teknisk utveckling som gjort en del av de gällande bestämmelserna föråldrade och onödigt betungande. </w:t>
      </w:r>
    </w:p>
    <w:p>
      <w:pPr>
        <w:rPr>
          <w:noProof/>
        </w:rPr>
      </w:pPr>
      <w:r>
        <w:rPr>
          <w:noProof/>
        </w:rPr>
        <w:t xml:space="preserve">Tidigare utvärderingar och samråd har inte gett tillräckliga belägg för att uttala sig om genomförandet, och det har varit svårt att få tillgång till uppgifter, särskilt om nationella passagerarfartygsflottor och säkerhet. Kommissionen har därför, tillsammans med Europeiska sjösäkerhetsbyrån (Emsa), de nationella myndigheterna och en extern uppdragstagare, genomfört en mer systematisk och heltäckande kontroll av det gällande regelverkets ändamålsenlighet. I och med att fler uppgifter blivit tillgängliga med tiden har kontrollen av ändamålsenligheten också utgjort ett tillfälle att samla in ytterligare information och genomföra fler samråd, skrivbordsanalyser och fallstudier. </w:t>
      </w:r>
    </w:p>
    <w:p>
      <w:pPr>
        <w:rPr>
          <w:noProof/>
        </w:rPr>
      </w:pPr>
      <w:r>
        <w:rPr>
          <w:noProof/>
        </w:rPr>
        <w:t>För första gången har omfattande kvantitativa uppgifter samlats in på ett tillförlitligt och proportionerligt sätt. De tillgängliga uppgifterna har inte möjliggjort någon fullständig kostnads–nyttoanalys av varje enskilt lagstadgat krav, men de anses ge ett värdefullt bidrag till analysen i samband med kontrollen av ändamålsenligheten. De ger också tillräcklig grund för de kommande översyns- och övervakningsprocesser som kommissionen föreslår.</w:t>
      </w:r>
    </w:p>
    <w:p>
      <w:pPr>
        <w:rPr>
          <w:b/>
          <w:noProof/>
        </w:rPr>
      </w:pPr>
    </w:p>
    <w:p>
      <w:pPr>
        <w:pStyle w:val="ManualNumPar2"/>
        <w:rPr>
          <w:noProof/>
        </w:rPr>
      </w:pPr>
      <w:r>
        <w:t>1.2.</w:t>
      </w:r>
      <w:r>
        <w:tab/>
      </w:r>
      <w:r>
        <w:rPr>
          <w:noProof/>
        </w:rPr>
        <w:t>Vad omfattar kontrollen av ändamålsenligheten?</w:t>
      </w:r>
    </w:p>
    <w:p>
      <w:pPr>
        <w:rPr>
          <w:noProof/>
        </w:rPr>
      </w:pPr>
      <w:r>
        <w:rPr>
          <w:noProof/>
        </w:rPr>
        <w:t>Säkerheten på passagerarfartyg i EU regleras på tre nivåer: internationellt, inom EU och nationellt. EU:s lagstiftning om säkerheten på passagerarfartyg har införts för att åtgärda potentiella säkerhetsrisker som orsakas av att de internationella normerna inte gäller vid inrikes resor eller är otillräckliga. Lagstiftningen behandlar svårigheterna vid sjöräddning av passagerare på fartyg i nöd och syftar till att åstadkomma en gemensam säkerhetsnivå och garantera att säkerhetsnormerna tillämpas på rätt sätt.</w:t>
      </w:r>
    </w:p>
    <w:p>
      <w:pPr>
        <w:rPr>
          <w:noProof/>
        </w:rPr>
      </w:pPr>
      <w:r>
        <w:rPr>
          <w:noProof/>
        </w:rPr>
        <w:t>För fartyg i internationell trafik (dvs. även mellan två EU-medlemsstater, vilket kräver hamnstatskontroll</w:t>
      </w:r>
      <w:r>
        <w:rPr>
          <w:rStyle w:val="FootnoteReference"/>
          <w:noProof/>
        </w:rPr>
        <w:footnoteReference w:id="2"/>
      </w:r>
      <w:r>
        <w:rPr>
          <w:noProof/>
        </w:rPr>
        <w:t xml:space="preserve">) gäller internationella konventioner och vissa EU-regler.  För fartyg i </w:t>
      </w:r>
      <w:r>
        <w:rPr>
          <w:noProof/>
        </w:rPr>
        <w:lastRenderedPageBreak/>
        <w:t xml:space="preserve">inrikes trafik (dvs. mellan hamnar i en och samma medlemsstat) gäller EU-regler och nationella regler. </w:t>
      </w:r>
    </w:p>
    <w:p>
      <w:pPr>
        <w:rPr>
          <w:noProof/>
        </w:rPr>
      </w:pPr>
      <w:r>
        <w:rPr>
          <w:noProof/>
        </w:rPr>
        <w:t>Den mest omfattande EU-rättsakten är direktiv 2009/45/EG</w:t>
      </w:r>
      <w:r>
        <w:rPr>
          <w:rStyle w:val="FootnoteReference"/>
          <w:noProof/>
        </w:rPr>
        <w:footnoteReference w:id="3"/>
      </w:r>
      <w:r>
        <w:rPr>
          <w:noProof/>
        </w:rPr>
        <w:t>, som gäller passagerarfartyg tillverkade av stål eller likvärdigt material och höghastighetsfartyg. Det direktivet utgår, i tillämpliga fall och när det är möjligt, från internationellt överenskomna normer i form av den internationella konventionen om säkerheten för människoliv till sjöss (Solas)</w:t>
      </w:r>
      <w:r>
        <w:rPr>
          <w:rStyle w:val="FootnoteReference"/>
          <w:noProof/>
        </w:rPr>
        <w:footnoteReference w:id="4"/>
      </w:r>
      <w:r>
        <w:rPr>
          <w:noProof/>
        </w:rPr>
        <w:t>. Därutöver innehåller direktiven 2003/25/EG, 1999/35/EG och 98/41/EG specifika EU-regler för ro-ro-passagerarfartyg (så kallade ro-pax-fartyg)</w:t>
      </w:r>
      <w:r>
        <w:rPr>
          <w:rStyle w:val="FootnoteReference"/>
          <w:noProof/>
        </w:rPr>
        <w:footnoteReference w:id="5"/>
      </w:r>
      <w:r>
        <w:rPr>
          <w:noProof/>
        </w:rPr>
        <w:t>, höghastighetsfartyg</w:t>
      </w:r>
      <w:r>
        <w:rPr>
          <w:rStyle w:val="FootnoteReference"/>
          <w:noProof/>
        </w:rPr>
        <w:footnoteReference w:id="6"/>
      </w:r>
      <w:r>
        <w:rPr>
          <w:noProof/>
        </w:rPr>
        <w:t xml:space="preserve"> och registrering av personer ombord.</w:t>
      </w:r>
    </w:p>
    <w:p>
      <w:pPr>
        <w:rPr>
          <w:noProof/>
        </w:rPr>
      </w:pPr>
      <w:r>
        <w:rPr>
          <w:noProof/>
        </w:rPr>
        <w:t xml:space="preserve">Det rör sig om en komplex struktur som kräver användning av moderna, övergripande verktyg för bättre lagstiftning, t.ex. kontroller av ändamålsenligheten. Tabellen nedan ger en översikt över de fyra EU-direktiv som har valts ut för denna kontroll av ändamålsenligheten. De innehåller en uppsättning centrala säkerhetsnormer och krav för passagerarfartyg som trafikerar EU:s farvatten.  </w:t>
      </w:r>
    </w:p>
    <w:p>
      <w:pPr>
        <w:rPr>
          <w:noProof/>
        </w:rPr>
      </w:pPr>
    </w:p>
    <w:p>
      <w:pPr>
        <w:pStyle w:val="ManualNumPar1"/>
        <w:rPr>
          <w:noProof/>
        </w:rPr>
      </w:pPr>
      <w:r>
        <w:tab/>
      </w:r>
      <w:r>
        <w:rPr>
          <w:noProof/>
        </w:rPr>
        <w:t xml:space="preserve">Tabell 1: EU:s rättsliga ram för säkerheten på passagerarfartyg: direktiv som omfattas av kontrollen av ändamålsenligheten </w:t>
      </w:r>
    </w:p>
    <w:tbl>
      <w:tblPr>
        <w:tblStyle w:val="TableGrid"/>
        <w:tblW w:w="9072" w:type="dxa"/>
        <w:tblInd w:w="108" w:type="dxa"/>
        <w:tblLayout w:type="fixed"/>
        <w:tblLook w:val="04A0" w:firstRow="1" w:lastRow="0" w:firstColumn="1" w:lastColumn="0" w:noHBand="0" w:noVBand="1"/>
      </w:tblPr>
      <w:tblGrid>
        <w:gridCol w:w="1418"/>
        <w:gridCol w:w="1984"/>
        <w:gridCol w:w="1418"/>
        <w:gridCol w:w="1984"/>
        <w:gridCol w:w="2268"/>
      </w:tblGrid>
      <w:tr>
        <w:tc>
          <w:tcPr>
            <w:tcW w:w="1418" w:type="dxa"/>
            <w:vMerge w:val="restart"/>
          </w:tcPr>
          <w:p>
            <w:pPr>
              <w:pStyle w:val="Text1"/>
              <w:ind w:left="0"/>
              <w:rPr>
                <w:noProof/>
                <w:sz w:val="22"/>
                <w:szCs w:val="22"/>
              </w:rPr>
            </w:pPr>
          </w:p>
        </w:tc>
        <w:tc>
          <w:tcPr>
            <w:tcW w:w="1984" w:type="dxa"/>
            <w:vMerge w:val="restart"/>
          </w:tcPr>
          <w:p>
            <w:pPr>
              <w:pStyle w:val="Text1"/>
              <w:ind w:left="0"/>
              <w:jc w:val="center"/>
              <w:rPr>
                <w:b/>
                <w:noProof/>
                <w:sz w:val="22"/>
                <w:szCs w:val="22"/>
              </w:rPr>
            </w:pPr>
          </w:p>
          <w:p>
            <w:pPr>
              <w:pStyle w:val="Text1"/>
              <w:ind w:left="0"/>
              <w:jc w:val="center"/>
              <w:rPr>
                <w:b/>
                <w:noProof/>
                <w:sz w:val="22"/>
                <w:szCs w:val="22"/>
              </w:rPr>
            </w:pPr>
            <w:r>
              <w:rPr>
                <w:b/>
                <w:noProof/>
                <w:sz w:val="22"/>
              </w:rPr>
              <w:t>Innehåll</w:t>
            </w:r>
          </w:p>
        </w:tc>
        <w:tc>
          <w:tcPr>
            <w:tcW w:w="5670" w:type="dxa"/>
            <w:gridSpan w:val="3"/>
          </w:tcPr>
          <w:p>
            <w:pPr>
              <w:pStyle w:val="Text1"/>
              <w:ind w:left="0"/>
              <w:jc w:val="center"/>
              <w:rPr>
                <w:b/>
                <w:noProof/>
                <w:sz w:val="22"/>
                <w:szCs w:val="22"/>
              </w:rPr>
            </w:pPr>
            <w:r>
              <w:rPr>
                <w:b/>
                <w:noProof/>
                <w:sz w:val="22"/>
              </w:rPr>
              <w:t>Tillämpningsområde</w:t>
            </w:r>
          </w:p>
        </w:tc>
      </w:tr>
      <w:tr>
        <w:tc>
          <w:tcPr>
            <w:tcW w:w="1418" w:type="dxa"/>
            <w:vMerge/>
          </w:tcPr>
          <w:p>
            <w:pPr>
              <w:pStyle w:val="Text1"/>
              <w:ind w:left="0"/>
              <w:rPr>
                <w:noProof/>
                <w:sz w:val="22"/>
                <w:szCs w:val="22"/>
              </w:rPr>
            </w:pPr>
          </w:p>
        </w:tc>
        <w:tc>
          <w:tcPr>
            <w:tcW w:w="1984" w:type="dxa"/>
            <w:vMerge/>
          </w:tcPr>
          <w:p>
            <w:pPr>
              <w:pStyle w:val="Text1"/>
              <w:ind w:left="0"/>
              <w:jc w:val="center"/>
              <w:rPr>
                <w:b/>
                <w:noProof/>
                <w:sz w:val="22"/>
                <w:szCs w:val="22"/>
              </w:rPr>
            </w:pPr>
          </w:p>
        </w:tc>
        <w:tc>
          <w:tcPr>
            <w:tcW w:w="1418" w:type="dxa"/>
          </w:tcPr>
          <w:p>
            <w:pPr>
              <w:pStyle w:val="Text1"/>
              <w:ind w:left="0"/>
              <w:jc w:val="center"/>
              <w:rPr>
                <w:b/>
                <w:noProof/>
                <w:sz w:val="22"/>
                <w:szCs w:val="22"/>
              </w:rPr>
            </w:pPr>
            <w:r>
              <w:rPr>
                <w:b/>
                <w:noProof/>
                <w:sz w:val="22"/>
              </w:rPr>
              <w:t>Trafik</w:t>
            </w:r>
          </w:p>
        </w:tc>
        <w:tc>
          <w:tcPr>
            <w:tcW w:w="1984" w:type="dxa"/>
          </w:tcPr>
          <w:p>
            <w:pPr>
              <w:pStyle w:val="Text1"/>
              <w:ind w:left="0"/>
              <w:jc w:val="center"/>
              <w:rPr>
                <w:b/>
                <w:noProof/>
                <w:sz w:val="22"/>
                <w:szCs w:val="22"/>
              </w:rPr>
            </w:pPr>
            <w:r>
              <w:rPr>
                <w:b/>
                <w:noProof/>
                <w:sz w:val="22"/>
              </w:rPr>
              <w:t>Fartyg</w:t>
            </w:r>
          </w:p>
        </w:tc>
        <w:tc>
          <w:tcPr>
            <w:tcW w:w="2268" w:type="dxa"/>
          </w:tcPr>
          <w:p>
            <w:pPr>
              <w:pStyle w:val="Text1"/>
              <w:ind w:left="0"/>
              <w:jc w:val="center"/>
              <w:rPr>
                <w:b/>
                <w:noProof/>
                <w:sz w:val="22"/>
                <w:szCs w:val="22"/>
              </w:rPr>
            </w:pPr>
            <w:r>
              <w:rPr>
                <w:b/>
                <w:noProof/>
                <w:sz w:val="22"/>
              </w:rPr>
              <w:t>Tillämpning</w:t>
            </w:r>
          </w:p>
        </w:tc>
      </w:tr>
      <w:tr>
        <w:tc>
          <w:tcPr>
            <w:tcW w:w="1418" w:type="dxa"/>
          </w:tcPr>
          <w:p>
            <w:pPr>
              <w:pStyle w:val="Text1"/>
              <w:ind w:left="0"/>
              <w:jc w:val="left"/>
              <w:rPr>
                <w:b/>
                <w:noProof/>
                <w:sz w:val="22"/>
                <w:szCs w:val="22"/>
              </w:rPr>
            </w:pPr>
            <w:r>
              <w:rPr>
                <w:b/>
                <w:noProof/>
                <w:sz w:val="22"/>
              </w:rPr>
              <w:t>Direktiv</w:t>
            </w:r>
          </w:p>
          <w:p>
            <w:pPr>
              <w:pStyle w:val="Text1"/>
              <w:ind w:left="0"/>
              <w:jc w:val="left"/>
              <w:rPr>
                <w:b/>
                <w:noProof/>
                <w:sz w:val="22"/>
                <w:szCs w:val="22"/>
              </w:rPr>
            </w:pPr>
            <w:r>
              <w:rPr>
                <w:b/>
                <w:noProof/>
                <w:sz w:val="22"/>
              </w:rPr>
              <w:t>2009/45/EG</w:t>
            </w:r>
          </w:p>
        </w:tc>
        <w:tc>
          <w:tcPr>
            <w:tcW w:w="1984" w:type="dxa"/>
          </w:tcPr>
          <w:p>
            <w:pPr>
              <w:pStyle w:val="Text1"/>
              <w:ind w:left="0"/>
              <w:jc w:val="left"/>
              <w:rPr>
                <w:noProof/>
                <w:sz w:val="22"/>
                <w:szCs w:val="22"/>
              </w:rPr>
            </w:pPr>
            <w:r>
              <w:rPr>
                <w:noProof/>
                <w:sz w:val="22"/>
              </w:rPr>
              <w:t xml:space="preserve">Säkerhetsnormer </w:t>
            </w:r>
          </w:p>
          <w:p>
            <w:pPr>
              <w:pStyle w:val="Text1"/>
              <w:ind w:left="0"/>
              <w:jc w:val="left"/>
              <w:rPr>
                <w:noProof/>
                <w:sz w:val="22"/>
                <w:szCs w:val="22"/>
              </w:rPr>
            </w:pPr>
            <w:r>
              <w:rPr>
                <w:noProof/>
                <w:sz w:val="22"/>
              </w:rPr>
              <w:t>Besiktningar</w:t>
            </w:r>
          </w:p>
          <w:p>
            <w:pPr>
              <w:pStyle w:val="Text1"/>
              <w:ind w:left="0"/>
              <w:jc w:val="left"/>
              <w:rPr>
                <w:i/>
                <w:noProof/>
                <w:sz w:val="22"/>
                <w:szCs w:val="22"/>
              </w:rPr>
            </w:pPr>
            <w:r>
              <w:rPr>
                <w:i/>
                <w:noProof/>
                <w:sz w:val="22"/>
              </w:rPr>
              <w:t>(allmänt)</w:t>
            </w:r>
          </w:p>
        </w:tc>
        <w:tc>
          <w:tcPr>
            <w:tcW w:w="1418" w:type="dxa"/>
          </w:tcPr>
          <w:p>
            <w:pPr>
              <w:pStyle w:val="Text1"/>
              <w:ind w:left="0"/>
              <w:jc w:val="left"/>
              <w:rPr>
                <w:noProof/>
                <w:sz w:val="22"/>
                <w:szCs w:val="22"/>
              </w:rPr>
            </w:pPr>
            <w:r>
              <w:rPr>
                <w:noProof/>
                <w:sz w:val="22"/>
              </w:rPr>
              <w:t xml:space="preserve">Inrikes </w:t>
            </w:r>
          </w:p>
        </w:tc>
        <w:tc>
          <w:tcPr>
            <w:tcW w:w="1984" w:type="dxa"/>
          </w:tcPr>
          <w:p>
            <w:pPr>
              <w:pStyle w:val="Text1"/>
              <w:ind w:left="0"/>
              <w:jc w:val="left"/>
              <w:rPr>
                <w:noProof/>
                <w:sz w:val="22"/>
                <w:szCs w:val="22"/>
              </w:rPr>
            </w:pPr>
            <w:r>
              <w:rPr>
                <w:noProof/>
                <w:sz w:val="22"/>
              </w:rPr>
              <w:t>a) Passagerarfartyg tillverkade av stål eller annat likvärdigt material</w:t>
            </w:r>
            <w:r>
              <w:rPr>
                <w:rStyle w:val="FootnoteReference"/>
                <w:noProof/>
                <w:sz w:val="22"/>
              </w:rPr>
              <w:footnoteReference w:id="7"/>
            </w:r>
            <w:r>
              <w:rPr>
                <w:noProof/>
                <w:sz w:val="22"/>
              </w:rPr>
              <w:t xml:space="preserve"> </w:t>
            </w:r>
          </w:p>
          <w:p>
            <w:pPr>
              <w:pStyle w:val="Text1"/>
              <w:ind w:left="0"/>
              <w:jc w:val="left"/>
              <w:rPr>
                <w:noProof/>
                <w:sz w:val="22"/>
                <w:szCs w:val="22"/>
              </w:rPr>
            </w:pPr>
            <w:r>
              <w:rPr>
                <w:noProof/>
                <w:sz w:val="22"/>
              </w:rPr>
              <w:t>b) Höghastighets-fartyg</w:t>
            </w:r>
          </w:p>
        </w:tc>
        <w:tc>
          <w:tcPr>
            <w:tcW w:w="2268" w:type="dxa"/>
          </w:tcPr>
          <w:p>
            <w:pPr>
              <w:pStyle w:val="Text1"/>
              <w:ind w:left="0"/>
              <w:jc w:val="left"/>
              <w:rPr>
                <w:noProof/>
                <w:sz w:val="22"/>
                <w:szCs w:val="22"/>
              </w:rPr>
            </w:pPr>
            <w:r>
              <w:rPr>
                <w:noProof/>
                <w:sz w:val="22"/>
              </w:rPr>
              <w:t>Samtliga fartyg oavsett storlek (flexibilitet för fartyg med en längd under 24 m)</w:t>
            </w:r>
          </w:p>
          <w:p>
            <w:pPr>
              <w:pStyle w:val="Text1"/>
              <w:ind w:left="0"/>
              <w:jc w:val="left"/>
              <w:rPr>
                <w:noProof/>
                <w:sz w:val="22"/>
                <w:szCs w:val="22"/>
              </w:rPr>
            </w:pPr>
            <w:r>
              <w:rPr>
                <w:noProof/>
                <w:sz w:val="22"/>
              </w:rPr>
              <w:t>Klasserna A, B, C, D</w:t>
            </w:r>
            <w:r>
              <w:rPr>
                <w:rStyle w:val="FootnoteReference"/>
                <w:noProof/>
                <w:sz w:val="22"/>
              </w:rPr>
              <w:footnoteReference w:id="8"/>
            </w:r>
          </w:p>
        </w:tc>
      </w:tr>
      <w:tr>
        <w:trPr>
          <w:trHeight w:val="1148"/>
        </w:trPr>
        <w:tc>
          <w:tcPr>
            <w:tcW w:w="1418" w:type="dxa"/>
          </w:tcPr>
          <w:p>
            <w:pPr>
              <w:pStyle w:val="Text1"/>
              <w:ind w:left="0"/>
              <w:jc w:val="left"/>
              <w:rPr>
                <w:b/>
                <w:noProof/>
                <w:sz w:val="22"/>
                <w:szCs w:val="22"/>
              </w:rPr>
            </w:pPr>
            <w:r>
              <w:rPr>
                <w:b/>
                <w:noProof/>
                <w:sz w:val="22"/>
              </w:rPr>
              <w:t>Direktiv</w:t>
            </w:r>
          </w:p>
          <w:p>
            <w:pPr>
              <w:pStyle w:val="Text1"/>
              <w:ind w:left="0"/>
              <w:jc w:val="left"/>
              <w:rPr>
                <w:b/>
                <w:noProof/>
                <w:sz w:val="22"/>
                <w:szCs w:val="22"/>
              </w:rPr>
            </w:pPr>
            <w:r>
              <w:rPr>
                <w:b/>
                <w:noProof/>
                <w:sz w:val="22"/>
              </w:rPr>
              <w:t>2003/25/EG</w:t>
            </w:r>
            <w:r>
              <w:rPr>
                <w:rStyle w:val="FootnoteReference"/>
                <w:b/>
                <w:noProof/>
                <w:sz w:val="22"/>
              </w:rPr>
              <w:footnoteReference w:id="9"/>
            </w:r>
          </w:p>
        </w:tc>
        <w:tc>
          <w:tcPr>
            <w:tcW w:w="1984" w:type="dxa"/>
          </w:tcPr>
          <w:p>
            <w:pPr>
              <w:pStyle w:val="Text1"/>
              <w:ind w:left="0"/>
              <w:jc w:val="left"/>
              <w:rPr>
                <w:noProof/>
                <w:sz w:val="22"/>
                <w:szCs w:val="22"/>
              </w:rPr>
            </w:pPr>
            <w:r>
              <w:rPr>
                <w:noProof/>
                <w:sz w:val="22"/>
              </w:rPr>
              <w:t xml:space="preserve">Säkerhetsnormer </w:t>
            </w:r>
          </w:p>
          <w:p>
            <w:pPr>
              <w:pStyle w:val="Text1"/>
              <w:ind w:left="0"/>
              <w:jc w:val="left"/>
              <w:rPr>
                <w:noProof/>
                <w:sz w:val="22"/>
                <w:szCs w:val="22"/>
              </w:rPr>
            </w:pPr>
            <w:r>
              <w:rPr>
                <w:i/>
                <w:noProof/>
                <w:sz w:val="22"/>
              </w:rPr>
              <w:t>(specifikt: stabilitetskrav för ro-pax-fartyg)</w:t>
            </w:r>
          </w:p>
        </w:tc>
        <w:tc>
          <w:tcPr>
            <w:tcW w:w="1418" w:type="dxa"/>
          </w:tcPr>
          <w:p>
            <w:pPr>
              <w:pStyle w:val="Text1"/>
              <w:ind w:left="0"/>
              <w:jc w:val="left"/>
              <w:rPr>
                <w:noProof/>
                <w:sz w:val="22"/>
                <w:szCs w:val="22"/>
              </w:rPr>
            </w:pPr>
            <w:r>
              <w:rPr>
                <w:noProof/>
                <w:sz w:val="22"/>
              </w:rPr>
              <w:t>Inrikes och internationell</w:t>
            </w:r>
          </w:p>
        </w:tc>
        <w:tc>
          <w:tcPr>
            <w:tcW w:w="1984" w:type="dxa"/>
          </w:tcPr>
          <w:p>
            <w:pPr>
              <w:pStyle w:val="Text1"/>
              <w:ind w:left="0"/>
              <w:jc w:val="left"/>
              <w:rPr>
                <w:noProof/>
                <w:sz w:val="22"/>
                <w:szCs w:val="22"/>
              </w:rPr>
            </w:pPr>
            <w:r>
              <w:rPr>
                <w:noProof/>
                <w:sz w:val="22"/>
              </w:rPr>
              <w:t>Ro-ro-passagerarfartyg</w:t>
            </w:r>
          </w:p>
        </w:tc>
        <w:tc>
          <w:tcPr>
            <w:tcW w:w="2268" w:type="dxa"/>
          </w:tcPr>
          <w:p>
            <w:pPr>
              <w:pStyle w:val="Text1"/>
              <w:ind w:left="0"/>
              <w:jc w:val="left"/>
              <w:rPr>
                <w:noProof/>
                <w:sz w:val="22"/>
                <w:szCs w:val="22"/>
              </w:rPr>
            </w:pPr>
            <w:r>
              <w:rPr>
                <w:noProof/>
                <w:sz w:val="22"/>
              </w:rPr>
              <w:t>Internationellt: reguljär trafik</w:t>
            </w:r>
          </w:p>
          <w:p>
            <w:pPr>
              <w:pStyle w:val="Text1"/>
              <w:ind w:left="0"/>
              <w:jc w:val="left"/>
              <w:rPr>
                <w:noProof/>
                <w:sz w:val="22"/>
                <w:szCs w:val="22"/>
              </w:rPr>
            </w:pPr>
            <w:r>
              <w:rPr>
                <w:noProof/>
                <w:sz w:val="22"/>
              </w:rPr>
              <w:t xml:space="preserve">Inrikes: klasserna A, B och C </w:t>
            </w:r>
          </w:p>
        </w:tc>
      </w:tr>
      <w:tr>
        <w:trPr>
          <w:trHeight w:val="1004"/>
        </w:trPr>
        <w:tc>
          <w:tcPr>
            <w:tcW w:w="1418" w:type="dxa"/>
          </w:tcPr>
          <w:p>
            <w:pPr>
              <w:pStyle w:val="Text1"/>
              <w:ind w:left="0"/>
              <w:jc w:val="left"/>
              <w:rPr>
                <w:b/>
                <w:noProof/>
                <w:sz w:val="22"/>
                <w:szCs w:val="22"/>
              </w:rPr>
            </w:pPr>
            <w:r>
              <w:rPr>
                <w:b/>
                <w:noProof/>
                <w:sz w:val="22"/>
              </w:rPr>
              <w:t>Direktiv</w:t>
            </w:r>
          </w:p>
          <w:p>
            <w:pPr>
              <w:pStyle w:val="Text1"/>
              <w:ind w:left="0"/>
              <w:jc w:val="left"/>
              <w:rPr>
                <w:b/>
                <w:noProof/>
                <w:sz w:val="22"/>
                <w:szCs w:val="22"/>
              </w:rPr>
            </w:pPr>
            <w:r>
              <w:rPr>
                <w:b/>
                <w:noProof/>
                <w:sz w:val="22"/>
              </w:rPr>
              <w:t>1999/35/EG</w:t>
            </w:r>
            <w:r>
              <w:rPr>
                <w:rStyle w:val="FootnoteReference"/>
                <w:b/>
                <w:noProof/>
                <w:sz w:val="22"/>
              </w:rPr>
              <w:footnoteReference w:id="10"/>
            </w:r>
          </w:p>
        </w:tc>
        <w:tc>
          <w:tcPr>
            <w:tcW w:w="1984" w:type="dxa"/>
          </w:tcPr>
          <w:p>
            <w:pPr>
              <w:pStyle w:val="Text1"/>
              <w:ind w:left="0"/>
              <w:jc w:val="left"/>
              <w:rPr>
                <w:noProof/>
                <w:sz w:val="22"/>
                <w:szCs w:val="22"/>
              </w:rPr>
            </w:pPr>
            <w:r>
              <w:rPr>
                <w:noProof/>
                <w:sz w:val="22"/>
              </w:rPr>
              <w:t xml:space="preserve">Besiktningar </w:t>
            </w:r>
          </w:p>
          <w:p>
            <w:pPr>
              <w:pStyle w:val="Text1"/>
              <w:ind w:left="0"/>
              <w:jc w:val="left"/>
              <w:rPr>
                <w:noProof/>
                <w:sz w:val="22"/>
                <w:szCs w:val="22"/>
              </w:rPr>
            </w:pPr>
            <w:r>
              <w:rPr>
                <w:i/>
                <w:noProof/>
                <w:sz w:val="22"/>
              </w:rPr>
              <w:t>(specifikt: ro-pax-fartyg och höghastighetsfartyg i reguljär trafik)</w:t>
            </w:r>
          </w:p>
        </w:tc>
        <w:tc>
          <w:tcPr>
            <w:tcW w:w="1418" w:type="dxa"/>
          </w:tcPr>
          <w:p>
            <w:pPr>
              <w:pStyle w:val="Text1"/>
              <w:ind w:left="0"/>
              <w:jc w:val="left"/>
              <w:rPr>
                <w:noProof/>
                <w:sz w:val="22"/>
                <w:szCs w:val="22"/>
              </w:rPr>
            </w:pPr>
            <w:r>
              <w:rPr>
                <w:noProof/>
                <w:sz w:val="22"/>
              </w:rPr>
              <w:t xml:space="preserve">Inrikes och internationell </w:t>
            </w:r>
          </w:p>
        </w:tc>
        <w:tc>
          <w:tcPr>
            <w:tcW w:w="1984" w:type="dxa"/>
          </w:tcPr>
          <w:p>
            <w:pPr>
              <w:pStyle w:val="Text1"/>
              <w:ind w:left="0"/>
              <w:jc w:val="left"/>
              <w:rPr>
                <w:noProof/>
                <w:sz w:val="22"/>
                <w:szCs w:val="22"/>
              </w:rPr>
            </w:pPr>
            <w:r>
              <w:rPr>
                <w:noProof/>
                <w:sz w:val="22"/>
              </w:rPr>
              <w:t xml:space="preserve">a) Ro-ro-passagerarfartyg </w:t>
            </w:r>
          </w:p>
          <w:p>
            <w:pPr>
              <w:pStyle w:val="Text1"/>
              <w:ind w:left="0"/>
              <w:jc w:val="left"/>
              <w:rPr>
                <w:noProof/>
                <w:sz w:val="22"/>
                <w:szCs w:val="22"/>
              </w:rPr>
            </w:pPr>
            <w:r>
              <w:rPr>
                <w:noProof/>
                <w:sz w:val="22"/>
              </w:rPr>
              <w:t>b) Höghastighets-fartyg</w:t>
            </w:r>
          </w:p>
        </w:tc>
        <w:tc>
          <w:tcPr>
            <w:tcW w:w="2268" w:type="dxa"/>
          </w:tcPr>
          <w:p>
            <w:pPr>
              <w:pStyle w:val="Text1"/>
              <w:ind w:left="0"/>
              <w:jc w:val="left"/>
              <w:rPr>
                <w:noProof/>
                <w:sz w:val="22"/>
                <w:szCs w:val="22"/>
              </w:rPr>
            </w:pPr>
            <w:r>
              <w:rPr>
                <w:noProof/>
                <w:sz w:val="22"/>
              </w:rPr>
              <w:t>Endast reguljär trafik</w:t>
            </w:r>
          </w:p>
          <w:p>
            <w:pPr>
              <w:pStyle w:val="Text1"/>
              <w:ind w:left="0"/>
              <w:jc w:val="left"/>
              <w:rPr>
                <w:noProof/>
                <w:sz w:val="22"/>
                <w:szCs w:val="22"/>
              </w:rPr>
            </w:pPr>
            <w:r>
              <w:rPr>
                <w:noProof/>
                <w:sz w:val="22"/>
              </w:rPr>
              <w:t xml:space="preserve">Inrikes: Klass A </w:t>
            </w:r>
          </w:p>
        </w:tc>
      </w:tr>
      <w:tr>
        <w:trPr>
          <w:trHeight w:val="908"/>
        </w:trPr>
        <w:tc>
          <w:tcPr>
            <w:tcW w:w="1418" w:type="dxa"/>
          </w:tcPr>
          <w:p>
            <w:pPr>
              <w:pStyle w:val="Text1"/>
              <w:ind w:left="0"/>
              <w:jc w:val="left"/>
              <w:rPr>
                <w:b/>
                <w:noProof/>
                <w:sz w:val="22"/>
                <w:szCs w:val="22"/>
              </w:rPr>
            </w:pPr>
            <w:r>
              <w:rPr>
                <w:b/>
                <w:noProof/>
                <w:sz w:val="22"/>
              </w:rPr>
              <w:t>Direktiv</w:t>
            </w:r>
          </w:p>
          <w:p>
            <w:pPr>
              <w:pStyle w:val="Text1"/>
              <w:ind w:left="0"/>
              <w:jc w:val="left"/>
              <w:rPr>
                <w:b/>
                <w:noProof/>
                <w:sz w:val="22"/>
                <w:szCs w:val="22"/>
              </w:rPr>
            </w:pPr>
            <w:r>
              <w:rPr>
                <w:b/>
                <w:noProof/>
                <w:sz w:val="22"/>
              </w:rPr>
              <w:t>98/41/EG</w:t>
            </w:r>
            <w:r>
              <w:rPr>
                <w:rStyle w:val="FootnoteReference"/>
                <w:b/>
                <w:noProof/>
                <w:sz w:val="22"/>
              </w:rPr>
              <w:footnoteReference w:id="11"/>
            </w:r>
          </w:p>
        </w:tc>
        <w:tc>
          <w:tcPr>
            <w:tcW w:w="1984" w:type="dxa"/>
          </w:tcPr>
          <w:p>
            <w:pPr>
              <w:pStyle w:val="Text1"/>
              <w:ind w:left="0"/>
              <w:jc w:val="left"/>
              <w:rPr>
                <w:noProof/>
                <w:sz w:val="22"/>
                <w:szCs w:val="22"/>
              </w:rPr>
            </w:pPr>
            <w:r>
              <w:rPr>
                <w:noProof/>
                <w:sz w:val="22"/>
              </w:rPr>
              <w:t>Säkerhetsnormer</w:t>
            </w:r>
          </w:p>
          <w:p>
            <w:pPr>
              <w:pStyle w:val="Text1"/>
              <w:ind w:left="0"/>
              <w:jc w:val="left"/>
              <w:rPr>
                <w:noProof/>
                <w:sz w:val="22"/>
                <w:szCs w:val="22"/>
              </w:rPr>
            </w:pPr>
            <w:r>
              <w:rPr>
                <w:noProof/>
                <w:sz w:val="22"/>
              </w:rPr>
              <w:t xml:space="preserve">Besiktningar </w:t>
            </w:r>
          </w:p>
          <w:p>
            <w:pPr>
              <w:pStyle w:val="Text1"/>
              <w:ind w:left="0"/>
              <w:jc w:val="left"/>
              <w:rPr>
                <w:noProof/>
                <w:sz w:val="22"/>
                <w:szCs w:val="22"/>
              </w:rPr>
            </w:pPr>
            <w:r>
              <w:rPr>
                <w:i/>
                <w:noProof/>
                <w:sz w:val="22"/>
              </w:rPr>
              <w:t>(specifikt: registrering av personer ombord)</w:t>
            </w:r>
          </w:p>
        </w:tc>
        <w:tc>
          <w:tcPr>
            <w:tcW w:w="1418" w:type="dxa"/>
          </w:tcPr>
          <w:p>
            <w:pPr>
              <w:pStyle w:val="Text1"/>
              <w:ind w:left="0"/>
              <w:jc w:val="left"/>
              <w:rPr>
                <w:noProof/>
                <w:sz w:val="22"/>
                <w:szCs w:val="22"/>
              </w:rPr>
            </w:pPr>
            <w:r>
              <w:rPr>
                <w:noProof/>
                <w:sz w:val="22"/>
              </w:rPr>
              <w:t>Inrikes och internationell</w:t>
            </w:r>
          </w:p>
        </w:tc>
        <w:tc>
          <w:tcPr>
            <w:tcW w:w="1984" w:type="dxa"/>
          </w:tcPr>
          <w:p>
            <w:pPr>
              <w:pStyle w:val="Text1"/>
              <w:ind w:left="0"/>
              <w:jc w:val="left"/>
              <w:rPr>
                <w:noProof/>
                <w:sz w:val="22"/>
                <w:szCs w:val="22"/>
              </w:rPr>
            </w:pPr>
            <w:r>
              <w:rPr>
                <w:noProof/>
                <w:sz w:val="22"/>
              </w:rPr>
              <w:t>Samtliga passagerarfartyg</w:t>
            </w:r>
          </w:p>
        </w:tc>
        <w:tc>
          <w:tcPr>
            <w:tcW w:w="2268" w:type="dxa"/>
          </w:tcPr>
          <w:p>
            <w:pPr>
              <w:pStyle w:val="Text1"/>
              <w:ind w:left="0"/>
              <w:jc w:val="left"/>
              <w:rPr>
                <w:noProof/>
                <w:sz w:val="22"/>
                <w:szCs w:val="22"/>
              </w:rPr>
            </w:pPr>
            <w:r>
              <w:rPr>
                <w:noProof/>
                <w:sz w:val="22"/>
              </w:rPr>
              <w:t xml:space="preserve">Resans längd </w:t>
            </w:r>
            <w:r>
              <w:rPr>
                <w:i/>
                <w:noProof/>
                <w:sz w:val="22"/>
              </w:rPr>
              <w:t>(endast räkning av personerna ombord vid resor på under 20 nautiska mil)</w:t>
            </w:r>
          </w:p>
          <w:p>
            <w:pPr>
              <w:pStyle w:val="Text1"/>
              <w:ind w:left="0"/>
              <w:jc w:val="left"/>
              <w:rPr>
                <w:noProof/>
                <w:sz w:val="22"/>
                <w:szCs w:val="22"/>
              </w:rPr>
            </w:pPr>
          </w:p>
        </w:tc>
      </w:tr>
    </w:tbl>
    <w:p>
      <w:pPr>
        <w:pStyle w:val="Text1"/>
        <w:rPr>
          <w:i/>
          <w:noProof/>
          <w:sz w:val="22"/>
        </w:rPr>
      </w:pPr>
      <w:r>
        <w:rPr>
          <w:i/>
          <w:noProof/>
          <w:sz w:val="22"/>
        </w:rPr>
        <w:t>Källa: kommissionen, 2015.</w:t>
      </w:r>
    </w:p>
    <w:p>
      <w:pPr>
        <w:pStyle w:val="Text1"/>
        <w:rPr>
          <w:i/>
          <w:noProof/>
          <w:sz w:val="22"/>
        </w:rPr>
      </w:pPr>
    </w:p>
    <w:p>
      <w:pPr>
        <w:pStyle w:val="ManualNumPar2"/>
        <w:rPr>
          <w:noProof/>
        </w:rPr>
      </w:pPr>
      <w:r>
        <w:t>1.3.</w:t>
      </w:r>
      <w:r>
        <w:tab/>
      </w:r>
      <w:r>
        <w:rPr>
          <w:noProof/>
        </w:rPr>
        <w:t>Vad säger intressenterna?</w:t>
      </w:r>
    </w:p>
    <w:p>
      <w:pPr>
        <w:rPr>
          <w:noProof/>
        </w:rPr>
      </w:pPr>
      <w:r>
        <w:rPr>
          <w:noProof/>
        </w:rPr>
        <w:t xml:space="preserve">Intressenterna håller med om att regelverket för säkerheten på passagerarfartyg är väsentligt när det gäller att förbättra säkerheten och samtidigt bidra till likvärdiga förutsättningar. I det senaste offentliga samrådet om sjöfartsstrategin höll 59 % av intressenterna med om att det gällande regelverket för fartygssäkerhet på internationell nivå och EU-nivå är tillfredsställande (26 % hade ingen åsikt). </w:t>
      </w:r>
    </w:p>
    <w:p>
      <w:pPr>
        <w:rPr>
          <w:noProof/>
        </w:rPr>
      </w:pPr>
      <w:r>
        <w:rPr>
          <w:noProof/>
        </w:rPr>
        <w:t xml:space="preserve">Intressenterna pekade dock på ett antal problem med koppling till den varierande tillämpningen av den rättsliga ramen för säkerheten på passagerarfartyg. Man nämnde komplexa och oklara definitioner och krav, överlappning och föråldrade rapporteringskrav. </w:t>
      </w:r>
    </w:p>
    <w:p>
      <w:pPr>
        <w:rPr>
          <w:noProof/>
        </w:rPr>
      </w:pPr>
      <w:r>
        <w:rPr>
          <w:noProof/>
        </w:rPr>
        <w:t>Intressenterna ifrågasatte också proportionaliteten och lämpligheten hos säkerhetsnormerna för mindre stålfartyg och oavsiktliga konsekvenser för fartyg som inte omfattas av den gällande rättsliga ramen. De har därför efterlyst en förbättring av den gällande rättsliga ramen genom förenkling av reglerna för att underlätta administration och efterlevnadskontroll och få bort onödiga kostnader.</w:t>
      </w:r>
    </w:p>
    <w:p>
      <w:pPr>
        <w:rPr>
          <w:noProof/>
        </w:rPr>
      </w:pPr>
    </w:p>
    <w:p>
      <w:pPr>
        <w:pStyle w:val="ManualNumPar1"/>
        <w:rPr>
          <w:noProof/>
        </w:rPr>
      </w:pPr>
      <w:r>
        <w:t>2.</w:t>
      </w:r>
      <w:r>
        <w:tab/>
      </w:r>
      <w:r>
        <w:rPr>
          <w:noProof/>
        </w:rPr>
        <w:t>Centrala utvärderingsfrågor</w:t>
      </w:r>
    </w:p>
    <w:p>
      <w:pPr>
        <w:rPr>
          <w:noProof/>
        </w:rPr>
      </w:pPr>
    </w:p>
    <w:p>
      <w:pPr>
        <w:pStyle w:val="ManualNumPar2"/>
        <w:rPr>
          <w:noProof/>
        </w:rPr>
      </w:pPr>
      <w:r>
        <w:t>2.1.</w:t>
      </w:r>
      <w:r>
        <w:tab/>
      </w:r>
      <w:r>
        <w:rPr>
          <w:noProof/>
        </w:rPr>
        <w:t>Är EU:s rättsliga ram för säkerheten på passagerarfartyg ändamålsenlig?</w:t>
      </w:r>
    </w:p>
    <w:p>
      <w:pPr>
        <w:rPr>
          <w:noProof/>
        </w:rPr>
      </w:pPr>
      <w:r>
        <w:rPr>
          <w:noProof/>
        </w:rPr>
        <w:t>EU:s rättsliga ram för säkerheten på passagerarfartyg är på det hela taget ändamålsenlig. Den har resulterat i förbättrad säkerhet för människoliv på passagerarfartyg som trafikerar EU:s farvatten och bidragit till utvecklingen av en inre marknad för sjötransport. Det finns dock utrymme för att höja säkerhetsnivån ytterligare och förbättra effektiviteten och proportionaliteten hos en del av de lagstadgade kraven.</w:t>
      </w:r>
    </w:p>
    <w:p>
      <w:pPr>
        <w:rPr>
          <w:noProof/>
        </w:rPr>
      </w:pPr>
      <w:r>
        <w:rPr>
          <w:noProof/>
        </w:rPr>
        <w:t>De passagerarfartyg i inrikes trafik som omfattas av EU:s säkerhetsnormer</w:t>
      </w:r>
      <w:r>
        <w:rPr>
          <w:rStyle w:val="FootnoteReference"/>
          <w:noProof/>
        </w:rPr>
        <w:footnoteReference w:id="12"/>
      </w:r>
      <w:r>
        <w:rPr>
          <w:noProof/>
        </w:rPr>
        <w:t xml:space="preserve"> utgör omkring 30 % av antalet fartyg i inrikes trafik i EU:s farvatten, men står för mer än 60 % av den totala passagerarkapaciteten. Merparten av passagerarna reser alltså med fartyg som uppfyller gemensamma säkerhetsnormer som garanterar en gemensam säkerhetsnivå. En tredjedel av passagerarna reser med fartyg som är certifierade enligt nationella normer. Det rör sig främst om mindre, skräddarsydda fartyg tillverkade av kompositmaterial eller trä (ca 12 % respektive 18 %). </w:t>
      </w:r>
    </w:p>
    <w:p>
      <w:pPr>
        <w:rPr>
          <w:noProof/>
        </w:rPr>
      </w:pPr>
      <w:r>
        <w:rPr>
          <w:noProof/>
        </w:rPr>
        <w:t>Av de 408 olyckor med passagerarfartyg i inrikes trafik som registrerats de senaste fyra åren har bara en haft dödlig utgång för en passagerare</w:t>
      </w:r>
      <w:r>
        <w:rPr>
          <w:noProof/>
          <w:vertAlign w:val="superscript"/>
        </w:rPr>
        <w:footnoteReference w:id="13"/>
      </w:r>
      <w:r>
        <w:rPr>
          <w:noProof/>
        </w:rPr>
        <w:t xml:space="preserve">. Risken per passagerartimme är lägre än för passagerarfartyg i internationell trafik. Olyckor med fartyg i EU:s inrikesflotta fick mindre allvarliga konsekvenser än olyckor med internationella passagerarfartyg, men olycksfrekvensen var högre. Detta är inte överraskande eftersom trafiken är intensivare i kustområdena och det finns fler grunda farvatten där grundstötningar kan inträffa. </w:t>
      </w:r>
    </w:p>
    <w:p>
      <w:pPr>
        <w:rPr>
          <w:noProof/>
        </w:rPr>
      </w:pPr>
      <w:r>
        <w:rPr>
          <w:noProof/>
        </w:rPr>
        <w:t>EU:s lagstiftning om säkerheten på passagerarfartyg har också underlättat den fria rörligheten för fartyg mellan EU:s medlemsstater. Uppgifter visar att flaggbytena har ökat med 400 % sedan 1998</w:t>
      </w:r>
      <w:r>
        <w:rPr>
          <w:rStyle w:val="FootnoteReference"/>
          <w:noProof/>
        </w:rPr>
        <w:footnoteReference w:id="14"/>
      </w:r>
      <w:r>
        <w:rPr>
          <w:noProof/>
        </w:rPr>
        <w:t xml:space="preserve">. Även om det också funnits andra orsaker till denna ökning (t.ex. ökad efterfrågan på och tillgång till fartyg på andrahandsmarknaden) har EU-lagstiftningen definitivt bidragit till denna utveckling. </w:t>
      </w:r>
    </w:p>
    <w:p>
      <w:pPr>
        <w:rPr>
          <w:noProof/>
        </w:rPr>
      </w:pPr>
      <w:r>
        <w:rPr>
          <w:noProof/>
        </w:rPr>
        <w:t>En del nationella förvaltningar har nämnt att EU-lagstiftningen kan ha lett till att det byggts fler fartyg av annat material än stål, eftersom de nationella säkerhetsnormerna är mindre strikta, men några belägg för detta har inte lagts fram</w:t>
      </w:r>
      <w:r>
        <w:rPr>
          <w:rStyle w:val="FootnoteReference"/>
          <w:noProof/>
        </w:rPr>
        <w:footnoteReference w:id="15"/>
      </w:r>
      <w:r>
        <w:rPr>
          <w:noProof/>
        </w:rPr>
        <w:t>. Andra intressenter har dock antytt att det förhåller sig tvärtom och efterlyst harmoniserade EU-säkerhetsnormer för fartyg som för närvarande inte omfattas av EU-lagstiftningen (dvs. fartyg tillverkade av annat material än stål eller likvärdiga material, t.ex. kompositmaterial).</w:t>
      </w:r>
    </w:p>
    <w:p>
      <w:pPr>
        <w:rPr>
          <w:noProof/>
        </w:rPr>
      </w:pPr>
    </w:p>
    <w:p>
      <w:pPr>
        <w:pStyle w:val="ManualNumPar2"/>
        <w:rPr>
          <w:noProof/>
        </w:rPr>
      </w:pPr>
      <w:r>
        <w:t>2.2.</w:t>
      </w:r>
      <w:r>
        <w:tab/>
      </w:r>
      <w:r>
        <w:rPr>
          <w:noProof/>
        </w:rPr>
        <w:t>Vad bidrar till respektive står i vägen för en effektiv EU-lagstiftning om säkerheten på passagerarfartyg?</w:t>
      </w:r>
    </w:p>
    <w:p>
      <w:pPr>
        <w:rPr>
          <w:noProof/>
        </w:rPr>
      </w:pPr>
      <w:r>
        <w:rPr>
          <w:noProof/>
        </w:rPr>
        <w:t xml:space="preserve">Säkerhetsnormerna för fartyg förbättras ständigt, och regelbundna uppdateringar med utgångspunkt i erfarenheter och vetenskapliga framsteg bidrar till en effektiv EU-lagstiftning om säkerheten på passagerarfartyg. Regelbunden översyn garanterar också att säkerhetsnormerna tillämpas på samma sätt och fortsätter att stå i proportion till risknivån. </w:t>
      </w:r>
    </w:p>
    <w:p>
      <w:pPr>
        <w:rPr>
          <w:noProof/>
        </w:rPr>
      </w:pPr>
      <w:r>
        <w:rPr>
          <w:noProof/>
        </w:rPr>
        <w:t xml:space="preserve">Effektiviteten hos EU:s lagstiftning om säkerheten på passagerarfartyg har hämmats av lagstiftningens komplexa karaktär och oklarheter när det gäller tillämpningen (framför allt vilka fartyg som ingår i tillämpningsområdet), föråldrade rapporteringskrav (som inte medger utnyttjande av dagens digitala övervaknings- och informationssystem), otydlig utformning av tekniska säkerhetsnormer och långsamma och krångliga förfaranden för uppdatering och undantag. Detta har lett till brister och onödigt krångel i samband med övervakningen och tillämpningen av säkerhetsnormerna och kontrollen av efterlevnaden. </w:t>
      </w:r>
    </w:p>
    <w:p>
      <w:pPr>
        <w:rPr>
          <w:noProof/>
        </w:rPr>
      </w:pPr>
      <w:r>
        <w:rPr>
          <w:noProof/>
        </w:rPr>
        <w:t xml:space="preserve">Passagerarnas medvetenhet om EU:s lagstiftning om säkerheten på passagerarfartyg och fördelarna med den är dessutom fortfarande lägre än förväntat. Detta kan hänga samman med den relativt låga organisationsgraden bland sjöfartspassagerare. </w:t>
      </w:r>
    </w:p>
    <w:p>
      <w:pPr>
        <w:rPr>
          <w:noProof/>
        </w:rPr>
      </w:pPr>
    </w:p>
    <w:p>
      <w:pPr>
        <w:pStyle w:val="ManualNumPar2"/>
        <w:rPr>
          <w:noProof/>
        </w:rPr>
      </w:pPr>
      <w:r>
        <w:t>2.3.</w:t>
      </w:r>
      <w:r>
        <w:tab/>
      </w:r>
      <w:r>
        <w:rPr>
          <w:noProof/>
        </w:rPr>
        <w:t xml:space="preserve">Har riskerna hanterats på ett effektivt och proportionerligt sätt? </w:t>
      </w:r>
    </w:p>
    <w:p>
      <w:pPr>
        <w:rPr>
          <w:noProof/>
        </w:rPr>
      </w:pPr>
      <w:r>
        <w:rPr>
          <w:noProof/>
        </w:rPr>
        <w:t xml:space="preserve">Såsom framgår av olycksstatistiken har den gällande lagstiftningen resulterat i en hög nivå för passagerarsäkerheten. Regleringskostnaden i anslutning till EU:s säkerhetsnormer har inte visat sig vara särskilt hög i jämförelse med kostnaden för nationella normer som i annat fall skulle ha behövts. De uppskattade skillnaderna i regleringskostnader utgör bara en bråkdel av de totala kostnaderna för konstruktion, drift och underhåll. </w:t>
      </w:r>
    </w:p>
    <w:p>
      <w:pPr>
        <w:rPr>
          <w:noProof/>
        </w:rPr>
      </w:pPr>
      <w:r>
        <w:rPr>
          <w:noProof/>
        </w:rPr>
        <w:t>De sammanlagda merkostnaderna för den kvantifierbara delen av brandbekämpningsåtgärder, livräddningsredskap och första besiktningar kan vara så låga som 100 000 euro för ett större fartyg, medan konstruktionskostnaderna mäts i tiotals eller hundratals miljoner euro. I relativa termer gäller detsamma för mindre fartyg.</w:t>
      </w:r>
    </w:p>
    <w:p>
      <w:pPr>
        <w:rPr>
          <w:noProof/>
        </w:rPr>
      </w:pPr>
      <w:r>
        <w:rPr>
          <w:noProof/>
        </w:rPr>
        <w:t>Skillnaden i kostnader för att uppdatera säkerhetsnormer på nationell nivå jämfört med på EU-nivå är också anmärkningsvärd. En uppdatering av nationell lagstiftning, om den görs individuellt av varje berörd medlemsstat, skulle medföra en sammanlagd kostnad för nationella förvaltningar på 150 000–200 000 euro. Det är omkring tio gånger mer än i dag, när normerna uppdateras på EU-nivå.</w:t>
      </w:r>
    </w:p>
    <w:p>
      <w:pPr>
        <w:rPr>
          <w:noProof/>
        </w:rPr>
      </w:pPr>
      <w:r>
        <w:rPr>
          <w:noProof/>
        </w:rPr>
        <w:t>Å andra sidan gör överlappning och bristande konsekvens mellan de olika inspektionssystem som gäller för ro-ro-passagerarfartyg i EU (dvs. inspektioner av ro-pax-fartyg, flaggstatsbesiktningar och hamnstatskontroll) att nationella förvaltningar förhindras att optimera sina inspektionsinsatser. Inte heller kan den tid under vilken fartyget utnyttjas kommersiellt maximeras. Om de olika typerna av inspektioner kombinerades i möjligaste mån skulle 770 självständiga ro-pax-inspektioner kunna dras in varje år i hela EU (med samma rutter/fartyg som i dag).</w:t>
      </w:r>
    </w:p>
    <w:p>
      <w:pPr>
        <w:rPr>
          <w:noProof/>
        </w:rPr>
      </w:pPr>
      <w:r>
        <w:rPr>
          <w:noProof/>
        </w:rPr>
        <w:t>Godkännandet av system för registrering av passagerare har medfört en betydande arbetsbörda för vissa nationella förvaltningar (t.ex. 4 250 arbetstimmar i Grekland jämfört med 100 arbetstimmar i Italien) och visat sig mycket betungande. Arbetsbördan och de motsvarande kostnaderna har bedömts som alltför stora.</w:t>
      </w:r>
    </w:p>
    <w:p>
      <w:pPr>
        <w:rPr>
          <w:noProof/>
        </w:rPr>
      </w:pPr>
      <w:r>
        <w:rPr>
          <w:noProof/>
        </w:rPr>
        <w:t>Slutligen utgör systemets komplexitet och överlappande krav i olika rättsakter ett stort irritationsmoment och en kostnadsfaktor för samtliga aktörer.</w:t>
      </w:r>
    </w:p>
    <w:p>
      <w:pPr>
        <w:rPr>
          <w:noProof/>
        </w:rPr>
      </w:pPr>
    </w:p>
    <w:p>
      <w:pPr>
        <w:pStyle w:val="ManualNumPar2"/>
        <w:rPr>
          <w:noProof/>
        </w:rPr>
      </w:pPr>
      <w:r>
        <w:t>2.4.</w:t>
      </w:r>
      <w:r>
        <w:tab/>
      </w:r>
      <w:r>
        <w:rPr>
          <w:noProof/>
        </w:rPr>
        <w:t>Har subsidiaritetsprincipen följts, dvs. kan målen nås bättre av medlemsstaterna på egen hand?</w:t>
      </w:r>
    </w:p>
    <w:p>
      <w:pPr>
        <w:rPr>
          <w:noProof/>
        </w:rPr>
      </w:pPr>
      <w:r>
        <w:rPr>
          <w:noProof/>
        </w:rPr>
        <w:t xml:space="preserve">Generellt sett är EU:s lagstiftning om säkerheten på passagerarfartyg förenlig med subsidiaritetsprincipen. Det har dock visats att de gällande säkerhetsnormerna för mindre stålfartyg med en längd under 24 m måste bedömas ytterligare mot bakgrund av de säkerhets- och inremarknadsmål identifierats. Med tanke på att mindre fartyg främst byggs av andra material än stål omfattas den stora majoriteten av denna flotta för närvarande inte av EU:s harmoniserade säkerhetsnormer (96 %). Det betyder att de flesta fartyg under 24 m redan är certifierade enligt nationell lagstiftning. </w:t>
      </w:r>
    </w:p>
    <w:p>
      <w:pPr>
        <w:rPr>
          <w:noProof/>
        </w:rPr>
      </w:pPr>
      <w:r>
        <w:rPr>
          <w:noProof/>
        </w:rPr>
        <w:t xml:space="preserve">De olyckor som registrerats när det gäller mindre fartyg som inte omfattas av EU-normerna utgör inte något specifikt säkerhetsproblem (fem olyckor de senaste fyra åren, samtliga arbetsplatsolyckor). Dessutom förekommer praktiskt taget inga flaggbyten mellan medlemsstater, inte heller för de fartyg som omfattas av EU-normerna. </w:t>
      </w:r>
    </w:p>
    <w:p>
      <w:pPr>
        <w:rPr>
          <w:noProof/>
        </w:rPr>
      </w:pPr>
      <w:r>
        <w:rPr>
          <w:noProof/>
        </w:rPr>
        <w:t>Det stora och skiftande utbud av tjänster som dessa fartyg är byggda för (t.ex. daglig trafik eller nattrafik, dagskryssningar för turister, anlöpning av hamnar med särskilda begränsningar eller särskild infrastruktur) ger upphov till en mängd olika konstruktioner och tekniska lösningar. Det är således oerhört svårt att komma fram till en gemensam uppsättning detaljerade regler som går att tillämpa på en sådan mångfald tjänster för mindre fartyg. Medlemsstaterna bör därför vara bättre lämpade att bedöma hur känsliga dessa fartyg är för de lokala trafikförhållandena, som varierar stort runtom i EU. Å andra sidan har en del varv</w:t>
      </w:r>
      <w:r>
        <w:rPr>
          <w:rStyle w:val="FootnoteReference"/>
          <w:noProof/>
        </w:rPr>
        <w:footnoteReference w:id="16"/>
      </w:r>
      <w:r>
        <w:rPr>
          <w:noProof/>
        </w:rPr>
        <w:t xml:space="preserve"> påpekat att fastställande av EU-normer för alla mindre fartyg (dvs. oavsett vilket material de är byggda av) skulle göra det möjligt för dem att enkelt och snabbt sälja sina produkter i samtliga medlemsstater. </w:t>
      </w:r>
    </w:p>
    <w:p>
      <w:pPr>
        <w:rPr>
          <w:noProof/>
        </w:rPr>
      </w:pPr>
    </w:p>
    <w:p>
      <w:pPr>
        <w:pStyle w:val="ManualNumPar2"/>
        <w:rPr>
          <w:noProof/>
        </w:rPr>
      </w:pPr>
      <w:r>
        <w:t>2.5.</w:t>
      </w:r>
      <w:r>
        <w:tab/>
      </w:r>
      <w:r>
        <w:rPr>
          <w:noProof/>
        </w:rPr>
        <w:t>Skulle internationella säkerhetsnormer ha varit effektivare eller mer ändamålsenliga än de gällande EU-normerna?</w:t>
      </w:r>
    </w:p>
    <w:p>
      <w:pPr>
        <w:rPr>
          <w:i/>
          <w:noProof/>
        </w:rPr>
      </w:pPr>
      <w:r>
        <w:rPr>
          <w:noProof/>
        </w:rPr>
        <w:t>När det gäller inrikes trafik är det osannolikt att internationella normer skulle vara effektivare eller mer ändamålsenliga än de gällande EU-normerna. Internationella IMO-normer är inte tillämpliga.  I avsaknad av EU-normer skulle medlemsstaterna vara tvungna att antingen utarbeta sin egen lagstiftning eller anta internationella regler, som dock inte är helt och hållet lämpliga för inrikes trafik och skulle behöva anpassas. Detta skulle också kräva regelbundna uppdateringar med hänsyn till ny utveckling i fråga om fartygsbyggnadsteknik.</w:t>
      </w:r>
      <w:r>
        <w:rPr>
          <w:rStyle w:val="FootnoteReference"/>
          <w:noProof/>
        </w:rPr>
        <w:footnoteReference w:id="17"/>
      </w:r>
      <w:r>
        <w:rPr>
          <w:noProof/>
        </w:rPr>
        <w:t xml:space="preserve"> Det skulle under alla omständigheter varken resultera i någon gemensam säkerhetsnivå eller underlätta upprättandet av en inre marknad. EU-normerna innehåller dessutom bestämmelser om tillträde för personer med nedsatt rörlighet, något som rekommenderas men inte är obligatoriskt i internationella normer.</w:t>
      </w:r>
    </w:p>
    <w:p>
      <w:pPr>
        <w:rPr>
          <w:noProof/>
        </w:rPr>
      </w:pPr>
      <w:r>
        <w:rPr>
          <w:noProof/>
        </w:rPr>
        <w:t>När det gäller internationell trafik är situationen en annan. Att helt och hållet förlita sig på de relevanta internationella normerna skulle vara effektivare och mer ändamålsenligt, förutsatt att de garanterar en tillräcklig säkerhetsnivå. Detta behöver dock inte alltid vara fallet. Striktare krav för exempelvis skadestabilitet för ro-ro-passagerarfartyg som går till eller från hamnar i EU</w:t>
      </w:r>
      <w:r>
        <w:rPr>
          <w:noProof/>
          <w:vertAlign w:val="superscript"/>
        </w:rPr>
        <w:footnoteReference w:id="18"/>
      </w:r>
      <w:r>
        <w:rPr>
          <w:noProof/>
        </w:rPr>
        <w:t xml:space="preserve"> ses därför som den bästa lösningen. Detta ger i dag en tillräcklig säkerhetsnivå för fartyg av denna typ, som är vanliga i EU. </w:t>
      </w:r>
    </w:p>
    <w:p>
      <w:pPr>
        <w:rPr>
          <w:noProof/>
        </w:rPr>
      </w:pPr>
      <w:r>
        <w:rPr>
          <w:noProof/>
        </w:rPr>
        <w:t>I avsaknad av en internationell mekanism för efterlevnadskontroll är slutligen EU:s befintliga inspektionssystem för passagerarfartyg i både inrikes och internationell trafik fortfarande en förutsättning för att en hög säkerhetsnivå för människoliv på passagerarfartyg ska kunna upprätthållas och undermålig sjöfart undanröjas.</w:t>
      </w:r>
      <w:r>
        <w:rPr>
          <w:noProof/>
        </w:rPr>
        <w:tab/>
      </w:r>
    </w:p>
    <w:p>
      <w:pPr>
        <w:rPr>
          <w:noProof/>
        </w:rPr>
      </w:pPr>
      <w:r>
        <w:rPr>
          <w:noProof/>
        </w:rPr>
        <w:t xml:space="preserve"> </w:t>
      </w:r>
    </w:p>
    <w:p>
      <w:pPr>
        <w:pStyle w:val="ManualNumPar1"/>
        <w:rPr>
          <w:noProof/>
        </w:rPr>
      </w:pPr>
      <w:r>
        <w:t>3.</w:t>
      </w:r>
      <w:r>
        <w:tab/>
      </w:r>
      <w:r>
        <w:rPr>
          <w:noProof/>
        </w:rPr>
        <w:t>Resultat av kontrollen av ändamålsenligheten</w:t>
      </w:r>
    </w:p>
    <w:p>
      <w:pPr>
        <w:rPr>
          <w:noProof/>
        </w:rPr>
      </w:pPr>
      <w:r>
        <w:rPr>
          <w:noProof/>
        </w:rPr>
        <w:t>Denna kontroll av ändamålsenligheten visade att de centrala målen för EU:s lagstiftning om säkerheten på passagerarfartyg när det gäller passagerarsäkerhet och inre marknad fortfarande är i hög grad relevanta. Den visade emellertid också att dessa mål i vissa fall kan nås på ett enklare och tydligare sätt.</w:t>
      </w:r>
    </w:p>
    <w:p>
      <w:pPr>
        <w:rPr>
          <w:noProof/>
        </w:rPr>
      </w:pPr>
      <w:r>
        <w:rPr>
          <w:noProof/>
        </w:rPr>
        <w:t>Möjligheter att förenkla, förtydliga och upphäva ett antal oklara, föråldrade eller överlappande krav har identifierats på vissa områden:</w:t>
      </w:r>
    </w:p>
    <w:p>
      <w:pPr>
        <w:pStyle w:val="Bullet0"/>
        <w:rPr>
          <w:noProof/>
        </w:rPr>
      </w:pPr>
      <w:r>
        <w:rPr>
          <w:b/>
          <w:noProof/>
        </w:rPr>
        <w:t>Komplexitet och administrativ börda:</w:t>
      </w:r>
      <w:r>
        <w:rPr>
          <w:noProof/>
        </w:rPr>
        <w:t xml:space="preserve"> Det har konstaterats att obligatoriska besiktningar för säker drift av ro-ro-fartyg i reguljär trafik i stor utsträckning överlappar andra typer av besiktningar och inspektioner (framför allt flaggstatsbesiktningar och hamnstatskontrollinspektioner). Medlemsstaterna har genomfört dessa krav på ett pragmatiskt sätt, vilket betyder att den gällande rättsliga ramen inte längre återspeglar de rådande förhållandena. Komplexiteten i EU:s lagstiftning om säkerheten på passagerarfartyg förvärras av det föråldrade formatet för säkerhetsnormerna för passagerarfartyg i inrikes trafik</w:t>
      </w:r>
      <w:r>
        <w:rPr>
          <w:noProof/>
          <w:vertAlign w:val="superscript"/>
        </w:rPr>
        <w:footnoteReference w:id="19"/>
      </w:r>
      <w:r>
        <w:rPr>
          <w:noProof/>
        </w:rPr>
        <w:t xml:space="preserve">, som med tiden har blivit oerhört svåra att jämföra med gällande internationella krav. </w:t>
      </w:r>
    </w:p>
    <w:p>
      <w:pPr>
        <w:pStyle w:val="Bullet0"/>
        <w:rPr>
          <w:noProof/>
        </w:rPr>
      </w:pPr>
      <w:r>
        <w:rPr>
          <w:b/>
          <w:noProof/>
        </w:rPr>
        <w:t>Oklarhet och bristande öppenhet:</w:t>
      </w:r>
      <w:r>
        <w:rPr>
          <w:noProof/>
        </w:rPr>
        <w:t xml:space="preserve"> Kontrollen av ändamålsenligheten visade att ett antal bestämmelser, definitioner och krav är så oklara att de i vissa fall kan hindra ett effektivt genomförande av lagstiftningen. Det gäller i synnerhet de harmoniserade EU-normernas omfattning och tillämpning, t.ex. vilken typ av fartyg som omfattas eller inspektionernas regelbundenhet. </w:t>
      </w:r>
    </w:p>
    <w:p>
      <w:pPr>
        <w:pStyle w:val="Bullet0"/>
        <w:rPr>
          <w:noProof/>
        </w:rPr>
      </w:pPr>
      <w:r>
        <w:rPr>
          <w:b/>
          <w:noProof/>
        </w:rPr>
        <w:t xml:space="preserve">Oproportionerliga krav: </w:t>
      </w:r>
      <w:r>
        <w:rPr>
          <w:noProof/>
        </w:rPr>
        <w:t>Mindre fartyg definieras som fartyg med en längd under 24 m. Denna definition anses lämpligast när det gäller att fastställa gemensamt tillämpliga tekniska säkerhetsnormer. Eftersom mindre fartyg är känsligare för lokala trafikförhållanden bör medlemsstaterna vara bättre lämpade att bedöma de konkreta riskerna och fastställa lämpliga säkerhetsnormer. Till skillnad från större fartyg framförs mindre fartyg ofta i samma medlemsstat under hela sin livstid, och de överförs bara i begränsad omfattning mellan medlemsstater. De bindande EU-normer som endast gäller mindre stålfartyg (dvs. omkring 70 av 1 950 mindre fartyg) har bedömts som oproportionerliga och ger inte ett tillräckligt EU-mervärde för att bibehållas. En del intressenter har dock nämnt möjligheten att utarbeta riktlinjer eller en kodex för alla mindre fartyg, för att underlätta tillträde till den större EU-marknaden för tillverkare i EU.</w:t>
      </w:r>
    </w:p>
    <w:p>
      <w:pPr>
        <w:rPr>
          <w:noProof/>
        </w:rPr>
      </w:pPr>
      <w:r>
        <w:rPr>
          <w:noProof/>
        </w:rPr>
        <w:t>Vid kontrollen av ändamålsenligheten identifierades också, vid sidan av den möjlighet till förenkling som konstaterats, ett antal frågor som i onödan minskar effektiviteten vid sjöräddningsinsatser:</w:t>
      </w:r>
    </w:p>
    <w:p>
      <w:pPr>
        <w:pStyle w:val="Bullet0"/>
        <w:rPr>
          <w:noProof/>
        </w:rPr>
      </w:pPr>
      <w:r>
        <w:rPr>
          <w:b/>
          <w:noProof/>
        </w:rPr>
        <w:t>Föråldrat stöd för sjöräddningsinsatser:</w:t>
      </w:r>
      <w:r>
        <w:rPr>
          <w:noProof/>
        </w:rPr>
        <w:t xml:space="preserve"> Erfarenheten har visat att en effektiv sjöräddningsinsats kräver omedelbar tillgång till tillförlitliga uppgifter om personerna ombord, men detta är inte alltid möjligt. Enligt gällande krav ska dessa uppgifter lagras i företagets system och alltid finnas lätt tillgängliga för vidarebefordran till den behöriga myndighet som ansvarar för sjöräddning. Detta krav, som daterar sig till 1998, bortser från utvecklingen av system som SafeSeaNet</w:t>
      </w:r>
      <w:r>
        <w:rPr>
          <w:noProof/>
          <w:vertAlign w:val="superscript"/>
        </w:rPr>
        <w:footnoteReference w:id="20"/>
      </w:r>
      <w:r>
        <w:rPr>
          <w:noProof/>
        </w:rPr>
        <w:t xml:space="preserve"> och den enda nationell kontaktpunkten</w:t>
      </w:r>
      <w:r>
        <w:rPr>
          <w:noProof/>
          <w:vertAlign w:val="superscript"/>
        </w:rPr>
        <w:footnoteReference w:id="21"/>
      </w:r>
      <w:r>
        <w:rPr>
          <w:noProof/>
        </w:rPr>
        <w:t xml:space="preserve"> och kräver att den nationella behöriga myndigheten kontaktar rederiet i en nödsituation. De registrerade uppgifterna inkluderar dessutom inte alltid information om nationalitet (utöver namn, ålder och kön), vilket gör hjälpen till offer och deras anhöriga onödigt betungande. Operatörer som redan vidarebefordrar sådana uppgifter till SafeSeaNet eller den enda nationella kontaktpunkten ställs inför dubbla rapporteringskrav. </w:t>
      </w:r>
    </w:p>
    <w:p>
      <w:pPr>
        <w:rPr>
          <w:noProof/>
        </w:rPr>
      </w:pPr>
      <w:r>
        <w:rPr>
          <w:noProof/>
        </w:rPr>
        <w:t xml:space="preserve">Slutligen identifierades vid kontrollen av ändamålsenligheten ett antal andra väsentliga frågor med koppling till de befintliga säkerhetsnormernas lämplighet och proportionalitet: </w:t>
      </w:r>
    </w:p>
    <w:p>
      <w:pPr>
        <w:pStyle w:val="Bullet0"/>
        <w:rPr>
          <w:b/>
          <w:noProof/>
        </w:rPr>
      </w:pPr>
      <w:r>
        <w:rPr>
          <w:b/>
          <w:noProof/>
        </w:rPr>
        <w:t xml:space="preserve">Säkerhetsrelaterade frågor som kräver ytterligare bedömning: </w:t>
      </w:r>
      <w:r>
        <w:rPr>
          <w:noProof/>
        </w:rPr>
        <w:t>Dessa frågor kommer att kräva ytterligare bedömning och samråd med experter. Det rör sig om olikheterna i fråga om säkerhetsnormer mellan de olika fartygsklasserna och de motsvarande fartområdena, den vidare tillämpningen av inspektionssystemet för ro-pax-fartyg och möjligheten att utarbeta harmoniserade standarder för fartyg byggda av annat material än stål eller likvärdiga material, som före närvarande inte omfattas av EU:s regelverk.</w:t>
      </w:r>
    </w:p>
    <w:p>
      <w:pPr>
        <w:pStyle w:val="Bullet0"/>
        <w:numPr>
          <w:ilvl w:val="0"/>
          <w:numId w:val="0"/>
        </w:numPr>
        <w:ind w:left="850"/>
        <w:rPr>
          <w:noProof/>
        </w:rPr>
      </w:pPr>
      <w:r>
        <w:rPr>
          <w:noProof/>
        </w:rPr>
        <w:t>Väsentligt är att vissa av dessa frågor kanske helst bör tas upp på internationell nivå först, innan ytterligare åtgärder på EU-nivå kan övervägas. Detta gäller i synnerhet översynen av de tillämpliga skadestabilitetskraven.</w:t>
      </w:r>
    </w:p>
    <w:p>
      <w:pPr>
        <w:rPr>
          <w:b/>
          <w:noProof/>
        </w:rPr>
      </w:pPr>
    </w:p>
    <w:p>
      <w:pPr>
        <w:pStyle w:val="ManualNumPar1"/>
        <w:rPr>
          <w:noProof/>
        </w:rPr>
      </w:pPr>
      <w:r>
        <w:t>4.</w:t>
      </w:r>
      <w:r>
        <w:tab/>
      </w:r>
      <w:r>
        <w:rPr>
          <w:noProof/>
        </w:rPr>
        <w:t xml:space="preserve">Uppföljningsåtgärder </w:t>
      </w:r>
    </w:p>
    <w:p>
      <w:pPr>
        <w:rPr>
          <w:noProof/>
        </w:rPr>
      </w:pPr>
    </w:p>
    <w:p>
      <w:pPr>
        <w:pStyle w:val="ManualNumPar2"/>
        <w:rPr>
          <w:noProof/>
        </w:rPr>
      </w:pPr>
      <w:r>
        <w:t>4.1.</w:t>
      </w:r>
      <w:r>
        <w:tab/>
      </w:r>
      <w:r>
        <w:rPr>
          <w:noProof/>
        </w:rPr>
        <w:t>Steg 1</w:t>
      </w:r>
    </w:p>
    <w:p>
      <w:pPr>
        <w:rPr>
          <w:b/>
          <w:noProof/>
        </w:rPr>
      </w:pPr>
      <w:r>
        <w:rPr>
          <w:noProof/>
        </w:rPr>
        <w:t>Kommissionen kommer, med stöd av Emsa och i samarbete med medlemsstater och intressenter, att överväga att föreslå ett förenklat regelverk för säkerheten på passagerarfartyg i EU och kommer att förespråka en uppgradering av skadestabilitetsnormerna på internationell nivå.</w:t>
      </w:r>
    </w:p>
    <w:p>
      <w:pPr>
        <w:rPr>
          <w:noProof/>
        </w:rPr>
      </w:pPr>
      <w:r>
        <w:rPr>
          <w:b/>
          <w:noProof/>
        </w:rPr>
        <w:t xml:space="preserve">Förenkling av EU:s regelverk för säkerheten på passagerarfartyg: </w:t>
      </w:r>
      <w:r>
        <w:rPr>
          <w:noProof/>
        </w:rPr>
        <w:t>Utan att ändra sina politiska målsättningar eller de centrala genomförandemekanismerna överväger kommissionen förslag med sikte på att avskaffa de föråldrade, oklara eller överlappande krav som identifierats vid denna kontroll av ändamålsenligheten, framför allt genom att</w:t>
      </w:r>
    </w:p>
    <w:p>
      <w:pPr>
        <w:pStyle w:val="Bullet0"/>
        <w:rPr>
          <w:noProof/>
        </w:rPr>
      </w:pPr>
      <w:r>
        <w:rPr>
          <w:noProof/>
        </w:rPr>
        <w:t>åtgärda överlappningen mellan de särskilda besiktningarna enligt direktiv 1999/35/EG, de utökade hamnstatskontrollinspektionerna och de årliga flaggstatsbesiktningarna,</w:t>
      </w:r>
    </w:p>
    <w:p>
      <w:pPr>
        <w:pStyle w:val="Bullet0"/>
        <w:rPr>
          <w:noProof/>
        </w:rPr>
      </w:pPr>
      <w:r>
        <w:rPr>
          <w:noProof/>
        </w:rPr>
        <w:t>i anslutning till direktiv 2009/45/EG klargöra att a) aluminium är ett material som är likvärdigt med stål (i samband med förtydliganden av motsvarande brandisoleringskrav) och b) offshore-servicefartyg och traditionella fartyg inte omfattas av direktivets tillämpningsområde,</w:t>
      </w:r>
    </w:p>
    <w:p>
      <w:pPr>
        <w:pStyle w:val="Bullet0"/>
        <w:rPr>
          <w:noProof/>
        </w:rPr>
      </w:pPr>
      <w:r>
        <w:rPr>
          <w:noProof/>
        </w:rPr>
        <w:t xml:space="preserve">klargöra definitionerna i anslutning till krav på registrering av passagerare enligt direktiv 98/41/EG, t.ex. resans längd, </w:t>
      </w:r>
    </w:p>
    <w:p>
      <w:pPr>
        <w:pStyle w:val="Bullet0"/>
        <w:rPr>
          <w:noProof/>
        </w:rPr>
      </w:pPr>
      <w:r>
        <w:rPr>
          <w:noProof/>
        </w:rPr>
        <w:t xml:space="preserve">förenkla definitionen av fartområden i direktiv 2009/45/EG, </w:t>
      </w:r>
    </w:p>
    <w:p>
      <w:pPr>
        <w:pStyle w:val="Bullet0"/>
        <w:rPr>
          <w:noProof/>
        </w:rPr>
      </w:pPr>
      <w:r>
        <w:rPr>
          <w:noProof/>
        </w:rPr>
        <w:t>förenkla bilagan till 2009/45/EG för att öka läsbarheten.</w:t>
      </w:r>
    </w:p>
    <w:p>
      <w:pPr>
        <w:rPr>
          <w:noProof/>
        </w:rPr>
      </w:pPr>
      <w:r>
        <w:rPr>
          <w:noProof/>
        </w:rPr>
        <w:t>Kommissionen kommer också att överväga förslag om att avskaffa de oproportionerliga kraven, framför allt genom att</w:t>
      </w:r>
    </w:p>
    <w:p>
      <w:pPr>
        <w:pStyle w:val="Bullet0"/>
        <w:rPr>
          <w:noProof/>
        </w:rPr>
      </w:pPr>
      <w:r>
        <w:rPr>
          <w:noProof/>
        </w:rPr>
        <w:t>undanta passagerarfartyg byggda av stål eller likvärdigt material med en längd under 24 m från tillämpningsområdet för direktiv 2009/45/EG,</w:t>
      </w:r>
    </w:p>
    <w:p>
      <w:pPr>
        <w:pStyle w:val="Bullet0"/>
        <w:rPr>
          <w:noProof/>
        </w:rPr>
      </w:pPr>
      <w:r>
        <w:rPr>
          <w:noProof/>
        </w:rPr>
        <w:t>avskaffa det nuvarande kravet på formellt godkännande av systemet för registrering av passagerare enligt direktiv 98/41/EG och i stället fokusera på att systemet fungerar som det ska.</w:t>
      </w:r>
    </w:p>
    <w:p>
      <w:pPr>
        <w:rPr>
          <w:noProof/>
        </w:rPr>
      </w:pPr>
      <w:r>
        <w:rPr>
          <w:noProof/>
        </w:rPr>
        <w:t>För att avskaffa dubbla rapporteringskrav och förbättra effektiviteten vid sjöräddningsinsatser kommer kommissionen att överväga bestämmelser om att</w:t>
      </w:r>
    </w:p>
    <w:p>
      <w:pPr>
        <w:pStyle w:val="Bullet0"/>
        <w:rPr>
          <w:noProof/>
        </w:rPr>
      </w:pPr>
      <w:r>
        <w:rPr>
          <w:noProof/>
        </w:rPr>
        <w:t xml:space="preserve">uppgifter om personerna ombord ska registreras i ett befintligt elektroniskt system som vid en nödsituation eller en olycka gör det möjligt att omedelbart vidarebefordra uppgifter till den behöriga myndigheten, </w:t>
      </w:r>
    </w:p>
    <w:p>
      <w:pPr>
        <w:pStyle w:val="Bullet0"/>
        <w:rPr>
          <w:noProof/>
        </w:rPr>
      </w:pPr>
      <w:r>
        <w:rPr>
          <w:noProof/>
        </w:rPr>
        <w:t>passagerarnas nationalitet ska registreras och vidarebefordras till den behöriga myndigheten med tillämpning av samma metoder och kriterier som de som gäller för registrering och vidarebefordran av den information som redan krävs om personerna ombord.</w:t>
      </w:r>
    </w:p>
    <w:p>
      <w:pPr>
        <w:rPr>
          <w:noProof/>
        </w:rPr>
      </w:pPr>
      <w:r>
        <w:rPr>
          <w:b/>
          <w:noProof/>
        </w:rPr>
        <w:t xml:space="preserve">Förespråka en uppgradering av internationella normer: </w:t>
      </w:r>
      <w:r>
        <w:rPr>
          <w:noProof/>
        </w:rPr>
        <w:t>På internationell nivå kommer kommissionen, med stöd av Emsa och i samarbete med medlemsstater och intressenter, att förespråka en uppgradering av de internationella skadestabilitetsnormerna för passagerarfartyg och överväga att föreslå följande för Internationella sjöfartsorganisationen:</w:t>
      </w:r>
    </w:p>
    <w:p>
      <w:pPr>
        <w:pStyle w:val="Bullet0"/>
        <w:rPr>
          <w:noProof/>
        </w:rPr>
      </w:pPr>
      <w:r>
        <w:rPr>
          <w:noProof/>
        </w:rPr>
        <w:t>Teknisk presentation vid mötet i expertgruppen för formell säkerhetsbedömning i november 2015.</w:t>
      </w:r>
    </w:p>
    <w:p>
      <w:pPr>
        <w:pStyle w:val="Bullet0"/>
        <w:rPr>
          <w:noProof/>
        </w:rPr>
      </w:pPr>
      <w:r>
        <w:rPr>
          <w:noProof/>
        </w:rPr>
        <w:t>EU-förslag till ny skadestabilitetsnorm (”R-index”) vid mötet i underkommittén för fartygs design och konstruktion i januari 2016, med sikte på att nå en överenskommelse om en striktare norm i sjösäkerhetskommittén 2016.</w:t>
      </w:r>
    </w:p>
    <w:p>
      <w:pPr>
        <w:rPr>
          <w:b/>
          <w:noProof/>
        </w:rPr>
      </w:pPr>
    </w:p>
    <w:p>
      <w:pPr>
        <w:pStyle w:val="ManualNumPar2"/>
        <w:rPr>
          <w:noProof/>
        </w:rPr>
      </w:pPr>
      <w:r>
        <w:t>4.2.</w:t>
      </w:r>
      <w:r>
        <w:tab/>
      </w:r>
      <w:r>
        <w:rPr>
          <w:noProof/>
        </w:rPr>
        <w:t>Steg 2</w:t>
      </w:r>
    </w:p>
    <w:p>
      <w:pPr>
        <w:rPr>
          <w:noProof/>
        </w:rPr>
      </w:pPr>
      <w:r>
        <w:rPr>
          <w:noProof/>
        </w:rPr>
        <w:t>Kommissionen kommer att göra en ytterligare bedömning av ett antal andra säkerhets- och inremarknadsfrågor. Man planerar framför allt att</w:t>
      </w:r>
    </w:p>
    <w:p>
      <w:pPr>
        <w:pStyle w:val="Bullet0"/>
        <w:rPr>
          <w:noProof/>
        </w:rPr>
      </w:pPr>
      <w:r>
        <w:rPr>
          <w:noProof/>
        </w:rPr>
        <w:t>se över om det är lämpligt med skillnader i säkerhetskraven mellan fartyg i klasserna C och D enligt direktiv 2009/45/EG och motsvarande fartområden,</w:t>
      </w:r>
    </w:p>
    <w:p>
      <w:pPr>
        <w:pStyle w:val="Bullet0"/>
        <w:rPr>
          <w:noProof/>
        </w:rPr>
      </w:pPr>
      <w:r>
        <w:rPr>
          <w:noProof/>
        </w:rPr>
        <w:t>förespråka särskilda besiktningar enligt direktiv 1999/35/EG av ro-pax-fartyg i klasserna B, C och D som går i reguljär trafik,</w:t>
      </w:r>
    </w:p>
    <w:p>
      <w:pPr>
        <w:pStyle w:val="Bullet0"/>
        <w:rPr>
          <w:noProof/>
        </w:rPr>
      </w:pPr>
      <w:r>
        <w:rPr>
          <w:noProof/>
        </w:rPr>
        <w:t>undersöka möjligheten att föreslå ändring eller upphävande av EU:s särskilda skadestabilitetskrav för ro-ro-passagerarfartyg</w:t>
      </w:r>
      <w:r>
        <w:rPr>
          <w:noProof/>
          <w:vertAlign w:val="superscript"/>
        </w:rPr>
        <w:footnoteReference w:id="22"/>
      </w:r>
      <w:r>
        <w:rPr>
          <w:noProof/>
        </w:rPr>
        <w:t xml:space="preserve">, på grundval av internationella normer om dessa har uppgraderats på ett för EU nöjaktigt sätt,  </w:t>
      </w:r>
    </w:p>
    <w:p>
      <w:pPr>
        <w:pStyle w:val="Bullet0"/>
        <w:rPr>
          <w:noProof/>
        </w:rPr>
      </w:pPr>
      <w:r>
        <w:rPr>
          <w:noProof/>
        </w:rPr>
        <w:t>överväga riktlinjer eller en kodex för mindre fartyg och fartyg byggda av annat material än stål eller likvärdiga material, med utgångspunkt i funktionella krav.</w:t>
      </w:r>
    </w:p>
    <w:p>
      <w:pPr>
        <w:rPr>
          <w:noProof/>
        </w:rPr>
      </w:pPr>
      <w:r>
        <w:rPr>
          <w:noProof/>
        </w:rPr>
        <w:t xml:space="preserve">Detta kommer att kräva bistånd, utbyte av bästa praxis och kontinuerlig övervakning av gällande lagstiftning. Kommissionen planerar därför att, tillsammans med Emsa, </w:t>
      </w:r>
    </w:p>
    <w:p>
      <w:pPr>
        <w:pStyle w:val="Bullet0"/>
        <w:rPr>
          <w:noProof/>
        </w:rPr>
      </w:pPr>
      <w:r>
        <w:rPr>
          <w:noProof/>
        </w:rPr>
        <w:t>inrätta en lämplig ram för åsiktsutbyte om säkerheten på passagerarfartyg i EU med nationella förvaltningar, branschintressenter och passagerarorganisationer.</w:t>
      </w:r>
    </w:p>
    <w:p>
      <w:pPr>
        <w:rPr>
          <w:noProof/>
        </w:rPr>
      </w:pPr>
      <w:r>
        <w:rPr>
          <w:noProof/>
        </w:rPr>
        <w:t>Slutligen planerar kommissionen att, med beaktande av den förenklingspotential som identifierats och med stöd av Emsa, öka kontrollen av att gällande krav fullgörs. Nationella förvaltningar uppmanas att delta i dessa insatser.</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38142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 xml:space="preserve"> </w:t>
      </w:r>
      <w:r>
        <w:tab/>
        <w:t>Europaparlamentets och rådets direktiv 2009/16/EG om hamnstatskontroll (EUT L 131, 28.5.2009, s. 57).</w:t>
      </w:r>
    </w:p>
  </w:footnote>
  <w:footnote w:id="3">
    <w:p>
      <w:pPr>
        <w:pStyle w:val="FootnoteText"/>
      </w:pPr>
      <w:r>
        <w:rPr>
          <w:rStyle w:val="FootnoteReference"/>
        </w:rPr>
        <w:footnoteRef/>
      </w:r>
      <w:r>
        <w:t xml:space="preserve"> </w:t>
      </w:r>
      <w:r>
        <w:tab/>
        <w:t>Europaparlamentets och rådets direktiv 2009/45/EG om säkerhetsbestämmelser och säkerhetsnormer för passagerarfartyg (EUT L 163, 25.6.2009, s. 1).</w:t>
      </w:r>
    </w:p>
  </w:footnote>
  <w:footnote w:id="4">
    <w:p>
      <w:pPr>
        <w:pStyle w:val="FootnoteText"/>
        <w:rPr>
          <w:lang w:val="cs-CZ"/>
        </w:rPr>
      </w:pPr>
      <w:r>
        <w:rPr>
          <w:rStyle w:val="FootnoteReference"/>
        </w:rPr>
        <w:footnoteRef/>
      </w:r>
      <w:r>
        <w:t xml:space="preserve"> </w:t>
      </w:r>
      <w:r>
        <w:tab/>
        <w:t>Denna konvention har antagits av Internationella sjöfartsorganisationen (IMO) och ratificerats av alla EU:s medlemsstater.</w:t>
      </w:r>
    </w:p>
  </w:footnote>
  <w:footnote w:id="5">
    <w:p>
      <w:pPr>
        <w:pStyle w:val="FootnoteText"/>
      </w:pPr>
      <w:r>
        <w:rPr>
          <w:rStyle w:val="FootnoteReference"/>
        </w:rPr>
        <w:footnoteRef/>
      </w:r>
      <w:r>
        <w:t xml:space="preserve"> </w:t>
      </w:r>
      <w:r>
        <w:tab/>
        <w:t>Ro-ro-fartyg är utformade för att frakta hjulförsedd last, t.ex. lastbilar, släpfordon och bilar som körs på och av fartyget på egna hjul eller med hjälp av en lastbärare med hjul. Om de utöver fordon medför mer än tolv passagerare kallas de ro-pax-fartyg.</w:t>
      </w:r>
    </w:p>
  </w:footnote>
  <w:footnote w:id="6">
    <w:p>
      <w:pPr>
        <w:pStyle w:val="FootnoteText"/>
      </w:pPr>
      <w:r>
        <w:rPr>
          <w:rStyle w:val="FootnoteReference"/>
        </w:rPr>
        <w:footnoteRef/>
      </w:r>
      <w:r>
        <w:t xml:space="preserve"> </w:t>
      </w:r>
      <w:r>
        <w:tab/>
        <w:t>Enligt definitionen i regel 1.3 i kapitel X i Solas.</w:t>
      </w:r>
    </w:p>
  </w:footnote>
  <w:footnote w:id="7">
    <w:p>
      <w:pPr>
        <w:pStyle w:val="FootnoteText"/>
      </w:pPr>
      <w:r>
        <w:rPr>
          <w:rStyle w:val="FootnoteReference"/>
        </w:rPr>
        <w:footnoteRef/>
      </w:r>
      <w:r>
        <w:t xml:space="preserve"> </w:t>
      </w:r>
      <w:r>
        <w:tab/>
        <w:t xml:space="preserve">För enkelhetens skull nedan kallade </w:t>
      </w:r>
      <w:r>
        <w:rPr>
          <w:i/>
        </w:rPr>
        <w:t>stålfartyg</w:t>
      </w:r>
      <w:r>
        <w:t>.</w:t>
      </w:r>
    </w:p>
  </w:footnote>
  <w:footnote w:id="8">
    <w:p>
      <w:pPr>
        <w:pStyle w:val="FootnoteText"/>
        <w:rPr>
          <w:lang w:val="cs-CZ"/>
        </w:rPr>
      </w:pPr>
      <w:r>
        <w:rPr>
          <w:rStyle w:val="FootnoteReference"/>
        </w:rPr>
        <w:footnoteRef/>
      </w:r>
      <w:r>
        <w:t xml:space="preserve"> </w:t>
      </w:r>
      <w:r>
        <w:tab/>
        <w:t>Passagerarfartyg klassificeras i fyra olika klasser beroende på de fartområden de kan trafikera med hänsyn till parametrar som avståndet till kusten. Fartyg i klass A har ingen begränsning när det gäller hur långt från kusten de kan gå, men för fartyg i klass D är avståndet begränsat till 3 nautiska mil (ca 5,6 km).</w:t>
      </w:r>
    </w:p>
  </w:footnote>
  <w:footnote w:id="9">
    <w:p>
      <w:pPr>
        <w:pStyle w:val="FootnoteText"/>
      </w:pPr>
      <w:r>
        <w:rPr>
          <w:rStyle w:val="FootnoteReference"/>
        </w:rPr>
        <w:footnoteRef/>
      </w:r>
      <w:r>
        <w:t xml:space="preserve"> </w:t>
      </w:r>
      <w:r>
        <w:tab/>
        <w:t>Europaparlamentets och rådets direktiv 2003/25/EG om särskilda stabilitetskrav för ro-ro-passagerarfartyg (L 123, 17.5.2003, s. 22).</w:t>
      </w:r>
    </w:p>
  </w:footnote>
  <w:footnote w:id="10">
    <w:p>
      <w:pPr>
        <w:pStyle w:val="FootnoteText"/>
      </w:pPr>
      <w:r>
        <w:rPr>
          <w:rStyle w:val="FootnoteReference"/>
        </w:rPr>
        <w:footnoteRef/>
      </w:r>
      <w:r>
        <w:t xml:space="preserve"> </w:t>
      </w:r>
      <w:r>
        <w:tab/>
        <w:t>Rådets direktiv 1999/35/EG om ett system med obligatoriska besiktningar för en säker drift av ro-ro-passagerarfartyg och höghastighetspassagerarfartyg i reguljär trafik (EUT L 138, 1.6.1999, s. 1).</w:t>
      </w:r>
    </w:p>
  </w:footnote>
  <w:footnote w:id="11">
    <w:p>
      <w:pPr>
        <w:pStyle w:val="FootnoteText"/>
      </w:pPr>
      <w:r>
        <w:rPr>
          <w:rStyle w:val="FootnoteReference"/>
        </w:rPr>
        <w:footnoteRef/>
      </w:r>
      <w:r>
        <w:t xml:space="preserve"> </w:t>
      </w:r>
      <w:r>
        <w:tab/>
        <w:t>Rådets direktiv 98/41/EG om registrering av personer som färdas ombord på passagerarfartyg som ankommer till eller avgår från hamnar i gemenskapens medlemsstater (EUT L 188, 2.7.1998, s. 35).</w:t>
      </w:r>
    </w:p>
  </w:footnote>
  <w:footnote w:id="12">
    <w:p>
      <w:pPr>
        <w:pStyle w:val="FootnoteText"/>
        <w:rPr>
          <w:lang w:val="cs-CZ"/>
        </w:rPr>
      </w:pPr>
      <w:r>
        <w:rPr>
          <w:rStyle w:val="FootnoteReference"/>
        </w:rPr>
        <w:footnoteRef/>
      </w:r>
      <w:r>
        <w:t xml:space="preserve"> </w:t>
      </w:r>
      <w:r>
        <w:tab/>
        <w:t>Enligt direktiv 2009/45/EG.</w:t>
      </w:r>
    </w:p>
  </w:footnote>
  <w:footnote w:id="13">
    <w:p>
      <w:pPr>
        <w:pStyle w:val="FootnoteText"/>
      </w:pPr>
      <w:r>
        <w:rPr>
          <w:rStyle w:val="FootnoteReference"/>
        </w:rPr>
        <w:footnoteRef/>
      </w:r>
      <w:r>
        <w:t xml:space="preserve"> </w:t>
      </w:r>
      <w:r>
        <w:tab/>
        <w:t>Det bör noteras att denna statistik inte inkluderar sådana uppmärksammade fall som (t.ex.) olyckorna med Costa Concordia (2012) eller Norman Atlantic (2014), eftersom det i de fallen rörde sig om fartyg i internationell trafik (som alltså inte omfattades av harmoniserade säkerhetskrav enligt direktiv 2009/45/EG, som endast gäller inrikes trafik).</w:t>
      </w:r>
    </w:p>
  </w:footnote>
  <w:footnote w:id="14">
    <w:p>
      <w:pPr>
        <w:pStyle w:val="FootnoteText"/>
      </w:pPr>
      <w:r>
        <w:rPr>
          <w:rStyle w:val="FootnoteReference"/>
        </w:rPr>
        <w:footnoteRef/>
      </w:r>
      <w:r>
        <w:t xml:space="preserve"> </w:t>
      </w:r>
      <w:r>
        <w:tab/>
        <w:t>Dvs. när direktiv 98/18/EG, som föregick direktiv 2009/45/EG, trädde i kraft.</w:t>
      </w:r>
    </w:p>
  </w:footnote>
  <w:footnote w:id="15">
    <w:p>
      <w:pPr>
        <w:pStyle w:val="FootnoteText"/>
      </w:pPr>
      <w:r>
        <w:rPr>
          <w:rStyle w:val="FootnoteReference"/>
        </w:rPr>
        <w:footnoteRef/>
      </w:r>
      <w:r>
        <w:t xml:space="preserve"> </w:t>
      </w:r>
      <w:r>
        <w:tab/>
        <w:t xml:space="preserve">Valet att bygga ett fartyg av stål eller något annat material avgörs alltså främst av det valda materialets pris och egenskaper. </w:t>
      </w:r>
    </w:p>
  </w:footnote>
  <w:footnote w:id="16">
    <w:p>
      <w:pPr>
        <w:pStyle w:val="FootnoteText"/>
      </w:pPr>
      <w:r>
        <w:rPr>
          <w:rStyle w:val="FootnoteReference"/>
        </w:rPr>
        <w:footnoteRef/>
      </w:r>
      <w:r>
        <w:t xml:space="preserve"> </w:t>
      </w:r>
      <w:r>
        <w:tab/>
        <w:t>Framför allt i Danmark och Portugal. Nationella experter i Kroatien och Sverige har gett uttryck för en liknande uppfattning.</w:t>
      </w:r>
    </w:p>
  </w:footnote>
  <w:footnote w:id="17">
    <w:p>
      <w:pPr>
        <w:pStyle w:val="FootnoteText"/>
      </w:pPr>
      <w:r>
        <w:rPr>
          <w:rStyle w:val="FootnoteReference"/>
        </w:rPr>
        <w:footnoteRef/>
      </w:r>
      <w:r>
        <w:t xml:space="preserve"> </w:t>
      </w:r>
      <w:r>
        <w:tab/>
        <w:t>Notera att den relevanta nationella lagstiftningen i vissa medlemsstater baseras på internationella normer som inte längre är i kraft.</w:t>
      </w:r>
    </w:p>
  </w:footnote>
  <w:footnote w:id="18">
    <w:p>
      <w:pPr>
        <w:pStyle w:val="FootnoteText"/>
      </w:pPr>
      <w:r>
        <w:rPr>
          <w:rStyle w:val="FootnoteReference"/>
        </w:rPr>
        <w:footnoteRef/>
      </w:r>
      <w:r>
        <w:t xml:space="preserve"> </w:t>
      </w:r>
      <w:r>
        <w:tab/>
        <w:t>Enligt definitionen i direktiv 2003/25/EG till följd av olyckan med Estonia i september 1994.</w:t>
      </w:r>
    </w:p>
  </w:footnote>
  <w:footnote w:id="19">
    <w:p>
      <w:pPr>
        <w:pStyle w:val="FootnoteText"/>
      </w:pPr>
      <w:r>
        <w:rPr>
          <w:rStyle w:val="FootnoteReference"/>
        </w:rPr>
        <w:footnoteRef/>
      </w:r>
      <w:r>
        <w:t xml:space="preserve"> </w:t>
      </w:r>
      <w:r>
        <w:tab/>
        <w:t>Bilagan till direktiv 2009/45/EG.</w:t>
      </w:r>
    </w:p>
  </w:footnote>
  <w:footnote w:id="20">
    <w:p>
      <w:pPr>
        <w:pStyle w:val="FootnoteText"/>
      </w:pPr>
      <w:r>
        <w:rPr>
          <w:rStyle w:val="FootnoteReference"/>
        </w:rPr>
        <w:footnoteRef/>
      </w:r>
      <w:r>
        <w:t xml:space="preserve"> </w:t>
      </w:r>
      <w:r>
        <w:tab/>
        <w:t>Europaparlamentets och rådets direktiv 2002/59/EG om inrättande av ett övervaknings- och informationssystem för sjötrafik i gemenskapen (EUT L 208, 5.8.2002, s. 10).</w:t>
      </w:r>
    </w:p>
  </w:footnote>
  <w:footnote w:id="21">
    <w:p>
      <w:pPr>
        <w:pStyle w:val="FootnoteText"/>
      </w:pPr>
      <w:r>
        <w:rPr>
          <w:rStyle w:val="FootnoteReference"/>
        </w:rPr>
        <w:footnoteRef/>
      </w:r>
      <w:r>
        <w:t xml:space="preserve"> </w:t>
      </w:r>
      <w:r>
        <w:tab/>
        <w:t>Europaparlamentets och rådets direktiv 2010/65/EU av den 20 oktober 2010 om rapporteringsformaliteter för fartyg som ankommer till och/eller avgår från hamnar i medlemsstaterna (EUT L 283, 29.10.2010, s. 1).</w:t>
      </w:r>
    </w:p>
  </w:footnote>
  <w:footnote w:id="22">
    <w:p>
      <w:pPr>
        <w:pStyle w:val="FootnoteText"/>
      </w:pPr>
      <w:r>
        <w:rPr>
          <w:rStyle w:val="FootnoteReference"/>
        </w:rPr>
        <w:footnoteRef/>
      </w:r>
      <w:r>
        <w:t xml:space="preserve"> </w:t>
      </w:r>
      <w:r>
        <w:tab/>
        <w:t>Enligt direktiv 2003/25/EG.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3FAAE4E0"/>
    <w:lvl w:ilvl="0">
      <w:start w:val="1"/>
      <w:numFmt w:val="decimal"/>
      <w:pStyle w:val="ListNumber3"/>
      <w:lvlText w:val="%1."/>
      <w:lvlJc w:val="left"/>
      <w:pPr>
        <w:tabs>
          <w:tab w:val="num" w:pos="926"/>
        </w:tabs>
        <w:ind w:left="926" w:hanging="360"/>
      </w:pPr>
    </w:lvl>
  </w:abstractNum>
  <w:abstractNum w:abstractNumId="1">
    <w:nsid w:val="16CC55B1"/>
    <w:multiLevelType w:val="hybridMultilevel"/>
    <w:tmpl w:val="6A2A4E1E"/>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
    <w:nsid w:val="1B3C78B8"/>
    <w:multiLevelType w:val="multilevel"/>
    <w:tmpl w:val="2ED4F4D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5">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
    <w:nsid w:val="6BCB2725"/>
    <w:multiLevelType w:val="hybridMultilevel"/>
    <w:tmpl w:val="92FC5768"/>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10"/>
  </w:num>
  <w:num w:numId="3">
    <w:abstractNumId w:val="11"/>
  </w:num>
  <w:num w:numId="4">
    <w:abstractNumId w:val="4"/>
  </w:num>
  <w:num w:numId="5">
    <w:abstractNumId w:val="9"/>
  </w:num>
  <w:num w:numId="6">
    <w:abstractNumId w:val="16"/>
  </w:num>
  <w:num w:numId="7">
    <w:abstractNumId w:val="13"/>
  </w:num>
  <w:num w:numId="8">
    <w:abstractNumId w:val="13"/>
  </w:num>
  <w:num w:numId="9">
    <w:abstractNumId w:val="13"/>
  </w:num>
  <w:num w:numId="10">
    <w:abstractNumId w:val="13"/>
  </w:num>
  <w:num w:numId="11">
    <w:abstractNumId w:val="3"/>
  </w:num>
  <w:num w:numId="12">
    <w:abstractNumId w:val="3"/>
  </w:num>
  <w:num w:numId="13">
    <w:abstractNumId w:val="3"/>
  </w:num>
  <w:num w:numId="14">
    <w:abstractNumId w:val="3"/>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12"/>
  </w:num>
  <w:num w:numId="25">
    <w:abstractNumId w:val="6"/>
  </w:num>
  <w:num w:numId="26">
    <w:abstractNumId w:val="14"/>
  </w:num>
  <w:num w:numId="27">
    <w:abstractNumId w:val="5"/>
  </w:num>
  <w:num w:numId="28">
    <w:abstractNumId w:val="7"/>
  </w:num>
  <w:num w:numId="29">
    <w:abstractNumId w:val="0"/>
  </w:num>
  <w:num w:numId="30">
    <w:abstractNumId w:val="15"/>
  </w:num>
  <w:num w:numId="31">
    <w:abstractNumId w:val="1"/>
  </w:num>
  <w:num w:numId="32">
    <w:abstractNumId w:val="3"/>
  </w:num>
  <w:num w:numId="33">
    <w:abstractNumId w:val="3"/>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D7B7CA96B409452E8E403E49B1C96501"/>
    <w:docVar w:name="LW_CROSSREFERENCE" w:val="{SWD(2015) 197 final}"/>
    <w:docVar w:name="LW_DocType" w:val="NORMAL"/>
    <w:docVar w:name="LW_EMISSION" w:val="16.10.2015"/>
    <w:docVar w:name="LW_EMISSION_ISODATE" w:val="2015-10-16"/>
    <w:docVar w:name="LW_EMISSION_LOCATION" w:val="BRX"/>
    <w:docVar w:name="LW_EMISSION_PREFIX" w:val="Bryssel den "/>
    <w:docVar w:name="LW_EMISSION_SUFFIX" w:val=" "/>
    <w:docVar w:name="LW_ID_DOCTYPE_NONLW" w:val="CP-006"/>
    <w:docVar w:name="LW_LANGUE" w:val="SV"/>
    <w:docVar w:name="LW_MARKING" w:val="&lt;UNUSED&g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5) 508"/>
    <w:docVar w:name="LW_REF.INTERNE" w:val="&lt;UNUSED&gt;"/>
    <w:docVar w:name="LW_SOUS.TITRE.OBJ.CP" w:val="&lt;UNUSED&gt;"/>
    <w:docVar w:name="LW_SUPERTITRE" w:val="&lt;UNUSED&gt;"/>
    <w:docVar w:name="LW_TITRE.OBJ.CP" w:val="Refit-programmet_x000b_Justera kursen: kontroll av ändamålsenligheten hos EU:s lagstiftning om säkerheten på passagerarfartyg"/>
    <w:docVar w:name="LW_TYPE.DOC.CP" w:val="RAPPORT FRÅN KOMMISSIONEN TILL EUROPAPARLAMENTET OCH RÅDE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pPr>
      <w:keepNext/>
      <w:numPr>
        <w:numId w:val="10"/>
      </w:numPr>
      <w:spacing w:before="360"/>
      <w:outlineLvl w:val="0"/>
    </w:pPr>
    <w:rPr>
      <w:rFonts w:eastAsiaTheme="majorEastAsia"/>
      <w:b/>
      <w:bCs/>
      <w:smallCaps/>
      <w:szCs w:val="28"/>
    </w:rPr>
  </w:style>
  <w:style w:type="paragraph" w:styleId="Heading2">
    <w:name w:val="heading 2"/>
    <w:basedOn w:val="Normal"/>
    <w:next w:val="Normal"/>
    <w:link w:val="Heading2Char"/>
    <w:uiPriority w:val="9"/>
    <w:semiHidden/>
    <w:unhideWhenUsed/>
    <w:qFormat/>
    <w:pPr>
      <w:keepNext/>
      <w:numPr>
        <w:ilvl w:val="1"/>
        <w:numId w:val="10"/>
      </w:numPr>
      <w:outlineLvl w:val="1"/>
    </w:pPr>
    <w:rPr>
      <w:rFonts w:eastAsiaTheme="majorEastAsia"/>
      <w:b/>
      <w:bCs/>
      <w:szCs w:val="26"/>
    </w:rPr>
  </w:style>
  <w:style w:type="paragraph" w:styleId="Heading3">
    <w:name w:val="heading 3"/>
    <w:basedOn w:val="Normal"/>
    <w:next w:val="Normal"/>
    <w:link w:val="Heading3Char"/>
    <w:uiPriority w:val="9"/>
    <w:semiHidden/>
    <w:unhideWhenUsed/>
    <w:qFormat/>
    <w:pPr>
      <w:keepNext/>
      <w:numPr>
        <w:ilvl w:val="2"/>
        <w:numId w:val="10"/>
      </w:numPr>
      <w:outlineLvl w:val="2"/>
    </w:pPr>
    <w:rPr>
      <w:rFonts w:eastAsiaTheme="majorEastAsia"/>
      <w:bCs/>
      <w:i/>
    </w:rPr>
  </w:style>
  <w:style w:type="paragraph" w:styleId="Heading4">
    <w:name w:val="heading 4"/>
    <w:basedOn w:val="Normal"/>
    <w:next w:val="Normal"/>
    <w:link w:val="Heading4Char"/>
    <w:uiPriority w:val="9"/>
    <w:semiHidden/>
    <w:unhideWhenUsed/>
    <w:qFormat/>
    <w:pPr>
      <w:keepNext/>
      <w:numPr>
        <w:ilvl w:val="3"/>
        <w:numId w:val="1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basedOn w:val="DefaultParagraphFont"/>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jc w:val="left"/>
    </w:pPr>
    <w:rPr>
      <w:i/>
      <w:sz w:val="32"/>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basedOn w:val="DefaultParagraphFont"/>
    <w:rPr>
      <w:strike/>
      <w:dstrike w:val="0"/>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aliases w:val="-E Fußnotenzeichen,Footnote symbol,Times 10 Point,Exposant 3 Point,SUPERS,number,Footnote reference number,note TESI,EN Footnote Reference,Footnote Reference/,Footnote Reference Number,Footnote Refernece,BVI fnr,stylish"/>
    <w:basedOn w:val="DefaultParagraphFont"/>
    <w:uiPriority w:val="99"/>
    <w:unhideWhenUsed/>
    <w:qFormat/>
    <w:rPr>
      <w:shd w:val="clear" w:color="auto" w:fill="auto"/>
      <w:vertAlign w:val="superscri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customStyle="1" w:styleId="Formuledadoption">
    <w:name w:val="Formule d'adoption"/>
    <w:basedOn w:val="Normal"/>
    <w:next w:val="Normal"/>
    <w:pPr>
      <w:keepNext/>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before="0"/>
    </w:p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link w:val="NumPar1Char"/>
    <w:pPr>
      <w:numPr>
        <w:numId w:val="14"/>
      </w:numPr>
    </w:pPr>
  </w:style>
  <w:style w:type="paragraph" w:customStyle="1" w:styleId="NumPar2">
    <w:name w:val="NumPar 2"/>
    <w:basedOn w:val="Normal"/>
    <w:next w:val="Normal"/>
    <w:pPr>
      <w:numPr>
        <w:ilvl w:val="1"/>
        <w:numId w:val="14"/>
      </w:numPr>
    </w:pPr>
  </w:style>
  <w:style w:type="paragraph" w:customStyle="1" w:styleId="NumPar3">
    <w:name w:val="NumPar 3"/>
    <w:basedOn w:val="Normal"/>
    <w:next w:val="Normal"/>
    <w:pPr>
      <w:numPr>
        <w:ilvl w:val="2"/>
        <w:numId w:val="14"/>
      </w:numPr>
    </w:pPr>
  </w:style>
  <w:style w:type="paragraph" w:customStyle="1" w:styleId="NumPar4">
    <w:name w:val="NumPar 4"/>
    <w:basedOn w:val="Normal"/>
    <w:next w:val="Normal"/>
    <w:pPr>
      <w:numPr>
        <w:ilvl w:val="3"/>
        <w:numId w:val="14"/>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23"/>
      </w:numPr>
    </w:pPr>
  </w:style>
  <w:style w:type="paragraph" w:customStyle="1" w:styleId="Point0number">
    <w:name w:val="Point 0 (number)"/>
    <w:basedOn w:val="Normal"/>
    <w:pPr>
      <w:numPr>
        <w:numId w:val="23"/>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23"/>
      </w:numPr>
    </w:pPr>
  </w:style>
  <w:style w:type="paragraph" w:customStyle="1" w:styleId="Point1number">
    <w:name w:val="Point 1 (number)"/>
    <w:basedOn w:val="Normal"/>
    <w:pPr>
      <w:numPr>
        <w:ilvl w:val="2"/>
        <w:numId w:val="23"/>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23"/>
      </w:numPr>
    </w:pPr>
  </w:style>
  <w:style w:type="paragraph" w:customStyle="1" w:styleId="Point2number">
    <w:name w:val="Point 2 (number)"/>
    <w:basedOn w:val="Normal"/>
    <w:pPr>
      <w:numPr>
        <w:ilvl w:val="4"/>
        <w:numId w:val="23"/>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23"/>
      </w:numPr>
    </w:pPr>
  </w:style>
  <w:style w:type="paragraph" w:customStyle="1" w:styleId="Point3number">
    <w:name w:val="Point 3 (number)"/>
    <w:basedOn w:val="Normal"/>
    <w:pPr>
      <w:numPr>
        <w:ilvl w:val="6"/>
        <w:numId w:val="23"/>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styleId="TOCHeading">
    <w:name w:val="TOC Heading"/>
    <w:basedOn w:val="Normal"/>
    <w:next w:val="Normal"/>
    <w:uiPriority w:val="39"/>
    <w:semiHidden/>
    <w:unhideWhenUsed/>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Number3">
    <w:name w:val="List Number 3"/>
    <w:basedOn w:val="Normal"/>
    <w:pPr>
      <w:numPr>
        <w:numId w:val="29"/>
      </w:numPr>
      <w:contextualSpacing/>
    </w:pPr>
    <w:rPr>
      <w:rFonts w:eastAsia="Times New Roman"/>
      <w:szCs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aliases w:val="Document Table,Table long document"/>
    <w:basedOn w:val="TableNormal"/>
    <w:uiPriority w:val="59"/>
    <w:pPr>
      <w:spacing w:after="0" w:line="270" w:lineRule="atLeas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Par1Char">
    <w:name w:val="NumPar 1 Char"/>
    <w:link w:val="NumPar1"/>
    <w:locked/>
    <w:rPr>
      <w:rFonts w:ascii="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pPr>
      <w:keepNext/>
      <w:numPr>
        <w:numId w:val="10"/>
      </w:numPr>
      <w:spacing w:before="360"/>
      <w:outlineLvl w:val="0"/>
    </w:pPr>
    <w:rPr>
      <w:rFonts w:eastAsiaTheme="majorEastAsia"/>
      <w:b/>
      <w:bCs/>
      <w:smallCaps/>
      <w:szCs w:val="28"/>
    </w:rPr>
  </w:style>
  <w:style w:type="paragraph" w:styleId="Heading2">
    <w:name w:val="heading 2"/>
    <w:basedOn w:val="Normal"/>
    <w:next w:val="Normal"/>
    <w:link w:val="Heading2Char"/>
    <w:uiPriority w:val="9"/>
    <w:semiHidden/>
    <w:unhideWhenUsed/>
    <w:qFormat/>
    <w:pPr>
      <w:keepNext/>
      <w:numPr>
        <w:ilvl w:val="1"/>
        <w:numId w:val="10"/>
      </w:numPr>
      <w:outlineLvl w:val="1"/>
    </w:pPr>
    <w:rPr>
      <w:rFonts w:eastAsiaTheme="majorEastAsia"/>
      <w:b/>
      <w:bCs/>
      <w:szCs w:val="26"/>
    </w:rPr>
  </w:style>
  <w:style w:type="paragraph" w:styleId="Heading3">
    <w:name w:val="heading 3"/>
    <w:basedOn w:val="Normal"/>
    <w:next w:val="Normal"/>
    <w:link w:val="Heading3Char"/>
    <w:uiPriority w:val="9"/>
    <w:semiHidden/>
    <w:unhideWhenUsed/>
    <w:qFormat/>
    <w:pPr>
      <w:keepNext/>
      <w:numPr>
        <w:ilvl w:val="2"/>
        <w:numId w:val="10"/>
      </w:numPr>
      <w:outlineLvl w:val="2"/>
    </w:pPr>
    <w:rPr>
      <w:rFonts w:eastAsiaTheme="majorEastAsia"/>
      <w:bCs/>
      <w:i/>
    </w:rPr>
  </w:style>
  <w:style w:type="paragraph" w:styleId="Heading4">
    <w:name w:val="heading 4"/>
    <w:basedOn w:val="Normal"/>
    <w:next w:val="Normal"/>
    <w:link w:val="Heading4Char"/>
    <w:uiPriority w:val="9"/>
    <w:semiHidden/>
    <w:unhideWhenUsed/>
    <w:qFormat/>
    <w:pPr>
      <w:keepNext/>
      <w:numPr>
        <w:ilvl w:val="3"/>
        <w:numId w:val="1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basedOn w:val="DefaultParagraphFont"/>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jc w:val="left"/>
    </w:pPr>
    <w:rPr>
      <w:i/>
      <w:sz w:val="32"/>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basedOn w:val="DefaultParagraphFont"/>
    <w:rPr>
      <w:strike/>
      <w:dstrike w:val="0"/>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aliases w:val="-E Fußnotenzeichen,Footnote symbol,Times 10 Point,Exposant 3 Point,SUPERS,number,Footnote reference number,note TESI,EN Footnote Reference,Footnote Reference/,Footnote Reference Number,Footnote Refernece,BVI fnr,stylish"/>
    <w:basedOn w:val="DefaultParagraphFont"/>
    <w:uiPriority w:val="99"/>
    <w:unhideWhenUsed/>
    <w:qFormat/>
    <w:rPr>
      <w:shd w:val="clear" w:color="auto" w:fill="auto"/>
      <w:vertAlign w:val="superscri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customStyle="1" w:styleId="Formuledadoption">
    <w:name w:val="Formule d'adoption"/>
    <w:basedOn w:val="Normal"/>
    <w:next w:val="Normal"/>
    <w:pPr>
      <w:keepNext/>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before="0"/>
    </w:p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link w:val="NumPar1Char"/>
    <w:pPr>
      <w:numPr>
        <w:numId w:val="14"/>
      </w:numPr>
    </w:pPr>
  </w:style>
  <w:style w:type="paragraph" w:customStyle="1" w:styleId="NumPar2">
    <w:name w:val="NumPar 2"/>
    <w:basedOn w:val="Normal"/>
    <w:next w:val="Normal"/>
    <w:pPr>
      <w:numPr>
        <w:ilvl w:val="1"/>
        <w:numId w:val="14"/>
      </w:numPr>
    </w:pPr>
  </w:style>
  <w:style w:type="paragraph" w:customStyle="1" w:styleId="NumPar3">
    <w:name w:val="NumPar 3"/>
    <w:basedOn w:val="Normal"/>
    <w:next w:val="Normal"/>
    <w:pPr>
      <w:numPr>
        <w:ilvl w:val="2"/>
        <w:numId w:val="14"/>
      </w:numPr>
    </w:pPr>
  </w:style>
  <w:style w:type="paragraph" w:customStyle="1" w:styleId="NumPar4">
    <w:name w:val="NumPar 4"/>
    <w:basedOn w:val="Normal"/>
    <w:next w:val="Normal"/>
    <w:pPr>
      <w:numPr>
        <w:ilvl w:val="3"/>
        <w:numId w:val="14"/>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23"/>
      </w:numPr>
    </w:pPr>
  </w:style>
  <w:style w:type="paragraph" w:customStyle="1" w:styleId="Point0number">
    <w:name w:val="Point 0 (number)"/>
    <w:basedOn w:val="Normal"/>
    <w:pPr>
      <w:numPr>
        <w:numId w:val="23"/>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23"/>
      </w:numPr>
    </w:pPr>
  </w:style>
  <w:style w:type="paragraph" w:customStyle="1" w:styleId="Point1number">
    <w:name w:val="Point 1 (number)"/>
    <w:basedOn w:val="Normal"/>
    <w:pPr>
      <w:numPr>
        <w:ilvl w:val="2"/>
        <w:numId w:val="23"/>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23"/>
      </w:numPr>
    </w:pPr>
  </w:style>
  <w:style w:type="paragraph" w:customStyle="1" w:styleId="Point2number">
    <w:name w:val="Point 2 (number)"/>
    <w:basedOn w:val="Normal"/>
    <w:pPr>
      <w:numPr>
        <w:ilvl w:val="4"/>
        <w:numId w:val="23"/>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23"/>
      </w:numPr>
    </w:pPr>
  </w:style>
  <w:style w:type="paragraph" w:customStyle="1" w:styleId="Point3number">
    <w:name w:val="Point 3 (number)"/>
    <w:basedOn w:val="Normal"/>
    <w:pPr>
      <w:numPr>
        <w:ilvl w:val="6"/>
        <w:numId w:val="23"/>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styleId="TOCHeading">
    <w:name w:val="TOC Heading"/>
    <w:basedOn w:val="Normal"/>
    <w:next w:val="Normal"/>
    <w:uiPriority w:val="39"/>
    <w:semiHidden/>
    <w:unhideWhenUsed/>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Number3">
    <w:name w:val="List Number 3"/>
    <w:basedOn w:val="Normal"/>
    <w:pPr>
      <w:numPr>
        <w:numId w:val="29"/>
      </w:numPr>
      <w:contextualSpacing/>
    </w:pPr>
    <w:rPr>
      <w:rFonts w:eastAsia="Times New Roman"/>
      <w:szCs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aliases w:val="Document Table,Table long document"/>
    <w:basedOn w:val="TableNormal"/>
    <w:uiPriority w:val="59"/>
    <w:pPr>
      <w:spacing w:after="0" w:line="270" w:lineRule="atLeas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Par1Char">
    <w:name w:val="NumPar 1 Char"/>
    <w:link w:val="NumPar1"/>
    <w:locked/>
    <w:rPr>
      <w:rFonts w:ascii="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14618-898F-4C7D-B490-7D5CE3F00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3359</Words>
  <Characters>21733</Characters>
  <Application>Microsoft Office Word</Application>
  <DocSecurity>0</DocSecurity>
  <Lines>402</Lines>
  <Paragraphs>139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Manager/>
  <Company/>
  <LinksUpToDate>false</LinksUpToDate>
  <CharactersWithSpaces>24953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22</cp:revision>
  <cp:lastPrinted>2015-10-07T07:25:00Z</cp:lastPrinted>
  <dcterms:created xsi:type="dcterms:W3CDTF">2015-10-14T14:15:00Z</dcterms:created>
  <dcterms:modified xsi:type="dcterms:W3CDTF">2015-10-15T08:44:00Z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