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24" w:rsidRDefault="00E64EC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FBEC9FAA53D4BE389ACB8F1DBCC9042" style="width:450.75pt;height:320.25pt">
            <v:imagedata r:id="rId9" o:title=""/>
          </v:shape>
        </w:pict>
      </w:r>
    </w:p>
    <w:bookmarkEnd w:id="0"/>
    <w:p w:rsidR="00AA4024" w:rsidRDefault="00AA4024">
      <w:pPr>
        <w:rPr>
          <w:noProof/>
        </w:rPr>
        <w:sectPr w:rsidR="00AA402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AA4024" w:rsidRDefault="00E64ECA">
      <w:pPr>
        <w:pStyle w:val="ManualNumPar1"/>
        <w:rPr>
          <w:noProof/>
        </w:rPr>
      </w:pPr>
      <w:r>
        <w:lastRenderedPageBreak/>
        <w:t>1.</w:t>
      </w:r>
      <w:r>
        <w:tab/>
      </w:r>
      <w:r>
        <w:rPr>
          <w:noProof/>
        </w:rPr>
        <w:t>Úvod</w:t>
      </w:r>
    </w:p>
    <w:p w:rsidR="00AA4024" w:rsidRDefault="00AA4024">
      <w:pPr>
        <w:rPr>
          <w:noProof/>
        </w:rPr>
      </w:pPr>
    </w:p>
    <w:p w:rsidR="00AA4024" w:rsidRDefault="00E64ECA">
      <w:pPr>
        <w:pStyle w:val="ManualNumPar2"/>
        <w:rPr>
          <w:noProof/>
        </w:rPr>
      </w:pPr>
      <w:r>
        <w:t>1.1.</w:t>
      </w:r>
      <w:r>
        <w:tab/>
      </w:r>
      <w:r>
        <w:rPr>
          <w:noProof/>
        </w:rPr>
        <w:t>Proč je třeba kontrola účelnosti právních předpisů o bezpečnosti osobních lodí?</w:t>
      </w:r>
    </w:p>
    <w:p w:rsidR="00AA4024" w:rsidRDefault="00E64ECA">
      <w:pPr>
        <w:rPr>
          <w:noProof/>
        </w:rPr>
      </w:pPr>
      <w:r>
        <w:rPr>
          <w:noProof/>
        </w:rPr>
        <w:t>Vzhledem k tomu, že 23 z 28 členských států jsou pobřežní země a z nich čtyři jsou ostrovními státy, hrají osobní lodě důležitou roli v mobilitě občanů EU. Odhaduje se, že v průměru projde přístavy EU každoročně více než 400 milionů lidí. 120 milionů cestu</w:t>
      </w:r>
      <w:r>
        <w:rPr>
          <w:noProof/>
        </w:rPr>
        <w:t xml:space="preserve">jících přepraví osobní lodě provozující vnitrostátní plavbu, tj. lodě plující mezi přístavy jednoho členského státu.  </w:t>
      </w:r>
    </w:p>
    <w:p w:rsidR="00AA4024" w:rsidRDefault="00E64ECA">
      <w:pPr>
        <w:rPr>
          <w:noProof/>
        </w:rPr>
      </w:pPr>
      <w:r>
        <w:rPr>
          <w:noProof/>
        </w:rPr>
        <w:t>Současné právní předpisy EU týkající se bezpečnosti osobních lodí byly vytvářeny po dobu 15 let, zejména v reakci na různé nehody. Výsled</w:t>
      </w:r>
      <w:r>
        <w:rPr>
          <w:noProof/>
        </w:rPr>
        <w:t>kem je soubor směrnic motivovaných a utvářených okolnostmi, za nichž vznikly. Přestože slouží stejnému obecnému účelu, tj. zajištění společné vysoké úrovně bezpečnosti osobních lodí, netvoří zcela soudržný rámec. Každá směrnice má jinou oblast působnosti a</w:t>
      </w:r>
      <w:r>
        <w:rPr>
          <w:noProof/>
        </w:rPr>
        <w:t xml:space="preserve"> vztahuje se různé typy lodí a plaveb. Ještě důležitější je fakt, že v uplynulém desetiletí došlo k technologickému vývoji, v jehož důsledku některá stávající ustanovení zastarala a stala se zdrojem zbytečné zátěže. </w:t>
      </w:r>
    </w:p>
    <w:p w:rsidR="00AA4024" w:rsidRDefault="00E64ECA">
      <w:pPr>
        <w:rPr>
          <w:noProof/>
        </w:rPr>
      </w:pPr>
      <w:r>
        <w:rPr>
          <w:noProof/>
        </w:rPr>
        <w:t>Dřívější hodnocení a konzultace neshrom</w:t>
      </w:r>
      <w:r>
        <w:rPr>
          <w:noProof/>
        </w:rPr>
        <w:t>áždily dostatečné důkazy, které by osvětlily provádění předpisů. Odhalily špatnou dostupnost údajů, zejména pokud jde o loďstva osobních lodí jednotlivých států a o bezpečnostní záznamy. Komise proto společně s Evropskou agenturou pro námořní bezpečnost (E</w:t>
      </w:r>
      <w:r>
        <w:rPr>
          <w:noProof/>
        </w:rPr>
        <w:t>MSA), vnitrostátními orgány a externím dodavatelem provedla systematičtější a komplexnější kontrolu účelnosti existujícího právního rámce. V průběhu času se stalo dostupnými více údajů a tato kontrola účelnosti byla rovněž příležitostí ke shromáždění další</w:t>
      </w:r>
      <w:r>
        <w:rPr>
          <w:noProof/>
        </w:rPr>
        <w:t xml:space="preserve">ch informací a k provedení dalších konzultací, dokumentárních analýz a případových studií. </w:t>
      </w:r>
    </w:p>
    <w:p w:rsidR="00AA4024" w:rsidRDefault="00E64ECA">
      <w:pPr>
        <w:rPr>
          <w:noProof/>
        </w:rPr>
      </w:pPr>
      <w:r>
        <w:rPr>
          <w:noProof/>
        </w:rPr>
        <w:t>Poprvé byl shromážděn velký objem spolehlivých a přiměřených kvantitativních dat. Přestože dostupné údaje neumožnily provedení kompletní analýzy nákladů a přínosů k</w:t>
      </w:r>
      <w:r>
        <w:rPr>
          <w:noProof/>
        </w:rPr>
        <w:t>aždého jednotlivého regulačního požadavku, domníváme se, že poskytují informativní podklady pro kontrolu účelnosti a jsou dostatečným základem pro následný přezkum a monitorování, jež Komise navrhuje provést.</w:t>
      </w:r>
    </w:p>
    <w:p w:rsidR="00AA4024" w:rsidRDefault="00AA4024">
      <w:pPr>
        <w:rPr>
          <w:b/>
          <w:noProof/>
        </w:rPr>
      </w:pPr>
    </w:p>
    <w:p w:rsidR="00AA4024" w:rsidRDefault="00E64ECA">
      <w:pPr>
        <w:pStyle w:val="ManualNumPar2"/>
        <w:rPr>
          <w:noProof/>
        </w:rPr>
      </w:pPr>
      <w:r>
        <w:t>1.2.</w:t>
      </w:r>
      <w:r>
        <w:tab/>
      </w:r>
      <w:r>
        <w:rPr>
          <w:noProof/>
        </w:rPr>
        <w:t>Působnost kontroly účelnosti</w:t>
      </w:r>
    </w:p>
    <w:p w:rsidR="00AA4024" w:rsidRDefault="00E64ECA">
      <w:pPr>
        <w:rPr>
          <w:noProof/>
        </w:rPr>
      </w:pPr>
      <w:r>
        <w:rPr>
          <w:noProof/>
        </w:rPr>
        <w:t>Bezpečnost o</w:t>
      </w:r>
      <w:r>
        <w:rPr>
          <w:noProof/>
        </w:rPr>
        <w:t>sobních lodí v EU je upravena na třech úrovních: mezinárodní, EU a vnitrostátní. Právní předpisy EU v oblasti bezpečnosti osobních lodí byly zavedeny za účelem řešení potenciálních bezpečnostních rizik způsobených tím, že se mezinárodní normy nevztahují na</w:t>
      </w:r>
      <w:r>
        <w:rPr>
          <w:noProof/>
        </w:rPr>
        <w:t xml:space="preserve"> vnitrostátní plavbu, případně jsou nedostatečné. Řeší obtíže při pátrání a záchraně cestujících osobních lodí v nouzi. Jejich cílem je dosáhnout společné úrovně bezpečnosti a zajišťují správné uplatňování bezpečnostních norem.</w:t>
      </w:r>
    </w:p>
    <w:p w:rsidR="00AA4024" w:rsidRDefault="00E64ECA">
      <w:pPr>
        <w:rPr>
          <w:noProof/>
        </w:rPr>
      </w:pPr>
      <w:r>
        <w:rPr>
          <w:noProof/>
        </w:rPr>
        <w:t>Na lodě provozující mezináro</w:t>
      </w:r>
      <w:r>
        <w:rPr>
          <w:noProof/>
        </w:rPr>
        <w:t>dní plavbu (tj. včetně plavby mezi dvěma členskými státy EU, jež tedy podléhá státní přístavní inspekci</w:t>
      </w:r>
      <w:r>
        <w:rPr>
          <w:rStyle w:val="FootnoteReference"/>
          <w:noProof/>
        </w:rPr>
        <w:footnoteReference w:id="2"/>
      </w:r>
      <w:r>
        <w:rPr>
          <w:noProof/>
        </w:rPr>
        <w:t>) se použijí mezinárodní úmluvy a některá pravidla EU. Na lodě provozující vnitrostátní plavbu (tj. mezi přístavy ve stejném členském státě) se vztahují</w:t>
      </w:r>
      <w:r>
        <w:rPr>
          <w:noProof/>
        </w:rPr>
        <w:t xml:space="preserve"> vnitrostátní pravidla a pravidla EU. </w:t>
      </w:r>
    </w:p>
    <w:p w:rsidR="00AA4024" w:rsidRDefault="00E64ECA">
      <w:pPr>
        <w:rPr>
          <w:noProof/>
        </w:rPr>
      </w:pPr>
      <w:r>
        <w:rPr>
          <w:noProof/>
        </w:rPr>
        <w:lastRenderedPageBreak/>
        <w:t>Nejrozsáhlejším legislativním nástrojem EU je směrnice 2009/45/ES</w:t>
      </w:r>
      <w:r>
        <w:rPr>
          <w:rStyle w:val="FootnoteReference"/>
          <w:noProof/>
        </w:rPr>
        <w:footnoteReference w:id="3"/>
      </w:r>
      <w:r>
        <w:rPr>
          <w:noProof/>
        </w:rPr>
        <w:t xml:space="preserve">, která se vztahuje na osobní lodě vyrobené z oceli nebo rovnocenného materiálu a vysokorychlostní plavidla. Tam, kde je to vhodné a proveditelné, </w:t>
      </w:r>
      <w:r>
        <w:rPr>
          <w:noProof/>
        </w:rPr>
        <w:t>vychází z mezinárodně dohodnutých norem, a sice Mezinárodní úmluvy o bezpečnosti lidského života na moři (SOLAS)</w:t>
      </w:r>
      <w:r>
        <w:rPr>
          <w:rStyle w:val="FootnoteReference"/>
          <w:noProof/>
        </w:rPr>
        <w:footnoteReference w:id="4"/>
      </w:r>
      <w:r>
        <w:rPr>
          <w:noProof/>
        </w:rPr>
        <w:t>. Směrnice 2003/25/ES, 1999/35/ES a 98/41/ES dále stanoví zvláštní pravidla EU pro osobní lodě typu ro-ro</w:t>
      </w:r>
      <w:r>
        <w:rPr>
          <w:rStyle w:val="FootnoteReference"/>
          <w:noProof/>
        </w:rPr>
        <w:footnoteReference w:id="5"/>
      </w:r>
      <w:r>
        <w:rPr>
          <w:noProof/>
        </w:rPr>
        <w:t>, vysokorychlostní osobní plavidla</w:t>
      </w:r>
      <w:r>
        <w:rPr>
          <w:rStyle w:val="FootnoteReference"/>
          <w:noProof/>
        </w:rPr>
        <w:footnoteReference w:id="6"/>
      </w:r>
      <w:r>
        <w:rPr>
          <w:noProof/>
        </w:rPr>
        <w:t xml:space="preserve"> a</w:t>
      </w:r>
      <w:r>
        <w:rPr>
          <w:noProof/>
        </w:rPr>
        <w:t> registraci osob na palubě.</w:t>
      </w:r>
    </w:p>
    <w:p w:rsidR="00AA4024" w:rsidRDefault="00E64ECA">
      <w:pPr>
        <w:rPr>
          <w:noProof/>
        </w:rPr>
      </w:pPr>
      <w:r>
        <w:rPr>
          <w:noProof/>
        </w:rPr>
        <w:t>Jedná se o komplexní strukturu, která vyžaduje použití moderních nástrojů zlepšování právní úpravy, jako je kontrola účelnosti. Následující tabulka obsahuje přehled čtyř směrnic EU, jež byly vybrány pro tuto kontrolu účelnosti a</w:t>
      </w:r>
      <w:r>
        <w:rPr>
          <w:noProof/>
        </w:rPr>
        <w:t xml:space="preserve"> jež představují soubor klíčových bezpečnostních norem a požadavků pro osobní lodě plující ve vodách EU:  </w:t>
      </w:r>
    </w:p>
    <w:p w:rsidR="00AA4024" w:rsidRDefault="00AA4024">
      <w:pPr>
        <w:rPr>
          <w:noProof/>
        </w:rPr>
      </w:pPr>
    </w:p>
    <w:p w:rsidR="00AA4024" w:rsidRDefault="00E64ECA">
      <w:pPr>
        <w:pStyle w:val="ManualNumPar1"/>
        <w:rPr>
          <w:noProof/>
        </w:rPr>
      </w:pPr>
      <w:r>
        <w:tab/>
      </w:r>
      <w:r>
        <w:rPr>
          <w:noProof/>
        </w:rPr>
        <w:t xml:space="preserve">Tabulka č. 1: Právní rámec pro bezpečnost osobních lodí v EU: směrnice, jichž se týká kontrola účelnosti </w:t>
      </w:r>
    </w:p>
    <w:tbl>
      <w:tblPr>
        <w:tblStyle w:val="TableGrid"/>
        <w:tblW w:w="9072" w:type="dxa"/>
        <w:tblInd w:w="108" w:type="dxa"/>
        <w:tblLayout w:type="fixed"/>
        <w:tblLook w:val="04A0" w:firstRow="1" w:lastRow="0" w:firstColumn="1" w:lastColumn="0" w:noHBand="0" w:noVBand="1"/>
      </w:tblPr>
      <w:tblGrid>
        <w:gridCol w:w="1418"/>
        <w:gridCol w:w="1984"/>
        <w:gridCol w:w="1418"/>
        <w:gridCol w:w="1984"/>
        <w:gridCol w:w="2268"/>
      </w:tblGrid>
      <w:tr w:rsidR="00AA4024">
        <w:tc>
          <w:tcPr>
            <w:tcW w:w="1418" w:type="dxa"/>
            <w:vMerge w:val="restart"/>
          </w:tcPr>
          <w:p w:rsidR="00AA4024" w:rsidRDefault="00AA4024">
            <w:pPr>
              <w:pStyle w:val="Text1"/>
              <w:ind w:left="0"/>
              <w:rPr>
                <w:noProof/>
                <w:sz w:val="22"/>
                <w:szCs w:val="22"/>
              </w:rPr>
            </w:pPr>
          </w:p>
        </w:tc>
        <w:tc>
          <w:tcPr>
            <w:tcW w:w="1984" w:type="dxa"/>
            <w:vMerge w:val="restart"/>
          </w:tcPr>
          <w:p w:rsidR="00AA4024" w:rsidRDefault="00AA4024">
            <w:pPr>
              <w:pStyle w:val="Text1"/>
              <w:ind w:left="0"/>
              <w:jc w:val="center"/>
              <w:rPr>
                <w:b/>
                <w:noProof/>
                <w:sz w:val="22"/>
                <w:szCs w:val="22"/>
              </w:rPr>
            </w:pPr>
          </w:p>
          <w:p w:rsidR="00AA4024" w:rsidRDefault="00E64ECA">
            <w:pPr>
              <w:pStyle w:val="Text1"/>
              <w:ind w:left="0"/>
              <w:jc w:val="center"/>
              <w:rPr>
                <w:b/>
                <w:noProof/>
                <w:sz w:val="22"/>
                <w:szCs w:val="22"/>
              </w:rPr>
            </w:pPr>
            <w:r>
              <w:rPr>
                <w:b/>
                <w:noProof/>
                <w:sz w:val="22"/>
              </w:rPr>
              <w:t>Obsah</w:t>
            </w:r>
          </w:p>
        </w:tc>
        <w:tc>
          <w:tcPr>
            <w:tcW w:w="5670" w:type="dxa"/>
            <w:gridSpan w:val="3"/>
          </w:tcPr>
          <w:p w:rsidR="00AA4024" w:rsidRDefault="00E64ECA">
            <w:pPr>
              <w:pStyle w:val="Text1"/>
              <w:ind w:left="0"/>
              <w:jc w:val="center"/>
              <w:rPr>
                <w:b/>
                <w:noProof/>
                <w:sz w:val="22"/>
                <w:szCs w:val="22"/>
              </w:rPr>
            </w:pPr>
            <w:r>
              <w:rPr>
                <w:b/>
                <w:noProof/>
                <w:sz w:val="22"/>
              </w:rPr>
              <w:t>Oblast působnosti</w:t>
            </w:r>
          </w:p>
        </w:tc>
      </w:tr>
      <w:tr w:rsidR="00AA4024">
        <w:tc>
          <w:tcPr>
            <w:tcW w:w="1418" w:type="dxa"/>
            <w:vMerge/>
          </w:tcPr>
          <w:p w:rsidR="00AA4024" w:rsidRDefault="00AA4024">
            <w:pPr>
              <w:pStyle w:val="Text1"/>
              <w:ind w:left="0"/>
              <w:rPr>
                <w:noProof/>
                <w:sz w:val="22"/>
                <w:szCs w:val="22"/>
              </w:rPr>
            </w:pPr>
          </w:p>
        </w:tc>
        <w:tc>
          <w:tcPr>
            <w:tcW w:w="1984" w:type="dxa"/>
            <w:vMerge/>
          </w:tcPr>
          <w:p w:rsidR="00AA4024" w:rsidRDefault="00AA4024">
            <w:pPr>
              <w:pStyle w:val="Text1"/>
              <w:ind w:left="0"/>
              <w:jc w:val="center"/>
              <w:rPr>
                <w:b/>
                <w:noProof/>
                <w:sz w:val="22"/>
                <w:szCs w:val="22"/>
              </w:rPr>
            </w:pPr>
          </w:p>
        </w:tc>
        <w:tc>
          <w:tcPr>
            <w:tcW w:w="1418" w:type="dxa"/>
          </w:tcPr>
          <w:p w:rsidR="00AA4024" w:rsidRDefault="00E64ECA">
            <w:pPr>
              <w:pStyle w:val="Text1"/>
              <w:ind w:left="0"/>
              <w:jc w:val="center"/>
              <w:rPr>
                <w:b/>
                <w:noProof/>
                <w:sz w:val="22"/>
                <w:szCs w:val="22"/>
              </w:rPr>
            </w:pPr>
            <w:r>
              <w:rPr>
                <w:b/>
                <w:noProof/>
                <w:sz w:val="22"/>
              </w:rPr>
              <w:t>Plavba</w:t>
            </w:r>
          </w:p>
        </w:tc>
        <w:tc>
          <w:tcPr>
            <w:tcW w:w="1984" w:type="dxa"/>
          </w:tcPr>
          <w:p w:rsidR="00AA4024" w:rsidRDefault="00E64ECA">
            <w:pPr>
              <w:pStyle w:val="Text1"/>
              <w:ind w:left="0"/>
              <w:jc w:val="center"/>
              <w:rPr>
                <w:b/>
                <w:noProof/>
                <w:sz w:val="22"/>
                <w:szCs w:val="22"/>
              </w:rPr>
            </w:pPr>
            <w:r>
              <w:rPr>
                <w:b/>
                <w:noProof/>
                <w:sz w:val="22"/>
              </w:rPr>
              <w:t>Lodě</w:t>
            </w:r>
          </w:p>
        </w:tc>
        <w:tc>
          <w:tcPr>
            <w:tcW w:w="2268" w:type="dxa"/>
          </w:tcPr>
          <w:p w:rsidR="00AA4024" w:rsidRDefault="00E64ECA">
            <w:pPr>
              <w:pStyle w:val="Text1"/>
              <w:ind w:left="0"/>
              <w:jc w:val="center"/>
              <w:rPr>
                <w:b/>
                <w:noProof/>
                <w:sz w:val="22"/>
                <w:szCs w:val="22"/>
              </w:rPr>
            </w:pPr>
            <w:r>
              <w:rPr>
                <w:b/>
                <w:noProof/>
                <w:sz w:val="22"/>
              </w:rPr>
              <w:t>Použití</w:t>
            </w:r>
          </w:p>
        </w:tc>
      </w:tr>
      <w:tr w:rsidR="00AA4024">
        <w:tc>
          <w:tcPr>
            <w:tcW w:w="1418" w:type="dxa"/>
          </w:tcPr>
          <w:p w:rsidR="00AA4024" w:rsidRDefault="00E64ECA">
            <w:pPr>
              <w:pStyle w:val="Text1"/>
              <w:ind w:left="0"/>
              <w:jc w:val="left"/>
              <w:rPr>
                <w:b/>
                <w:noProof/>
                <w:sz w:val="22"/>
                <w:szCs w:val="22"/>
              </w:rPr>
            </w:pPr>
            <w:r>
              <w:rPr>
                <w:b/>
                <w:noProof/>
                <w:sz w:val="22"/>
              </w:rPr>
              <w:t>Směrnice</w:t>
            </w:r>
          </w:p>
          <w:p w:rsidR="00AA4024" w:rsidRDefault="00E64ECA">
            <w:pPr>
              <w:pStyle w:val="Text1"/>
              <w:ind w:left="0"/>
              <w:jc w:val="left"/>
              <w:rPr>
                <w:b/>
                <w:noProof/>
                <w:sz w:val="22"/>
                <w:szCs w:val="22"/>
              </w:rPr>
            </w:pPr>
            <w:r>
              <w:rPr>
                <w:b/>
                <w:noProof/>
                <w:sz w:val="22"/>
              </w:rPr>
              <w:t>2009/45/ES</w:t>
            </w:r>
          </w:p>
        </w:tc>
        <w:tc>
          <w:tcPr>
            <w:tcW w:w="1984" w:type="dxa"/>
          </w:tcPr>
          <w:p w:rsidR="00AA4024" w:rsidRDefault="00E64ECA">
            <w:pPr>
              <w:pStyle w:val="Text1"/>
              <w:ind w:left="0"/>
              <w:jc w:val="left"/>
              <w:rPr>
                <w:noProof/>
                <w:sz w:val="22"/>
                <w:szCs w:val="22"/>
              </w:rPr>
            </w:pPr>
            <w:r>
              <w:rPr>
                <w:noProof/>
                <w:sz w:val="22"/>
              </w:rPr>
              <w:t xml:space="preserve">Bezpečnostní normy </w:t>
            </w:r>
          </w:p>
          <w:p w:rsidR="00AA4024" w:rsidRDefault="00E64ECA">
            <w:pPr>
              <w:pStyle w:val="Text1"/>
              <w:ind w:left="0"/>
              <w:jc w:val="left"/>
              <w:rPr>
                <w:noProof/>
                <w:sz w:val="22"/>
                <w:szCs w:val="22"/>
              </w:rPr>
            </w:pPr>
            <w:r>
              <w:rPr>
                <w:noProof/>
                <w:sz w:val="22"/>
              </w:rPr>
              <w:t>Prohlídky</w:t>
            </w:r>
          </w:p>
          <w:p w:rsidR="00AA4024" w:rsidRDefault="00E64ECA">
            <w:pPr>
              <w:pStyle w:val="Text1"/>
              <w:ind w:left="0"/>
              <w:jc w:val="left"/>
              <w:rPr>
                <w:i/>
                <w:noProof/>
                <w:sz w:val="22"/>
                <w:szCs w:val="22"/>
              </w:rPr>
            </w:pPr>
            <w:r>
              <w:rPr>
                <w:i/>
                <w:noProof/>
                <w:sz w:val="22"/>
              </w:rPr>
              <w:t>(obecné)</w:t>
            </w:r>
          </w:p>
        </w:tc>
        <w:tc>
          <w:tcPr>
            <w:tcW w:w="1418" w:type="dxa"/>
          </w:tcPr>
          <w:p w:rsidR="00AA4024" w:rsidRDefault="00E64ECA">
            <w:pPr>
              <w:pStyle w:val="Text1"/>
              <w:ind w:left="0"/>
              <w:jc w:val="left"/>
              <w:rPr>
                <w:noProof/>
                <w:sz w:val="22"/>
                <w:szCs w:val="22"/>
              </w:rPr>
            </w:pPr>
            <w:r>
              <w:rPr>
                <w:noProof/>
                <w:sz w:val="22"/>
              </w:rPr>
              <w:t xml:space="preserve">vnitrozemská </w:t>
            </w:r>
          </w:p>
        </w:tc>
        <w:tc>
          <w:tcPr>
            <w:tcW w:w="1984" w:type="dxa"/>
          </w:tcPr>
          <w:p w:rsidR="00AA4024" w:rsidRDefault="00E64ECA">
            <w:pPr>
              <w:pStyle w:val="Text1"/>
              <w:ind w:left="0"/>
              <w:jc w:val="left"/>
              <w:rPr>
                <w:noProof/>
                <w:sz w:val="22"/>
                <w:szCs w:val="22"/>
              </w:rPr>
            </w:pPr>
            <w:r>
              <w:rPr>
                <w:noProof/>
                <w:sz w:val="22"/>
              </w:rPr>
              <w:t>a) osobní lodě vyrobené z oceli nebo rovnocenného materiálu</w:t>
            </w:r>
            <w:r>
              <w:rPr>
                <w:rStyle w:val="FootnoteReference"/>
                <w:noProof/>
                <w:sz w:val="22"/>
              </w:rPr>
              <w:footnoteReference w:id="7"/>
            </w:r>
            <w:r>
              <w:rPr>
                <w:noProof/>
                <w:sz w:val="22"/>
              </w:rPr>
              <w:t xml:space="preserve">; </w:t>
            </w:r>
          </w:p>
          <w:p w:rsidR="00AA4024" w:rsidRDefault="00E64ECA">
            <w:pPr>
              <w:pStyle w:val="Text1"/>
              <w:ind w:left="0"/>
              <w:jc w:val="left"/>
              <w:rPr>
                <w:noProof/>
                <w:sz w:val="22"/>
                <w:szCs w:val="22"/>
              </w:rPr>
            </w:pPr>
            <w:r>
              <w:rPr>
                <w:noProof/>
                <w:sz w:val="22"/>
              </w:rPr>
              <w:t>b) vysokorychlostní osobní plavidla</w:t>
            </w:r>
          </w:p>
        </w:tc>
        <w:tc>
          <w:tcPr>
            <w:tcW w:w="2268" w:type="dxa"/>
          </w:tcPr>
          <w:p w:rsidR="00AA4024" w:rsidRDefault="00E64ECA">
            <w:pPr>
              <w:pStyle w:val="Text1"/>
              <w:ind w:left="0"/>
              <w:jc w:val="left"/>
              <w:rPr>
                <w:noProof/>
                <w:sz w:val="22"/>
                <w:szCs w:val="22"/>
              </w:rPr>
            </w:pPr>
            <w:r>
              <w:rPr>
                <w:noProof/>
                <w:sz w:val="22"/>
              </w:rPr>
              <w:t>Všechny lodě bez ohledu na velikost (flexibilita pro lodě o délce menší než</w:t>
            </w:r>
            <w:r>
              <w:rPr>
                <w:noProof/>
                <w:sz w:val="22"/>
              </w:rPr>
              <w:t xml:space="preserve"> 24 m)</w:t>
            </w:r>
          </w:p>
          <w:p w:rsidR="00AA4024" w:rsidRDefault="00E64ECA">
            <w:pPr>
              <w:pStyle w:val="Text1"/>
              <w:ind w:left="0"/>
              <w:jc w:val="left"/>
              <w:rPr>
                <w:noProof/>
                <w:sz w:val="22"/>
                <w:szCs w:val="22"/>
              </w:rPr>
            </w:pPr>
            <w:r>
              <w:rPr>
                <w:noProof/>
                <w:sz w:val="22"/>
              </w:rPr>
              <w:t>Třídy (A, B, C, D)</w:t>
            </w:r>
            <w:r>
              <w:rPr>
                <w:rStyle w:val="FootnoteReference"/>
                <w:noProof/>
                <w:sz w:val="22"/>
              </w:rPr>
              <w:footnoteReference w:id="8"/>
            </w:r>
          </w:p>
        </w:tc>
      </w:tr>
      <w:tr w:rsidR="00AA4024">
        <w:trPr>
          <w:trHeight w:val="1148"/>
        </w:trPr>
        <w:tc>
          <w:tcPr>
            <w:tcW w:w="1418" w:type="dxa"/>
          </w:tcPr>
          <w:p w:rsidR="00AA4024" w:rsidRDefault="00E64ECA">
            <w:pPr>
              <w:pStyle w:val="Text1"/>
              <w:ind w:left="0"/>
              <w:jc w:val="left"/>
              <w:rPr>
                <w:b/>
                <w:noProof/>
                <w:sz w:val="22"/>
                <w:szCs w:val="22"/>
              </w:rPr>
            </w:pPr>
            <w:r>
              <w:rPr>
                <w:b/>
                <w:noProof/>
                <w:sz w:val="22"/>
              </w:rPr>
              <w:t>Směrnice</w:t>
            </w:r>
          </w:p>
          <w:p w:rsidR="00AA4024" w:rsidRDefault="00E64ECA">
            <w:pPr>
              <w:pStyle w:val="Text1"/>
              <w:ind w:left="0"/>
              <w:jc w:val="left"/>
              <w:rPr>
                <w:b/>
                <w:noProof/>
                <w:sz w:val="22"/>
                <w:szCs w:val="22"/>
              </w:rPr>
            </w:pPr>
            <w:r>
              <w:rPr>
                <w:b/>
                <w:noProof/>
                <w:sz w:val="22"/>
              </w:rPr>
              <w:t>2003/25/ES</w:t>
            </w:r>
            <w:r>
              <w:rPr>
                <w:rStyle w:val="FootnoteReference"/>
                <w:b/>
                <w:noProof/>
                <w:sz w:val="22"/>
              </w:rPr>
              <w:footnoteReference w:id="9"/>
            </w:r>
          </w:p>
        </w:tc>
        <w:tc>
          <w:tcPr>
            <w:tcW w:w="1984" w:type="dxa"/>
          </w:tcPr>
          <w:p w:rsidR="00AA4024" w:rsidRDefault="00E64ECA">
            <w:pPr>
              <w:pStyle w:val="Text1"/>
              <w:ind w:left="0"/>
              <w:jc w:val="left"/>
              <w:rPr>
                <w:noProof/>
                <w:sz w:val="22"/>
                <w:szCs w:val="22"/>
              </w:rPr>
            </w:pPr>
            <w:r>
              <w:rPr>
                <w:noProof/>
                <w:sz w:val="22"/>
              </w:rPr>
              <w:t xml:space="preserve">Bezpečnostní normy </w:t>
            </w:r>
          </w:p>
          <w:p w:rsidR="00AA4024" w:rsidRDefault="00E64ECA">
            <w:pPr>
              <w:pStyle w:val="Text1"/>
              <w:ind w:left="0"/>
              <w:jc w:val="left"/>
              <w:rPr>
                <w:noProof/>
                <w:sz w:val="22"/>
                <w:szCs w:val="22"/>
              </w:rPr>
            </w:pPr>
            <w:r>
              <w:rPr>
                <w:i/>
                <w:noProof/>
                <w:sz w:val="22"/>
              </w:rPr>
              <w:t>(zvláštní: požadavky na stabilitu pro osobní lodě ro-ro)</w:t>
            </w:r>
          </w:p>
        </w:tc>
        <w:tc>
          <w:tcPr>
            <w:tcW w:w="1418" w:type="dxa"/>
          </w:tcPr>
          <w:p w:rsidR="00AA4024" w:rsidRDefault="00E64ECA">
            <w:pPr>
              <w:pStyle w:val="Text1"/>
              <w:ind w:left="0"/>
              <w:jc w:val="left"/>
              <w:rPr>
                <w:noProof/>
                <w:sz w:val="22"/>
                <w:szCs w:val="22"/>
              </w:rPr>
            </w:pPr>
            <w:r>
              <w:rPr>
                <w:noProof/>
                <w:sz w:val="22"/>
              </w:rPr>
              <w:t>vnitrostátní a mezinárodní</w:t>
            </w:r>
          </w:p>
        </w:tc>
        <w:tc>
          <w:tcPr>
            <w:tcW w:w="1984" w:type="dxa"/>
          </w:tcPr>
          <w:p w:rsidR="00AA4024" w:rsidRDefault="00E64ECA">
            <w:pPr>
              <w:pStyle w:val="Text1"/>
              <w:ind w:left="0"/>
              <w:jc w:val="left"/>
              <w:rPr>
                <w:noProof/>
                <w:sz w:val="22"/>
                <w:szCs w:val="22"/>
              </w:rPr>
            </w:pPr>
            <w:r>
              <w:rPr>
                <w:noProof/>
                <w:sz w:val="22"/>
              </w:rPr>
              <w:t>osobní lodě ro-ro</w:t>
            </w:r>
          </w:p>
        </w:tc>
        <w:tc>
          <w:tcPr>
            <w:tcW w:w="2268" w:type="dxa"/>
          </w:tcPr>
          <w:p w:rsidR="00AA4024" w:rsidRDefault="00E64ECA">
            <w:pPr>
              <w:pStyle w:val="Text1"/>
              <w:ind w:left="0"/>
              <w:jc w:val="left"/>
              <w:rPr>
                <w:noProof/>
                <w:sz w:val="22"/>
                <w:szCs w:val="22"/>
              </w:rPr>
            </w:pPr>
            <w:r>
              <w:rPr>
                <w:noProof/>
                <w:sz w:val="22"/>
              </w:rPr>
              <w:t>Mezinárodní: liniová doprava</w:t>
            </w:r>
          </w:p>
          <w:p w:rsidR="00AA4024" w:rsidRDefault="00E64ECA">
            <w:pPr>
              <w:pStyle w:val="Text1"/>
              <w:ind w:left="0"/>
              <w:jc w:val="left"/>
              <w:rPr>
                <w:noProof/>
                <w:sz w:val="22"/>
                <w:szCs w:val="22"/>
              </w:rPr>
            </w:pPr>
            <w:r>
              <w:rPr>
                <w:noProof/>
                <w:sz w:val="22"/>
              </w:rPr>
              <w:t xml:space="preserve">Vnitrostátní: třídy A, B a C </w:t>
            </w:r>
          </w:p>
        </w:tc>
      </w:tr>
      <w:tr w:rsidR="00AA4024">
        <w:trPr>
          <w:trHeight w:val="1004"/>
        </w:trPr>
        <w:tc>
          <w:tcPr>
            <w:tcW w:w="1418" w:type="dxa"/>
          </w:tcPr>
          <w:p w:rsidR="00AA4024" w:rsidRDefault="00E64ECA">
            <w:pPr>
              <w:pStyle w:val="Text1"/>
              <w:ind w:left="0"/>
              <w:jc w:val="left"/>
              <w:rPr>
                <w:b/>
                <w:noProof/>
                <w:sz w:val="22"/>
                <w:szCs w:val="22"/>
              </w:rPr>
            </w:pPr>
            <w:r>
              <w:rPr>
                <w:b/>
                <w:noProof/>
                <w:sz w:val="22"/>
              </w:rPr>
              <w:t>Směrnice</w:t>
            </w:r>
          </w:p>
          <w:p w:rsidR="00AA4024" w:rsidRDefault="00E64ECA">
            <w:pPr>
              <w:pStyle w:val="Text1"/>
              <w:ind w:left="0"/>
              <w:jc w:val="left"/>
              <w:rPr>
                <w:b/>
                <w:noProof/>
                <w:sz w:val="22"/>
                <w:szCs w:val="22"/>
              </w:rPr>
            </w:pPr>
            <w:r>
              <w:rPr>
                <w:b/>
                <w:noProof/>
                <w:sz w:val="22"/>
              </w:rPr>
              <w:t>1999/35/ES</w:t>
            </w:r>
            <w:r>
              <w:rPr>
                <w:rStyle w:val="FootnoteReference"/>
                <w:b/>
                <w:noProof/>
                <w:sz w:val="22"/>
              </w:rPr>
              <w:footnoteReference w:id="10"/>
            </w:r>
          </w:p>
        </w:tc>
        <w:tc>
          <w:tcPr>
            <w:tcW w:w="1984" w:type="dxa"/>
          </w:tcPr>
          <w:p w:rsidR="00AA4024" w:rsidRDefault="00E64ECA">
            <w:pPr>
              <w:pStyle w:val="Text1"/>
              <w:ind w:left="0"/>
              <w:jc w:val="left"/>
              <w:rPr>
                <w:noProof/>
                <w:sz w:val="22"/>
                <w:szCs w:val="22"/>
              </w:rPr>
            </w:pPr>
            <w:r>
              <w:rPr>
                <w:noProof/>
                <w:sz w:val="22"/>
              </w:rPr>
              <w:t xml:space="preserve">Prohlídky </w:t>
            </w:r>
          </w:p>
          <w:p w:rsidR="00AA4024" w:rsidRDefault="00E64ECA">
            <w:pPr>
              <w:pStyle w:val="Text1"/>
              <w:ind w:left="0"/>
              <w:jc w:val="left"/>
              <w:rPr>
                <w:noProof/>
                <w:sz w:val="22"/>
                <w:szCs w:val="22"/>
              </w:rPr>
            </w:pPr>
            <w:r>
              <w:rPr>
                <w:i/>
                <w:noProof/>
                <w:sz w:val="22"/>
              </w:rPr>
              <w:t>(zvláštní: osobní lodě ro-ro a vysokorychlostní osobní plavidla v liniové dopravě)</w:t>
            </w:r>
          </w:p>
        </w:tc>
        <w:tc>
          <w:tcPr>
            <w:tcW w:w="1418" w:type="dxa"/>
          </w:tcPr>
          <w:p w:rsidR="00AA4024" w:rsidRDefault="00E64ECA">
            <w:pPr>
              <w:pStyle w:val="Text1"/>
              <w:ind w:left="0"/>
              <w:jc w:val="left"/>
              <w:rPr>
                <w:noProof/>
                <w:sz w:val="22"/>
                <w:szCs w:val="22"/>
              </w:rPr>
            </w:pPr>
            <w:r>
              <w:rPr>
                <w:noProof/>
                <w:sz w:val="22"/>
              </w:rPr>
              <w:t xml:space="preserve">vnitrostátní a mezinárodní </w:t>
            </w:r>
          </w:p>
        </w:tc>
        <w:tc>
          <w:tcPr>
            <w:tcW w:w="1984" w:type="dxa"/>
          </w:tcPr>
          <w:p w:rsidR="00AA4024" w:rsidRDefault="00E64ECA">
            <w:pPr>
              <w:pStyle w:val="Text1"/>
              <w:ind w:left="0"/>
              <w:jc w:val="left"/>
              <w:rPr>
                <w:noProof/>
                <w:sz w:val="22"/>
                <w:szCs w:val="22"/>
              </w:rPr>
            </w:pPr>
            <w:r>
              <w:rPr>
                <w:noProof/>
                <w:sz w:val="22"/>
              </w:rPr>
              <w:t xml:space="preserve">a) osobní lodě ro-ro; </w:t>
            </w:r>
          </w:p>
          <w:p w:rsidR="00AA4024" w:rsidRDefault="00E64ECA">
            <w:pPr>
              <w:pStyle w:val="Text1"/>
              <w:ind w:left="0"/>
              <w:jc w:val="left"/>
              <w:rPr>
                <w:noProof/>
                <w:sz w:val="22"/>
                <w:szCs w:val="22"/>
              </w:rPr>
            </w:pPr>
            <w:r>
              <w:rPr>
                <w:noProof/>
                <w:sz w:val="22"/>
              </w:rPr>
              <w:t>b) vysokorychlostní osobní plavidla</w:t>
            </w:r>
          </w:p>
        </w:tc>
        <w:tc>
          <w:tcPr>
            <w:tcW w:w="2268" w:type="dxa"/>
          </w:tcPr>
          <w:p w:rsidR="00AA4024" w:rsidRDefault="00E64ECA">
            <w:pPr>
              <w:pStyle w:val="Text1"/>
              <w:ind w:left="0"/>
              <w:jc w:val="left"/>
              <w:rPr>
                <w:noProof/>
                <w:sz w:val="22"/>
                <w:szCs w:val="22"/>
              </w:rPr>
            </w:pPr>
            <w:r>
              <w:rPr>
                <w:noProof/>
                <w:sz w:val="22"/>
              </w:rPr>
              <w:t>pouze liniová doprava</w:t>
            </w:r>
          </w:p>
          <w:p w:rsidR="00AA4024" w:rsidRDefault="00E64ECA">
            <w:pPr>
              <w:pStyle w:val="Text1"/>
              <w:ind w:left="0"/>
              <w:jc w:val="left"/>
              <w:rPr>
                <w:noProof/>
                <w:sz w:val="22"/>
                <w:szCs w:val="22"/>
              </w:rPr>
            </w:pPr>
            <w:r>
              <w:rPr>
                <w:noProof/>
                <w:sz w:val="22"/>
              </w:rPr>
              <w:t xml:space="preserve">Vnitrostátní: Třída A </w:t>
            </w:r>
          </w:p>
        </w:tc>
      </w:tr>
      <w:tr w:rsidR="00AA4024">
        <w:trPr>
          <w:trHeight w:val="908"/>
        </w:trPr>
        <w:tc>
          <w:tcPr>
            <w:tcW w:w="1418" w:type="dxa"/>
          </w:tcPr>
          <w:p w:rsidR="00AA4024" w:rsidRDefault="00E64ECA">
            <w:pPr>
              <w:pStyle w:val="Text1"/>
              <w:ind w:left="0"/>
              <w:jc w:val="left"/>
              <w:rPr>
                <w:b/>
                <w:noProof/>
                <w:sz w:val="22"/>
                <w:szCs w:val="22"/>
              </w:rPr>
            </w:pPr>
            <w:r>
              <w:rPr>
                <w:b/>
                <w:noProof/>
                <w:sz w:val="22"/>
              </w:rPr>
              <w:t>Směrnice</w:t>
            </w:r>
          </w:p>
          <w:p w:rsidR="00AA4024" w:rsidRDefault="00E64ECA">
            <w:pPr>
              <w:pStyle w:val="Text1"/>
              <w:ind w:left="0"/>
              <w:jc w:val="left"/>
              <w:rPr>
                <w:b/>
                <w:noProof/>
                <w:sz w:val="22"/>
                <w:szCs w:val="22"/>
              </w:rPr>
            </w:pPr>
            <w:r>
              <w:rPr>
                <w:b/>
                <w:noProof/>
                <w:sz w:val="22"/>
              </w:rPr>
              <w:t>98/41/ES</w:t>
            </w:r>
            <w:r>
              <w:rPr>
                <w:rStyle w:val="FootnoteReference"/>
                <w:b/>
                <w:noProof/>
                <w:sz w:val="22"/>
              </w:rPr>
              <w:footnoteReference w:id="11"/>
            </w:r>
          </w:p>
        </w:tc>
        <w:tc>
          <w:tcPr>
            <w:tcW w:w="1984" w:type="dxa"/>
          </w:tcPr>
          <w:p w:rsidR="00AA4024" w:rsidRDefault="00E64ECA">
            <w:pPr>
              <w:pStyle w:val="Text1"/>
              <w:ind w:left="0"/>
              <w:jc w:val="left"/>
              <w:rPr>
                <w:noProof/>
                <w:sz w:val="22"/>
                <w:szCs w:val="22"/>
              </w:rPr>
            </w:pPr>
            <w:r>
              <w:rPr>
                <w:noProof/>
                <w:sz w:val="22"/>
              </w:rPr>
              <w:t>Bezpečnostní normy</w:t>
            </w:r>
          </w:p>
          <w:p w:rsidR="00AA4024" w:rsidRDefault="00E64ECA">
            <w:pPr>
              <w:pStyle w:val="Text1"/>
              <w:ind w:left="0"/>
              <w:jc w:val="left"/>
              <w:rPr>
                <w:noProof/>
                <w:sz w:val="22"/>
                <w:szCs w:val="22"/>
              </w:rPr>
            </w:pPr>
            <w:r>
              <w:rPr>
                <w:noProof/>
                <w:sz w:val="22"/>
              </w:rPr>
              <w:t xml:space="preserve">Prohlídky </w:t>
            </w:r>
          </w:p>
          <w:p w:rsidR="00AA4024" w:rsidRDefault="00E64ECA">
            <w:pPr>
              <w:pStyle w:val="Text1"/>
              <w:ind w:left="0"/>
              <w:jc w:val="left"/>
              <w:rPr>
                <w:noProof/>
                <w:sz w:val="22"/>
                <w:szCs w:val="22"/>
              </w:rPr>
            </w:pPr>
            <w:r>
              <w:rPr>
                <w:i/>
                <w:noProof/>
                <w:sz w:val="22"/>
              </w:rPr>
              <w:t>(zvláštní: registrace osob na palubě)</w:t>
            </w:r>
          </w:p>
        </w:tc>
        <w:tc>
          <w:tcPr>
            <w:tcW w:w="1418" w:type="dxa"/>
          </w:tcPr>
          <w:p w:rsidR="00AA4024" w:rsidRDefault="00E64ECA">
            <w:pPr>
              <w:pStyle w:val="Text1"/>
              <w:ind w:left="0"/>
              <w:jc w:val="left"/>
              <w:rPr>
                <w:noProof/>
                <w:sz w:val="22"/>
                <w:szCs w:val="22"/>
              </w:rPr>
            </w:pPr>
            <w:r>
              <w:rPr>
                <w:noProof/>
                <w:sz w:val="22"/>
              </w:rPr>
              <w:t>vnitrostátní a mezinárodní</w:t>
            </w:r>
          </w:p>
        </w:tc>
        <w:tc>
          <w:tcPr>
            <w:tcW w:w="1984" w:type="dxa"/>
          </w:tcPr>
          <w:p w:rsidR="00AA4024" w:rsidRDefault="00E64ECA">
            <w:pPr>
              <w:pStyle w:val="Text1"/>
              <w:ind w:left="0"/>
              <w:jc w:val="left"/>
              <w:rPr>
                <w:noProof/>
                <w:sz w:val="22"/>
                <w:szCs w:val="22"/>
              </w:rPr>
            </w:pPr>
            <w:r>
              <w:rPr>
                <w:noProof/>
                <w:sz w:val="22"/>
              </w:rPr>
              <w:t>všechny osobní lodě</w:t>
            </w:r>
          </w:p>
        </w:tc>
        <w:tc>
          <w:tcPr>
            <w:tcW w:w="2268" w:type="dxa"/>
          </w:tcPr>
          <w:p w:rsidR="00AA4024" w:rsidRDefault="00E64ECA">
            <w:pPr>
              <w:pStyle w:val="Text1"/>
              <w:ind w:left="0"/>
              <w:jc w:val="left"/>
              <w:rPr>
                <w:noProof/>
                <w:sz w:val="22"/>
                <w:szCs w:val="22"/>
              </w:rPr>
            </w:pPr>
            <w:r>
              <w:rPr>
                <w:noProof/>
                <w:sz w:val="22"/>
              </w:rPr>
              <w:t xml:space="preserve">Délka plavby </w:t>
            </w:r>
            <w:r>
              <w:rPr>
                <w:i/>
                <w:noProof/>
                <w:sz w:val="22"/>
              </w:rPr>
              <w:t>(při plavbě kratší 20 než námořních mil pouze spočítání osob na palubě)</w:t>
            </w:r>
          </w:p>
          <w:p w:rsidR="00AA4024" w:rsidRDefault="00AA4024">
            <w:pPr>
              <w:pStyle w:val="Text1"/>
              <w:ind w:left="0"/>
              <w:jc w:val="left"/>
              <w:rPr>
                <w:noProof/>
                <w:sz w:val="22"/>
                <w:szCs w:val="22"/>
              </w:rPr>
            </w:pPr>
          </w:p>
        </w:tc>
      </w:tr>
    </w:tbl>
    <w:p w:rsidR="00AA4024" w:rsidRDefault="00E64ECA">
      <w:pPr>
        <w:pStyle w:val="Text1"/>
        <w:rPr>
          <w:i/>
          <w:noProof/>
          <w:sz w:val="22"/>
        </w:rPr>
      </w:pPr>
      <w:r>
        <w:rPr>
          <w:i/>
          <w:noProof/>
          <w:sz w:val="22"/>
        </w:rPr>
        <w:t>Zdroj: Evropská komise, 2015.</w:t>
      </w:r>
    </w:p>
    <w:p w:rsidR="00AA4024" w:rsidRDefault="00AA4024">
      <w:pPr>
        <w:pStyle w:val="Text1"/>
        <w:rPr>
          <w:i/>
          <w:noProof/>
          <w:sz w:val="22"/>
        </w:rPr>
      </w:pPr>
    </w:p>
    <w:p w:rsidR="00AA4024" w:rsidRDefault="00E64ECA">
      <w:pPr>
        <w:pStyle w:val="ManualNumPar2"/>
        <w:rPr>
          <w:noProof/>
        </w:rPr>
      </w:pPr>
      <w:r>
        <w:t>1.3.</w:t>
      </w:r>
      <w:r>
        <w:tab/>
      </w:r>
      <w:r>
        <w:rPr>
          <w:noProof/>
        </w:rPr>
        <w:t xml:space="preserve">Jaký je názor </w:t>
      </w:r>
      <w:r>
        <w:rPr>
          <w:noProof/>
        </w:rPr>
        <w:t>zúčastněných stran?</w:t>
      </w:r>
    </w:p>
    <w:p w:rsidR="00AA4024" w:rsidRDefault="00E64ECA">
      <w:pPr>
        <w:rPr>
          <w:noProof/>
        </w:rPr>
      </w:pPr>
      <w:r>
        <w:rPr>
          <w:noProof/>
        </w:rPr>
        <w:t xml:space="preserve">Zúčastněné subjekty se shodují, že legislativní rámec pro bezpečnost osobních lodí je důležitý pro zlepšení bezpečnosti a že současně zajišťuje rovné podmínky. Při poslední veřejné konzultaci o námořní strategii 59 % zúčastněných stran </w:t>
      </w:r>
      <w:r>
        <w:rPr>
          <w:noProof/>
        </w:rPr>
        <w:t xml:space="preserve">souhlasilo, že stávající mezinárodní právní rámec a rámec EU pro bezpečnost lodí je adekvátní (26 % subjektů nevyjádřilo žádný názor). </w:t>
      </w:r>
    </w:p>
    <w:p w:rsidR="00AA4024" w:rsidRDefault="00E64ECA">
      <w:pPr>
        <w:rPr>
          <w:noProof/>
        </w:rPr>
      </w:pPr>
      <w:r>
        <w:rPr>
          <w:noProof/>
        </w:rPr>
        <w:t>Zúčastněné strany nicméně upozornily na některé problémy související s různorodým prováděním právního rámce pro bezpečno</w:t>
      </w:r>
      <w:r>
        <w:rPr>
          <w:noProof/>
        </w:rPr>
        <w:t xml:space="preserve">st osobních lodí, konkrétně na složitost a nejasnost řady definic a požadavků, překryv předpisů a zastaralé požadavky na podávání zpráv. </w:t>
      </w:r>
    </w:p>
    <w:p w:rsidR="00AA4024" w:rsidRDefault="00E64ECA">
      <w:pPr>
        <w:rPr>
          <w:noProof/>
        </w:rPr>
      </w:pPr>
      <w:r>
        <w:rPr>
          <w:noProof/>
        </w:rPr>
        <w:t>Vznesly rovněž pochybnosti ohledně přiměřenosti a vhodnosti bezpečnostních požadavků na malé lodě z oceli a ohledně ne</w:t>
      </w:r>
      <w:r>
        <w:rPr>
          <w:noProof/>
        </w:rPr>
        <w:t>zamýšlených důsledků pro lodě nacházející se mimo oblast působnosti stávajícího právního rámce. V důsledku toho byl formulován požadavek na zlepšení stávajícího regulačního rámce cestou zjednodušení pravidel, čímž by se usnadnila správa a vymáhání a odstra</w:t>
      </w:r>
      <w:r>
        <w:rPr>
          <w:noProof/>
        </w:rPr>
        <w:t>nily by se zbytečné náklady.</w:t>
      </w:r>
    </w:p>
    <w:p w:rsidR="00AA4024" w:rsidRDefault="00AA4024">
      <w:pPr>
        <w:rPr>
          <w:noProof/>
        </w:rPr>
      </w:pPr>
    </w:p>
    <w:p w:rsidR="00AA4024" w:rsidRDefault="00E64ECA">
      <w:pPr>
        <w:pStyle w:val="ManualNumPar1"/>
        <w:rPr>
          <w:noProof/>
        </w:rPr>
      </w:pPr>
      <w:r>
        <w:t>2.</w:t>
      </w:r>
      <w:r>
        <w:tab/>
      </w:r>
      <w:r>
        <w:rPr>
          <w:noProof/>
        </w:rPr>
        <w:t>Klíčové otázky pro hodnocení</w:t>
      </w:r>
    </w:p>
    <w:p w:rsidR="00AA4024" w:rsidRDefault="00AA4024">
      <w:pPr>
        <w:rPr>
          <w:noProof/>
        </w:rPr>
      </w:pPr>
    </w:p>
    <w:p w:rsidR="00AA4024" w:rsidRDefault="00E64ECA">
      <w:pPr>
        <w:pStyle w:val="ManualNumPar2"/>
        <w:rPr>
          <w:noProof/>
        </w:rPr>
      </w:pPr>
      <w:r>
        <w:t>2.1.</w:t>
      </w:r>
      <w:r>
        <w:tab/>
      </w:r>
      <w:r>
        <w:rPr>
          <w:noProof/>
        </w:rPr>
        <w:t>Je právní rámec EU pro bezpečnost osobních lodí vhodný k danému účelu?</w:t>
      </w:r>
    </w:p>
    <w:p w:rsidR="00AA4024" w:rsidRDefault="00E64ECA">
      <w:pPr>
        <w:rPr>
          <w:noProof/>
        </w:rPr>
      </w:pPr>
      <w:r>
        <w:rPr>
          <w:noProof/>
        </w:rPr>
        <w:t>Právní rámec EU pro bezpečnost osobních lodí je v zásadě vhodný k danému účelu. Zlepšil bezpečnost cestujících na oso</w:t>
      </w:r>
      <w:r>
        <w:rPr>
          <w:noProof/>
        </w:rPr>
        <w:t>bních lodích plavících se ve vodách EU a přispěl k rozvoji vnitřního trhu v oblasti námořní dopravy. Tuto bezpečnost lze nicméně dále zvýšit. Stejně tak existuje prostor pro zlepšení efektivity a přiměřenosti některých regulačních požadavků.</w:t>
      </w:r>
    </w:p>
    <w:p w:rsidR="00AA4024" w:rsidRDefault="00E64ECA">
      <w:pPr>
        <w:rPr>
          <w:noProof/>
        </w:rPr>
      </w:pPr>
      <w:r>
        <w:rPr>
          <w:noProof/>
        </w:rPr>
        <w:t>Osobní lodě pr</w:t>
      </w:r>
      <w:r>
        <w:rPr>
          <w:noProof/>
        </w:rPr>
        <w:t>ovozující vnitrostátní plavbu, které se řídí bezpečnostními normami EU</w:t>
      </w:r>
      <w:r>
        <w:rPr>
          <w:rStyle w:val="FootnoteReference"/>
          <w:noProof/>
        </w:rPr>
        <w:footnoteReference w:id="12"/>
      </w:r>
      <w:r>
        <w:rPr>
          <w:noProof/>
        </w:rPr>
        <w:t>, představují přibližně 30 % počtu plavidel provozujících vnitrostátní dopravu ve vodách EU, ale více než 60 % celkové kapacity pro přepravu cestujících. Většina cestujících tedy cestuj</w:t>
      </w:r>
      <w:r>
        <w:rPr>
          <w:noProof/>
        </w:rPr>
        <w:t>e na lodích vyhovujících společným bezpečnostním normám, což zajišťuje společnou úroveň bezpečnosti. Jedna třetina cestujících se plaví na lodích schválených podle vnitrostátních norem. Jedná se většinou o menší, na zakázku vyrobené lodě z kompozitních mat</w:t>
      </w:r>
      <w:r>
        <w:rPr>
          <w:noProof/>
        </w:rPr>
        <w:t xml:space="preserve">eriálů (cca. 12 %) nebo dřeva (cca. 18 %). </w:t>
      </w:r>
    </w:p>
    <w:p w:rsidR="00AA4024" w:rsidRDefault="00E64ECA">
      <w:pPr>
        <w:rPr>
          <w:noProof/>
        </w:rPr>
      </w:pPr>
      <w:r>
        <w:rPr>
          <w:noProof/>
        </w:rPr>
        <w:t>Ze 408 nehod, jež byly během posledních čtyř let u osobních lodí provozujících vnitrostátní plavbu zaznamenány, měla pouze jedna za následek smrt cestujícího</w:t>
      </w:r>
      <w:r>
        <w:rPr>
          <w:noProof/>
          <w:vertAlign w:val="superscript"/>
        </w:rPr>
        <w:footnoteReference w:id="13"/>
      </w:r>
      <w:r>
        <w:rPr>
          <w:noProof/>
        </w:rPr>
        <w:t>. Odpovídající riziko na jednoho cestujícího za hodinu</w:t>
      </w:r>
      <w:r>
        <w:rPr>
          <w:noProof/>
        </w:rPr>
        <w:t xml:space="preserve"> je nižší než u mezinárodních osobních lodí. Přestože byly následky nehod lodí EU provozujících vnitrostátní dopravu méně závažné než u mezinárodních osobních lodí, četnost nehod byla vyšší. Tato skutečnost není překvapující, jelikož doprava v pobřežních o</w:t>
      </w:r>
      <w:r>
        <w:rPr>
          <w:noProof/>
        </w:rPr>
        <w:t xml:space="preserve">blastech je intenzivnější a vyskytuje se v nich více mělkých vod, kde může dojít k najetí na mělčinu. </w:t>
      </w:r>
    </w:p>
    <w:p w:rsidR="00AA4024" w:rsidRDefault="00E64ECA">
      <w:pPr>
        <w:rPr>
          <w:noProof/>
        </w:rPr>
      </w:pPr>
      <w:r>
        <w:rPr>
          <w:noProof/>
        </w:rPr>
        <w:t>Právní předpisy EU o bezpečnosti osobních lodí rovněž usnadnily volný pohyb lodí mezi členskými státy EU. Údaje ukazují, že počet případů změny vlajky se</w:t>
      </w:r>
      <w:r>
        <w:rPr>
          <w:noProof/>
        </w:rPr>
        <w:t xml:space="preserve"> od roku 1998</w:t>
      </w:r>
      <w:r>
        <w:rPr>
          <w:rStyle w:val="FootnoteReference"/>
          <w:noProof/>
        </w:rPr>
        <w:footnoteReference w:id="14"/>
      </w:r>
      <w:r>
        <w:rPr>
          <w:noProof/>
        </w:rPr>
        <w:t xml:space="preserve"> zvýšil o 400 %. Je třeba uznat, že tento nárůst měl i jiné důvody (například vyšší poptávka po použitých plavidlech a jejich vyšší dostupnost na trhu), nicméně právní předpisy EU k tomuto trendu jistě přispěly. </w:t>
      </w:r>
    </w:p>
    <w:p w:rsidR="00AA4024" w:rsidRDefault="00E64ECA">
      <w:pPr>
        <w:rPr>
          <w:noProof/>
        </w:rPr>
      </w:pPr>
      <w:r>
        <w:rPr>
          <w:noProof/>
        </w:rPr>
        <w:t>Přestože některé vnitrostátní</w:t>
      </w:r>
      <w:r>
        <w:rPr>
          <w:noProof/>
        </w:rPr>
        <w:t xml:space="preserve"> orgány uváděly, že vzhledem k méně přísným vnitrostátním bezpečnostním normám mohla legislativa EU představovat pobídku ke stavbě většího počtu lodí z jiných materiálů než oceli, dostupná data nic takového neprokazují</w:t>
      </w:r>
      <w:r>
        <w:rPr>
          <w:rStyle w:val="FootnoteReference"/>
          <w:noProof/>
        </w:rPr>
        <w:footnoteReference w:id="15"/>
      </w:r>
      <w:r>
        <w:rPr>
          <w:noProof/>
        </w:rPr>
        <w:t>. Naproti tomu jiné zúčastněné strany</w:t>
      </w:r>
      <w:r>
        <w:rPr>
          <w:noProof/>
        </w:rPr>
        <w:t xml:space="preserve"> měly opačný názor a vyzvaly k vypracování harmonizovaných bezpečnostních norem EU pro lodě, jež v současnosti do působnosti právních předpisů EU nespadají (tj. lodě z jiných materiálů než oceli, např. rovnocenných materiálů, jako jsou kompozity).</w:t>
      </w:r>
    </w:p>
    <w:p w:rsidR="00AA4024" w:rsidRDefault="00AA4024">
      <w:pPr>
        <w:rPr>
          <w:noProof/>
        </w:rPr>
      </w:pPr>
    </w:p>
    <w:p w:rsidR="00AA4024" w:rsidRDefault="00E64ECA">
      <w:pPr>
        <w:pStyle w:val="ManualNumPar2"/>
        <w:rPr>
          <w:noProof/>
        </w:rPr>
      </w:pPr>
      <w:r>
        <w:t>2.2.</w:t>
      </w:r>
      <w:r>
        <w:tab/>
      </w:r>
      <w:r>
        <w:rPr>
          <w:noProof/>
        </w:rPr>
        <w:t>Co</w:t>
      </w:r>
      <w:r>
        <w:rPr>
          <w:noProof/>
        </w:rPr>
        <w:t xml:space="preserve"> podporuje účinnost právních předpisů EU o bezpečnosti osobních lodí a co jí brání?</w:t>
      </w:r>
    </w:p>
    <w:p w:rsidR="00AA4024" w:rsidRDefault="00E64ECA">
      <w:pPr>
        <w:rPr>
          <w:noProof/>
        </w:rPr>
      </w:pPr>
      <w:r>
        <w:rPr>
          <w:noProof/>
        </w:rPr>
        <w:t>Vzhledem k tomu, že lodní bezpečnostní normy je třeba neustále zdokonalovat, podporují účinnost právních předpisů EU o bezpečnosti osobních lodí pravidelné aktualizace na z</w:t>
      </w:r>
      <w:r>
        <w:rPr>
          <w:noProof/>
        </w:rPr>
        <w:t xml:space="preserve">ákladě získaných zkušeností a vědeckého pokroku. Pravidelný přezkum rovněž zajišťuje, aby byly bezpečnostní normy uplatňovány stejným způsobem a zůstaly přiměřené míře rizika. </w:t>
      </w:r>
    </w:p>
    <w:p w:rsidR="00AA4024" w:rsidRDefault="00E64ECA">
      <w:pPr>
        <w:rPr>
          <w:noProof/>
        </w:rPr>
      </w:pPr>
      <w:r>
        <w:rPr>
          <w:noProof/>
        </w:rPr>
        <w:t>Účinnosti právních předpisů EU o bezpečnosti osobních lodí brání jejich složitost a nejednoznačnost uplatňování (zejména pokud jde o lodě spadající do oblasti jejich působnosti), zastaralé oznamovací povinnosti (které nevyužívají současné digitální monitor</w:t>
      </w:r>
      <w:r>
        <w:rPr>
          <w:noProof/>
        </w:rPr>
        <w:t>ovací a informační systémy), nejasná prezentace technických bezpečnostních norem a to, že postupy aktualizace a osvobození z povinnosti jsou pomalé a obtížné. Vinou těchto nedostatků je monitorování, provádění a vynucování bezpečnostních norem suboptimální</w:t>
      </w:r>
      <w:r>
        <w:rPr>
          <w:noProof/>
        </w:rPr>
        <w:t xml:space="preserve"> a zbytečně složité. </w:t>
      </w:r>
    </w:p>
    <w:p w:rsidR="00AA4024" w:rsidRDefault="00E64ECA">
      <w:pPr>
        <w:rPr>
          <w:noProof/>
        </w:rPr>
      </w:pPr>
      <w:r>
        <w:rPr>
          <w:noProof/>
        </w:rPr>
        <w:t xml:space="preserve">Informovanost cestujících o právních předpisech EU o bezpečnosti osobních lodí a jejich výhodách je navíc nižší, než se očekávalo. To může souviset s relativně malou mírou organizace cestujících v námořní dopravě. </w:t>
      </w:r>
    </w:p>
    <w:p w:rsidR="00AA4024" w:rsidRDefault="00AA4024">
      <w:pPr>
        <w:rPr>
          <w:noProof/>
        </w:rPr>
      </w:pPr>
    </w:p>
    <w:p w:rsidR="00AA4024" w:rsidRDefault="00E64ECA">
      <w:pPr>
        <w:pStyle w:val="ManualNumPar2"/>
        <w:rPr>
          <w:noProof/>
        </w:rPr>
      </w:pPr>
      <w:r>
        <w:t>2.3.</w:t>
      </w:r>
      <w:r>
        <w:tab/>
      </w:r>
      <w:r>
        <w:rPr>
          <w:noProof/>
        </w:rPr>
        <w:t>Byla rizika ř</w:t>
      </w:r>
      <w:r>
        <w:rPr>
          <w:noProof/>
        </w:rPr>
        <w:t xml:space="preserve">ízena efektivně a přiměřeně? </w:t>
      </w:r>
    </w:p>
    <w:p w:rsidR="00AA4024" w:rsidRDefault="00E64ECA">
      <w:pPr>
        <w:rPr>
          <w:noProof/>
        </w:rPr>
      </w:pPr>
      <w:r>
        <w:rPr>
          <w:noProof/>
        </w:rPr>
        <w:t>Jak dokazují statistiky nehod, dosáhly stávající právní předpisy vysoké úrovně bezpečnosti cestujících. Neprokázalo se, že by regulační náklady související s bezpečnostními normami EU byly významné ve srovnání s vnitrostátními</w:t>
      </w:r>
      <w:r>
        <w:rPr>
          <w:noProof/>
        </w:rPr>
        <w:t xml:space="preserve"> normami, jež by byly jinak třeba. Odhadované rozdíly v regulačních nákladech představují pouze zlomek celkových nákladů na stavbu, provoz a údržbu. </w:t>
      </w:r>
    </w:p>
    <w:p w:rsidR="00AA4024" w:rsidRDefault="00E64ECA">
      <w:pPr>
        <w:rPr>
          <w:noProof/>
        </w:rPr>
      </w:pPr>
      <w:r>
        <w:rPr>
          <w:noProof/>
        </w:rPr>
        <w:t>Například součet dodatečných nákladů na kvantifikovatelnou část protipožárních opatření, záchranných prost</w:t>
      </w:r>
      <w:r>
        <w:rPr>
          <w:noProof/>
        </w:rPr>
        <w:t>ředků a počátečních prohlídek může u větších lodí činit pouhých 100 000 EUR, přičemž náklady na stavbu se počítají v desítkách, ne-li stovkách milionů. V relativních číslech platí totéž i pro malé lodě.</w:t>
      </w:r>
    </w:p>
    <w:p w:rsidR="00AA4024" w:rsidRDefault="00E64ECA">
      <w:pPr>
        <w:rPr>
          <w:noProof/>
        </w:rPr>
      </w:pPr>
      <w:r>
        <w:rPr>
          <w:noProof/>
        </w:rPr>
        <w:t>Rozdíl v nákladech na aktualizace bezpečnostních nore</w:t>
      </w:r>
      <w:r>
        <w:rPr>
          <w:noProof/>
        </w:rPr>
        <w:t xml:space="preserve">m na vnitrostátní úrovni oproti úrovni EU je rovněž pozoruhodný. Aktualizace vnitrostátních právních předpisů prováděná individuálně každým dotčeným členským státem by pro všechny vnitrostátní správní orgány celkem znamenala náklady mezi 150 000 a 200 000 </w:t>
      </w:r>
      <w:r>
        <w:rPr>
          <w:noProof/>
        </w:rPr>
        <w:t>EUR. To je přibližně desetkrát více než v současnosti, kdy se normy aktualizují na úrovni EU.</w:t>
      </w:r>
    </w:p>
    <w:p w:rsidR="00AA4024" w:rsidRDefault="00E64ECA">
      <w:pPr>
        <w:rPr>
          <w:noProof/>
        </w:rPr>
      </w:pPr>
      <w:r>
        <w:rPr>
          <w:noProof/>
        </w:rPr>
        <w:t xml:space="preserve">Na druhé straně překrývání a nejednotnost mezi různými režimy kontroly platnými pro osobní lodě typu ro-ro v EU (tj. inspekce osobních lodí typu ro-ro, prohlídky </w:t>
      </w:r>
      <w:r>
        <w:rPr>
          <w:noProof/>
        </w:rPr>
        <w:t xml:space="preserve">státu vlajky a státní přístavní inspekce) brání vnitrostátním orgánům plně optimalizovat svou kontrolní činnost. Rovněž brání maximalizaci doby, během níž je loď komerčně využívána. Pokud se různé druhy inspekcí v největší možné míře zkombinovaly, dalo by </w:t>
      </w:r>
      <w:r>
        <w:rPr>
          <w:noProof/>
        </w:rPr>
        <w:t>se v celé EU každoročně ušetřit 770 samostatných inspekcí osobních lodí typu ro-ro (pokud by byly využívány stejné trasy a lodě jako nyní).</w:t>
      </w:r>
    </w:p>
    <w:p w:rsidR="00AA4024" w:rsidRDefault="00E64ECA">
      <w:pPr>
        <w:rPr>
          <w:noProof/>
        </w:rPr>
      </w:pPr>
      <w:r>
        <w:rPr>
          <w:noProof/>
        </w:rPr>
        <w:t>Jako velmi komplikované a náročné se ukázalo schvalování systémů registrace cestujících, jež je pro některé vnitrost</w:t>
      </w:r>
      <w:r>
        <w:rPr>
          <w:noProof/>
        </w:rPr>
        <w:t>átní správní orgány zdrojem značné pracovní zátěže (např. 4 250 pracovních hodin v Řecku ve srovnání se 100 pracovními hodinami v Itálii). Tato pracovní zátěž a související náklady byly vyhodnoceny jako nepřiměřené.</w:t>
      </w:r>
    </w:p>
    <w:p w:rsidR="00AA4024" w:rsidRDefault="00E64ECA">
      <w:pPr>
        <w:rPr>
          <w:noProof/>
        </w:rPr>
      </w:pPr>
      <w:r>
        <w:rPr>
          <w:noProof/>
        </w:rPr>
        <w:t>Složitost režimu a překrývající se požad</w:t>
      </w:r>
      <w:r>
        <w:rPr>
          <w:noProof/>
        </w:rPr>
        <w:t>avky stanovené napříč různými právními předpisy jsou pro všechny aktéry velkým zdrojem frustrace a nákladovým faktorem.</w:t>
      </w:r>
    </w:p>
    <w:p w:rsidR="00AA4024" w:rsidRDefault="00AA4024">
      <w:pPr>
        <w:rPr>
          <w:noProof/>
        </w:rPr>
      </w:pPr>
    </w:p>
    <w:p w:rsidR="00E64ECA" w:rsidRDefault="00E64ECA">
      <w:pPr>
        <w:pStyle w:val="ManualNumPar2"/>
      </w:pPr>
    </w:p>
    <w:p w:rsidR="00E64ECA" w:rsidRDefault="00E64ECA">
      <w:pPr>
        <w:pStyle w:val="ManualNumPar2"/>
      </w:pPr>
    </w:p>
    <w:p w:rsidR="00AA4024" w:rsidRDefault="00E64ECA">
      <w:pPr>
        <w:pStyle w:val="ManualNumPar2"/>
        <w:rPr>
          <w:noProof/>
        </w:rPr>
      </w:pPr>
      <w:bookmarkStart w:id="1" w:name="_GoBack"/>
      <w:bookmarkEnd w:id="1"/>
      <w:r>
        <w:t>2.4.</w:t>
      </w:r>
      <w:r>
        <w:tab/>
      </w:r>
      <w:r>
        <w:rPr>
          <w:noProof/>
        </w:rPr>
        <w:t>Byla dodržena zásada subsidiarity – mohou cílů lépe dosáhnout individuálně jednající členské státy?</w:t>
      </w:r>
    </w:p>
    <w:p w:rsidR="00AA4024" w:rsidRDefault="00E64ECA">
      <w:pPr>
        <w:rPr>
          <w:noProof/>
        </w:rPr>
      </w:pPr>
      <w:r>
        <w:rPr>
          <w:noProof/>
        </w:rPr>
        <w:t>Právní předpisy EU o bezpečnosti osobních lodí zásadu subsidiarity obecně dodržují. Prokázalo se však, že stávající bezpečnostní normy pro malé lodě z oceli s délkou menší než 24 metrů musí být dále posouzeny s ohledem na stanovené cíle v oblasti bezpečnos</w:t>
      </w:r>
      <w:r>
        <w:rPr>
          <w:noProof/>
        </w:rPr>
        <w:t>ti a vnitřního trhu. Vzhledem k tomu, že se malé lodě stavějí převážně z materiálů jiných než ocel, na drtivou většinu tohoto loďstva (96 %) se harmonizované bezpečnostní normy EU v současnosti nevztahují. To znamená, že většina lodí o délce menší než 24 m</w:t>
      </w:r>
      <w:r>
        <w:rPr>
          <w:noProof/>
        </w:rPr>
        <w:t xml:space="preserve"> je již certifikovaná podle vnitrostátních právních předpisů. </w:t>
      </w:r>
    </w:p>
    <w:p w:rsidR="00AA4024" w:rsidRDefault="00E64ECA">
      <w:pPr>
        <w:rPr>
          <w:noProof/>
        </w:rPr>
      </w:pPr>
      <w:r>
        <w:rPr>
          <w:noProof/>
        </w:rPr>
        <w:t>Nehody zaznamenané u malých lodí mimo oblast působnosti norem EU nenaznačují zvláštní bezpečnostní problémy (pět úmrtí za poslední čtyři roky, všechna jako následek pracovních úrazů). Krom toho</w:t>
      </w:r>
      <w:r>
        <w:rPr>
          <w:noProof/>
        </w:rPr>
        <w:t xml:space="preserve"> i v případě těch lodí, na které se normy EU vztahují, nedochází prakticky k žádným změnám vlajky mezi členskými státy. </w:t>
      </w:r>
    </w:p>
    <w:p w:rsidR="00AA4024" w:rsidRDefault="00E64ECA">
      <w:pPr>
        <w:rPr>
          <w:noProof/>
        </w:rPr>
      </w:pPr>
      <w:r>
        <w:rPr>
          <w:noProof/>
        </w:rPr>
        <w:t>Široká škála funkcí, jež tato plavidla plní (např. denní nebo noční plavby, denní turistické vyjížďky, návštěvy přístavů s určitými ome</w:t>
      </w:r>
      <w:r>
        <w:rPr>
          <w:noProof/>
        </w:rPr>
        <w:t>zeními nebo určitou infrastrukturou), vede k velmi širokému rozsahu konstrukcí a technických řešení. Stanovení společného souboru pravidel pro menší plavidla, odpovídajících těmto různorodým funkcím, je tak nesmírně obtížné. Členské státy by proto měly být</w:t>
      </w:r>
      <w:r>
        <w:rPr>
          <w:noProof/>
        </w:rPr>
        <w:t xml:space="preserve"> schopny lépe posoudit citlivost těchto lodí vůči místním provozním podmínkám, které se napříč EU značně liší. Na druhé straně některé loděnice</w:t>
      </w:r>
      <w:r>
        <w:rPr>
          <w:rStyle w:val="FootnoteReference"/>
          <w:noProof/>
        </w:rPr>
        <w:footnoteReference w:id="16"/>
      </w:r>
      <w:r>
        <w:rPr>
          <w:noProof/>
        </w:rPr>
        <w:t xml:space="preserve"> upozornily, že vypracování norem EU pro všechny malé lodě (bez ohledu na materiál, z něhož jsou postaveny) by j</w:t>
      </w:r>
      <w:r>
        <w:rPr>
          <w:noProof/>
        </w:rPr>
        <w:t xml:space="preserve">im umožnilo prodávat své produkty hladce a rychle ve všech členských státech EU. </w:t>
      </w:r>
    </w:p>
    <w:p w:rsidR="00AA4024" w:rsidRDefault="00AA4024">
      <w:pPr>
        <w:rPr>
          <w:noProof/>
        </w:rPr>
      </w:pPr>
    </w:p>
    <w:p w:rsidR="00AA4024" w:rsidRDefault="00E64ECA">
      <w:pPr>
        <w:pStyle w:val="ManualNumPar2"/>
        <w:rPr>
          <w:noProof/>
        </w:rPr>
      </w:pPr>
      <w:r>
        <w:t>2.5.</w:t>
      </w:r>
      <w:r>
        <w:tab/>
      </w:r>
      <w:r>
        <w:rPr>
          <w:noProof/>
        </w:rPr>
        <w:t>Byly by mezinárodní bezpečnostní normy účinnější nebo efektivnější než stávající normy EU?</w:t>
      </w:r>
    </w:p>
    <w:p w:rsidR="00AA4024" w:rsidRDefault="00E64ECA">
      <w:pPr>
        <w:rPr>
          <w:i/>
          <w:noProof/>
        </w:rPr>
      </w:pPr>
      <w:r>
        <w:rPr>
          <w:noProof/>
        </w:rPr>
        <w:t>Pokud jde vnitrostátní plavbu, je nepravděpodobné, že by mezinárodní normy by</w:t>
      </w:r>
      <w:r>
        <w:rPr>
          <w:noProof/>
        </w:rPr>
        <w:t>ly účinnější či efektivnější než stávající normy EU. Mezinárodní normy IMO se nepoužijí. Při neexistenci norem EU by členské státy buď musely vypracovat své vlastní právní předpisy, nebo přijmout mezinárodní pravidla, která však nejsou pro vnitrostátní pla</w:t>
      </w:r>
      <w:r>
        <w:rPr>
          <w:noProof/>
        </w:rPr>
        <w:t>vbu zcela adekvátní a musela by být odpovídajícím způsobem upravena. To by také vyžadovalo pravidelné aktualizace, aby předpisy držely krok s vývojem v technologiích stavby lodí</w:t>
      </w:r>
      <w:r>
        <w:rPr>
          <w:rStyle w:val="FootnoteReference"/>
          <w:noProof/>
        </w:rPr>
        <w:footnoteReference w:id="17"/>
      </w:r>
      <w:r>
        <w:rPr>
          <w:noProof/>
        </w:rPr>
        <w:t xml:space="preserve">. V každém případě by tak nebylo dosaženo společné úrovně bezpečnosti, ani by </w:t>
      </w:r>
      <w:r>
        <w:rPr>
          <w:noProof/>
        </w:rPr>
        <w:t>nebyl vytvářen vnitřní trh. Kromě toho normy EU stanoví povinnost zajistit přístup osobám se sníženou pohyblivostí, což je v mezinárodních normách pouze doporučeno.</w:t>
      </w:r>
    </w:p>
    <w:p w:rsidR="00AA4024" w:rsidRDefault="00E64ECA">
      <w:pPr>
        <w:rPr>
          <w:noProof/>
        </w:rPr>
      </w:pPr>
      <w:r>
        <w:rPr>
          <w:noProof/>
        </w:rPr>
        <w:t>U mezinárodní plavby je situace odlišná. Plné převzetí příslušných mezinárodních norem by b</w:t>
      </w:r>
      <w:r>
        <w:rPr>
          <w:noProof/>
        </w:rPr>
        <w:t>ylo účinnější a efektivnější, pokud by zaručovaly odpovídající úroveň bezpečnosti. Nemusí tak tomu však být vždy. Proto je považováno za nejlepší řešení mít například přísnější požadavky na stabilitu v narušeném stavu u osobních lodí typu ro-ro plujících m</w:t>
      </w:r>
      <w:r>
        <w:rPr>
          <w:noProof/>
        </w:rPr>
        <w:t>ezi přístavy EU</w:t>
      </w:r>
      <w:r>
        <w:rPr>
          <w:noProof/>
          <w:vertAlign w:val="superscript"/>
        </w:rPr>
        <w:footnoteReference w:id="18"/>
      </w:r>
      <w:r>
        <w:rPr>
          <w:noProof/>
        </w:rPr>
        <w:t xml:space="preserve">. To v současnosti zajišťuje odpovídající úroveň bezpečnosti pro tento typ lodí, který je v EU nejrozšířenější. </w:t>
      </w:r>
    </w:p>
    <w:p w:rsidR="00AA4024" w:rsidRDefault="00E64ECA">
      <w:pPr>
        <w:rPr>
          <w:noProof/>
        </w:rPr>
      </w:pPr>
      <w:r>
        <w:rPr>
          <w:noProof/>
        </w:rPr>
        <w:t>Za absence donucovacího mechanismu na mezinárodní úrovni zůstávají aktuální kontrolní režimy EU platné pro vnitrostátní i mezin</w:t>
      </w:r>
      <w:r>
        <w:rPr>
          <w:noProof/>
        </w:rPr>
        <w:t>árodní osobní lodě nezbytným předpokladem zachování vysoké úrovně bezpečnosti cestujících osobních lodí a vyloučení nevyhovujících plavidel.</w:t>
      </w:r>
      <w:r>
        <w:rPr>
          <w:noProof/>
        </w:rPr>
        <w:tab/>
      </w:r>
    </w:p>
    <w:p w:rsidR="00AA4024" w:rsidRDefault="00E64ECA">
      <w:pPr>
        <w:rPr>
          <w:noProof/>
        </w:rPr>
      </w:pPr>
      <w:r>
        <w:rPr>
          <w:noProof/>
        </w:rPr>
        <w:t xml:space="preserve"> </w:t>
      </w:r>
    </w:p>
    <w:p w:rsidR="00AA4024" w:rsidRDefault="00E64ECA">
      <w:pPr>
        <w:pStyle w:val="ManualNumPar1"/>
        <w:rPr>
          <w:noProof/>
        </w:rPr>
      </w:pPr>
      <w:r>
        <w:t>3.</w:t>
      </w:r>
      <w:r>
        <w:tab/>
      </w:r>
      <w:r>
        <w:rPr>
          <w:noProof/>
        </w:rPr>
        <w:t>Výsledky kontroly účelnosti</w:t>
      </w:r>
    </w:p>
    <w:p w:rsidR="00AA4024" w:rsidRDefault="00E64ECA">
      <w:pPr>
        <w:rPr>
          <w:noProof/>
        </w:rPr>
      </w:pPr>
      <w:r>
        <w:rPr>
          <w:noProof/>
        </w:rPr>
        <w:t>Z kontroly účelnosti vyplynulo, že hlavní cíle právních předpisů EU o bezpečnosti</w:t>
      </w:r>
      <w:r>
        <w:rPr>
          <w:noProof/>
        </w:rPr>
        <w:t xml:space="preserve"> osobních lodí týkající se bezpečnosti cestujících a vnitřního trhu zůstávají vysoce relevantní. Odhalila však také, že těchto cílů lze v některých případech dosáhnout jednodušším a jasnějším způsobem.</w:t>
      </w:r>
    </w:p>
    <w:p w:rsidR="00AA4024" w:rsidRDefault="00E64ECA">
      <w:pPr>
        <w:rPr>
          <w:noProof/>
        </w:rPr>
      </w:pPr>
      <w:r>
        <w:rPr>
          <w:noProof/>
        </w:rPr>
        <w:t>V některých oblastech byl zjištěn potenciál ke zjednod</w:t>
      </w:r>
      <w:r>
        <w:rPr>
          <w:noProof/>
        </w:rPr>
        <w:t>ušení, vyjasnění či zrušení řady nejednoznačných, zastaralých nebo překrývajících se požadavků:</w:t>
      </w:r>
    </w:p>
    <w:p w:rsidR="00AA4024" w:rsidRDefault="00E64ECA">
      <w:pPr>
        <w:pStyle w:val="Bullet0"/>
        <w:rPr>
          <w:noProof/>
        </w:rPr>
      </w:pPr>
      <w:r>
        <w:rPr>
          <w:b/>
          <w:noProof/>
        </w:rPr>
        <w:t>Složitost a administrativní zátěž:</w:t>
      </w:r>
      <w:r>
        <w:rPr>
          <w:noProof/>
        </w:rPr>
        <w:t xml:space="preserve"> Bylo zjištěno, že povinné prohlídky pro bezpečné provozování pravidelných trajektů typu ro-ro se výrazně překrývají s jinými </w:t>
      </w:r>
      <w:r>
        <w:rPr>
          <w:noProof/>
        </w:rPr>
        <w:t>typy prohlídek a inspekcí (zejména s prohlídkami státu vlajky a kontrolami státní přístavní inspekce). Členské státy tyto požadavky implementovaly pragmaticky, takže stávající právní rámec již neodráží skutečný stav věcí. Složitost právních předpisů EU o b</w:t>
      </w:r>
      <w:r>
        <w:rPr>
          <w:noProof/>
        </w:rPr>
        <w:t>ezpečnosti osobních lodí zhoršuje zastaralý formát bezpečnostních norem pro osobní lodě provozující vnitrostátní plavbu</w:t>
      </w:r>
      <w:r>
        <w:rPr>
          <w:noProof/>
          <w:vertAlign w:val="superscript"/>
        </w:rPr>
        <w:footnoteReference w:id="19"/>
      </w:r>
      <w:r>
        <w:rPr>
          <w:noProof/>
        </w:rPr>
        <w:t xml:space="preserve">, jejichž porovnání se stávajícími mezinárodními požadavky se v průběhu času stalo nesmírně obtížné. </w:t>
      </w:r>
    </w:p>
    <w:p w:rsidR="00AA4024" w:rsidRDefault="00E64ECA">
      <w:pPr>
        <w:pStyle w:val="Bullet0"/>
        <w:rPr>
          <w:noProof/>
        </w:rPr>
      </w:pPr>
      <w:r>
        <w:rPr>
          <w:b/>
          <w:noProof/>
        </w:rPr>
        <w:t>Nejednoznačnost a nedostatečná tra</w:t>
      </w:r>
      <w:r>
        <w:rPr>
          <w:b/>
          <w:noProof/>
        </w:rPr>
        <w:t>nsparentnost:</w:t>
      </w:r>
      <w:r>
        <w:rPr>
          <w:noProof/>
        </w:rPr>
        <w:t xml:space="preserve"> Kontrola účelnosti ukázala, že řada ustanovení, definic a požadavků je do té míry nejednoznačných, že v některých případech mohou bránit účinnému provádění právních předpisů. Týká se to především oblasti působnosti a uplatňování harmonizovaný</w:t>
      </w:r>
      <w:r>
        <w:rPr>
          <w:noProof/>
        </w:rPr>
        <w:t xml:space="preserve">ch norem EU, například pokud jde o typ lodí, jehož se týkají, nebo pravidelnost inspekcí. </w:t>
      </w:r>
    </w:p>
    <w:p w:rsidR="00AA4024" w:rsidRDefault="00E64ECA">
      <w:pPr>
        <w:pStyle w:val="Bullet0"/>
        <w:rPr>
          <w:noProof/>
        </w:rPr>
      </w:pPr>
      <w:r>
        <w:rPr>
          <w:b/>
          <w:noProof/>
        </w:rPr>
        <w:t xml:space="preserve">Nepřiměřené požadavky: </w:t>
      </w:r>
      <w:r>
        <w:rPr>
          <w:noProof/>
        </w:rPr>
        <w:t>Malé lodě jsou definovány jako lodě kratší než 24 m. Tato definice je při stanovení použitelných technických bezpečnostních norem považována z</w:t>
      </w:r>
      <w:r>
        <w:rPr>
          <w:noProof/>
        </w:rPr>
        <w:t>a nejvhodnější. Jelikož jsou malé lodě citlivější vůči místním provozním podmínkám, měly by být členské státy schopny lépe posoudit konkrétní rizika a stanovit odpovídající bezpečnostní normy. Kromě toho na rozdíl od větších lodí jsou malé lodě obvykle do </w:t>
      </w:r>
      <w:r>
        <w:rPr>
          <w:noProof/>
        </w:rPr>
        <w:t xml:space="preserve">konce své provozní životnosti provozovány ve stejném členském státě a k jejich transferu mezi členskými státy nedochází často. Závazné normy EU platné pouze pro malé lodě z oceli (což zahrnuje cca. 70 z 1 950 malých lodí) byly vyhodnoceny jako nepřiměřené </w:t>
      </w:r>
      <w:r>
        <w:rPr>
          <w:noProof/>
        </w:rPr>
        <w:t xml:space="preserve">a neposkytují dostatečnou přidanou hodnotu na úrovni EU, aby byly zachovány. Některé zúčastněné subjekty nicméně zmínily možnost vypracování pokynů nebo kodexu pro malá plavidla, aby se výrobcům v Unii usnadnil přístup na širší trh EU. </w:t>
      </w:r>
    </w:p>
    <w:p w:rsidR="00AA4024" w:rsidRDefault="00E64ECA">
      <w:pPr>
        <w:rPr>
          <w:noProof/>
        </w:rPr>
      </w:pPr>
      <w:r>
        <w:rPr>
          <w:noProof/>
        </w:rPr>
        <w:t>Kromě zjištěného po</w:t>
      </w:r>
      <w:r>
        <w:rPr>
          <w:noProof/>
        </w:rPr>
        <w:t>tenciálu pro zjednodušení kontrola účelnosti rovněž odhalila řadu problémů, které zbytečně snižují efektivitu pátracích a záchranných operací:</w:t>
      </w:r>
    </w:p>
    <w:p w:rsidR="00AA4024" w:rsidRDefault="00E64ECA">
      <w:pPr>
        <w:pStyle w:val="Bullet0"/>
        <w:rPr>
          <w:noProof/>
        </w:rPr>
      </w:pPr>
      <w:r>
        <w:rPr>
          <w:b/>
          <w:noProof/>
        </w:rPr>
        <w:t>Zastaralá podpora pátracích a záchranných operací:</w:t>
      </w:r>
      <w:r>
        <w:rPr>
          <w:noProof/>
        </w:rPr>
        <w:t xml:space="preserve"> Ze zkušeností vyplývá, že efektivní pátrací a záchranné operac</w:t>
      </w:r>
      <w:r>
        <w:rPr>
          <w:noProof/>
        </w:rPr>
        <w:t>e vyžadují okamžitý přístup k přesným údajům o osobách na palubě, tyto údaje však nejsou vždy k dispozici. Podle současných požadavků musí být uvedené informace uloženy v systému dané společnosti a musí být vždy okamžitě dostupné k předání příslušnému orgá</w:t>
      </w:r>
      <w:r>
        <w:rPr>
          <w:noProof/>
        </w:rPr>
        <w:t>nu odpovědnému za pátrání a záchranu. Tento požadavek, pocházející z roku 1998, opomíjí rozvoj systémů, jako je SafeSeaNet</w:t>
      </w:r>
      <w:r>
        <w:rPr>
          <w:noProof/>
          <w:vertAlign w:val="superscript"/>
        </w:rPr>
        <w:footnoteReference w:id="20"/>
      </w:r>
      <w:r>
        <w:rPr>
          <w:noProof/>
        </w:rPr>
        <w:t xml:space="preserve"> a vnitrostátní jednotný portál</w:t>
      </w:r>
      <w:r>
        <w:rPr>
          <w:noProof/>
          <w:vertAlign w:val="superscript"/>
        </w:rPr>
        <w:footnoteReference w:id="21"/>
      </w:r>
      <w:r>
        <w:rPr>
          <w:noProof/>
        </w:rPr>
        <w:t xml:space="preserve"> a vyžaduje, aby příslušný vnitrostátní orgán v případě mimořádné události kontaktoval dopravní spole</w:t>
      </w:r>
      <w:r>
        <w:rPr>
          <w:noProof/>
        </w:rPr>
        <w:t xml:space="preserve">čnost. Zaznamenané údaje navíc neobsahují vždy informace o státní příslušnosti (tj. kromě jména, věku a pohlaví), čímž se poskytování pomoci obětem a jejich příbuzným zbytečně komplikuje. Provozovatelé, kteří tyto údaje již předávají do systému SafeSeaNet </w:t>
      </w:r>
      <w:r>
        <w:rPr>
          <w:noProof/>
        </w:rPr>
        <w:t xml:space="preserve">nebo do vnitrostátního jednotného portálu, musí informace poskytovat dvojmo. </w:t>
      </w:r>
    </w:p>
    <w:p w:rsidR="00AA4024" w:rsidRDefault="00E64ECA">
      <w:pPr>
        <w:rPr>
          <w:noProof/>
        </w:rPr>
      </w:pPr>
      <w:r>
        <w:rPr>
          <w:noProof/>
        </w:rPr>
        <w:t xml:space="preserve">Kontrola účelnosti také zjistila některé další zásadní otázky týkající se adekvátnosti a přiměřenosti současných bezpečnostních norem: </w:t>
      </w:r>
    </w:p>
    <w:p w:rsidR="00AA4024" w:rsidRDefault="00E64ECA">
      <w:pPr>
        <w:pStyle w:val="Bullet0"/>
        <w:rPr>
          <w:b/>
          <w:noProof/>
        </w:rPr>
      </w:pPr>
      <w:r>
        <w:rPr>
          <w:b/>
          <w:noProof/>
        </w:rPr>
        <w:t>Otázky související s bezpečností, které vy</w:t>
      </w:r>
      <w:r>
        <w:rPr>
          <w:b/>
          <w:noProof/>
        </w:rPr>
        <w:t xml:space="preserve">žadují další posouzení: </w:t>
      </w:r>
      <w:r>
        <w:rPr>
          <w:noProof/>
        </w:rPr>
        <w:t>Tato témata budou vyžadovat další posouzení a konzultace s odborníky. Patří mezi ně rozdíly v požadavcích na bezpečnost mezi jednotlivými třídami lodí a odpovídajícími námořními oblastmi, širší uplatňování inspekčního režimu pro oso</w:t>
      </w:r>
      <w:r>
        <w:rPr>
          <w:noProof/>
        </w:rPr>
        <w:t>bní lodě typu ro-ro a možnost vypracovat harmonizované normy pro lodě postavené z jiných materiálů než oceli nebo rovnocenných materiálů, na něž se regulační rámec EU v současnosti nevztahuje.</w:t>
      </w:r>
    </w:p>
    <w:p w:rsidR="00AA4024" w:rsidRDefault="00E64ECA">
      <w:pPr>
        <w:pStyle w:val="Bullet0"/>
        <w:numPr>
          <w:ilvl w:val="0"/>
          <w:numId w:val="0"/>
        </w:numPr>
        <w:ind w:left="850"/>
        <w:rPr>
          <w:noProof/>
        </w:rPr>
      </w:pPr>
      <w:r>
        <w:rPr>
          <w:noProof/>
        </w:rPr>
        <w:t>Důležité je, že než bude možné plánovat další opatření na úrovn</w:t>
      </w:r>
      <w:r>
        <w:rPr>
          <w:noProof/>
        </w:rPr>
        <w:t>i EU, některé z těchto otázek by možná bylo lepší řešit nejprve na mezinárodní úrovni – zejména pokud jde o přezkum platných požadavků na stabilitu v narušeném stavu.</w:t>
      </w:r>
    </w:p>
    <w:p w:rsidR="00AA4024" w:rsidRDefault="00AA4024">
      <w:pPr>
        <w:rPr>
          <w:b/>
          <w:noProof/>
        </w:rPr>
      </w:pPr>
    </w:p>
    <w:p w:rsidR="00AA4024" w:rsidRDefault="00E64ECA">
      <w:pPr>
        <w:pStyle w:val="ManualNumPar1"/>
        <w:rPr>
          <w:noProof/>
        </w:rPr>
      </w:pPr>
      <w:r>
        <w:t>4.</w:t>
      </w:r>
      <w:r>
        <w:tab/>
      </w:r>
      <w:r>
        <w:rPr>
          <w:noProof/>
        </w:rPr>
        <w:t xml:space="preserve">Návazná opatření </w:t>
      </w:r>
    </w:p>
    <w:p w:rsidR="00AA4024" w:rsidRDefault="00AA4024">
      <w:pPr>
        <w:rPr>
          <w:noProof/>
        </w:rPr>
      </w:pPr>
    </w:p>
    <w:p w:rsidR="00AA4024" w:rsidRDefault="00E64ECA">
      <w:pPr>
        <w:pStyle w:val="ManualNumPar2"/>
        <w:rPr>
          <w:noProof/>
        </w:rPr>
      </w:pPr>
      <w:r>
        <w:t>4.1.</w:t>
      </w:r>
      <w:r>
        <w:tab/>
      </w:r>
      <w:r>
        <w:rPr>
          <w:noProof/>
        </w:rPr>
        <w:t>První krok</w:t>
      </w:r>
    </w:p>
    <w:p w:rsidR="00AA4024" w:rsidRDefault="00E64ECA">
      <w:pPr>
        <w:rPr>
          <w:b/>
          <w:noProof/>
        </w:rPr>
      </w:pPr>
      <w:r>
        <w:rPr>
          <w:noProof/>
        </w:rPr>
        <w:t xml:space="preserve">Komise za podpory agentury EMSA a ve spolupráci </w:t>
      </w:r>
      <w:r>
        <w:rPr>
          <w:noProof/>
        </w:rPr>
        <w:t>s členskými státy a zúčastněnými stranami zváží návrh zjednodušeného regulačního rámce pro bezpečnost osobních lodí v EU a bude na mezinárodní úrovni prosazovat modernizaci norem týkajících se stability v narušeném stavu.</w:t>
      </w:r>
    </w:p>
    <w:p w:rsidR="00AA4024" w:rsidRDefault="00E64ECA">
      <w:pPr>
        <w:rPr>
          <w:noProof/>
        </w:rPr>
      </w:pPr>
      <w:r>
        <w:rPr>
          <w:b/>
          <w:noProof/>
        </w:rPr>
        <w:t>Zjednodušení regulačního rámce pro</w:t>
      </w:r>
      <w:r>
        <w:rPr>
          <w:b/>
          <w:noProof/>
        </w:rPr>
        <w:t xml:space="preserve"> bezpečnost osobních lodí v EU: </w:t>
      </w:r>
      <w:r>
        <w:rPr>
          <w:noProof/>
        </w:rPr>
        <w:t>Aniž by měnila cíle své politiky a klíčové mechanismy pro jejich dosažení, má Komise v úmyslu zvážit návrhy odstraňující zastaralé, nejednoznačné nebo překrývající se požadavky identifikované při kontrole účelnosti, a to zej</w:t>
      </w:r>
      <w:r>
        <w:rPr>
          <w:noProof/>
        </w:rPr>
        <w:t>ména těmito kroky:</w:t>
      </w:r>
    </w:p>
    <w:p w:rsidR="00AA4024" w:rsidRDefault="00E64ECA">
      <w:pPr>
        <w:pStyle w:val="Bullet0"/>
        <w:rPr>
          <w:noProof/>
        </w:rPr>
      </w:pPr>
      <w:r>
        <w:rPr>
          <w:noProof/>
        </w:rPr>
        <w:t>odstraněním překryvů mezi zvláštními prohlídkami podle směrnice 1999/35/ES, rozšířenými kontrolami státní přístavní inspekce a ročními prohlídkami státu vlajky</w:t>
      </w:r>
    </w:p>
    <w:p w:rsidR="00AA4024" w:rsidRDefault="00E64ECA">
      <w:pPr>
        <w:pStyle w:val="Bullet0"/>
        <w:rPr>
          <w:noProof/>
        </w:rPr>
      </w:pPr>
      <w:r>
        <w:rPr>
          <w:noProof/>
        </w:rPr>
        <w:t xml:space="preserve">vyjasněním toho, že pro účely směrnice 2009/45/ES: a) je hliník materiálem </w:t>
      </w:r>
      <w:r>
        <w:rPr>
          <w:noProof/>
        </w:rPr>
        <w:t>rovnocenným oceli (v rámci vyjasněných požadavků na odpovídající protipožární izolaci) a že b) pobřežní servisní plavidla a tradiční lodě do oblasti působnosti uvedené směrnice nespadají</w:t>
      </w:r>
    </w:p>
    <w:p w:rsidR="00AA4024" w:rsidRDefault="00E64ECA">
      <w:pPr>
        <w:pStyle w:val="Bullet0"/>
        <w:rPr>
          <w:noProof/>
        </w:rPr>
      </w:pPr>
      <w:r>
        <w:rPr>
          <w:noProof/>
        </w:rPr>
        <w:t xml:space="preserve">vyjasněním definic týkajících se požadavků na registraci cestujících </w:t>
      </w:r>
      <w:r>
        <w:rPr>
          <w:noProof/>
        </w:rPr>
        <w:t xml:space="preserve">ve směrnici 98/41/ES, jako je délka plavby </w:t>
      </w:r>
    </w:p>
    <w:p w:rsidR="00AA4024" w:rsidRDefault="00E64ECA">
      <w:pPr>
        <w:pStyle w:val="Bullet0"/>
        <w:rPr>
          <w:noProof/>
        </w:rPr>
      </w:pPr>
      <w:r>
        <w:rPr>
          <w:noProof/>
        </w:rPr>
        <w:t xml:space="preserve">zjednodušením definice námořní oblasti ve směrnici 2009/45/ES </w:t>
      </w:r>
    </w:p>
    <w:p w:rsidR="00AA4024" w:rsidRDefault="00E64ECA">
      <w:pPr>
        <w:pStyle w:val="Bullet0"/>
        <w:rPr>
          <w:noProof/>
        </w:rPr>
      </w:pPr>
      <w:r>
        <w:rPr>
          <w:noProof/>
        </w:rPr>
        <w:t>zjednodušením přílohy směrnice 2009/45/ES pro lepší přehlednost</w:t>
      </w:r>
    </w:p>
    <w:p w:rsidR="00AA4024" w:rsidRDefault="00E64ECA">
      <w:pPr>
        <w:rPr>
          <w:noProof/>
        </w:rPr>
      </w:pPr>
      <w:r>
        <w:rPr>
          <w:noProof/>
        </w:rPr>
        <w:t>Komise rovněž zváží návrhy odstraňující nepřiměřené požadavky, zejména těmito kroky:</w:t>
      </w:r>
    </w:p>
    <w:p w:rsidR="00AA4024" w:rsidRDefault="00E64ECA">
      <w:pPr>
        <w:pStyle w:val="Bullet0"/>
        <w:rPr>
          <w:noProof/>
        </w:rPr>
      </w:pPr>
      <w:r>
        <w:rPr>
          <w:noProof/>
        </w:rPr>
        <w:t>vyloučením osobních lodí postavených z oceli nebo rovnocenného materiálu a o délce kratší než 24 m z působnosti směrnice 2009/45/ES</w:t>
      </w:r>
    </w:p>
    <w:p w:rsidR="00AA4024" w:rsidRDefault="00E64ECA">
      <w:pPr>
        <w:pStyle w:val="Bullet0"/>
        <w:rPr>
          <w:noProof/>
        </w:rPr>
      </w:pPr>
      <w:r>
        <w:rPr>
          <w:noProof/>
        </w:rPr>
        <w:t>zrušením požadavku na formální schválení systému registrace cestujících, jenž je aktuálně stanoven ve směrnici 98/41/ES; nam</w:t>
      </w:r>
      <w:r>
        <w:rPr>
          <w:noProof/>
        </w:rPr>
        <w:t>ísto toho by byl kladen důraz na jeho řádné fungování</w:t>
      </w:r>
    </w:p>
    <w:p w:rsidR="00AA4024" w:rsidRDefault="00E64ECA">
      <w:pPr>
        <w:rPr>
          <w:noProof/>
        </w:rPr>
      </w:pPr>
      <w:r>
        <w:rPr>
          <w:noProof/>
        </w:rPr>
        <w:t>Za účelem odstranění zdvojených požadavků na podávání zpráv a zvýšení efektivity pátracích a záchranných operací Komise zváží stanovení těchto požadavků:</w:t>
      </w:r>
    </w:p>
    <w:p w:rsidR="00AA4024" w:rsidRDefault="00E64ECA">
      <w:pPr>
        <w:pStyle w:val="Bullet0"/>
        <w:rPr>
          <w:noProof/>
        </w:rPr>
      </w:pPr>
      <w:r>
        <w:rPr>
          <w:noProof/>
        </w:rPr>
        <w:t>zaznamenávání údajů o osobách na palubě do exist</w:t>
      </w:r>
      <w:r>
        <w:rPr>
          <w:noProof/>
        </w:rPr>
        <w:t xml:space="preserve">ujícího elektronického systému, který v případě mimořádné události nebo nehody umožní okamžité předání údajů příslušnému orgánu </w:t>
      </w:r>
    </w:p>
    <w:p w:rsidR="00AA4024" w:rsidRDefault="00E64ECA">
      <w:pPr>
        <w:pStyle w:val="Bullet0"/>
        <w:rPr>
          <w:noProof/>
        </w:rPr>
      </w:pPr>
      <w:r>
        <w:rPr>
          <w:noProof/>
        </w:rPr>
        <w:t>zaznamenání státní příslušnosti cestujících a předání těchto údajů příslušnému orgánu za použití stejných prostředků a kritérií</w:t>
      </w:r>
      <w:r>
        <w:rPr>
          <w:noProof/>
        </w:rPr>
        <w:t>, jaké se již používají pro záznam a předávání již požadovaných informací o osobách na palubě</w:t>
      </w:r>
    </w:p>
    <w:p w:rsidR="00AA4024" w:rsidRDefault="00E64ECA">
      <w:pPr>
        <w:rPr>
          <w:noProof/>
        </w:rPr>
      </w:pPr>
      <w:r>
        <w:rPr>
          <w:b/>
          <w:noProof/>
        </w:rPr>
        <w:t xml:space="preserve">Prosazování modernizace mezinárodních norem: </w:t>
      </w:r>
      <w:r>
        <w:rPr>
          <w:noProof/>
        </w:rPr>
        <w:t xml:space="preserve">Na mezinárodní úrovni bude Komise za podpory agentury EMSA a ve spolupráci s členskými státy a zúčastněnými stranami </w:t>
      </w:r>
      <w:r>
        <w:rPr>
          <w:noProof/>
        </w:rPr>
        <w:t>prosazovat modernizaci mezinárodních norem týkajících se stability osobních lodí v narušeném stavu a zváží, že Mezinárodní námořní organizaci navrhne:</w:t>
      </w:r>
    </w:p>
    <w:p w:rsidR="00AA4024" w:rsidRDefault="00E64ECA">
      <w:pPr>
        <w:pStyle w:val="Bullet0"/>
        <w:rPr>
          <w:noProof/>
        </w:rPr>
      </w:pPr>
      <w:r>
        <w:rPr>
          <w:noProof/>
        </w:rPr>
        <w:t>technický příspěvek na zasedání skupiny odborníků pro formální posouzení bezpečnosti v listopadu 2015</w:t>
      </w:r>
    </w:p>
    <w:p w:rsidR="00AA4024" w:rsidRDefault="00E64ECA">
      <w:pPr>
        <w:pStyle w:val="Bullet0"/>
        <w:rPr>
          <w:noProof/>
        </w:rPr>
      </w:pPr>
      <w:r>
        <w:rPr>
          <w:noProof/>
        </w:rPr>
        <w:t>náv</w:t>
      </w:r>
      <w:r>
        <w:rPr>
          <w:noProof/>
        </w:rPr>
        <w:t>rh EU týkající se nové normy stability v narušeném stavu (tzv. index dělení) pro zasedání podvýboru pro konstrukci a stavbu lodí v lednu 2016 s cílem dosáhnout v roce 2016 dohody o přísnější normě ve Výboru pro námořní bezpečnost</w:t>
      </w:r>
    </w:p>
    <w:p w:rsidR="00AA4024" w:rsidRDefault="00AA4024">
      <w:pPr>
        <w:rPr>
          <w:b/>
          <w:noProof/>
        </w:rPr>
      </w:pPr>
    </w:p>
    <w:p w:rsidR="00AA4024" w:rsidRDefault="00E64ECA">
      <w:pPr>
        <w:pStyle w:val="ManualNumPar2"/>
        <w:rPr>
          <w:noProof/>
        </w:rPr>
      </w:pPr>
      <w:r>
        <w:t>4.2.</w:t>
      </w:r>
      <w:r>
        <w:tab/>
      </w:r>
      <w:r>
        <w:rPr>
          <w:noProof/>
        </w:rPr>
        <w:t>Druhý krok</w:t>
      </w:r>
    </w:p>
    <w:p w:rsidR="00AA4024" w:rsidRDefault="00E64ECA">
      <w:pPr>
        <w:rPr>
          <w:noProof/>
        </w:rPr>
      </w:pPr>
      <w:r>
        <w:rPr>
          <w:noProof/>
        </w:rPr>
        <w:t>Komise dá</w:t>
      </w:r>
      <w:r>
        <w:rPr>
          <w:noProof/>
        </w:rPr>
        <w:t>le posoudí řadu dalších otázek týkajících se bezpečnosti a vnitřního trhu. Zejména má v plánu:</w:t>
      </w:r>
    </w:p>
    <w:p w:rsidR="00AA4024" w:rsidRDefault="00E64ECA">
      <w:pPr>
        <w:pStyle w:val="Bullet0"/>
        <w:rPr>
          <w:noProof/>
        </w:rPr>
      </w:pPr>
      <w:r>
        <w:rPr>
          <w:noProof/>
        </w:rPr>
        <w:t>přezkoumat adekvátnost rozdílů v požadavcích na bezpečnost lodí tříd C a D podle směrnice 2009/45/ES a odpovídajících mořských oblastí</w:t>
      </w:r>
    </w:p>
    <w:p w:rsidR="00AA4024" w:rsidRDefault="00E64ECA">
      <w:pPr>
        <w:pStyle w:val="Bullet0"/>
        <w:rPr>
          <w:noProof/>
        </w:rPr>
      </w:pPr>
      <w:r>
        <w:rPr>
          <w:noProof/>
        </w:rPr>
        <w:t>prosazovat provádění zvláš</w:t>
      </w:r>
      <w:r>
        <w:rPr>
          <w:noProof/>
        </w:rPr>
        <w:t>tních prohlídek podle směrnice 1999/35/ES u osobních lodí typu ro-ro tříd B, C a D provozujících liniovou dopravu</w:t>
      </w:r>
    </w:p>
    <w:p w:rsidR="00AA4024" w:rsidRDefault="00E64ECA">
      <w:pPr>
        <w:pStyle w:val="Bullet0"/>
        <w:rPr>
          <w:noProof/>
        </w:rPr>
      </w:pPr>
      <w:r>
        <w:rPr>
          <w:noProof/>
        </w:rPr>
        <w:t>posoudit možnost navržení změny nebo zrušení zvláštních požadavků EU na stabilitu osobních lodí typu ro-ro</w:t>
      </w:r>
      <w:r>
        <w:rPr>
          <w:noProof/>
          <w:vertAlign w:val="superscript"/>
        </w:rPr>
        <w:footnoteReference w:id="22"/>
      </w:r>
      <w:r>
        <w:rPr>
          <w:noProof/>
        </w:rPr>
        <w:t xml:space="preserve"> v narušeném stavu na základě mezin</w:t>
      </w:r>
      <w:r>
        <w:rPr>
          <w:noProof/>
        </w:rPr>
        <w:t xml:space="preserve">árodních norem, pokud tyto normy budou způsobem uspokojivým pro EU modernizovány   </w:t>
      </w:r>
    </w:p>
    <w:p w:rsidR="00AA4024" w:rsidRDefault="00E64ECA">
      <w:pPr>
        <w:pStyle w:val="Bullet0"/>
        <w:rPr>
          <w:noProof/>
        </w:rPr>
      </w:pPr>
      <w:r>
        <w:rPr>
          <w:noProof/>
        </w:rPr>
        <w:t>zvážit vypracování pokynů nebo kodexu pro malá plavidla a plavidla z jiných materiálu než je ocel nebo rovnocenných materiálů na základě funkčních požadavků</w:t>
      </w:r>
    </w:p>
    <w:p w:rsidR="00AA4024" w:rsidRDefault="00E64ECA">
      <w:pPr>
        <w:rPr>
          <w:noProof/>
        </w:rPr>
      </w:pPr>
      <w:r>
        <w:rPr>
          <w:noProof/>
        </w:rPr>
        <w:t>To bude vyžadov</w:t>
      </w:r>
      <w:r>
        <w:rPr>
          <w:noProof/>
        </w:rPr>
        <w:t xml:space="preserve">at pomoc, výměnu osvědčených postupů a nepřetržité monitorování existujících právních předpisů. Komise ve spolupráci s agenturou EMSA má proto v úmyslu: </w:t>
      </w:r>
    </w:p>
    <w:p w:rsidR="00AA4024" w:rsidRDefault="00E64ECA">
      <w:pPr>
        <w:pStyle w:val="Bullet0"/>
        <w:rPr>
          <w:noProof/>
        </w:rPr>
      </w:pPr>
      <w:r>
        <w:rPr>
          <w:noProof/>
        </w:rPr>
        <w:t>vytvořit vhodný rámec pro výměnu názorů s vnitrostátními orgány, průmyslovými subjekty a sdruženími ce</w:t>
      </w:r>
      <w:r>
        <w:rPr>
          <w:noProof/>
        </w:rPr>
        <w:t>stujících v oblasti bezpečnosti osobních lodí v EU</w:t>
      </w:r>
    </w:p>
    <w:p w:rsidR="00AA4024" w:rsidRDefault="00E64ECA">
      <w:pPr>
        <w:rPr>
          <w:noProof/>
        </w:rPr>
      </w:pPr>
      <w:r>
        <w:rPr>
          <w:noProof/>
        </w:rPr>
        <w:t>Při náležitém zohlednění zjištěného potenciálu pro zjednodušení má Komise také v úmyslu za pomoci agentury EMSA důrazněji vymáhat stávající požadavky a vyzývá vnitrostátní orgány, aby se k tomuto úsilí při</w:t>
      </w:r>
      <w:r>
        <w:rPr>
          <w:noProof/>
        </w:rPr>
        <w:t>pojily.</w:t>
      </w:r>
    </w:p>
    <w:sectPr w:rsidR="00AA402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24" w:rsidRDefault="00E64ECA">
      <w:pPr>
        <w:spacing w:before="0" w:after="0"/>
      </w:pPr>
      <w:r>
        <w:separator/>
      </w:r>
    </w:p>
  </w:endnote>
  <w:endnote w:type="continuationSeparator" w:id="0">
    <w:p w:rsidR="00AA4024" w:rsidRDefault="00E64ECA">
      <w:pPr>
        <w:spacing w:before="0" w:after="0"/>
      </w:pPr>
      <w:r>
        <w:continuationSeparator/>
      </w:r>
    </w:p>
  </w:endnote>
  <w:endnote w:type="continuationNotice" w:id="1">
    <w:p w:rsidR="00AA4024" w:rsidRDefault="00AA40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E64ECA">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81427"/>
      <w:docPartObj>
        <w:docPartGallery w:val="Page Numbers (Bottom of Page)"/>
        <w:docPartUnique/>
      </w:docPartObj>
    </w:sdtPr>
    <w:sdtEndPr>
      <w:rPr>
        <w:noProof/>
      </w:rPr>
    </w:sdtEndPr>
    <w:sdtContent>
      <w:p w:rsidR="00AA4024" w:rsidRDefault="00E64EC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AA4024" w:rsidRDefault="00AA402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24" w:rsidRDefault="00E64ECA">
      <w:pPr>
        <w:spacing w:before="0" w:after="0"/>
      </w:pPr>
      <w:r>
        <w:separator/>
      </w:r>
    </w:p>
  </w:footnote>
  <w:footnote w:type="continuationSeparator" w:id="0">
    <w:p w:rsidR="00AA4024" w:rsidRDefault="00E64ECA">
      <w:pPr>
        <w:spacing w:before="0" w:after="0"/>
      </w:pPr>
      <w:r>
        <w:continuationSeparator/>
      </w:r>
    </w:p>
  </w:footnote>
  <w:footnote w:type="continuationNotice" w:id="1">
    <w:p w:rsidR="00AA4024" w:rsidRDefault="00AA4024">
      <w:pPr>
        <w:spacing w:before="0" w:after="0"/>
      </w:pPr>
    </w:p>
  </w:footnote>
  <w:footnote w:id="2">
    <w:p w:rsidR="00AA4024" w:rsidRDefault="00E64ECA">
      <w:pPr>
        <w:pStyle w:val="FootnoteText"/>
      </w:pPr>
      <w:r>
        <w:rPr>
          <w:rStyle w:val="FootnoteReference"/>
        </w:rPr>
        <w:footnoteRef/>
      </w:r>
      <w:r>
        <w:t xml:space="preserve"> </w:t>
      </w:r>
      <w:r>
        <w:tab/>
        <w:t>Směrnice Evropského parlamentu a Rady 2009/16/ES o státní přístavní inspekci (Úř. věst. L 131, 28.5.2009, s. 57).</w:t>
      </w:r>
    </w:p>
  </w:footnote>
  <w:footnote w:id="3">
    <w:p w:rsidR="00AA4024" w:rsidRDefault="00E64ECA">
      <w:pPr>
        <w:pStyle w:val="FootnoteText"/>
      </w:pPr>
      <w:r>
        <w:rPr>
          <w:rStyle w:val="FootnoteReference"/>
        </w:rPr>
        <w:footnoteRef/>
      </w:r>
      <w:r>
        <w:t xml:space="preserve"> </w:t>
      </w:r>
      <w:r>
        <w:tab/>
        <w:t>Směrnice Evropského parlamentu a Rady 2009/45/ES o bezpečnostních pravidlech a normách</w:t>
      </w:r>
      <w:r>
        <w:t xml:space="preserve"> pro osobní lodě (Úř. věst. L 163, 25.6.2009, s. 1).</w:t>
      </w:r>
    </w:p>
  </w:footnote>
  <w:footnote w:id="4">
    <w:p w:rsidR="00AA4024" w:rsidRDefault="00E64ECA">
      <w:pPr>
        <w:pStyle w:val="FootnoteText"/>
      </w:pPr>
      <w:r>
        <w:rPr>
          <w:rStyle w:val="FootnoteReference"/>
        </w:rPr>
        <w:footnoteRef/>
      </w:r>
      <w:r>
        <w:t xml:space="preserve"> </w:t>
      </w:r>
      <w:r>
        <w:tab/>
        <w:t>Tato úmluva byla přijata Mezinárodní námořní organizací (IMO) a ratifikovaly ji všechny členské státy EU.</w:t>
      </w:r>
    </w:p>
  </w:footnote>
  <w:footnote w:id="5">
    <w:p w:rsidR="00AA4024" w:rsidRDefault="00E64ECA">
      <w:pPr>
        <w:pStyle w:val="FootnoteText"/>
      </w:pPr>
      <w:r>
        <w:rPr>
          <w:rStyle w:val="FootnoteReference"/>
        </w:rPr>
        <w:footnoteRef/>
      </w:r>
      <w:r>
        <w:t xml:space="preserve"> </w:t>
      </w:r>
      <w:r>
        <w:tab/>
        <w:t>Lodě typu ro-ro jsou určeny k přepravě nákladu v podobě vozidel, jako jsou nákladní automob</w:t>
      </w:r>
      <w:r>
        <w:t>ily, přívěsy a osobní automobily, které na loď vjíždějí a vyjíždějí z ní po vlastní ose nebo na přepravním vozidle. Pokud kromě vozidel přepravují více než 12 cestujících, nazývají se „osobní lodě typu ro-ro“.</w:t>
      </w:r>
    </w:p>
  </w:footnote>
  <w:footnote w:id="6">
    <w:p w:rsidR="00AA4024" w:rsidRDefault="00E64ECA">
      <w:pPr>
        <w:pStyle w:val="FootnoteText"/>
      </w:pPr>
      <w:r>
        <w:rPr>
          <w:rStyle w:val="FootnoteReference"/>
        </w:rPr>
        <w:footnoteRef/>
      </w:r>
      <w:r>
        <w:t xml:space="preserve"> </w:t>
      </w:r>
      <w:r>
        <w:tab/>
        <w:t>Podle definice v kapitole X bodě 1.3 úmluvy</w:t>
      </w:r>
      <w:r>
        <w:t xml:space="preserve"> SOLAS.</w:t>
      </w:r>
    </w:p>
  </w:footnote>
  <w:footnote w:id="7">
    <w:p w:rsidR="00AA4024" w:rsidRDefault="00E64ECA">
      <w:pPr>
        <w:pStyle w:val="FootnoteText"/>
      </w:pPr>
      <w:r>
        <w:rPr>
          <w:rStyle w:val="FootnoteReference"/>
        </w:rPr>
        <w:footnoteRef/>
      </w:r>
      <w:r>
        <w:t xml:space="preserve"> </w:t>
      </w:r>
      <w:r>
        <w:tab/>
        <w:t>Pro zjednodušení jsou v tomto dokumentu označovány jako „lodě z oceli“.</w:t>
      </w:r>
    </w:p>
  </w:footnote>
  <w:footnote w:id="8">
    <w:p w:rsidR="00AA4024" w:rsidRDefault="00E64ECA">
      <w:pPr>
        <w:pStyle w:val="FootnoteText"/>
      </w:pPr>
      <w:r>
        <w:rPr>
          <w:rStyle w:val="FootnoteReference"/>
        </w:rPr>
        <w:footnoteRef/>
      </w:r>
      <w:r>
        <w:t xml:space="preserve"> </w:t>
      </w:r>
      <w:r>
        <w:tab/>
        <w:t>Osobní lodě jsou rozděleny do čtyř tříd podle námořních oblastí, v nichž se mohou plavit, v závislosti na parametrech, jako je vzdálenost od pobřeží. Zatímco lodě třídy A</w:t>
      </w:r>
      <w:r>
        <w:t xml:space="preserve"> nejsou, pokud jde o vzdálenosti od pobřeží, v níž se mohou plavit, nijak omezeny, u lodí třídy D je tato vzdálenost omezena na 3 námořní míle (přibližně 5,6 km).</w:t>
      </w:r>
    </w:p>
  </w:footnote>
  <w:footnote w:id="9">
    <w:p w:rsidR="00AA4024" w:rsidRDefault="00E64ECA">
      <w:pPr>
        <w:pStyle w:val="FootnoteText"/>
      </w:pPr>
      <w:r>
        <w:rPr>
          <w:rStyle w:val="FootnoteReference"/>
        </w:rPr>
        <w:footnoteRef/>
      </w:r>
      <w:r>
        <w:t xml:space="preserve"> </w:t>
      </w:r>
      <w:r>
        <w:tab/>
        <w:t>Směrnice Evropského parlamentu a Rady 2003/25/ES o zvláštních požadavcích na stabilitu oso</w:t>
      </w:r>
      <w:r>
        <w:t>bních lodí typu ro-ro (Úř. věst. L 123, 17.5.2003, s. 22).</w:t>
      </w:r>
    </w:p>
  </w:footnote>
  <w:footnote w:id="10">
    <w:p w:rsidR="00AA4024" w:rsidRDefault="00E64ECA">
      <w:pPr>
        <w:pStyle w:val="FootnoteText"/>
      </w:pPr>
      <w:r>
        <w:rPr>
          <w:rStyle w:val="FootnoteReference"/>
        </w:rPr>
        <w:footnoteRef/>
      </w:r>
      <w:r>
        <w:t xml:space="preserve"> </w:t>
      </w:r>
      <w:r>
        <w:tab/>
        <w:t>Směrnice Rady 1999/35/ES ze dne 29. dubna 1999 o systému povinných prohlídek pro bezpečné provozování liniové dopravy loděmi typu ro-ro a vysokorychlostními osobními plavidly (Úř. věst. L 138, 1</w:t>
      </w:r>
      <w:r>
        <w:t>.6.1999, s. 1).</w:t>
      </w:r>
    </w:p>
  </w:footnote>
  <w:footnote w:id="11">
    <w:p w:rsidR="00AA4024" w:rsidRDefault="00E64ECA">
      <w:pPr>
        <w:pStyle w:val="FootnoteText"/>
      </w:pPr>
      <w:r>
        <w:rPr>
          <w:rStyle w:val="FootnoteReference"/>
        </w:rPr>
        <w:footnoteRef/>
      </w:r>
      <w:r>
        <w:t xml:space="preserve"> </w:t>
      </w:r>
      <w:r>
        <w:tab/>
        <w:t>Směrnice Rady 98/41/ES ze dne 18. června 1998 o registraci osob na palubách osobních lodí provozujících dopravu do přístavů členských států Společenství nebo z nich (Úř. věst. L 188, 2.7.1998, s. 35).</w:t>
      </w:r>
    </w:p>
  </w:footnote>
  <w:footnote w:id="12">
    <w:p w:rsidR="00AA4024" w:rsidRDefault="00E64ECA">
      <w:pPr>
        <w:pStyle w:val="FootnoteText"/>
      </w:pPr>
      <w:r>
        <w:rPr>
          <w:rStyle w:val="FootnoteReference"/>
        </w:rPr>
        <w:footnoteRef/>
      </w:r>
      <w:r>
        <w:t xml:space="preserve"> </w:t>
      </w:r>
      <w:r>
        <w:tab/>
        <w:t>Tj. podle směrnice 2009/45/ES.</w:t>
      </w:r>
    </w:p>
  </w:footnote>
  <w:footnote w:id="13">
    <w:p w:rsidR="00AA4024" w:rsidRDefault="00E64ECA">
      <w:pPr>
        <w:pStyle w:val="FootnoteText"/>
      </w:pPr>
      <w:r>
        <w:rPr>
          <w:rStyle w:val="FootnoteReference"/>
        </w:rPr>
        <w:footnoteRef/>
      </w:r>
      <w:r>
        <w:t xml:space="preserve"> </w:t>
      </w:r>
      <w:r>
        <w:tab/>
        <w:t>Je třeba poznamenat, že tyto údaje nezahrnují známé případy, jako např. nehody lodí Costa Concordia (2012) nebo Norman Atlantic (2014), při nichž došlo k obětem na životech. Zde se jedná o lodě provozující mezinárodní plavbu (na něž se proto nevztahují be</w:t>
      </w:r>
      <w:r>
        <w:t>zpečnostní požadavky harmonizované směrnicí 2009/45/ES, jež platí pouze pro vnitrostátní plavbu).</w:t>
      </w:r>
    </w:p>
  </w:footnote>
  <w:footnote w:id="14">
    <w:p w:rsidR="00AA4024" w:rsidRDefault="00E64ECA">
      <w:pPr>
        <w:pStyle w:val="FootnoteText"/>
      </w:pPr>
      <w:r>
        <w:rPr>
          <w:rStyle w:val="FootnoteReference"/>
        </w:rPr>
        <w:footnoteRef/>
      </w:r>
      <w:r>
        <w:t xml:space="preserve"> </w:t>
      </w:r>
      <w:r>
        <w:tab/>
        <w:t>Tj. od vstupu v platnost směrnice 98/18/ES, předchůdkyně směrnice 2009/45/ES.</w:t>
      </w:r>
    </w:p>
  </w:footnote>
  <w:footnote w:id="15">
    <w:p w:rsidR="00AA4024" w:rsidRDefault="00E64ECA">
      <w:pPr>
        <w:pStyle w:val="FootnoteText"/>
      </w:pPr>
      <w:r>
        <w:rPr>
          <w:rStyle w:val="FootnoteReference"/>
        </w:rPr>
        <w:footnoteRef/>
      </w:r>
      <w:r>
        <w:t xml:space="preserve"> </w:t>
      </w:r>
      <w:r>
        <w:tab/>
        <w:t>Rozhodnutí o tom, zda postavit loď z oceli nebo jiného materiálu, je primá</w:t>
      </w:r>
      <w:r>
        <w:t xml:space="preserve">rně ovlivněno cenou a vlastnostmi zvoleného materiálu. </w:t>
      </w:r>
    </w:p>
  </w:footnote>
  <w:footnote w:id="16">
    <w:p w:rsidR="00AA4024" w:rsidRDefault="00E64ECA">
      <w:pPr>
        <w:pStyle w:val="FootnoteText"/>
      </w:pPr>
      <w:r>
        <w:rPr>
          <w:rStyle w:val="FootnoteReference"/>
        </w:rPr>
        <w:footnoteRef/>
      </w:r>
      <w:r>
        <w:t xml:space="preserve"> </w:t>
      </w:r>
      <w:r>
        <w:tab/>
        <w:t>Konkrétně v Dánsku a v Portugalsku. Podobné stanovisko vyjádřili národní odborníci z Chorvatska a Švédska.</w:t>
      </w:r>
    </w:p>
  </w:footnote>
  <w:footnote w:id="17">
    <w:p w:rsidR="00AA4024" w:rsidRDefault="00E64ECA">
      <w:pPr>
        <w:pStyle w:val="FootnoteText"/>
      </w:pPr>
      <w:r>
        <w:rPr>
          <w:rStyle w:val="FootnoteReference"/>
        </w:rPr>
        <w:footnoteRef/>
      </w:r>
      <w:r>
        <w:t xml:space="preserve"> </w:t>
      </w:r>
      <w:r>
        <w:tab/>
        <w:t>Příslušné vnitrostátní právní předpisy v některých členských státech vycházejí z meziná</w:t>
      </w:r>
      <w:r>
        <w:t>rodních norem, které již nejsou v platnosti.</w:t>
      </w:r>
    </w:p>
  </w:footnote>
  <w:footnote w:id="18">
    <w:p w:rsidR="00AA4024" w:rsidRDefault="00E64ECA">
      <w:pPr>
        <w:pStyle w:val="FootnoteText"/>
      </w:pPr>
      <w:r>
        <w:rPr>
          <w:rStyle w:val="FootnoteReference"/>
        </w:rPr>
        <w:footnoteRef/>
      </w:r>
      <w:r>
        <w:t xml:space="preserve"> </w:t>
      </w:r>
      <w:r>
        <w:tab/>
        <w:t>Definované ve směrnici 2003/25/ES v reakci na nehodu trajektu Estonia ze září 1994.</w:t>
      </w:r>
    </w:p>
  </w:footnote>
  <w:footnote w:id="19">
    <w:p w:rsidR="00AA4024" w:rsidRDefault="00E64ECA">
      <w:pPr>
        <w:pStyle w:val="FootnoteText"/>
      </w:pPr>
      <w:r>
        <w:rPr>
          <w:rStyle w:val="FootnoteReference"/>
        </w:rPr>
        <w:footnoteRef/>
      </w:r>
      <w:r>
        <w:t xml:space="preserve"> </w:t>
      </w:r>
      <w:r>
        <w:tab/>
        <w:t>Obsažených v příloze I směrnice 2009/45/ES.</w:t>
      </w:r>
    </w:p>
  </w:footnote>
  <w:footnote w:id="20">
    <w:p w:rsidR="00AA4024" w:rsidRDefault="00E64ECA">
      <w:pPr>
        <w:pStyle w:val="FootnoteText"/>
      </w:pPr>
      <w:r>
        <w:rPr>
          <w:rStyle w:val="FootnoteReference"/>
        </w:rPr>
        <w:footnoteRef/>
      </w:r>
      <w:r>
        <w:t xml:space="preserve"> </w:t>
      </w:r>
      <w:r>
        <w:tab/>
        <w:t>Směrnice Evropského parlamentu a Rady 2002/59/ES, kterou se stanoví kontro</w:t>
      </w:r>
      <w:r>
        <w:t>lní a informační systém Společenství pro provoz plavidel (Úř. věst. L 208, 5.8.2002, s. 10).</w:t>
      </w:r>
    </w:p>
  </w:footnote>
  <w:footnote w:id="21">
    <w:p w:rsidR="00AA4024" w:rsidRDefault="00E64ECA">
      <w:pPr>
        <w:pStyle w:val="FootnoteText"/>
      </w:pPr>
      <w:r>
        <w:rPr>
          <w:rStyle w:val="FootnoteReference"/>
        </w:rPr>
        <w:footnoteRef/>
      </w:r>
      <w:r>
        <w:t xml:space="preserve"> </w:t>
      </w:r>
      <w:r>
        <w:tab/>
        <w:t>Směrnice Evropského parlamentu a Rady 2010/65/EU ze dne 20. října 2010 o ohlašovacích formalitách lodí připlouvajících do přístavů členských států nebo odplouva</w:t>
      </w:r>
      <w:r>
        <w:t>jících z nich (Úř. věst. L 283, 29.10.2010, s. 1).</w:t>
      </w:r>
    </w:p>
  </w:footnote>
  <w:footnote w:id="22">
    <w:p w:rsidR="00AA4024" w:rsidRDefault="00E64ECA">
      <w:pPr>
        <w:pStyle w:val="FootnoteText"/>
      </w:pPr>
      <w:r>
        <w:rPr>
          <w:rStyle w:val="FootnoteReference"/>
        </w:rPr>
        <w:footnoteRef/>
      </w:r>
      <w:r>
        <w:t xml:space="preserve"> </w:t>
      </w:r>
      <w:r>
        <w:tab/>
        <w:t>Podle směrnice 2003/25/ES.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4" w:rsidRDefault="00AA4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FAAE4E0"/>
    <w:lvl w:ilvl="0">
      <w:start w:val="1"/>
      <w:numFmt w:val="decimal"/>
      <w:pStyle w:val="ListNumber3"/>
      <w:lvlText w:val="%1."/>
      <w:lvlJc w:val="left"/>
      <w:pPr>
        <w:tabs>
          <w:tab w:val="num" w:pos="926"/>
        </w:tabs>
        <w:ind w:left="926" w:hanging="360"/>
      </w:pPr>
    </w:lvl>
  </w:abstractNum>
  <w:abstractNum w:abstractNumId="1">
    <w:nsid w:val="16CC55B1"/>
    <w:multiLevelType w:val="hybridMultilevel"/>
    <w:tmpl w:val="6A2A4E1E"/>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
    <w:nsid w:val="6BCB2725"/>
    <w:multiLevelType w:val="hybridMultilevel"/>
    <w:tmpl w:val="92FC576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10"/>
  </w:num>
  <w:num w:numId="3">
    <w:abstractNumId w:val="11"/>
  </w:num>
  <w:num w:numId="4">
    <w:abstractNumId w:val="4"/>
  </w:num>
  <w:num w:numId="5">
    <w:abstractNumId w:val="9"/>
  </w:num>
  <w:num w:numId="6">
    <w:abstractNumId w:val="16"/>
  </w:num>
  <w:num w:numId="7">
    <w:abstractNumId w:val="13"/>
  </w:num>
  <w:num w:numId="8">
    <w:abstractNumId w:val="13"/>
  </w:num>
  <w:num w:numId="9">
    <w:abstractNumId w:val="13"/>
  </w:num>
  <w:num w:numId="10">
    <w:abstractNumId w:val="13"/>
  </w:num>
  <w:num w:numId="11">
    <w:abstractNumId w:val="3"/>
  </w:num>
  <w:num w:numId="12">
    <w:abstractNumId w:val="3"/>
  </w:num>
  <w:num w:numId="13">
    <w:abstractNumId w:val="3"/>
  </w:num>
  <w:num w:numId="14">
    <w:abstractNumId w:val="3"/>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2"/>
  </w:num>
  <w:num w:numId="25">
    <w:abstractNumId w:val="6"/>
  </w:num>
  <w:num w:numId="26">
    <w:abstractNumId w:val="14"/>
  </w:num>
  <w:num w:numId="27">
    <w:abstractNumId w:val="5"/>
  </w:num>
  <w:num w:numId="28">
    <w:abstractNumId w:val="7"/>
  </w:num>
  <w:num w:numId="29">
    <w:abstractNumId w:val="0"/>
  </w:num>
  <w:num w:numId="30">
    <w:abstractNumId w:val="15"/>
  </w:num>
  <w:num w:numId="31">
    <w:abstractNumId w:val="1"/>
  </w:num>
  <w:num w:numId="32">
    <w:abstractNumId w:val="3"/>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FBEC9FAA53D4BE389ACB8F1DBCC9042"/>
    <w:docVar w:name="LW_CROSSREFERENCE" w:val="{SWD(2015) 197 final}"/>
    <w:docVar w:name="LW_DocType" w:val="NORMAL"/>
    <w:docVar w:name="LW_EMISSION" w:val="16.10.2015"/>
    <w:docVar w:name="LW_EMISSION_ISODATE" w:val="2015-10-16"/>
    <w:docVar w:name="LW_EMISSION_LOCATION" w:val="BRX"/>
    <w:docVar w:name="LW_EMISSION_PREFIX" w:val="V Bruselu dne "/>
    <w:docVar w:name="LW_EMISSION_SUFFIX" w:val=" "/>
    <w:docVar w:name="LW_ID_DOCTYPE_NONLW" w:val="CP-006"/>
    <w:docVar w:name="LW_LANGUE" w:val="CS"/>
    <w:docVar w:name="LW_MARKING" w:val="&lt;UNUSED&g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5) 508"/>
    <w:docVar w:name="LW_REF.INTERNE" w:val="&lt;UNUSED&gt;"/>
    <w:docVar w:name="LW_SOUS.TITRE.OBJ.CP" w:val="&lt;UNUSED&gt;"/>
    <w:docVar w:name="LW_SUPERTITRE" w:val="&lt;UNUSED&gt;"/>
    <w:docVar w:name="LW_TITRE.OBJ.CP" w:val="REFIT_x000b_Úprava kursu: kontrola ú\u269?elnosti právních p\u345?edpis\u367? EU o bezpe\u269?nosti osobních lodí"/>
    <w:docVar w:name="LW_TYPE.DOC.CP" w:val="ZPRÁVA KOMISE EVROPSKÉMU PARLAMENTU A RAD\u282?"/>
  </w:docVars>
  <w:rsids>
    <w:rsidRoot w:val="00AA4024"/>
    <w:rsid w:val="00AA4024"/>
    <w:rsid w:val="00E64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pPr>
      <w:keepNext/>
      <w:numPr>
        <w:numId w:val="10"/>
      </w:numPr>
      <w:spacing w:before="360"/>
      <w:outlineLvl w:val="0"/>
    </w:pPr>
    <w:rPr>
      <w:rFonts w:eastAsiaTheme="majorEastAsia"/>
      <w:b/>
      <w:bCs/>
      <w:smallCaps/>
      <w:szCs w:val="28"/>
    </w:rPr>
  </w:style>
  <w:style w:type="paragraph" w:styleId="Heading2">
    <w:name w:val="heading 2"/>
    <w:basedOn w:val="Normal"/>
    <w:next w:val="Normal"/>
    <w:link w:val="Heading2Char"/>
    <w:uiPriority w:val="9"/>
    <w:semiHidden/>
    <w:unhideWhenUsed/>
    <w:qFormat/>
    <w:pPr>
      <w:keepNext/>
      <w:numPr>
        <w:ilvl w:val="1"/>
        <w:numId w:val="10"/>
      </w:numPr>
      <w:outlineLvl w:val="1"/>
    </w:pPr>
    <w:rPr>
      <w:rFonts w:eastAsiaTheme="majorEastAsia"/>
      <w:b/>
      <w:bCs/>
      <w:szCs w:val="26"/>
    </w:rPr>
  </w:style>
  <w:style w:type="paragraph" w:styleId="Heading3">
    <w:name w:val="heading 3"/>
    <w:basedOn w:val="Normal"/>
    <w:next w:val="Normal"/>
    <w:link w:val="Heading3Char"/>
    <w:uiPriority w:val="9"/>
    <w:semiHidden/>
    <w:unhideWhenUsed/>
    <w:qFormat/>
    <w:pPr>
      <w:keepNext/>
      <w:numPr>
        <w:ilvl w:val="2"/>
        <w:numId w:val="10"/>
      </w:numPr>
      <w:outlineLvl w:val="2"/>
    </w:pPr>
    <w:rPr>
      <w:rFonts w:eastAsiaTheme="majorEastAsia"/>
      <w:bCs/>
      <w:i/>
    </w:rPr>
  </w:style>
  <w:style w:type="paragraph" w:styleId="Heading4">
    <w:name w:val="heading 4"/>
    <w:basedOn w:val="Normal"/>
    <w:next w:val="Normal"/>
    <w:link w:val="Heading4Char"/>
    <w:uiPriority w:val="9"/>
    <w:semiHidden/>
    <w:unhideWhenUsed/>
    <w:qFormat/>
    <w:pPr>
      <w:keepNext/>
      <w:numPr>
        <w:ilvl w:val="3"/>
        <w:numId w:val="1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basedOn w:val="DefaultParagraphFont"/>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jc w:val="left"/>
    </w:pPr>
    <w:rPr>
      <w:i/>
      <w:sz w:val="32"/>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basedOn w:val="DefaultParagraphFont"/>
    <w:rPr>
      <w:strike/>
      <w:dstrike w:val="0"/>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E Fußnotenzeichen,Footnote symbol,Times 10 Point,Exposant 3 Point,SUPERS,number,Footnote reference number,note TESI,EN Footnote Reference,Footnote Reference/,Footnote Reference Number,Footnote Refernece,BVI fnr,stylish"/>
    <w:basedOn w:val="DefaultParagraphFont"/>
    <w:uiPriority w:val="99"/>
    <w:unhideWhenUsed/>
    <w:qFormat/>
    <w:rPr>
      <w:shd w:val="clear" w:color="auto" w:fill="auto"/>
      <w:vertAlign w:val="superscri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before="0"/>
    </w:p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link w:val="NumPar1Char"/>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styleId="TOCHeading">
    <w:name w:val="TOC Heading"/>
    <w:basedOn w:val="Normal"/>
    <w:next w:val="Normal"/>
    <w:uiPriority w:val="39"/>
    <w:semiHidden/>
    <w:unhideWhenUsed/>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Number3">
    <w:name w:val="List Number 3"/>
    <w:basedOn w:val="Normal"/>
    <w:pPr>
      <w:numPr>
        <w:numId w:val="29"/>
      </w:numPr>
      <w:contextualSpacing/>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aliases w:val="Document Table,Table long document"/>
    <w:basedOn w:val="TableNormal"/>
    <w:uiPriority w:val="59"/>
    <w:pPr>
      <w:spacing w:after="0" w:line="27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Par1Char">
    <w:name w:val="NumPar 1 Char"/>
    <w:link w:val="NumPar1"/>
    <w:locked/>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pPr>
      <w:keepNext/>
      <w:numPr>
        <w:numId w:val="10"/>
      </w:numPr>
      <w:spacing w:before="360"/>
      <w:outlineLvl w:val="0"/>
    </w:pPr>
    <w:rPr>
      <w:rFonts w:eastAsiaTheme="majorEastAsia"/>
      <w:b/>
      <w:bCs/>
      <w:smallCaps/>
      <w:szCs w:val="28"/>
    </w:rPr>
  </w:style>
  <w:style w:type="paragraph" w:styleId="Heading2">
    <w:name w:val="heading 2"/>
    <w:basedOn w:val="Normal"/>
    <w:next w:val="Normal"/>
    <w:link w:val="Heading2Char"/>
    <w:uiPriority w:val="9"/>
    <w:semiHidden/>
    <w:unhideWhenUsed/>
    <w:qFormat/>
    <w:pPr>
      <w:keepNext/>
      <w:numPr>
        <w:ilvl w:val="1"/>
        <w:numId w:val="10"/>
      </w:numPr>
      <w:outlineLvl w:val="1"/>
    </w:pPr>
    <w:rPr>
      <w:rFonts w:eastAsiaTheme="majorEastAsia"/>
      <w:b/>
      <w:bCs/>
      <w:szCs w:val="26"/>
    </w:rPr>
  </w:style>
  <w:style w:type="paragraph" w:styleId="Heading3">
    <w:name w:val="heading 3"/>
    <w:basedOn w:val="Normal"/>
    <w:next w:val="Normal"/>
    <w:link w:val="Heading3Char"/>
    <w:uiPriority w:val="9"/>
    <w:semiHidden/>
    <w:unhideWhenUsed/>
    <w:qFormat/>
    <w:pPr>
      <w:keepNext/>
      <w:numPr>
        <w:ilvl w:val="2"/>
        <w:numId w:val="10"/>
      </w:numPr>
      <w:outlineLvl w:val="2"/>
    </w:pPr>
    <w:rPr>
      <w:rFonts w:eastAsiaTheme="majorEastAsia"/>
      <w:bCs/>
      <w:i/>
    </w:rPr>
  </w:style>
  <w:style w:type="paragraph" w:styleId="Heading4">
    <w:name w:val="heading 4"/>
    <w:basedOn w:val="Normal"/>
    <w:next w:val="Normal"/>
    <w:link w:val="Heading4Char"/>
    <w:uiPriority w:val="9"/>
    <w:semiHidden/>
    <w:unhideWhenUsed/>
    <w:qFormat/>
    <w:pPr>
      <w:keepNext/>
      <w:numPr>
        <w:ilvl w:val="3"/>
        <w:numId w:val="1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basedOn w:val="DefaultParagraphFont"/>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jc w:val="left"/>
    </w:pPr>
    <w:rPr>
      <w:i/>
      <w:sz w:val="32"/>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basedOn w:val="DefaultParagraphFont"/>
    <w:rPr>
      <w:strike/>
      <w:dstrike w:val="0"/>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E Fußnotenzeichen,Footnote symbol,Times 10 Point,Exposant 3 Point,SUPERS,number,Footnote reference number,note TESI,EN Footnote Reference,Footnote Reference/,Footnote Reference Number,Footnote Refernece,BVI fnr,stylish"/>
    <w:basedOn w:val="DefaultParagraphFont"/>
    <w:uiPriority w:val="99"/>
    <w:unhideWhenUsed/>
    <w:qFormat/>
    <w:rPr>
      <w:shd w:val="clear" w:color="auto" w:fill="auto"/>
      <w:vertAlign w:val="superscri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before="0"/>
    </w:p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link w:val="NumPar1Char"/>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styleId="TOCHeading">
    <w:name w:val="TOC Heading"/>
    <w:basedOn w:val="Normal"/>
    <w:next w:val="Normal"/>
    <w:uiPriority w:val="39"/>
    <w:semiHidden/>
    <w:unhideWhenUsed/>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Number3">
    <w:name w:val="List Number 3"/>
    <w:basedOn w:val="Normal"/>
    <w:pPr>
      <w:numPr>
        <w:numId w:val="29"/>
      </w:numPr>
      <w:contextualSpacing/>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aliases w:val="Document Table,Table long document"/>
    <w:basedOn w:val="TableNormal"/>
    <w:uiPriority w:val="59"/>
    <w:pPr>
      <w:spacing w:after="0" w:line="27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Par1Char">
    <w:name w:val="NumPar 1 Char"/>
    <w:link w:val="NumPar1"/>
    <w:locked/>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40DE-7A38-4A16-97E7-FB841328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3549</Words>
  <Characters>20231</Characters>
  <Application>Microsoft Office Word</Application>
  <DocSecurity>0</DocSecurity>
  <Lines>168</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24</cp:revision>
  <cp:lastPrinted>2015-09-14T09:32:00Z</cp:lastPrinted>
  <dcterms:created xsi:type="dcterms:W3CDTF">2015-09-30T14:03:00Z</dcterms:created>
  <dcterms:modified xsi:type="dcterms:W3CDTF">2015-10-15T12:30:00Z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