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sk-SK"/>
        </w:rPr>
      </w:pPr>
      <w:bookmarkStart w:id="0" w:name="LW_BM_COVERPAGE"/>
      <w:r>
        <w:rPr>
          <w:noProof/>
          <w:lang w:val="sk-S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6BEE2B5465540E5BA9D2446365F841D" style="width:450.8pt;height:320.55pt">
            <v:imagedata r:id="rId9" o:title=""/>
          </v:shape>
        </w:pict>
      </w:r>
    </w:p>
    <w:bookmarkEnd w:id="0"/>
    <w:p>
      <w:pPr>
        <w:rPr>
          <w:noProof/>
          <w:lang w:val="sk-SK"/>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outlineLvl w:val="0"/>
        <w:rPr>
          <w:noProof/>
          <w:lang w:val="sk-SK"/>
        </w:rPr>
      </w:pPr>
      <w:bookmarkStart w:id="1" w:name="_GoBack"/>
      <w:bookmarkEnd w:id="1"/>
      <w:r>
        <w:rPr>
          <w:b/>
          <w:noProof/>
          <w:sz w:val="28"/>
          <w:lang w:val="sk-SK"/>
        </w:rPr>
        <w:lastRenderedPageBreak/>
        <w:t>1.</w:t>
      </w:r>
      <w:r>
        <w:rPr>
          <w:noProof/>
          <w:lang w:val="sk-SK"/>
        </w:rPr>
        <w:tab/>
      </w:r>
      <w:r>
        <w:rPr>
          <w:b/>
          <w:smallCaps/>
          <w:noProof/>
          <w:sz w:val="28"/>
          <w:lang w:val="sk-SK"/>
        </w:rPr>
        <w:t>Úvod</w:t>
      </w:r>
    </w:p>
    <w:p>
      <w:pPr>
        <w:rPr>
          <w:noProof/>
          <w:lang w:val="sk-SK"/>
        </w:rPr>
      </w:pPr>
      <w:r>
        <w:rPr>
          <w:noProof/>
          <w:lang w:val="sk-SK"/>
        </w:rPr>
        <w:t>Na to, aby bolo možné dobudovať HMÚ, musí ísť väčšia zodpovednosť a integrácia na úrovni EÚ a eurozóny ruka v ruke s posilňovaním inštitúcií. Jednou z oblastí, kde sa na dosiahnutie tohto cieľa uvádzajú v zmluve konkrétne kroky, ktoré tak možno prijať už dnes, je vonkajšie zastúpenie eurozóny.</w:t>
      </w:r>
    </w:p>
    <w:p>
      <w:pPr>
        <w:rPr>
          <w:noProof/>
          <w:lang w:val="sk-SK"/>
        </w:rPr>
      </w:pPr>
      <w:r>
        <w:rPr>
          <w:noProof/>
          <w:lang w:val="sk-SK"/>
        </w:rPr>
        <w:t>Eurozóna je veľká otvorená ekonomika s medzinárodnopolitickou zodpovednosťou.</w:t>
      </w:r>
    </w:p>
    <w:p>
      <w:pPr>
        <w:rPr>
          <w:noProof/>
          <w:lang w:val="sk-SK"/>
        </w:rPr>
      </w:pPr>
      <w:r>
        <w:rPr>
          <w:noProof/>
          <w:lang w:val="sk-SK"/>
        </w:rPr>
        <w:t>Ekonomická a finančná váha eurozóny</w:t>
      </w:r>
      <w:r>
        <w:rPr>
          <w:rStyle w:val="FootnoteReference"/>
          <w:noProof/>
          <w:lang w:val="sk-SK"/>
        </w:rPr>
        <w:footnoteReference w:id="2"/>
      </w:r>
      <w:r>
        <w:rPr>
          <w:noProof/>
          <w:lang w:val="sk-SK"/>
        </w:rPr>
        <w:t xml:space="preserve"> a existencia jednotnej menovej a devízovej politiky vedú k tomu, že politické rozhodnutia eurozóny a jej hospodársky vývoj majú čoraz väčší dosah na svetovú ekonomiku. Euro je úspešnou a stabilnou menou. V súčasnosti ho spoločne používa 19 členských štátov EÚ a viac než 330 miliónov občanov. Svojim členským krajinám prináša cenovú stabilitu a chráni ich pred vonkajšou nestabilitou. Napriek nedávnej kríze je euro stále druhou najdôležitejšou menou na svete, na ktorú pripadá takmer štvrtina celosvetových devízových rezerv, a priamo či nepriamo na ňu svoju menu viaže takmer šesťdesiat krajín a území na celom svete.</w:t>
      </w:r>
    </w:p>
    <w:p>
      <w:pPr>
        <w:rPr>
          <w:noProof/>
          <w:lang w:val="sk-SK"/>
        </w:rPr>
      </w:pPr>
      <w:r>
        <w:rPr>
          <w:noProof/>
          <w:lang w:val="sk-SK"/>
        </w:rPr>
        <w:t>Politický význam eurozóny sa v posledných rokoch výrazne posilnil. Európsky semester spolu s prijatím tzv. balíka šiestich legislatívnych aktov a balíka dvoch legislatívnych aktov</w:t>
      </w:r>
      <w:r>
        <w:rPr>
          <w:rStyle w:val="FootnoteReference"/>
          <w:noProof/>
          <w:lang w:val="sk-SK"/>
        </w:rPr>
        <w:footnoteReference w:id="3"/>
      </w:r>
      <w:r>
        <w:rPr>
          <w:noProof/>
          <w:lang w:val="sk-SK"/>
        </w:rPr>
        <w:t xml:space="preserve"> a Zmluva o stabilite, koordinácii a správe v hospodárskej a menovej únii</w:t>
      </w:r>
      <w:r>
        <w:rPr>
          <w:rStyle w:val="FootnoteReference"/>
          <w:noProof/>
          <w:lang w:val="sk-SK"/>
        </w:rPr>
        <w:footnoteReference w:id="4"/>
      </w:r>
      <w:r>
        <w:rPr>
          <w:noProof/>
          <w:lang w:val="sk-SK"/>
        </w:rPr>
        <w:t xml:space="preserve"> integrovali, posilnili a rozšírili dohľad na úrovni EÚ nad politikami členských štátov v základných oblastiach makroekonomického a rozpočtového významu. Bol zriadený Európsky mechanizmus pre stabilitu ako stály mechanizmus na riešenie krízy pre krajiny eurozóny. Únia takisto zaviedla bankovú úniu s </w:t>
      </w:r>
      <w:r>
        <w:rPr>
          <w:rStyle w:val="Emphasis"/>
          <w:i w:val="0"/>
          <w:noProof/>
          <w:lang w:val="sk-SK"/>
        </w:rPr>
        <w:t>centralizovaným dohľadom a riešením krízových situácií pre banky v eurozóne</w:t>
      </w:r>
      <w:r>
        <w:rPr>
          <w:noProof/>
          <w:lang w:val="sk-SK"/>
        </w:rPr>
        <w:t>, ktorá je otvorená aj pre všetky ostatné členské štáty.</w:t>
      </w:r>
    </w:p>
    <w:p>
      <w:pPr>
        <w:rPr>
          <w:rFonts w:eastAsia="Calibri"/>
          <w:noProof/>
          <w:color w:val="000000"/>
          <w:lang w:val="sk-SK"/>
        </w:rPr>
      </w:pPr>
      <w:r>
        <w:rPr>
          <w:noProof/>
          <w:lang w:val="sk-SK"/>
        </w:rPr>
        <w:t>Vonkajšie zastúpenie Únie pri výkone jej osobitných právomocí týkajúcich sa eurozóny (ďalej len „vonkajšie zastúpenie eurozóny“) nedržalo krok s týmto vývojom. Účinnosť hlasu eurozóny v medzinárodných finančných inštitúciách je z tohto dôvodu obmedzená. Pokrok, ktorý sa dosiahol pri prehlbovaní vnútornej integrácie eurozóny, sa musí odzrkadľovať aj navonok, a to najmä napredovaním smerom k jednotnému vonkajšiemu ekonomickému zastúpeniu. Vonkajšie zastúpenie musí byť súdržnejšie, aby eurozóna mohla hrať aktívnejšiu úlohu v medzinárodných finančných inštitúciách a aby účinne formovala svoju budúcu rolu v rámci globálnej finančnej architektúry. Tento koncept bol zdôraznený ako jedna z hlavných priorít už aj v Koncepcii Komisie pre rozsiahlu a skutočnú hospodársku a menovú úniu</w:t>
      </w:r>
      <w:r>
        <w:rPr>
          <w:rStyle w:val="FootnoteReference"/>
          <w:noProof/>
          <w:lang w:val="sk-SK"/>
        </w:rPr>
        <w:footnoteReference w:id="5"/>
      </w:r>
      <w:r>
        <w:rPr>
          <w:noProof/>
          <w:lang w:val="sk-SK"/>
        </w:rPr>
        <w:t>.</w:t>
      </w:r>
    </w:p>
    <w:p>
      <w:pPr>
        <w:rPr>
          <w:rFonts w:eastAsia="Calibri"/>
          <w:noProof/>
          <w:lang w:val="sk-SK"/>
        </w:rPr>
      </w:pPr>
      <w:r>
        <w:rPr>
          <w:noProof/>
          <w:lang w:val="sk-SK"/>
        </w:rPr>
        <w:t>V správe piatich predsedov z júna 2015 o budúcnosti hospodárskej a menovej únie</w:t>
      </w:r>
      <w:r>
        <w:rPr>
          <w:rStyle w:val="FootnoteReference"/>
          <w:noProof/>
          <w:lang w:val="sk-SK"/>
        </w:rPr>
        <w:footnoteReference w:id="6"/>
      </w:r>
      <w:r>
        <w:rPr>
          <w:noProof/>
          <w:lang w:val="sk-SK"/>
        </w:rPr>
        <w:t xml:space="preserve"> sa ďalej zdôraznilo, že silnejší hlas na medzinárodnej scéne je neoddeliteľnou súčasťou prebiehajúceho úsilia o zlepšenie hospodárskeho riadenia eurozóny. A keďže sa HMÚ vyvíja smerom k hospodárskej, finančnej a fiškálnej únii, jej vonkajšie zastúpenie by malo tiež byť čoraz jednotnejšie.</w:t>
      </w:r>
    </w:p>
    <w:p>
      <w:pPr>
        <w:rPr>
          <w:noProof/>
          <w:lang w:val="sk-SK"/>
        </w:rPr>
      </w:pPr>
      <w:r>
        <w:rPr>
          <w:noProof/>
          <w:lang w:val="sk-SK"/>
        </w:rPr>
        <w:t>Európsky parlament tiež vyzval na zavedenie jednotného vonkajšieho zastúpenia eurozóny</w:t>
      </w:r>
      <w:r>
        <w:rPr>
          <w:rStyle w:val="FootnoteReference"/>
          <w:noProof/>
          <w:lang w:val="sk-SK"/>
        </w:rPr>
        <w:footnoteReference w:id="7"/>
      </w:r>
      <w:r>
        <w:rPr>
          <w:noProof/>
          <w:lang w:val="sk-SK"/>
        </w:rPr>
        <w:t>.</w:t>
      </w:r>
    </w:p>
    <w:p>
      <w:pPr>
        <w:rPr>
          <w:noProof/>
          <w:lang w:val="sk-SK"/>
        </w:rPr>
      </w:pPr>
      <w:r>
        <w:rPr>
          <w:noProof/>
          <w:lang w:val="sk-SK"/>
        </w:rPr>
        <w:t>Na mnohých medzinárodných hospodárskych a finančných fórach sa pri posilňovaní vonkajšieho zastúpenia Únie a eurozóny dosiahol značný pokrok, avšak na dosiahnutie skutočne jednotného vonkajšieho zastúpenia sú potrebné ďalšie kroky.</w:t>
      </w:r>
    </w:p>
    <w:p>
      <w:pPr>
        <w:rPr>
          <w:rFonts w:eastAsia="Calibri"/>
          <w:noProof/>
          <w:color w:val="000000"/>
          <w:lang w:val="sk-SK"/>
        </w:rPr>
      </w:pPr>
      <w:r>
        <w:rPr>
          <w:noProof/>
          <w:lang w:val="sk-SK"/>
        </w:rPr>
        <w:t>V tomto oznámení sa stanovuje plán postupu smerom k čoraz jednotnejšiemu vonkajšiemu zastúpeniu HMÚ, ktoré by mohlo byť predmetom konsenzu v Rade a Európskom parlamente.</w:t>
      </w:r>
      <w:r>
        <w:rPr>
          <w:noProof/>
          <w:color w:val="000000"/>
          <w:lang w:val="sk-SK"/>
        </w:rPr>
        <w:t xml:space="preserve"> </w:t>
      </w:r>
      <w:r>
        <w:rPr>
          <w:noProof/>
          <w:lang w:val="sk-SK"/>
        </w:rPr>
        <w:t>Tento proces by mal prebiehať postupne.</w:t>
      </w:r>
    </w:p>
    <w:p>
      <w:pPr>
        <w:rPr>
          <w:noProof/>
          <w:lang w:val="sk-SK"/>
        </w:rPr>
      </w:pPr>
      <w:r>
        <w:rPr>
          <w:noProof/>
          <w:lang w:val="sk-SK"/>
        </w:rPr>
        <w:t xml:space="preserve">Vonkajšie zastúpenie eurozóny je stále veľmi roztrieštené v rámci Medzinárodného menového fondu (MMF), ktorý je vďaka svojim úverovým nástrojom a dohľadu kľúčovým inštitucionálnym aktérom v globálnej správe hospodárskych záležitostí. </w:t>
      </w:r>
      <w:r>
        <w:rPr>
          <w:noProof/>
          <w:color w:val="000000"/>
          <w:lang w:val="sk-SK"/>
        </w:rPr>
        <w:t xml:space="preserve">Komisia preto súčasne predkladá aj legislatívny návrh, ktorým sa stanovujú opatrenia zamerané na vytvorenie jednotného zastúpenia eurozóny v MMF. </w:t>
      </w:r>
      <w:r>
        <w:rPr>
          <w:noProof/>
          <w:lang w:val="sk-SK"/>
        </w:rPr>
        <w:t>Neznamená to však, že by si budúci vývoj nemohol vyžiadať ďalšie posilnenie zastúpenia eurozóny aj na iných medzinárodných fórach.</w:t>
      </w:r>
    </w:p>
    <w:p>
      <w:pPr>
        <w:spacing w:before="360"/>
        <w:ind w:left="720" w:hanging="720"/>
        <w:rPr>
          <w:b/>
          <w:noProof/>
          <w:sz w:val="28"/>
          <w:szCs w:val="28"/>
          <w:lang w:val="sk-SK"/>
        </w:rPr>
      </w:pPr>
      <w:r>
        <w:rPr>
          <w:b/>
          <w:noProof/>
          <w:sz w:val="28"/>
          <w:lang w:val="sk-SK"/>
        </w:rPr>
        <w:t>2.</w:t>
      </w:r>
      <w:r>
        <w:rPr>
          <w:noProof/>
          <w:lang w:val="sk-SK"/>
        </w:rPr>
        <w:tab/>
      </w:r>
      <w:r>
        <w:rPr>
          <w:b/>
          <w:smallCaps/>
          <w:noProof/>
          <w:sz w:val="28"/>
          <w:lang w:val="sk-SK"/>
        </w:rPr>
        <w:t>Súčasné zastúpenie eurozóny na medzinárodných fórach</w:t>
      </w:r>
    </w:p>
    <w:p>
      <w:pPr>
        <w:autoSpaceDE w:val="0"/>
        <w:autoSpaceDN w:val="0"/>
        <w:adjustRightInd w:val="0"/>
        <w:rPr>
          <w:noProof/>
          <w:lang w:val="sk-SK"/>
        </w:rPr>
      </w:pPr>
      <w:r>
        <w:rPr>
          <w:noProof/>
          <w:lang w:val="sk-SK"/>
        </w:rPr>
        <w:t>Vonkajšie zastúpenie eurozóny v </w:t>
      </w:r>
      <w:r>
        <w:rPr>
          <w:b/>
          <w:noProof/>
          <w:lang w:val="sk-SK"/>
        </w:rPr>
        <w:t>MMF</w:t>
      </w:r>
      <w:r>
        <w:rPr>
          <w:noProof/>
          <w:lang w:val="sk-SK"/>
        </w:rPr>
        <w:t xml:space="preserve"> je v súčasnosti veľmi roztrieštené a nie príliš účinné, a to aj napriek značným záujmom eurozóny v tejto inštitúcii.</w:t>
      </w:r>
    </w:p>
    <w:p>
      <w:pPr>
        <w:rPr>
          <w:noProof/>
          <w:lang w:val="sk-SK"/>
        </w:rPr>
      </w:pPr>
      <w:r>
        <w:rPr>
          <w:noProof/>
          <w:lang w:val="sk-SK"/>
        </w:rPr>
        <w:t>MMF je vďaka svojim úverovým nástrojom a dohľadu základným pilierom globálnej správy hospodárskych záležitostí a finančného sektora. Spoločne s Komisiou a ECB zohráva kľúčovú úlohu pri tvorbe programov zameraných na záchranu členských štátov, ktoré postihla kríza štátneho dlhu. Posilnenie riadiaceho rámca pre koordináciu hospodárskych politík a výrazné zbližovanie v oblasti regulácie finančného sektora a dohľadu nad ním v kontexte bankovej únie okrem toho znamená, že MMF bude musieť v budúcnosti pri hodnotení dohľadu a krízového riadenia v eurozóne ísť nad rámec svojej optiky národných štátov. Účinné zastúpenie eurozóny by umožnilo formulovať jednotné stanoviská eurozóny v rámci MMF v otázkach, akými sú hospodárska a fiškálna politika, makroekonomický dohľad, devízové politiky a finančná stabilita.</w:t>
      </w:r>
      <w:r>
        <w:rPr>
          <w:noProof/>
          <w:color w:val="000000"/>
          <w:lang w:val="sk-SK"/>
        </w:rPr>
        <w:t xml:space="preserve"> </w:t>
      </w:r>
      <w:r>
        <w:rPr>
          <w:noProof/>
          <w:lang w:val="sk-SK"/>
        </w:rPr>
        <w:t>Súdržnejšie zastúpenie by prinieslo úžitok aj pre tretie krajiny, a to najmä prostredníctvom silnejšieho a konzistentnejšieho príspevku eurozóny ku globálnej hospodárskej a finančnej stabilite.</w:t>
      </w:r>
    </w:p>
    <w:p>
      <w:pPr>
        <w:autoSpaceDE w:val="0"/>
        <w:autoSpaceDN w:val="0"/>
        <w:adjustRightInd w:val="0"/>
        <w:rPr>
          <w:noProof/>
          <w:lang w:val="sk-SK"/>
        </w:rPr>
      </w:pPr>
      <w:r>
        <w:rPr>
          <w:noProof/>
          <w:lang w:val="sk-SK"/>
        </w:rPr>
        <w:t>Vzhľadom na uvedenú situáciu sa toto oznámenie a s ním prijímaný legislatívny návrh zameriavajú na MMF ako na prvý krok na posilnenie vonkajšieho zastúpenia eurozóny.</w:t>
      </w:r>
    </w:p>
    <w:p>
      <w:pPr>
        <w:rPr>
          <w:noProof/>
          <w:lang w:val="sk-SK"/>
        </w:rPr>
      </w:pPr>
      <w:r>
        <w:rPr>
          <w:noProof/>
          <w:lang w:val="sk-SK"/>
        </w:rPr>
        <w:t>Cieľ zabezpečiť primerané zastúpenie Únie ako takej, a najmä eurozóny, samozrejme presahuje rámec MMF a týka sa aj viacerých iných medzinárodných fór, pričom niektoré z nich sa spomínajú ďalej.</w:t>
      </w:r>
    </w:p>
    <w:p>
      <w:pPr>
        <w:rPr>
          <w:noProof/>
          <w:lang w:val="sk-SK"/>
        </w:rPr>
      </w:pPr>
      <w:r>
        <w:rPr>
          <w:noProof/>
          <w:lang w:val="sk-SK"/>
        </w:rPr>
        <w:t xml:space="preserve">Náležité zastúpenie v skupine </w:t>
      </w:r>
      <w:r>
        <w:rPr>
          <w:b/>
          <w:noProof/>
          <w:lang w:val="sk-SK"/>
        </w:rPr>
        <w:t>G7</w:t>
      </w:r>
      <w:r>
        <w:rPr>
          <w:noProof/>
          <w:lang w:val="sk-SK"/>
        </w:rPr>
        <w:t xml:space="preserve"> a </w:t>
      </w:r>
      <w:r>
        <w:rPr>
          <w:b/>
          <w:noProof/>
          <w:lang w:val="sk-SK"/>
        </w:rPr>
        <w:t>G20</w:t>
      </w:r>
      <w:r>
        <w:rPr>
          <w:noProof/>
          <w:lang w:val="sk-SK"/>
        </w:rPr>
        <w:t xml:space="preserve"> umožňuje Únii a eurozóne vstupovať do globálnej politickej agendy a presadzovať európske riešenia globálnych výziev v kľúčových oblastiach, akými sú koordinácia makroekonomických politík, reforma finančnej regulácie a daňová transparentnosť. Na úrovni vedúcich predstaviteľov v skupine G7 zastupuje Úniu a eurozónu predseda Európskej rady a predseda Komisie. Na úrovni ministrov financií a guvernérov centrálnych bánk v skupine G7 zastupuje eurozónu predseda Euroskupiny, Komisia a Európska centrálna banka (ECB). V skupine G20 na úrovni hláv štátov a predsedov vlád zastupuje Úniu a eurozónu predseda Európskej rady a predseda Komisie. Keď sa skupina G20 zaoberá záležitosťami v právomoci eurozóny, Komisia a ECB prezentujú pozície eurozóny na zasadnutiach ministrov financií a guvernérov centrálnych bánk.</w:t>
      </w:r>
    </w:p>
    <w:p>
      <w:pPr>
        <w:rPr>
          <w:noProof/>
          <w:lang w:val="sk-SK"/>
        </w:rPr>
      </w:pPr>
      <w:r>
        <w:rPr>
          <w:b/>
          <w:noProof/>
          <w:lang w:val="sk-SK"/>
        </w:rPr>
        <w:t>Rada pre finančnú stabilitu (FSB)</w:t>
      </w:r>
      <w:r>
        <w:rPr>
          <w:noProof/>
          <w:lang w:val="sk-SK"/>
        </w:rPr>
        <w:t xml:space="preserve"> koordinuje prácu súvisiacu s finančnou reguláciou na medzinárodnej úrovni, pričom je politicky zodpovedná skupine G20. Jej členmi zastupujúcimi jurisdikciu Únie sú Komisia a ECB. Komisia je tiež členom riadiacej skupiny FSB pre riešenie krízových situácií bánk. Zastúpenie v FSB predstavuje možnosť zapájať sa do rozvoja a vykonávania účinných regulačných politík a politík dohľadu a takisto umožňuje v záujme globálnej finančnej stability riešiť slabé miesta, ktoré majú negatívny vplyv na finančné systémy.</w:t>
      </w:r>
    </w:p>
    <w:p>
      <w:pPr>
        <w:pStyle w:val="NormalWeb"/>
        <w:spacing w:before="120" w:beforeAutospacing="0" w:after="120" w:afterAutospacing="0"/>
        <w:jc w:val="both"/>
        <w:rPr>
          <w:noProof/>
          <w:lang w:val="sk-SK"/>
        </w:rPr>
      </w:pPr>
      <w:r>
        <w:rPr>
          <w:b/>
          <w:noProof/>
          <w:lang w:val="sk-SK"/>
        </w:rPr>
        <w:t>Organizácia Spojených národov</w:t>
      </w:r>
      <w:r>
        <w:rPr>
          <w:noProof/>
          <w:lang w:val="sk-SK"/>
        </w:rPr>
        <w:t xml:space="preserve"> (OSN) v niektorých prípadoch rokuje o otázkach relevantných pre eurozónu, ako napríklad v prípade nedávnych rokovaní o medzinárodnom rámci pre reštrukturalizáciu dlhu. V roku 2011 prijalo Valné zhromaždenie OSN (VZ OSN) rezolúciu A/65/276, ktorou posilnilo pozorovateľský štatút Únie a jej práva zúčastňovať sa na práci VZ OSN, okrem iného tak, že jej povolilo vystupovať v mene EÚ (a jej členských štátov) s rovnakým stupňom priority, ako majú ostatné hlavné skupiny, predkladať návrhy a zúčastňovať sa každý september na všeobecnej rozprave</w:t>
      </w:r>
      <w:r>
        <w:rPr>
          <w:rStyle w:val="FootnoteReference"/>
          <w:noProof/>
          <w:lang w:val="sk-SK"/>
        </w:rPr>
        <w:footnoteReference w:id="8"/>
      </w:r>
      <w:r>
        <w:rPr>
          <w:noProof/>
          <w:lang w:val="sk-SK"/>
        </w:rPr>
        <w:t>. Popri svojom posilnenom štatúte pozorovateľa je Únia zmluvnou stranou aj viac než 50 multilaterálnych dohôd a dohovorov, ktoré podpísala v rámci OSN ako jediný účastník, ktorý nie je štátom.</w:t>
      </w:r>
    </w:p>
    <w:p>
      <w:pPr>
        <w:rPr>
          <w:noProof/>
          <w:szCs w:val="20"/>
          <w:lang w:val="sk-SK"/>
        </w:rPr>
      </w:pPr>
      <w:r>
        <w:rPr>
          <w:b/>
          <w:noProof/>
          <w:lang w:val="sk-SK"/>
        </w:rPr>
        <w:t>OECD</w:t>
      </w:r>
      <w:r>
        <w:rPr>
          <w:noProof/>
          <w:lang w:val="sk-SK"/>
        </w:rPr>
        <w:t xml:space="preserve"> robí pravidelne ekonomické prieskumy eurozóny. Únia má v OECD osobitné postavenie a s dvoma výnimkami má rovnaké práva ako členovia tejto organizácie. Únia nemá právo hlasovať a neodvádza povinné príspevky do rozpočtu OECD. Únia je plnoprávnym členom viacerých výborov OECD vrátane Výboru pre rozvojovú pomoc.</w:t>
      </w:r>
    </w:p>
    <w:p>
      <w:pPr>
        <w:rPr>
          <w:noProof/>
          <w:szCs w:val="20"/>
          <w:lang w:val="sk-SK"/>
        </w:rPr>
      </w:pPr>
      <w:r>
        <w:rPr>
          <w:noProof/>
          <w:lang w:val="sk-SK"/>
        </w:rPr>
        <w:t xml:space="preserve">Činnosť </w:t>
      </w:r>
      <w:r>
        <w:rPr>
          <w:b/>
          <w:noProof/>
          <w:lang w:val="sk-SK"/>
        </w:rPr>
        <w:t>Svetovej banky</w:t>
      </w:r>
      <w:r>
        <w:rPr>
          <w:noProof/>
          <w:lang w:val="sk-SK"/>
        </w:rPr>
        <w:t xml:space="preserve"> sa osobitne nezameriava na otázky súvisiace s eurozónou. V rade riaditeľov Svetovej banky Únia ako taká zastúpená nie je. Komisia má štatút pozorovateľa vo Výbore pre rozvoj (t. j. na úrovni ministrov).</w:t>
      </w:r>
    </w:p>
    <w:p>
      <w:pPr>
        <w:rPr>
          <w:noProof/>
          <w:lang w:val="sk-SK"/>
        </w:rPr>
      </w:pPr>
      <w:r>
        <w:rPr>
          <w:noProof/>
          <w:lang w:val="sk-SK"/>
        </w:rPr>
        <w:t>S výnimkou MMF vo všeobecnosti platí, že zástupcovia Únie a/alebo eurozóny sú prítomní na všetkých uvedených fórach, ktoré sa svojím zameraním osobitne týkajú eurozóny. Nie vždy sa tým však zabezpečilo, aby eurozóna hovorila jedným hlasom. Záujmy eurozóny sú zastupované mimoriadne účinne v prípade, že sa jej pozície vopred riadne koordinujú. V praxi k tomu však nie vždy dochádza.</w:t>
      </w:r>
    </w:p>
    <w:p>
      <w:pPr>
        <w:rPr>
          <w:noProof/>
          <w:color w:val="000000"/>
          <w:lang w:val="sk-SK"/>
        </w:rPr>
      </w:pPr>
      <w:r>
        <w:rPr>
          <w:noProof/>
          <w:color w:val="000000"/>
          <w:lang w:val="sk-SK"/>
        </w:rPr>
        <w:t>Vzhľadom na dynamický charakter globálnej finančnej architektúry by sa primerané vonkajšie zastúpenie eurozóny malo uplatňovať aj v súvislosti s novými medzinárodnými finančnými inštitúciami. Otázka vonkajšieho zastúpenia vyvstala napríklad aj v kontexte rokovaní o vytvorení nových konštituencií v Ázijskej banke pre investície do infraštruktúry (AIIB), v ktorej 14 členských štátov (z ktorých 10 štátov tvoria členovia eurozóny) získalo štatút zakladajúceho člena.</w:t>
      </w:r>
    </w:p>
    <w:p>
      <w:pPr>
        <w:spacing w:before="360"/>
        <w:ind w:left="720" w:hanging="720"/>
        <w:rPr>
          <w:b/>
          <w:noProof/>
          <w:sz w:val="28"/>
          <w:szCs w:val="28"/>
          <w:lang w:val="sk-SK"/>
        </w:rPr>
      </w:pPr>
      <w:r>
        <w:rPr>
          <w:b/>
          <w:noProof/>
          <w:sz w:val="28"/>
          <w:lang w:val="sk-SK"/>
        </w:rPr>
        <w:t>3.</w:t>
      </w:r>
      <w:r>
        <w:rPr>
          <w:noProof/>
          <w:lang w:val="sk-SK"/>
        </w:rPr>
        <w:tab/>
      </w:r>
      <w:r>
        <w:rPr>
          <w:b/>
          <w:smallCaps/>
          <w:noProof/>
          <w:sz w:val="28"/>
          <w:lang w:val="sk-SK"/>
        </w:rPr>
        <w:t>Prekážky účinnejšieho vonkajšieho zastúpenia v IMF</w:t>
      </w:r>
    </w:p>
    <w:p>
      <w:pPr>
        <w:tabs>
          <w:tab w:val="left" w:pos="4863"/>
        </w:tabs>
        <w:rPr>
          <w:noProof/>
          <w:lang w:val="sk-SK"/>
        </w:rPr>
      </w:pPr>
      <w:r>
        <w:rPr>
          <w:noProof/>
          <w:lang w:val="sk-SK"/>
        </w:rPr>
        <w:t>Viaceré organizačné a inštitucionálne prekážky v súčasnosti obmedzujú alebo dokonca znemožňujú účinné vonkajšie zastúpenie eurozóny a zastávanie jednotných postojov v MMF.</w:t>
      </w:r>
    </w:p>
    <w:p>
      <w:pPr>
        <w:keepNext/>
        <w:keepLines/>
        <w:tabs>
          <w:tab w:val="left" w:pos="1277"/>
        </w:tabs>
        <w:rPr>
          <w:rFonts w:eastAsia="Calibri"/>
          <w:b/>
          <w:noProof/>
          <w:lang w:val="sk-SK"/>
        </w:rPr>
      </w:pPr>
      <w:r>
        <w:rPr>
          <w:b/>
          <w:noProof/>
          <w:lang w:val="sk-SK"/>
        </w:rPr>
        <w:t>Veľká roztrieštenosť členských štátov</w:t>
      </w:r>
    </w:p>
    <w:p>
      <w:pPr>
        <w:tabs>
          <w:tab w:val="left" w:pos="1277"/>
        </w:tabs>
        <w:rPr>
          <w:noProof/>
          <w:lang w:val="sk-SK"/>
        </w:rPr>
      </w:pPr>
      <w:r>
        <w:rPr>
          <w:noProof/>
          <w:lang w:val="sk-SK"/>
        </w:rPr>
        <w:t>Súčasná roztrieštenosť členských štátov eurozóny vo výkonnej rade MMF, v ktorej je dnes 19 členských štátov eurozóny rozložených v rámci šiestich konštituencií</w:t>
      </w:r>
      <w:r>
        <w:rPr>
          <w:rStyle w:val="FootnoteReference"/>
          <w:noProof/>
          <w:lang w:val="sk-SK"/>
        </w:rPr>
        <w:footnoteReference w:id="9"/>
      </w:r>
      <w:r>
        <w:rPr>
          <w:noProof/>
          <w:lang w:val="sk-SK"/>
        </w:rPr>
        <w:t xml:space="preserve"> a dvoch samostatných kresiel, oslabuje účinnosť zastúpenia eurozóny v MMF. Členské štáty eurozóny, ktoré sú v konštituenciách s tretími krajinami, často nie sú vzhľadom na rozdielne názory alebo vnútorné mechanizmy vo svojich príslušných konštituenciách schopné podporiť spoločné pozície či podpísať spoločné vyhlásenia eurozóny. V dôsledku toho členské štáty často nemôžu presadzovať spoločné pozície v kľúčových otázkach, medzi ktoré patria členské kvóty, programy úprav, dohľad či iné politické otázky. Zastúpenie eurozóny je preto oslabené a snahy o zaujímanie spoločných pozícií sú znemožnené, a tým aj schopnosť presadzovať jednotný program a spoločné priority eurozóny.</w:t>
      </w:r>
    </w:p>
    <w:p>
      <w:pPr>
        <w:tabs>
          <w:tab w:val="left" w:pos="4863"/>
        </w:tabs>
        <w:rPr>
          <w:rFonts w:eastAsia="Calibri"/>
          <w:b/>
          <w:noProof/>
          <w:lang w:val="sk-SK"/>
        </w:rPr>
      </w:pPr>
      <w:r>
        <w:rPr>
          <w:b/>
          <w:noProof/>
          <w:lang w:val="sk-SK"/>
        </w:rPr>
        <w:t>Nedostatočné zastúpenie eurozóny ako celku</w:t>
      </w:r>
    </w:p>
    <w:p>
      <w:pPr>
        <w:tabs>
          <w:tab w:val="left" w:pos="4863"/>
        </w:tabs>
        <w:rPr>
          <w:noProof/>
          <w:color w:val="000000"/>
          <w:lang w:val="sk-SK"/>
        </w:rPr>
      </w:pPr>
      <w:r>
        <w:rPr>
          <w:noProof/>
          <w:lang w:val="sk-SK"/>
        </w:rPr>
        <w:t>V súčasnosti neexistuje žiaden osobitný zástupca eurozóny, ktorý by mal oficiálny mandát prezentovať a obhajovať politiku a záujmy eurozóny vo výkonnej rade MMF. Túto úlohu dnes vykonáva predseda skupiny EURIMF</w:t>
      </w:r>
      <w:r>
        <w:rPr>
          <w:rStyle w:val="FootnoteReference"/>
          <w:noProof/>
          <w:lang w:val="sk-SK"/>
        </w:rPr>
        <w:footnoteReference w:id="10"/>
      </w:r>
      <w:r>
        <w:rPr>
          <w:noProof/>
          <w:lang w:val="sk-SK"/>
        </w:rPr>
        <w:t>. Súčasné nastavenie nezohľadňuje výrazné zmeny, ku ktorým došlo vo vnútornom riadení eurozóny v posledných rokoch.</w:t>
      </w:r>
      <w:r>
        <w:rPr>
          <w:noProof/>
          <w:color w:val="000000"/>
          <w:lang w:val="sk-SK"/>
        </w:rPr>
        <w:t xml:space="preserve"> Roztrieštené zastúpenie spolu s chýbajúcim oficiálnym zástupcom eurozóny, ktorý by mal jasný mandát zastupovať eurozónu vo výkonnej rade MMF, nezodpovedá zvýšenej pozornosti, ktorú MMF venuje eurozóne ako celku. MMF pritom zohľadňuje aspekty eurozóny pri dohľade nad jednotlivými krajinami a hodnotí spoločné politiky eurozóny, ako je súbor makroekonomických politík, reforma finančnej regulácie alebo otázky súvisiace s bankovou úniou.</w:t>
      </w:r>
    </w:p>
    <w:p>
      <w:pPr>
        <w:tabs>
          <w:tab w:val="left" w:pos="4863"/>
        </w:tabs>
        <w:rPr>
          <w:rFonts w:eastAsia="Calibri"/>
          <w:noProof/>
          <w:color w:val="000000"/>
          <w:lang w:val="sk-SK"/>
        </w:rPr>
      </w:pPr>
      <w:r>
        <w:rPr>
          <w:noProof/>
          <w:color w:val="000000"/>
          <w:lang w:val="sk-SK"/>
        </w:rPr>
        <w:t>V súčasnosti má štatút pozorovateľa vo výkonnej rade MMF iba ECB, ktorá sa môže zúčastňovať pri určitých témach týkajúcich sa jej menových povinností. Existuje teda priestor na posilnenie zastúpenia eurozóny, a to konkrétne vytvorením osobitného zástupcu eurozóny pre všetky relevantné témy.</w:t>
      </w:r>
    </w:p>
    <w:p>
      <w:pPr>
        <w:tabs>
          <w:tab w:val="left" w:pos="4863"/>
        </w:tabs>
        <w:rPr>
          <w:rFonts w:eastAsia="Calibri"/>
          <w:b/>
          <w:noProof/>
          <w:lang w:val="sk-SK"/>
        </w:rPr>
      </w:pPr>
      <w:r>
        <w:rPr>
          <w:b/>
          <w:noProof/>
          <w:lang w:val="sk-SK"/>
        </w:rPr>
        <w:t>Nedostatočná koordinácia na úrovni eurozóny</w:t>
      </w:r>
    </w:p>
    <w:p>
      <w:pPr>
        <w:tabs>
          <w:tab w:val="left" w:pos="4863"/>
        </w:tabs>
        <w:rPr>
          <w:noProof/>
          <w:lang w:val="sk-SK"/>
        </w:rPr>
      </w:pPr>
      <w:r>
        <w:rPr>
          <w:noProof/>
          <w:lang w:val="sk-SK"/>
        </w:rPr>
        <w:t>Zastúpenie eurozóny na medzinárodnej úrovni v kontexte hospodárskej a menovej únie, a najmä v otázkach týkajúcich sa MMF, bolo dohodnuté na zasadnutí Európskej rady v roku 1998 vo Viedni.</w:t>
      </w:r>
    </w:p>
    <w:p>
      <w:pPr>
        <w:tabs>
          <w:tab w:val="left" w:pos="4863"/>
        </w:tabs>
        <w:rPr>
          <w:noProof/>
          <w:lang w:val="sk-SK"/>
        </w:rPr>
      </w:pPr>
      <w:r>
        <w:rPr>
          <w:noProof/>
          <w:lang w:val="sk-SK"/>
        </w:rPr>
        <w:t>V súčasnosti koordinácia prebieha len na úrovni Únie a neexistuje žiadna osobitná koordinácia na úrovni eurozóny. Koordinácia spoločných postojov v otázkach politiky v rámci MMF prebieha v Hospodárskom a finančnom výbore (ďalej len „HFV“) a v jeho stálej pracovnej skupine pre záležitosti týkajúce sa MMF (ďalej tiež „SCIMF“). Tieto spoločné postoje sa potom postupujú zástupcom členských štátov vo fonde (ďalej len „skupina EURIMF“) na účely zasadnutí výkonnej rady MMF. Zástupcovia členských štátov sa potom môže rozhodnúť, že vydajú spoločné vyhlásenia. K tomu dochádza pravidelne v prípade otázok, ako je dohľad nad eurozónou a program na posudzovanie finančného sektora Únie (FSAP). V prípade iných otázok to však nie je štandardný postup a členské štáty sa dohadujú v závislosti od jednotlivých prípadov. Koordinácia existuje aj v prípade postojov týkajúcich sa krajín eurozóny zapojených do programu a v prípade konzultácií s členskými štátmi podľa článku IV.</w:t>
      </w:r>
    </w:p>
    <w:p>
      <w:pPr>
        <w:tabs>
          <w:tab w:val="left" w:pos="4863"/>
        </w:tabs>
        <w:rPr>
          <w:rFonts w:eastAsia="Calibri"/>
          <w:noProof/>
          <w:lang w:val="sk-SK"/>
        </w:rPr>
      </w:pPr>
      <w:r>
        <w:rPr>
          <w:noProof/>
          <w:lang w:val="sk-SK"/>
        </w:rPr>
        <w:t>K významnému pokroku v oblasti koordinácie došlo v posledných rokoch – posilnenie koordinačných mechanizmov v roku 2007, voľba predsedu skupiny EURIMF, zlepšenie pracovných vzťahov medzi HFV/SCIMF a skupinou EURIMF a zintenzívnená koordinácia, pokiaľ ide o stratégie vo výkonnej rade. Súčasné koordinačné mechanizmy však majú naďalej svoje obmedzenia. Existujú mnohé príklady situácií, v ktorých bola koordinácia v kľúčových agendách MMF nedostatočná alebo sa členské štáty rozhodli podporiť skôr svoju národnú pozíciu než obhajovať spoločnú pozíciu Únie. To oslabuje schopnosť členských štátov v MMF presadzovať otázky spoločného záujmu eurozóny.</w:t>
      </w:r>
    </w:p>
    <w:p>
      <w:pPr>
        <w:tabs>
          <w:tab w:val="left" w:pos="4863"/>
        </w:tabs>
        <w:rPr>
          <w:rFonts w:eastAsia="Calibri"/>
          <w:noProof/>
          <w:lang w:val="sk-SK"/>
        </w:rPr>
      </w:pPr>
    </w:p>
    <w:p>
      <w:pPr>
        <w:spacing w:before="0" w:after="200" w:line="276" w:lineRule="auto"/>
        <w:jc w:val="left"/>
        <w:rPr>
          <w:b/>
          <w:smallCaps/>
          <w:noProof/>
          <w:sz w:val="28"/>
          <w:szCs w:val="28"/>
          <w:lang w:val="sk-SK"/>
        </w:rPr>
      </w:pPr>
      <w:r>
        <w:rPr>
          <w:b/>
          <w:noProof/>
          <w:sz w:val="28"/>
          <w:lang w:val="sk-SK"/>
        </w:rPr>
        <w:t>4.</w:t>
      </w:r>
      <w:r>
        <w:rPr>
          <w:noProof/>
          <w:lang w:val="sk-SK"/>
        </w:rPr>
        <w:tab/>
      </w:r>
      <w:r>
        <w:rPr>
          <w:b/>
          <w:smallCaps/>
          <w:noProof/>
          <w:sz w:val="28"/>
          <w:lang w:val="sk-SK"/>
        </w:rPr>
        <w:t>Na ceste ku konzistentnejšiemu a účinnejšiemu vonkajšiemu zastúpeniu eurozóny v MMF</w:t>
      </w:r>
    </w:p>
    <w:p>
      <w:pPr>
        <w:tabs>
          <w:tab w:val="left" w:pos="4863"/>
        </w:tabs>
        <w:spacing w:before="100" w:after="100"/>
        <w:rPr>
          <w:noProof/>
          <w:lang w:val="sk-SK"/>
        </w:rPr>
      </w:pPr>
      <w:r>
        <w:rPr>
          <w:noProof/>
          <w:lang w:val="sk-SK"/>
        </w:rPr>
        <w:t>Vzhľadom na kľúčovú úlohu MMF v globálnom hospodárskom a finančnom riadení si súčasná situácia vyžaduje posilnenie súdržnosti a jednotný hlas eurozóny v MMF.</w:t>
      </w:r>
    </w:p>
    <w:p>
      <w:pPr>
        <w:rPr>
          <w:noProof/>
          <w:lang w:val="sk-SK"/>
        </w:rPr>
      </w:pPr>
      <w:r>
        <w:rPr>
          <w:noProof/>
          <w:lang w:val="sk-SK"/>
        </w:rPr>
        <w:t xml:space="preserve">Opatrenia na dosiahnutie konzistentnejšieho a účinnejšieho vonkajšieho zastúpenia eurozóny v MMF by sa mali </w:t>
      </w:r>
      <w:r>
        <w:rPr>
          <w:b/>
          <w:noProof/>
          <w:lang w:val="sk-SK"/>
        </w:rPr>
        <w:t>stanoviť a dohodnúť bez odkladu, avšak zavádzať postupne</w:t>
      </w:r>
      <w:r>
        <w:rPr>
          <w:noProof/>
          <w:lang w:val="sk-SK"/>
        </w:rPr>
        <w:t>, aby mohli všetci zainteresovaní aktéri – na úrovni Únie a na medzinárodnej úrovni – vykonať potrebné právne a inštitucionálne úpravy.</w:t>
      </w:r>
    </w:p>
    <w:p>
      <w:pPr>
        <w:tabs>
          <w:tab w:val="left" w:pos="4863"/>
        </w:tabs>
        <w:spacing w:before="100" w:after="100"/>
        <w:rPr>
          <w:noProof/>
          <w:lang w:val="sk-SK"/>
        </w:rPr>
      </w:pPr>
      <w:r>
        <w:rPr>
          <w:noProof/>
          <w:lang w:val="sk-SK"/>
        </w:rPr>
        <w:t>Malo by sa počítať s </w:t>
      </w:r>
      <w:r>
        <w:rPr>
          <w:b/>
          <w:noProof/>
          <w:lang w:val="sk-SK"/>
        </w:rPr>
        <w:t>trojstupňovým prístupom</w:t>
      </w:r>
      <w:r>
        <w:rPr>
          <w:noProof/>
          <w:lang w:val="sk-SK"/>
        </w:rPr>
        <w:t>: i) posilnená koordinácia medzi členskými štátmi eurozóny; ii) zlepšené zastúpenie eurozóny v rámci MMF a iii) po vykonaní potrebných úprav v riadení MMF dosiahnutie jednotného zastúpenia a jediného kresla pre eurozónu.</w:t>
      </w:r>
    </w:p>
    <w:p>
      <w:pPr>
        <w:tabs>
          <w:tab w:val="left" w:pos="4863"/>
        </w:tabs>
        <w:spacing w:before="100" w:after="100"/>
        <w:rPr>
          <w:noProof/>
          <w:lang w:val="sk-SK"/>
        </w:rPr>
      </w:pPr>
      <w:r>
        <w:rPr>
          <w:noProof/>
          <w:lang w:val="sk-SK"/>
        </w:rPr>
        <w:t>Toto posilnené zastúpenie eurozóny však musí popri dôraze na eurozónu udržiavať a podľa možnosti posilňovať aj koordináciu s členskými štátmi, ktoré nepatria do eurozóny, aby sa zachovala integrita jednotného trhu a Únie ako celku. Intenzívnejšiu spoluprácu je potrebné rozvíjať aj s inými členmi MMF.</w:t>
      </w:r>
    </w:p>
    <w:p>
      <w:pPr>
        <w:rPr>
          <w:b/>
          <w:noProof/>
          <w:lang w:val="sk-SK"/>
        </w:rPr>
      </w:pPr>
      <w:r>
        <w:rPr>
          <w:b/>
          <w:noProof/>
          <w:lang w:val="sk-SK"/>
        </w:rPr>
        <w:t>1. Posilnenie koordinácie medzi členskými štátmi eurozóny</w:t>
      </w:r>
    </w:p>
    <w:p>
      <w:pPr>
        <w:outlineLvl w:val="0"/>
        <w:rPr>
          <w:noProof/>
          <w:lang w:val="sk-SK"/>
        </w:rPr>
      </w:pPr>
      <w:r>
        <w:rPr>
          <w:b/>
          <w:noProof/>
          <w:lang w:val="sk-SK"/>
        </w:rPr>
        <w:t>a) Súčasné koordinačné mechanizmy eurozóny v záležitostiach týkajúcich sa MMF by sa mali posilniť.</w:t>
      </w:r>
      <w:r>
        <w:rPr>
          <w:noProof/>
          <w:lang w:val="sk-SK"/>
        </w:rPr>
        <w:t xml:space="preserve"> Členské štáty sa v roku 2007 dohodli na príprave spoločných vyhlásení eurozóny k otázkam, ktoré súvisia priamo a výlučne so spoločnou politikou eurozóny. Táto dohoda by sa mala posilniť a rozšíriť s cieľom stanoviť požiadavky pre systematické spoločné vyhlásenia ku všetkým otázkam v rámci MMF týkajúcim sa politiky, krajín a dohľadu, ktoré sú relevantné pre eurozónu. Kríza ukázala, že je nanajvýš dôležité, aby eurozóna mohla hovoriť jedným hlasom najmä v prípade programov, finančných opatrení a politík riešenia krízovej situácie MMF. Posilnenou koordináciou sa rozšíri rozsah tém, ku ktorým členské štáty eurozóny vydávajú spoločné vyhlásenia určené výkonnej rade.</w:t>
      </w:r>
    </w:p>
    <w:p>
      <w:pPr>
        <w:outlineLvl w:val="0"/>
        <w:rPr>
          <w:rFonts w:eastAsia="Calibri"/>
          <w:noProof/>
          <w:lang w:val="sk-SK"/>
        </w:rPr>
      </w:pPr>
      <w:r>
        <w:rPr>
          <w:noProof/>
          <w:lang w:val="sk-SK"/>
        </w:rPr>
        <w:t>Súčasné koordinačné mechanizmy a štruktúry by sa mali posilniť takto:</w:t>
      </w:r>
    </w:p>
    <w:p>
      <w:pPr>
        <w:ind w:left="720" w:hanging="720"/>
        <w:rPr>
          <w:noProof/>
          <w:lang w:val="sk-SK"/>
        </w:rPr>
      </w:pPr>
      <w:r>
        <w:rPr>
          <w:noProof/>
          <w:lang w:val="sk-SK"/>
        </w:rPr>
        <w:t>1.</w:t>
      </w:r>
      <w:r>
        <w:rPr>
          <w:noProof/>
          <w:lang w:val="sk-SK"/>
        </w:rPr>
        <w:tab/>
      </w:r>
      <w:r>
        <w:rPr>
          <w:b/>
          <w:noProof/>
          <w:lang w:val="sk-SK"/>
        </w:rPr>
        <w:t>Vytvorenie rámca na pravidelné konzultácie:</w:t>
      </w:r>
      <w:r>
        <w:rPr>
          <w:noProof/>
          <w:lang w:val="sk-SK"/>
        </w:rPr>
        <w:t xml:space="preserve"> Systematická výmena dokumentov na informačné účely medzi Komisiou a MMF je založená na dohode z roku 1972. Komisia má v úmysle aktualizovať túto dohodu a požadovať vytvorenie rámca na pravidelné konzultácie s cieľom zohľadniť aktuálne oblasti spoločného záujmu. To zahŕňa postupovanie dokumentov o horizontálnych otázkach týkajúcich sa eurozóny (napr. správy podľa článku IV týkajúce sa eurozóny a členských štátov Únie/eurozóny, programy na posudzovanie finančného sektora Únie (FSAP) pre členské štáty eurozóny, ako aj dokumentáciu súvisiacu s Úniou a krajinami eurozóny zapojenými do programu) v tom istom čase, ako sa tieto dokumenty postupujú výkonným riaditeľom.</w:t>
      </w:r>
    </w:p>
    <w:p>
      <w:pPr>
        <w:pStyle w:val="PlainText"/>
        <w:spacing w:before="120" w:after="120"/>
        <w:ind w:left="720" w:hanging="720"/>
        <w:jc w:val="both"/>
        <w:rPr>
          <w:rFonts w:ascii="Times New Roman" w:hAnsi="Times New Roman"/>
          <w:noProof/>
          <w:sz w:val="24"/>
          <w:lang w:val="sk-SK"/>
        </w:rPr>
      </w:pPr>
      <w:r>
        <w:rPr>
          <w:rFonts w:ascii="Times New Roman" w:hAnsi="Times New Roman"/>
          <w:noProof/>
          <w:sz w:val="24"/>
          <w:lang w:val="sk-SK"/>
        </w:rPr>
        <w:t>2.</w:t>
      </w:r>
      <w:r>
        <w:rPr>
          <w:noProof/>
          <w:lang w:val="sk-SK"/>
        </w:rPr>
        <w:tab/>
      </w:r>
      <w:r>
        <w:rPr>
          <w:rFonts w:ascii="Times New Roman" w:hAnsi="Times New Roman"/>
          <w:b/>
          <w:noProof/>
          <w:sz w:val="24"/>
          <w:lang w:val="sk-SK"/>
        </w:rPr>
        <w:t>Skvalitnenie koordinačnej infraštruktúry</w:t>
      </w:r>
      <w:r>
        <w:rPr>
          <w:rFonts w:ascii="Times New Roman" w:hAnsi="Times New Roman"/>
          <w:noProof/>
          <w:sz w:val="24"/>
          <w:lang w:val="sk-SK"/>
        </w:rPr>
        <w:t>: Podvýbor HFV pre záležitosti týkajúce sa MMF (SCIMF) by sa mal premeniť na podvýbor HFV pre záležitosti týkajúce sa všetkých medzinárodných finančných inštitúcií. O témach súvisiacich s MMF, ktoré sú relevantné pre eurozónu, sa v súčasnosti rokuje priamo v pracovnej skupine pre Euroskupinu (ďalej tiež „EWG“). Malo by sa zvážiť zriadenie podvýboru SCIMF/HFV v zložení členov eurozóny. Tento podvýbor „Euro SCIMF“ by mal podávať správy pracovnej skupine pre Euroskupinu. Podobne by sa vo Washingtone popri skupine EÚ EURIMF, ktorá už existuje, mala vytvoriť skupina EURIMF v zložení členov eurozóny.</w:t>
      </w:r>
    </w:p>
    <w:p>
      <w:pPr>
        <w:ind w:left="720" w:hanging="720"/>
        <w:rPr>
          <w:noProof/>
          <w:lang w:val="sk-SK"/>
        </w:rPr>
      </w:pPr>
      <w:r>
        <w:rPr>
          <w:noProof/>
          <w:lang w:val="sk-SK"/>
        </w:rPr>
        <w:t>3.</w:t>
      </w:r>
      <w:r>
        <w:rPr>
          <w:noProof/>
          <w:lang w:val="sk-SK"/>
        </w:rPr>
        <w:tab/>
      </w:r>
      <w:r>
        <w:rPr>
          <w:b/>
          <w:noProof/>
          <w:lang w:val="sk-SK"/>
        </w:rPr>
        <w:t>Aktualizácia existujúcich koordinačných mechanizmov v Bruseli pre záležitosti týkajúce sa MMF:</w:t>
      </w:r>
      <w:r>
        <w:rPr>
          <w:noProof/>
          <w:lang w:val="sk-SK"/>
        </w:rPr>
        <w:t xml:space="preserve"> Súčasné pracovné mechanizmy súvisiace s koordináciou v MMF by sa mali posilniť. Rozsah koordinácie by sa mal rozšíriť na všetky otázky relevantné pre eurozónu. Mala by existovať požiadavka na systematickejšie vydávanie spoločných vyhlásení („</w:t>
      </w:r>
      <w:r>
        <w:rPr>
          <w:i/>
          <w:noProof/>
          <w:lang w:val="sk-SK"/>
        </w:rPr>
        <w:t>common grays</w:t>
      </w:r>
      <w:r>
        <w:rPr>
          <w:noProof/>
          <w:lang w:val="sk-SK"/>
        </w:rPr>
        <w:t>“) namiesto vyhlásení jednotlivých členských štátov. Táto modernizácia by mohla zahŕňať aj lepšie výhľadové plánovanie koordinácie vo forme spoločných pracovných programov EURIMF/SCIMF, väčší dôraz na záležitosti týkajúce sa MMF v programoch HFV/EWG a Rady ECOFIN/Euroskupiny a pravidelnejšie podávanie správ predsedu skupiny EURIMF určených HFV/EWG. Euroskupina by mala vydávať spoločné vyhlásenia k otázkam týkajúcim sa MMF, pri ktorých je jednotný politický názor eurozóny zásadný.</w:t>
      </w:r>
    </w:p>
    <w:p>
      <w:pPr>
        <w:spacing w:after="0"/>
        <w:ind w:left="720" w:hanging="720"/>
        <w:rPr>
          <w:rFonts w:eastAsia="Calibri"/>
          <w:noProof/>
          <w:lang w:val="sk-SK"/>
        </w:rPr>
      </w:pPr>
      <w:r>
        <w:rPr>
          <w:noProof/>
          <w:lang w:val="sk-SK"/>
        </w:rPr>
        <w:t>4.</w:t>
      </w:r>
      <w:r>
        <w:rPr>
          <w:noProof/>
          <w:lang w:val="sk-SK"/>
        </w:rPr>
        <w:tab/>
      </w:r>
      <w:r>
        <w:rPr>
          <w:b/>
          <w:noProof/>
          <w:lang w:val="sk-SK"/>
        </w:rPr>
        <w:t>Posilnenie koordinácie vo Washingtone</w:t>
      </w:r>
      <w:r>
        <w:rPr>
          <w:noProof/>
          <w:lang w:val="sk-SK"/>
        </w:rPr>
        <w:t>: Zmeny pracovných metód v Bruseli sa musia odzrkadliť aj v skupine EURIMF vo Washingtone, a to napríklad takto: i) pravidelné stretnutia skupiny EURIMF venované otázkam relevantným pre eurozónu na základe pracovného programu MMF. Toto výhľadové plánovanie by malo takisto pomôcť usmerniť prácu v Bruseli; ii) systematické vydávanie spoločných vyhlásení; iii) ak nie je možné vydať spoločné vyhlásenie, zaistiť vyjadrenie spoločných postojov týkajúcich sa spoločných politík eurozóny, ako je fiškálna a menová politika, v jednotlivých vyhláseniach vydaných členskými štátmi; iv) členovia skupiny EURIMF by sa mali ešte systematickejšie dohadovať na spoločných stratégiách vo výkonnej rade. Členské štáty by sa mali zaviazať k tomu, že vo výkonnej rade nebudú vyjadrovať názory, ktoré si navzájom protirečia.</w:t>
      </w:r>
    </w:p>
    <w:p>
      <w:pPr>
        <w:spacing w:after="0"/>
        <w:outlineLvl w:val="0"/>
        <w:rPr>
          <w:noProof/>
          <w:lang w:val="sk-SK"/>
        </w:rPr>
      </w:pPr>
      <w:r>
        <w:rPr>
          <w:b/>
          <w:noProof/>
          <w:lang w:val="sk-SK"/>
        </w:rPr>
        <w:t>b) Posilnenie koordinačných mechanizmov eurozóny v záležitostiach týkajúcich sa MMF by malo ísť ruka v ruke so zvýšením zodpovednosti voči Rade a Európskemu parlamentu.</w:t>
      </w:r>
      <w:r>
        <w:rPr>
          <w:noProof/>
          <w:lang w:val="sk-SK"/>
        </w:rPr>
        <w:t xml:space="preserve"> Súčasné vyhlásenia adresované jarnému a výročnému zasadnutiu MMF by sa mali nahradiť vyhlásením Euroskupiny. Európsky parlament by mal byť o týchto vyhláseniach plne informovaný.</w:t>
      </w:r>
    </w:p>
    <w:p>
      <w:pPr>
        <w:outlineLvl w:val="0"/>
        <w:rPr>
          <w:b/>
          <w:noProof/>
          <w:lang w:val="sk-SK"/>
        </w:rPr>
      </w:pPr>
      <w:r>
        <w:rPr>
          <w:b/>
          <w:noProof/>
          <w:lang w:val="sk-SK"/>
        </w:rPr>
        <w:t>2. Zlepšenie zastúpenia eurozóny prostredníctvom preskupenia konštituencií v MMF</w:t>
      </w:r>
    </w:p>
    <w:p>
      <w:pPr>
        <w:outlineLvl w:val="0"/>
        <w:rPr>
          <w:noProof/>
          <w:lang w:val="sk-SK"/>
        </w:rPr>
      </w:pPr>
      <w:r>
        <w:rPr>
          <w:noProof/>
          <w:lang w:val="sk-SK"/>
        </w:rPr>
        <w:t>Konštituencie v MMF by sa mali postupne preskupiť tak, aby tvorili konštituencie zložené výlučne z členov eurozóny. Kroky zamerané na dosiahnutie tohto cieľa by sa mali začať podnikať čo najskôr.</w:t>
      </w:r>
      <w:r>
        <w:rPr>
          <w:b/>
          <w:noProof/>
          <w:lang w:val="sk-SK"/>
        </w:rPr>
        <w:t xml:space="preserve"> </w:t>
      </w:r>
      <w:r>
        <w:rPr>
          <w:noProof/>
          <w:lang w:val="sk-SK"/>
        </w:rPr>
        <w:t>Touto zmenou by sa posilnil hlas a účinnosť eurozóny vo výkonnej rade.</w:t>
      </w:r>
      <w:r>
        <w:rPr>
          <w:b/>
          <w:noProof/>
          <w:lang w:val="sk-SK"/>
        </w:rPr>
        <w:t xml:space="preserve"> </w:t>
      </w:r>
      <w:r>
        <w:rPr>
          <w:noProof/>
          <w:lang w:val="sk-SK"/>
        </w:rPr>
        <w:t>Zároveň by to pomohlo eurozóne k tomu, aby sa stala kľúčovým aktérom pri formovaní politík a stratégií MMF.</w:t>
      </w:r>
    </w:p>
    <w:p>
      <w:pPr>
        <w:outlineLvl w:val="0"/>
        <w:rPr>
          <w:noProof/>
          <w:lang w:val="sk-SK"/>
        </w:rPr>
      </w:pPr>
      <w:r>
        <w:rPr>
          <w:noProof/>
          <w:lang w:val="sk-SK"/>
        </w:rPr>
        <w:t>Členské štáty majú v MMF často viac spoločných záujmov so štátmi eurozóny ako s inými členskými krajinami MMF. Únia však zároveň nadviazala viaceré veľmi úzke väzby s kandidátmi na členstvo v Únii a s krajinami európskeho susedstva, ktoré majú spoločné záujmy. V kontexte preskupenia konštituencií v MMF by sa mali tieto väzby uchovať.</w:t>
      </w:r>
    </w:p>
    <w:p>
      <w:pPr>
        <w:rPr>
          <w:noProof/>
          <w:lang w:val="sk-SK"/>
        </w:rPr>
      </w:pPr>
      <w:r>
        <w:rPr>
          <w:noProof/>
          <w:lang w:val="sk-SK"/>
        </w:rPr>
        <w:t>S cieľom umožniť užšiu spoluprácu by sa Rada mala dohodnúť na spoločnom rámci so zásadami postupu na preskupenie krajín Únie a eurozóny v rámci MMF:</w:t>
      </w:r>
    </w:p>
    <w:p>
      <w:pPr>
        <w:rPr>
          <w:noProof/>
          <w:lang w:val="sk-SK"/>
        </w:rPr>
      </w:pPr>
      <w:r>
        <w:rPr>
          <w:noProof/>
          <w:lang w:val="sk-SK"/>
        </w:rPr>
        <w:t>1. V roku 2010 sa vyspelé európske krajiny zaviazali, že znížia svoje zastúpenie vo výkonnej rade MMF o dve kreslá najneskôr do konania prvých volieb výkonnej rady MMF po tom, ako reforma kvót z roku 2010 nadobudne účinnosť. Tento záväzok bol už z veľkej časti splnený. Členské štáty by mali vykonať zostávajúce zmeny spôsobom, ktorý je v súlade s cieľom preskupiť členské štáty do konštituencií zložených z členov eurozóny a posilniť súdržnosť zastúpenia.</w:t>
      </w:r>
    </w:p>
    <w:p>
      <w:pPr>
        <w:rPr>
          <w:noProof/>
          <w:lang w:val="sk-SK"/>
        </w:rPr>
      </w:pPr>
      <w:r>
        <w:rPr>
          <w:noProof/>
          <w:lang w:val="sk-SK"/>
        </w:rPr>
        <w:t>2. Keď sa reforma z roku 2010 ratifikuje, dva veľké členské štáty, ktoré majú v súčasnosti ešte samostatné kreslá – Francúzsko a Nemecko – by mohli otvoriť svoje konštituencie iným európskym krajinám, ktoré by sa primerane zúčastňovali na riadení daných konštituencií.</w:t>
      </w:r>
    </w:p>
    <w:p>
      <w:pPr>
        <w:rPr>
          <w:noProof/>
          <w:lang w:val="sk-SK"/>
        </w:rPr>
      </w:pPr>
      <w:r>
        <w:rPr>
          <w:noProof/>
          <w:lang w:val="sk-SK"/>
        </w:rPr>
        <w:t>3. Viaceré členské štáty Únie a eurozóny sú v súčasnosti zoskupené spolu s tretími krajinami, ktoré majú často zásadne odlišné záujmy. Takéto členské štáty by sa mali usilovať o presun do konštituencií zložených výlučne z členských štátov.</w:t>
      </w:r>
    </w:p>
    <w:p>
      <w:pPr>
        <w:rPr>
          <w:noProof/>
          <w:lang w:val="sk-SK"/>
        </w:rPr>
      </w:pPr>
      <w:r>
        <w:rPr>
          <w:noProof/>
          <w:lang w:val="sk-SK"/>
        </w:rPr>
        <w:t>4. Členské štáty eurozóny by sa mali preskupiť do menšieho počtu konštituencií zložených výlučne z členov eurozóny. Všetky členské štáty vrátane – podľa možnosti – kandidátskych a susedných krajín by sa okrem toho mali v strednodobom horizonte usilovať o presun do spoločných konštituencií.</w:t>
      </w:r>
    </w:p>
    <w:p>
      <w:pPr>
        <w:rPr>
          <w:noProof/>
          <w:lang w:val="sk-SK"/>
        </w:rPr>
      </w:pPr>
      <w:r>
        <w:rPr>
          <w:noProof/>
          <w:lang w:val="sk-SK"/>
        </w:rPr>
        <w:t>5. Posledným krokom by malo byť spojenie členských štátov eurozóny do jedinej konštituencie, ako sa uvádza ďalej v oddiele 3.</w:t>
      </w:r>
    </w:p>
    <w:p>
      <w:pPr>
        <w:rPr>
          <w:noProof/>
          <w:lang w:val="sk-SK"/>
        </w:rPr>
      </w:pPr>
      <w:r>
        <w:rPr>
          <w:noProof/>
          <w:lang w:val="sk-SK"/>
        </w:rPr>
        <w:t>Členské štáty by sa mali dohodnúť na tom, že budú pred každými voľbami výkonnej rady MMF, t. j. každé dva roky, rokovať v Rade o pokroku dosiahnutom na ceste k väčšej súdržnosti zastúpenia eurozóny vo fonde. Budúce úpravy konštituencií by sa mali vykonávať tak, aby viedli k väčšej súdržnosti zastúpenia eurozóny.</w:t>
      </w:r>
    </w:p>
    <w:p>
      <w:pPr>
        <w:outlineLvl w:val="0"/>
        <w:rPr>
          <w:b/>
          <w:noProof/>
          <w:lang w:val="sk-SK"/>
        </w:rPr>
      </w:pPr>
      <w:r>
        <w:rPr>
          <w:b/>
          <w:noProof/>
          <w:lang w:val="sk-SK"/>
        </w:rPr>
        <w:t>3. Napredovanie smerom k jednotnému zastúpeniu eurozóny</w:t>
      </w:r>
    </w:p>
    <w:p>
      <w:pPr>
        <w:tabs>
          <w:tab w:val="left" w:pos="0"/>
        </w:tabs>
        <w:rPr>
          <w:noProof/>
          <w:lang w:val="sk-SK"/>
        </w:rPr>
      </w:pPr>
      <w:r>
        <w:rPr>
          <w:noProof/>
          <w:lang w:val="sk-SK"/>
        </w:rPr>
        <w:t>Okrem zlepšenej koordinácie a preskupenia konštituencií dnes Komisia predkladá aj legislatívny návrh na dosiahnutie jednotného zastúpenia eurozóny v záujme účinnejšieho presadzovania záujmov eurozóny vo výkonnej rade MMF. Tento prístup je v súlade s úvahami v správe piatich predsedov o lepšom ústrednom riadení Euroskupiny pri presadzovaní a zastupovaní záujmov eurozóny a o budúcom orgáne eurozóny pre fiškálne záležitosti (</w:t>
      </w:r>
      <w:r>
        <w:rPr>
          <w:i/>
          <w:noProof/>
          <w:lang w:val="sk-SK"/>
        </w:rPr>
        <w:t>euro area treasury</w:t>
      </w:r>
      <w:r>
        <w:rPr>
          <w:noProof/>
          <w:lang w:val="sk-SK"/>
        </w:rPr>
        <w:t>). Po vykonaní potrebných úprav v riadení MMF by sa teda malo vytvoriť jediné kreslo pre eurozónu v MMF. Komisia navrhuje stanoviť rok 2025 ako lehotu na zavedenie jediného kresla.</w:t>
      </w:r>
    </w:p>
    <w:p>
      <w:pPr>
        <w:tabs>
          <w:tab w:val="left" w:pos="0"/>
        </w:tabs>
        <w:rPr>
          <w:rFonts w:eastAsia="Calibri"/>
          <w:noProof/>
          <w:lang w:val="sk-SK"/>
        </w:rPr>
      </w:pPr>
      <w:r>
        <w:rPr>
          <w:noProof/>
          <w:lang w:val="sk-SK"/>
        </w:rPr>
        <w:t>Na účely návrhu rozhodnutia Rady, ktoré sa predkladá spoločne s týmto oznámením a ktorým sa stanovujú opatrenia na vytvorenie jednotného zastúpenia eurozóny v MMF, Komisia navrhuje model, podľa ktorého by členské štáty boli naďalej individuálnymi členmi MMF. To okrem iného znamená, že každý členský štát eurozóny bude naďalej oprávnený požičiavať si od MMF.</w:t>
      </w:r>
    </w:p>
    <w:p>
      <w:pPr>
        <w:rPr>
          <w:noProof/>
          <w:lang w:val="sk-SK"/>
        </w:rPr>
      </w:pPr>
      <w:r>
        <w:rPr>
          <w:noProof/>
          <w:lang w:val="sk-SK"/>
        </w:rPr>
        <w:t>Jediné kreslo eurozóny by si vyžadovalo i) pravidlá týkajúce sa vnútorného riadenia konštituencie eurozóny, resp. konštituencií a ii) koordinačný mechanizmus na usmerňovanie pozícií, ktoré sa majú zaujať v mene eurozóny vo výkonnej rade MMF. Tento mechanizmus by mohol vychádzať z posilnených štruktúr v Bruseli, okrem iného v rámci Euroskupiny a pracovnej skupiny pre Euroskupinu (EWG).</w:t>
      </w:r>
    </w:p>
    <w:p>
      <w:pPr>
        <w:autoSpaceDE w:val="0"/>
        <w:autoSpaceDN w:val="0"/>
        <w:adjustRightInd w:val="0"/>
        <w:rPr>
          <w:noProof/>
          <w:color w:val="000000"/>
          <w:lang w:val="sk-SK"/>
        </w:rPr>
      </w:pPr>
      <w:r>
        <w:rPr>
          <w:noProof/>
          <w:color w:val="000000"/>
          <w:lang w:val="sk-SK"/>
        </w:rPr>
        <w:t>Ako dočasné opatrenie – kým sa nedosiahne vytvorenie jediného kresla pre eurozónu – Komisia navrhuje zabezpečiť pozorovateľský post pre eurozónu vo výkonnej rade. Štatút pozorovateľa eurozóny zastúpenej vo výkonnej rade zástupcom členského štátu eurozóny, ktorý je už členom tejto rady, podporovaným Komisiou a Európskou centrálnou bankou, by primerane odrážal úlohu eurozóny v globálnom hospodárstve a zmeny v riadení hospodárskej a finančnej politiky, ku ktorým došlo od krízy. To by zástupcovi eurozóny umožnilo oficiálne zastupovať eurozónu na zasadnutiach výkonnej rady MMF, na ktorých sa rokuje o politikách eurozóny, zvýšiť viditeľnosť eurozóny a posilniť medzinárodný profil eurozóny ako dôležitého globálneho aktéra. Rozdiel medzi takýmto zastúpením eurozóny a súčasným systémom je osobitný mandát, ktorý by jediný zástupca eurozóny pri svojom zvolení Euroskupinou dostal. V súčasnosti predseda skupiny EURIMF zastupuje celú Úniu a je volený výkonnými riaditeľmi z EÚ vo Washingtone. Súčasne s týmto krokom by sa uzavrela nová dohoda s MMF o výmene informácií a konzultáciách.</w:t>
      </w:r>
    </w:p>
    <w:p>
      <w:pPr>
        <w:autoSpaceDE w:val="0"/>
        <w:autoSpaceDN w:val="0"/>
        <w:adjustRightInd w:val="0"/>
        <w:rPr>
          <w:noProof/>
          <w:color w:val="000000"/>
          <w:lang w:val="sk-SK"/>
        </w:rPr>
      </w:pPr>
    </w:p>
    <w:p>
      <w:pPr>
        <w:rPr>
          <w:b/>
          <w:bCs/>
          <w:noProof/>
          <w:sz w:val="28"/>
          <w:szCs w:val="28"/>
          <w:lang w:val="sk-SK"/>
        </w:rPr>
      </w:pPr>
      <w:r>
        <w:rPr>
          <w:b/>
          <w:noProof/>
          <w:sz w:val="28"/>
          <w:lang w:val="sk-SK"/>
        </w:rPr>
        <w:t>5.</w:t>
      </w:r>
      <w:r>
        <w:rPr>
          <w:noProof/>
          <w:lang w:val="sk-SK"/>
        </w:rPr>
        <w:tab/>
      </w:r>
      <w:r>
        <w:rPr>
          <w:b/>
          <w:smallCaps/>
          <w:noProof/>
          <w:sz w:val="28"/>
          <w:lang w:val="sk-SK"/>
        </w:rPr>
        <w:t>Zastúpenie na iných medzinárodných fórach, najmä pokiaľ ide o otázky s významom pre bankovú úniu</w:t>
      </w:r>
    </w:p>
    <w:p>
      <w:pPr>
        <w:rPr>
          <w:noProof/>
          <w:lang w:val="sk-SK"/>
        </w:rPr>
      </w:pPr>
      <w:r>
        <w:rPr>
          <w:noProof/>
          <w:lang w:val="sk-SK"/>
        </w:rPr>
        <w:t>Ako sa uvádza v oddiele 2, prítomnosť zástupcov Únie a/alebo eurozóny na fórach iných ako MMF nie vždy zabezpečila, aby eurozóna hovorila jedným hlasom. Záujmy eurozóny sú zastupované mimoriadne účinne v prípade, že sa jej pozície vopred riadne koordinujú. V praxi však k tomu nedochádza vždy. Komisia sa preto bude usilovať o ďalšie zlepšenie koordinácie na všetkých medzinárodných fórach, a najmä v oblastiach, kde sa HMÚ v súčasnosti ďalej prehlbuje, napríklad v otázkach s významom pre bankovú úniu.</w:t>
      </w:r>
    </w:p>
    <w:p>
      <w:pPr>
        <w:rPr>
          <w:noProof/>
          <w:lang w:val="sk-SK"/>
        </w:rPr>
      </w:pPr>
      <w:r>
        <w:rPr>
          <w:noProof/>
          <w:lang w:val="sk-SK"/>
        </w:rPr>
        <w:t>Komisia bude spolupracovať s členskými štátmi s cieľom vytvoriť v priebehu najbližších mesiacov posilnený mechanizmus na koordináciu pozícií v Rade pre finančnú stabilitu a prípadne aj v iných relevantných normotvorných subjektoch, a to vo vzťahu k eurozóne a podľa možnosti aj vo vzťahu k Únii ako celku. Tieto mechanizmy by mohli zahŕňať napríklad silnejší záväzok dodržiavať spoločné pozície stanovené na príslušných koordinačných fórach EÚ alebo pravidelné rokovania o pozíciách a otázkach koordinácie na najvyššej úrovni v rámci príslušných orgánov dohľadu alebo orgánov politického rozhodovania – tak pred kľúčovými medzinárodnými stretnutiami, ako aj po nich.</w:t>
      </w:r>
    </w:p>
    <w:p>
      <w:pPr>
        <w:rPr>
          <w:b/>
          <w:bCs/>
          <w:noProof/>
          <w:sz w:val="28"/>
          <w:szCs w:val="28"/>
          <w:lang w:val="sk-SK"/>
        </w:rPr>
      </w:pPr>
    </w:p>
    <w:p>
      <w:pPr>
        <w:rPr>
          <w:b/>
          <w:bCs/>
          <w:noProof/>
          <w:sz w:val="28"/>
          <w:szCs w:val="28"/>
          <w:lang w:val="sk-SK"/>
        </w:rPr>
      </w:pPr>
      <w:r>
        <w:rPr>
          <w:b/>
          <w:noProof/>
          <w:sz w:val="28"/>
          <w:lang w:val="sk-SK"/>
        </w:rPr>
        <w:t>6.</w:t>
      </w:r>
      <w:r>
        <w:rPr>
          <w:noProof/>
          <w:lang w:val="sk-SK"/>
        </w:rPr>
        <w:tab/>
      </w:r>
      <w:r>
        <w:rPr>
          <w:b/>
          <w:smallCaps/>
          <w:noProof/>
          <w:sz w:val="28"/>
          <w:lang w:val="sk-SK"/>
        </w:rPr>
        <w:t>Závery</w:t>
      </w:r>
    </w:p>
    <w:p>
      <w:pPr>
        <w:rPr>
          <w:noProof/>
          <w:color w:val="000000"/>
          <w:szCs w:val="22"/>
          <w:lang w:val="sk-SK"/>
        </w:rPr>
      </w:pPr>
      <w:r>
        <w:rPr>
          <w:noProof/>
          <w:color w:val="000000"/>
          <w:lang w:val="sk-SK"/>
        </w:rPr>
        <w:t>Vonkajšie zastúpenie eurozóny sa musí posilniť, aby eurozóna mohla hrať aktívnejšiu a jedinečnú úlohu v medzinárodných inštitúciách a na medzinárodných fórach. Išlo by o dôležitý krok smerom k zvyšovaniu váhy eurozóny vo svetovom hospodárstve, pričom by sa vychádzalo z posilneného vnútorného riadenia eurozóny, ktoré sa podarilo dosiahnuť. Eurozóna by tak získala možnosť zúčastňovať sa na tvorbe vyvíjajúcich sa pravidiel medzinárodnej finančnej architektúry, ako aj prispieť k dobudovaniu vonkajšieho rozmeru hospodárskej a menovej únie.</w:t>
      </w:r>
    </w:p>
    <w:p>
      <w:pPr>
        <w:rPr>
          <w:noProof/>
          <w:lang w:val="sk-SK"/>
        </w:rPr>
      </w:pPr>
      <w:r>
        <w:rPr>
          <w:noProof/>
          <w:lang w:val="sk-SK"/>
        </w:rPr>
        <w:t>Ako už bolo spomenuté, toto oznámenie sa zameriava na MMF ako na prvý krok k posilneniu vonkajšieho zastúpenia eurozóny.</w:t>
      </w:r>
    </w:p>
    <w:p>
      <w:pPr>
        <w:tabs>
          <w:tab w:val="left" w:pos="3193"/>
        </w:tabs>
        <w:rPr>
          <w:noProof/>
          <w:lang w:val="sk-SK"/>
        </w:rPr>
      </w:pPr>
      <w:r>
        <w:rPr>
          <w:noProof/>
          <w:lang w:val="sk-SK"/>
        </w:rPr>
        <w:t>Komisia s týmto cieľom vyzýva Radu, aby prijala rozhodnutie, ktorým sa stanovujú opatrenia zamerané na vytvorenie jednotného zastúpenia eurozóny v MMF najneskôr do roku 2025;</w:t>
      </w:r>
      <w:r>
        <w:rPr>
          <w:noProof/>
          <w:color w:val="000000"/>
          <w:lang w:val="sk-SK"/>
        </w:rPr>
        <w:t xml:space="preserve"> dosiahla novú dohodu o koordinácii eurozóny v záležitostiach týkajúcich sa MMF vrátane otázky zodpovednosti a dohodu o spoločnom rámci, na základe ktorého by sa preskupili konštituencie zložené z členov eurozóny a stanovili zásady na splnenie záväzku týkajúceho sa dvoch kresiel, ktorý vyplýva z reformy kvót a riadenia MMF z roku 2010; a aby zmenila podvýbor SCIMF na plnohodnotný podvýbor HFV pre záležitosti týkajúce sa všetkých medzinárodných finančných inštitúcií v Bruseli, vrátane vytvorenia formátu zloženého len z členov eurozóny, ktorý by sa vzťahoval aj na skupinu EURIMF vo Washingtone.</w:t>
      </w:r>
    </w:p>
    <w:p>
      <w:pPr>
        <w:rPr>
          <w:noProof/>
          <w:lang w:val="sk-SK"/>
        </w:rPr>
      </w:pPr>
      <w:r>
        <w:rPr>
          <w:noProof/>
          <w:lang w:val="sk-SK"/>
        </w:rPr>
        <w:t>Komisia sa bude usilovať o ďalšie zlepšenie koordinácie na všetkých medzinárodných fórach. Zameria sa predovšetkým na oblasti, v ktorých sa HMÚ v súčasnosti ďalej prehlbuje. Komisia bude spolupracovať s členskými štátmi s cieľom zriadiť v priebehu najbližších mesiacov posilnený mechanizmus na koordináciu pozícií v Rade pre finančnú stabilitu a prípadne aj v iných relevantných normotvorných subjektoch, a to vo vzťahu k eurozóne a podľa možnosti aj vo vzťahu k Únii ako celku.</w:t>
      </w:r>
    </w:p>
    <w:p>
      <w:pPr>
        <w:rPr>
          <w:noProof/>
          <w:szCs w:val="20"/>
          <w:lang w:val="sk-SK"/>
        </w:rPr>
      </w:pPr>
      <w:r>
        <w:rPr>
          <w:noProof/>
          <w:lang w:val="sk-SK"/>
        </w:rPr>
        <w:t>S cieľom monitorovať dosiahnutý pokrok a identifikovať potrebu ďalšieho zlepšenia bude Komisia pravidelne podávať správy Európskemu parlamentu a Rade. Komisia takisto zhodnotí situáciu v tejto oblasti, keď na jar 2017 predloží svoju bielu knihu pred fázou 2 dobudovania HMÚ, ktorú má pripraviť podľa správy piatich predsedov.</w:t>
      </w:r>
    </w:p>
    <w:p>
      <w:pPr>
        <w:rPr>
          <w:noProof/>
          <w:lang w:val="sk-SK"/>
        </w:rPr>
      </w:pPr>
      <w:r>
        <w:rPr>
          <w:noProof/>
          <w:lang w:val="sk-SK"/>
        </w:rPr>
        <w:br w:type="page"/>
      </w:r>
    </w:p>
    <w:p>
      <w:pPr>
        <w:rPr>
          <w:b/>
          <w:bCs/>
          <w:noProof/>
          <w:sz w:val="28"/>
          <w:szCs w:val="28"/>
          <w:lang w:val="sk-SK"/>
        </w:rPr>
      </w:pPr>
      <w:r>
        <w:rPr>
          <w:b/>
          <w:noProof/>
          <w:sz w:val="28"/>
          <w:lang w:val="sk-SK"/>
        </w:rPr>
        <w:t>Tabuľka 1: Prehľad zastúpenia Únie a eurozóny v relevantných medzinárodných finančných inštitúciách</w:t>
      </w:r>
    </w:p>
    <w:p>
      <w:pPr>
        <w:rPr>
          <w:b/>
          <w:bCs/>
          <w:noProof/>
          <w:sz w:val="28"/>
          <w:szCs w:val="28"/>
          <w:lang w:val="sk-SK"/>
        </w:rPr>
      </w:pPr>
    </w:p>
    <w:tbl>
      <w:tblPr>
        <w:tblStyle w:val="TableGrid1"/>
        <w:tblW w:w="0" w:type="auto"/>
        <w:jc w:val="center"/>
        <w:tblInd w:w="250" w:type="dxa"/>
        <w:tblLook w:val="04A0" w:firstRow="1" w:lastRow="0" w:firstColumn="1" w:lastColumn="0" w:noHBand="0" w:noVBand="1"/>
      </w:tblPr>
      <w:tblGrid>
        <w:gridCol w:w="1297"/>
        <w:gridCol w:w="7577"/>
      </w:tblGrid>
      <w:tr>
        <w:trPr>
          <w:jc w:val="center"/>
        </w:trPr>
        <w:tc>
          <w:tcPr>
            <w:tcW w:w="1297" w:type="dxa"/>
          </w:tcPr>
          <w:p>
            <w:pPr>
              <w:jc w:val="left"/>
              <w:rPr>
                <w:b/>
                <w:noProof/>
                <w:lang w:val="sk-SK"/>
              </w:rPr>
            </w:pPr>
            <w:r>
              <w:rPr>
                <w:b/>
                <w:noProof/>
                <w:lang w:val="sk-SK"/>
              </w:rPr>
              <w:t>Inštitúcia</w:t>
            </w:r>
          </w:p>
        </w:tc>
        <w:tc>
          <w:tcPr>
            <w:tcW w:w="7577" w:type="dxa"/>
          </w:tcPr>
          <w:p>
            <w:pPr>
              <w:jc w:val="left"/>
              <w:rPr>
                <w:b/>
                <w:noProof/>
                <w:lang w:val="sk-SK"/>
              </w:rPr>
            </w:pPr>
            <w:r>
              <w:rPr>
                <w:b/>
                <w:noProof/>
                <w:lang w:val="sk-SK"/>
              </w:rPr>
              <w:t>Postavenie Únie v súčasnosti</w:t>
            </w:r>
          </w:p>
        </w:tc>
      </w:tr>
      <w:tr>
        <w:trPr>
          <w:jc w:val="center"/>
        </w:trPr>
        <w:tc>
          <w:tcPr>
            <w:tcW w:w="1297" w:type="dxa"/>
          </w:tcPr>
          <w:p>
            <w:pPr>
              <w:spacing w:before="0" w:after="0"/>
              <w:jc w:val="left"/>
              <w:rPr>
                <w:noProof/>
                <w:lang w:val="sk-SK"/>
              </w:rPr>
            </w:pPr>
            <w:r>
              <w:rPr>
                <w:noProof/>
                <w:lang w:val="sk-SK"/>
              </w:rPr>
              <w:t>MMF</w:t>
            </w:r>
          </w:p>
        </w:tc>
        <w:tc>
          <w:tcPr>
            <w:tcW w:w="7577" w:type="dxa"/>
          </w:tcPr>
          <w:p>
            <w:pPr>
              <w:spacing w:before="0" w:after="0"/>
              <w:rPr>
                <w:noProof/>
                <w:lang w:val="sk-SK"/>
              </w:rPr>
            </w:pPr>
            <w:r>
              <w:rPr>
                <w:noProof/>
                <w:lang w:val="sk-SK"/>
              </w:rPr>
              <w:t>Únia nemá formálny štatút v MMF. Komisia má štatút pozorovateľa v Medzinárodnom menovom a finančnom výbore (IMFC), avšak nie vo výkonnej rade MMF. ECB má štatút pozorovateľa tak v IMFC, ako aj vo výkonnej rade.</w:t>
            </w:r>
          </w:p>
        </w:tc>
      </w:tr>
      <w:tr>
        <w:trPr>
          <w:jc w:val="center"/>
        </w:trPr>
        <w:tc>
          <w:tcPr>
            <w:tcW w:w="1297" w:type="dxa"/>
          </w:tcPr>
          <w:p>
            <w:pPr>
              <w:spacing w:before="0" w:after="0"/>
              <w:jc w:val="left"/>
              <w:rPr>
                <w:noProof/>
                <w:lang w:val="sk-SK"/>
              </w:rPr>
            </w:pPr>
            <w:r>
              <w:rPr>
                <w:noProof/>
                <w:lang w:val="sk-SK"/>
              </w:rPr>
              <w:t>G7</w:t>
            </w:r>
          </w:p>
        </w:tc>
        <w:tc>
          <w:tcPr>
            <w:tcW w:w="7577" w:type="dxa"/>
          </w:tcPr>
          <w:p>
            <w:pPr>
              <w:spacing w:before="0" w:after="0"/>
              <w:rPr>
                <w:noProof/>
                <w:lang w:val="sk-SK"/>
              </w:rPr>
            </w:pPr>
            <w:r>
              <w:rPr>
                <w:noProof/>
                <w:lang w:val="sk-SK"/>
              </w:rPr>
              <w:t>Na úrovni vedúcich predstaviteľov zastupujú Úniu spoločne predseda Komisie a predseda Európskej rady. Na zasadnutiach ministrov financií skupiny G7 zastupuje Úniu Komisia, ECB a predseda Euroskupiny.</w:t>
            </w:r>
          </w:p>
        </w:tc>
      </w:tr>
      <w:tr>
        <w:trPr>
          <w:jc w:val="center"/>
        </w:trPr>
        <w:tc>
          <w:tcPr>
            <w:tcW w:w="1297" w:type="dxa"/>
          </w:tcPr>
          <w:p>
            <w:pPr>
              <w:spacing w:before="0" w:after="0"/>
              <w:jc w:val="left"/>
              <w:rPr>
                <w:noProof/>
                <w:lang w:val="sk-SK"/>
              </w:rPr>
            </w:pPr>
            <w:r>
              <w:rPr>
                <w:noProof/>
                <w:lang w:val="sk-SK"/>
              </w:rPr>
              <w:t>G20</w:t>
            </w:r>
          </w:p>
        </w:tc>
        <w:tc>
          <w:tcPr>
            <w:tcW w:w="7577" w:type="dxa"/>
          </w:tcPr>
          <w:p>
            <w:pPr>
              <w:spacing w:before="0" w:after="0"/>
              <w:rPr>
                <w:noProof/>
                <w:lang w:val="sk-SK"/>
              </w:rPr>
            </w:pPr>
            <w:r>
              <w:rPr>
                <w:noProof/>
                <w:lang w:val="sk-SK"/>
              </w:rPr>
              <w:t>Únia je riadnym členom skupiny G20. Na úrovni vedúcich predstaviteľov zastupujú Úniu spoločne predseda Komisie a predseda Európskej rady. Na zasadnutiach ministrov financií zastupuje Úniu Komisia, predsedníctvo Rady a ECB.</w:t>
            </w:r>
          </w:p>
        </w:tc>
      </w:tr>
      <w:tr>
        <w:trPr>
          <w:jc w:val="center"/>
        </w:trPr>
        <w:tc>
          <w:tcPr>
            <w:tcW w:w="1297" w:type="dxa"/>
          </w:tcPr>
          <w:p>
            <w:pPr>
              <w:spacing w:before="0" w:after="0"/>
              <w:jc w:val="left"/>
              <w:rPr>
                <w:noProof/>
                <w:lang w:val="sk-SK"/>
              </w:rPr>
            </w:pPr>
            <w:r>
              <w:rPr>
                <w:noProof/>
                <w:lang w:val="sk-SK"/>
              </w:rPr>
              <w:t>FSB</w:t>
            </w:r>
          </w:p>
          <w:p>
            <w:pPr>
              <w:spacing w:before="0" w:after="0"/>
              <w:jc w:val="left"/>
              <w:rPr>
                <w:noProof/>
                <w:lang w:val="sk-SK"/>
              </w:rPr>
            </w:pPr>
          </w:p>
        </w:tc>
        <w:tc>
          <w:tcPr>
            <w:tcW w:w="7577" w:type="dxa"/>
          </w:tcPr>
          <w:p>
            <w:pPr>
              <w:spacing w:before="0" w:after="0"/>
              <w:rPr>
                <w:noProof/>
                <w:lang w:val="sk-SK"/>
              </w:rPr>
            </w:pPr>
            <w:r>
              <w:rPr>
                <w:noProof/>
                <w:lang w:val="sk-SK"/>
              </w:rPr>
              <w:t>Únia je riadnym členom Rady pre finančnú stabilitu (FSB). Medzi ďalších členov FSB patria krajiny skupiny G20 a mnohé ďalšie významné ekonomiky a medzinárodné organizácie.</w:t>
            </w:r>
          </w:p>
        </w:tc>
      </w:tr>
      <w:tr>
        <w:trPr>
          <w:jc w:val="center"/>
        </w:trPr>
        <w:tc>
          <w:tcPr>
            <w:tcW w:w="1297" w:type="dxa"/>
          </w:tcPr>
          <w:p>
            <w:pPr>
              <w:spacing w:before="0" w:after="0"/>
              <w:jc w:val="left"/>
              <w:rPr>
                <w:noProof/>
                <w:lang w:val="sk-SK"/>
              </w:rPr>
            </w:pPr>
            <w:r>
              <w:rPr>
                <w:noProof/>
                <w:lang w:val="sk-SK"/>
              </w:rPr>
              <w:t>OECD</w:t>
            </w:r>
          </w:p>
        </w:tc>
        <w:tc>
          <w:tcPr>
            <w:tcW w:w="7577" w:type="dxa"/>
          </w:tcPr>
          <w:p>
            <w:pPr>
              <w:spacing w:before="0" w:after="0"/>
              <w:rPr>
                <w:noProof/>
                <w:lang w:val="sk-SK"/>
              </w:rPr>
            </w:pPr>
            <w:r>
              <w:rPr>
                <w:noProof/>
                <w:lang w:val="sk-SK"/>
              </w:rPr>
              <w:t>Únia má v rámci OECD osobitné postavenie, ktoré je vymedzené v doplnkovom protokole č. 1 k Dohovoru o OECD a vyložené v stanovisku právnej služby OECD. Únia má rovnaké práva ako členovia s dvoma výnimkami: Únia nemá právo hlasovať a neodvádza povinné príspevky do rozpočtu OECD. Únia je riadnym členom viacerých výborov OECD, v prvom rade najmä Výboru pre rozvojovú pomoc (DAC).</w:t>
            </w:r>
          </w:p>
        </w:tc>
      </w:tr>
      <w:tr>
        <w:trPr>
          <w:jc w:val="center"/>
        </w:trPr>
        <w:tc>
          <w:tcPr>
            <w:tcW w:w="1297" w:type="dxa"/>
          </w:tcPr>
          <w:p>
            <w:pPr>
              <w:spacing w:before="0" w:after="0"/>
              <w:jc w:val="left"/>
              <w:rPr>
                <w:noProof/>
                <w:lang w:val="sk-SK"/>
              </w:rPr>
            </w:pPr>
            <w:r>
              <w:rPr>
                <w:noProof/>
                <w:lang w:val="sk-SK"/>
              </w:rPr>
              <w:t>Svetová banka</w:t>
            </w:r>
          </w:p>
        </w:tc>
        <w:tc>
          <w:tcPr>
            <w:tcW w:w="7577" w:type="dxa"/>
          </w:tcPr>
          <w:p>
            <w:pPr>
              <w:spacing w:before="0" w:after="0"/>
              <w:rPr>
                <w:noProof/>
                <w:lang w:val="sk-SK"/>
              </w:rPr>
            </w:pPr>
            <w:r>
              <w:rPr>
                <w:noProof/>
                <w:lang w:val="sk-SK"/>
              </w:rPr>
              <w:t>Únia ako taká nie je zastúpená vo Výkonnej rade Svetovej banky. Komisia má štatút pozorovateľa v rámci Výboru pre rozvoj (t. j. na úrovni ministrov).</w:t>
            </w:r>
          </w:p>
        </w:tc>
      </w:tr>
      <w:tr>
        <w:trPr>
          <w:jc w:val="center"/>
        </w:trPr>
        <w:tc>
          <w:tcPr>
            <w:tcW w:w="1297" w:type="dxa"/>
          </w:tcPr>
          <w:p>
            <w:pPr>
              <w:spacing w:before="0" w:after="0"/>
              <w:jc w:val="left"/>
              <w:rPr>
                <w:noProof/>
                <w:lang w:val="sk-SK"/>
              </w:rPr>
            </w:pPr>
            <w:r>
              <w:rPr>
                <w:noProof/>
                <w:lang w:val="sk-SK"/>
              </w:rPr>
              <w:t>BIS</w:t>
            </w:r>
          </w:p>
          <w:p>
            <w:pPr>
              <w:spacing w:before="0" w:after="0"/>
              <w:jc w:val="left"/>
              <w:rPr>
                <w:noProof/>
                <w:lang w:val="sk-SK"/>
              </w:rPr>
            </w:pPr>
          </w:p>
        </w:tc>
        <w:tc>
          <w:tcPr>
            <w:tcW w:w="7577" w:type="dxa"/>
          </w:tcPr>
          <w:p>
            <w:pPr>
              <w:spacing w:before="0" w:after="0"/>
              <w:rPr>
                <w:noProof/>
                <w:lang w:val="sk-SK"/>
              </w:rPr>
            </w:pPr>
            <w:r>
              <w:rPr>
                <w:noProof/>
                <w:lang w:val="sk-SK"/>
              </w:rPr>
              <w:t>ECB je riadnym členom Banky pre medzinárodné zúčtovanie (BIS). Členmi BIS sa môžu stať iba centrálne banky.</w:t>
            </w:r>
          </w:p>
        </w:tc>
      </w:tr>
      <w:tr>
        <w:trPr>
          <w:jc w:val="center"/>
        </w:trPr>
        <w:tc>
          <w:tcPr>
            <w:tcW w:w="1297" w:type="dxa"/>
          </w:tcPr>
          <w:p>
            <w:pPr>
              <w:spacing w:before="0" w:after="0"/>
              <w:jc w:val="left"/>
              <w:rPr>
                <w:noProof/>
                <w:lang w:val="sk-SK"/>
              </w:rPr>
            </w:pPr>
            <w:r>
              <w:rPr>
                <w:noProof/>
                <w:lang w:val="sk-SK"/>
              </w:rPr>
              <w:t>EBOR</w:t>
            </w:r>
          </w:p>
        </w:tc>
        <w:tc>
          <w:tcPr>
            <w:tcW w:w="7577" w:type="dxa"/>
          </w:tcPr>
          <w:p>
            <w:pPr>
              <w:spacing w:before="0" w:after="0"/>
              <w:rPr>
                <w:noProof/>
                <w:lang w:val="sk-SK"/>
              </w:rPr>
            </w:pPr>
            <w:r>
              <w:rPr>
                <w:noProof/>
                <w:lang w:val="sk-SK"/>
              </w:rPr>
              <w:t>Členov Európskej banky pre obnovu a rozvoj (EBOR) tvorí 64 vlád, Únia a Európska investičná banka (EIB). Únia ako taká je akcionárom EBOR (s podielom 3,05 % z celkového počtu hlasov).</w:t>
            </w:r>
          </w:p>
        </w:tc>
      </w:tr>
    </w:tbl>
    <w:p>
      <w:pPr>
        <w:rPr>
          <w:noProof/>
          <w:lang w:val="sk-SK"/>
        </w:rPr>
      </w:pP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600" w:left="1417" w:header="709" w:footer="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SK</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SK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97212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ind w:left="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0" w:firstLine="0"/>
        <w:rPr>
          <w:lang w:val="sk-SK"/>
        </w:rPr>
      </w:pPr>
      <w:r>
        <w:rPr>
          <w:rStyle w:val="FootnoteReference"/>
          <w:lang w:val="sk-SK"/>
        </w:rPr>
        <w:footnoteRef/>
      </w:r>
      <w:r>
        <w:rPr>
          <w:lang w:val="sk-SK"/>
        </w:rPr>
        <w:t xml:space="preserve"> Únia pri výkone svojich osobitných právomocí týkajúcich sa členských štátov, ktorých menou je euro, v súlade so zmluvami (hlava VIII, kapitola 4 ZFEÚ).</w:t>
      </w:r>
    </w:p>
  </w:footnote>
  <w:footnote w:id="3">
    <w:p>
      <w:pPr>
        <w:pStyle w:val="FootnoteText"/>
        <w:rPr>
          <w:lang w:val="sk-SK"/>
        </w:rPr>
      </w:pPr>
      <w:r>
        <w:rPr>
          <w:rStyle w:val="FootnoteReference"/>
          <w:lang w:val="sk-SK"/>
        </w:rPr>
        <w:footnoteRef/>
      </w:r>
      <w:r>
        <w:rPr>
          <w:lang w:val="sk-SK"/>
        </w:rPr>
        <w:t xml:space="preserve"> </w:t>
      </w:r>
      <w:hyperlink r:id="rId1">
        <w:r>
          <w:rPr>
            <w:rStyle w:val="Hyperlink"/>
            <w:lang w:val="sk-SK"/>
          </w:rPr>
          <w:t>http://europa.eu/rapid/press-release_MEMO-13-318_nl.htm</w:t>
        </w:r>
      </w:hyperlink>
      <w:r>
        <w:rPr>
          <w:rStyle w:val="Hyperlink"/>
          <w:lang w:val="sk-SK"/>
        </w:rPr>
        <w:t>.</w:t>
      </w:r>
    </w:p>
  </w:footnote>
  <w:footnote w:id="4">
    <w:p>
      <w:pPr>
        <w:pStyle w:val="FootnoteText"/>
        <w:ind w:left="0" w:firstLine="0"/>
        <w:rPr>
          <w:lang w:val="sk-SK"/>
        </w:rPr>
      </w:pPr>
      <w:r>
        <w:rPr>
          <w:rStyle w:val="FootnoteReference"/>
          <w:lang w:val="sk-SK"/>
        </w:rPr>
        <w:footnoteRef/>
      </w:r>
      <w:r>
        <w:rPr>
          <w:lang w:val="sk-SK"/>
        </w:rPr>
        <w:t xml:space="preserve"> Zmluva o stabilite, koordinácii a správe v hospodárskej a menovej únii, z 1. februára 2012: </w:t>
      </w:r>
      <w:hyperlink r:id="rId2">
        <w:r>
          <w:rPr>
            <w:rStyle w:val="Hyperlink"/>
            <w:lang w:val="sk-SK"/>
          </w:rPr>
          <w:t>http://www.consilium.europa.eu/european-council/pdf/Treaty-on-Stability-Coordination-and-Governance-TSCG/</w:t>
        </w:r>
      </w:hyperlink>
      <w:r>
        <w:rPr>
          <w:lang w:val="sk-SK"/>
        </w:rPr>
        <w:t>.</w:t>
      </w:r>
    </w:p>
  </w:footnote>
  <w:footnote w:id="5">
    <w:p>
      <w:pPr>
        <w:pStyle w:val="FootnoteText"/>
        <w:ind w:left="0" w:firstLine="0"/>
        <w:rPr>
          <w:lang w:val="sk-SK"/>
        </w:rPr>
      </w:pPr>
      <w:r>
        <w:rPr>
          <w:rStyle w:val="FootnoteReference"/>
          <w:lang w:val="sk-SK"/>
        </w:rPr>
        <w:footnoteRef/>
      </w:r>
      <w:r>
        <w:rPr>
          <w:lang w:val="sk-SK"/>
        </w:rPr>
        <w:t xml:space="preserve"> Koncepcia pre rozsiahlu a skutočnú hospodársku a menovú úniu, COM(2012) 777, 30.11.2012, </w:t>
      </w:r>
      <w:hyperlink r:id="rId3">
        <w:r>
          <w:rPr>
            <w:rStyle w:val="Hyperlink"/>
            <w:lang w:val="sk-SK"/>
          </w:rPr>
          <w:t xml:space="preserve"> http://ec.europa.eu/archives/commission_2010-2014/president/news/archives/2012/11/pdf/blueprint_en.pdf</w:t>
        </w:r>
      </w:hyperlink>
      <w:r>
        <w:rPr>
          <w:lang w:val="sk-SK"/>
        </w:rPr>
        <w:t>.</w:t>
      </w:r>
    </w:p>
  </w:footnote>
  <w:footnote w:id="6">
    <w:p>
      <w:pPr>
        <w:pStyle w:val="FootnoteText"/>
        <w:ind w:left="0" w:firstLine="0"/>
        <w:rPr>
          <w:lang w:val="sk-SK"/>
        </w:rPr>
      </w:pPr>
      <w:r>
        <w:rPr>
          <w:rStyle w:val="FootnoteReference"/>
          <w:lang w:val="sk-SK"/>
        </w:rPr>
        <w:footnoteRef/>
      </w:r>
      <w:r>
        <w:rPr>
          <w:lang w:val="sk-SK"/>
        </w:rPr>
        <w:t xml:space="preserve"> Správa piatich predsedov „Dobudovanie hospodárskej a menovej únie v Európe“, 22. júna 2015, </w:t>
      </w:r>
      <w:hyperlink r:id="rId4">
        <w:r>
          <w:rPr>
            <w:rStyle w:val="Hyperlink"/>
            <w:lang w:val="sk-SK"/>
          </w:rPr>
          <w:t>http://ec.europa.eu/priorities/economic-monetary-union/docs/5-presidents-report_sk.pdf</w:t>
        </w:r>
      </w:hyperlink>
      <w:r>
        <w:rPr>
          <w:lang w:val="sk-SK"/>
        </w:rPr>
        <w:t>.</w:t>
      </w:r>
    </w:p>
  </w:footnote>
  <w:footnote w:id="7">
    <w:p>
      <w:pPr>
        <w:pStyle w:val="FootnoteText"/>
        <w:ind w:left="0" w:firstLine="0"/>
        <w:rPr>
          <w:lang w:val="sk-SK"/>
        </w:rPr>
      </w:pPr>
      <w:r>
        <w:rPr>
          <w:rStyle w:val="FootnoteReference"/>
          <w:lang w:val="sk-SK"/>
        </w:rPr>
        <w:footnoteRef/>
      </w:r>
      <w:r>
        <w:rPr>
          <w:lang w:val="sk-SK"/>
        </w:rPr>
        <w:t xml:space="preserve"> Uznesenie Európskeho parlamentu z 25. októbra 2011 o globálnej správe ekonomických záležitostí [2011/2011(INI)], </w:t>
      </w:r>
      <w:hyperlink r:id="rId5">
        <w:r>
          <w:rPr>
            <w:rStyle w:val="Hyperlink"/>
            <w:lang w:val="sk-SK"/>
          </w:rPr>
          <w:t>http://www.europarl.europa.eu/sides/getDoc.do?pubRef=-//EP//NONSGML+TA+P7-TA-2011-0457+0+DOC+PDF+V0//SK</w:t>
        </w:r>
      </w:hyperlink>
      <w:r>
        <w:rPr>
          <w:rStyle w:val="Hyperlink"/>
          <w:lang w:val="sk-SK"/>
        </w:rPr>
        <w:t>.</w:t>
      </w:r>
    </w:p>
    <w:p>
      <w:pPr>
        <w:pStyle w:val="FootnoteText"/>
        <w:ind w:left="0" w:firstLine="0"/>
        <w:jc w:val="left"/>
        <w:rPr>
          <w:lang w:val="sk-SK"/>
        </w:rPr>
      </w:pPr>
    </w:p>
  </w:footnote>
  <w:footnote w:id="8">
    <w:p>
      <w:pPr>
        <w:pStyle w:val="FootnoteText"/>
        <w:rPr>
          <w:lang w:val="sk-SK"/>
        </w:rPr>
      </w:pPr>
      <w:r>
        <w:rPr>
          <w:rStyle w:val="FootnoteReference"/>
          <w:lang w:val="sk-SK"/>
        </w:rPr>
        <w:footnoteRef/>
      </w:r>
      <w:r>
        <w:rPr>
          <w:lang w:val="sk-SK"/>
        </w:rPr>
        <w:t xml:space="preserve"> </w:t>
      </w:r>
      <w:hyperlink r:id="rId6">
        <w:r>
          <w:rPr>
            <w:rStyle w:val="Hyperlink"/>
            <w:lang w:val="sk-SK"/>
          </w:rPr>
          <w:t>http://www.unbrussels.org/images/pdf/2011/A_RES_65_276.pdf</w:t>
        </w:r>
      </w:hyperlink>
      <w:r>
        <w:rPr>
          <w:lang w:val="sk-SK"/>
        </w:rPr>
        <w:t>.</w:t>
      </w:r>
    </w:p>
  </w:footnote>
  <w:footnote w:id="9">
    <w:p>
      <w:pPr>
        <w:pStyle w:val="FootnoteText"/>
        <w:ind w:left="0" w:firstLine="0"/>
        <w:rPr>
          <w:lang w:val="sk-SK"/>
        </w:rPr>
      </w:pPr>
      <w:r>
        <w:rPr>
          <w:rStyle w:val="FootnoteReference"/>
          <w:lang w:val="sk-SK"/>
        </w:rPr>
        <w:footnoteRef/>
      </w:r>
      <w:r>
        <w:rPr>
          <w:lang w:val="sk-SK"/>
        </w:rPr>
        <w:t xml:space="preserve"> Konštituencia v MMF je skupina členských krajín fondu, ktoré vo výkonnej rade MMF zastupuje jeden výkonný riaditeľ. Štruktúru výkonnej rady MMF a jej 24 konštituencií kopíruje aj Medzinárodný menový a finančný výbor (IMFC).</w:t>
      </w:r>
    </w:p>
  </w:footnote>
  <w:footnote w:id="10">
    <w:p>
      <w:pPr>
        <w:pStyle w:val="FootnoteText"/>
        <w:ind w:left="0" w:firstLine="0"/>
        <w:rPr>
          <w:lang w:val="sk-SK"/>
        </w:rPr>
      </w:pPr>
      <w:r>
        <w:rPr>
          <w:rStyle w:val="FootnoteReference"/>
          <w:lang w:val="sk-SK"/>
        </w:rPr>
        <w:footnoteRef/>
      </w:r>
      <w:r>
        <w:rPr>
          <w:lang w:val="sk-SK"/>
        </w:rPr>
        <w:t xml:space="preserve"> Od 1. júla 2007 sa predseda skupiny EURIMF vyberá na základe konsenzu spomedzi zástupcov všetkých členských štátov EÚ v MMF na obdobie dvoch rokov, bez ohľadu na aktuálne predsedníctvo Rady. Jeho úlohy zahŕňajú predsedanie zasadnutiam skupiny EURIMF a ich prípravu, prezentovanie dohodnutých pozícií Únie/eurozóny a poskytovanie vyhlásení predsedníctva na zasadnutiach výkonnej rady, ako aj funkciu styčnej osoby pre manažment MMF. Je však potrebné poznamenať, že prvoradou úlohou výkonného riaditeľa zvoleného za predsedu skupiny EURIMF je aj naďalej zastupovanie jeho vlastnej konštituencie.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D20DB"/>
    <w:multiLevelType w:val="hybridMultilevel"/>
    <w:tmpl w:val="20F230DE"/>
    <w:lvl w:ilvl="0" w:tplc="E6E22836">
      <w:start w:val="1"/>
      <w:numFmt w:val="bullet"/>
      <w:pStyle w:val="Briefingspdef"/>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AF76E7A"/>
    <w:multiLevelType w:val="singleLevel"/>
    <w:tmpl w:val="C74C5A32"/>
    <w:name w:val="Bullet 0__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A5459E8"/>
    <w:multiLevelType w:val="singleLevel"/>
    <w:tmpl w:val="2188C922"/>
    <w:lvl w:ilvl="0">
      <w:start w:val="1"/>
      <w:numFmt w:val="bullet"/>
      <w:lvlRestart w:val="0"/>
      <w:pStyle w:val="Tiret1"/>
      <w:lvlText w:val="–"/>
      <w:lvlJc w:val="left"/>
      <w:pPr>
        <w:tabs>
          <w:tab w:val="num" w:pos="1417"/>
        </w:tabs>
        <w:ind w:left="1417" w:hanging="567"/>
      </w:pPr>
    </w:lvl>
  </w:abstractNum>
  <w:abstractNum w:abstractNumId="9">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1">
    <w:nsid w:val="3C90278F"/>
    <w:multiLevelType w:val="singleLevel"/>
    <w:tmpl w:val="0FE08974"/>
    <w:name w:val="Tiret 1"/>
    <w:lvl w:ilvl="0">
      <w:start w:val="1"/>
      <w:numFmt w:val="bullet"/>
      <w:lvlRestart w:val="0"/>
      <w:pStyle w:val="Tiret3"/>
      <w:lvlText w:val="–"/>
      <w:lvlJc w:val="left"/>
      <w:pPr>
        <w:tabs>
          <w:tab w:val="num" w:pos="2551"/>
        </w:tabs>
        <w:ind w:left="2551" w:hanging="567"/>
      </w:p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nsid w:val="48842C30"/>
    <w:multiLevelType w:val="singleLevel"/>
    <w:tmpl w:val="4FA60B90"/>
    <w:name w:val="Tiret 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6">
    <w:nsid w:val="568864DC"/>
    <w:multiLevelType w:val="singleLevel"/>
    <w:tmpl w:val="485EBDAC"/>
    <w:name w:val="Bullet 0"/>
    <w:lvl w:ilvl="0">
      <w:start w:val="1"/>
      <w:numFmt w:val="bullet"/>
      <w:lvlRestart w:val="0"/>
      <w:pStyle w:val="Tiret4"/>
      <w:lvlText w:val="–"/>
      <w:lvlJc w:val="left"/>
      <w:pPr>
        <w:tabs>
          <w:tab w:val="num" w:pos="3118"/>
        </w:tabs>
        <w:ind w:left="3118" w:hanging="567"/>
      </w:pPr>
    </w:lvl>
  </w:abstractNum>
  <w:abstractNum w:abstractNumId="17">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8">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9">
    <w:nsid w:val="5F9C40AA"/>
    <w:multiLevelType w:val="singleLevel"/>
    <w:tmpl w:val="B89CB5A2"/>
    <w:name w:val="Tiret 4"/>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1">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2">
    <w:nsid w:val="62970F71"/>
    <w:multiLevelType w:val="singleLevel"/>
    <w:tmpl w:val="5AFA8C72"/>
    <w:name w:val="Bullet 3"/>
    <w:lvl w:ilvl="0">
      <w:start w:val="1"/>
      <w:numFmt w:val="bullet"/>
      <w:lvlRestart w:val="0"/>
      <w:pStyle w:val="Tiret2"/>
      <w:lvlText w:val="–"/>
      <w:lvlJc w:val="left"/>
      <w:pPr>
        <w:tabs>
          <w:tab w:val="num" w:pos="1984"/>
        </w:tabs>
        <w:ind w:left="1984" w:hanging="567"/>
      </w:pPr>
    </w:lvl>
  </w:abstractNum>
  <w:abstractNum w:abstractNumId="23">
    <w:nsid w:val="69995580"/>
    <w:multiLevelType w:val="singleLevel"/>
    <w:tmpl w:val="75CC7CBA"/>
    <w:name w:val="Bullet 2"/>
    <w:lvl w:ilvl="0">
      <w:start w:val="1"/>
      <w:numFmt w:val="decimal"/>
      <w:lvlRestart w:val="0"/>
      <w:pStyle w:val="Considrant"/>
      <w:lvlText w:val="(%1)"/>
      <w:lvlJc w:val="left"/>
      <w:pPr>
        <w:tabs>
          <w:tab w:val="num" w:pos="709"/>
        </w:tabs>
        <w:ind w:left="709" w:hanging="709"/>
      </w:pPr>
    </w:lvl>
  </w:abstractNum>
  <w:abstractNum w:abstractNumId="2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5">
    <w:nsid w:val="711167E2"/>
    <w:multiLevelType w:val="multilevel"/>
    <w:tmpl w:val="C3843A7A"/>
    <w:name w:val="Tiret 2"/>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5C26F71"/>
    <w:multiLevelType w:val="multilevel"/>
    <w:tmpl w:val="E01E7708"/>
    <w:name w:val="Considérant"/>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BE95D7F"/>
    <w:multiLevelType w:val="multilevel"/>
    <w:tmpl w:val="F126F780"/>
    <w:name w:val="NumPar"/>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10"/>
  </w:num>
  <w:num w:numId="2">
    <w:abstractNumId w:val="8"/>
  </w:num>
  <w:num w:numId="3">
    <w:abstractNumId w:val="22"/>
  </w:num>
  <w:num w:numId="4">
    <w:abstractNumId w:val="11"/>
  </w:num>
  <w:num w:numId="5">
    <w:abstractNumId w:val="16"/>
  </w:num>
  <w:num w:numId="6">
    <w:abstractNumId w:val="25"/>
  </w:num>
  <w:num w:numId="7">
    <w:abstractNumId w:val="27"/>
  </w:num>
  <w:num w:numId="8">
    <w:abstractNumId w:val="28"/>
  </w:num>
  <w:num w:numId="9">
    <w:abstractNumId w:val="3"/>
  </w:num>
  <w:num w:numId="10">
    <w:abstractNumId w:val="19"/>
  </w:num>
  <w:num w:numId="11">
    <w:abstractNumId w:val="18"/>
  </w:num>
  <w:num w:numId="12">
    <w:abstractNumId w:val="14"/>
  </w:num>
  <w:num w:numId="13">
    <w:abstractNumId w:val="23"/>
  </w:num>
  <w:num w:numId="14">
    <w:abstractNumId w:val="0"/>
  </w:num>
  <w:num w:numId="15">
    <w:abstractNumId w:val="12"/>
  </w:num>
  <w:num w:numId="16">
    <w:abstractNumId w:val="4"/>
  </w:num>
  <w:num w:numId="17">
    <w:abstractNumId w:val="9"/>
  </w:num>
  <w:num w:numId="18">
    <w:abstractNumId w:val="21"/>
  </w:num>
  <w:num w:numId="19">
    <w:abstractNumId w:val="24"/>
  </w:num>
  <w:num w:numId="20">
    <w:abstractNumId w:val="6"/>
  </w:num>
  <w:num w:numId="21">
    <w:abstractNumId w:val="20"/>
  </w:num>
  <w:num w:numId="22">
    <w:abstractNumId w:val="17"/>
  </w:num>
  <w:num w:numId="23">
    <w:abstractNumId w:val="13"/>
  </w:num>
  <w:num w:numId="24">
    <w:abstractNumId w:val="15"/>
  </w:num>
  <w:num w:numId="25">
    <w:abstractNumId w:val="2"/>
  </w:num>
  <w:num w:numId="26">
    <w:abstractNumId w:val="7"/>
  </w:num>
  <w:num w:numId="27">
    <w:abstractNumId w:val="1"/>
  </w:num>
  <w:num w:numId="28">
    <w:abstractNumId w:val="5"/>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16BEE2B5465540E5BA9D2446365F841D"/>
    <w:docVar w:name="LW_CROSSREFERENCE" w:val="&lt;UNUSED&gt;"/>
    <w:docVar w:name="LW_DocType" w:val="NORMAL"/>
    <w:docVar w:name="LW_EMISSION" w:val="21. 10. 2015"/>
    <w:docVar w:name="LW_EMISSION_ISODATE" w:val="2015-10-21"/>
    <w:docVar w:name="LW_EMISSION_LOCATION" w:val="BRX"/>
    <w:docVar w:name="LW_EMISSION_PREFIX" w:val="V Bruseli"/>
    <w:docVar w:name="LW_EMISSION_SUFFIX" w:val=" "/>
    <w:docVar w:name="LW_ID_DOCTYPE_NONLW" w:val="CP-009"/>
    <w:docVar w:name="LW_LANGUE" w:val="SK"/>
    <w:docVar w:name="LW_MARKING" w:val="&lt;UNUSED&gt;"/>
    <w:docVar w:name="LW_NOM.INST" w:val="EURÓPSKA KOMISIA"/>
    <w:docVar w:name="LW_NOM.INST_JOINTDOC" w:val="&lt;EMPTY&gt;"/>
    <w:docVar w:name="LW_PART_NBR" w:val="1"/>
    <w:docVar w:name="LW_PART_NBR_TOTAL" w:val="1"/>
    <w:docVar w:name="LW_REF.INST.NEW" w:val="COM"/>
    <w:docVar w:name="LW_REF.INST.NEW_ADOPTED" w:val="final"/>
    <w:docVar w:name="LW_REF.INST.NEW_TEXT" w:val="(2015) 602"/>
    <w:docVar w:name="LW_REF.INTERNE" w:val="&lt;UNUSED&gt;"/>
    <w:docVar w:name="LW_SOUS.TITRE.OBJ.CP" w:val="&lt;UNUSED&gt;"/>
    <w:docVar w:name="LW_SUPERTITRE" w:val="&lt;UNUSED&gt;"/>
    <w:docVar w:name="LW_TITRE.OBJ.CP" w:val="Plán na postupné dosiahnutie konzistentnej\u353?ieho vonkaj\u353?ieho zastúpenia eurozóny na medzinárodných fórach"/>
    <w:docVar w:name="LW_TYPE.DOC.CP" w:val="OZNÁMENIE KOMISIE"/>
    <w:docVar w:name="LW_TYPE.DOC.CP.USERTEXT" w:val="EURÓPSKEMU PARLAMENTU, RADE A EURÓPSKEJ CENTRÁLNEJ BANKE"/>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4"/>
    </w:rPr>
  </w:style>
  <w:style w:type="paragraph" w:styleId="Heading1">
    <w:name w:val="heading 1"/>
    <w:basedOn w:val="Normal"/>
    <w:next w:val="Text1"/>
    <w:link w:val="Heading1Char"/>
    <w:qFormat/>
    <w:pPr>
      <w:keepNext/>
      <w:numPr>
        <w:numId w:val="7"/>
      </w:numPr>
      <w:spacing w:before="360"/>
      <w:outlineLvl w:val="0"/>
    </w:pPr>
    <w:rPr>
      <w:b/>
      <w:bCs/>
      <w:smallCaps/>
      <w:szCs w:val="32"/>
    </w:rPr>
  </w:style>
  <w:style w:type="paragraph" w:styleId="Heading2">
    <w:name w:val="heading 2"/>
    <w:basedOn w:val="Normal"/>
    <w:next w:val="Text1"/>
    <w:link w:val="Heading2Char"/>
    <w:qFormat/>
    <w:pPr>
      <w:keepNext/>
      <w:numPr>
        <w:ilvl w:val="1"/>
        <w:numId w:val="7"/>
      </w:numPr>
      <w:outlineLvl w:val="1"/>
    </w:pPr>
    <w:rPr>
      <w:b/>
      <w:bCs/>
      <w:iCs/>
      <w:szCs w:val="28"/>
    </w:rPr>
  </w:style>
  <w:style w:type="paragraph" w:styleId="Heading3">
    <w:name w:val="heading 3"/>
    <w:basedOn w:val="Normal"/>
    <w:next w:val="Text1"/>
    <w:link w:val="Heading3Char"/>
    <w:qFormat/>
    <w:pPr>
      <w:keepNext/>
      <w:numPr>
        <w:ilvl w:val="2"/>
        <w:numId w:val="7"/>
      </w:numPr>
      <w:outlineLvl w:val="2"/>
    </w:pPr>
    <w:rPr>
      <w:bCs/>
      <w:i/>
      <w:szCs w:val="26"/>
    </w:rPr>
  </w:style>
  <w:style w:type="paragraph" w:styleId="Heading4">
    <w:name w:val="heading 4"/>
    <w:basedOn w:val="Normal"/>
    <w:next w:val="Text1"/>
    <w:link w:val="Heading4Char"/>
    <w:qFormat/>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Header">
    <w:name w:val="header"/>
    <w:basedOn w:val="Normal"/>
    <w:link w:val="HeaderChar"/>
    <w:unhideWhenUsed/>
    <w:pPr>
      <w:tabs>
        <w:tab w:val="center" w:pos="4535"/>
        <w:tab w:val="right" w:pos="9071"/>
      </w:tabs>
      <w:spacing w:before="0"/>
    </w:pPr>
    <w:rPr>
      <w:rFonts w:eastAsia="Calibri"/>
      <w:szCs w:val="22"/>
    </w:rPr>
  </w:style>
  <w:style w:type="character" w:customStyle="1" w:styleId="HeaderChar">
    <w:name w:val="Header Char"/>
    <w:basedOn w:val="DefaultParagraphFont"/>
    <w:link w:val="Header"/>
    <w:rPr>
      <w:rFonts w:ascii="Times New Roman" w:eastAsia="Calibri" w:hAnsi="Times New Roman" w:cs="Times New Roman"/>
      <w:sz w:val="24"/>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FootnoteText">
    <w:name w:val="footnote text"/>
    <w:basedOn w:val="Normal"/>
    <w:link w:val="FootnoteTextChar"/>
    <w:semiHidden/>
    <w:pPr>
      <w:spacing w:before="0" w:after="0"/>
      <w:ind w:left="720" w:hanging="720"/>
    </w:pPr>
    <w:rPr>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TOC1">
    <w:name w:val="toc 1"/>
    <w:basedOn w:val="Normal"/>
    <w:next w:val="Normal"/>
    <w:semiHidden/>
    <w:pPr>
      <w:tabs>
        <w:tab w:val="right" w:leader="dot" w:pos="9071"/>
      </w:tabs>
      <w:spacing w:before="60"/>
      <w:ind w:left="850" w:hanging="850"/>
      <w:jc w:val="left"/>
    </w:pPr>
  </w:style>
  <w:style w:type="paragraph" w:styleId="TOC2">
    <w:name w:val="toc 2"/>
    <w:basedOn w:val="Normal"/>
    <w:next w:val="Normal"/>
    <w:semiHidden/>
    <w:pPr>
      <w:tabs>
        <w:tab w:val="right" w:leader="dot" w:pos="9071"/>
      </w:tabs>
      <w:spacing w:before="60"/>
      <w:ind w:left="850" w:hanging="850"/>
      <w:jc w:val="left"/>
    </w:pPr>
  </w:style>
  <w:style w:type="paragraph" w:styleId="TOC3">
    <w:name w:val="toc 3"/>
    <w:basedOn w:val="Normal"/>
    <w:next w:val="Normal"/>
    <w:semiHidden/>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8641"/>
      </w:tabs>
      <w:spacing w:before="240"/>
      <w:ind w:right="720"/>
    </w:pPr>
    <w:rPr>
      <w:caps/>
      <w:szCs w:val="20"/>
    </w:r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szCs w:val="2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semiHidden/>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
      </w:numPr>
    </w:pPr>
  </w:style>
  <w:style w:type="paragraph" w:customStyle="1" w:styleId="NumPar2">
    <w:name w:val="NumPar 2"/>
    <w:basedOn w:val="Normal"/>
    <w:next w:val="Text1"/>
    <w:pPr>
      <w:numPr>
        <w:ilvl w:val="1"/>
        <w:numId w:val="6"/>
      </w:numPr>
    </w:pPr>
  </w:style>
  <w:style w:type="paragraph" w:customStyle="1" w:styleId="NumPar3">
    <w:name w:val="NumPar 3"/>
    <w:basedOn w:val="Normal"/>
    <w:next w:val="Text1"/>
    <w:pPr>
      <w:numPr>
        <w:ilvl w:val="2"/>
        <w:numId w:val="6"/>
      </w:numPr>
    </w:pPr>
  </w:style>
  <w:style w:type="paragraph" w:customStyle="1" w:styleId="NumPar4">
    <w:name w:val="NumPar 4"/>
    <w:basedOn w:val="Normal"/>
    <w:next w:val="Text1"/>
    <w:pPr>
      <w:numPr>
        <w:ilvl w:val="3"/>
        <w:numId w:val="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qFormat/>
    <w:pPr>
      <w:keepNext/>
      <w:spacing w:before="240" w:after="240"/>
      <w:jc w:val="center"/>
    </w:pPr>
    <w:rPr>
      <w:b/>
      <w:szCs w:val="20"/>
    </w:rPr>
  </w:style>
  <w:style w:type="paragraph" w:customStyle="1" w:styleId="Point0number">
    <w:name w:val="Point 0 (number)"/>
    <w:basedOn w:val="Normal"/>
    <w:pPr>
      <w:numPr>
        <w:numId w:val="8"/>
      </w:numPr>
    </w:pPr>
  </w:style>
  <w:style w:type="paragraph" w:customStyle="1" w:styleId="Point1number">
    <w:name w:val="Point 1 (number)"/>
    <w:basedOn w:val="Normal"/>
    <w:pPr>
      <w:numPr>
        <w:ilvl w:val="2"/>
        <w:numId w:val="8"/>
      </w:numPr>
    </w:pPr>
  </w:style>
  <w:style w:type="paragraph" w:customStyle="1" w:styleId="Point2number">
    <w:name w:val="Point 2 (number)"/>
    <w:basedOn w:val="Normal"/>
    <w:pPr>
      <w:numPr>
        <w:ilvl w:val="4"/>
        <w:numId w:val="8"/>
      </w:numPr>
    </w:pPr>
  </w:style>
  <w:style w:type="paragraph" w:customStyle="1" w:styleId="Point3number">
    <w:name w:val="Point 3 (number)"/>
    <w:basedOn w:val="Normal"/>
    <w:pPr>
      <w:numPr>
        <w:ilvl w:val="6"/>
        <w:numId w:val="8"/>
      </w:numPr>
    </w:pPr>
  </w:style>
  <w:style w:type="paragraph" w:customStyle="1" w:styleId="Point0letter">
    <w:name w:val="Point 0 (letter)"/>
    <w:basedOn w:val="Normal"/>
    <w:pPr>
      <w:numPr>
        <w:ilvl w:val="1"/>
        <w:numId w:val="8"/>
      </w:numPr>
    </w:pPr>
  </w:style>
  <w:style w:type="paragraph" w:customStyle="1" w:styleId="Point1letter">
    <w:name w:val="Point 1 (letter)"/>
    <w:basedOn w:val="Normal"/>
    <w:pPr>
      <w:numPr>
        <w:ilvl w:val="3"/>
        <w:numId w:val="8"/>
      </w:numPr>
    </w:pPr>
  </w:style>
  <w:style w:type="paragraph" w:customStyle="1" w:styleId="Point2letter">
    <w:name w:val="Point 2 (letter)"/>
    <w:basedOn w:val="Normal"/>
    <w:pPr>
      <w:numPr>
        <w:ilvl w:val="5"/>
        <w:numId w:val="8"/>
      </w:numPr>
    </w:pPr>
  </w:style>
  <w:style w:type="paragraph" w:customStyle="1" w:styleId="Point3letter">
    <w:name w:val="Point 3 (letter)"/>
    <w:basedOn w:val="Normal"/>
    <w:pPr>
      <w:numPr>
        <w:ilvl w:val="7"/>
        <w:numId w:val="8"/>
      </w:numPr>
    </w:pPr>
  </w:style>
  <w:style w:type="paragraph" w:customStyle="1" w:styleId="Point4letter">
    <w:name w:val="Point 4 (letter)"/>
    <w:basedOn w:val="Normal"/>
    <w:pPr>
      <w:numPr>
        <w:ilvl w:val="8"/>
        <w:numId w:val="8"/>
      </w:numPr>
    </w:pPr>
  </w:style>
  <w:style w:type="paragraph" w:customStyle="1" w:styleId="Bullet0">
    <w:name w:val="Bullet 0"/>
    <w:basedOn w:val="Normal"/>
    <w:pPr>
      <w:tabs>
        <w:tab w:val="num" w:pos="850"/>
      </w:tabs>
      <w:ind w:left="850" w:hanging="850"/>
    </w:pPr>
  </w:style>
  <w:style w:type="paragraph" w:customStyle="1" w:styleId="Bullet1">
    <w:name w:val="Bullet 1"/>
    <w:basedOn w:val="Normal"/>
    <w:pPr>
      <w:numPr>
        <w:numId w:val="9"/>
      </w:numPr>
    </w:pPr>
  </w:style>
  <w:style w:type="paragraph" w:customStyle="1" w:styleId="Bullet2">
    <w:name w:val="Bullet 2"/>
    <w:basedOn w:val="Normal"/>
    <w:pPr>
      <w:numPr>
        <w:numId w:val="10"/>
      </w:numPr>
    </w:pPr>
  </w:style>
  <w:style w:type="paragraph" w:customStyle="1" w:styleId="Bullet3">
    <w:name w:val="Bullet 3"/>
    <w:basedOn w:val="Normal"/>
    <w:pPr>
      <w:numPr>
        <w:numId w:val="11"/>
      </w:numPr>
    </w:pPr>
  </w:style>
  <w:style w:type="paragraph" w:customStyle="1" w:styleId="Bullet4">
    <w:name w:val="Bullet 4"/>
    <w:basedOn w:val="Normal"/>
    <w:pPr>
      <w:numPr>
        <w:numId w:val="1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pPr>
    <w:rPr>
      <w:u w:val="single"/>
    </w:rPr>
  </w:style>
  <w:style w:type="paragraph" w:customStyle="1" w:styleId="Considrant">
    <w:name w:val="Considérant"/>
    <w:basedOn w:val="Normal"/>
    <w:pPr>
      <w:numPr>
        <w:numId w:val="1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ListBullet">
    <w:name w:val="List Bullet"/>
    <w:basedOn w:val="Normal"/>
    <w:pPr>
      <w:numPr>
        <w:numId w:val="15"/>
      </w:numPr>
      <w:spacing w:before="0" w:after="240"/>
    </w:pPr>
    <w:rPr>
      <w:szCs w:val="20"/>
    </w:rPr>
  </w:style>
  <w:style w:type="paragraph" w:styleId="NormalWeb">
    <w:name w:val="Normal (Web)"/>
    <w:basedOn w:val="Normal"/>
    <w:uiPriority w:val="99"/>
    <w:pPr>
      <w:spacing w:before="100" w:beforeAutospacing="1" w:after="100" w:afterAutospacing="1"/>
      <w:jc w:val="left"/>
    </w:pPr>
    <w:rPr>
      <w:lang w:eastAsia="en-GB"/>
    </w:rPr>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2">
    <w:name w:val="List Bullet 2"/>
    <w:basedOn w:val="Text2"/>
    <w:pPr>
      <w:numPr>
        <w:numId w:val="17"/>
      </w:numPr>
      <w:spacing w:before="0" w:after="240"/>
    </w:pPr>
    <w:rPr>
      <w:szCs w:val="20"/>
    </w:rPr>
  </w:style>
  <w:style w:type="paragraph" w:styleId="ListBullet3">
    <w:name w:val="List Bullet 3"/>
    <w:basedOn w:val="Text3"/>
    <w:pPr>
      <w:numPr>
        <w:numId w:val="18"/>
      </w:numPr>
      <w:spacing w:before="0" w:after="240"/>
    </w:pPr>
    <w:rPr>
      <w:szCs w:val="20"/>
    </w:rPr>
  </w:style>
  <w:style w:type="paragraph" w:styleId="ListBullet4">
    <w:name w:val="List Bullet 4"/>
    <w:basedOn w:val="Text4"/>
    <w:pPr>
      <w:numPr>
        <w:numId w:val="19"/>
      </w:numPr>
      <w:spacing w:before="0" w:after="240"/>
    </w:pPr>
    <w:rPr>
      <w:szCs w:val="20"/>
    </w:rPr>
  </w:style>
  <w:style w:type="paragraph" w:styleId="ListNumber">
    <w:name w:val="List Number"/>
    <w:basedOn w:val="Normal"/>
    <w:pPr>
      <w:numPr>
        <w:numId w:val="25"/>
      </w:numPr>
      <w:spacing w:before="0" w:after="240"/>
    </w:pPr>
    <w:rPr>
      <w:szCs w:val="20"/>
    </w:rPr>
  </w:style>
  <w:style w:type="paragraph" w:styleId="ListNumber2">
    <w:name w:val="List Number 2"/>
    <w:basedOn w:val="Text2"/>
    <w:pPr>
      <w:numPr>
        <w:numId w:val="27"/>
      </w:numPr>
      <w:spacing w:before="0" w:after="240"/>
    </w:pPr>
    <w:rPr>
      <w:szCs w:val="20"/>
    </w:rPr>
  </w:style>
  <w:style w:type="paragraph" w:styleId="ListNumber3">
    <w:name w:val="List Number 3"/>
    <w:basedOn w:val="Text3"/>
    <w:pPr>
      <w:numPr>
        <w:numId w:val="28"/>
      </w:numPr>
      <w:spacing w:before="0" w:after="240"/>
    </w:pPr>
    <w:rPr>
      <w:szCs w:val="20"/>
    </w:rPr>
  </w:style>
  <w:style w:type="paragraph" w:styleId="ListNumber4">
    <w:name w:val="List Number 4"/>
    <w:basedOn w:val="Text4"/>
    <w:pPr>
      <w:numPr>
        <w:numId w:val="29"/>
      </w:numPr>
      <w:spacing w:before="0" w:after="240"/>
    </w:pPr>
    <w:rPr>
      <w:szCs w:val="20"/>
    </w:rPr>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semiHidden/>
    <w:rPr>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rPr>
  </w:style>
  <w:style w:type="character" w:styleId="Hyperlink">
    <w:name w:val="Hyperlink"/>
    <w:rPr>
      <w:color w:val="0000FF"/>
      <w:u w:val="single"/>
      <w:shd w:val="clear" w:color="auto" w:fill="auto"/>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paragraph" w:styleId="DocumentMap">
    <w:name w:val="Document Map"/>
    <w:basedOn w:val="Normal"/>
    <w:link w:val="DocumentMapChar"/>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rPr>
  </w:style>
  <w:style w:type="paragraph" w:customStyle="1" w:styleId="ZCom">
    <w:name w:val="Z_Com"/>
    <w:basedOn w:val="Normal"/>
    <w:next w:val="ZDGName"/>
    <w:uiPriority w:val="99"/>
    <w:pPr>
      <w:spacing w:before="0" w:after="0"/>
      <w:ind w:right="85"/>
    </w:pPr>
    <w:rPr>
      <w:rFonts w:ascii="Arial" w:hAnsi="Arial"/>
      <w:szCs w:val="20"/>
      <w:lang w:val="pt-PT" w:eastAsia="en-GB"/>
    </w:rPr>
  </w:style>
  <w:style w:type="paragraph" w:customStyle="1" w:styleId="ZDGName">
    <w:name w:val="Z_DGName"/>
    <w:basedOn w:val="Normal"/>
    <w:uiPriority w:val="99"/>
    <w:pPr>
      <w:spacing w:before="0" w:after="0"/>
      <w:ind w:right="85"/>
    </w:pPr>
    <w:rPr>
      <w:rFonts w:ascii="Arial" w:hAnsi="Arial"/>
      <w:sz w:val="16"/>
      <w:szCs w:val="20"/>
      <w:lang w:val="pt-PT"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Briefingspdef">
    <w:name w:val="Briefing sp/def"/>
    <w:basedOn w:val="Normal"/>
    <w:pPr>
      <w:keepLines/>
      <w:numPr>
        <w:numId w:val="14"/>
      </w:numPr>
      <w:spacing w:before="0" w:after="480"/>
    </w:pPr>
    <w:rPr>
      <w:rFonts w:ascii="Arial" w:hAnsi="Arial" w:cs="Arial"/>
      <w:sz w:val="48"/>
      <w:szCs w:val="48"/>
      <w:lang w:eastAsia="en-GB"/>
    </w:rPr>
  </w:style>
  <w:style w:type="paragraph" w:styleId="PlainText">
    <w:name w:val="Plain Text"/>
    <w:basedOn w:val="Normal"/>
    <w:link w:val="PlainTextChar"/>
    <w:uiPriority w:val="99"/>
    <w:unhideWhenUsed/>
    <w:pPr>
      <w:spacing w:before="0" w:after="0"/>
      <w:jc w:val="left"/>
    </w:pPr>
    <w:rPr>
      <w:rFonts w:ascii="Calibri" w:hAnsi="Calibri" w:cs="Consolas"/>
      <w:sz w:val="22"/>
      <w:szCs w:val="21"/>
    </w:rPr>
  </w:style>
  <w:style w:type="character" w:customStyle="1" w:styleId="PlainTextChar">
    <w:name w:val="Plain Text Char"/>
    <w:basedOn w:val="DefaultParagraphFont"/>
    <w:link w:val="PlainText"/>
    <w:uiPriority w:val="99"/>
    <w:rPr>
      <w:rFonts w:ascii="Calibri" w:eastAsia="Times New Roman" w:hAnsi="Calibri" w:cs="Consolas"/>
      <w:szCs w:val="21"/>
    </w:rPr>
  </w:style>
  <w:style w:type="character" w:styleId="Emphasis">
    <w:name w:val="Emphasis"/>
    <w:uiPriority w:val="20"/>
    <w:qFormat/>
    <w:rPr>
      <w:i/>
      <w:iCs/>
      <w:shd w:val="clear" w:color="auto" w:fill="auto"/>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szCs w:val="22"/>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efingtext">
    <w:name w:val="Briefing text"/>
    <w:basedOn w:val="Normal"/>
    <w:link w:val="BriefingtextChar"/>
    <w:pPr>
      <w:spacing w:before="0" w:after="240"/>
    </w:pPr>
    <w:rPr>
      <w:rFonts w:ascii="Arial" w:hAnsi="Arial" w:cs="Arial"/>
      <w:sz w:val="22"/>
    </w:rPr>
  </w:style>
  <w:style w:type="character" w:customStyle="1" w:styleId="BriefingtextChar">
    <w:name w:val="Briefing text Char"/>
    <w:link w:val="Briefingtext"/>
    <w:rPr>
      <w:rFonts w:ascii="Arial" w:eastAsia="Times New Roman" w:hAnsi="Arial" w:cs="Arial"/>
      <w:szCs w:val="24"/>
    </w:rPr>
  </w:style>
  <w:style w:type="character" w:styleId="HTMLAcronym">
    <w:name w:val="HTML Acronym"/>
    <w:uiPriority w:val="99"/>
    <w:unhideWhenUsed/>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Contact">
    <w:name w:val="Contact"/>
    <w:basedOn w:val="Normal"/>
    <w:next w:val="Normal"/>
    <w:pPr>
      <w:spacing w:before="0" w:after="480"/>
      <w:ind w:left="567" w:hanging="567"/>
      <w:jc w:val="left"/>
    </w:pPr>
    <w:rPr>
      <w:szCs w:val="20"/>
    </w:rPr>
  </w:style>
  <w:style w:type="paragraph" w:customStyle="1" w:styleId="ListBullet1">
    <w:name w:val="List Bullet 1"/>
    <w:basedOn w:val="Text1"/>
    <w:pPr>
      <w:numPr>
        <w:numId w:val="16"/>
      </w:numPr>
      <w:spacing w:before="0" w:after="240"/>
    </w:pPr>
    <w:rPr>
      <w:szCs w:val="20"/>
    </w:rPr>
  </w:style>
  <w:style w:type="paragraph" w:customStyle="1" w:styleId="ListDash">
    <w:name w:val="List Dash"/>
    <w:basedOn w:val="Normal"/>
    <w:pPr>
      <w:numPr>
        <w:numId w:val="20"/>
      </w:numPr>
      <w:spacing w:before="0" w:after="240"/>
    </w:pPr>
    <w:rPr>
      <w:szCs w:val="20"/>
    </w:rPr>
  </w:style>
  <w:style w:type="paragraph" w:customStyle="1" w:styleId="ListDash1">
    <w:name w:val="List Dash 1"/>
    <w:basedOn w:val="Text1"/>
    <w:pPr>
      <w:numPr>
        <w:numId w:val="21"/>
      </w:numPr>
      <w:spacing w:before="0" w:after="240"/>
    </w:pPr>
    <w:rPr>
      <w:szCs w:val="20"/>
    </w:rPr>
  </w:style>
  <w:style w:type="paragraph" w:customStyle="1" w:styleId="ListDash2">
    <w:name w:val="List Dash 2"/>
    <w:basedOn w:val="Text2"/>
    <w:pPr>
      <w:numPr>
        <w:numId w:val="22"/>
      </w:numPr>
      <w:spacing w:before="0" w:after="240"/>
    </w:pPr>
    <w:rPr>
      <w:szCs w:val="20"/>
    </w:rPr>
  </w:style>
  <w:style w:type="paragraph" w:customStyle="1" w:styleId="ListDash3">
    <w:name w:val="List Dash 3"/>
    <w:basedOn w:val="Text3"/>
    <w:pPr>
      <w:numPr>
        <w:numId w:val="23"/>
      </w:numPr>
      <w:spacing w:before="0" w:after="240"/>
    </w:pPr>
    <w:rPr>
      <w:szCs w:val="20"/>
    </w:rPr>
  </w:style>
  <w:style w:type="paragraph" w:customStyle="1" w:styleId="ListDash4">
    <w:name w:val="List Dash 4"/>
    <w:basedOn w:val="Text4"/>
    <w:pPr>
      <w:numPr>
        <w:numId w:val="24"/>
      </w:numPr>
      <w:spacing w:before="0" w:after="240"/>
    </w:pPr>
    <w:rPr>
      <w:szCs w:val="20"/>
    </w:rPr>
  </w:style>
  <w:style w:type="paragraph" w:customStyle="1" w:styleId="ListNumber1">
    <w:name w:val="List Number 1"/>
    <w:basedOn w:val="Text1"/>
    <w:pPr>
      <w:numPr>
        <w:numId w:val="26"/>
      </w:numPr>
      <w:spacing w:before="0" w:after="240"/>
    </w:pPr>
    <w:rPr>
      <w:szCs w:val="20"/>
    </w:rPr>
  </w:style>
  <w:style w:type="paragraph" w:customStyle="1" w:styleId="ListNumberLevel2">
    <w:name w:val="List Number (Level 2)"/>
    <w:basedOn w:val="Normal"/>
    <w:pPr>
      <w:numPr>
        <w:ilvl w:val="1"/>
        <w:numId w:val="25"/>
      </w:numPr>
      <w:spacing w:before="0" w:after="240"/>
    </w:pPr>
    <w:rPr>
      <w:szCs w:val="20"/>
    </w:rPr>
  </w:style>
  <w:style w:type="paragraph" w:customStyle="1" w:styleId="ListNumber1Level2">
    <w:name w:val="List Number 1 (Level 2)"/>
    <w:basedOn w:val="Text1"/>
    <w:pPr>
      <w:numPr>
        <w:ilvl w:val="1"/>
        <w:numId w:val="26"/>
      </w:numPr>
      <w:spacing w:before="0" w:after="240"/>
    </w:pPr>
    <w:rPr>
      <w:szCs w:val="20"/>
    </w:rPr>
  </w:style>
  <w:style w:type="paragraph" w:customStyle="1" w:styleId="ListNumber2Level2">
    <w:name w:val="List Number 2 (Level 2)"/>
    <w:basedOn w:val="Text2"/>
    <w:pPr>
      <w:numPr>
        <w:ilvl w:val="1"/>
        <w:numId w:val="27"/>
      </w:numPr>
      <w:spacing w:before="0" w:after="240"/>
    </w:pPr>
    <w:rPr>
      <w:szCs w:val="20"/>
    </w:rPr>
  </w:style>
  <w:style w:type="paragraph" w:customStyle="1" w:styleId="ListNumber3Level2">
    <w:name w:val="List Number 3 (Level 2)"/>
    <w:basedOn w:val="Text3"/>
    <w:pPr>
      <w:numPr>
        <w:ilvl w:val="1"/>
        <w:numId w:val="28"/>
      </w:numPr>
      <w:spacing w:before="0" w:after="240"/>
    </w:pPr>
    <w:rPr>
      <w:szCs w:val="20"/>
    </w:rPr>
  </w:style>
  <w:style w:type="paragraph" w:customStyle="1" w:styleId="ListNumber4Level2">
    <w:name w:val="List Number 4 (Level 2)"/>
    <w:basedOn w:val="Text4"/>
    <w:pPr>
      <w:numPr>
        <w:ilvl w:val="1"/>
        <w:numId w:val="29"/>
      </w:numPr>
      <w:spacing w:before="0" w:after="240"/>
    </w:pPr>
    <w:rPr>
      <w:szCs w:val="20"/>
    </w:rPr>
  </w:style>
  <w:style w:type="paragraph" w:customStyle="1" w:styleId="ListNumberLevel3">
    <w:name w:val="List Number (Level 3)"/>
    <w:basedOn w:val="Normal"/>
    <w:pPr>
      <w:numPr>
        <w:ilvl w:val="2"/>
        <w:numId w:val="25"/>
      </w:numPr>
      <w:spacing w:before="0" w:after="240"/>
    </w:pPr>
    <w:rPr>
      <w:szCs w:val="20"/>
    </w:rPr>
  </w:style>
  <w:style w:type="paragraph" w:customStyle="1" w:styleId="ListNumber1Level3">
    <w:name w:val="List Number 1 (Level 3)"/>
    <w:basedOn w:val="Text1"/>
    <w:pPr>
      <w:numPr>
        <w:ilvl w:val="2"/>
        <w:numId w:val="26"/>
      </w:numPr>
      <w:spacing w:before="0" w:after="240"/>
    </w:pPr>
    <w:rPr>
      <w:szCs w:val="20"/>
    </w:rPr>
  </w:style>
  <w:style w:type="paragraph" w:customStyle="1" w:styleId="ListNumber2Level3">
    <w:name w:val="List Number 2 (Level 3)"/>
    <w:basedOn w:val="Text2"/>
    <w:pPr>
      <w:numPr>
        <w:ilvl w:val="2"/>
        <w:numId w:val="27"/>
      </w:numPr>
      <w:spacing w:before="0" w:after="240"/>
    </w:pPr>
    <w:rPr>
      <w:szCs w:val="20"/>
    </w:rPr>
  </w:style>
  <w:style w:type="paragraph" w:customStyle="1" w:styleId="ListNumber3Level3">
    <w:name w:val="List Number 3 (Level 3)"/>
    <w:basedOn w:val="Text3"/>
    <w:pPr>
      <w:numPr>
        <w:ilvl w:val="2"/>
        <w:numId w:val="28"/>
      </w:numPr>
      <w:spacing w:before="0" w:after="240"/>
    </w:pPr>
    <w:rPr>
      <w:szCs w:val="20"/>
    </w:rPr>
  </w:style>
  <w:style w:type="paragraph" w:customStyle="1" w:styleId="ListNumber4Level3">
    <w:name w:val="List Number 4 (Level 3)"/>
    <w:basedOn w:val="Text4"/>
    <w:pPr>
      <w:numPr>
        <w:ilvl w:val="2"/>
        <w:numId w:val="29"/>
      </w:numPr>
      <w:spacing w:before="0" w:after="240"/>
    </w:pPr>
    <w:rPr>
      <w:szCs w:val="20"/>
    </w:rPr>
  </w:style>
  <w:style w:type="paragraph" w:customStyle="1" w:styleId="ListNumberLevel4">
    <w:name w:val="List Number (Level 4)"/>
    <w:basedOn w:val="Normal"/>
    <w:pPr>
      <w:numPr>
        <w:ilvl w:val="3"/>
        <w:numId w:val="25"/>
      </w:numPr>
      <w:spacing w:before="0" w:after="240"/>
    </w:pPr>
    <w:rPr>
      <w:szCs w:val="20"/>
    </w:rPr>
  </w:style>
  <w:style w:type="paragraph" w:customStyle="1" w:styleId="ListNumber1Level4">
    <w:name w:val="List Number 1 (Level 4)"/>
    <w:basedOn w:val="Text1"/>
    <w:pPr>
      <w:numPr>
        <w:ilvl w:val="3"/>
        <w:numId w:val="26"/>
      </w:numPr>
      <w:spacing w:before="0" w:after="240"/>
    </w:pPr>
    <w:rPr>
      <w:szCs w:val="20"/>
    </w:rPr>
  </w:style>
  <w:style w:type="paragraph" w:customStyle="1" w:styleId="ListNumber2Level4">
    <w:name w:val="List Number 2 (Level 4)"/>
    <w:basedOn w:val="Text2"/>
    <w:pPr>
      <w:numPr>
        <w:ilvl w:val="3"/>
        <w:numId w:val="27"/>
      </w:numPr>
      <w:spacing w:before="0" w:after="240"/>
    </w:pPr>
    <w:rPr>
      <w:szCs w:val="20"/>
    </w:rPr>
  </w:style>
  <w:style w:type="paragraph" w:customStyle="1" w:styleId="ListNumber3Level4">
    <w:name w:val="List Number 3 (Level 4)"/>
    <w:basedOn w:val="Text3"/>
    <w:pPr>
      <w:numPr>
        <w:ilvl w:val="3"/>
        <w:numId w:val="28"/>
      </w:numPr>
      <w:spacing w:before="0" w:after="240"/>
    </w:pPr>
    <w:rPr>
      <w:szCs w:val="20"/>
    </w:rPr>
  </w:style>
  <w:style w:type="paragraph" w:customStyle="1" w:styleId="ListNumber4Level4">
    <w:name w:val="List Number 4 (Level 4)"/>
    <w:basedOn w:val="Text4"/>
    <w:pPr>
      <w:numPr>
        <w:ilvl w:val="3"/>
        <w:numId w:val="29"/>
      </w:numPr>
      <w:spacing w:before="0" w:after="240"/>
    </w:pPr>
    <w:rPr>
      <w:szCs w:val="20"/>
    </w:rPr>
  </w:style>
  <w:style w:type="character" w:styleId="FollowedHyperlink">
    <w:name w:val="FollowedHyperlink"/>
    <w:basedOn w:val="DefaultParagraphFont"/>
    <w:rPr>
      <w:color w:val="800080" w:themeColor="followedHyperlink"/>
      <w:u w:val="singl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outlineLvl w:val="0"/>
    </w:pPr>
    <w:rPr>
      <w:bCs/>
      <w:szCs w:val="28"/>
    </w:rPr>
  </w:style>
  <w:style w:type="character" w:customStyle="1" w:styleId="FooterCoverPageChar">
    <w:name w:val="Footer Cover Page Char"/>
    <w:basedOn w:val="DefaultParagraphFont"/>
    <w:link w:val="FooterCoverPage"/>
    <w:rPr>
      <w:rFonts w:ascii="Times New Roman" w:eastAsia="Times New Roman" w:hAnsi="Times New Roman" w:cs="Times New Roman"/>
      <w:bCs/>
      <w:sz w:val="24"/>
      <w:szCs w:val="28"/>
    </w:rPr>
  </w:style>
  <w:style w:type="paragraph" w:customStyle="1" w:styleId="HeaderCoverPage">
    <w:name w:val="Header Cover Page"/>
    <w:basedOn w:val="Normal"/>
    <w:link w:val="HeaderCoverPageChar"/>
    <w:pPr>
      <w:tabs>
        <w:tab w:val="center" w:pos="4535"/>
        <w:tab w:val="right" w:pos="9071"/>
      </w:tabs>
      <w:spacing w:before="0"/>
      <w:outlineLvl w:val="0"/>
    </w:pPr>
    <w:rPr>
      <w:bCs/>
      <w:szCs w:val="28"/>
    </w:rPr>
  </w:style>
  <w:style w:type="character" w:customStyle="1" w:styleId="HeaderCoverPageChar">
    <w:name w:val="Header Cover Page Char"/>
    <w:basedOn w:val="DefaultParagraphFont"/>
    <w:link w:val="HeaderCoverPage"/>
    <w:rPr>
      <w:rFonts w:ascii="Times New Roman" w:eastAsia="Times New Roman" w:hAnsi="Times New Roman" w:cs="Times New Roman"/>
      <w:bCs/>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4"/>
    </w:rPr>
  </w:style>
  <w:style w:type="paragraph" w:styleId="Heading1">
    <w:name w:val="heading 1"/>
    <w:basedOn w:val="Normal"/>
    <w:next w:val="Text1"/>
    <w:link w:val="Heading1Char"/>
    <w:qFormat/>
    <w:pPr>
      <w:keepNext/>
      <w:numPr>
        <w:numId w:val="7"/>
      </w:numPr>
      <w:spacing w:before="360"/>
      <w:outlineLvl w:val="0"/>
    </w:pPr>
    <w:rPr>
      <w:b/>
      <w:bCs/>
      <w:smallCaps/>
      <w:szCs w:val="32"/>
    </w:rPr>
  </w:style>
  <w:style w:type="paragraph" w:styleId="Heading2">
    <w:name w:val="heading 2"/>
    <w:basedOn w:val="Normal"/>
    <w:next w:val="Text1"/>
    <w:link w:val="Heading2Char"/>
    <w:qFormat/>
    <w:pPr>
      <w:keepNext/>
      <w:numPr>
        <w:ilvl w:val="1"/>
        <w:numId w:val="7"/>
      </w:numPr>
      <w:outlineLvl w:val="1"/>
    </w:pPr>
    <w:rPr>
      <w:b/>
      <w:bCs/>
      <w:iCs/>
      <w:szCs w:val="28"/>
    </w:rPr>
  </w:style>
  <w:style w:type="paragraph" w:styleId="Heading3">
    <w:name w:val="heading 3"/>
    <w:basedOn w:val="Normal"/>
    <w:next w:val="Text1"/>
    <w:link w:val="Heading3Char"/>
    <w:qFormat/>
    <w:pPr>
      <w:keepNext/>
      <w:numPr>
        <w:ilvl w:val="2"/>
        <w:numId w:val="7"/>
      </w:numPr>
      <w:outlineLvl w:val="2"/>
    </w:pPr>
    <w:rPr>
      <w:bCs/>
      <w:i/>
      <w:szCs w:val="26"/>
    </w:rPr>
  </w:style>
  <w:style w:type="paragraph" w:styleId="Heading4">
    <w:name w:val="heading 4"/>
    <w:basedOn w:val="Normal"/>
    <w:next w:val="Text1"/>
    <w:link w:val="Heading4Char"/>
    <w:qFormat/>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Header">
    <w:name w:val="header"/>
    <w:basedOn w:val="Normal"/>
    <w:link w:val="HeaderChar"/>
    <w:unhideWhenUsed/>
    <w:pPr>
      <w:tabs>
        <w:tab w:val="center" w:pos="4535"/>
        <w:tab w:val="right" w:pos="9071"/>
      </w:tabs>
      <w:spacing w:before="0"/>
    </w:pPr>
    <w:rPr>
      <w:rFonts w:eastAsia="Calibri"/>
      <w:szCs w:val="22"/>
    </w:rPr>
  </w:style>
  <w:style w:type="character" w:customStyle="1" w:styleId="HeaderChar">
    <w:name w:val="Header Char"/>
    <w:basedOn w:val="DefaultParagraphFont"/>
    <w:link w:val="Header"/>
    <w:rPr>
      <w:rFonts w:ascii="Times New Roman" w:eastAsia="Calibri" w:hAnsi="Times New Roman" w:cs="Times New Roman"/>
      <w:sz w:val="24"/>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FootnoteText">
    <w:name w:val="footnote text"/>
    <w:basedOn w:val="Normal"/>
    <w:link w:val="FootnoteTextChar"/>
    <w:semiHidden/>
    <w:pPr>
      <w:spacing w:before="0" w:after="0"/>
      <w:ind w:left="720" w:hanging="720"/>
    </w:pPr>
    <w:rPr>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TOC1">
    <w:name w:val="toc 1"/>
    <w:basedOn w:val="Normal"/>
    <w:next w:val="Normal"/>
    <w:semiHidden/>
    <w:pPr>
      <w:tabs>
        <w:tab w:val="right" w:leader="dot" w:pos="9071"/>
      </w:tabs>
      <w:spacing w:before="60"/>
      <w:ind w:left="850" w:hanging="850"/>
      <w:jc w:val="left"/>
    </w:pPr>
  </w:style>
  <w:style w:type="paragraph" w:styleId="TOC2">
    <w:name w:val="toc 2"/>
    <w:basedOn w:val="Normal"/>
    <w:next w:val="Normal"/>
    <w:semiHidden/>
    <w:pPr>
      <w:tabs>
        <w:tab w:val="right" w:leader="dot" w:pos="9071"/>
      </w:tabs>
      <w:spacing w:before="60"/>
      <w:ind w:left="850" w:hanging="850"/>
      <w:jc w:val="left"/>
    </w:pPr>
  </w:style>
  <w:style w:type="paragraph" w:styleId="TOC3">
    <w:name w:val="toc 3"/>
    <w:basedOn w:val="Normal"/>
    <w:next w:val="Normal"/>
    <w:semiHidden/>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8641"/>
      </w:tabs>
      <w:spacing w:before="240"/>
      <w:ind w:right="720"/>
    </w:pPr>
    <w:rPr>
      <w:caps/>
      <w:szCs w:val="20"/>
    </w:r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szCs w:val="2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semiHidden/>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
      </w:numPr>
    </w:pPr>
  </w:style>
  <w:style w:type="paragraph" w:customStyle="1" w:styleId="NumPar2">
    <w:name w:val="NumPar 2"/>
    <w:basedOn w:val="Normal"/>
    <w:next w:val="Text1"/>
    <w:pPr>
      <w:numPr>
        <w:ilvl w:val="1"/>
        <w:numId w:val="6"/>
      </w:numPr>
    </w:pPr>
  </w:style>
  <w:style w:type="paragraph" w:customStyle="1" w:styleId="NumPar3">
    <w:name w:val="NumPar 3"/>
    <w:basedOn w:val="Normal"/>
    <w:next w:val="Text1"/>
    <w:pPr>
      <w:numPr>
        <w:ilvl w:val="2"/>
        <w:numId w:val="6"/>
      </w:numPr>
    </w:pPr>
  </w:style>
  <w:style w:type="paragraph" w:customStyle="1" w:styleId="NumPar4">
    <w:name w:val="NumPar 4"/>
    <w:basedOn w:val="Normal"/>
    <w:next w:val="Text1"/>
    <w:pPr>
      <w:numPr>
        <w:ilvl w:val="3"/>
        <w:numId w:val="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qFormat/>
    <w:pPr>
      <w:keepNext/>
      <w:spacing w:before="240" w:after="240"/>
      <w:jc w:val="center"/>
    </w:pPr>
    <w:rPr>
      <w:b/>
      <w:szCs w:val="20"/>
    </w:rPr>
  </w:style>
  <w:style w:type="paragraph" w:customStyle="1" w:styleId="Point0number">
    <w:name w:val="Point 0 (number)"/>
    <w:basedOn w:val="Normal"/>
    <w:pPr>
      <w:numPr>
        <w:numId w:val="8"/>
      </w:numPr>
    </w:pPr>
  </w:style>
  <w:style w:type="paragraph" w:customStyle="1" w:styleId="Point1number">
    <w:name w:val="Point 1 (number)"/>
    <w:basedOn w:val="Normal"/>
    <w:pPr>
      <w:numPr>
        <w:ilvl w:val="2"/>
        <w:numId w:val="8"/>
      </w:numPr>
    </w:pPr>
  </w:style>
  <w:style w:type="paragraph" w:customStyle="1" w:styleId="Point2number">
    <w:name w:val="Point 2 (number)"/>
    <w:basedOn w:val="Normal"/>
    <w:pPr>
      <w:numPr>
        <w:ilvl w:val="4"/>
        <w:numId w:val="8"/>
      </w:numPr>
    </w:pPr>
  </w:style>
  <w:style w:type="paragraph" w:customStyle="1" w:styleId="Point3number">
    <w:name w:val="Point 3 (number)"/>
    <w:basedOn w:val="Normal"/>
    <w:pPr>
      <w:numPr>
        <w:ilvl w:val="6"/>
        <w:numId w:val="8"/>
      </w:numPr>
    </w:pPr>
  </w:style>
  <w:style w:type="paragraph" w:customStyle="1" w:styleId="Point0letter">
    <w:name w:val="Point 0 (letter)"/>
    <w:basedOn w:val="Normal"/>
    <w:pPr>
      <w:numPr>
        <w:ilvl w:val="1"/>
        <w:numId w:val="8"/>
      </w:numPr>
    </w:pPr>
  </w:style>
  <w:style w:type="paragraph" w:customStyle="1" w:styleId="Point1letter">
    <w:name w:val="Point 1 (letter)"/>
    <w:basedOn w:val="Normal"/>
    <w:pPr>
      <w:numPr>
        <w:ilvl w:val="3"/>
        <w:numId w:val="8"/>
      </w:numPr>
    </w:pPr>
  </w:style>
  <w:style w:type="paragraph" w:customStyle="1" w:styleId="Point2letter">
    <w:name w:val="Point 2 (letter)"/>
    <w:basedOn w:val="Normal"/>
    <w:pPr>
      <w:numPr>
        <w:ilvl w:val="5"/>
        <w:numId w:val="8"/>
      </w:numPr>
    </w:pPr>
  </w:style>
  <w:style w:type="paragraph" w:customStyle="1" w:styleId="Point3letter">
    <w:name w:val="Point 3 (letter)"/>
    <w:basedOn w:val="Normal"/>
    <w:pPr>
      <w:numPr>
        <w:ilvl w:val="7"/>
        <w:numId w:val="8"/>
      </w:numPr>
    </w:pPr>
  </w:style>
  <w:style w:type="paragraph" w:customStyle="1" w:styleId="Point4letter">
    <w:name w:val="Point 4 (letter)"/>
    <w:basedOn w:val="Normal"/>
    <w:pPr>
      <w:numPr>
        <w:ilvl w:val="8"/>
        <w:numId w:val="8"/>
      </w:numPr>
    </w:pPr>
  </w:style>
  <w:style w:type="paragraph" w:customStyle="1" w:styleId="Bullet0">
    <w:name w:val="Bullet 0"/>
    <w:basedOn w:val="Normal"/>
    <w:pPr>
      <w:tabs>
        <w:tab w:val="num" w:pos="850"/>
      </w:tabs>
      <w:ind w:left="850" w:hanging="850"/>
    </w:pPr>
  </w:style>
  <w:style w:type="paragraph" w:customStyle="1" w:styleId="Bullet1">
    <w:name w:val="Bullet 1"/>
    <w:basedOn w:val="Normal"/>
    <w:pPr>
      <w:numPr>
        <w:numId w:val="9"/>
      </w:numPr>
    </w:pPr>
  </w:style>
  <w:style w:type="paragraph" w:customStyle="1" w:styleId="Bullet2">
    <w:name w:val="Bullet 2"/>
    <w:basedOn w:val="Normal"/>
    <w:pPr>
      <w:numPr>
        <w:numId w:val="10"/>
      </w:numPr>
    </w:pPr>
  </w:style>
  <w:style w:type="paragraph" w:customStyle="1" w:styleId="Bullet3">
    <w:name w:val="Bullet 3"/>
    <w:basedOn w:val="Normal"/>
    <w:pPr>
      <w:numPr>
        <w:numId w:val="11"/>
      </w:numPr>
    </w:pPr>
  </w:style>
  <w:style w:type="paragraph" w:customStyle="1" w:styleId="Bullet4">
    <w:name w:val="Bullet 4"/>
    <w:basedOn w:val="Normal"/>
    <w:pPr>
      <w:numPr>
        <w:numId w:val="1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pPr>
    <w:rPr>
      <w:u w:val="single"/>
    </w:rPr>
  </w:style>
  <w:style w:type="paragraph" w:customStyle="1" w:styleId="Considrant">
    <w:name w:val="Considérant"/>
    <w:basedOn w:val="Normal"/>
    <w:pPr>
      <w:numPr>
        <w:numId w:val="1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ListBullet">
    <w:name w:val="List Bullet"/>
    <w:basedOn w:val="Normal"/>
    <w:pPr>
      <w:numPr>
        <w:numId w:val="15"/>
      </w:numPr>
      <w:spacing w:before="0" w:after="240"/>
    </w:pPr>
    <w:rPr>
      <w:szCs w:val="20"/>
    </w:rPr>
  </w:style>
  <w:style w:type="paragraph" w:styleId="NormalWeb">
    <w:name w:val="Normal (Web)"/>
    <w:basedOn w:val="Normal"/>
    <w:uiPriority w:val="99"/>
    <w:pPr>
      <w:spacing w:before="100" w:beforeAutospacing="1" w:after="100" w:afterAutospacing="1"/>
      <w:jc w:val="left"/>
    </w:pPr>
    <w:rPr>
      <w:lang w:eastAsia="en-GB"/>
    </w:rPr>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2">
    <w:name w:val="List Bullet 2"/>
    <w:basedOn w:val="Text2"/>
    <w:pPr>
      <w:numPr>
        <w:numId w:val="17"/>
      </w:numPr>
      <w:spacing w:before="0" w:after="240"/>
    </w:pPr>
    <w:rPr>
      <w:szCs w:val="20"/>
    </w:rPr>
  </w:style>
  <w:style w:type="paragraph" w:styleId="ListBullet3">
    <w:name w:val="List Bullet 3"/>
    <w:basedOn w:val="Text3"/>
    <w:pPr>
      <w:numPr>
        <w:numId w:val="18"/>
      </w:numPr>
      <w:spacing w:before="0" w:after="240"/>
    </w:pPr>
    <w:rPr>
      <w:szCs w:val="20"/>
    </w:rPr>
  </w:style>
  <w:style w:type="paragraph" w:styleId="ListBullet4">
    <w:name w:val="List Bullet 4"/>
    <w:basedOn w:val="Text4"/>
    <w:pPr>
      <w:numPr>
        <w:numId w:val="19"/>
      </w:numPr>
      <w:spacing w:before="0" w:after="240"/>
    </w:pPr>
    <w:rPr>
      <w:szCs w:val="20"/>
    </w:rPr>
  </w:style>
  <w:style w:type="paragraph" w:styleId="ListNumber">
    <w:name w:val="List Number"/>
    <w:basedOn w:val="Normal"/>
    <w:pPr>
      <w:numPr>
        <w:numId w:val="25"/>
      </w:numPr>
      <w:spacing w:before="0" w:after="240"/>
    </w:pPr>
    <w:rPr>
      <w:szCs w:val="20"/>
    </w:rPr>
  </w:style>
  <w:style w:type="paragraph" w:styleId="ListNumber2">
    <w:name w:val="List Number 2"/>
    <w:basedOn w:val="Text2"/>
    <w:pPr>
      <w:numPr>
        <w:numId w:val="27"/>
      </w:numPr>
      <w:spacing w:before="0" w:after="240"/>
    </w:pPr>
    <w:rPr>
      <w:szCs w:val="20"/>
    </w:rPr>
  </w:style>
  <w:style w:type="paragraph" w:styleId="ListNumber3">
    <w:name w:val="List Number 3"/>
    <w:basedOn w:val="Text3"/>
    <w:pPr>
      <w:numPr>
        <w:numId w:val="28"/>
      </w:numPr>
      <w:spacing w:before="0" w:after="240"/>
    </w:pPr>
    <w:rPr>
      <w:szCs w:val="20"/>
    </w:rPr>
  </w:style>
  <w:style w:type="paragraph" w:styleId="ListNumber4">
    <w:name w:val="List Number 4"/>
    <w:basedOn w:val="Text4"/>
    <w:pPr>
      <w:numPr>
        <w:numId w:val="29"/>
      </w:numPr>
      <w:spacing w:before="0" w:after="240"/>
    </w:pPr>
    <w:rPr>
      <w:szCs w:val="20"/>
    </w:rPr>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semiHidden/>
    <w:rPr>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rPr>
  </w:style>
  <w:style w:type="character" w:styleId="Hyperlink">
    <w:name w:val="Hyperlink"/>
    <w:rPr>
      <w:color w:val="0000FF"/>
      <w:u w:val="single"/>
      <w:shd w:val="clear" w:color="auto" w:fill="auto"/>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paragraph" w:styleId="DocumentMap">
    <w:name w:val="Document Map"/>
    <w:basedOn w:val="Normal"/>
    <w:link w:val="DocumentMapChar"/>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rPr>
  </w:style>
  <w:style w:type="paragraph" w:customStyle="1" w:styleId="ZCom">
    <w:name w:val="Z_Com"/>
    <w:basedOn w:val="Normal"/>
    <w:next w:val="ZDGName"/>
    <w:uiPriority w:val="99"/>
    <w:pPr>
      <w:spacing w:before="0" w:after="0"/>
      <w:ind w:right="85"/>
    </w:pPr>
    <w:rPr>
      <w:rFonts w:ascii="Arial" w:hAnsi="Arial"/>
      <w:szCs w:val="20"/>
      <w:lang w:val="pt-PT" w:eastAsia="en-GB"/>
    </w:rPr>
  </w:style>
  <w:style w:type="paragraph" w:customStyle="1" w:styleId="ZDGName">
    <w:name w:val="Z_DGName"/>
    <w:basedOn w:val="Normal"/>
    <w:uiPriority w:val="99"/>
    <w:pPr>
      <w:spacing w:before="0" w:after="0"/>
      <w:ind w:right="85"/>
    </w:pPr>
    <w:rPr>
      <w:rFonts w:ascii="Arial" w:hAnsi="Arial"/>
      <w:sz w:val="16"/>
      <w:szCs w:val="20"/>
      <w:lang w:val="pt-PT"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Briefingspdef">
    <w:name w:val="Briefing sp/def"/>
    <w:basedOn w:val="Normal"/>
    <w:pPr>
      <w:keepLines/>
      <w:numPr>
        <w:numId w:val="14"/>
      </w:numPr>
      <w:spacing w:before="0" w:after="480"/>
    </w:pPr>
    <w:rPr>
      <w:rFonts w:ascii="Arial" w:hAnsi="Arial" w:cs="Arial"/>
      <w:sz w:val="48"/>
      <w:szCs w:val="48"/>
      <w:lang w:eastAsia="en-GB"/>
    </w:rPr>
  </w:style>
  <w:style w:type="paragraph" w:styleId="PlainText">
    <w:name w:val="Plain Text"/>
    <w:basedOn w:val="Normal"/>
    <w:link w:val="PlainTextChar"/>
    <w:uiPriority w:val="99"/>
    <w:unhideWhenUsed/>
    <w:pPr>
      <w:spacing w:before="0" w:after="0"/>
      <w:jc w:val="left"/>
    </w:pPr>
    <w:rPr>
      <w:rFonts w:ascii="Calibri" w:hAnsi="Calibri" w:cs="Consolas"/>
      <w:sz w:val="22"/>
      <w:szCs w:val="21"/>
    </w:rPr>
  </w:style>
  <w:style w:type="character" w:customStyle="1" w:styleId="PlainTextChar">
    <w:name w:val="Plain Text Char"/>
    <w:basedOn w:val="DefaultParagraphFont"/>
    <w:link w:val="PlainText"/>
    <w:uiPriority w:val="99"/>
    <w:rPr>
      <w:rFonts w:ascii="Calibri" w:eastAsia="Times New Roman" w:hAnsi="Calibri" w:cs="Consolas"/>
      <w:szCs w:val="21"/>
    </w:rPr>
  </w:style>
  <w:style w:type="character" w:styleId="Emphasis">
    <w:name w:val="Emphasis"/>
    <w:uiPriority w:val="20"/>
    <w:qFormat/>
    <w:rPr>
      <w:i/>
      <w:iCs/>
      <w:shd w:val="clear" w:color="auto" w:fill="auto"/>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szCs w:val="22"/>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efingtext">
    <w:name w:val="Briefing text"/>
    <w:basedOn w:val="Normal"/>
    <w:link w:val="BriefingtextChar"/>
    <w:pPr>
      <w:spacing w:before="0" w:after="240"/>
    </w:pPr>
    <w:rPr>
      <w:rFonts w:ascii="Arial" w:hAnsi="Arial" w:cs="Arial"/>
      <w:sz w:val="22"/>
    </w:rPr>
  </w:style>
  <w:style w:type="character" w:customStyle="1" w:styleId="BriefingtextChar">
    <w:name w:val="Briefing text Char"/>
    <w:link w:val="Briefingtext"/>
    <w:rPr>
      <w:rFonts w:ascii="Arial" w:eastAsia="Times New Roman" w:hAnsi="Arial" w:cs="Arial"/>
      <w:szCs w:val="24"/>
    </w:rPr>
  </w:style>
  <w:style w:type="character" w:styleId="HTMLAcronym">
    <w:name w:val="HTML Acronym"/>
    <w:uiPriority w:val="99"/>
    <w:unhideWhenUsed/>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Contact">
    <w:name w:val="Contact"/>
    <w:basedOn w:val="Normal"/>
    <w:next w:val="Normal"/>
    <w:pPr>
      <w:spacing w:before="0" w:after="480"/>
      <w:ind w:left="567" w:hanging="567"/>
      <w:jc w:val="left"/>
    </w:pPr>
    <w:rPr>
      <w:szCs w:val="20"/>
    </w:rPr>
  </w:style>
  <w:style w:type="paragraph" w:customStyle="1" w:styleId="ListBullet1">
    <w:name w:val="List Bullet 1"/>
    <w:basedOn w:val="Text1"/>
    <w:pPr>
      <w:numPr>
        <w:numId w:val="16"/>
      </w:numPr>
      <w:spacing w:before="0" w:after="240"/>
    </w:pPr>
    <w:rPr>
      <w:szCs w:val="20"/>
    </w:rPr>
  </w:style>
  <w:style w:type="paragraph" w:customStyle="1" w:styleId="ListDash">
    <w:name w:val="List Dash"/>
    <w:basedOn w:val="Normal"/>
    <w:pPr>
      <w:numPr>
        <w:numId w:val="20"/>
      </w:numPr>
      <w:spacing w:before="0" w:after="240"/>
    </w:pPr>
    <w:rPr>
      <w:szCs w:val="20"/>
    </w:rPr>
  </w:style>
  <w:style w:type="paragraph" w:customStyle="1" w:styleId="ListDash1">
    <w:name w:val="List Dash 1"/>
    <w:basedOn w:val="Text1"/>
    <w:pPr>
      <w:numPr>
        <w:numId w:val="21"/>
      </w:numPr>
      <w:spacing w:before="0" w:after="240"/>
    </w:pPr>
    <w:rPr>
      <w:szCs w:val="20"/>
    </w:rPr>
  </w:style>
  <w:style w:type="paragraph" w:customStyle="1" w:styleId="ListDash2">
    <w:name w:val="List Dash 2"/>
    <w:basedOn w:val="Text2"/>
    <w:pPr>
      <w:numPr>
        <w:numId w:val="22"/>
      </w:numPr>
      <w:spacing w:before="0" w:after="240"/>
    </w:pPr>
    <w:rPr>
      <w:szCs w:val="20"/>
    </w:rPr>
  </w:style>
  <w:style w:type="paragraph" w:customStyle="1" w:styleId="ListDash3">
    <w:name w:val="List Dash 3"/>
    <w:basedOn w:val="Text3"/>
    <w:pPr>
      <w:numPr>
        <w:numId w:val="23"/>
      </w:numPr>
      <w:spacing w:before="0" w:after="240"/>
    </w:pPr>
    <w:rPr>
      <w:szCs w:val="20"/>
    </w:rPr>
  </w:style>
  <w:style w:type="paragraph" w:customStyle="1" w:styleId="ListDash4">
    <w:name w:val="List Dash 4"/>
    <w:basedOn w:val="Text4"/>
    <w:pPr>
      <w:numPr>
        <w:numId w:val="24"/>
      </w:numPr>
      <w:spacing w:before="0" w:after="240"/>
    </w:pPr>
    <w:rPr>
      <w:szCs w:val="20"/>
    </w:rPr>
  </w:style>
  <w:style w:type="paragraph" w:customStyle="1" w:styleId="ListNumber1">
    <w:name w:val="List Number 1"/>
    <w:basedOn w:val="Text1"/>
    <w:pPr>
      <w:numPr>
        <w:numId w:val="26"/>
      </w:numPr>
      <w:spacing w:before="0" w:after="240"/>
    </w:pPr>
    <w:rPr>
      <w:szCs w:val="20"/>
    </w:rPr>
  </w:style>
  <w:style w:type="paragraph" w:customStyle="1" w:styleId="ListNumberLevel2">
    <w:name w:val="List Number (Level 2)"/>
    <w:basedOn w:val="Normal"/>
    <w:pPr>
      <w:numPr>
        <w:ilvl w:val="1"/>
        <w:numId w:val="25"/>
      </w:numPr>
      <w:spacing w:before="0" w:after="240"/>
    </w:pPr>
    <w:rPr>
      <w:szCs w:val="20"/>
    </w:rPr>
  </w:style>
  <w:style w:type="paragraph" w:customStyle="1" w:styleId="ListNumber1Level2">
    <w:name w:val="List Number 1 (Level 2)"/>
    <w:basedOn w:val="Text1"/>
    <w:pPr>
      <w:numPr>
        <w:ilvl w:val="1"/>
        <w:numId w:val="26"/>
      </w:numPr>
      <w:spacing w:before="0" w:after="240"/>
    </w:pPr>
    <w:rPr>
      <w:szCs w:val="20"/>
    </w:rPr>
  </w:style>
  <w:style w:type="paragraph" w:customStyle="1" w:styleId="ListNumber2Level2">
    <w:name w:val="List Number 2 (Level 2)"/>
    <w:basedOn w:val="Text2"/>
    <w:pPr>
      <w:numPr>
        <w:ilvl w:val="1"/>
        <w:numId w:val="27"/>
      </w:numPr>
      <w:spacing w:before="0" w:after="240"/>
    </w:pPr>
    <w:rPr>
      <w:szCs w:val="20"/>
    </w:rPr>
  </w:style>
  <w:style w:type="paragraph" w:customStyle="1" w:styleId="ListNumber3Level2">
    <w:name w:val="List Number 3 (Level 2)"/>
    <w:basedOn w:val="Text3"/>
    <w:pPr>
      <w:numPr>
        <w:ilvl w:val="1"/>
        <w:numId w:val="28"/>
      </w:numPr>
      <w:spacing w:before="0" w:after="240"/>
    </w:pPr>
    <w:rPr>
      <w:szCs w:val="20"/>
    </w:rPr>
  </w:style>
  <w:style w:type="paragraph" w:customStyle="1" w:styleId="ListNumber4Level2">
    <w:name w:val="List Number 4 (Level 2)"/>
    <w:basedOn w:val="Text4"/>
    <w:pPr>
      <w:numPr>
        <w:ilvl w:val="1"/>
        <w:numId w:val="29"/>
      </w:numPr>
      <w:spacing w:before="0" w:after="240"/>
    </w:pPr>
    <w:rPr>
      <w:szCs w:val="20"/>
    </w:rPr>
  </w:style>
  <w:style w:type="paragraph" w:customStyle="1" w:styleId="ListNumberLevel3">
    <w:name w:val="List Number (Level 3)"/>
    <w:basedOn w:val="Normal"/>
    <w:pPr>
      <w:numPr>
        <w:ilvl w:val="2"/>
        <w:numId w:val="25"/>
      </w:numPr>
      <w:spacing w:before="0" w:after="240"/>
    </w:pPr>
    <w:rPr>
      <w:szCs w:val="20"/>
    </w:rPr>
  </w:style>
  <w:style w:type="paragraph" w:customStyle="1" w:styleId="ListNumber1Level3">
    <w:name w:val="List Number 1 (Level 3)"/>
    <w:basedOn w:val="Text1"/>
    <w:pPr>
      <w:numPr>
        <w:ilvl w:val="2"/>
        <w:numId w:val="26"/>
      </w:numPr>
      <w:spacing w:before="0" w:after="240"/>
    </w:pPr>
    <w:rPr>
      <w:szCs w:val="20"/>
    </w:rPr>
  </w:style>
  <w:style w:type="paragraph" w:customStyle="1" w:styleId="ListNumber2Level3">
    <w:name w:val="List Number 2 (Level 3)"/>
    <w:basedOn w:val="Text2"/>
    <w:pPr>
      <w:numPr>
        <w:ilvl w:val="2"/>
        <w:numId w:val="27"/>
      </w:numPr>
      <w:spacing w:before="0" w:after="240"/>
    </w:pPr>
    <w:rPr>
      <w:szCs w:val="20"/>
    </w:rPr>
  </w:style>
  <w:style w:type="paragraph" w:customStyle="1" w:styleId="ListNumber3Level3">
    <w:name w:val="List Number 3 (Level 3)"/>
    <w:basedOn w:val="Text3"/>
    <w:pPr>
      <w:numPr>
        <w:ilvl w:val="2"/>
        <w:numId w:val="28"/>
      </w:numPr>
      <w:spacing w:before="0" w:after="240"/>
    </w:pPr>
    <w:rPr>
      <w:szCs w:val="20"/>
    </w:rPr>
  </w:style>
  <w:style w:type="paragraph" w:customStyle="1" w:styleId="ListNumber4Level3">
    <w:name w:val="List Number 4 (Level 3)"/>
    <w:basedOn w:val="Text4"/>
    <w:pPr>
      <w:numPr>
        <w:ilvl w:val="2"/>
        <w:numId w:val="29"/>
      </w:numPr>
      <w:spacing w:before="0" w:after="240"/>
    </w:pPr>
    <w:rPr>
      <w:szCs w:val="20"/>
    </w:rPr>
  </w:style>
  <w:style w:type="paragraph" w:customStyle="1" w:styleId="ListNumberLevel4">
    <w:name w:val="List Number (Level 4)"/>
    <w:basedOn w:val="Normal"/>
    <w:pPr>
      <w:numPr>
        <w:ilvl w:val="3"/>
        <w:numId w:val="25"/>
      </w:numPr>
      <w:spacing w:before="0" w:after="240"/>
    </w:pPr>
    <w:rPr>
      <w:szCs w:val="20"/>
    </w:rPr>
  </w:style>
  <w:style w:type="paragraph" w:customStyle="1" w:styleId="ListNumber1Level4">
    <w:name w:val="List Number 1 (Level 4)"/>
    <w:basedOn w:val="Text1"/>
    <w:pPr>
      <w:numPr>
        <w:ilvl w:val="3"/>
        <w:numId w:val="26"/>
      </w:numPr>
      <w:spacing w:before="0" w:after="240"/>
    </w:pPr>
    <w:rPr>
      <w:szCs w:val="20"/>
    </w:rPr>
  </w:style>
  <w:style w:type="paragraph" w:customStyle="1" w:styleId="ListNumber2Level4">
    <w:name w:val="List Number 2 (Level 4)"/>
    <w:basedOn w:val="Text2"/>
    <w:pPr>
      <w:numPr>
        <w:ilvl w:val="3"/>
        <w:numId w:val="27"/>
      </w:numPr>
      <w:spacing w:before="0" w:after="240"/>
    </w:pPr>
    <w:rPr>
      <w:szCs w:val="20"/>
    </w:rPr>
  </w:style>
  <w:style w:type="paragraph" w:customStyle="1" w:styleId="ListNumber3Level4">
    <w:name w:val="List Number 3 (Level 4)"/>
    <w:basedOn w:val="Text3"/>
    <w:pPr>
      <w:numPr>
        <w:ilvl w:val="3"/>
        <w:numId w:val="28"/>
      </w:numPr>
      <w:spacing w:before="0" w:after="240"/>
    </w:pPr>
    <w:rPr>
      <w:szCs w:val="20"/>
    </w:rPr>
  </w:style>
  <w:style w:type="paragraph" w:customStyle="1" w:styleId="ListNumber4Level4">
    <w:name w:val="List Number 4 (Level 4)"/>
    <w:basedOn w:val="Text4"/>
    <w:pPr>
      <w:numPr>
        <w:ilvl w:val="3"/>
        <w:numId w:val="29"/>
      </w:numPr>
      <w:spacing w:before="0" w:after="240"/>
    </w:pPr>
    <w:rPr>
      <w:szCs w:val="20"/>
    </w:rPr>
  </w:style>
  <w:style w:type="character" w:styleId="FollowedHyperlink">
    <w:name w:val="FollowedHyperlink"/>
    <w:basedOn w:val="DefaultParagraphFont"/>
    <w:rPr>
      <w:color w:val="800080" w:themeColor="followedHyperlink"/>
      <w:u w:val="singl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outlineLvl w:val="0"/>
    </w:pPr>
    <w:rPr>
      <w:bCs/>
      <w:szCs w:val="28"/>
    </w:rPr>
  </w:style>
  <w:style w:type="character" w:customStyle="1" w:styleId="FooterCoverPageChar">
    <w:name w:val="Footer Cover Page Char"/>
    <w:basedOn w:val="DefaultParagraphFont"/>
    <w:link w:val="FooterCoverPage"/>
    <w:rPr>
      <w:rFonts w:ascii="Times New Roman" w:eastAsia="Times New Roman" w:hAnsi="Times New Roman" w:cs="Times New Roman"/>
      <w:bCs/>
      <w:sz w:val="24"/>
      <w:szCs w:val="28"/>
    </w:rPr>
  </w:style>
  <w:style w:type="paragraph" w:customStyle="1" w:styleId="HeaderCoverPage">
    <w:name w:val="Header Cover Page"/>
    <w:basedOn w:val="Normal"/>
    <w:link w:val="HeaderCoverPageChar"/>
    <w:pPr>
      <w:tabs>
        <w:tab w:val="center" w:pos="4535"/>
        <w:tab w:val="right" w:pos="9071"/>
      </w:tabs>
      <w:spacing w:before="0"/>
      <w:outlineLvl w:val="0"/>
    </w:pPr>
    <w:rPr>
      <w:bCs/>
      <w:szCs w:val="28"/>
    </w:rPr>
  </w:style>
  <w:style w:type="character" w:customStyle="1" w:styleId="HeaderCoverPageChar">
    <w:name w:val="Header Cover Page Char"/>
    <w:basedOn w:val="DefaultParagraphFont"/>
    <w:link w:val="HeaderCoverPage"/>
    <w:rPr>
      <w:rFonts w:ascii="Times New Roman" w:eastAsia="Times New Roman" w:hAnsi="Times New Roman" w:cs="Times New Roman"/>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72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archives/commission_2010-2014/president/news/archives/2012/11/pdf/blueprint_en.pdf" TargetMode="External"/><Relationship Id="rId2" Type="http://schemas.openxmlformats.org/officeDocument/2006/relationships/hyperlink" Target="http://www.consilium.europa.eu/european-council/pdf/Treaty-on-Stability-Coordination-and-Governance-TSCG/" TargetMode="External"/><Relationship Id="rId1" Type="http://schemas.openxmlformats.org/officeDocument/2006/relationships/hyperlink" Target="http://europa.eu/rapid/press-release_MEMO-13-318_nl.htm" TargetMode="External"/><Relationship Id="rId6" Type="http://schemas.openxmlformats.org/officeDocument/2006/relationships/hyperlink" Target="http://www.unbrussels.org/images/pdf/2011/A_RES_65_276.pdf" TargetMode="External"/><Relationship Id="rId5" Type="http://schemas.openxmlformats.org/officeDocument/2006/relationships/hyperlink" Target="http://www.europarl.europa.eu/sides/getDoc.do?pubRef=-//EP//NONSGML+TA+P7-TA-2011-0457+0+DOC+PDF+V0//EN" TargetMode="External"/><Relationship Id="rId4" Type="http://schemas.openxmlformats.org/officeDocument/2006/relationships/hyperlink" Target="http://ec.europa.eu/priorities/economic-monetary-union/docs/5-presidents-report_s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0BA89-5A8B-43BB-832C-3F3EF0970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11</Pages>
  <Words>4143</Words>
  <Characters>24859</Characters>
  <Application>Microsoft Office Word</Application>
  <DocSecurity>0</DocSecurity>
  <Lines>407</Lines>
  <Paragraphs>105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22</cp:revision>
  <cp:lastPrinted>2015-10-16T18:33:00Z</cp:lastPrinted>
  <dcterms:created xsi:type="dcterms:W3CDTF">2015-10-23T08:51:00Z</dcterms:created>
  <dcterms:modified xsi:type="dcterms:W3CDTF">2015-10-23T10:13:00Z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