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DA" w:rsidRDefault="00792AB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954DC952194281A9439CE603D18F53" style="width:450.4pt;height:334.9pt">
            <v:imagedata r:id="rId8" o:title=""/>
          </v:shape>
        </w:pict>
      </w:r>
    </w:p>
    <w:bookmarkEnd w:id="0"/>
    <w:p w:rsidR="00E777DA" w:rsidRDefault="00E777DA">
      <w:pPr>
        <w:rPr>
          <w:noProof/>
        </w:rPr>
        <w:sectPr w:rsidR="00E777D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E777DA" w:rsidRDefault="00792AB2">
      <w:pPr>
        <w:pStyle w:val="Typedudocument"/>
        <w:rPr>
          <w:noProof/>
        </w:rPr>
      </w:pPr>
      <w:r>
        <w:rPr>
          <w:noProof/>
        </w:rPr>
        <w:lastRenderedPageBreak/>
        <w:t>RELAZIONE DELLA COMMISSIONE AL CONSIGLIO E AL PARLAMENTO EUROPEO</w:t>
      </w:r>
    </w:p>
    <w:p w:rsidR="00E777DA" w:rsidRDefault="00792AB2">
      <w:pPr>
        <w:pStyle w:val="Titreobjet"/>
        <w:rPr>
          <w:noProof/>
        </w:rPr>
      </w:pPr>
      <w:r>
        <w:rPr>
          <w:noProof/>
        </w:rPr>
        <w:t xml:space="preserve">Valutazione REFIT della direttiva </w:t>
      </w:r>
      <w:r>
        <w:rPr>
          <w:noProof/>
        </w:rPr>
        <w:t>91/477/CE del Consiglio, del 18 giugno 1991, modificata dalla direttiva 2008/51/CE, del 21 maggio 2008, relativa al controllo dell'acquisizione e della detenzione di armi</w:t>
      </w:r>
    </w:p>
    <w:p w:rsidR="00E777DA" w:rsidRDefault="00E777DA">
      <w:pPr>
        <w:rPr>
          <w:noProof/>
        </w:rPr>
      </w:pPr>
    </w:p>
    <w:p w:rsidR="00E777DA" w:rsidRDefault="00E777DA">
      <w:pPr>
        <w:rPr>
          <w:noProof/>
        </w:rPr>
        <w:sectPr w:rsidR="00E777D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0"/>
          <w:cols w:space="720"/>
          <w:titlePg/>
          <w:docGrid w:linePitch="360"/>
        </w:sectPr>
      </w:pPr>
    </w:p>
    <w:p w:rsidR="00E777DA" w:rsidRDefault="00E777DA">
      <w:pPr>
        <w:rPr>
          <w:noProof/>
        </w:rPr>
      </w:pPr>
    </w:p>
    <w:p w:rsidR="00E777DA" w:rsidRDefault="00792AB2">
      <w:pPr>
        <w:pStyle w:val="Heading1"/>
        <w:rPr>
          <w:rFonts w:ascii="Times New Roman" w:hAnsi="Times New Roman"/>
          <w:noProof/>
          <w:sz w:val="24"/>
          <w:szCs w:val="24"/>
        </w:rPr>
      </w:pPr>
      <w:r>
        <w:rPr>
          <w:rFonts w:ascii="Times New Roman" w:hAnsi="Times New Roman"/>
          <w:noProof/>
          <w:sz w:val="24"/>
        </w:rPr>
        <w:t>1. Introduzione</w:t>
      </w:r>
    </w:p>
    <w:p w:rsidR="00E777DA" w:rsidRDefault="00792AB2">
      <w:pPr>
        <w:jc w:val="both"/>
        <w:rPr>
          <w:rFonts w:ascii="Times New Roman" w:hAnsi="Times New Roman"/>
          <w:noProof/>
          <w:sz w:val="24"/>
          <w:szCs w:val="24"/>
        </w:rPr>
      </w:pPr>
      <w:r>
        <w:rPr>
          <w:rFonts w:ascii="Times New Roman" w:hAnsi="Times New Roman"/>
          <w:noProof/>
          <w:sz w:val="24"/>
        </w:rPr>
        <w:t xml:space="preserve">1) La direttiva </w:t>
      </w:r>
      <w:r>
        <w:rPr>
          <w:rFonts w:ascii="Times New Roman" w:hAnsi="Times New Roman"/>
          <w:noProof/>
          <w:sz w:val="24"/>
        </w:rPr>
        <w:t>91/477/CE del Consiglio relativa al controllo dell'acquisizione e della detenzione di armi è stata adottata il 18 giugno 1991</w:t>
      </w:r>
      <w:r>
        <w:rPr>
          <w:rStyle w:val="FootnoteReference"/>
          <w:rFonts w:ascii="Times New Roman" w:hAnsi="Times New Roman"/>
          <w:noProof/>
          <w:sz w:val="24"/>
        </w:rPr>
        <w:footnoteReference w:id="1"/>
      </w:r>
      <w:r>
        <w:rPr>
          <w:rFonts w:ascii="Times New Roman" w:hAnsi="Times New Roman"/>
          <w:noProof/>
          <w:sz w:val="24"/>
        </w:rPr>
        <w:t xml:space="preserve"> e modificata dalla direttiva 2008/51/CE il 21 maggio 2008</w:t>
      </w:r>
      <w:r>
        <w:rPr>
          <w:rStyle w:val="FootnoteReference"/>
          <w:rFonts w:ascii="Times New Roman" w:hAnsi="Times New Roman"/>
          <w:noProof/>
          <w:sz w:val="24"/>
        </w:rPr>
        <w:footnoteReference w:id="2"/>
      </w:r>
      <w:r>
        <w:rPr>
          <w:rFonts w:ascii="Times New Roman" w:hAnsi="Times New Roman"/>
          <w:noProof/>
          <w:sz w:val="24"/>
        </w:rPr>
        <w:t xml:space="preserve"> (la direttiva sulle armi da fuoco). </w:t>
      </w:r>
    </w:p>
    <w:p w:rsidR="00E777DA" w:rsidRDefault="00792AB2">
      <w:pPr>
        <w:jc w:val="both"/>
        <w:rPr>
          <w:rFonts w:ascii="Times New Roman" w:hAnsi="Times New Roman"/>
          <w:noProof/>
          <w:sz w:val="24"/>
          <w:szCs w:val="24"/>
        </w:rPr>
      </w:pPr>
      <w:r>
        <w:rPr>
          <w:rFonts w:ascii="Times New Roman" w:hAnsi="Times New Roman"/>
          <w:noProof/>
          <w:sz w:val="24"/>
        </w:rPr>
        <w:t>2) A norma dell'articolo 17 della</w:t>
      </w:r>
      <w:r>
        <w:rPr>
          <w:rFonts w:ascii="Times New Roman" w:hAnsi="Times New Roman"/>
          <w:noProof/>
          <w:sz w:val="24"/>
        </w:rPr>
        <w:t xml:space="preserve"> direttiva sulle armi da fuoco "Entro il 28 luglio 2015, la Commissione presenta una relazione al Parlamento europeo e al Consiglio in merito alla situazione risultante dall'applicazione della presente direttiva, presentando eventualmente delle proposte". </w:t>
      </w:r>
      <w:r>
        <w:rPr>
          <w:rFonts w:ascii="Times New Roman" w:hAnsi="Times New Roman"/>
          <w:noProof/>
          <w:sz w:val="24"/>
        </w:rPr>
        <w:t>In vista dell'elaborazione della relazione, la Commissione ha incaricato consulenti esterni di svolgere uno studio di valutazione. Tale studio, concluso nel dicembre 2014</w:t>
      </w:r>
      <w:r>
        <w:rPr>
          <w:rStyle w:val="FootnoteReference"/>
          <w:rFonts w:ascii="Times New Roman" w:hAnsi="Times New Roman"/>
          <w:noProof/>
          <w:sz w:val="24"/>
        </w:rPr>
        <w:footnoteReference w:id="3"/>
      </w:r>
      <w:r>
        <w:rPr>
          <w:rFonts w:ascii="Times New Roman" w:hAnsi="Times New Roman"/>
          <w:noProof/>
          <w:sz w:val="24"/>
        </w:rPr>
        <w:t>, contiene un'ampia analisi, basata su cinque criteri fondamentali di valutazione, de</w:t>
      </w:r>
      <w:r>
        <w:rPr>
          <w:rFonts w:ascii="Times New Roman" w:hAnsi="Times New Roman"/>
          <w:noProof/>
          <w:sz w:val="24"/>
        </w:rPr>
        <w:t>ll'applicazione della direttiva nonché dei risultati ottenuti grazie alla legislazione derivatane. In base ai risultati, lo studio rivolge inoltre alla Commissione, oppure alle autorità degli Stati membri o a entrambi, raccomandazioni specifiche per ottene</w:t>
      </w:r>
      <w:r>
        <w:rPr>
          <w:rFonts w:ascii="Times New Roman" w:hAnsi="Times New Roman"/>
          <w:noProof/>
          <w:sz w:val="24"/>
        </w:rPr>
        <w:t>re miglioramenti. La valutazione è stata collegata al programma di controllo dell'adeguatezza e dell'efficacia della regolamentazione (REFIT) della Commissione</w:t>
      </w:r>
      <w:r>
        <w:rPr>
          <w:rStyle w:val="FootnoteReference"/>
          <w:rFonts w:ascii="Times New Roman" w:hAnsi="Times New Roman"/>
          <w:noProof/>
          <w:sz w:val="24"/>
        </w:rPr>
        <w:footnoteReference w:id="4"/>
      </w:r>
      <w:r>
        <w:rPr>
          <w:rFonts w:ascii="Times New Roman" w:hAnsi="Times New Roman"/>
          <w:noProof/>
          <w:sz w:val="24"/>
        </w:rPr>
        <w:t>.</w:t>
      </w:r>
    </w:p>
    <w:p w:rsidR="00E777DA" w:rsidRDefault="00792AB2">
      <w:pPr>
        <w:jc w:val="both"/>
        <w:rPr>
          <w:rFonts w:ascii="Times New Roman" w:hAnsi="Times New Roman"/>
          <w:noProof/>
          <w:sz w:val="24"/>
          <w:szCs w:val="24"/>
        </w:rPr>
      </w:pPr>
      <w:r>
        <w:rPr>
          <w:rFonts w:ascii="Times New Roman" w:hAnsi="Times New Roman"/>
          <w:noProof/>
          <w:sz w:val="24"/>
        </w:rPr>
        <w:t>3) Dopo la conclusione dello studio di valutazione la Commissione ha chiesto ai membri del com</w:t>
      </w:r>
      <w:r>
        <w:rPr>
          <w:rFonts w:ascii="Times New Roman" w:hAnsi="Times New Roman"/>
          <w:noProof/>
          <w:sz w:val="24"/>
        </w:rPr>
        <w:t>itato di cui all'articolo 13 bis della direttiva (comitato armi da fuoco), che rappresentano i 28 Stati membri dell'UE (SM) e i quattro paesi</w:t>
      </w:r>
      <w:r>
        <w:rPr>
          <w:rStyle w:val="FootnoteReference"/>
          <w:rFonts w:ascii="Times New Roman" w:hAnsi="Times New Roman"/>
          <w:noProof/>
          <w:sz w:val="24"/>
        </w:rPr>
        <w:footnoteReference w:id="5"/>
      </w:r>
      <w:r>
        <w:rPr>
          <w:rFonts w:ascii="Times New Roman" w:hAnsi="Times New Roman"/>
          <w:noProof/>
          <w:sz w:val="24"/>
        </w:rPr>
        <w:t xml:space="preserve"> del SEE</w:t>
      </w:r>
      <w:r>
        <w:rPr>
          <w:rStyle w:val="FootnoteReference"/>
          <w:rFonts w:ascii="Times New Roman" w:hAnsi="Times New Roman"/>
          <w:noProof/>
          <w:sz w:val="24"/>
        </w:rPr>
        <w:footnoteReference w:id="6"/>
      </w:r>
      <w:r>
        <w:rPr>
          <w:rFonts w:ascii="Times New Roman" w:hAnsi="Times New Roman"/>
          <w:noProof/>
          <w:sz w:val="24"/>
        </w:rPr>
        <w:t xml:space="preserve"> e dell'EFTA</w:t>
      </w:r>
      <w:r>
        <w:rPr>
          <w:rStyle w:val="FootnoteReference"/>
          <w:rFonts w:ascii="Times New Roman" w:hAnsi="Times New Roman"/>
          <w:noProof/>
          <w:sz w:val="24"/>
        </w:rPr>
        <w:footnoteReference w:id="7"/>
      </w:r>
      <w:r>
        <w:rPr>
          <w:rFonts w:ascii="Times New Roman" w:hAnsi="Times New Roman"/>
          <w:noProof/>
          <w:sz w:val="24"/>
        </w:rPr>
        <w:t>, di trasmettere osservazioni e di valutare i risultati e le raccomandazioni dello studio. I</w:t>
      </w:r>
      <w:r>
        <w:rPr>
          <w:rFonts w:ascii="Times New Roman" w:hAnsi="Times New Roman"/>
          <w:noProof/>
          <w:sz w:val="24"/>
        </w:rPr>
        <w:t xml:space="preserve"> membri del comitato hanno fornito un feedback orale nelle riunioni del 18 dicembre 2014 e 25 marzo 2015, alcuni SM hanno fornito un complemento scritto (Belgio, Francia, Svezia e Regno Unito).</w:t>
      </w:r>
    </w:p>
    <w:p w:rsidR="00E777DA" w:rsidRDefault="00792AB2">
      <w:pPr>
        <w:jc w:val="both"/>
        <w:rPr>
          <w:rFonts w:ascii="Times New Roman" w:hAnsi="Times New Roman"/>
          <w:noProof/>
          <w:sz w:val="24"/>
          <w:szCs w:val="24"/>
        </w:rPr>
      </w:pPr>
      <w:r>
        <w:rPr>
          <w:rFonts w:ascii="Times New Roman" w:hAnsi="Times New Roman"/>
          <w:noProof/>
          <w:sz w:val="24"/>
        </w:rPr>
        <w:t>4) La relazione finale dello studio di valutazione è stata pre</w:t>
      </w:r>
      <w:r>
        <w:rPr>
          <w:rFonts w:ascii="Times New Roman" w:hAnsi="Times New Roman"/>
          <w:noProof/>
          <w:sz w:val="24"/>
        </w:rPr>
        <w:t>sentata nel gennaio 2015, prima dei drammatici avvenimenti di Parigi e Copenaghen. Questi avvenimenti hanno sottolineato la presenza di problematiche urgenti connesse alla sicurezza a livello di UE. Alla riunione del comitato armi da fuoco del marzo 2015 l</w:t>
      </w:r>
      <w:r>
        <w:rPr>
          <w:rFonts w:ascii="Times New Roman" w:hAnsi="Times New Roman"/>
          <w:noProof/>
          <w:sz w:val="24"/>
        </w:rPr>
        <w:t>a Commissione ha invitato i rappresentanti degli Stati membri a presentare osservazioni sulle conclusioni della valutazione, ma anche a intavolare altre eventuali problematiche connesse all'applicazione della direttiva sulle armi da fuoco e ai recenti dram</w:t>
      </w:r>
      <w:r>
        <w:rPr>
          <w:rFonts w:ascii="Times New Roman" w:hAnsi="Times New Roman"/>
          <w:noProof/>
          <w:sz w:val="24"/>
        </w:rPr>
        <w:t xml:space="preserve">matici avvenimenti che non fossero state identificate dal consulente. </w:t>
      </w:r>
    </w:p>
    <w:p w:rsidR="00E777DA" w:rsidRDefault="00792AB2">
      <w:pPr>
        <w:jc w:val="both"/>
        <w:rPr>
          <w:rFonts w:ascii="Times New Roman" w:hAnsi="Times New Roman"/>
          <w:noProof/>
          <w:sz w:val="24"/>
          <w:szCs w:val="24"/>
        </w:rPr>
      </w:pPr>
      <w:r>
        <w:rPr>
          <w:rFonts w:ascii="Times New Roman" w:hAnsi="Times New Roman"/>
          <w:noProof/>
          <w:sz w:val="24"/>
        </w:rPr>
        <w:lastRenderedPageBreak/>
        <w:t>5) La presente relazione intende descrivere i risultati dello studio di valutazione, completarli con il feedback ricevuto finora e presentare la valutazione critica della Commissione. N</w:t>
      </w:r>
      <w:r>
        <w:rPr>
          <w:rFonts w:ascii="Times New Roman" w:hAnsi="Times New Roman"/>
          <w:noProof/>
          <w:sz w:val="24"/>
        </w:rPr>
        <w:t>ella relazione si ricordano innanzitutto il contesto e le disposizioni principali della direttiva sulle armi da fuoco. Essa presenta la metodologia, i risultati dello studio di valutazione in base a cinque criteri di valutazione (efficacia, efficienza, coe</w:t>
      </w:r>
      <w:r>
        <w:rPr>
          <w:rFonts w:ascii="Times New Roman" w:hAnsi="Times New Roman"/>
          <w:noProof/>
          <w:sz w:val="24"/>
        </w:rPr>
        <w:t>renza, pertinenza, valore aggiunto UE) e le raccomandazioni. La relazione presenta inoltre una valutazione critica dei risultati. Essa segnala infine quali iniziative la Commissione potrebbe prendere in considerazione per affrontare le problematiche sottol</w:t>
      </w:r>
      <w:r>
        <w:rPr>
          <w:rFonts w:ascii="Times New Roman" w:hAnsi="Times New Roman"/>
          <w:noProof/>
          <w:sz w:val="24"/>
        </w:rPr>
        <w:t>ineate dalla valutazione e confermate dal feedback degli Stati membri.</w:t>
      </w:r>
    </w:p>
    <w:p w:rsidR="00E777DA" w:rsidRDefault="00792AB2">
      <w:pPr>
        <w:pStyle w:val="Heading1"/>
        <w:rPr>
          <w:rFonts w:ascii="Times New Roman" w:hAnsi="Times New Roman"/>
          <w:noProof/>
          <w:sz w:val="24"/>
          <w:szCs w:val="24"/>
        </w:rPr>
      </w:pPr>
      <w:r>
        <w:rPr>
          <w:rFonts w:ascii="Times New Roman" w:hAnsi="Times New Roman"/>
          <w:noProof/>
          <w:sz w:val="24"/>
        </w:rPr>
        <w:t>2. Contesto</w:t>
      </w:r>
    </w:p>
    <w:p w:rsidR="00E777DA" w:rsidRDefault="00792AB2">
      <w:pPr>
        <w:jc w:val="both"/>
        <w:rPr>
          <w:rFonts w:ascii="Times New Roman" w:hAnsi="Times New Roman"/>
          <w:noProof/>
          <w:sz w:val="24"/>
          <w:szCs w:val="24"/>
        </w:rPr>
      </w:pPr>
      <w:r>
        <w:rPr>
          <w:rFonts w:ascii="Times New Roman" w:hAnsi="Times New Roman"/>
          <w:noProof/>
          <w:sz w:val="24"/>
        </w:rPr>
        <w:t>6) La direttiva sulle armi da fuoco disciplina l'acquisizione, la detenzione e lo scambio commerciale all'interno dell'UE di armi da fuoco per uso civile (ad es. armi utiliz</w:t>
      </w:r>
      <w:r>
        <w:rPr>
          <w:rFonts w:ascii="Times New Roman" w:hAnsi="Times New Roman"/>
          <w:noProof/>
          <w:sz w:val="24"/>
        </w:rPr>
        <w:t>zate per il tiro sportivo e la caccia). Essa stabilisce norme minime comuni che gli Stati membri devono recepire nelle rispettive legislazioni nazionali sulle armi e intende raggiungere un equilibrio tra gli obiettivi del mercato interno (ossia la circolaz</w:t>
      </w:r>
      <w:r>
        <w:rPr>
          <w:rFonts w:ascii="Times New Roman" w:hAnsi="Times New Roman"/>
          <w:noProof/>
          <w:sz w:val="24"/>
        </w:rPr>
        <w:t>ione transfrontaliera delle armi da fuoco) e gli obiettivi di sicurezza (ossia un livello elevato di sicurezza e protezione dagli atti criminali e dal traffico illecito) all'interno dell'UE.</w:t>
      </w:r>
    </w:p>
    <w:p w:rsidR="00E777DA" w:rsidRDefault="00792AB2">
      <w:pPr>
        <w:jc w:val="both"/>
        <w:rPr>
          <w:rFonts w:ascii="Times New Roman" w:hAnsi="Times New Roman"/>
          <w:noProof/>
          <w:sz w:val="24"/>
          <w:szCs w:val="24"/>
        </w:rPr>
      </w:pPr>
      <w:r>
        <w:rPr>
          <w:rFonts w:ascii="Times New Roman" w:hAnsi="Times New Roman"/>
          <w:noProof/>
          <w:sz w:val="24"/>
        </w:rPr>
        <w:t>7) La direttiva 91/477/CEE era in origine una misura di accompagn</w:t>
      </w:r>
      <w:r>
        <w:rPr>
          <w:rFonts w:ascii="Times New Roman" w:hAnsi="Times New Roman"/>
          <w:noProof/>
          <w:sz w:val="24"/>
        </w:rPr>
        <w:t>amento per il completamento del mercato interno. Con l'abolizione dei controlli sulla detenzione di armi alle frontiere intracomunitarie è sorta la necessità di adottare norme efficaci che consentano di effettuare i controlli all'interno degli Stati membri</w:t>
      </w:r>
      <w:r>
        <w:rPr>
          <w:rFonts w:ascii="Times New Roman" w:hAnsi="Times New Roman"/>
          <w:noProof/>
          <w:sz w:val="24"/>
        </w:rPr>
        <w:t>. A tal fine la direttiva contempla norme sull'acquisizione e sulla detenzione di armi da fuoco e sui trasferimenti di armi da fuoco tra Stati membri. La direttiva lascia agli Stati membri la possibilità di adottare norme più rigorose di quelle che essa st</w:t>
      </w:r>
      <w:r>
        <w:rPr>
          <w:rFonts w:ascii="Times New Roman" w:hAnsi="Times New Roman"/>
          <w:noProof/>
          <w:sz w:val="24"/>
        </w:rPr>
        <w:t>abilisce (Articolo 3).</w:t>
      </w:r>
    </w:p>
    <w:p w:rsidR="00E777DA" w:rsidRDefault="00792AB2">
      <w:pPr>
        <w:jc w:val="both"/>
        <w:rPr>
          <w:rFonts w:ascii="Times New Roman" w:hAnsi="Times New Roman"/>
          <w:noProof/>
          <w:sz w:val="24"/>
          <w:szCs w:val="24"/>
        </w:rPr>
      </w:pPr>
      <w:r>
        <w:rPr>
          <w:rFonts w:ascii="Times New Roman" w:hAnsi="Times New Roman"/>
          <w:noProof/>
          <w:sz w:val="24"/>
        </w:rPr>
        <w:t>8) Nel 2000 la Commissione ha presentato al Parlamento europeo e al Consiglio una prima relazione di valutazione dell'applicazione della direttiva 91/477/CEE negli Stati membri</w:t>
      </w:r>
      <w:r>
        <w:rPr>
          <w:rStyle w:val="FootnoteReference"/>
          <w:rFonts w:ascii="Times New Roman" w:hAnsi="Times New Roman"/>
          <w:noProof/>
          <w:sz w:val="24"/>
        </w:rPr>
        <w:footnoteReference w:id="8"/>
      </w:r>
      <w:r>
        <w:rPr>
          <w:rFonts w:ascii="Times New Roman" w:hAnsi="Times New Roman"/>
          <w:noProof/>
          <w:sz w:val="24"/>
        </w:rPr>
        <w:t>. Secondo tale relazione Stati membri e parti interessate ritenevano che il quadro normativo creato dalla direttiva fosse nel complesso sufficiente. Si erano tuttavia identificati problemi cruciali connessi all'applicazione della direttiva a livello nazion</w:t>
      </w:r>
      <w:r>
        <w:rPr>
          <w:rFonts w:ascii="Times New Roman" w:hAnsi="Times New Roman"/>
          <w:noProof/>
          <w:sz w:val="24"/>
        </w:rPr>
        <w:t xml:space="preserve">ale, quali: difficoltà nello scambio di informazioni; disparità e complessità delle legislazioni nazionali, delle misure amministrative e delle procedure di autorizzazione, differenze nella classificazione delle armi da fuoco ad uso venatorio o sportivo e </w:t>
      </w:r>
      <w:r>
        <w:rPr>
          <w:rFonts w:ascii="Times New Roman" w:hAnsi="Times New Roman"/>
          <w:noProof/>
          <w:sz w:val="24"/>
        </w:rPr>
        <w:t>oneri amministrativi per le PMI.  Questo aveva dimostrato la necessità di chiarire determinate disposizioni (ad esempio definendo determinati tipi di armi, in particolare le armi disattivate e antiche) al fine di garantire un'applicazione più uniforme dell</w:t>
      </w:r>
      <w:r>
        <w:rPr>
          <w:rFonts w:ascii="Times New Roman" w:hAnsi="Times New Roman"/>
          <w:noProof/>
          <w:sz w:val="24"/>
        </w:rPr>
        <w:t xml:space="preserve">a direttiva. </w:t>
      </w:r>
    </w:p>
    <w:p w:rsidR="00E777DA" w:rsidRDefault="00792AB2">
      <w:pPr>
        <w:jc w:val="both"/>
        <w:rPr>
          <w:rFonts w:ascii="Times New Roman" w:hAnsi="Times New Roman"/>
          <w:noProof/>
          <w:sz w:val="24"/>
          <w:szCs w:val="24"/>
        </w:rPr>
      </w:pPr>
      <w:r>
        <w:rPr>
          <w:rFonts w:ascii="Times New Roman" w:hAnsi="Times New Roman"/>
          <w:noProof/>
          <w:sz w:val="24"/>
        </w:rPr>
        <w:t>9) La suddetta relazione era stata presentata mentre la Commissione stava negoziando a nome degli Stati membri dell'UE il protocollo delle Nazioni Unite contro la fabbricazione e il traffico illeciti di armi da fuoco</w:t>
      </w:r>
      <w:r>
        <w:rPr>
          <w:rStyle w:val="FootnoteReference"/>
          <w:rFonts w:ascii="Times New Roman" w:hAnsi="Times New Roman"/>
          <w:noProof/>
          <w:sz w:val="24"/>
        </w:rPr>
        <w:footnoteReference w:id="9"/>
      </w:r>
      <w:r>
        <w:rPr>
          <w:rFonts w:ascii="Times New Roman" w:hAnsi="Times New Roman"/>
          <w:noProof/>
          <w:sz w:val="24"/>
        </w:rPr>
        <w:t xml:space="preserve"> (UNFP) addizionale alla </w:t>
      </w:r>
      <w:r>
        <w:rPr>
          <w:rFonts w:ascii="Times New Roman" w:hAnsi="Times New Roman"/>
          <w:noProof/>
          <w:sz w:val="24"/>
        </w:rPr>
        <w:t>convenzione delle Nazioni Unite contro la criminalità organizzata transnazionale. Il protocollo avrebbe prescritto nuove norme riguardanti in particolare la tracciabilità (ad esempio la marcatura e la registrazione delle informazioni) e la disattivazione d</w:t>
      </w:r>
      <w:r>
        <w:rPr>
          <w:rFonts w:ascii="Times New Roman" w:hAnsi="Times New Roman"/>
          <w:noProof/>
          <w:sz w:val="24"/>
        </w:rPr>
        <w:t>elle armi da fuoco. La relazione giungeva quindi alla conclusione che la Commissione avrebbe presentato adeguate proposte di modifica, in funzione della situazione negoziale dell'UNFP e del feedback sulla direttiva di tutte le parti interessate.</w:t>
      </w:r>
    </w:p>
    <w:p w:rsidR="00E777DA" w:rsidRDefault="00792AB2">
      <w:pPr>
        <w:jc w:val="both"/>
        <w:rPr>
          <w:rFonts w:ascii="Times New Roman" w:hAnsi="Times New Roman"/>
          <w:noProof/>
          <w:sz w:val="24"/>
          <w:szCs w:val="24"/>
        </w:rPr>
      </w:pPr>
      <w:r>
        <w:rPr>
          <w:rFonts w:ascii="Times New Roman" w:hAnsi="Times New Roman"/>
          <w:noProof/>
          <w:sz w:val="24"/>
        </w:rPr>
        <w:t>10) In seg</w:t>
      </w:r>
      <w:r>
        <w:rPr>
          <w:rFonts w:ascii="Times New Roman" w:hAnsi="Times New Roman"/>
          <w:noProof/>
          <w:sz w:val="24"/>
        </w:rPr>
        <w:t>uito all'entrata in vigore dell'UNFP nel 2005</w:t>
      </w:r>
      <w:r>
        <w:rPr>
          <w:rStyle w:val="FootnoteReference"/>
          <w:rFonts w:ascii="Times New Roman" w:hAnsi="Times New Roman"/>
          <w:noProof/>
          <w:sz w:val="24"/>
        </w:rPr>
        <w:footnoteReference w:id="10"/>
      </w:r>
      <w:r>
        <w:rPr>
          <w:rFonts w:ascii="Times New Roman" w:hAnsi="Times New Roman"/>
          <w:noProof/>
          <w:sz w:val="24"/>
        </w:rPr>
        <w:t xml:space="preserve"> la direttiva 91/477/CEE è stata modificata dalla direttiva 2008/51/CE al fine di potenziare gli aspetti relativi alla sicurezza allineandoli parzialmente all'UNFP. La direttiva sulle armi da fuoco rientra in u</w:t>
      </w:r>
      <w:r>
        <w:rPr>
          <w:rFonts w:ascii="Times New Roman" w:hAnsi="Times New Roman"/>
          <w:noProof/>
          <w:sz w:val="24"/>
        </w:rPr>
        <w:t>na serie di iniziative adottate a livello internazionale e dell'UE per attuare l'UNFP. Le pertinenti disposizioni sono state recepite nella legislazione europea con il regolamento n. 258/2012</w:t>
      </w:r>
      <w:r>
        <w:rPr>
          <w:rStyle w:val="FootnoteReference"/>
          <w:rFonts w:ascii="Times New Roman" w:hAnsi="Times New Roman"/>
          <w:noProof/>
          <w:sz w:val="24"/>
        </w:rPr>
        <w:footnoteReference w:id="11"/>
      </w:r>
      <w:r>
        <w:rPr>
          <w:rFonts w:ascii="Times New Roman" w:hAnsi="Times New Roman"/>
          <w:noProof/>
          <w:sz w:val="24"/>
        </w:rPr>
        <w:t>, che istituisce norme sull'autorizzazione dell'esportazione, de</w:t>
      </w:r>
      <w:r>
        <w:rPr>
          <w:rFonts w:ascii="Times New Roman" w:hAnsi="Times New Roman"/>
          <w:noProof/>
          <w:sz w:val="24"/>
        </w:rPr>
        <w:t>ll'importazione e del transito di armi da fuoco non militari provenienti da paesi terzi o dirette verso paesi terzi</w:t>
      </w:r>
      <w:r>
        <w:rPr>
          <w:rStyle w:val="FootnoteReference"/>
          <w:rFonts w:ascii="Times New Roman" w:hAnsi="Times New Roman"/>
          <w:noProof/>
          <w:sz w:val="24"/>
        </w:rPr>
        <w:footnoteReference w:id="12"/>
      </w:r>
      <w:r>
        <w:rPr>
          <w:rFonts w:ascii="Times New Roman" w:hAnsi="Times New Roman"/>
          <w:noProof/>
          <w:sz w:val="24"/>
        </w:rPr>
        <w:t xml:space="preserve">. </w:t>
      </w:r>
    </w:p>
    <w:p w:rsidR="00E777DA" w:rsidRDefault="00792AB2">
      <w:pPr>
        <w:jc w:val="both"/>
        <w:rPr>
          <w:rFonts w:ascii="Times New Roman" w:hAnsi="Times New Roman"/>
          <w:noProof/>
          <w:sz w:val="24"/>
          <w:szCs w:val="24"/>
        </w:rPr>
      </w:pPr>
      <w:r>
        <w:rPr>
          <w:rFonts w:ascii="Times New Roman" w:hAnsi="Times New Roman"/>
          <w:noProof/>
          <w:sz w:val="24"/>
        </w:rPr>
        <w:t>11) I principi che guidano l'intervento della Commissione europea per gestire e ridurre i rischi connessi alle armi da fuoco ad uso civil</w:t>
      </w:r>
      <w:r>
        <w:rPr>
          <w:rFonts w:ascii="Times New Roman" w:hAnsi="Times New Roman"/>
          <w:noProof/>
          <w:sz w:val="24"/>
        </w:rPr>
        <w:t>e figurano in una strategia generale - Comunicazione "Le armi da fuoco e la sicurezza interna dell'UE: proteggere i cittadini e smantellare il traffico illecito"</w:t>
      </w:r>
      <w:r>
        <w:rPr>
          <w:rFonts w:ascii="Times New Roman" w:hAnsi="Times New Roman"/>
          <w:noProof/>
          <w:sz w:val="24"/>
        </w:rPr>
        <w:footnoteReference w:id="13"/>
      </w:r>
      <w:r>
        <w:rPr>
          <w:rFonts w:ascii="Times New Roman" w:hAnsi="Times New Roman"/>
          <w:noProof/>
          <w:sz w:val="24"/>
        </w:rPr>
        <w:t>- pubblicata nell'ottobre 2013. La comunicazione propone misure volte ad aumentare la sicurezz</w:t>
      </w:r>
      <w:r>
        <w:rPr>
          <w:rFonts w:ascii="Times New Roman" w:hAnsi="Times New Roman"/>
          <w:noProof/>
          <w:sz w:val="24"/>
        </w:rPr>
        <w:t xml:space="preserve">a dei cittadini dell'UE in relazione alle armi da fuoco e a salvaguardare il mercato legale delle armi. Le iniziative successive riguardanti le armi da fuoco sono state presentate nella recente comunicazione della Commissione "Agenda europea in materia di </w:t>
      </w:r>
      <w:r>
        <w:rPr>
          <w:rFonts w:ascii="Times New Roman" w:hAnsi="Times New Roman"/>
          <w:noProof/>
          <w:sz w:val="24"/>
        </w:rPr>
        <w:t>sicurezza"</w:t>
      </w:r>
      <w:r>
        <w:rPr>
          <w:rFonts w:ascii="Times New Roman" w:hAnsi="Times New Roman"/>
          <w:noProof/>
          <w:sz w:val="24"/>
        </w:rPr>
        <w:footnoteReference w:id="14"/>
      </w:r>
      <w:r>
        <w:rPr>
          <w:rFonts w:ascii="Times New Roman" w:hAnsi="Times New Roman"/>
          <w:noProof/>
          <w:sz w:val="24"/>
        </w:rPr>
        <w:t xml:space="preserve"> che sottolinea l'assoluta priorità di arrivare ad una strategia comune sulla disattivazione delle armi da fuoco per impedirne la riattivazione e l'uso da parte dei criminali. La comunicazione raccomandava anche di rivedere nel corso del 2016 la</w:t>
      </w:r>
      <w:r>
        <w:rPr>
          <w:rFonts w:ascii="Times New Roman" w:hAnsi="Times New Roman"/>
          <w:noProof/>
          <w:sz w:val="24"/>
        </w:rPr>
        <w:t xml:space="preserve"> legislazione vigente sulle armi da fuoco, per migliorare la condivisione delle informazioni (ad es. caricando le informazioni sulle armi confiscate nel sistema di informazioni di Europol), potenziare la tracciabilità, standardizzare la marcatura e stabili</w:t>
      </w:r>
      <w:r>
        <w:rPr>
          <w:rFonts w:ascii="Times New Roman" w:hAnsi="Times New Roman"/>
          <w:noProof/>
          <w:sz w:val="24"/>
        </w:rPr>
        <w:t>re norme comuni per la disattivazione di tali armi. In seguito ai tragici avvenimenti di Parigi del 13 novembre 2015 la Commissione ha deciso di anticipare la revisione della suddetta direttiva, che propone di adottare unitamente alla presente relazione. L</w:t>
      </w:r>
      <w:r>
        <w:rPr>
          <w:rFonts w:ascii="Times New Roman" w:hAnsi="Times New Roman"/>
          <w:noProof/>
          <w:sz w:val="24"/>
        </w:rPr>
        <w:t>a presene relazione fornisce elementi di prova a sostegno di tali iniziative.</w:t>
      </w:r>
    </w:p>
    <w:p w:rsidR="00E777DA" w:rsidRDefault="00792AB2">
      <w:pPr>
        <w:pStyle w:val="Heading1"/>
        <w:rPr>
          <w:rFonts w:ascii="Times New Roman" w:hAnsi="Times New Roman"/>
          <w:noProof/>
          <w:sz w:val="24"/>
        </w:rPr>
      </w:pPr>
      <w:r>
        <w:rPr>
          <w:rFonts w:ascii="Times New Roman" w:hAnsi="Times New Roman"/>
          <w:noProof/>
          <w:sz w:val="24"/>
        </w:rPr>
        <w:t>3. Disposizioni principali della direttiva sulle armi da fuoco</w:t>
      </w:r>
    </w:p>
    <w:p w:rsidR="00E777DA" w:rsidRDefault="00792AB2">
      <w:pPr>
        <w:jc w:val="both"/>
        <w:rPr>
          <w:rFonts w:ascii="Times New Roman" w:hAnsi="Times New Roman"/>
          <w:noProof/>
          <w:sz w:val="24"/>
          <w:szCs w:val="24"/>
        </w:rPr>
      </w:pPr>
      <w:r>
        <w:rPr>
          <w:rFonts w:ascii="Times New Roman" w:hAnsi="Times New Roman"/>
          <w:noProof/>
          <w:sz w:val="24"/>
        </w:rPr>
        <w:t>12) I due obiettivi principali della direttiva sulle armi da fuoco consistono nel garantire il corretto funzionamen</w:t>
      </w:r>
      <w:r>
        <w:rPr>
          <w:rFonts w:ascii="Times New Roman" w:hAnsi="Times New Roman"/>
          <w:noProof/>
          <w:sz w:val="24"/>
        </w:rPr>
        <w:t>to del mercato interno e un livello elevato di sicurezza nell'UE. La direttiva stabilisce determinate prescrizioni minime</w:t>
      </w:r>
      <w:r>
        <w:rPr>
          <w:rStyle w:val="FootnoteReference"/>
          <w:rFonts w:ascii="Times New Roman" w:hAnsi="Times New Roman"/>
          <w:noProof/>
          <w:sz w:val="24"/>
        </w:rPr>
        <w:footnoteReference w:id="15"/>
      </w:r>
      <w:r>
        <w:rPr>
          <w:rFonts w:ascii="Times New Roman" w:hAnsi="Times New Roman"/>
          <w:noProof/>
          <w:sz w:val="24"/>
        </w:rPr>
        <w:t xml:space="preserve"> sull'acquisizione e la detenzione di armi da fuoco ad uso civile nell'UE e misure amministrative armonizzate per il trasferimento di </w:t>
      </w:r>
      <w:r>
        <w:rPr>
          <w:rFonts w:ascii="Times New Roman" w:hAnsi="Times New Roman"/>
          <w:noProof/>
          <w:sz w:val="24"/>
        </w:rPr>
        <w:t>armi da fuoco all'interno dell'UE.</w:t>
      </w:r>
    </w:p>
    <w:p w:rsidR="00E777DA" w:rsidRDefault="00792AB2">
      <w:pPr>
        <w:jc w:val="both"/>
        <w:rPr>
          <w:rFonts w:ascii="Times New Roman" w:hAnsi="Times New Roman"/>
          <w:noProof/>
          <w:sz w:val="24"/>
          <w:szCs w:val="24"/>
        </w:rPr>
      </w:pPr>
      <w:r>
        <w:rPr>
          <w:rFonts w:ascii="Times New Roman" w:hAnsi="Times New Roman"/>
          <w:noProof/>
          <w:sz w:val="24"/>
        </w:rPr>
        <w:t>13) Il campo d'applicazione della direttiva è descritto nel suo allegato I, in cui le categorie di armi da fuoco corrispondenti ai diversi regimi di applicazione sono definite nel modo seguente:</w:t>
      </w:r>
    </w:p>
    <w:p w:rsidR="00E777DA" w:rsidRDefault="00792AB2">
      <w:pPr>
        <w:pStyle w:val="Body"/>
        <w:numPr>
          <w:ilvl w:val="0"/>
          <w:numId w:val="1"/>
        </w:numPr>
        <w:rPr>
          <w:rFonts w:ascii="Times New Roman" w:hAnsi="Times New Roman"/>
          <w:noProof/>
          <w:sz w:val="24"/>
          <w:szCs w:val="24"/>
        </w:rPr>
      </w:pPr>
      <w:r>
        <w:rPr>
          <w:rFonts w:ascii="Times New Roman" w:hAnsi="Times New Roman"/>
          <w:noProof/>
          <w:sz w:val="24"/>
        </w:rPr>
        <w:t>"categoria A, costituita d</w:t>
      </w:r>
      <w:r>
        <w:rPr>
          <w:rFonts w:ascii="Times New Roman" w:hAnsi="Times New Roman"/>
          <w:noProof/>
          <w:sz w:val="24"/>
        </w:rPr>
        <w:t xml:space="preserve">a armi da fuoco proibite - armi automatiche e armi da guerra";  </w:t>
      </w:r>
    </w:p>
    <w:p w:rsidR="00E777DA" w:rsidRDefault="00792AB2">
      <w:pPr>
        <w:pStyle w:val="Body"/>
        <w:numPr>
          <w:ilvl w:val="0"/>
          <w:numId w:val="1"/>
        </w:numPr>
        <w:rPr>
          <w:rFonts w:ascii="Times New Roman" w:hAnsi="Times New Roman"/>
          <w:noProof/>
          <w:sz w:val="24"/>
          <w:szCs w:val="24"/>
        </w:rPr>
      </w:pPr>
      <w:r>
        <w:rPr>
          <w:rFonts w:ascii="Times New Roman" w:hAnsi="Times New Roman"/>
          <w:noProof/>
          <w:sz w:val="24"/>
        </w:rPr>
        <w:t xml:space="preserve">"categoria B, comprendente armi da fuoco soggette ad autorizzazione - utilizzate principalmente da tiratori sportivi e cacciatori"; </w:t>
      </w:r>
    </w:p>
    <w:p w:rsidR="00E777DA" w:rsidRDefault="00792AB2">
      <w:pPr>
        <w:pStyle w:val="Body"/>
        <w:numPr>
          <w:ilvl w:val="0"/>
          <w:numId w:val="1"/>
        </w:numPr>
        <w:rPr>
          <w:rFonts w:ascii="Times New Roman" w:hAnsi="Times New Roman"/>
          <w:noProof/>
          <w:sz w:val="24"/>
          <w:szCs w:val="24"/>
        </w:rPr>
      </w:pPr>
      <w:r>
        <w:rPr>
          <w:rFonts w:ascii="Times New Roman" w:hAnsi="Times New Roman"/>
          <w:noProof/>
          <w:sz w:val="24"/>
        </w:rPr>
        <w:t>"categoria C, comprendente armi da fuoco soggette a dichia</w:t>
      </w:r>
      <w:r>
        <w:rPr>
          <w:rFonts w:ascii="Times New Roman" w:hAnsi="Times New Roman"/>
          <w:noProof/>
          <w:sz w:val="24"/>
        </w:rPr>
        <w:t xml:space="preserve">razione - essenzialmente armi da fuoco usate dai cacciatori"; </w:t>
      </w:r>
    </w:p>
    <w:p w:rsidR="00E777DA" w:rsidRDefault="00792AB2">
      <w:pPr>
        <w:pStyle w:val="Body"/>
        <w:numPr>
          <w:ilvl w:val="0"/>
          <w:numId w:val="1"/>
        </w:numPr>
        <w:rPr>
          <w:rFonts w:ascii="Times New Roman" w:hAnsi="Times New Roman"/>
          <w:noProof/>
          <w:sz w:val="24"/>
          <w:szCs w:val="24"/>
        </w:rPr>
      </w:pPr>
      <w:r>
        <w:rPr>
          <w:rFonts w:ascii="Times New Roman" w:hAnsi="Times New Roman"/>
          <w:noProof/>
          <w:sz w:val="24"/>
        </w:rPr>
        <w:t>"categoria D, per le altre armi da fuoco - riguarda prevalentemente le armi da fuoco lunghe a colpo singolo a canna liscia".</w:t>
      </w:r>
    </w:p>
    <w:p w:rsidR="00E777DA" w:rsidRDefault="00E777DA">
      <w:pPr>
        <w:pStyle w:val="Body"/>
        <w:ind w:left="720"/>
        <w:rPr>
          <w:rFonts w:ascii="Times New Roman" w:hAnsi="Times New Roman"/>
          <w:noProof/>
          <w:sz w:val="24"/>
          <w:szCs w:val="24"/>
        </w:rPr>
      </w:pPr>
    </w:p>
    <w:p w:rsidR="00E777DA" w:rsidRDefault="00792AB2">
      <w:pPr>
        <w:pStyle w:val="Body"/>
        <w:rPr>
          <w:rFonts w:ascii="Times New Roman" w:hAnsi="Times New Roman"/>
          <w:noProof/>
          <w:sz w:val="24"/>
          <w:szCs w:val="24"/>
        </w:rPr>
      </w:pPr>
      <w:r>
        <w:rPr>
          <w:rFonts w:ascii="Times New Roman" w:hAnsi="Times New Roman"/>
          <w:noProof/>
          <w:sz w:val="24"/>
        </w:rPr>
        <w:t xml:space="preserve">14) Le disposizioni principali della direttiva sulle armi da fuoco </w:t>
      </w:r>
      <w:r>
        <w:rPr>
          <w:rFonts w:ascii="Times New Roman" w:hAnsi="Times New Roman"/>
          <w:noProof/>
          <w:sz w:val="24"/>
        </w:rPr>
        <w:t>riguardano:</w:t>
      </w:r>
    </w:p>
    <w:p w:rsidR="00E777DA" w:rsidRDefault="00792AB2">
      <w:pPr>
        <w:numPr>
          <w:ilvl w:val="0"/>
          <w:numId w:val="2"/>
        </w:numPr>
        <w:jc w:val="both"/>
        <w:rPr>
          <w:rFonts w:ascii="Times New Roman" w:hAnsi="Times New Roman"/>
          <w:noProof/>
          <w:sz w:val="24"/>
          <w:szCs w:val="24"/>
        </w:rPr>
      </w:pPr>
      <w:r>
        <w:rPr>
          <w:rFonts w:ascii="Times New Roman" w:hAnsi="Times New Roman"/>
          <w:b/>
          <w:noProof/>
          <w:sz w:val="24"/>
        </w:rPr>
        <w:t>Marcatura e tracciabilità (Articolo 4)</w:t>
      </w:r>
      <w:r>
        <w:rPr>
          <w:rFonts w:ascii="Times New Roman" w:hAnsi="Times New Roman"/>
          <w:noProof/>
          <w:sz w:val="24"/>
        </w:rPr>
        <w:t xml:space="preserve"> Gli Stati membri garantiscono che le armi da fuoco o le loro parti immesse sul mercato siano state provviste di marcatura e registrate. A tal fine gli SM esigono una marcatura unica o mantengono qualsiasi </w:t>
      </w:r>
      <w:r>
        <w:rPr>
          <w:rFonts w:ascii="Times New Roman" w:hAnsi="Times New Roman"/>
          <w:noProof/>
          <w:sz w:val="24"/>
        </w:rPr>
        <w:t>marcatura alternativa comprendente un numero o codice alfanumerico atto a consentire l'identificazione del paese di fabbricazione. La marcatura è apposta su una parte essenziale dell'arma da fuoco, la cui distruzione renderebbe l'arma inutilizzabile. La di</w:t>
      </w:r>
      <w:r>
        <w:rPr>
          <w:rFonts w:ascii="Times New Roman" w:hAnsi="Times New Roman"/>
          <w:noProof/>
          <w:sz w:val="24"/>
        </w:rPr>
        <w:t>rettiva modificata comprende anche disposizioni sull'introduzione di archivi nazionali computerizzati al fine di migliorare la tracciabilità delle armi da fuoco. In detti archivi saranno registrate le informazioni più importanti relative a tutte le armi da</w:t>
      </w:r>
      <w:r>
        <w:rPr>
          <w:rFonts w:ascii="Times New Roman" w:hAnsi="Times New Roman"/>
          <w:noProof/>
          <w:sz w:val="24"/>
        </w:rPr>
        <w:t xml:space="preserve"> fuoco che circolano negli SM; essi avrebbero dovuto essere costituiti in tutti gli SM entro il 31 dicembre 2014.</w:t>
      </w:r>
    </w:p>
    <w:p w:rsidR="00E777DA" w:rsidRDefault="00792AB2">
      <w:pPr>
        <w:numPr>
          <w:ilvl w:val="0"/>
          <w:numId w:val="2"/>
        </w:numPr>
        <w:spacing w:after="0"/>
        <w:ind w:left="714" w:hanging="357"/>
        <w:jc w:val="both"/>
        <w:rPr>
          <w:rFonts w:ascii="Times New Roman" w:hAnsi="Times New Roman"/>
          <w:noProof/>
          <w:sz w:val="24"/>
          <w:szCs w:val="24"/>
        </w:rPr>
      </w:pPr>
      <w:r>
        <w:rPr>
          <w:rFonts w:ascii="Times New Roman" w:hAnsi="Times New Roman"/>
          <w:b/>
          <w:noProof/>
          <w:sz w:val="24"/>
        </w:rPr>
        <w:t>Prescrizioni sull'acquisizione e la detenzione di armi da fuoco (Articolo 5)</w:t>
      </w:r>
      <w:r>
        <w:rPr>
          <w:rFonts w:ascii="Times New Roman" w:hAnsi="Times New Roman"/>
          <w:noProof/>
          <w:sz w:val="24"/>
        </w:rPr>
        <w:t xml:space="preserve"> Gli Stati membri autorizzano l'acquisizione e la detenzione di armi da fuoco soltanto a persone che abbiano un motivo valido e che: </w:t>
      </w:r>
    </w:p>
    <w:p w:rsidR="00E777DA" w:rsidRDefault="00792AB2">
      <w:pPr>
        <w:numPr>
          <w:ilvl w:val="1"/>
          <w:numId w:val="2"/>
        </w:numPr>
        <w:spacing w:after="0"/>
        <w:ind w:left="1434" w:hanging="357"/>
        <w:jc w:val="both"/>
        <w:rPr>
          <w:rFonts w:ascii="Times New Roman" w:hAnsi="Times New Roman"/>
          <w:noProof/>
          <w:sz w:val="24"/>
          <w:szCs w:val="24"/>
        </w:rPr>
      </w:pPr>
      <w:r>
        <w:rPr>
          <w:rFonts w:ascii="Times New Roman" w:hAnsi="Times New Roman"/>
          <w:noProof/>
          <w:sz w:val="24"/>
        </w:rPr>
        <w:t>abbiano almeno 18 anni, tranne che per l'acquisizione, con mezzi diversi dall'acquisto, e la detenzione di armi da fuoco p</w:t>
      </w:r>
      <w:r>
        <w:rPr>
          <w:rFonts w:ascii="Times New Roman" w:hAnsi="Times New Roman"/>
          <w:noProof/>
          <w:sz w:val="24"/>
        </w:rPr>
        <w:t>er la pratica della caccia e del tiro sportivo, purché i minori di 18 anni abbiano l'autorizzazione parentale oppure siano sotto la guida parentale o di un adulto titolare di una licenza di porto d'armi o di caccia in corso di validità, oppure facciano par</w:t>
      </w:r>
      <w:r>
        <w:rPr>
          <w:rFonts w:ascii="Times New Roman" w:hAnsi="Times New Roman"/>
          <w:noProof/>
          <w:sz w:val="24"/>
        </w:rPr>
        <w:t xml:space="preserve">te di un centro di addestramento autorizzato o diversamente abilitato; </w:t>
      </w:r>
    </w:p>
    <w:p w:rsidR="00E777DA" w:rsidRDefault="00792AB2">
      <w:pPr>
        <w:numPr>
          <w:ilvl w:val="1"/>
          <w:numId w:val="2"/>
        </w:numPr>
        <w:jc w:val="both"/>
        <w:rPr>
          <w:rFonts w:ascii="Times New Roman" w:hAnsi="Times New Roman"/>
          <w:noProof/>
          <w:sz w:val="24"/>
          <w:szCs w:val="24"/>
        </w:rPr>
      </w:pPr>
      <w:r>
        <w:rPr>
          <w:rFonts w:ascii="Times New Roman" w:hAnsi="Times New Roman"/>
          <w:noProof/>
          <w:sz w:val="24"/>
        </w:rPr>
        <w:t xml:space="preserve">non possano verosimilmente costituire un pericolo per sé stesse, per l'ordine pubblico o la pubblica sicurezza. La condanna per un reato doloso violento è considerata indicativa di un </w:t>
      </w:r>
      <w:r>
        <w:rPr>
          <w:rFonts w:ascii="Times New Roman" w:hAnsi="Times New Roman"/>
          <w:noProof/>
          <w:sz w:val="24"/>
        </w:rPr>
        <w:t>tale pericolo.</w:t>
      </w:r>
    </w:p>
    <w:p w:rsidR="00E777DA" w:rsidRDefault="00792AB2">
      <w:pPr>
        <w:numPr>
          <w:ilvl w:val="0"/>
          <w:numId w:val="2"/>
        </w:numPr>
        <w:jc w:val="both"/>
        <w:rPr>
          <w:rFonts w:ascii="Times New Roman" w:hAnsi="Times New Roman"/>
          <w:noProof/>
          <w:sz w:val="24"/>
          <w:szCs w:val="24"/>
        </w:rPr>
      </w:pPr>
      <w:r>
        <w:rPr>
          <w:rFonts w:ascii="Times New Roman" w:hAnsi="Times New Roman"/>
          <w:b/>
          <w:noProof/>
          <w:sz w:val="24"/>
        </w:rPr>
        <w:t xml:space="preserve">Carta europea d'arma da fuoco (Articolo 12) </w:t>
      </w:r>
      <w:r>
        <w:rPr>
          <w:rFonts w:ascii="Times New Roman" w:hAnsi="Times New Roman"/>
          <w:noProof/>
          <w:sz w:val="24"/>
        </w:rPr>
        <w:t>La direttiva ha introdotto norme più flessibili per le armi utilizzate per la caccia e il tiro sportivo al fine di non ostacolare la loro circolazione tra gli SM. Con l'introduzione della carta eur</w:t>
      </w:r>
      <w:r>
        <w:rPr>
          <w:rFonts w:ascii="Times New Roman" w:hAnsi="Times New Roman"/>
          <w:noProof/>
          <w:sz w:val="24"/>
        </w:rPr>
        <w:t xml:space="preserve">opea d'arma da fuoco, i cacciatori con armi da fuoco delle categorie C e D e i tiratori sportivi con armi da fuoco delle categorie B, C, e D possono recarsi in un altro SM senza autorizzazione preventiva da parte dello SM di destinazione. La carta europea </w:t>
      </w:r>
      <w:r>
        <w:rPr>
          <w:rFonts w:ascii="Times New Roman" w:hAnsi="Times New Roman"/>
          <w:noProof/>
          <w:sz w:val="24"/>
        </w:rPr>
        <w:t>dovrebbe essere considerata il principale documento necessario per i cacciatori e i tiratori sportivi e gli SM non dovrebbero subordinarne l'accettazione al pagamento di diritti o oneri.</w:t>
      </w:r>
    </w:p>
    <w:p w:rsidR="00E777DA" w:rsidRDefault="00792AB2">
      <w:pPr>
        <w:numPr>
          <w:ilvl w:val="0"/>
          <w:numId w:val="2"/>
        </w:numPr>
        <w:jc w:val="both"/>
        <w:rPr>
          <w:rFonts w:ascii="Times New Roman" w:hAnsi="Times New Roman"/>
          <w:noProof/>
          <w:sz w:val="24"/>
          <w:szCs w:val="24"/>
        </w:rPr>
      </w:pPr>
      <w:r>
        <w:rPr>
          <w:rFonts w:ascii="Times New Roman" w:hAnsi="Times New Roman"/>
          <w:b/>
          <w:noProof/>
          <w:sz w:val="24"/>
        </w:rPr>
        <w:t>Disattivazione (Allegato I, sezione III)</w:t>
      </w:r>
      <w:r>
        <w:rPr>
          <w:noProof/>
        </w:rPr>
        <w:br/>
      </w:r>
      <w:r>
        <w:rPr>
          <w:rFonts w:ascii="Times New Roman" w:hAnsi="Times New Roman"/>
          <w:noProof/>
          <w:sz w:val="24"/>
        </w:rPr>
        <w:t>La direttiva sulle armi da f</w:t>
      </w:r>
      <w:r>
        <w:rPr>
          <w:rFonts w:ascii="Times New Roman" w:hAnsi="Times New Roman"/>
          <w:noProof/>
          <w:sz w:val="24"/>
        </w:rPr>
        <w:t>uoco stabilisce restrizioni minime e contempla l'obbligo, per gli SM, di adottare disposizioni che prevedano la verifica della disattivazione da parte di un'autorità competente. Tale autorità garantisce che le procedure nazionali per la disattivazione dell</w:t>
      </w:r>
      <w:r>
        <w:rPr>
          <w:rFonts w:ascii="Times New Roman" w:hAnsi="Times New Roman"/>
          <w:noProof/>
          <w:sz w:val="24"/>
        </w:rPr>
        <w:t>e armi da fuoco rendano tali armi permanentemente disattivate. Come richiesto dai colegislatori al momento della modifica, l'allegato I, punto III, lettera a) recita "La Commissione [...] pubblica orientamenti comuni sulle norme e sulle tecniche di disatti</w:t>
      </w:r>
      <w:r>
        <w:rPr>
          <w:rFonts w:ascii="Times New Roman" w:hAnsi="Times New Roman"/>
          <w:noProof/>
          <w:sz w:val="24"/>
        </w:rPr>
        <w:t>vazione, al fine di garantire che le armi da fuoco disattivate siano rese irreversibilmente inutilizzabili." Finché non saranno adottati i suddetti orientamenti comuni sulla disattivazione, gli SM adottano le procedure più appropriate a questo proposito.</w:t>
      </w:r>
    </w:p>
    <w:p w:rsidR="00E777DA" w:rsidRDefault="00792AB2">
      <w:pPr>
        <w:jc w:val="both"/>
        <w:rPr>
          <w:rFonts w:ascii="Times New Roman" w:hAnsi="Times New Roman"/>
          <w:noProof/>
          <w:sz w:val="24"/>
          <w:szCs w:val="24"/>
        </w:rPr>
      </w:pPr>
      <w:r>
        <w:rPr>
          <w:rFonts w:ascii="Times New Roman" w:hAnsi="Times New Roman"/>
          <w:noProof/>
          <w:sz w:val="24"/>
        </w:rPr>
        <w:t>1</w:t>
      </w:r>
      <w:r>
        <w:rPr>
          <w:rFonts w:ascii="Times New Roman" w:hAnsi="Times New Roman"/>
          <w:noProof/>
          <w:sz w:val="24"/>
        </w:rPr>
        <w:t>5) Infine, l'articolo 17 della direttiva sulle armi da fuoco prescrive che la Commissione presenti, entro il 28 luglio 2015, una relazione in merito alla situazione risultante dall'applicazione della direttiva. Nel rispetto delle disposizioni della diretti</w:t>
      </w:r>
      <w:r>
        <w:rPr>
          <w:rFonts w:ascii="Times New Roman" w:hAnsi="Times New Roman"/>
          <w:noProof/>
          <w:sz w:val="24"/>
        </w:rPr>
        <w:t>va, nel 2014 la Commissione ha avviato uno studio di 12 mesi per valutare le modalità di applicazione della direttiva sulle armi da fuoco e della successiva modifica e in che misura tale quadro normativo abbia conseguito i due obiettivi generali di garanti</w:t>
      </w:r>
      <w:r>
        <w:rPr>
          <w:rFonts w:ascii="Times New Roman" w:hAnsi="Times New Roman"/>
          <w:noProof/>
          <w:sz w:val="24"/>
        </w:rPr>
        <w:t xml:space="preserve">re il corretto funzionamento del mercato interno e ottenere un livello elevato di sicurezza all'interno dell'UE. </w:t>
      </w:r>
    </w:p>
    <w:p w:rsidR="00E777DA" w:rsidRDefault="00792AB2">
      <w:pPr>
        <w:pStyle w:val="Heading1"/>
        <w:rPr>
          <w:rFonts w:ascii="Times New Roman" w:hAnsi="Times New Roman"/>
          <w:noProof/>
          <w:sz w:val="24"/>
          <w:szCs w:val="24"/>
        </w:rPr>
      </w:pPr>
      <w:r>
        <w:rPr>
          <w:rFonts w:ascii="Times New Roman" w:hAnsi="Times New Roman"/>
          <w:noProof/>
          <w:sz w:val="24"/>
        </w:rPr>
        <w:t>4. Metodologia della valutazione</w:t>
      </w:r>
    </w:p>
    <w:p w:rsidR="00E777DA" w:rsidRDefault="00792AB2">
      <w:pPr>
        <w:jc w:val="both"/>
        <w:rPr>
          <w:rFonts w:ascii="Times New Roman" w:hAnsi="Times New Roman"/>
          <w:noProof/>
          <w:sz w:val="24"/>
          <w:szCs w:val="24"/>
        </w:rPr>
      </w:pPr>
      <w:r>
        <w:rPr>
          <w:rFonts w:ascii="Times New Roman" w:hAnsi="Times New Roman"/>
          <w:noProof/>
          <w:sz w:val="24"/>
        </w:rPr>
        <w:t xml:space="preserve">16) Lo studio di valutazione di un anno è stato effettuato al fine di analizzare i risultati degli obiettivi </w:t>
      </w:r>
      <w:r>
        <w:rPr>
          <w:rFonts w:ascii="Times New Roman" w:hAnsi="Times New Roman"/>
          <w:noProof/>
          <w:sz w:val="24"/>
        </w:rPr>
        <w:t>della direttiva (corretto funzionamento del mercato interno e livello elevato di sicurezza) in base a cinque criteri di valutazione:</w:t>
      </w:r>
    </w:p>
    <w:p w:rsidR="00E777DA" w:rsidRDefault="00792AB2">
      <w:pPr>
        <w:numPr>
          <w:ilvl w:val="0"/>
          <w:numId w:val="3"/>
        </w:numPr>
        <w:rPr>
          <w:rFonts w:ascii="Times New Roman" w:hAnsi="Times New Roman"/>
          <w:noProof/>
          <w:sz w:val="24"/>
          <w:szCs w:val="24"/>
        </w:rPr>
      </w:pPr>
      <w:r>
        <w:rPr>
          <w:rFonts w:ascii="Times New Roman" w:hAnsi="Times New Roman"/>
          <w:noProof/>
          <w:sz w:val="24"/>
        </w:rPr>
        <w:t>efficacia: in che misura le disposizioni hanno contribuito al conseguimento degli obiettivi;</w:t>
      </w:r>
    </w:p>
    <w:p w:rsidR="00E777DA" w:rsidRDefault="00792AB2">
      <w:pPr>
        <w:numPr>
          <w:ilvl w:val="0"/>
          <w:numId w:val="3"/>
        </w:numPr>
        <w:rPr>
          <w:rFonts w:ascii="Times New Roman" w:hAnsi="Times New Roman"/>
          <w:noProof/>
          <w:sz w:val="24"/>
          <w:szCs w:val="24"/>
        </w:rPr>
      </w:pPr>
      <w:r>
        <w:rPr>
          <w:rFonts w:ascii="Times New Roman" w:hAnsi="Times New Roman"/>
          <w:noProof/>
          <w:sz w:val="24"/>
        </w:rPr>
        <w:t xml:space="preserve">efficienza: delle procedure e </w:t>
      </w:r>
      <w:r>
        <w:rPr>
          <w:rFonts w:ascii="Times New Roman" w:hAnsi="Times New Roman"/>
          <w:noProof/>
          <w:sz w:val="24"/>
        </w:rPr>
        <w:t>degli obblighi introdotti dalla direttiva, ovvero se i risultati (vantaggi) sono stati ottenuti a costi ragionevoli;</w:t>
      </w:r>
    </w:p>
    <w:p w:rsidR="00E777DA" w:rsidRDefault="00792AB2">
      <w:pPr>
        <w:numPr>
          <w:ilvl w:val="0"/>
          <w:numId w:val="3"/>
        </w:numPr>
        <w:rPr>
          <w:rFonts w:ascii="Times New Roman" w:hAnsi="Times New Roman"/>
          <w:noProof/>
          <w:sz w:val="24"/>
          <w:szCs w:val="24"/>
        </w:rPr>
      </w:pPr>
      <w:r>
        <w:rPr>
          <w:rFonts w:ascii="Times New Roman" w:hAnsi="Times New Roman"/>
          <w:noProof/>
          <w:sz w:val="24"/>
        </w:rPr>
        <w:t>coerenza: dell'applicazione delle disposizioni della direttiva, dell'interpretazione dei termini principali e coerenza generale della diret</w:t>
      </w:r>
      <w:r>
        <w:rPr>
          <w:rFonts w:ascii="Times New Roman" w:hAnsi="Times New Roman"/>
          <w:noProof/>
          <w:sz w:val="24"/>
        </w:rPr>
        <w:t>tiva con altri atti legislativi pertinenti;</w:t>
      </w:r>
    </w:p>
    <w:p w:rsidR="00E777DA" w:rsidRDefault="00792AB2">
      <w:pPr>
        <w:numPr>
          <w:ilvl w:val="0"/>
          <w:numId w:val="3"/>
        </w:numPr>
        <w:rPr>
          <w:rFonts w:ascii="Times New Roman" w:hAnsi="Times New Roman"/>
          <w:noProof/>
          <w:sz w:val="24"/>
          <w:szCs w:val="24"/>
        </w:rPr>
      </w:pPr>
      <w:r>
        <w:rPr>
          <w:rFonts w:ascii="Times New Roman" w:hAnsi="Times New Roman"/>
          <w:noProof/>
          <w:sz w:val="24"/>
        </w:rPr>
        <w:t>pertinenza: delle disposizioni della direttiva rispetto alle esigenze attuali di funzionamento del mercato interno e di sicurezza dei cittadini dell'UE;</w:t>
      </w:r>
    </w:p>
    <w:p w:rsidR="00E777DA" w:rsidRDefault="00792AB2">
      <w:pPr>
        <w:numPr>
          <w:ilvl w:val="0"/>
          <w:numId w:val="3"/>
        </w:numPr>
        <w:rPr>
          <w:rFonts w:ascii="Times New Roman" w:hAnsi="Times New Roman"/>
          <w:noProof/>
          <w:sz w:val="24"/>
          <w:szCs w:val="24"/>
        </w:rPr>
      </w:pPr>
      <w:r>
        <w:rPr>
          <w:rFonts w:ascii="Times New Roman" w:hAnsi="Times New Roman"/>
          <w:noProof/>
          <w:sz w:val="24"/>
        </w:rPr>
        <w:t>valore aggiunto: dell'intervento dell'UE rispetto alla legi</w:t>
      </w:r>
      <w:r>
        <w:rPr>
          <w:rFonts w:ascii="Times New Roman" w:hAnsi="Times New Roman"/>
          <w:noProof/>
          <w:sz w:val="24"/>
        </w:rPr>
        <w:t>slazione e agli interventi nazionali.</w:t>
      </w:r>
    </w:p>
    <w:p w:rsidR="00E777DA" w:rsidRDefault="00792AB2">
      <w:pPr>
        <w:jc w:val="both"/>
        <w:rPr>
          <w:rFonts w:ascii="Times New Roman" w:hAnsi="Times New Roman"/>
          <w:noProof/>
          <w:sz w:val="24"/>
          <w:szCs w:val="24"/>
        </w:rPr>
      </w:pPr>
      <w:r>
        <w:rPr>
          <w:rFonts w:ascii="Times New Roman" w:hAnsi="Times New Roman"/>
          <w:noProof/>
          <w:sz w:val="24"/>
        </w:rPr>
        <w:t>17) La valutazione ha riguardato tutte le disposizioni della direttiva in tutti i 28 Stati membri dell'UE dal 1991 ad oggi. Ai valutatori è stato inoltre chiesto di tenere conto di precedenti studi e iniziative della C</w:t>
      </w:r>
      <w:r>
        <w:rPr>
          <w:rFonts w:ascii="Times New Roman" w:hAnsi="Times New Roman"/>
          <w:noProof/>
          <w:sz w:val="24"/>
        </w:rPr>
        <w:t>ommissione</w:t>
      </w:r>
      <w:r>
        <w:rPr>
          <w:noProof/>
        </w:rPr>
        <w:footnoteReference w:id="16"/>
      </w:r>
      <w:r>
        <w:rPr>
          <w:rFonts w:ascii="Times New Roman" w:hAnsi="Times New Roman"/>
          <w:noProof/>
          <w:sz w:val="24"/>
        </w:rPr>
        <w:t>, nonché di due studi che si trovavano contemporaneamente in fase conclusiva, riguardanti le procedure di disattivazione, distruzione e marcatura</w:t>
      </w:r>
      <w:r>
        <w:rPr>
          <w:noProof/>
        </w:rPr>
        <w:footnoteReference w:id="17"/>
      </w:r>
      <w:r>
        <w:rPr>
          <w:rFonts w:ascii="Times New Roman" w:hAnsi="Times New Roman"/>
          <w:noProof/>
          <w:sz w:val="24"/>
        </w:rPr>
        <w:t xml:space="preserve"> e la lotta al traffico illecito di armi nell'UE</w:t>
      </w:r>
      <w:r>
        <w:rPr>
          <w:noProof/>
        </w:rPr>
        <w:footnoteReference w:id="18"/>
      </w:r>
      <w:r>
        <w:rPr>
          <w:rFonts w:ascii="Times New Roman" w:hAnsi="Times New Roman"/>
          <w:noProof/>
          <w:sz w:val="24"/>
        </w:rPr>
        <w:t xml:space="preserve">, </w:t>
      </w:r>
    </w:p>
    <w:p w:rsidR="00E777DA" w:rsidRDefault="00792AB2">
      <w:pPr>
        <w:jc w:val="both"/>
        <w:rPr>
          <w:rFonts w:ascii="Times New Roman" w:hAnsi="Times New Roman"/>
          <w:noProof/>
          <w:sz w:val="24"/>
          <w:szCs w:val="24"/>
        </w:rPr>
      </w:pPr>
      <w:r>
        <w:rPr>
          <w:rFonts w:ascii="Times New Roman" w:hAnsi="Times New Roman"/>
          <w:noProof/>
          <w:sz w:val="24"/>
        </w:rPr>
        <w:t xml:space="preserve">18) L'analisi è stata eseguita mediante </w:t>
      </w:r>
      <w:r>
        <w:rPr>
          <w:rFonts w:ascii="Times New Roman" w:hAnsi="Times New Roman"/>
          <w:noProof/>
          <w:sz w:val="24"/>
        </w:rPr>
        <w:t>ricerche documentali, un'indagine online, colloqui e quattro studi di casi</w:t>
      </w:r>
      <w:r>
        <w:rPr>
          <w:noProof/>
        </w:rPr>
        <w:footnoteReference w:id="19"/>
      </w:r>
      <w:r>
        <w:rPr>
          <w:rFonts w:ascii="Times New Roman" w:hAnsi="Times New Roman"/>
          <w:noProof/>
          <w:sz w:val="24"/>
        </w:rPr>
        <w:t xml:space="preserve"> (effettuati in quattro SM: Belgio, Francia, Germania e Polonia). I valutatori hanno contattato: le autorità degli SM; rappresentanti dei fabbricanti di armi, degli armaioli e degli</w:t>
      </w:r>
      <w:r>
        <w:rPr>
          <w:rFonts w:ascii="Times New Roman" w:hAnsi="Times New Roman"/>
          <w:noProof/>
          <w:sz w:val="24"/>
        </w:rPr>
        <w:t xml:space="preserve"> intermediari; utilizzatori di armi da fuoco, tra cui cacciatori e tiratori sportivi; organismi, associazioni, istituti di ricerca e altri esperti internazionali. Per l'indagine online sono stati consultati 83 soggetti interessati (34 autorità di SM, 28 ra</w:t>
      </w:r>
      <w:r>
        <w:rPr>
          <w:rFonts w:ascii="Times New Roman" w:hAnsi="Times New Roman"/>
          <w:noProof/>
          <w:sz w:val="24"/>
        </w:rPr>
        <w:t>ppresentanti dell'industria, 16 utilizzatori, 5 esperti); i colloqui sono stati effettuati con 56 soggetti interessati (23 autorità di SM, 16 rappresentati dell'industria, 9 utilizzatori, 8 esperti) e 30 soggetti interessati sono stati sentiti per gli stud</w:t>
      </w:r>
      <w:r>
        <w:rPr>
          <w:rFonts w:ascii="Times New Roman" w:hAnsi="Times New Roman"/>
          <w:noProof/>
          <w:sz w:val="24"/>
        </w:rPr>
        <w:t>i di casi (12 autorità di SM, 8 rappresentanti dell'industria, 8 utilizzatori, 2 esperti).</w:t>
      </w:r>
    </w:p>
    <w:p w:rsidR="00E777DA" w:rsidRDefault="00792AB2">
      <w:pPr>
        <w:jc w:val="both"/>
        <w:rPr>
          <w:rFonts w:ascii="Times New Roman" w:hAnsi="Times New Roman"/>
          <w:noProof/>
          <w:sz w:val="24"/>
          <w:szCs w:val="24"/>
        </w:rPr>
      </w:pPr>
      <w:r>
        <w:rPr>
          <w:rFonts w:ascii="Times New Roman" w:hAnsi="Times New Roman"/>
          <w:noProof/>
          <w:sz w:val="24"/>
        </w:rPr>
        <w:t>19) Fin dai primi mesi dello studio i valutatori hanno evidenziato la mancanza di dati cruciali riguardanti sia il mercato che la sicurezza. Per quanto riguarda il m</w:t>
      </w:r>
      <w:r>
        <w:rPr>
          <w:rFonts w:ascii="Times New Roman" w:hAnsi="Times New Roman"/>
          <w:noProof/>
          <w:sz w:val="24"/>
        </w:rPr>
        <w:t>ercato, nelle statistiche disponibili a livello nazionale e dell'UE solitamente non si distinguevano le armi da fuoco ad uso civile da quelle militari (rendendo quindi difficile estrarre i dati sulle armi da fuoco ad uso civile). Anche laddove ciò risultav</w:t>
      </w:r>
      <w:r>
        <w:rPr>
          <w:rFonts w:ascii="Times New Roman" w:hAnsi="Times New Roman"/>
          <w:noProof/>
          <w:sz w:val="24"/>
        </w:rPr>
        <w:t>a possibile, i dati non erano sempre disponibili a livello di Stato membro per tutti i paesi (per motivi di riservatezza), cosicché non era possibile individuare tendenze della produzione nel tempo. Infine, la principale società operante nel settore non ha</w:t>
      </w:r>
      <w:r>
        <w:rPr>
          <w:rFonts w:ascii="Times New Roman" w:hAnsi="Times New Roman"/>
          <w:noProof/>
          <w:sz w:val="24"/>
        </w:rPr>
        <w:t xml:space="preserve"> fornito ampio accesso alle informazioni. Per quanto concerne la sicurezza, il problema principale era l'assenza di dati disaggregati sui tipi/sulle categorie di armi da fuoco che circolano nell'UE e/o che sono utilizzate illegalmente o oggetto di traffico</w:t>
      </w:r>
      <w:r>
        <w:rPr>
          <w:rFonts w:ascii="Times New Roman" w:hAnsi="Times New Roman"/>
          <w:noProof/>
          <w:sz w:val="24"/>
        </w:rPr>
        <w:t xml:space="preserve"> illecito, nonché la mancanza di dati comparabili e dettagliati sulle tendenze dei reati e delle attività connessi ad armi da fuoco ad uso civile a livello dell'UE. Un'altra limitazione era connessa alla scarsità dei dati disponibili per quantificare l'one</w:t>
      </w:r>
      <w:r>
        <w:rPr>
          <w:rFonts w:ascii="Times New Roman" w:hAnsi="Times New Roman"/>
          <w:noProof/>
          <w:sz w:val="24"/>
        </w:rPr>
        <w:t xml:space="preserve">re amministrativo e i costi di applicazione di specifiche disposizioni. </w:t>
      </w:r>
    </w:p>
    <w:p w:rsidR="00E777DA" w:rsidRDefault="00792AB2">
      <w:pPr>
        <w:pStyle w:val="Heading1"/>
        <w:rPr>
          <w:rFonts w:ascii="Times New Roman" w:hAnsi="Times New Roman"/>
          <w:noProof/>
          <w:sz w:val="24"/>
        </w:rPr>
      </w:pPr>
      <w:r>
        <w:rPr>
          <w:rFonts w:ascii="Times New Roman" w:hAnsi="Times New Roman"/>
          <w:noProof/>
          <w:sz w:val="24"/>
        </w:rPr>
        <w:t xml:space="preserve">5. Risultanze </w:t>
      </w:r>
    </w:p>
    <w:p w:rsidR="00E777DA" w:rsidRDefault="00792AB2">
      <w:pPr>
        <w:pStyle w:val="Heading2"/>
        <w:rPr>
          <w:rFonts w:ascii="Times New Roman" w:hAnsi="Times New Roman"/>
          <w:i w:val="0"/>
          <w:noProof/>
          <w:sz w:val="24"/>
        </w:rPr>
      </w:pPr>
      <w:r>
        <w:rPr>
          <w:rFonts w:ascii="Times New Roman" w:hAnsi="Times New Roman"/>
          <w:i w:val="0"/>
          <w:noProof/>
          <w:sz w:val="24"/>
        </w:rPr>
        <w:t>5.1 Criteri di valutazione</w:t>
      </w:r>
    </w:p>
    <w:p w:rsidR="00E777DA" w:rsidRDefault="00792AB2">
      <w:pPr>
        <w:pStyle w:val="Heading3"/>
        <w:ind w:firstLine="708"/>
        <w:rPr>
          <w:rFonts w:ascii="Times New Roman" w:hAnsi="Times New Roman"/>
          <w:i/>
          <w:noProof/>
          <w:sz w:val="24"/>
        </w:rPr>
      </w:pPr>
      <w:r>
        <w:rPr>
          <w:rFonts w:ascii="Times New Roman" w:hAnsi="Times New Roman"/>
          <w:i/>
          <w:noProof/>
          <w:sz w:val="24"/>
        </w:rPr>
        <w:t>5.1.1 Efficacia</w:t>
      </w:r>
    </w:p>
    <w:p w:rsidR="00E777DA" w:rsidRDefault="00792AB2">
      <w:pPr>
        <w:spacing w:after="0"/>
        <w:jc w:val="both"/>
        <w:rPr>
          <w:rFonts w:ascii="Times New Roman" w:hAnsi="Times New Roman"/>
          <w:noProof/>
          <w:sz w:val="24"/>
          <w:szCs w:val="24"/>
        </w:rPr>
      </w:pPr>
      <w:r>
        <w:rPr>
          <w:rFonts w:ascii="Times New Roman" w:hAnsi="Times New Roman"/>
          <w:noProof/>
          <w:sz w:val="24"/>
        </w:rPr>
        <w:t>20) La direttiva ha contribuito in modo positivo a porre in essere un mercato interno delle armi da fuoco ben funzionante, ra</w:t>
      </w:r>
      <w:r>
        <w:rPr>
          <w:rFonts w:ascii="Times New Roman" w:hAnsi="Times New Roman"/>
          <w:noProof/>
          <w:sz w:val="24"/>
        </w:rPr>
        <w:t>ggiungendo uno dei suoi obiettivi. Il contraente ha tuttavia concluso che il suo contributo potenziale potrebbe essere ulteriormente migliorato. Innanzitutto l'introduzione di categorie e dei relativi regimi normativi ha consentito di impedire potenziali d</w:t>
      </w:r>
      <w:r>
        <w:rPr>
          <w:rFonts w:ascii="Times New Roman" w:hAnsi="Times New Roman"/>
          <w:noProof/>
          <w:sz w:val="24"/>
        </w:rPr>
        <w:t>istorsioni del mercato connesse all'abolizione dei controlli interni, creando in tal modo un mercato interno. Dal 2005</w:t>
      </w:r>
      <w:r>
        <w:rPr>
          <w:rStyle w:val="FootnoteReference"/>
          <w:rFonts w:ascii="Times New Roman" w:hAnsi="Times New Roman"/>
          <w:noProof/>
          <w:sz w:val="24"/>
        </w:rPr>
        <w:footnoteReference w:id="20"/>
      </w:r>
      <w:r>
        <w:rPr>
          <w:rFonts w:ascii="Times New Roman" w:hAnsi="Times New Roman"/>
          <w:noProof/>
          <w:sz w:val="24"/>
        </w:rPr>
        <w:t xml:space="preserve"> gli scambi all'interno dell'UE sono rimasti piuttosto stabili. Le diverse interpretazioni delle disposizioni delle direttive hanno tutta</w:t>
      </w:r>
      <w:r>
        <w:rPr>
          <w:rFonts w:ascii="Times New Roman" w:hAnsi="Times New Roman"/>
          <w:noProof/>
          <w:sz w:val="24"/>
        </w:rPr>
        <w:t>via limitato la portata dei vantaggi che ci si attendeva dall'intervento dell'UE. I soggetti interessati (industria e utilizzatori) hanno sollevato una serie di preoccupazioni connesse ad ostacoli specifici e oneri procedurali, specialmente dato che essi d</w:t>
      </w:r>
      <w:r>
        <w:rPr>
          <w:rFonts w:ascii="Times New Roman" w:hAnsi="Times New Roman"/>
          <w:noProof/>
          <w:sz w:val="24"/>
        </w:rPr>
        <w:t>evono sostenere costi per ottenere le informazioni che consentono loro di capire le regole e le procedure applicate negli altri SM (in particolare in riferimento alla carta europea d'arma da fuoco). Anche se, dal 2009</w:t>
      </w:r>
      <w:r>
        <w:rPr>
          <w:rStyle w:val="FootnoteReference"/>
          <w:rFonts w:ascii="Times New Roman" w:hAnsi="Times New Roman"/>
          <w:noProof/>
          <w:sz w:val="24"/>
        </w:rPr>
        <w:footnoteReference w:id="21"/>
      </w:r>
      <w:r>
        <w:rPr>
          <w:rFonts w:ascii="Times New Roman" w:hAnsi="Times New Roman"/>
          <w:noProof/>
          <w:sz w:val="24"/>
        </w:rPr>
        <w:t>, la Commissione ha istituito un grupp</w:t>
      </w:r>
      <w:r>
        <w:rPr>
          <w:rFonts w:ascii="Times New Roman" w:hAnsi="Times New Roman"/>
          <w:noProof/>
          <w:sz w:val="24"/>
        </w:rPr>
        <w:t xml:space="preserve">o di contatto per agevolare lo scambio di informazioni, i soggetti interessati che hanno partecipato ai colloqui hanno sottolineato l'esigenza di migliorare ulteriormente la comunicazione di informazioni utili tra SM. </w:t>
      </w:r>
    </w:p>
    <w:p w:rsidR="00E777DA" w:rsidRDefault="00E777DA">
      <w:pPr>
        <w:spacing w:after="0"/>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 xml:space="preserve">21) In relazione all'obiettivo di </w:t>
      </w:r>
      <w:r>
        <w:rPr>
          <w:rFonts w:ascii="Times New Roman" w:hAnsi="Times New Roman"/>
          <w:noProof/>
          <w:sz w:val="24"/>
        </w:rPr>
        <w:t>"sicurezza" (ovvero la protezione dei cittadini e del mercato legale delle armi da fuoco), il livello di sicurezza e di protezione contro il traffico illecito di armi da fuoco e i reati connessi è stato innalzato mediante l'introduzione di:</w:t>
      </w:r>
    </w:p>
    <w:p w:rsidR="00E777DA" w:rsidRDefault="00792AB2">
      <w:pPr>
        <w:numPr>
          <w:ilvl w:val="0"/>
          <w:numId w:val="8"/>
        </w:numPr>
        <w:spacing w:after="0"/>
        <w:jc w:val="both"/>
        <w:rPr>
          <w:rFonts w:ascii="Times New Roman" w:hAnsi="Times New Roman"/>
          <w:noProof/>
          <w:sz w:val="24"/>
          <w:szCs w:val="24"/>
        </w:rPr>
      </w:pPr>
      <w:r>
        <w:rPr>
          <w:rFonts w:ascii="Times New Roman" w:hAnsi="Times New Roman"/>
          <w:noProof/>
          <w:sz w:val="24"/>
        </w:rPr>
        <w:t>prescrizioni re</w:t>
      </w:r>
      <w:r>
        <w:rPr>
          <w:rFonts w:ascii="Times New Roman" w:hAnsi="Times New Roman"/>
          <w:noProof/>
          <w:sz w:val="24"/>
        </w:rPr>
        <w:t xml:space="preserve">lative alla tracciabilità per le autorità degli SM (ad es. archivio computerizzato) e per gli armaioli (registro di tutte le operazioni riguardanti armi da fuoco) - Articolo 4; </w:t>
      </w:r>
    </w:p>
    <w:p w:rsidR="00E777DA" w:rsidRDefault="00792AB2">
      <w:pPr>
        <w:numPr>
          <w:ilvl w:val="0"/>
          <w:numId w:val="8"/>
        </w:numPr>
        <w:spacing w:after="0"/>
        <w:jc w:val="both"/>
        <w:rPr>
          <w:rFonts w:ascii="Times New Roman" w:hAnsi="Times New Roman"/>
          <w:noProof/>
          <w:sz w:val="24"/>
          <w:szCs w:val="24"/>
        </w:rPr>
      </w:pPr>
      <w:r>
        <w:rPr>
          <w:rFonts w:ascii="Times New Roman" w:hAnsi="Times New Roman"/>
          <w:noProof/>
          <w:sz w:val="24"/>
        </w:rPr>
        <w:t>prescrizioni relative alla marcatura per i fabbricanti (anche se erano stati e</w:t>
      </w:r>
      <w:r>
        <w:rPr>
          <w:rFonts w:ascii="Times New Roman" w:hAnsi="Times New Roman"/>
          <w:noProof/>
          <w:sz w:val="24"/>
        </w:rPr>
        <w:t>spressi timori in relazione a casi di marchi cancellati) - Articolo 4, paragrafo 4;</w:t>
      </w:r>
    </w:p>
    <w:p w:rsidR="00E777DA" w:rsidRDefault="00792AB2">
      <w:pPr>
        <w:numPr>
          <w:ilvl w:val="0"/>
          <w:numId w:val="8"/>
        </w:numPr>
        <w:spacing w:after="0"/>
        <w:jc w:val="both"/>
        <w:rPr>
          <w:rFonts w:ascii="Times New Roman" w:hAnsi="Times New Roman"/>
          <w:noProof/>
          <w:sz w:val="24"/>
          <w:szCs w:val="24"/>
        </w:rPr>
      </w:pPr>
      <w:r>
        <w:rPr>
          <w:rFonts w:ascii="Times New Roman" w:hAnsi="Times New Roman"/>
          <w:noProof/>
          <w:sz w:val="24"/>
        </w:rPr>
        <w:t>prescrizioni minime sull'acquisizione e la detenzione di armi da fuoco - Articolo 5.</w:t>
      </w:r>
    </w:p>
    <w:p w:rsidR="00E777DA" w:rsidRDefault="00792AB2">
      <w:pPr>
        <w:spacing w:after="0"/>
        <w:jc w:val="both"/>
        <w:rPr>
          <w:rFonts w:ascii="Times New Roman" w:hAnsi="Times New Roman"/>
          <w:noProof/>
          <w:sz w:val="24"/>
          <w:szCs w:val="24"/>
        </w:rPr>
      </w:pPr>
      <w:r>
        <w:rPr>
          <w:rFonts w:ascii="Times New Roman" w:hAnsi="Times New Roman"/>
          <w:noProof/>
          <w:sz w:val="24"/>
        </w:rPr>
        <w:t xml:space="preserve">Resta tuttavia spazio per ulteriori miglioramenti per quanto riguarda i casi segnalati </w:t>
      </w:r>
      <w:r>
        <w:rPr>
          <w:rFonts w:ascii="Times New Roman" w:hAnsi="Times New Roman"/>
          <w:noProof/>
          <w:sz w:val="24"/>
        </w:rPr>
        <w:t>di conversione di armi d'allarme, riattivazione di armi da fuoco disattivate, commercio illecito di parti di armi da fuoco e l'interpretazione di "componenti essenziali".</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22) La mancanza di dati completi ha reso difficile per il valutatore giudicare l'eff</w:t>
      </w:r>
      <w:r>
        <w:rPr>
          <w:rFonts w:ascii="Times New Roman" w:hAnsi="Times New Roman"/>
          <w:noProof/>
          <w:sz w:val="24"/>
        </w:rPr>
        <w:t>icacia della direttiva in relazione agli obiettivi di sicurezza. L'analisi è stata in particolare ostacolata dalla mancanza di una base d'informazione che include dati specifici e dettagliati sui reati commessi con armi da fuoco detenute legalmente, armi d</w:t>
      </w:r>
      <w:r>
        <w:rPr>
          <w:rFonts w:ascii="Times New Roman" w:hAnsi="Times New Roman"/>
          <w:noProof/>
          <w:sz w:val="24"/>
        </w:rPr>
        <w:t xml:space="preserve">'allarme convertite e armi riattivate negli SM dell'UE. </w:t>
      </w:r>
    </w:p>
    <w:p w:rsidR="00E777DA" w:rsidRDefault="00E777DA">
      <w:pPr>
        <w:spacing w:after="0"/>
        <w:jc w:val="both"/>
        <w:rPr>
          <w:rFonts w:ascii="Times New Roman" w:hAnsi="Times New Roman"/>
          <w:noProof/>
          <w:sz w:val="24"/>
          <w:szCs w:val="24"/>
        </w:rPr>
      </w:pPr>
    </w:p>
    <w:p w:rsidR="00E777DA" w:rsidRDefault="00792AB2">
      <w:pPr>
        <w:pStyle w:val="Heading3"/>
        <w:ind w:firstLine="708"/>
        <w:rPr>
          <w:rFonts w:ascii="Times New Roman" w:hAnsi="Times New Roman"/>
          <w:i/>
          <w:noProof/>
          <w:sz w:val="24"/>
        </w:rPr>
      </w:pPr>
      <w:r>
        <w:rPr>
          <w:rFonts w:ascii="Times New Roman" w:hAnsi="Times New Roman"/>
          <w:i/>
          <w:noProof/>
          <w:sz w:val="24"/>
        </w:rPr>
        <w:t xml:space="preserve">5.1.2 Efficienza </w:t>
      </w:r>
    </w:p>
    <w:p w:rsidR="00E777DA" w:rsidRDefault="00792AB2">
      <w:pPr>
        <w:spacing w:after="0"/>
        <w:jc w:val="both"/>
        <w:rPr>
          <w:rFonts w:ascii="Times New Roman" w:hAnsi="Times New Roman"/>
          <w:noProof/>
          <w:sz w:val="24"/>
          <w:szCs w:val="24"/>
        </w:rPr>
      </w:pPr>
      <w:r>
        <w:rPr>
          <w:rFonts w:ascii="Times New Roman" w:hAnsi="Times New Roman"/>
          <w:noProof/>
          <w:sz w:val="24"/>
        </w:rPr>
        <w:t>23) La valutazione ha identificato i costi connessi alle attività necessarie per applicare ogni disposizione della direttiva (costi diretti di messa in conformità, compresi gli one</w:t>
      </w:r>
      <w:r>
        <w:rPr>
          <w:rFonts w:ascii="Times New Roman" w:hAnsi="Times New Roman"/>
          <w:noProof/>
          <w:sz w:val="24"/>
        </w:rPr>
        <w:t>ri amministrativi, e costi delle informazioni</w:t>
      </w:r>
      <w:r>
        <w:rPr>
          <w:rStyle w:val="FootnoteReference"/>
          <w:rFonts w:ascii="Times New Roman" w:hAnsi="Times New Roman"/>
          <w:noProof/>
          <w:sz w:val="24"/>
        </w:rPr>
        <w:footnoteReference w:id="22"/>
      </w:r>
      <w:r>
        <w:rPr>
          <w:rFonts w:ascii="Times New Roman" w:hAnsi="Times New Roman"/>
          <w:noProof/>
          <w:sz w:val="24"/>
        </w:rPr>
        <w:t>) e ha mappato i soggetti interessati che li sostengono. I valutatori non hanno incluso i costi dovuti all'applicazione di disposizioni supplementari, né i costi derivanti da differenze di applicazione a livell</w:t>
      </w:r>
      <w:r>
        <w:rPr>
          <w:rFonts w:ascii="Times New Roman" w:hAnsi="Times New Roman"/>
          <w:noProof/>
          <w:sz w:val="24"/>
        </w:rPr>
        <w:t>o nazionale.</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24) Per valutare se gli obiettivi della direttiva fossero stati raggiunti a costi ragionevoli, in assenza di dati quantitativi sui costi il contraente ha valutato qualitativamente se i costi connessi a disposizioni specifiche fossero ritenuti</w:t>
      </w:r>
      <w:r>
        <w:rPr>
          <w:rFonts w:ascii="Times New Roman" w:hAnsi="Times New Roman"/>
          <w:noProof/>
          <w:sz w:val="24"/>
        </w:rPr>
        <w:t xml:space="preserve"> ragionevoli nella valutazione dei soggetti interessati. Tale valutazione qualitativa è stata effettuata avvalendosi di tre criteri: obiettivi conseguiti, partecipazione dei soggetti interessati e natura dei costi. Dall'analisi si può concludere che i risu</w:t>
      </w:r>
      <w:r>
        <w:rPr>
          <w:rFonts w:ascii="Times New Roman" w:hAnsi="Times New Roman"/>
          <w:noProof/>
          <w:sz w:val="24"/>
        </w:rPr>
        <w:t xml:space="preserve">ltati generali sono stati raggiunti ad un costo ragionevole. Nella maggior parte dei casi i costi sono ripartiti equamente tra i vari soggetti interessati. L'armonizzazione parziale della direttiva comporta costi indiretti ed effetti negativi in relazione </w:t>
      </w:r>
      <w:r>
        <w:rPr>
          <w:rFonts w:ascii="Times New Roman" w:hAnsi="Times New Roman"/>
          <w:noProof/>
          <w:sz w:val="24"/>
        </w:rPr>
        <w:t>a specifiche disposizioni (e determinate categorie di soggetti interessati), quali: carta europea d'arma da fuoco, categorie, registro degli armaioli e degli intermediari, condivisione delle informazioni, prescrizioni sulla detenzione di armi da fuoco, dis</w:t>
      </w:r>
      <w:r>
        <w:rPr>
          <w:rFonts w:ascii="Times New Roman" w:hAnsi="Times New Roman"/>
          <w:noProof/>
          <w:sz w:val="24"/>
        </w:rPr>
        <w:t xml:space="preserve">attivazione, tracciabilità, marcatura. </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25) Secondo vari rappresentanti dell'industria (fabbricanti e associazioni nazionali) l'onere amministrativo è prevalentemente connesso alle inefficienze nazionali e burocratiche, piuttosto che alle disposizioni del</w:t>
      </w:r>
      <w:r>
        <w:rPr>
          <w:rFonts w:ascii="Times New Roman" w:hAnsi="Times New Roman"/>
          <w:noProof/>
          <w:sz w:val="24"/>
        </w:rPr>
        <w:t>la direttiva. Alcuni esempi: tempi talvolta prolungati per il rilascio di licenze di importazione ed esportazione per trasferimenti all'interno dell'UE; prescrizioni di sicurezza introdotte a livello nazionale (ad es. ispezione obbligatoria dei sistemi d'a</w:t>
      </w:r>
      <w:r>
        <w:rPr>
          <w:rFonts w:ascii="Times New Roman" w:hAnsi="Times New Roman"/>
          <w:noProof/>
          <w:sz w:val="24"/>
        </w:rPr>
        <w:t xml:space="preserve">llarme fatturata agli armaioli). I rappresentanti dell'industria hanno confermato che tali oneri amministrativi hanno rallentato la dinamica del mercato. </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i/>
          <w:noProof/>
          <w:sz w:val="24"/>
        </w:rPr>
      </w:pPr>
      <w:r>
        <w:rPr>
          <w:rFonts w:ascii="Times New Roman" w:hAnsi="Times New Roman"/>
          <w:noProof/>
          <w:sz w:val="24"/>
        </w:rPr>
        <w:t>26) Il contraente ha concluso che i risultati generali della direttiva stessa sono stati raggiunti a</w:t>
      </w:r>
      <w:r>
        <w:rPr>
          <w:rFonts w:ascii="Times New Roman" w:hAnsi="Times New Roman"/>
          <w:noProof/>
          <w:sz w:val="24"/>
        </w:rPr>
        <w:t xml:space="preserve"> costi ragionevoli. Gli oneri amministrativi e i costi percepiti dai soggetti interessati sono connessi prevalentemente alle procedure amministrative di applicazione della direttiva a livello nazionale e la riduzione di tali costi sarebbe considerata un mi</w:t>
      </w:r>
      <w:r>
        <w:rPr>
          <w:rFonts w:ascii="Times New Roman" w:hAnsi="Times New Roman"/>
          <w:noProof/>
          <w:sz w:val="24"/>
        </w:rPr>
        <w:t>glioramento.</w:t>
      </w:r>
    </w:p>
    <w:p w:rsidR="00E777DA" w:rsidRDefault="00792AB2">
      <w:pPr>
        <w:pStyle w:val="Heading3"/>
        <w:ind w:firstLine="708"/>
        <w:rPr>
          <w:rFonts w:ascii="Times New Roman" w:hAnsi="Times New Roman"/>
          <w:i/>
          <w:noProof/>
          <w:sz w:val="24"/>
        </w:rPr>
      </w:pPr>
      <w:r>
        <w:rPr>
          <w:rFonts w:ascii="Times New Roman" w:hAnsi="Times New Roman"/>
          <w:i/>
          <w:noProof/>
          <w:sz w:val="24"/>
        </w:rPr>
        <w:t xml:space="preserve">5.1.3 Coerenza  </w:t>
      </w:r>
    </w:p>
    <w:p w:rsidR="00E777DA" w:rsidRDefault="00792AB2">
      <w:pPr>
        <w:spacing w:after="0"/>
        <w:jc w:val="both"/>
        <w:rPr>
          <w:rFonts w:ascii="Times New Roman" w:hAnsi="Times New Roman"/>
          <w:noProof/>
          <w:sz w:val="24"/>
          <w:szCs w:val="24"/>
        </w:rPr>
      </w:pPr>
      <w:r>
        <w:rPr>
          <w:rFonts w:ascii="Times New Roman" w:hAnsi="Times New Roman"/>
          <w:noProof/>
          <w:sz w:val="24"/>
        </w:rPr>
        <w:t>27) L'adozione di una direttiva che stabilisce prescrizioni minime ha indotto differenze di applicazione a livello degli SM che si ripercuotono o sul mercato interno, o sugli obiettivi di sicurezza.</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Per quanto riguarda le dif</w:t>
      </w:r>
      <w:r>
        <w:rPr>
          <w:rFonts w:ascii="Times New Roman" w:hAnsi="Times New Roman"/>
          <w:noProof/>
          <w:sz w:val="24"/>
        </w:rPr>
        <w:t xml:space="preserve">ferenze aventi un impatto sul mercato interno, la valutazione ha sottolineato: </w:t>
      </w:r>
    </w:p>
    <w:p w:rsidR="00E777DA" w:rsidRDefault="00792AB2">
      <w:pPr>
        <w:numPr>
          <w:ilvl w:val="0"/>
          <w:numId w:val="4"/>
        </w:numPr>
        <w:spacing w:after="0"/>
        <w:jc w:val="both"/>
        <w:rPr>
          <w:rFonts w:ascii="Times New Roman" w:hAnsi="Times New Roman"/>
          <w:noProof/>
          <w:sz w:val="24"/>
          <w:szCs w:val="24"/>
        </w:rPr>
      </w:pPr>
      <w:r>
        <w:rPr>
          <w:rFonts w:ascii="Times New Roman" w:hAnsi="Times New Roman"/>
          <w:noProof/>
          <w:sz w:val="24"/>
        </w:rPr>
        <w:t>discrepanze nell'applicazione delle categorie, in particolare per le categorie C e D non è chiaro quali documenti siano necessari per l'acquisizione di un'arma da fuoco nei var</w:t>
      </w:r>
      <w:r>
        <w:rPr>
          <w:rFonts w:ascii="Times New Roman" w:hAnsi="Times New Roman"/>
          <w:noProof/>
          <w:sz w:val="24"/>
        </w:rPr>
        <w:t xml:space="preserve">i paesi, il che ostacola la circolazione delle armi da fuoco in Europa e genera costi; </w:t>
      </w:r>
    </w:p>
    <w:p w:rsidR="00E777DA" w:rsidRDefault="00792AB2">
      <w:pPr>
        <w:numPr>
          <w:ilvl w:val="0"/>
          <w:numId w:val="4"/>
        </w:numPr>
        <w:spacing w:after="0"/>
        <w:jc w:val="both"/>
        <w:rPr>
          <w:rFonts w:ascii="Times New Roman" w:hAnsi="Times New Roman"/>
          <w:noProof/>
          <w:sz w:val="24"/>
          <w:szCs w:val="24"/>
        </w:rPr>
      </w:pPr>
      <w:r>
        <w:rPr>
          <w:rFonts w:ascii="Times New Roman" w:hAnsi="Times New Roman"/>
          <w:noProof/>
          <w:sz w:val="24"/>
        </w:rPr>
        <w:t xml:space="preserve">differenze nell'applicazione di disposizioni connesse alla carta europea d'arma da fuoco, ad esempio il numero di documenti richiesti. Ciò produce conseguenze negative </w:t>
      </w:r>
      <w:r>
        <w:rPr>
          <w:rFonts w:ascii="Times New Roman" w:hAnsi="Times New Roman"/>
          <w:noProof/>
          <w:sz w:val="24"/>
        </w:rPr>
        <w:t>e ostacola i trasferimenti di armi da fuoco.</w:t>
      </w:r>
    </w:p>
    <w:p w:rsidR="00E777DA" w:rsidRDefault="00E777DA">
      <w:pPr>
        <w:spacing w:after="0"/>
        <w:ind w:left="72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Le incoerenze di applicazione aventi un impatto sulla sicurezza dei cittadini dell'UE sono:</w:t>
      </w:r>
    </w:p>
    <w:p w:rsidR="00E777DA" w:rsidRDefault="00792AB2">
      <w:pPr>
        <w:numPr>
          <w:ilvl w:val="0"/>
          <w:numId w:val="5"/>
        </w:numPr>
        <w:spacing w:after="0"/>
        <w:jc w:val="both"/>
        <w:rPr>
          <w:rFonts w:ascii="Times New Roman" w:hAnsi="Times New Roman"/>
          <w:noProof/>
          <w:sz w:val="24"/>
          <w:szCs w:val="24"/>
        </w:rPr>
      </w:pPr>
      <w:r>
        <w:rPr>
          <w:rFonts w:ascii="Times New Roman" w:hAnsi="Times New Roman"/>
          <w:noProof/>
          <w:sz w:val="24"/>
        </w:rPr>
        <w:t xml:space="preserve">differenze nelle norme sulla marcatura, che limitano la possibilità di tracciare le armi da fuoco o di contrastare il </w:t>
      </w:r>
      <w:r>
        <w:rPr>
          <w:rFonts w:ascii="Times New Roman" w:hAnsi="Times New Roman"/>
          <w:noProof/>
          <w:sz w:val="24"/>
        </w:rPr>
        <w:t>traffico illecito;</w:t>
      </w:r>
    </w:p>
    <w:p w:rsidR="00E777DA" w:rsidRDefault="00792AB2">
      <w:pPr>
        <w:numPr>
          <w:ilvl w:val="0"/>
          <w:numId w:val="5"/>
        </w:numPr>
        <w:spacing w:after="0"/>
        <w:jc w:val="both"/>
        <w:rPr>
          <w:rFonts w:ascii="Times New Roman" w:hAnsi="Times New Roman"/>
          <w:noProof/>
          <w:sz w:val="24"/>
          <w:szCs w:val="24"/>
        </w:rPr>
      </w:pPr>
      <w:r>
        <w:rPr>
          <w:rFonts w:ascii="Times New Roman" w:hAnsi="Times New Roman"/>
          <w:noProof/>
          <w:sz w:val="24"/>
        </w:rPr>
        <w:t xml:space="preserve">differenze nelle tecniche e nelle norme per la disattivazione nonché nella nomina dell'autorità che le esegue. Tali differenze sono preoccupanti, non solo perché l'autorità o il soggetto incaricati della disattivazione possono non </w:t>
      </w:r>
      <w:r>
        <w:rPr>
          <w:rFonts w:ascii="Times New Roman" w:hAnsi="Times New Roman"/>
          <w:noProof/>
          <w:sz w:val="24"/>
        </w:rPr>
        <w:t>disporre delle capacità tecniche necessarie, ma anche perché le norme di taluni SM non sono ritenute sufficienti;</w:t>
      </w:r>
    </w:p>
    <w:p w:rsidR="00E777DA" w:rsidRDefault="00792AB2">
      <w:pPr>
        <w:numPr>
          <w:ilvl w:val="0"/>
          <w:numId w:val="5"/>
        </w:numPr>
        <w:spacing w:after="0"/>
        <w:jc w:val="both"/>
        <w:rPr>
          <w:rFonts w:ascii="Times New Roman" w:hAnsi="Times New Roman"/>
          <w:noProof/>
          <w:sz w:val="24"/>
          <w:szCs w:val="24"/>
        </w:rPr>
      </w:pPr>
      <w:r>
        <w:rPr>
          <w:rFonts w:ascii="Times New Roman" w:hAnsi="Times New Roman"/>
          <w:noProof/>
          <w:sz w:val="24"/>
        </w:rPr>
        <w:t>differenze nella categorizzazione delle armi nella normativa nazionale, che causano problemi di tracciabilità e rendono difficoltosa l'applica</w:t>
      </w:r>
      <w:r>
        <w:rPr>
          <w:rFonts w:ascii="Times New Roman" w:hAnsi="Times New Roman"/>
          <w:noProof/>
          <w:sz w:val="24"/>
        </w:rPr>
        <w:t xml:space="preserve">zione delle leggi. Questo succede in particolare quando un oggetto considerato arma da fuoco in uno SM è trasferito verso uno SM in cui non è considerato arma da fuoco e di conseguenza le autorità ne perdono le tracce; </w:t>
      </w:r>
    </w:p>
    <w:p w:rsidR="00E777DA" w:rsidRDefault="00792AB2">
      <w:pPr>
        <w:numPr>
          <w:ilvl w:val="0"/>
          <w:numId w:val="5"/>
        </w:numPr>
        <w:spacing w:after="0"/>
        <w:jc w:val="both"/>
        <w:rPr>
          <w:rFonts w:ascii="Times New Roman" w:hAnsi="Times New Roman"/>
          <w:noProof/>
          <w:sz w:val="24"/>
          <w:szCs w:val="24"/>
        </w:rPr>
      </w:pPr>
      <w:r>
        <w:rPr>
          <w:rFonts w:ascii="Times New Roman" w:hAnsi="Times New Roman"/>
          <w:noProof/>
          <w:sz w:val="24"/>
        </w:rPr>
        <w:t>differenze nell'interpretazione di t</w:t>
      </w:r>
      <w:r>
        <w:rPr>
          <w:rFonts w:ascii="Times New Roman" w:hAnsi="Times New Roman"/>
          <w:noProof/>
          <w:sz w:val="24"/>
        </w:rPr>
        <w:t>ermini chiave usati nella direttiva (componenti essenziali, intermediari, armi d'allarme e armi antiche).</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Dall'altro lato, è emerso che non sussistono problemi connessi alle prescrizioni sulla detenzione e che la direttiva ha contribuito ad armonizzarle.</w:t>
      </w:r>
    </w:p>
    <w:p w:rsidR="00E777DA" w:rsidRDefault="00E777DA">
      <w:pPr>
        <w:spacing w:after="0"/>
        <w:rPr>
          <w:rFonts w:ascii="Times New Roman" w:hAnsi="Times New Roman"/>
          <w:noProof/>
          <w:sz w:val="24"/>
          <w:szCs w:val="24"/>
        </w:rPr>
      </w:pPr>
    </w:p>
    <w:p w:rsidR="00E777DA" w:rsidRDefault="00792AB2">
      <w:pPr>
        <w:spacing w:after="0"/>
        <w:jc w:val="both"/>
        <w:rPr>
          <w:rStyle w:val="CommentReference"/>
          <w:rFonts w:ascii="Times New Roman" w:hAnsi="Times New Roman"/>
          <w:noProof/>
          <w:sz w:val="24"/>
          <w:szCs w:val="24"/>
        </w:rPr>
      </w:pPr>
      <w:r>
        <w:rPr>
          <w:rFonts w:ascii="Times New Roman" w:hAnsi="Times New Roman"/>
          <w:noProof/>
          <w:sz w:val="24"/>
        </w:rPr>
        <w:t>28) Per quanto riguarda la coerenza della direttiva sulle armi da fuoco con la normativa UE esistente, lo studio ha concluso che i problemi principali riguardano l'UNFP. La modifica del 2008 ha allineato solo parzialmente la terminologia della direttiva a</w:t>
      </w:r>
      <w:r>
        <w:rPr>
          <w:rFonts w:ascii="Times New Roman" w:hAnsi="Times New Roman"/>
          <w:noProof/>
          <w:sz w:val="24"/>
        </w:rPr>
        <w:t>ll'UNFP. La direttiva ha infatti introdotto una distinzione tra parti essenziali e componenti essenziali che non risulta nel testo delle Nazioni Unite, in cui si fa riferimento a "parti e componenti". L'UNFP</w:t>
      </w:r>
      <w:r>
        <w:rPr>
          <w:rStyle w:val="FootnoteReference"/>
          <w:rFonts w:ascii="Times New Roman" w:hAnsi="Times New Roman"/>
          <w:noProof/>
          <w:sz w:val="24"/>
        </w:rPr>
        <w:footnoteReference w:id="23"/>
      </w:r>
      <w:r>
        <w:rPr>
          <w:rFonts w:ascii="Times New Roman" w:hAnsi="Times New Roman"/>
          <w:noProof/>
          <w:sz w:val="24"/>
        </w:rPr>
        <w:t xml:space="preserve"> lascia inoltre agli Stati parti la possibilità </w:t>
      </w:r>
      <w:r>
        <w:rPr>
          <w:rFonts w:ascii="Times New Roman" w:hAnsi="Times New Roman"/>
          <w:noProof/>
          <w:sz w:val="24"/>
        </w:rPr>
        <w:t>di considerare un'arma da fuoco disattivata come un'arma da fuoco secondo la loro legislazione nazionale e di adottare le eventuali misure necessarie su tale base.</w:t>
      </w:r>
    </w:p>
    <w:p w:rsidR="00E777DA" w:rsidRDefault="00792AB2">
      <w:pPr>
        <w:pStyle w:val="Heading3"/>
        <w:ind w:firstLine="708"/>
        <w:rPr>
          <w:rFonts w:ascii="Times New Roman" w:hAnsi="Times New Roman"/>
          <w:i/>
          <w:noProof/>
          <w:sz w:val="24"/>
        </w:rPr>
      </w:pPr>
      <w:r>
        <w:rPr>
          <w:rFonts w:ascii="Times New Roman" w:hAnsi="Times New Roman"/>
          <w:i/>
          <w:noProof/>
          <w:sz w:val="24"/>
        </w:rPr>
        <w:t xml:space="preserve">5.1.4 Pertinenza </w:t>
      </w:r>
    </w:p>
    <w:p w:rsidR="00E777DA" w:rsidRDefault="00792AB2">
      <w:pPr>
        <w:spacing w:after="0"/>
        <w:jc w:val="both"/>
        <w:rPr>
          <w:rFonts w:ascii="Times New Roman" w:hAnsi="Times New Roman"/>
          <w:noProof/>
          <w:sz w:val="24"/>
          <w:szCs w:val="24"/>
        </w:rPr>
      </w:pPr>
      <w:r>
        <w:rPr>
          <w:rFonts w:ascii="Times New Roman" w:hAnsi="Times New Roman"/>
          <w:noProof/>
          <w:sz w:val="24"/>
        </w:rPr>
        <w:t>29) La valutazione ha concluso che, in generale, la direttiva sulle armi d</w:t>
      </w:r>
      <w:r>
        <w:rPr>
          <w:rFonts w:ascii="Times New Roman" w:hAnsi="Times New Roman"/>
          <w:noProof/>
          <w:sz w:val="24"/>
        </w:rPr>
        <w:t>a fuoco continua ad essere interamente pertinente per le esigenze attuali del mercato (ovvero la circolazione transfrontaliera delle armi da fuoco). I timori espressi dagli operatori economici riguardano prevalentemente le diverse misure e procedure di att</w:t>
      </w:r>
      <w:r>
        <w:rPr>
          <w:rFonts w:ascii="Times New Roman" w:hAnsi="Times New Roman"/>
          <w:noProof/>
          <w:sz w:val="24"/>
        </w:rPr>
        <w:t>uazione adottate dagli SM, che sono fonte di oneri e costi aggiuntivi aventi un impatto negativo sulla circolazione transfrontaliera delle armi da fuoco.</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30) Per quanto riguarda gli obiettivi di sicurezza (ad es. i reati connessi ad armi da fuoco detenute</w:t>
      </w:r>
      <w:r>
        <w:rPr>
          <w:rFonts w:ascii="Times New Roman" w:hAnsi="Times New Roman"/>
          <w:noProof/>
          <w:sz w:val="24"/>
        </w:rPr>
        <w:t xml:space="preserve"> legalmente, il furto o lo smarrimento di armi da fuoco detenute legalmente, la conversione di armi d'allarme o di armi da fuoco disattivate) i valutatori concludono che la direttiva è pertinente per la maggior parte dei rischi di sicurezza. Essi hanno ele</w:t>
      </w:r>
      <w:r>
        <w:rPr>
          <w:rFonts w:ascii="Times New Roman" w:hAnsi="Times New Roman"/>
          <w:noProof/>
          <w:sz w:val="24"/>
        </w:rPr>
        <w:t>ncato talune attività da tenere in considerazione ai fini dell'inclusione nel campo d'applicazione della direttiva o da descrivere in modo più accurato. Tra tali attività figurano la conversione delle armi d'allarme, la conversione delle armi semiautomatic</w:t>
      </w:r>
      <w:r>
        <w:rPr>
          <w:rFonts w:ascii="Times New Roman" w:hAnsi="Times New Roman"/>
          <w:noProof/>
          <w:sz w:val="24"/>
        </w:rPr>
        <w:t xml:space="preserve">he, la riattivazione delle armi da fuoco disattivate, la cancellazione del marchio, l'uso illecito di armi ereditate. Tutte le attività menzionate sono fonte di preoccupazione in termini di sicurezza a livello degli SM. I valutatori hanno infine osservato </w:t>
      </w:r>
      <w:r>
        <w:rPr>
          <w:rFonts w:ascii="Times New Roman" w:hAnsi="Times New Roman"/>
          <w:noProof/>
          <w:sz w:val="24"/>
        </w:rPr>
        <w:t>che i futuri sviluppi tecnologici, ad esempio le nuove tecnologie (compresa la stampa 3D) e i nuovi canali di vendita (ad es. Internet)</w:t>
      </w:r>
      <w:r>
        <w:rPr>
          <w:rStyle w:val="FootnoteReference"/>
          <w:rFonts w:ascii="Times New Roman" w:hAnsi="Times New Roman"/>
          <w:noProof/>
          <w:sz w:val="24"/>
        </w:rPr>
        <w:footnoteReference w:id="24"/>
      </w:r>
      <w:r>
        <w:rPr>
          <w:rFonts w:ascii="Times New Roman" w:hAnsi="Times New Roman"/>
          <w:noProof/>
          <w:sz w:val="24"/>
        </w:rPr>
        <w:t xml:space="preserve"> possono rivelarsi in futuro difficili da inserire nel campo d'applicazione della direttiva. .</w:t>
      </w:r>
    </w:p>
    <w:p w:rsidR="00E777DA" w:rsidRDefault="00792AB2">
      <w:pPr>
        <w:pStyle w:val="Heading3"/>
        <w:ind w:firstLine="708"/>
        <w:rPr>
          <w:rFonts w:ascii="Times New Roman" w:hAnsi="Times New Roman"/>
          <w:i/>
          <w:noProof/>
          <w:sz w:val="24"/>
        </w:rPr>
      </w:pPr>
      <w:r>
        <w:rPr>
          <w:rFonts w:ascii="Times New Roman" w:hAnsi="Times New Roman"/>
          <w:i/>
          <w:noProof/>
          <w:sz w:val="24"/>
        </w:rPr>
        <w:t>5.1.5 Valore aggiunto UE</w:t>
      </w:r>
    </w:p>
    <w:p w:rsidR="00E777DA" w:rsidRDefault="00792AB2">
      <w:pPr>
        <w:spacing w:after="0"/>
        <w:jc w:val="both"/>
        <w:rPr>
          <w:rFonts w:ascii="Times New Roman" w:hAnsi="Times New Roman"/>
          <w:noProof/>
          <w:sz w:val="24"/>
          <w:szCs w:val="24"/>
        </w:rPr>
      </w:pPr>
      <w:r>
        <w:rPr>
          <w:rFonts w:ascii="Times New Roman" w:hAnsi="Times New Roman"/>
          <w:noProof/>
          <w:sz w:val="24"/>
        </w:rPr>
        <w:t>31) Le armi da fuoco sono articoli di natura speciale. La maggior parte delle questioni di sicurezza che la direttiva sulle armi da fuoco cerca di affrontare sono di natura transfrontaliera. Le vulnerabilità di un singolo SM nei confronti dell'attività cri</w:t>
      </w:r>
      <w:r>
        <w:rPr>
          <w:rFonts w:ascii="Times New Roman" w:hAnsi="Times New Roman"/>
          <w:noProof/>
          <w:sz w:val="24"/>
        </w:rPr>
        <w:t>minale si ripercuotono sull'intera UE (ad es. casi di conversione di armi d'allarme). Le differenze tra normative nazionali rappresentano un ostacolo per le attività di controllo e la cooperazione di polizia tra gli SM (ad es. diverse prescrizioni sulla re</w:t>
      </w:r>
      <w:r>
        <w:rPr>
          <w:rFonts w:ascii="Times New Roman" w:hAnsi="Times New Roman"/>
          <w:noProof/>
          <w:sz w:val="24"/>
        </w:rPr>
        <w:t>gistrazione per lo stesso tipo di armi da fuoco). Lo studio ha concluso che interventi efficaci per raggiungere gli obiettivi di garantire un livello elevato di sicurezza per i cittadini dell'UE e di consentire la circolazione transfrontaliera delle armi d</w:t>
      </w:r>
      <w:r>
        <w:rPr>
          <w:rFonts w:ascii="Times New Roman" w:hAnsi="Times New Roman"/>
          <w:noProof/>
          <w:sz w:val="24"/>
        </w:rPr>
        <w:t>a fuoco possono essere realizzati solo a livello di UE. L'innegabile valore aggiunto della direttiva sulle armi da fuoco risiede nell'istituzione di un quadro normativo comune per la regolamentazione delle armi da fuoco, che sarebbe stato impossibile otten</w:t>
      </w:r>
      <w:r>
        <w:rPr>
          <w:rFonts w:ascii="Times New Roman" w:hAnsi="Times New Roman"/>
          <w:noProof/>
          <w:sz w:val="24"/>
        </w:rPr>
        <w:t xml:space="preserve">ere attraverso interventi nazionali o bilaterali. </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32) La possibilità di mantenere un livello elevato di sicurezza e di promuovere il mercato interno è stata consentita dalla natura flessibile della direttiva stessa. La direttiva stabilisce prescrizioni m</w:t>
      </w:r>
      <w:r>
        <w:rPr>
          <w:rFonts w:ascii="Times New Roman" w:hAnsi="Times New Roman"/>
          <w:noProof/>
          <w:sz w:val="24"/>
        </w:rPr>
        <w:t>inime rispettando il principio di sussidiarietà e lasciando agli SM la possibilità di adottare norme più rigorose a seconda delle loro esigenze e del loro contesto nazionali. Inoltre è stato garantito agli SM e ai cittadini dell'UE che le misure comuni rel</w:t>
      </w:r>
      <w:r>
        <w:rPr>
          <w:rFonts w:ascii="Times New Roman" w:hAnsi="Times New Roman"/>
          <w:noProof/>
          <w:sz w:val="24"/>
        </w:rPr>
        <w:t xml:space="preserve">ative alla sicurezza contenute nella direttiva e riguardanti le armi da fuoco fabbricate e circolanti in Europa sono valide in tutti gli SM. </w:t>
      </w:r>
    </w:p>
    <w:p w:rsidR="00E777DA" w:rsidRDefault="00E777DA">
      <w:pPr>
        <w:spacing w:after="0"/>
        <w:jc w:val="both"/>
        <w:rPr>
          <w:rFonts w:ascii="Times New Roman" w:hAnsi="Times New Roman"/>
          <w:noProof/>
          <w:sz w:val="24"/>
          <w:szCs w:val="24"/>
        </w:rPr>
      </w:pPr>
    </w:p>
    <w:p w:rsidR="00E777DA" w:rsidRDefault="00792AB2">
      <w:pPr>
        <w:spacing w:after="0"/>
        <w:jc w:val="both"/>
        <w:rPr>
          <w:rFonts w:ascii="Times New Roman" w:hAnsi="Times New Roman"/>
          <w:noProof/>
          <w:sz w:val="24"/>
          <w:szCs w:val="24"/>
        </w:rPr>
      </w:pPr>
      <w:r>
        <w:rPr>
          <w:rFonts w:ascii="Times New Roman" w:hAnsi="Times New Roman"/>
          <w:noProof/>
          <w:sz w:val="24"/>
        </w:rPr>
        <w:t>33) La soglia minima contribuisce inoltre al funzionamento del mercato interno e al rafforzamento del mercato leg</w:t>
      </w:r>
      <w:r>
        <w:rPr>
          <w:rFonts w:ascii="Times New Roman" w:hAnsi="Times New Roman"/>
          <w:noProof/>
          <w:sz w:val="24"/>
        </w:rPr>
        <w:t>ale delle armi da fuoco. Per quanto concerne il mercato, il maggiore contributo previsto dell'intervento UE (creazione di categorie comuni) è stato ostacolato dalle differenze di applicazione a livello degli SM. L'efficacia della carta europea d'arma da fu</w:t>
      </w:r>
      <w:r>
        <w:rPr>
          <w:rFonts w:ascii="Times New Roman" w:hAnsi="Times New Roman"/>
          <w:noProof/>
          <w:sz w:val="24"/>
        </w:rPr>
        <w:t xml:space="preserve">oco costituisce tuttavia un esempio del potenziale valore aggiunto dell'intervento UE in termini di sostegno alla circolazione transfrontaliera di cacciatori e tiratori sportivi. </w:t>
      </w:r>
    </w:p>
    <w:p w:rsidR="00E777DA" w:rsidRDefault="00792AB2">
      <w:pPr>
        <w:pStyle w:val="Heading2"/>
        <w:rPr>
          <w:rFonts w:ascii="Times New Roman" w:hAnsi="Times New Roman"/>
          <w:i w:val="0"/>
          <w:noProof/>
          <w:sz w:val="24"/>
        </w:rPr>
      </w:pPr>
      <w:r>
        <w:rPr>
          <w:rFonts w:ascii="Times New Roman" w:hAnsi="Times New Roman"/>
          <w:i w:val="0"/>
          <w:noProof/>
          <w:sz w:val="24"/>
        </w:rPr>
        <w:t xml:space="preserve">5.2 Raccomandazioni </w:t>
      </w:r>
    </w:p>
    <w:p w:rsidR="00E777DA" w:rsidRDefault="00792AB2">
      <w:pPr>
        <w:spacing w:after="0"/>
        <w:jc w:val="both"/>
        <w:rPr>
          <w:rFonts w:ascii="Times New Roman" w:hAnsi="Times New Roman"/>
          <w:noProof/>
          <w:sz w:val="24"/>
          <w:szCs w:val="24"/>
        </w:rPr>
      </w:pPr>
      <w:r>
        <w:rPr>
          <w:rFonts w:ascii="Times New Roman" w:hAnsi="Times New Roman"/>
          <w:noProof/>
          <w:sz w:val="24"/>
        </w:rPr>
        <w:t>34) Basandosi sui risultati della valutazione, il contr</w:t>
      </w:r>
      <w:r>
        <w:rPr>
          <w:rFonts w:ascii="Times New Roman" w:hAnsi="Times New Roman"/>
          <w:noProof/>
          <w:sz w:val="24"/>
        </w:rPr>
        <w:t>aente ha formulato una serie di raccomandazioni suddivise tra iniziative che richiedono un intervento legislativo e iniziative che non richiedono un intervento di questo tipo.</w:t>
      </w:r>
    </w:p>
    <w:p w:rsidR="00E777DA" w:rsidRDefault="00E777DA">
      <w:pPr>
        <w:spacing w:after="0"/>
        <w:rPr>
          <w:rFonts w:ascii="Times New Roman" w:hAnsi="Times New Roman"/>
          <w:noProof/>
          <w:sz w:val="24"/>
          <w:szCs w:val="24"/>
        </w:rPr>
      </w:pPr>
    </w:p>
    <w:p w:rsidR="00E777DA" w:rsidRDefault="00792AB2">
      <w:pPr>
        <w:numPr>
          <w:ilvl w:val="0"/>
          <w:numId w:val="7"/>
        </w:numPr>
        <w:spacing w:after="0"/>
        <w:jc w:val="both"/>
        <w:rPr>
          <w:rFonts w:ascii="Times New Roman" w:hAnsi="Times New Roman"/>
          <w:b/>
          <w:i/>
          <w:noProof/>
          <w:sz w:val="24"/>
          <w:szCs w:val="24"/>
          <w:u w:val="single"/>
        </w:rPr>
      </w:pPr>
      <w:r>
        <w:rPr>
          <w:rFonts w:ascii="Times New Roman" w:hAnsi="Times New Roman"/>
          <w:b/>
          <w:noProof/>
          <w:sz w:val="24"/>
        </w:rPr>
        <w:t xml:space="preserve">Criteri comuni sulla convertibilità delle armi d'allarme </w:t>
      </w:r>
      <w:r>
        <w:rPr>
          <w:rFonts w:ascii="Times New Roman" w:hAnsi="Times New Roman"/>
          <w:b/>
          <w:i/>
          <w:noProof/>
          <w:sz w:val="24"/>
          <w:u w:val="single"/>
        </w:rPr>
        <w:t>(Legislativo)</w:t>
      </w:r>
    </w:p>
    <w:p w:rsidR="00E777DA" w:rsidRDefault="00792AB2">
      <w:pPr>
        <w:spacing w:after="0"/>
        <w:jc w:val="both"/>
        <w:rPr>
          <w:rFonts w:ascii="Times New Roman" w:hAnsi="Times New Roman"/>
          <w:noProof/>
          <w:sz w:val="24"/>
          <w:szCs w:val="24"/>
        </w:rPr>
      </w:pPr>
      <w:r>
        <w:rPr>
          <w:rFonts w:ascii="Times New Roman" w:hAnsi="Times New Roman"/>
          <w:noProof/>
          <w:sz w:val="24"/>
        </w:rPr>
        <w:t>La valut</w:t>
      </w:r>
      <w:r>
        <w:rPr>
          <w:rFonts w:ascii="Times New Roman" w:hAnsi="Times New Roman"/>
          <w:noProof/>
          <w:sz w:val="24"/>
        </w:rPr>
        <w:t>azione ha sottolineato l'importanza di chiarire la definizione della convertibilità e i criteri per definire le armi d'allarme in modo da creare un'intesa comune su quali tipi di armi d'allarme possono essere convertiti e da limitare la circolazione dei ti</w:t>
      </w:r>
      <w:r>
        <w:rPr>
          <w:rFonts w:ascii="Times New Roman" w:hAnsi="Times New Roman"/>
          <w:noProof/>
          <w:sz w:val="24"/>
        </w:rPr>
        <w:t xml:space="preserve">pi per i quali è stata provata la convertibilità in armi da fuoco funzionanti. </w:t>
      </w:r>
      <w:r>
        <w:rPr>
          <w:rFonts w:ascii="Times New Roman" w:hAnsi="Times New Roman"/>
          <w:b/>
          <w:noProof/>
          <w:sz w:val="24"/>
        </w:rPr>
        <w:t>Questioni di fondo:</w:t>
      </w:r>
      <w:r>
        <w:rPr>
          <w:rFonts w:ascii="Times New Roman" w:hAnsi="Times New Roman"/>
          <w:noProof/>
          <w:sz w:val="24"/>
        </w:rPr>
        <w:t xml:space="preserve"> la conversione di armi che originariamente sono armi a salve (armi d'allarme e da segnalazione) in armi atte a sparare munizioni attive è risultata costituir</w:t>
      </w:r>
      <w:r>
        <w:rPr>
          <w:rFonts w:ascii="Times New Roman" w:hAnsi="Times New Roman"/>
          <w:noProof/>
          <w:sz w:val="24"/>
        </w:rPr>
        <w:t xml:space="preserve">e un grave problema in un numero elevato di Stati membri. </w:t>
      </w:r>
    </w:p>
    <w:p w:rsidR="00E777DA" w:rsidRDefault="00E777DA">
      <w:pPr>
        <w:spacing w:after="0"/>
        <w:jc w:val="both"/>
        <w:rPr>
          <w:rFonts w:ascii="Times New Roman" w:hAnsi="Times New Roman"/>
          <w:b/>
          <w:i/>
          <w:noProof/>
          <w:sz w:val="24"/>
          <w:szCs w:val="24"/>
          <w:u w:val="single"/>
        </w:rPr>
      </w:pPr>
    </w:p>
    <w:p w:rsidR="00E777DA" w:rsidRDefault="00792AB2">
      <w:pPr>
        <w:numPr>
          <w:ilvl w:val="0"/>
          <w:numId w:val="6"/>
        </w:numPr>
        <w:spacing w:after="0"/>
        <w:ind w:left="357" w:hanging="357"/>
        <w:jc w:val="both"/>
        <w:rPr>
          <w:rFonts w:ascii="Times New Roman" w:hAnsi="Times New Roman"/>
          <w:b/>
          <w:i/>
          <w:noProof/>
          <w:sz w:val="24"/>
          <w:szCs w:val="24"/>
          <w:u w:val="single"/>
        </w:rPr>
      </w:pPr>
      <w:r>
        <w:rPr>
          <w:rFonts w:ascii="Times New Roman" w:hAnsi="Times New Roman"/>
          <w:b/>
          <w:noProof/>
          <w:sz w:val="24"/>
        </w:rPr>
        <w:t xml:space="preserve">Armonizzazione delle norme e dei regolamenti sulla disattivazione </w:t>
      </w:r>
      <w:r>
        <w:rPr>
          <w:rFonts w:ascii="Times New Roman" w:hAnsi="Times New Roman"/>
          <w:b/>
          <w:i/>
          <w:noProof/>
          <w:sz w:val="24"/>
          <w:u w:val="single"/>
        </w:rPr>
        <w:t>(Legislativo)</w:t>
      </w:r>
    </w:p>
    <w:p w:rsidR="00E777DA" w:rsidRDefault="00792AB2">
      <w:pPr>
        <w:jc w:val="both"/>
        <w:rPr>
          <w:rFonts w:ascii="Times New Roman" w:hAnsi="Times New Roman"/>
          <w:noProof/>
          <w:sz w:val="24"/>
          <w:szCs w:val="24"/>
        </w:rPr>
      </w:pPr>
      <w:r>
        <w:rPr>
          <w:rFonts w:ascii="Times New Roman" w:hAnsi="Times New Roman"/>
          <w:noProof/>
          <w:sz w:val="24"/>
        </w:rPr>
        <w:t>La valutazione ha raccomandato di proseguire l'attuale processo di definizione degli orientamenti comuni sulle norme e sulle tecniche di disattivazione delle armi da fuoco, anche in linea con le disposizioni della direttiva che prevedono esplicitamente l'e</w:t>
      </w:r>
      <w:r>
        <w:rPr>
          <w:rFonts w:ascii="Times New Roman" w:hAnsi="Times New Roman"/>
          <w:noProof/>
          <w:sz w:val="24"/>
        </w:rPr>
        <w:t>laborazione di orientamenti comuni sulla disattivazione da parte della Commissione. La portata degli orientamenti andrebbe estesa al fine di affrontare anche norme attinenti alle prescrizioni sulla detenzione, la vendita o il trasferimento di armi da fuoco</w:t>
      </w:r>
      <w:r>
        <w:rPr>
          <w:rFonts w:ascii="Times New Roman" w:hAnsi="Times New Roman"/>
          <w:noProof/>
          <w:sz w:val="24"/>
        </w:rPr>
        <w:t xml:space="preserve"> disattivate. </w:t>
      </w:r>
      <w:r>
        <w:rPr>
          <w:rFonts w:ascii="Times New Roman" w:hAnsi="Times New Roman"/>
          <w:b/>
          <w:noProof/>
          <w:sz w:val="24"/>
        </w:rPr>
        <w:t>Questioni di fondo:</w:t>
      </w:r>
      <w:r>
        <w:rPr>
          <w:rFonts w:ascii="Times New Roman" w:hAnsi="Times New Roman"/>
          <w:noProof/>
          <w:sz w:val="24"/>
        </w:rPr>
        <w:t xml:space="preserve"> la mancanza di orientamenti comuni sulle norme e le tecniche di disattivazione è all'origine della circolazione di armi da fuoco disattivate che presentano vari livelli di rischio di una potenziale riattivazione. Oltre alle norme tecniche sulla disattivaz</w:t>
      </w:r>
      <w:r>
        <w:rPr>
          <w:rFonts w:ascii="Times New Roman" w:hAnsi="Times New Roman"/>
          <w:noProof/>
          <w:sz w:val="24"/>
        </w:rPr>
        <w:t>ione, un altro aspetto importante da tenere in considerazione riguarda le prescrizioni sulla detenzione, la vendita o il trasferimento. Nella maggior parte degli SM le armi da fuoco disattivate non sono considerate più armi da fuoco. Esse sono quindi cance</w:t>
      </w:r>
      <w:r>
        <w:rPr>
          <w:rFonts w:ascii="Times New Roman" w:hAnsi="Times New Roman"/>
          <w:noProof/>
          <w:sz w:val="24"/>
        </w:rPr>
        <w:t xml:space="preserve">llate dal registro ufficiale ed è impossibile risalire al loro proprietario originario. Tali articoli possono comunque essere considerati problematici in termini di sicurezza e usati a fini di intimidazione. </w:t>
      </w:r>
    </w:p>
    <w:p w:rsidR="00E777DA" w:rsidRDefault="00792AB2">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 xml:space="preserve">Armonizzazione delle norme sulla marcatura </w:t>
      </w:r>
      <w:r>
        <w:rPr>
          <w:rFonts w:ascii="Times New Roman" w:hAnsi="Times New Roman"/>
          <w:b/>
          <w:i/>
          <w:noProof/>
          <w:sz w:val="24"/>
          <w:u w:val="single"/>
        </w:rPr>
        <w:t>(Leg</w:t>
      </w:r>
      <w:r>
        <w:rPr>
          <w:rFonts w:ascii="Times New Roman" w:hAnsi="Times New Roman"/>
          <w:b/>
          <w:i/>
          <w:noProof/>
          <w:sz w:val="24"/>
          <w:u w:val="single"/>
        </w:rPr>
        <w:t>islativo)</w:t>
      </w:r>
    </w:p>
    <w:p w:rsidR="00E777DA" w:rsidRDefault="00792AB2">
      <w:pPr>
        <w:numPr>
          <w:ilvl w:val="0"/>
          <w:numId w:val="6"/>
        </w:numPr>
        <w:spacing w:after="0"/>
        <w:ind w:left="357" w:hanging="357"/>
        <w:jc w:val="both"/>
        <w:rPr>
          <w:rFonts w:ascii="Times New Roman" w:hAnsi="Times New Roman"/>
          <w:b/>
          <w:noProof/>
          <w:sz w:val="24"/>
          <w:szCs w:val="24"/>
        </w:rPr>
      </w:pPr>
      <w:r>
        <w:rPr>
          <w:rFonts w:ascii="Times New Roman" w:hAnsi="Times New Roman"/>
          <w:noProof/>
          <w:sz w:val="24"/>
        </w:rPr>
        <w:t>La valutazione ha raccomandato di allineare le attuali definizioni della direttiva riguardanti parti e componenti con le definizioni contenute nell'UNFP, di proporre l'adozione di norme sulla marcatura a livello di UE e di includere nella diretti</w:t>
      </w:r>
      <w:r>
        <w:rPr>
          <w:rFonts w:ascii="Times New Roman" w:hAnsi="Times New Roman"/>
          <w:noProof/>
          <w:sz w:val="24"/>
        </w:rPr>
        <w:t xml:space="preserve">va l'obbligo di apporre un marchio su tutte le componenti essenziali al momento della fabbricazione o dell'importazione. </w:t>
      </w:r>
      <w:r>
        <w:rPr>
          <w:rFonts w:ascii="Times New Roman" w:hAnsi="Times New Roman"/>
          <w:b/>
          <w:noProof/>
          <w:sz w:val="24"/>
        </w:rPr>
        <w:t>Questioni di fondo:</w:t>
      </w:r>
      <w:r>
        <w:rPr>
          <w:rFonts w:ascii="Times New Roman" w:hAnsi="Times New Roman"/>
          <w:noProof/>
          <w:sz w:val="24"/>
        </w:rPr>
        <w:t xml:space="preserve"> il fatto che taluni Stati membri non trattino le componenti essenziali come armi da fuoco e l'obbligo di apporre il</w:t>
      </w:r>
      <w:r>
        <w:rPr>
          <w:rFonts w:ascii="Times New Roman" w:hAnsi="Times New Roman"/>
          <w:noProof/>
          <w:sz w:val="24"/>
        </w:rPr>
        <w:t xml:space="preserve"> marchio unicamente sulle componenti essenziali genera differenze che creano difficoltà alle autorità preposte all'applicazione della legge che devono tracciare le armi da fuoco utilizzate in reati transfrontalieri. Questo implica inoltre potenziali ostaco</w:t>
      </w:r>
      <w:r>
        <w:rPr>
          <w:rFonts w:ascii="Times New Roman" w:hAnsi="Times New Roman"/>
          <w:noProof/>
          <w:sz w:val="24"/>
        </w:rPr>
        <w:t>li al funzionamento del mercato interno in quanto i marchi possono non essere riconosciuti in tutti gli Stati membri.</w:t>
      </w:r>
      <w:r>
        <w:rPr>
          <w:noProof/>
        </w:rPr>
        <w:t xml:space="preserve"> </w:t>
      </w:r>
      <w:r>
        <w:rPr>
          <w:rFonts w:ascii="Times New Roman" w:hAnsi="Times New Roman"/>
          <w:noProof/>
          <w:sz w:val="24"/>
        </w:rPr>
        <w:t>Sarebbe opportuno effettuare un'analisi preliminare approfondita delle parti di armi da fuoco regolamentate e marcate nei diversi SM e tra</w:t>
      </w:r>
      <w:r>
        <w:rPr>
          <w:rFonts w:ascii="Times New Roman" w:hAnsi="Times New Roman"/>
          <w:noProof/>
          <w:sz w:val="24"/>
        </w:rPr>
        <w:t>ttare a livello dell'UE le differenze tra la definizione di "componenti essenziali" contenuta nella direttiva sulle armi da fuoco e di "parti e componenti" regolamentate dall'UNFP, al fine di valutare la necessità di modificare le definizioni della diretti</w:t>
      </w:r>
      <w:r>
        <w:rPr>
          <w:rFonts w:ascii="Times New Roman" w:hAnsi="Times New Roman"/>
          <w:noProof/>
          <w:sz w:val="24"/>
        </w:rPr>
        <w:t xml:space="preserve">va. </w:t>
      </w:r>
    </w:p>
    <w:p w:rsidR="00E777DA" w:rsidRDefault="00E777DA">
      <w:pPr>
        <w:spacing w:after="0"/>
        <w:ind w:left="357"/>
        <w:jc w:val="both"/>
        <w:rPr>
          <w:rFonts w:ascii="Times New Roman" w:hAnsi="Times New Roman"/>
          <w:b/>
          <w:noProof/>
          <w:sz w:val="24"/>
          <w:szCs w:val="24"/>
        </w:rPr>
      </w:pPr>
    </w:p>
    <w:p w:rsidR="00E777DA" w:rsidRDefault="00792AB2">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 xml:space="preserve">Trasparenza e accessibilità delle disposizioni nazionali di attuazione della direttiva </w:t>
      </w:r>
      <w:r>
        <w:rPr>
          <w:rFonts w:ascii="Times New Roman" w:hAnsi="Times New Roman"/>
          <w:b/>
          <w:i/>
          <w:noProof/>
          <w:sz w:val="24"/>
        </w:rPr>
        <w:t>(Non legislativo)</w:t>
      </w:r>
      <w:r>
        <w:rPr>
          <w:rFonts w:ascii="Times New Roman" w:hAnsi="Times New Roman"/>
          <w:b/>
          <w:noProof/>
          <w:sz w:val="24"/>
        </w:rPr>
        <w:t xml:space="preserve"> </w:t>
      </w:r>
    </w:p>
    <w:p w:rsidR="00E777DA" w:rsidRDefault="00792AB2">
      <w:pPr>
        <w:spacing w:after="0"/>
        <w:ind w:left="357"/>
        <w:jc w:val="both"/>
        <w:rPr>
          <w:rFonts w:ascii="Times New Roman" w:hAnsi="Times New Roman"/>
          <w:noProof/>
          <w:sz w:val="24"/>
          <w:szCs w:val="24"/>
        </w:rPr>
      </w:pPr>
      <w:r>
        <w:rPr>
          <w:rFonts w:ascii="Times New Roman" w:hAnsi="Times New Roman"/>
          <w:noProof/>
          <w:sz w:val="24"/>
        </w:rPr>
        <w:t>La valutazione ha raccomandato di migliorare per tutte le parti interessate l'accessibilità a livello di UE delle informazioni raccolte a livell</w:t>
      </w:r>
      <w:r>
        <w:rPr>
          <w:rFonts w:ascii="Times New Roman" w:hAnsi="Times New Roman"/>
          <w:noProof/>
          <w:sz w:val="24"/>
        </w:rPr>
        <w:t xml:space="preserve">o nazionale, specialmente in considerazione dei costi che le PMI possono essere tenute a sostenere (ad es. creando una base dati che riunisca le informazioni sulla normativa e sulle prescrizioni vigenti nei 28 Stati membri). </w:t>
      </w:r>
      <w:r>
        <w:rPr>
          <w:rFonts w:ascii="Times New Roman" w:hAnsi="Times New Roman"/>
          <w:b/>
          <w:noProof/>
          <w:sz w:val="24"/>
        </w:rPr>
        <w:t>Questioni di fondo:</w:t>
      </w:r>
      <w:r>
        <w:rPr>
          <w:rFonts w:ascii="Times New Roman" w:hAnsi="Times New Roman"/>
          <w:noProof/>
          <w:sz w:val="24"/>
        </w:rPr>
        <w:t xml:space="preserve"> le differen</w:t>
      </w:r>
      <w:r>
        <w:rPr>
          <w:rFonts w:ascii="Times New Roman" w:hAnsi="Times New Roman"/>
          <w:noProof/>
          <w:sz w:val="24"/>
        </w:rPr>
        <w:t xml:space="preserve">ze a livello di applicazione sono all'origine della lentezza negli scambi di armi da fuoco all'interno dell'UE, dei costi per le informazioni, soprattutto per le PMI, e degli oneri risultanti dalle differenze tra le procedure amministrative adottate. </w:t>
      </w:r>
    </w:p>
    <w:p w:rsidR="00E777DA" w:rsidRDefault="00E777DA">
      <w:pPr>
        <w:spacing w:after="0"/>
        <w:jc w:val="both"/>
        <w:rPr>
          <w:rFonts w:ascii="Times New Roman" w:hAnsi="Times New Roman"/>
          <w:noProof/>
          <w:sz w:val="24"/>
          <w:szCs w:val="24"/>
        </w:rPr>
      </w:pPr>
    </w:p>
    <w:p w:rsidR="00E777DA" w:rsidRDefault="00792AB2">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Def</w:t>
      </w:r>
      <w:r>
        <w:rPr>
          <w:rFonts w:ascii="Times New Roman" w:hAnsi="Times New Roman"/>
          <w:b/>
          <w:noProof/>
          <w:sz w:val="24"/>
        </w:rPr>
        <w:t xml:space="preserve">inire un approccio concordato per la classificazione delle armi da fuoco da caccia e sportive e chiarire le disposizioni sulla carta europea d'arma da fuoco </w:t>
      </w:r>
      <w:r>
        <w:rPr>
          <w:rFonts w:ascii="Times New Roman" w:hAnsi="Times New Roman"/>
          <w:b/>
          <w:i/>
          <w:noProof/>
          <w:sz w:val="24"/>
        </w:rPr>
        <w:t>(Non legislativo)</w:t>
      </w:r>
      <w:r>
        <w:rPr>
          <w:rFonts w:ascii="Times New Roman" w:hAnsi="Times New Roman"/>
          <w:b/>
          <w:noProof/>
          <w:sz w:val="24"/>
        </w:rPr>
        <w:t xml:space="preserve"> </w:t>
      </w:r>
    </w:p>
    <w:p w:rsidR="00E777DA" w:rsidRDefault="00792AB2">
      <w:pPr>
        <w:spacing w:after="0"/>
        <w:ind w:left="357"/>
        <w:jc w:val="both"/>
        <w:rPr>
          <w:rFonts w:ascii="Times New Roman" w:hAnsi="Times New Roman"/>
          <w:noProof/>
          <w:sz w:val="24"/>
          <w:szCs w:val="24"/>
        </w:rPr>
      </w:pPr>
      <w:r>
        <w:rPr>
          <w:rFonts w:ascii="Times New Roman" w:hAnsi="Times New Roman"/>
          <w:noProof/>
          <w:sz w:val="24"/>
        </w:rPr>
        <w:t>La valutazione ha raccomandato di definire ulteriormente a livello dell'UE le re</w:t>
      </w:r>
      <w:r>
        <w:rPr>
          <w:rFonts w:ascii="Times New Roman" w:hAnsi="Times New Roman"/>
          <w:noProof/>
          <w:sz w:val="24"/>
        </w:rPr>
        <w:t xml:space="preserve">gole riguardanti la carta europea d'arma da fuoco (ad esempio chiarendo quanti documenti aggiuntivi sono richiesti dalle autorità nazionali e quante armi da fuoco possono essere incluse nella carta). </w:t>
      </w:r>
      <w:r>
        <w:rPr>
          <w:rFonts w:ascii="Times New Roman" w:hAnsi="Times New Roman"/>
          <w:b/>
          <w:noProof/>
          <w:sz w:val="24"/>
        </w:rPr>
        <w:t xml:space="preserve">Questioni di fondo: </w:t>
      </w:r>
      <w:r>
        <w:rPr>
          <w:rFonts w:ascii="Times New Roman" w:hAnsi="Times New Roman"/>
          <w:noProof/>
          <w:sz w:val="24"/>
        </w:rPr>
        <w:t>le differenze di classificazione del</w:t>
      </w:r>
      <w:r>
        <w:rPr>
          <w:rFonts w:ascii="Times New Roman" w:hAnsi="Times New Roman"/>
          <w:noProof/>
          <w:sz w:val="24"/>
        </w:rPr>
        <w:t xml:space="preserve">le armi da fuoco comunemente utilizzate per tali attività nei diversi SM (ad es. armi da fuoco comunemente utilizzate per il tiro sportivo possono essere vietate in taluni SM), nonché interpretazioni troppo restrittive di talune delle regole relative alla </w:t>
      </w:r>
      <w:r>
        <w:rPr>
          <w:rFonts w:ascii="Times New Roman" w:hAnsi="Times New Roman"/>
          <w:noProof/>
          <w:sz w:val="24"/>
        </w:rPr>
        <w:t xml:space="preserve">carta europea d'arma da fuoco. </w:t>
      </w:r>
    </w:p>
    <w:p w:rsidR="00E777DA" w:rsidRDefault="00E777DA">
      <w:pPr>
        <w:spacing w:after="0"/>
        <w:ind w:left="357"/>
        <w:jc w:val="both"/>
        <w:rPr>
          <w:rFonts w:ascii="Times New Roman" w:hAnsi="Times New Roman"/>
          <w:noProof/>
          <w:sz w:val="24"/>
          <w:szCs w:val="24"/>
        </w:rPr>
      </w:pPr>
    </w:p>
    <w:p w:rsidR="00E777DA" w:rsidRDefault="00792AB2">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 xml:space="preserve">Analisi approfondita delle questioni più importanti </w:t>
      </w:r>
      <w:r>
        <w:rPr>
          <w:rFonts w:ascii="Times New Roman" w:hAnsi="Times New Roman"/>
          <w:b/>
          <w:i/>
          <w:noProof/>
          <w:sz w:val="24"/>
        </w:rPr>
        <w:t xml:space="preserve">(Non legislativo)  </w:t>
      </w:r>
    </w:p>
    <w:p w:rsidR="00E777DA" w:rsidRDefault="00792AB2">
      <w:pPr>
        <w:spacing w:after="0"/>
        <w:ind w:left="357"/>
        <w:jc w:val="both"/>
        <w:rPr>
          <w:rFonts w:ascii="Times New Roman" w:hAnsi="Times New Roman"/>
          <w:noProof/>
          <w:sz w:val="24"/>
          <w:szCs w:val="24"/>
        </w:rPr>
      </w:pPr>
      <w:r>
        <w:rPr>
          <w:rFonts w:ascii="Times New Roman" w:hAnsi="Times New Roman"/>
          <w:noProof/>
          <w:sz w:val="24"/>
        </w:rPr>
        <w:t>La valutazione ha raccomandato di effettuare un'analisi approfondita di aspetti specifici connessi alla direttiva che sono risultati problematici nello</w:t>
      </w:r>
      <w:r>
        <w:rPr>
          <w:rFonts w:ascii="Times New Roman" w:hAnsi="Times New Roman"/>
          <w:noProof/>
          <w:sz w:val="24"/>
        </w:rPr>
        <w:t xml:space="preserve"> studio: 1) l'ulteriore armonizzazione delle prescrizioni sulla detenzione di armi da fuoco; 2) l'interpretazione del termine "intermediario"; 3) la valutazione delle norme applicate alle armi semiautomatiche e del loro livello di pericolosità (in relazion</w:t>
      </w:r>
      <w:r>
        <w:rPr>
          <w:rFonts w:ascii="Times New Roman" w:hAnsi="Times New Roman"/>
          <w:noProof/>
          <w:sz w:val="24"/>
        </w:rPr>
        <w:t xml:space="preserve">e alla convertibilità in armi automatiche). </w:t>
      </w:r>
      <w:r>
        <w:rPr>
          <w:rFonts w:ascii="Times New Roman" w:hAnsi="Times New Roman"/>
          <w:b/>
          <w:noProof/>
          <w:sz w:val="24"/>
        </w:rPr>
        <w:t>Questioni di fondo:</w:t>
      </w:r>
      <w:r>
        <w:rPr>
          <w:rFonts w:ascii="Times New Roman" w:hAnsi="Times New Roman"/>
          <w:noProof/>
          <w:sz w:val="24"/>
        </w:rPr>
        <w:t xml:space="preserve"> 1) Prescrizioni sulla detenzione di armi da fuoco: i valutatori hanno osservato un progressivo allineamento degli SM verso prescrizioni comuni e più dettagliate rispetto a quelle contenute nel</w:t>
      </w:r>
      <w:r>
        <w:rPr>
          <w:rFonts w:ascii="Times New Roman" w:hAnsi="Times New Roman"/>
          <w:noProof/>
          <w:sz w:val="24"/>
        </w:rPr>
        <w:t>la direttiva; 2) Il termine "intermediario": le incoerenze nella definizione del termine possono essere fonte di rischi; 3) Armi semiautomatiche: una serie di SM ha sottolineato i rischi associati alla conversione di armi semiautomatiche in armi automatich</w:t>
      </w:r>
      <w:r>
        <w:rPr>
          <w:rFonts w:ascii="Times New Roman" w:hAnsi="Times New Roman"/>
          <w:noProof/>
          <w:sz w:val="24"/>
        </w:rPr>
        <w:t>e.</w:t>
      </w:r>
    </w:p>
    <w:p w:rsidR="00E777DA" w:rsidRDefault="00E777DA">
      <w:pPr>
        <w:spacing w:after="0"/>
        <w:ind w:left="357"/>
        <w:jc w:val="both"/>
        <w:rPr>
          <w:rFonts w:ascii="Times New Roman" w:hAnsi="Times New Roman"/>
          <w:noProof/>
          <w:sz w:val="24"/>
          <w:szCs w:val="24"/>
        </w:rPr>
      </w:pPr>
    </w:p>
    <w:p w:rsidR="00E777DA" w:rsidRDefault="00792AB2">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Ampliare le conoscenze in merito alle nuove tecnologie (Non legislativo)</w:t>
      </w:r>
    </w:p>
    <w:p w:rsidR="00E777DA" w:rsidRDefault="00792AB2">
      <w:pPr>
        <w:spacing w:after="0"/>
        <w:ind w:left="357"/>
        <w:jc w:val="both"/>
        <w:rPr>
          <w:rFonts w:ascii="Times New Roman" w:hAnsi="Times New Roman"/>
          <w:noProof/>
          <w:sz w:val="24"/>
          <w:szCs w:val="24"/>
        </w:rPr>
      </w:pPr>
      <w:r>
        <w:rPr>
          <w:rFonts w:ascii="Times New Roman" w:hAnsi="Times New Roman"/>
          <w:noProof/>
          <w:sz w:val="24"/>
        </w:rPr>
        <w:t>La valutazione ha raccomandato ulteriori misure per agevolare la condivisione delle conoscenze tra SM in merito agli sviluppi del mercato delle armi da fuoco e del traffico di arm</w:t>
      </w:r>
      <w:r>
        <w:rPr>
          <w:rFonts w:ascii="Times New Roman" w:hAnsi="Times New Roman"/>
          <w:noProof/>
          <w:sz w:val="24"/>
        </w:rPr>
        <w:t xml:space="preserve">i (ad esempio il mercato online delle armi da fuoco, loro parti e altre armi) nonché all'impatto delle nuove tecnologie (stampa 3D) sul controllo e la tracciatura delle armi. </w:t>
      </w:r>
      <w:r>
        <w:rPr>
          <w:rFonts w:ascii="Times New Roman" w:hAnsi="Times New Roman"/>
          <w:b/>
          <w:noProof/>
          <w:sz w:val="24"/>
        </w:rPr>
        <w:t>Questioni di fondo:</w:t>
      </w:r>
      <w:r>
        <w:rPr>
          <w:rFonts w:ascii="Times New Roman" w:hAnsi="Times New Roman"/>
          <w:noProof/>
          <w:sz w:val="24"/>
        </w:rPr>
        <w:t xml:space="preserve"> le nuove tecnologie possono compromettere la capacità delle a</w:t>
      </w:r>
      <w:r>
        <w:rPr>
          <w:rFonts w:ascii="Times New Roman" w:hAnsi="Times New Roman"/>
          <w:noProof/>
          <w:sz w:val="24"/>
        </w:rPr>
        <w:t xml:space="preserve">utorità preposte all'applicazione della legge di tracciare e identificare le armi da fuoco o le loro componenti nei vari SM e in futuro renderanno probabilmente difficile tracciare e controllare i trasferimenti di armi da fuoco. </w:t>
      </w:r>
    </w:p>
    <w:p w:rsidR="00E777DA" w:rsidRDefault="00E777DA">
      <w:pPr>
        <w:spacing w:after="0"/>
        <w:ind w:left="357"/>
        <w:jc w:val="both"/>
        <w:rPr>
          <w:rFonts w:ascii="Times New Roman" w:hAnsi="Times New Roman"/>
          <w:noProof/>
          <w:sz w:val="24"/>
          <w:szCs w:val="24"/>
        </w:rPr>
      </w:pPr>
    </w:p>
    <w:p w:rsidR="00E777DA" w:rsidRDefault="00792AB2">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Potenziare la raccolta di</w:t>
      </w:r>
      <w:r>
        <w:rPr>
          <w:rFonts w:ascii="Times New Roman" w:hAnsi="Times New Roman"/>
          <w:b/>
          <w:noProof/>
          <w:sz w:val="24"/>
        </w:rPr>
        <w:t xml:space="preserve"> dati (Non legislativo)</w:t>
      </w:r>
    </w:p>
    <w:p w:rsidR="00E777DA" w:rsidRDefault="00792AB2">
      <w:pPr>
        <w:spacing w:after="0"/>
        <w:ind w:left="357"/>
        <w:jc w:val="both"/>
        <w:rPr>
          <w:rFonts w:ascii="Times New Roman" w:hAnsi="Times New Roman"/>
          <w:noProof/>
          <w:sz w:val="24"/>
          <w:szCs w:val="24"/>
        </w:rPr>
      </w:pPr>
      <w:r>
        <w:rPr>
          <w:rFonts w:ascii="Times New Roman" w:hAnsi="Times New Roman"/>
          <w:noProof/>
          <w:sz w:val="24"/>
        </w:rPr>
        <w:t>La valutazione ha raccomandato di potenziare le attività di raccolta dei dati al fine di creare una solida base di informazioni sulle armi da fuoco ad uso civile e sui reati ad esse connessi per sostenere i futuri processi decisiona</w:t>
      </w:r>
      <w:r>
        <w:rPr>
          <w:rFonts w:ascii="Times New Roman" w:hAnsi="Times New Roman"/>
          <w:noProof/>
          <w:sz w:val="24"/>
        </w:rPr>
        <w:t xml:space="preserve">li a livello dell'UE. </w:t>
      </w:r>
      <w:r>
        <w:rPr>
          <w:rFonts w:ascii="Times New Roman" w:hAnsi="Times New Roman"/>
          <w:b/>
          <w:noProof/>
          <w:sz w:val="24"/>
        </w:rPr>
        <w:t>Questioni di fondo:</w:t>
      </w:r>
      <w:r>
        <w:rPr>
          <w:rFonts w:ascii="Times New Roman" w:hAnsi="Times New Roman"/>
          <w:noProof/>
          <w:sz w:val="24"/>
        </w:rPr>
        <w:t xml:space="preserve"> la mancanza di dati dettagliati e completi è uno dei maggiori ostacoli all'elaborazione, da parte dei responsabili politici, di politiche fondate su elementi probanti. </w:t>
      </w:r>
    </w:p>
    <w:p w:rsidR="00E777DA" w:rsidRDefault="00792AB2">
      <w:pPr>
        <w:pStyle w:val="Heading1"/>
        <w:rPr>
          <w:rFonts w:ascii="Times New Roman" w:hAnsi="Times New Roman"/>
          <w:noProof/>
          <w:sz w:val="24"/>
        </w:rPr>
      </w:pPr>
      <w:r>
        <w:rPr>
          <w:rFonts w:ascii="Times New Roman" w:hAnsi="Times New Roman"/>
          <w:noProof/>
          <w:sz w:val="24"/>
        </w:rPr>
        <w:t>6. Valutazione critica e feedback del comitat</w:t>
      </w:r>
      <w:r>
        <w:rPr>
          <w:rFonts w:ascii="Times New Roman" w:hAnsi="Times New Roman"/>
          <w:noProof/>
          <w:sz w:val="24"/>
        </w:rPr>
        <w:t xml:space="preserve">o armi da fuoco </w:t>
      </w:r>
    </w:p>
    <w:p w:rsidR="00E777DA" w:rsidRDefault="00792AB2">
      <w:pPr>
        <w:jc w:val="both"/>
        <w:rPr>
          <w:rFonts w:ascii="Times New Roman" w:hAnsi="Times New Roman"/>
          <w:noProof/>
          <w:sz w:val="24"/>
          <w:szCs w:val="24"/>
        </w:rPr>
      </w:pPr>
      <w:r>
        <w:rPr>
          <w:rFonts w:ascii="Times New Roman" w:hAnsi="Times New Roman"/>
          <w:noProof/>
          <w:sz w:val="24"/>
        </w:rPr>
        <w:t>35) Lo studio di valutazione ha risposto alle richieste di valutazione espresse dalla Commissione e la sua analisi si è basata su un esame approfondito dei dati raccolti. Da un punto di vista qualitativo i dati disponibili attraverso le st</w:t>
      </w:r>
      <w:r>
        <w:rPr>
          <w:rFonts w:ascii="Times New Roman" w:hAnsi="Times New Roman"/>
          <w:noProof/>
          <w:sz w:val="24"/>
        </w:rPr>
        <w:t>atistiche ufficiali non erano tuttavia sufficienti. La disponibilità di dati riguardanti le questioni di sicurezza è chiaramente scarsa (ad esempio i dati sui reati non sono disaggregati per categoria di armi da fuoco, la distinzione tra armi da fuoco lega</w:t>
      </w:r>
      <w:r>
        <w:rPr>
          <w:rFonts w:ascii="Times New Roman" w:hAnsi="Times New Roman"/>
          <w:noProof/>
          <w:sz w:val="24"/>
        </w:rPr>
        <w:t>li e illegali utilizzate nei reati è limitata, così come i dati sulla produzione di armi ad uso civile per SM, ecc.) e la qualità dei dati disponibili in relazione alla struttura del mercato delle armi da fuoco ad uso civile lascia a desiderare (ad es. pro</w:t>
      </w:r>
      <w:r>
        <w:rPr>
          <w:rFonts w:ascii="Times New Roman" w:hAnsi="Times New Roman"/>
          <w:noProof/>
          <w:sz w:val="24"/>
        </w:rPr>
        <w:t>duzione, importazione ed esportazione di armi da fuoco ad uso civile, addetti e fatturato delle imprese che operano nel settore). Mancano dati che consentano di quantificare i costi e gli oneri amministrativi connessi all'attuazione di specifiche disposizi</w:t>
      </w:r>
      <w:r>
        <w:rPr>
          <w:rFonts w:ascii="Times New Roman" w:hAnsi="Times New Roman"/>
          <w:noProof/>
          <w:sz w:val="24"/>
        </w:rPr>
        <w:t>oni della direttiva.</w:t>
      </w:r>
    </w:p>
    <w:p w:rsidR="00E777DA" w:rsidRDefault="00792AB2">
      <w:pPr>
        <w:jc w:val="both"/>
        <w:rPr>
          <w:rFonts w:ascii="Times New Roman" w:hAnsi="Times New Roman"/>
          <w:noProof/>
          <w:sz w:val="24"/>
        </w:rPr>
      </w:pPr>
      <w:r>
        <w:rPr>
          <w:rFonts w:ascii="Times New Roman" w:hAnsi="Times New Roman"/>
          <w:noProof/>
          <w:sz w:val="24"/>
        </w:rPr>
        <w:t>36) I valutatori hanno cercato di ovviare alla mancanza di dati aggregati e statistiche sulle armi da fuoco ad uso civile nell'UE contattando le organizzazioni nazionali del settore e raccogliendo le informazioni utili mancanti nel cor</w:t>
      </w:r>
      <w:r>
        <w:rPr>
          <w:rFonts w:ascii="Times New Roman" w:hAnsi="Times New Roman"/>
          <w:noProof/>
          <w:sz w:val="24"/>
        </w:rPr>
        <w:t xml:space="preserve">so dei colloqui. Grazie ad informazioni provenienti da varie fonti sono riusciti ad operare una verifica incrociata della qualità e dell'attendibilità delle informazioni. </w:t>
      </w:r>
    </w:p>
    <w:p w:rsidR="00E777DA" w:rsidRDefault="00792AB2">
      <w:pPr>
        <w:jc w:val="both"/>
        <w:rPr>
          <w:rFonts w:ascii="Times New Roman" w:hAnsi="Times New Roman"/>
          <w:noProof/>
          <w:sz w:val="24"/>
        </w:rPr>
      </w:pPr>
      <w:r>
        <w:rPr>
          <w:rFonts w:ascii="Times New Roman" w:hAnsi="Times New Roman"/>
          <w:noProof/>
          <w:sz w:val="24"/>
        </w:rPr>
        <w:t>37) Per poter elaborare con maggiore accuratezza il suo parere sulla validità dei ri</w:t>
      </w:r>
      <w:r>
        <w:rPr>
          <w:rFonts w:ascii="Times New Roman" w:hAnsi="Times New Roman"/>
          <w:noProof/>
          <w:sz w:val="24"/>
        </w:rPr>
        <w:t>sultati e delle raccomandazioni dello studio, la Commissione ha invitato i rappresentati del comitato armi da fuoco (composto dai 28 rappresentanti degli Stati membri dell'UE e da 4 rappresentanti dei paesi del SEE e dell'EFTA) ad esprimere le loro osserva</w:t>
      </w:r>
      <w:r>
        <w:rPr>
          <w:rFonts w:ascii="Times New Roman" w:hAnsi="Times New Roman"/>
          <w:noProof/>
          <w:sz w:val="24"/>
        </w:rPr>
        <w:t>zioni in merito. Alla riunione del comitato del 18 dicembre 2014 sono stati presentati i risultati dello studio. I rappresentanti degli Stati membri in seno al comitato hanno concluso che le raccomandazioni erano in generale valide. In seguito ai tragici a</w:t>
      </w:r>
      <w:r>
        <w:rPr>
          <w:rFonts w:ascii="Times New Roman" w:hAnsi="Times New Roman"/>
          <w:noProof/>
          <w:sz w:val="24"/>
        </w:rPr>
        <w:t>vvenimenti del gennaio 2015 gli Stati membri, alla riunione del comitato del 25 marzo 2015, hanno espresso un'opinione più informativa sulle raccomandazioni della valutazione. Gli Stati membri hanno presentato la loro valutazione dell'urgenza e della valid</w:t>
      </w:r>
      <w:r>
        <w:rPr>
          <w:rFonts w:ascii="Times New Roman" w:hAnsi="Times New Roman"/>
          <w:noProof/>
          <w:sz w:val="24"/>
        </w:rPr>
        <w:t>ità di ogni raccomandazione. Taluni Stati membri (Francia, Regno Unito, Svezia e Belgio) hanno inoltre completato il feedback orale con osservazioni scritte.</w:t>
      </w:r>
    </w:p>
    <w:p w:rsidR="00E777DA" w:rsidRDefault="00792AB2">
      <w:pPr>
        <w:jc w:val="both"/>
        <w:rPr>
          <w:rFonts w:ascii="Times New Roman" w:hAnsi="Times New Roman"/>
          <w:noProof/>
          <w:sz w:val="24"/>
          <w:szCs w:val="24"/>
        </w:rPr>
      </w:pPr>
      <w:r>
        <w:rPr>
          <w:rFonts w:ascii="Times New Roman" w:hAnsi="Times New Roman"/>
          <w:noProof/>
          <w:sz w:val="24"/>
        </w:rPr>
        <w:t>38) Dalle informazioni raccolte dagli Stati membri, si può concludere che:</w:t>
      </w:r>
    </w:p>
    <w:p w:rsidR="00E777DA" w:rsidRDefault="00792AB2">
      <w:pPr>
        <w:numPr>
          <w:ilvl w:val="0"/>
          <w:numId w:val="9"/>
        </w:numPr>
        <w:jc w:val="both"/>
        <w:rPr>
          <w:rFonts w:ascii="Times New Roman" w:hAnsi="Times New Roman"/>
          <w:noProof/>
          <w:sz w:val="24"/>
          <w:szCs w:val="24"/>
        </w:rPr>
      </w:pPr>
      <w:r>
        <w:rPr>
          <w:rFonts w:ascii="Times New Roman" w:hAnsi="Times New Roman"/>
          <w:noProof/>
          <w:sz w:val="24"/>
        </w:rPr>
        <w:t xml:space="preserve">secondo numerosi Stati membri le raccomandazioni da considerare assolutamente prioritarie riguardano: i) </w:t>
      </w:r>
      <w:r>
        <w:rPr>
          <w:rFonts w:ascii="Times New Roman" w:hAnsi="Times New Roman"/>
          <w:b/>
          <w:noProof/>
          <w:sz w:val="24"/>
        </w:rPr>
        <w:t>criteri comuni sulla convertibilità delle armi d'allarme</w:t>
      </w:r>
      <w:r>
        <w:rPr>
          <w:rFonts w:ascii="Times New Roman" w:hAnsi="Times New Roman"/>
          <w:noProof/>
          <w:sz w:val="24"/>
        </w:rPr>
        <w:t xml:space="preserve">, ii) armonizzazione delle norme e delle regole sulla </w:t>
      </w:r>
      <w:r>
        <w:rPr>
          <w:rFonts w:ascii="Times New Roman" w:hAnsi="Times New Roman"/>
          <w:b/>
          <w:noProof/>
          <w:sz w:val="24"/>
        </w:rPr>
        <w:t>disattivazione</w:t>
      </w:r>
      <w:r>
        <w:rPr>
          <w:rFonts w:ascii="Times New Roman" w:hAnsi="Times New Roman"/>
          <w:noProof/>
          <w:sz w:val="24"/>
        </w:rPr>
        <w:t xml:space="preserve">, iii) armonizzazione delle regole sulla </w:t>
      </w:r>
      <w:r>
        <w:rPr>
          <w:rFonts w:ascii="Times New Roman" w:hAnsi="Times New Roman"/>
          <w:b/>
          <w:noProof/>
          <w:sz w:val="24"/>
        </w:rPr>
        <w:t>marcatura</w:t>
      </w:r>
      <w:r>
        <w:rPr>
          <w:rFonts w:ascii="Times New Roman" w:hAnsi="Times New Roman"/>
          <w:noProof/>
          <w:sz w:val="24"/>
        </w:rPr>
        <w:t>. La maggioranza degli Stati membri ritiene che tali questioni richiedano una revisione della direttiva. Numerosi Stati membri hanno sottolineato la necessità di proseguire i lavori in corso sugli orientame</w:t>
      </w:r>
      <w:r>
        <w:rPr>
          <w:rFonts w:ascii="Times New Roman" w:hAnsi="Times New Roman"/>
          <w:noProof/>
          <w:sz w:val="24"/>
        </w:rPr>
        <w:t xml:space="preserve">nti sulla disattivazione previsti dalla direttiva. </w:t>
      </w:r>
    </w:p>
    <w:p w:rsidR="00E777DA" w:rsidRDefault="00792AB2">
      <w:pPr>
        <w:numPr>
          <w:ilvl w:val="0"/>
          <w:numId w:val="9"/>
        </w:numPr>
        <w:jc w:val="both"/>
        <w:rPr>
          <w:rFonts w:ascii="Times New Roman" w:hAnsi="Times New Roman"/>
          <w:noProof/>
          <w:sz w:val="24"/>
          <w:szCs w:val="24"/>
        </w:rPr>
      </w:pPr>
      <w:r>
        <w:rPr>
          <w:rFonts w:ascii="Times New Roman" w:hAnsi="Times New Roman"/>
          <w:noProof/>
          <w:sz w:val="24"/>
        </w:rPr>
        <w:t>Per la maggior parte degli SM occorre inoltre tenere conto delle seguenti raccomandazioni, che sono tuttavia da considerare di priorità media/bassa: i) trasparenza e accessibilità delle disposizioni nazio</w:t>
      </w:r>
      <w:r>
        <w:rPr>
          <w:rFonts w:ascii="Times New Roman" w:hAnsi="Times New Roman"/>
          <w:noProof/>
          <w:sz w:val="24"/>
        </w:rPr>
        <w:t>nali di attuazione della direttiva; ii) ampliamento delle conoscenze sulle nuove tecnologie; iii) rafforzamento della raccolta di dati.</w:t>
      </w:r>
    </w:p>
    <w:p w:rsidR="00E777DA" w:rsidRDefault="00792AB2">
      <w:pPr>
        <w:numPr>
          <w:ilvl w:val="0"/>
          <w:numId w:val="9"/>
        </w:numPr>
        <w:jc w:val="both"/>
        <w:rPr>
          <w:rFonts w:ascii="Times New Roman" w:hAnsi="Times New Roman"/>
          <w:noProof/>
          <w:sz w:val="24"/>
          <w:szCs w:val="24"/>
        </w:rPr>
      </w:pPr>
      <w:r>
        <w:rPr>
          <w:rFonts w:ascii="Times New Roman" w:hAnsi="Times New Roman"/>
          <w:noProof/>
          <w:sz w:val="24"/>
        </w:rPr>
        <w:t>Per quanto concerne la raccomandazione sull'</w:t>
      </w:r>
      <w:r>
        <w:rPr>
          <w:rFonts w:ascii="Times New Roman" w:hAnsi="Times New Roman"/>
          <w:b/>
          <w:noProof/>
          <w:sz w:val="24"/>
        </w:rPr>
        <w:t>interoperabilità</w:t>
      </w:r>
      <w:r>
        <w:rPr>
          <w:rFonts w:ascii="Times New Roman" w:hAnsi="Times New Roman"/>
          <w:noProof/>
          <w:sz w:val="24"/>
        </w:rPr>
        <w:t xml:space="preserve"> tra i sistemi informativi creati a livello nazionale, i par</w:t>
      </w:r>
      <w:r>
        <w:rPr>
          <w:rFonts w:ascii="Times New Roman" w:hAnsi="Times New Roman"/>
          <w:noProof/>
          <w:sz w:val="24"/>
        </w:rPr>
        <w:t>eri degli Stati membri non erano omogenei. Diversi Stati membri ritengono che una delle questioni più urgenti riguardi la tracciabilità delle armi da fuoco. Collegando tra loro gli archivi computerizzati nazionali si potrebbero quindi aiutare le forze di p</w:t>
      </w:r>
      <w:r>
        <w:rPr>
          <w:rFonts w:ascii="Times New Roman" w:hAnsi="Times New Roman"/>
          <w:noProof/>
          <w:sz w:val="24"/>
        </w:rPr>
        <w:t>olizia e le autorità nazionali a condividere meglio le informazioni. Dall'altro lato, diversi Stati membri hanno sottolineato che collegare tra loro gli archivi potrebbe richiedere molto tempo e non essere necessariamente utile a causa di problemi informat</w:t>
      </w:r>
      <w:r>
        <w:rPr>
          <w:rFonts w:ascii="Times New Roman" w:hAnsi="Times New Roman"/>
          <w:noProof/>
          <w:sz w:val="24"/>
        </w:rPr>
        <w:t>ici, di compatibilità, problemi tecnici e, elemento più importante, a causa di questioni di riservatezza nello scambio di dati personali. Gli Stati membri hanno suggerito di equilibrare con attenzione da un lato i costi e gli oneri amministrativi e dall'al</w:t>
      </w:r>
      <w:r>
        <w:rPr>
          <w:rFonts w:ascii="Times New Roman" w:hAnsi="Times New Roman"/>
          <w:noProof/>
          <w:sz w:val="24"/>
        </w:rPr>
        <w:t>tro i vantaggi potenziali dell'interoperabilità. Innanzitutto occorre esaminare quale tipo di informazioni devono essere oggetto di scambio, per poter poi valutare come procedere.</w:t>
      </w:r>
    </w:p>
    <w:p w:rsidR="00E777DA" w:rsidRDefault="00792AB2">
      <w:pPr>
        <w:numPr>
          <w:ilvl w:val="0"/>
          <w:numId w:val="9"/>
        </w:numPr>
        <w:jc w:val="both"/>
        <w:rPr>
          <w:rFonts w:ascii="Times New Roman" w:hAnsi="Times New Roman"/>
          <w:noProof/>
          <w:color w:val="000000"/>
          <w:sz w:val="24"/>
          <w:szCs w:val="24"/>
        </w:rPr>
      </w:pPr>
      <w:r>
        <w:rPr>
          <w:rFonts w:ascii="Times New Roman" w:hAnsi="Times New Roman"/>
          <w:noProof/>
          <w:sz w:val="24"/>
        </w:rPr>
        <w:t>Gli Stati membri non hanno raggiunto un parere comune in merito alla raccoma</w:t>
      </w:r>
      <w:r>
        <w:rPr>
          <w:rFonts w:ascii="Times New Roman" w:hAnsi="Times New Roman"/>
          <w:noProof/>
          <w:sz w:val="24"/>
        </w:rPr>
        <w:t>ndazione di definire un approccio concordato sulla classificazione delle armi da fuoco da caccia e sportive e chiarire le disposizioni relative alla carta europea d'arma da fuoco. Taluni Stati membri hanno affermato che non sarebbe un problema aumentare il</w:t>
      </w:r>
      <w:r>
        <w:rPr>
          <w:rFonts w:ascii="Times New Roman" w:hAnsi="Times New Roman"/>
          <w:noProof/>
          <w:sz w:val="24"/>
        </w:rPr>
        <w:t xml:space="preserve"> numero di armi registrate nella carta europea, mantenendo tuttavia la possibilità di chiedere documenti aggiuntivi. Altri Stati membri ritengono che la mancanza di informazioni disponibili sulla carta europea costituisca un problema. In particolare uno St</w:t>
      </w:r>
      <w:r>
        <w:rPr>
          <w:rFonts w:ascii="Times New Roman" w:hAnsi="Times New Roman"/>
          <w:noProof/>
          <w:sz w:val="24"/>
        </w:rPr>
        <w:t>ato membro ha sottolineato la necessità di informare meglio i cacciatori che si recano in altri Stati membri in merito all'uso della carta europea. Solo pochi Stati membri hanno suggerito di rivedere la direttiva al fine di armonizzare le categorie di armi</w:t>
      </w:r>
      <w:r>
        <w:rPr>
          <w:rFonts w:ascii="Times New Roman" w:hAnsi="Times New Roman"/>
          <w:noProof/>
          <w:sz w:val="24"/>
        </w:rPr>
        <w:t xml:space="preserve"> da fuoco.</w:t>
      </w:r>
    </w:p>
    <w:p w:rsidR="00E777DA" w:rsidRDefault="00792AB2">
      <w:pPr>
        <w:numPr>
          <w:ilvl w:val="0"/>
          <w:numId w:val="9"/>
        </w:numPr>
        <w:jc w:val="both"/>
        <w:rPr>
          <w:rFonts w:ascii="Times New Roman" w:hAnsi="Times New Roman"/>
          <w:noProof/>
          <w:sz w:val="24"/>
          <w:szCs w:val="24"/>
        </w:rPr>
      </w:pPr>
      <w:r>
        <w:rPr>
          <w:rFonts w:ascii="Times New Roman" w:hAnsi="Times New Roman"/>
          <w:noProof/>
          <w:sz w:val="24"/>
        </w:rPr>
        <w:t>Per quanto concerne la raccomandazione di esaminare questioni quali le prescrizioni sulla detenzione, la definizione di "intermediari" e la convertibilità, gli Stati membri avevano opinioni divergenti. Molti sembravano concordi in merito alla ne</w:t>
      </w:r>
      <w:r>
        <w:rPr>
          <w:rFonts w:ascii="Times New Roman" w:hAnsi="Times New Roman"/>
          <w:noProof/>
          <w:sz w:val="24"/>
        </w:rPr>
        <w:t>cessità di definire più accuratamente i termini "intermediario", "componenti e parti" (e se necessario rivedere la direttiva di conseguenza) e di esaminare la questione della convertibilità delle armi semiautomatiche in armi automatiche (e viceversa). Solo</w:t>
      </w:r>
      <w:r>
        <w:rPr>
          <w:rFonts w:ascii="Times New Roman" w:hAnsi="Times New Roman"/>
          <w:noProof/>
          <w:sz w:val="24"/>
        </w:rPr>
        <w:t xml:space="preserve"> pochi Stati membri hanno tuttavia sottolineato la necessità di rivedere le prescrizioni attuali sulla detenzione.</w:t>
      </w:r>
    </w:p>
    <w:p w:rsidR="00E777DA" w:rsidRDefault="00792AB2">
      <w:pPr>
        <w:numPr>
          <w:ilvl w:val="0"/>
          <w:numId w:val="9"/>
        </w:numPr>
        <w:jc w:val="both"/>
        <w:rPr>
          <w:rFonts w:ascii="Times New Roman" w:hAnsi="Times New Roman"/>
          <w:noProof/>
          <w:sz w:val="24"/>
          <w:szCs w:val="24"/>
        </w:rPr>
      </w:pPr>
      <w:r>
        <w:rPr>
          <w:rFonts w:ascii="Times New Roman" w:hAnsi="Times New Roman"/>
          <w:noProof/>
          <w:sz w:val="24"/>
        </w:rPr>
        <w:t>Diversi Stati membri ritenevano inoltre che talune definizioni (intermediari, componenti essenziali di armi da fuoco, riproduzioni) dovessero</w:t>
      </w:r>
      <w:r>
        <w:rPr>
          <w:rFonts w:ascii="Times New Roman" w:hAnsi="Times New Roman"/>
          <w:noProof/>
          <w:sz w:val="24"/>
        </w:rPr>
        <w:t xml:space="preserve"> essere chiarite.</w:t>
      </w:r>
    </w:p>
    <w:p w:rsidR="00E777DA" w:rsidRDefault="00792AB2">
      <w:pPr>
        <w:jc w:val="both"/>
        <w:rPr>
          <w:rFonts w:ascii="Times New Roman" w:hAnsi="Times New Roman"/>
          <w:noProof/>
          <w:sz w:val="24"/>
          <w:szCs w:val="24"/>
        </w:rPr>
      </w:pPr>
      <w:r>
        <w:rPr>
          <w:rFonts w:ascii="Times New Roman" w:hAnsi="Times New Roman"/>
          <w:noProof/>
          <w:sz w:val="24"/>
        </w:rPr>
        <w:t>39) In base all'operato dei valutatori e al feedback fornito dagli Stati membri la Commissione concorda con i risultati della valutazione. La Commissione ritiene inoltre che le raccomandazioni siano giustificate e valide sebbene alcune ri</w:t>
      </w:r>
      <w:r>
        <w:rPr>
          <w:rFonts w:ascii="Times New Roman" w:hAnsi="Times New Roman"/>
          <w:noProof/>
          <w:sz w:val="24"/>
        </w:rPr>
        <w:t>chiedano interventi più urgenti rispetto ad altre. Talune raccomandazioni potrebbero inoltre avere un impatto significativo in termini di costi anche per i fabbricanti e gli armaioli (in particolare le PMI) e quindi si potrebbe prendere in considerazione u</w:t>
      </w:r>
      <w:r>
        <w:rPr>
          <w:rFonts w:ascii="Times New Roman" w:hAnsi="Times New Roman"/>
          <w:noProof/>
          <w:sz w:val="24"/>
        </w:rPr>
        <w:t xml:space="preserve">n'ulteriore analisi ed eventualmente studi di fattibilità (ad esempio per l'interconnessione degli archivi computerizzati). </w:t>
      </w:r>
    </w:p>
    <w:p w:rsidR="00E777DA" w:rsidRDefault="00792AB2">
      <w:pPr>
        <w:pStyle w:val="Heading1"/>
        <w:rPr>
          <w:rFonts w:ascii="Times New Roman" w:hAnsi="Times New Roman"/>
          <w:noProof/>
          <w:sz w:val="24"/>
        </w:rPr>
      </w:pPr>
      <w:r>
        <w:rPr>
          <w:rFonts w:ascii="Times New Roman" w:hAnsi="Times New Roman"/>
          <w:noProof/>
          <w:sz w:val="24"/>
        </w:rPr>
        <w:t>7. La via da seguire</w:t>
      </w:r>
    </w:p>
    <w:p w:rsidR="00E777DA" w:rsidRDefault="00792AB2">
      <w:pPr>
        <w:spacing w:after="120"/>
        <w:jc w:val="both"/>
        <w:rPr>
          <w:rFonts w:ascii="Times New Roman" w:hAnsi="Times New Roman"/>
          <w:noProof/>
          <w:sz w:val="24"/>
          <w:szCs w:val="24"/>
        </w:rPr>
      </w:pPr>
      <w:r>
        <w:rPr>
          <w:rFonts w:ascii="Times New Roman" w:hAnsi="Times New Roman"/>
          <w:noProof/>
          <w:sz w:val="24"/>
        </w:rPr>
        <w:t xml:space="preserve">40) Dallo studio di valutazione è risultato che la direttiva sulle armi da fuoco ha contribuito positivamente </w:t>
      </w:r>
      <w:r>
        <w:rPr>
          <w:rFonts w:ascii="Times New Roman" w:hAnsi="Times New Roman"/>
          <w:noProof/>
          <w:sz w:val="24"/>
        </w:rPr>
        <w:t xml:space="preserve">al funzionamento del mercato interno sostenendo la circolazione transfrontaliera delle armi da fuoco e mantenendo livelli elevati di sicurezza, ha valore aggiunto UE ed è pertinente.  </w:t>
      </w:r>
    </w:p>
    <w:p w:rsidR="00E777DA" w:rsidRDefault="00792AB2">
      <w:pPr>
        <w:spacing w:after="120"/>
        <w:jc w:val="both"/>
        <w:rPr>
          <w:rFonts w:ascii="Times New Roman" w:hAnsi="Times New Roman"/>
          <w:noProof/>
          <w:sz w:val="24"/>
          <w:szCs w:val="24"/>
        </w:rPr>
      </w:pPr>
      <w:r>
        <w:rPr>
          <w:rFonts w:ascii="Times New Roman" w:hAnsi="Times New Roman"/>
          <w:noProof/>
          <w:sz w:val="24"/>
        </w:rPr>
        <w:t>41) Tuttavia sono ancora presenti ostacoli che potrebbero compromettere</w:t>
      </w:r>
      <w:r>
        <w:rPr>
          <w:rFonts w:ascii="Times New Roman" w:hAnsi="Times New Roman"/>
          <w:noProof/>
          <w:sz w:val="24"/>
        </w:rPr>
        <w:t xml:space="preserve"> il suo funzionamento. I valutatori e il dibattito con gli Stati membri hanno sottolineato le seguenti questioni critiche che necessitano di ulteriori interventi: a) la questione della convertibilità delle armi a salve (ad esempio le armi d'allarme) in arm</w:t>
      </w:r>
      <w:r>
        <w:rPr>
          <w:rFonts w:ascii="Times New Roman" w:hAnsi="Times New Roman"/>
          <w:noProof/>
          <w:sz w:val="24"/>
        </w:rPr>
        <w:t>i da fuoco a tutti gli effetti, b) la necessità di chiarire le prescrizioni sulla marcatura delle armi da fuoco (che ne consente la tracciabilità), c) la necessità di orientamenti comuni e rigorosi per la disattivazione delle armi da fuoco, d) la necessità</w:t>
      </w:r>
      <w:r>
        <w:rPr>
          <w:rFonts w:ascii="Times New Roman" w:hAnsi="Times New Roman"/>
          <w:noProof/>
          <w:sz w:val="24"/>
        </w:rPr>
        <w:t xml:space="preserve"> di chiarire talune definizioni, e) la necessità di esaminare le modalità di vendita su Internet, f) la necessità di snellire e migliorare i sistemi di scambio di dati nazionali e di esaminare le possibilità di interoperabilità e g) la necessità di potenzi</w:t>
      </w:r>
      <w:r>
        <w:rPr>
          <w:rFonts w:ascii="Times New Roman" w:hAnsi="Times New Roman"/>
          <w:noProof/>
          <w:sz w:val="24"/>
        </w:rPr>
        <w:t xml:space="preserve">are le attività di raccolta di dati sulle armi da fuoco ad uso civile e sui reati ad esse connessi per sostenere adeguatamente i futuri processi decisionali a livello dell'UE. </w:t>
      </w:r>
    </w:p>
    <w:p w:rsidR="00E777DA" w:rsidRDefault="00792AB2">
      <w:pPr>
        <w:spacing w:after="120"/>
        <w:jc w:val="both"/>
        <w:rPr>
          <w:rFonts w:ascii="Times New Roman" w:hAnsi="Times New Roman"/>
          <w:noProof/>
          <w:sz w:val="24"/>
          <w:szCs w:val="24"/>
        </w:rPr>
      </w:pPr>
      <w:r>
        <w:rPr>
          <w:rFonts w:ascii="Times New Roman" w:hAnsi="Times New Roman"/>
          <w:noProof/>
          <w:sz w:val="24"/>
        </w:rPr>
        <w:t>42) Poiché i lavori sugli orientamenti comuni sulla disattivazione sono già ben</w:t>
      </w:r>
      <w:r>
        <w:rPr>
          <w:rFonts w:ascii="Times New Roman" w:hAnsi="Times New Roman"/>
          <w:noProof/>
          <w:sz w:val="24"/>
        </w:rPr>
        <w:t xml:space="preserve"> avviati, la Commissione ha deciso di anticipare la revisione della direttiva, tenendo conto dell'impatto degli attentati terroristici del 13 novembre a Parigi nonché di attentati precedenti, delle sparatorie di Parigi e Copenaghen e dell'incidente sul tre</w:t>
      </w:r>
      <w:r>
        <w:rPr>
          <w:rFonts w:ascii="Times New Roman" w:hAnsi="Times New Roman"/>
          <w:noProof/>
          <w:sz w:val="24"/>
        </w:rPr>
        <w:t>no Thalys. La Commissione ha deciso di accompagnare alla presente relazione una revisione della direttiva basata sugli elementi raccolti finora, tenendo conto degli aspetti di miglioramento della legislazione.</w:t>
      </w:r>
    </w:p>
    <w:p w:rsidR="00E777DA" w:rsidRDefault="00792AB2">
      <w:pPr>
        <w:spacing w:after="120"/>
        <w:jc w:val="both"/>
        <w:rPr>
          <w:rFonts w:ascii="Times New Roman" w:hAnsi="Times New Roman"/>
          <w:noProof/>
          <w:sz w:val="24"/>
          <w:szCs w:val="24"/>
        </w:rPr>
      </w:pPr>
      <w:r>
        <w:rPr>
          <w:rFonts w:ascii="Times New Roman" w:hAnsi="Times New Roman"/>
          <w:noProof/>
          <w:sz w:val="24"/>
        </w:rPr>
        <w:t>43) In linea con la comunicazione della Commis</w:t>
      </w:r>
      <w:r>
        <w:rPr>
          <w:rFonts w:ascii="Times New Roman" w:hAnsi="Times New Roman"/>
          <w:noProof/>
          <w:sz w:val="24"/>
        </w:rPr>
        <w:t>sione "Agenda europea in materia di sicurezza"</w:t>
      </w:r>
      <w:r>
        <w:rPr>
          <w:rStyle w:val="FootnoteReference"/>
          <w:rFonts w:ascii="Times New Roman" w:hAnsi="Times New Roman"/>
          <w:noProof/>
          <w:sz w:val="24"/>
        </w:rPr>
        <w:footnoteReference w:id="25"/>
      </w:r>
      <w:r>
        <w:rPr>
          <w:rFonts w:ascii="Times New Roman" w:hAnsi="Times New Roman"/>
          <w:noProof/>
          <w:sz w:val="24"/>
        </w:rPr>
        <w:t>, in risposta alla dichiarazione comune di Riga dei ministri dell'UE</w:t>
      </w:r>
      <w:r>
        <w:rPr>
          <w:rStyle w:val="FootnoteReference"/>
          <w:rFonts w:ascii="Times New Roman" w:hAnsi="Times New Roman"/>
          <w:noProof/>
          <w:sz w:val="24"/>
        </w:rPr>
        <w:footnoteReference w:id="26"/>
      </w:r>
      <w:r>
        <w:rPr>
          <w:rFonts w:ascii="Times New Roman" w:hAnsi="Times New Roman"/>
          <w:noProof/>
          <w:sz w:val="24"/>
        </w:rPr>
        <w:t xml:space="preserve"> e alla dichiarazione dei ministri degli affari interni del 29 agosto 2015, la proposta che accompagna la presente relazione intende rafforz</w:t>
      </w:r>
      <w:r>
        <w:rPr>
          <w:rFonts w:ascii="Times New Roman" w:hAnsi="Times New Roman"/>
          <w:noProof/>
          <w:sz w:val="24"/>
        </w:rPr>
        <w:t>are il quadro normativo esistente sulle armi da fuoco, migliorare la condivisione delle informazioni, affrontare il traffico e la riattivazione delle armi, migliorare le norme sulla marcatura in vista di una migliore tracciabilità e, infine, esaminare in c</w:t>
      </w:r>
      <w:r>
        <w:rPr>
          <w:rFonts w:ascii="Times New Roman" w:hAnsi="Times New Roman"/>
          <w:noProof/>
          <w:sz w:val="24"/>
        </w:rPr>
        <w:t xml:space="preserve">he modo affrontare le questioni connesse alla convertibilità delle armi o delle armi a salve (ad es. armi d'allarme). </w:t>
      </w:r>
    </w:p>
    <w:sectPr w:rsidR="00E777D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DA" w:rsidRDefault="00792AB2">
      <w:pPr>
        <w:spacing w:after="0" w:line="240" w:lineRule="auto"/>
      </w:pPr>
      <w:r>
        <w:separator/>
      </w:r>
    </w:p>
  </w:endnote>
  <w:endnote w:type="continuationSeparator" w:id="0">
    <w:p w:rsidR="00E777DA" w:rsidRDefault="0079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792AB2">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IT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792AB2">
    <w:pPr>
      <w:pStyle w:val="Footer"/>
      <w:jc w:val="right"/>
    </w:pPr>
    <w:r>
      <w:fldChar w:fldCharType="begin"/>
    </w:r>
    <w:r>
      <w:instrText xml:space="preserve"> PAGE   \* MERGEFORMAT </w:instrText>
    </w:r>
    <w:r>
      <w:fldChar w:fldCharType="separate"/>
    </w:r>
    <w:r>
      <w:rPr>
        <w:noProof/>
      </w:rPr>
      <w:t>1</w:t>
    </w:r>
    <w:r>
      <w:rPr>
        <w:noProof/>
      </w:rPr>
      <w:fldChar w:fldCharType="end"/>
    </w:r>
  </w:p>
  <w:p w:rsidR="00E777DA" w:rsidRDefault="00E777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30193"/>
      <w:docPartObj>
        <w:docPartGallery w:val="Page Numbers (Bottom of Page)"/>
        <w:docPartUnique/>
      </w:docPartObj>
    </w:sdtPr>
    <w:sdtEndPr>
      <w:rPr>
        <w:noProof/>
      </w:rPr>
    </w:sdtEndPr>
    <w:sdtContent>
      <w:p w:rsidR="00E777DA" w:rsidRDefault="00792AB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E777DA" w:rsidRDefault="00E777D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DA" w:rsidRDefault="00792AB2">
      <w:pPr>
        <w:spacing w:after="0" w:line="240" w:lineRule="auto"/>
      </w:pPr>
      <w:r>
        <w:separator/>
      </w:r>
    </w:p>
  </w:footnote>
  <w:footnote w:type="continuationSeparator" w:id="0">
    <w:p w:rsidR="00E777DA" w:rsidRDefault="00792AB2">
      <w:pPr>
        <w:spacing w:after="0" w:line="240" w:lineRule="auto"/>
      </w:pPr>
      <w:r>
        <w:continuationSeparator/>
      </w:r>
    </w:p>
  </w:footnote>
  <w:footnote w:id="1">
    <w:p w:rsidR="00E777DA" w:rsidRDefault="00792AB2">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GU </w:t>
      </w:r>
      <w:proofErr w:type="gramStart"/>
      <w:r>
        <w:rPr>
          <w:rFonts w:ascii="Times New Roman" w:hAnsi="Times New Roman"/>
          <w:sz w:val="16"/>
        </w:rPr>
        <w:t>L</w:t>
      </w:r>
      <w:proofErr w:type="gramEnd"/>
      <w:r>
        <w:rPr>
          <w:rFonts w:ascii="Times New Roman" w:hAnsi="Times New Roman"/>
          <w:sz w:val="16"/>
        </w:rPr>
        <w:t> 256 del 13.9.1991, pag. 51.</w:t>
      </w:r>
    </w:p>
  </w:footnote>
  <w:footnote w:id="2">
    <w:p w:rsidR="00E777DA" w:rsidRDefault="00792AB2">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GU </w:t>
      </w:r>
      <w:proofErr w:type="gramStart"/>
      <w:r>
        <w:rPr>
          <w:rFonts w:ascii="Times New Roman" w:hAnsi="Times New Roman"/>
          <w:sz w:val="16"/>
        </w:rPr>
        <w:t>L</w:t>
      </w:r>
      <w:proofErr w:type="gramEnd"/>
      <w:r>
        <w:rPr>
          <w:rFonts w:ascii="Times New Roman" w:hAnsi="Times New Roman"/>
          <w:sz w:val="16"/>
        </w:rPr>
        <w:t> 179 dell'8.7.2008, pag. 5.</w:t>
      </w:r>
    </w:p>
  </w:footnote>
  <w:footnote w:id="3">
    <w:p w:rsidR="00E777DA" w:rsidRDefault="00792AB2">
      <w:pPr>
        <w:pStyle w:val="FootnoteText"/>
      </w:pPr>
      <w:r>
        <w:rPr>
          <w:rStyle w:val="FootnoteReference"/>
        </w:rPr>
        <w:footnoteRef/>
      </w:r>
      <w:r>
        <w:t xml:space="preserve"> </w:t>
      </w:r>
      <w:hyperlink r:id="rId1">
        <w:r>
          <w:rPr>
            <w:rStyle w:val="Hyperlink"/>
          </w:rPr>
          <w:t>http://bookshop.europa.eu/en/evaluation-of-the-firearms-directive-pbNB0514159/</w:t>
        </w:r>
      </w:hyperlink>
      <w:r>
        <w:t xml:space="preserve">; </w:t>
      </w:r>
      <w:proofErr w:type="gramStart"/>
      <w:r>
        <w:t>http</w:t>
      </w:r>
      <w:proofErr w:type="gramEnd"/>
      <w:r>
        <w:t>://bookshop.europa.eu/en/evaluation-of-the-firearms-directive-pbNB0114006/</w:t>
      </w:r>
    </w:p>
  </w:footnote>
  <w:footnote w:id="4">
    <w:p w:rsidR="00E777DA" w:rsidRDefault="00792AB2">
      <w:pPr>
        <w:pStyle w:val="FootnoteText"/>
        <w:rPr>
          <w:lang w:val="pt-PT"/>
        </w:rPr>
      </w:pPr>
      <w:r>
        <w:rPr>
          <w:rStyle w:val="FootnoteReference"/>
        </w:rPr>
        <w:footnoteRef/>
      </w:r>
      <w:r>
        <w:rPr>
          <w:lang w:val="pt-PT"/>
        </w:rPr>
        <w:t xml:space="preserve"> </w:t>
      </w:r>
      <w:proofErr w:type="gramStart"/>
      <w:r>
        <w:rPr>
          <w:lang w:val="pt-PT"/>
        </w:rPr>
        <w:t>COM(2013</w:t>
      </w:r>
      <w:proofErr w:type="gramEnd"/>
      <w:r>
        <w:rPr>
          <w:lang w:val="pt-PT"/>
        </w:rPr>
        <w:t>) 685 final.</w:t>
      </w:r>
    </w:p>
  </w:footnote>
  <w:footnote w:id="5">
    <w:p w:rsidR="00E777DA" w:rsidRDefault="00792AB2">
      <w:pPr>
        <w:pStyle w:val="FootnoteText"/>
        <w:rPr>
          <w:lang w:val="pt-PT"/>
        </w:rPr>
      </w:pPr>
      <w:r>
        <w:rPr>
          <w:rStyle w:val="FootnoteReference"/>
          <w:sz w:val="16"/>
        </w:rPr>
        <w:footnoteRef/>
      </w:r>
      <w:r>
        <w:rPr>
          <w:sz w:val="16"/>
          <w:lang w:val="pt-PT"/>
        </w:rPr>
        <w:t xml:space="preserve"> </w:t>
      </w:r>
      <w:r>
        <w:rPr>
          <w:rFonts w:ascii="Times New Roman" w:hAnsi="Times New Roman"/>
          <w:sz w:val="16"/>
          <w:lang w:val="pt-PT"/>
        </w:rPr>
        <w:t xml:space="preserve">Islanda, Liechtenstein, </w:t>
      </w:r>
      <w:proofErr w:type="spellStart"/>
      <w:r>
        <w:rPr>
          <w:rFonts w:ascii="Times New Roman" w:hAnsi="Times New Roman"/>
          <w:sz w:val="16"/>
          <w:lang w:val="pt-PT"/>
        </w:rPr>
        <w:t>Norvegia</w:t>
      </w:r>
      <w:proofErr w:type="spellEnd"/>
      <w:r>
        <w:rPr>
          <w:rFonts w:ascii="Times New Roman" w:hAnsi="Times New Roman"/>
          <w:sz w:val="16"/>
          <w:lang w:val="pt-PT"/>
        </w:rPr>
        <w:t xml:space="preserve"> e </w:t>
      </w:r>
      <w:proofErr w:type="spellStart"/>
      <w:r>
        <w:rPr>
          <w:rFonts w:ascii="Times New Roman" w:hAnsi="Times New Roman"/>
          <w:sz w:val="16"/>
          <w:lang w:val="pt-PT"/>
        </w:rPr>
        <w:t>Svizzera</w:t>
      </w:r>
      <w:proofErr w:type="spellEnd"/>
      <w:r>
        <w:rPr>
          <w:rFonts w:ascii="Times New Roman" w:hAnsi="Times New Roman"/>
          <w:sz w:val="16"/>
          <w:lang w:val="pt-PT"/>
        </w:rPr>
        <w:t>.</w:t>
      </w:r>
      <w:r>
        <w:rPr>
          <w:sz w:val="16"/>
          <w:lang w:val="pt-PT"/>
        </w:rPr>
        <w:t xml:space="preserve"> </w:t>
      </w:r>
    </w:p>
  </w:footnote>
  <w:footnote w:id="6">
    <w:p w:rsidR="00E777DA" w:rsidRDefault="00792AB2">
      <w:pPr>
        <w:pStyle w:val="FootnoteText"/>
        <w:rPr>
          <w:sz w:val="16"/>
        </w:rPr>
      </w:pPr>
      <w:r>
        <w:rPr>
          <w:rStyle w:val="FootnoteReference"/>
          <w:sz w:val="16"/>
        </w:rPr>
        <w:footnoteRef/>
      </w:r>
      <w:r>
        <w:rPr>
          <w:sz w:val="16"/>
        </w:rPr>
        <w:t xml:space="preserve"> </w:t>
      </w:r>
      <w:r>
        <w:rPr>
          <w:rFonts w:ascii="Times New Roman" w:hAnsi="Times New Roman"/>
          <w:sz w:val="16"/>
        </w:rPr>
        <w:t>Spazio economico europeo</w:t>
      </w:r>
    </w:p>
  </w:footnote>
  <w:footnote w:id="7">
    <w:p w:rsidR="00E777DA" w:rsidRDefault="00792AB2">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Associazione europea di libero scambio.</w:t>
      </w:r>
    </w:p>
  </w:footnote>
  <w:footnote w:id="8">
    <w:p w:rsidR="00E777DA" w:rsidRDefault="00792AB2">
      <w:pPr>
        <w:pStyle w:val="FootnoteText"/>
      </w:pPr>
      <w:r>
        <w:rPr>
          <w:rStyle w:val="FootnoteReference"/>
        </w:rPr>
        <w:footnoteRef/>
      </w:r>
      <w:r>
        <w:t xml:space="preserve"> </w:t>
      </w:r>
      <w:r>
        <w:rPr>
          <w:rFonts w:ascii="Times New Roman" w:hAnsi="Times New Roman"/>
        </w:rPr>
        <w:t xml:space="preserve">Rapporto della Commissione al Parlamento europeo e al Consiglio. L'attuazione della direttiva del Consiglio </w:t>
      </w:r>
      <w:r>
        <w:rPr>
          <w:rFonts w:ascii="Times New Roman" w:hAnsi="Times New Roman"/>
        </w:rPr>
        <w:t>91/477/CEE, del 18 giugno 1991, relativa al controllo dell'acquisizione e della detenzione di armi, COM</w:t>
      </w:r>
      <w:proofErr w:type="gramStart"/>
      <w:r>
        <w:rPr>
          <w:rFonts w:ascii="Times New Roman" w:hAnsi="Times New Roman"/>
        </w:rPr>
        <w:t>(</w:t>
      </w:r>
      <w:proofErr w:type="gramEnd"/>
      <w:r>
        <w:rPr>
          <w:rFonts w:ascii="Times New Roman" w:hAnsi="Times New Roman"/>
        </w:rPr>
        <w:t xml:space="preserve">2000) 837 </w:t>
      </w:r>
      <w:proofErr w:type="spellStart"/>
      <w:r>
        <w:rPr>
          <w:rFonts w:ascii="Times New Roman" w:hAnsi="Times New Roman"/>
        </w:rPr>
        <w:t>def</w:t>
      </w:r>
      <w:proofErr w:type="spellEnd"/>
      <w:r>
        <w:rPr>
          <w:rFonts w:ascii="Times New Roman" w:hAnsi="Times New Roman"/>
        </w:rPr>
        <w:t>. Bruxelles, 15.12.2000.</w:t>
      </w:r>
    </w:p>
  </w:footnote>
  <w:footnote w:id="9">
    <w:p w:rsidR="00E777DA" w:rsidRDefault="00792AB2">
      <w:pPr>
        <w:pStyle w:val="FootnoteText"/>
      </w:pPr>
      <w:r>
        <w:rPr>
          <w:rStyle w:val="FootnoteReference"/>
        </w:rPr>
        <w:footnoteRef/>
      </w:r>
      <w:r>
        <w:t xml:space="preserve"> </w:t>
      </w:r>
      <w:r>
        <w:rPr>
          <w:rFonts w:ascii="Times New Roman" w:hAnsi="Times New Roman"/>
        </w:rPr>
        <w:t xml:space="preserve">Protocollo delle Nazioni Unite contro la fabbricazione e il traffico illeciti di armi da fuoco, loro parti e </w:t>
      </w:r>
      <w:proofErr w:type="gramStart"/>
      <w:r>
        <w:rPr>
          <w:rFonts w:ascii="Times New Roman" w:hAnsi="Times New Roman"/>
        </w:rPr>
        <w:t>com</w:t>
      </w:r>
      <w:r>
        <w:rPr>
          <w:rFonts w:ascii="Times New Roman" w:hAnsi="Times New Roman"/>
        </w:rPr>
        <w:t>ponenti</w:t>
      </w:r>
      <w:proofErr w:type="gramEnd"/>
      <w:r>
        <w:rPr>
          <w:rFonts w:ascii="Times New Roman" w:hAnsi="Times New Roman"/>
        </w:rPr>
        <w:t xml:space="preserve"> e munizioni, addizionale alla convenzione delle Nazioni Unite contro la criminalità organizzata transnazionale.</w:t>
      </w:r>
    </w:p>
  </w:footnote>
  <w:footnote w:id="10">
    <w:p w:rsidR="00E777DA" w:rsidRDefault="00792AB2">
      <w:pPr>
        <w:pStyle w:val="FootnoteText"/>
        <w:rPr>
          <w:rFonts w:ascii="Times New Roman" w:hAnsi="Times New Roman"/>
        </w:rPr>
      </w:pPr>
      <w:r>
        <w:rPr>
          <w:rStyle w:val="FootnoteReference"/>
        </w:rPr>
        <w:footnoteRef/>
      </w:r>
      <w:r>
        <w:t xml:space="preserve"> </w:t>
      </w:r>
      <w:r>
        <w:rPr>
          <w:rFonts w:ascii="Times New Roman" w:hAnsi="Times New Roman"/>
        </w:rPr>
        <w:t>L'UNFP è stato ratificato dalla Commissione nel 2014.</w:t>
      </w:r>
      <w:r>
        <w:t xml:space="preserve"> </w:t>
      </w:r>
      <w:r>
        <w:rPr>
          <w:rFonts w:ascii="Times New Roman" w:hAnsi="Times New Roman"/>
        </w:rPr>
        <w:t xml:space="preserve">Decisione del Consiglio, dell'11 febbraio 2014, relativa alla conclusione, </w:t>
      </w:r>
      <w:proofErr w:type="gramStart"/>
      <w:r>
        <w:rPr>
          <w:rFonts w:ascii="Times New Roman" w:hAnsi="Times New Roman"/>
        </w:rPr>
        <w:t>a</w:t>
      </w:r>
      <w:proofErr w:type="gramEnd"/>
      <w:r>
        <w:rPr>
          <w:rFonts w:ascii="Times New Roman" w:hAnsi="Times New Roman"/>
        </w:rPr>
        <w:t xml:space="preserve"> nom</w:t>
      </w:r>
      <w:r>
        <w:rPr>
          <w:rFonts w:ascii="Times New Roman" w:hAnsi="Times New Roman"/>
        </w:rPr>
        <w:t>e dell'Unione europea, del protocollo delle Nazioni Unite contro la fabbricazione e il traffico illeciti di armi da fuoco, loro parti e componenti e munizioni, addizionale alla convenzione delle Nazioni Unite contro la criminalità organizzata transnazional</w:t>
      </w:r>
      <w:r>
        <w:rPr>
          <w:rFonts w:ascii="Times New Roman" w:hAnsi="Times New Roman"/>
        </w:rPr>
        <w:t>e (2014/164/UE). GU </w:t>
      </w:r>
      <w:proofErr w:type="gramStart"/>
      <w:r>
        <w:rPr>
          <w:rFonts w:ascii="Times New Roman" w:hAnsi="Times New Roman"/>
        </w:rPr>
        <w:t>L</w:t>
      </w:r>
      <w:proofErr w:type="gramEnd"/>
      <w:r>
        <w:rPr>
          <w:rFonts w:ascii="Times New Roman" w:hAnsi="Times New Roman"/>
        </w:rPr>
        <w:t> 89 del 23.3.2014, pag. 7.</w:t>
      </w:r>
    </w:p>
  </w:footnote>
  <w:footnote w:id="11">
    <w:p w:rsidR="00E777DA" w:rsidRDefault="00792AB2">
      <w:pPr>
        <w:pStyle w:val="FootnoteText"/>
      </w:pPr>
      <w:r>
        <w:rPr>
          <w:rStyle w:val="FootnoteReference"/>
        </w:rPr>
        <w:footnoteRef/>
      </w:r>
      <w:r>
        <w:t xml:space="preserve"> </w:t>
      </w:r>
      <w:r>
        <w:rPr>
          <w:rFonts w:ascii="Times New Roman" w:hAnsi="Times New Roman"/>
        </w:rPr>
        <w:t xml:space="preserve">Regolamento (UE) n. 258/2012 del Parlamento europeo e del Consiglio, del 14 marzo 2012, che attua l'articolo </w:t>
      </w:r>
      <w:proofErr w:type="gramStart"/>
      <w:r>
        <w:rPr>
          <w:rFonts w:ascii="Times New Roman" w:hAnsi="Times New Roman"/>
        </w:rPr>
        <w:t>10</w:t>
      </w:r>
      <w:proofErr w:type="gramEnd"/>
      <w:r>
        <w:rPr>
          <w:rFonts w:ascii="Times New Roman" w:hAnsi="Times New Roman"/>
        </w:rPr>
        <w:t xml:space="preserve"> del protocollo delle Nazioni Unite contro la fabbricazione e il traffico illeciti di armi da f</w:t>
      </w:r>
      <w:r>
        <w:rPr>
          <w:rFonts w:ascii="Times New Roman" w:hAnsi="Times New Roman"/>
        </w:rPr>
        <w:t>uoco, loro parti e componenti e munizioni, addizionale alla convenzione delle Nazioni Unite contro la criminalità transnazionale organizzata (protocollo delle Nazioni Unite sulle armi da fuoco), e dispone autorizzazioni all'esportazione, misure di importaz</w:t>
      </w:r>
      <w:r>
        <w:rPr>
          <w:rFonts w:ascii="Times New Roman" w:hAnsi="Times New Roman"/>
        </w:rPr>
        <w:t>ione e transito per le armi da fuoco, loro parti e componenti e munizioni.</w:t>
      </w:r>
    </w:p>
  </w:footnote>
  <w:footnote w:id="12">
    <w:p w:rsidR="00E777DA" w:rsidRDefault="00792AB2">
      <w:pPr>
        <w:pStyle w:val="FootnoteText"/>
      </w:pPr>
      <w:r>
        <w:rPr>
          <w:rStyle w:val="FootnoteReference"/>
        </w:rPr>
        <w:footnoteRef/>
      </w:r>
      <w:r>
        <w:t xml:space="preserve"> </w:t>
      </w:r>
      <w:r>
        <w:rPr>
          <w:rFonts w:ascii="Times New Roman" w:hAnsi="Times New Roman"/>
        </w:rPr>
        <w:t xml:space="preserve">Il principale contributo del regolamento è costituito dal principio secondo cui i trasferimenti di armi da fuoco </w:t>
      </w:r>
      <w:proofErr w:type="gramStart"/>
      <w:r>
        <w:rPr>
          <w:rFonts w:ascii="Times New Roman" w:hAnsi="Times New Roman"/>
        </w:rPr>
        <w:t>ad</w:t>
      </w:r>
      <w:proofErr w:type="gramEnd"/>
      <w:r>
        <w:rPr>
          <w:rFonts w:ascii="Times New Roman" w:hAnsi="Times New Roman"/>
        </w:rPr>
        <w:t xml:space="preserve"> uso civile tra Stati membri sono subordinati alla conoscenza e </w:t>
      </w:r>
      <w:r>
        <w:rPr>
          <w:rFonts w:ascii="Times New Roman" w:hAnsi="Times New Roman"/>
        </w:rPr>
        <w:t>all'autorizzazione di tutti i paesi coinvolti e che l'origine delle armi da fuoco deve essere nota.</w:t>
      </w:r>
    </w:p>
  </w:footnote>
  <w:footnote w:id="13">
    <w:p w:rsidR="00E777DA" w:rsidRDefault="00792AB2">
      <w:pPr>
        <w:pStyle w:val="FootnoteText"/>
      </w:pPr>
      <w:r>
        <w:rPr>
          <w:rStyle w:val="FootnoteReference"/>
        </w:rPr>
        <w:footnoteRef/>
      </w:r>
      <w:r>
        <w:t xml:space="preserve"> </w:t>
      </w:r>
      <w:r>
        <w:rPr>
          <w:rFonts w:ascii="Times New Roman" w:hAnsi="Times New Roman"/>
        </w:rPr>
        <w:t>COM</w:t>
      </w:r>
      <w:proofErr w:type="gramStart"/>
      <w:r>
        <w:rPr>
          <w:rFonts w:ascii="Times New Roman" w:hAnsi="Times New Roman"/>
        </w:rPr>
        <w:t>(</w:t>
      </w:r>
      <w:proofErr w:type="gramEnd"/>
      <w:r>
        <w:rPr>
          <w:rFonts w:ascii="Times New Roman" w:hAnsi="Times New Roman"/>
        </w:rPr>
        <w:t xml:space="preserve">2013) 716 </w:t>
      </w:r>
      <w:proofErr w:type="spellStart"/>
      <w:r>
        <w:rPr>
          <w:rFonts w:ascii="Times New Roman" w:hAnsi="Times New Roman"/>
        </w:rPr>
        <w:t>final</w:t>
      </w:r>
      <w:proofErr w:type="spellEnd"/>
      <w:r>
        <w:rPr>
          <w:rFonts w:ascii="Times New Roman" w:hAnsi="Times New Roman"/>
        </w:rPr>
        <w:t>, Comunicazione della Commissione al Consiglio e al Parlamento europeo "Le armi da fuoco e la sicurezza interna dell'UE: proteggere i c</w:t>
      </w:r>
      <w:r>
        <w:rPr>
          <w:rFonts w:ascii="Times New Roman" w:hAnsi="Times New Roman"/>
        </w:rPr>
        <w:t>ittadini e smantellare il traffico illecito".</w:t>
      </w:r>
    </w:p>
  </w:footnote>
  <w:footnote w:id="14">
    <w:p w:rsidR="00E777DA" w:rsidRDefault="00792AB2">
      <w:pPr>
        <w:rPr>
          <w:rFonts w:ascii="Times New Roman" w:hAnsi="Times New Roman"/>
          <w:sz w:val="20"/>
          <w:szCs w:val="20"/>
        </w:rPr>
      </w:pPr>
      <w:r>
        <w:rPr>
          <w:rStyle w:val="FootnoteReference"/>
        </w:rPr>
        <w:footnoteRef/>
      </w:r>
      <w:r>
        <w:t xml:space="preserve"> </w:t>
      </w:r>
      <w:r>
        <w:rPr>
          <w:rFonts w:ascii="Times New Roman" w:hAnsi="Times New Roman"/>
          <w:sz w:val="20"/>
        </w:rPr>
        <w:t>COM</w:t>
      </w:r>
      <w:proofErr w:type="gramStart"/>
      <w:r>
        <w:rPr>
          <w:rFonts w:ascii="Times New Roman" w:hAnsi="Times New Roman"/>
          <w:sz w:val="20"/>
        </w:rPr>
        <w:t>(</w:t>
      </w:r>
      <w:proofErr w:type="gramEnd"/>
      <w:r>
        <w:rPr>
          <w:rFonts w:ascii="Times New Roman" w:hAnsi="Times New Roman"/>
          <w:sz w:val="20"/>
        </w:rPr>
        <w:t xml:space="preserve">2015) 185 </w:t>
      </w:r>
      <w:proofErr w:type="spellStart"/>
      <w:r>
        <w:rPr>
          <w:rFonts w:ascii="Times New Roman" w:hAnsi="Times New Roman"/>
          <w:sz w:val="20"/>
        </w:rPr>
        <w:t>final</w:t>
      </w:r>
      <w:proofErr w:type="spellEnd"/>
      <w:r>
        <w:rPr>
          <w:rFonts w:ascii="Times New Roman" w:hAnsi="Times New Roman"/>
          <w:sz w:val="20"/>
        </w:rPr>
        <w:t>, Comunicazione della Commissione al Parlamento europeo, al Consiglio, al Comitato economico e sociale europeo e al Comitato delle regioni - Agenda europea in materia di sicurezza.</w:t>
      </w:r>
    </w:p>
  </w:footnote>
  <w:footnote w:id="15">
    <w:p w:rsidR="00E777DA" w:rsidRDefault="00792AB2">
      <w:pPr>
        <w:pStyle w:val="FootnoteText"/>
      </w:pPr>
      <w:r>
        <w:rPr>
          <w:rStyle w:val="FootnoteReference"/>
        </w:rPr>
        <w:footnoteRef/>
      </w:r>
      <w:r>
        <w:t xml:space="preserve"> </w:t>
      </w:r>
      <w:r>
        <w:rPr>
          <w:rFonts w:ascii="Times New Roman" w:hAnsi="Times New Roman"/>
        </w:rPr>
        <w:t xml:space="preserve">In </w:t>
      </w:r>
      <w:r>
        <w:rPr>
          <w:rFonts w:ascii="Times New Roman" w:hAnsi="Times New Roman"/>
        </w:rPr>
        <w:t xml:space="preserve">conformità dell'articolo </w:t>
      </w:r>
      <w:proofErr w:type="gramStart"/>
      <w:r>
        <w:rPr>
          <w:rFonts w:ascii="Times New Roman" w:hAnsi="Times New Roman"/>
        </w:rPr>
        <w:t>3</w:t>
      </w:r>
      <w:proofErr w:type="gramEnd"/>
      <w:r>
        <w:rPr>
          <w:rFonts w:ascii="Times New Roman" w:hAnsi="Times New Roman"/>
        </w:rPr>
        <w:t xml:space="preserve"> della direttiva sulle armi da fuoco: "Gli Stati membri possono adottare nelle rispettive legislazioni disposizioni più rigorose di quelle previste dalla presente direttiva".</w:t>
      </w:r>
    </w:p>
  </w:footnote>
  <w:footnote w:id="16">
    <w:p w:rsidR="00E777DA" w:rsidRDefault="00792AB2">
      <w:pPr>
        <w:pStyle w:val="FootnoteText"/>
        <w:rPr>
          <w:rFonts w:ascii="Times New Roman" w:hAnsi="Times New Roman"/>
        </w:rPr>
      </w:pPr>
      <w:r>
        <w:rPr>
          <w:rStyle w:val="FootnoteReference"/>
        </w:rPr>
        <w:footnoteRef/>
      </w:r>
      <w:r>
        <w:t xml:space="preserve"> </w:t>
      </w:r>
      <w:r>
        <w:rPr>
          <w:rFonts w:ascii="Times New Roman" w:hAnsi="Times New Roman"/>
        </w:rPr>
        <w:t>Ossia: COM</w:t>
      </w:r>
      <w:proofErr w:type="gramStart"/>
      <w:r>
        <w:rPr>
          <w:rFonts w:ascii="Times New Roman" w:hAnsi="Times New Roman"/>
        </w:rPr>
        <w:t>(</w:t>
      </w:r>
      <w:proofErr w:type="gramEnd"/>
      <w:r>
        <w:rPr>
          <w:rFonts w:ascii="Times New Roman" w:hAnsi="Times New Roman"/>
        </w:rPr>
        <w:t xml:space="preserve">2012)415 - Eventuali vantaggi e svantaggi </w:t>
      </w:r>
      <w:r>
        <w:rPr>
          <w:rFonts w:ascii="Times New Roman" w:hAnsi="Times New Roman"/>
        </w:rPr>
        <w:t>del ridurre a due le categorie di classificazione delle armi da fuoco (armi proibite/armi autorizzate) per migliorare, se possibile semplificandolo, il funzionamento del mercato interno di tali prodotti; COM(2010)404 - La commercializzazione delle copie di</w:t>
      </w:r>
      <w:r>
        <w:rPr>
          <w:rFonts w:ascii="Times New Roman" w:hAnsi="Times New Roman"/>
        </w:rPr>
        <w:t xml:space="preserve"> armi da fuoco. </w:t>
      </w:r>
    </w:p>
  </w:footnote>
  <w:footnote w:id="17">
    <w:p w:rsidR="00E777DA" w:rsidRDefault="00792AB2">
      <w:pPr>
        <w:pStyle w:val="FootnoteText"/>
      </w:pPr>
      <w:r>
        <w:rPr>
          <w:rStyle w:val="FootnoteReference"/>
        </w:rPr>
        <w:footnoteRef/>
      </w:r>
      <w:r>
        <w:t xml:space="preserve"> </w:t>
      </w:r>
      <w:r>
        <w:rPr>
          <w:rFonts w:ascii="Times New Roman" w:hAnsi="Times New Roman"/>
        </w:rPr>
        <w:t>Studio di sostegno della valutazione d'impatto relativa ad un'eventuale iniziativa volta a migliorare le norme sulla disattivazione e le procedure di distruzione e marcatura delle armi da fuoco nell'UE, nonché delle armi d'allarme e dell</w:t>
      </w:r>
      <w:r>
        <w:rPr>
          <w:rFonts w:ascii="Times New Roman" w:hAnsi="Times New Roman"/>
        </w:rPr>
        <w:t>e riproduzioni (</w:t>
      </w:r>
      <w:hyperlink r:id="rId2">
        <w:r>
          <w:rPr>
            <w:rStyle w:val="Hyperlink"/>
            <w:rFonts w:ascii="Times New Roman" w:hAnsi="Times New Roman"/>
          </w:rPr>
          <w:t>http://www.sipri.org/research/security/europe/publications/study-on-firearms</w:t>
        </w:r>
      </w:hyperlink>
      <w:r>
        <w:rPr>
          <w:rFonts w:ascii="Times New Roman" w:hAnsi="Times New Roman"/>
        </w:rPr>
        <w:t xml:space="preserve"> )</w:t>
      </w:r>
    </w:p>
  </w:footnote>
  <w:footnote w:id="18">
    <w:p w:rsidR="00E777DA" w:rsidRDefault="00792AB2">
      <w:pPr>
        <w:pStyle w:val="FootnoteText"/>
      </w:pPr>
      <w:r>
        <w:rPr>
          <w:rStyle w:val="FootnoteReference"/>
        </w:rPr>
        <w:footnoteRef/>
      </w:r>
      <w:r>
        <w:t xml:space="preserve"> </w:t>
      </w:r>
      <w:r>
        <w:rPr>
          <w:rFonts w:ascii="Times New Roman" w:hAnsi="Times New Roman"/>
        </w:rPr>
        <w:t xml:space="preserve">Studio di sostegno della valutazione d'impatto </w:t>
      </w:r>
      <w:proofErr w:type="gramStart"/>
      <w:r>
        <w:rPr>
          <w:rFonts w:ascii="Times New Roman" w:hAnsi="Times New Roman"/>
        </w:rPr>
        <w:t>relativa a</w:t>
      </w:r>
      <w:proofErr w:type="gramEnd"/>
      <w:r>
        <w:rPr>
          <w:rFonts w:ascii="Times New Roman" w:hAnsi="Times New Roman"/>
        </w:rPr>
        <w:t xml:space="preserve"> opzio</w:t>
      </w:r>
      <w:r>
        <w:rPr>
          <w:rFonts w:ascii="Times New Roman" w:hAnsi="Times New Roman"/>
        </w:rPr>
        <w:t>ni per combattere il traffico illecito di armi nell'UE</w:t>
      </w:r>
    </w:p>
  </w:footnote>
  <w:footnote w:id="19">
    <w:p w:rsidR="00E777DA" w:rsidRDefault="00792AB2">
      <w:pPr>
        <w:pStyle w:val="FootnoteText"/>
      </w:pPr>
      <w:r>
        <w:rPr>
          <w:rStyle w:val="FootnoteReference"/>
        </w:rPr>
        <w:footnoteRef/>
      </w:r>
      <w:r>
        <w:t xml:space="preserve"> </w:t>
      </w:r>
      <w:r>
        <w:rPr>
          <w:rFonts w:ascii="Times New Roman" w:hAnsi="Times New Roman"/>
        </w:rPr>
        <w:t>Gli SM per gli studi di casi sono stati selezionati secondo i criteri seguenti: i) dimensione del mercato delle armi da fuoco; ii) problematiche dello SM in materia di sicurezza; iii) armi da fuoco i</w:t>
      </w:r>
      <w:r>
        <w:rPr>
          <w:rFonts w:ascii="Times New Roman" w:hAnsi="Times New Roman"/>
        </w:rPr>
        <w:t>n proporzione alla popolazione; iv</w:t>
      </w:r>
      <w:proofErr w:type="gramStart"/>
      <w:r>
        <w:rPr>
          <w:rFonts w:ascii="Times New Roman" w:hAnsi="Times New Roman"/>
        </w:rPr>
        <w:t>)</w:t>
      </w:r>
      <w:proofErr w:type="gramEnd"/>
      <w:r>
        <w:rPr>
          <w:rFonts w:ascii="Times New Roman" w:hAnsi="Times New Roman"/>
        </w:rPr>
        <w:t xml:space="preserve"> numero di casi registrati di furto o smarrimento di armi da fuoco.</w:t>
      </w:r>
    </w:p>
  </w:footnote>
  <w:footnote w:id="20">
    <w:p w:rsidR="00E777DA" w:rsidRDefault="00792AB2">
      <w:pPr>
        <w:pStyle w:val="FootnoteText"/>
      </w:pPr>
      <w:r>
        <w:rPr>
          <w:rStyle w:val="FootnoteReference"/>
        </w:rPr>
        <w:footnoteRef/>
      </w:r>
      <w:r>
        <w:t xml:space="preserve"> </w:t>
      </w:r>
      <w:r>
        <w:rPr>
          <w:rFonts w:ascii="Times New Roman" w:hAnsi="Times New Roman"/>
        </w:rPr>
        <w:t xml:space="preserve">Il periodo 2005-2013 è usato come riferimento, </w:t>
      </w:r>
      <w:proofErr w:type="gramStart"/>
      <w:r>
        <w:rPr>
          <w:rFonts w:ascii="Times New Roman" w:hAnsi="Times New Roman"/>
        </w:rPr>
        <w:t>dato che</w:t>
      </w:r>
      <w:proofErr w:type="gramEnd"/>
      <w:r>
        <w:rPr>
          <w:rFonts w:ascii="Times New Roman" w:hAnsi="Times New Roman"/>
        </w:rPr>
        <w:t xml:space="preserve"> allora l'UE contava già 25 SM.</w:t>
      </w:r>
    </w:p>
  </w:footnote>
  <w:footnote w:id="21">
    <w:p w:rsidR="00E777DA" w:rsidRDefault="00792AB2">
      <w:pPr>
        <w:pStyle w:val="FootnoteText"/>
      </w:pPr>
      <w:r>
        <w:rPr>
          <w:rStyle w:val="FootnoteReference"/>
        </w:rPr>
        <w:footnoteRef/>
      </w:r>
      <w:r>
        <w:t xml:space="preserve"> </w:t>
      </w:r>
      <w:r>
        <w:rPr>
          <w:rFonts w:ascii="Times New Roman" w:hAnsi="Times New Roman"/>
        </w:rPr>
        <w:t>L'istituzione del gruppo di contatto è presa in considerazione</w:t>
      </w:r>
      <w:r>
        <w:rPr>
          <w:rFonts w:ascii="Times New Roman" w:hAnsi="Times New Roman"/>
        </w:rPr>
        <w:t xml:space="preserve"> nell'articolo </w:t>
      </w:r>
      <w:proofErr w:type="gramStart"/>
      <w:r>
        <w:rPr>
          <w:rFonts w:ascii="Times New Roman" w:hAnsi="Times New Roman"/>
        </w:rPr>
        <w:t>13</w:t>
      </w:r>
      <w:proofErr w:type="gramEnd"/>
      <w:r>
        <w:rPr>
          <w:rFonts w:ascii="Times New Roman" w:hAnsi="Times New Roman"/>
        </w:rPr>
        <w:t>, paragrafo 3, della direttiva sulle armi da fuoco.</w:t>
      </w:r>
    </w:p>
  </w:footnote>
  <w:footnote w:id="22">
    <w:p w:rsidR="00E777DA" w:rsidRDefault="00792AB2">
      <w:pPr>
        <w:pStyle w:val="FootnoteText"/>
      </w:pPr>
      <w:r>
        <w:rPr>
          <w:rStyle w:val="FootnoteReference"/>
        </w:rPr>
        <w:footnoteRef/>
      </w:r>
      <w:r>
        <w:t xml:space="preserve"> </w:t>
      </w:r>
      <w:r>
        <w:rPr>
          <w:rFonts w:ascii="Times New Roman" w:hAnsi="Times New Roman"/>
          <w:u w:val="single"/>
        </w:rPr>
        <w:t>Costi diretti di messa in conformità:</w:t>
      </w:r>
      <w:r>
        <w:t xml:space="preserve"> </w:t>
      </w:r>
      <w:r>
        <w:rPr>
          <w:rFonts w:ascii="Times New Roman" w:hAnsi="Times New Roman"/>
        </w:rPr>
        <w:t xml:space="preserve">riguardano tutte le procedure necessarie per adottare la direttiva a livello nazionale. </w:t>
      </w:r>
      <w:r>
        <w:rPr>
          <w:rFonts w:ascii="Times New Roman" w:hAnsi="Times New Roman"/>
          <w:u w:val="single"/>
        </w:rPr>
        <w:t>Oneri amministrativi:</w:t>
      </w:r>
      <w:r>
        <w:rPr>
          <w:rFonts w:ascii="Times New Roman" w:hAnsi="Times New Roman"/>
        </w:rPr>
        <w:t xml:space="preserve"> sono costi che le imprese e gli utili</w:t>
      </w:r>
      <w:r>
        <w:rPr>
          <w:rFonts w:ascii="Times New Roman" w:hAnsi="Times New Roman"/>
        </w:rPr>
        <w:t xml:space="preserve">zzatori devono sostenere per conformarsi agli obblighi </w:t>
      </w:r>
      <w:proofErr w:type="gramStart"/>
      <w:r>
        <w:rPr>
          <w:rFonts w:ascii="Times New Roman" w:hAnsi="Times New Roman"/>
        </w:rPr>
        <w:t xml:space="preserve">di </w:t>
      </w:r>
      <w:proofErr w:type="gramEnd"/>
      <w:r>
        <w:rPr>
          <w:rFonts w:ascii="Times New Roman" w:hAnsi="Times New Roman"/>
        </w:rPr>
        <w:t xml:space="preserve">informazione derivanti dalla regolamentazione pubblica nonché costi per le autorità degli SM connessi all'applicazione di procedure supplementari. </w:t>
      </w:r>
      <w:r>
        <w:rPr>
          <w:rFonts w:ascii="Times New Roman" w:hAnsi="Times New Roman"/>
          <w:u w:val="single"/>
        </w:rPr>
        <w:t>Costi delle informazioni:</w:t>
      </w:r>
      <w:r>
        <w:rPr>
          <w:rFonts w:ascii="Times New Roman" w:hAnsi="Times New Roman"/>
        </w:rPr>
        <w:t xml:space="preserve"> sono dovuti a differenze </w:t>
      </w:r>
      <w:r>
        <w:rPr>
          <w:rFonts w:ascii="Times New Roman" w:hAnsi="Times New Roman"/>
        </w:rPr>
        <w:t xml:space="preserve">nell'applicazione della direttiva, che possono obbligare gli SM, i fabbricanti e gli utilizzatori </w:t>
      </w:r>
      <w:proofErr w:type="gramStart"/>
      <w:r>
        <w:rPr>
          <w:rFonts w:ascii="Times New Roman" w:hAnsi="Times New Roman"/>
        </w:rPr>
        <w:t>ad</w:t>
      </w:r>
      <w:proofErr w:type="gramEnd"/>
      <w:r>
        <w:rPr>
          <w:rFonts w:ascii="Times New Roman" w:hAnsi="Times New Roman"/>
        </w:rPr>
        <w:t xml:space="preserve"> informarsi in merito alle prescrizioni in vigore all'estero.</w:t>
      </w:r>
    </w:p>
  </w:footnote>
  <w:footnote w:id="23">
    <w:p w:rsidR="00E777DA" w:rsidRDefault="00792AB2">
      <w:pPr>
        <w:pStyle w:val="FootnoteText"/>
      </w:pPr>
      <w:r>
        <w:rPr>
          <w:rStyle w:val="FootnoteReference"/>
        </w:rPr>
        <w:footnoteRef/>
      </w:r>
      <w:r>
        <w:t xml:space="preserve"> </w:t>
      </w:r>
      <w:r>
        <w:rPr>
          <w:rFonts w:ascii="Times New Roman" w:hAnsi="Times New Roman"/>
        </w:rPr>
        <w:t xml:space="preserve">Articolo </w:t>
      </w:r>
      <w:proofErr w:type="gramStart"/>
      <w:r>
        <w:rPr>
          <w:rFonts w:ascii="Times New Roman" w:hAnsi="Times New Roman"/>
        </w:rPr>
        <w:t>19</w:t>
      </w:r>
      <w:proofErr w:type="gramEnd"/>
      <w:r>
        <w:rPr>
          <w:rFonts w:ascii="Times New Roman" w:hAnsi="Times New Roman"/>
        </w:rPr>
        <w:t xml:space="preserve"> dell'UNFP.</w:t>
      </w:r>
    </w:p>
  </w:footnote>
  <w:footnote w:id="24">
    <w:p w:rsidR="00E777DA" w:rsidRDefault="00792AB2">
      <w:pPr>
        <w:pStyle w:val="FootnoteText"/>
        <w:rPr>
          <w:rFonts w:ascii="Times New Roman" w:hAnsi="Times New Roman"/>
          <w:sz w:val="24"/>
          <w:szCs w:val="24"/>
        </w:rPr>
      </w:pPr>
      <w:r>
        <w:rPr>
          <w:rStyle w:val="FootnoteReference"/>
        </w:rPr>
        <w:footnoteRef/>
      </w:r>
      <w:r>
        <w:t xml:space="preserve"> </w:t>
      </w:r>
      <w:r>
        <w:rPr>
          <w:rFonts w:ascii="Times New Roman" w:hAnsi="Times New Roman"/>
        </w:rPr>
        <w:t>Per quanto riguarda le vendite su Internet e le nuove tecnologie lo</w:t>
      </w:r>
      <w:r>
        <w:rPr>
          <w:rFonts w:ascii="Times New Roman" w:hAnsi="Times New Roman"/>
        </w:rPr>
        <w:t xml:space="preserve"> studio, pur considerando il quadro attuale adeguato ad affrontare le sfide che esse rappresentano, </w:t>
      </w:r>
      <w:proofErr w:type="gramStart"/>
      <w:r>
        <w:rPr>
          <w:rFonts w:ascii="Times New Roman" w:hAnsi="Times New Roman"/>
        </w:rPr>
        <w:t>mette</w:t>
      </w:r>
      <w:proofErr w:type="gramEnd"/>
      <w:r>
        <w:rPr>
          <w:rFonts w:ascii="Times New Roman" w:hAnsi="Times New Roman"/>
        </w:rPr>
        <w:t xml:space="preserve"> in luce l'uso sempre più frequente di Internet come canale di vendita per armi da fuoco e le difficoltà future in termini di controllo.</w:t>
      </w:r>
    </w:p>
  </w:footnote>
  <w:footnote w:id="25">
    <w:p w:rsidR="00E777DA" w:rsidRDefault="00792AB2">
      <w:pPr>
        <w:pStyle w:val="FootnoteText"/>
      </w:pPr>
      <w:r>
        <w:rPr>
          <w:rStyle w:val="FootnoteReference"/>
        </w:rPr>
        <w:footnoteRef/>
      </w:r>
      <w:r>
        <w:t xml:space="preserve"> </w:t>
      </w:r>
      <w:r>
        <w:rPr>
          <w:rFonts w:ascii="Times New Roman" w:hAnsi="Times New Roman"/>
        </w:rPr>
        <w:t>COM</w:t>
      </w:r>
      <w:proofErr w:type="gramStart"/>
      <w:r>
        <w:rPr>
          <w:rFonts w:ascii="Times New Roman" w:hAnsi="Times New Roman"/>
        </w:rPr>
        <w:t>(</w:t>
      </w:r>
      <w:proofErr w:type="gramEnd"/>
      <w:r>
        <w:rPr>
          <w:rFonts w:ascii="Times New Roman" w:hAnsi="Times New Roman"/>
        </w:rPr>
        <w:t>2015) 18</w:t>
      </w:r>
      <w:r>
        <w:rPr>
          <w:rFonts w:ascii="Times New Roman" w:hAnsi="Times New Roman"/>
        </w:rPr>
        <w:t xml:space="preserve">5 </w:t>
      </w:r>
      <w:proofErr w:type="spellStart"/>
      <w:r>
        <w:rPr>
          <w:rFonts w:ascii="Times New Roman" w:hAnsi="Times New Roman"/>
        </w:rPr>
        <w:t>final</w:t>
      </w:r>
      <w:proofErr w:type="spellEnd"/>
      <w:r>
        <w:rPr>
          <w:rFonts w:ascii="Times New Roman" w:hAnsi="Times New Roman"/>
        </w:rPr>
        <w:t>.</w:t>
      </w:r>
    </w:p>
  </w:footnote>
  <w:footnote w:id="26">
    <w:p w:rsidR="00E777DA" w:rsidRDefault="00792AB2">
      <w:pPr>
        <w:rPr>
          <w:rFonts w:ascii="Times New Roman" w:hAnsi="Times New Roman"/>
          <w:sz w:val="24"/>
          <w:szCs w:val="24"/>
        </w:rPr>
      </w:pPr>
      <w:r>
        <w:rPr>
          <w:rStyle w:val="FootnoteReference"/>
        </w:rPr>
        <w:footnoteRef/>
      </w:r>
      <w:r>
        <w:t xml:space="preserve"> </w:t>
      </w:r>
      <w:proofErr w:type="gramStart"/>
      <w:r>
        <w:rPr>
          <w:rFonts w:ascii="Times New Roman" w:hAnsi="Times New Roman"/>
          <w:sz w:val="20"/>
        </w:rPr>
        <w:t>Dichiarazione comune di Riga in seguito alla riunione informale dei ministri della Giustizia e degli affari interni tenutasi il 29 e 30 genn</w:t>
      </w:r>
      <w:proofErr w:type="gramEnd"/>
      <w:r>
        <w:rPr>
          <w:rFonts w:ascii="Times New Roman" w:hAnsi="Times New Roman"/>
          <w:sz w:val="20"/>
        </w:rPr>
        <w:t>aio.</w:t>
      </w:r>
    </w:p>
    <w:p w:rsidR="00E777DA" w:rsidRDefault="00E777D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DA" w:rsidRDefault="00E77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D66"/>
    <w:multiLevelType w:val="hybridMultilevel"/>
    <w:tmpl w:val="77D6BD0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612FB1"/>
    <w:multiLevelType w:val="hybridMultilevel"/>
    <w:tmpl w:val="A426D61E"/>
    <w:lvl w:ilvl="0" w:tplc="1194DFAA">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687004"/>
    <w:multiLevelType w:val="hybridMultilevel"/>
    <w:tmpl w:val="13DE9942"/>
    <w:lvl w:ilvl="0" w:tplc="1194DFAA">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DD4F8B"/>
    <w:multiLevelType w:val="hybridMultilevel"/>
    <w:tmpl w:val="941A539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FD0D70"/>
    <w:multiLevelType w:val="hybridMultilevel"/>
    <w:tmpl w:val="42285C8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A1ACC"/>
    <w:multiLevelType w:val="hybridMultilevel"/>
    <w:tmpl w:val="7A58F2E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41602"/>
    <w:multiLevelType w:val="hybridMultilevel"/>
    <w:tmpl w:val="F6DC0A46"/>
    <w:lvl w:ilvl="0" w:tplc="1194DFAA">
      <w:numFmt w:val="bullet"/>
      <w:lvlText w:val="-"/>
      <w:lvlJc w:val="left"/>
      <w:pPr>
        <w:ind w:left="360" w:hanging="360"/>
      </w:pPr>
      <w:rPr>
        <w:rFonts w:ascii="Verdana" w:eastAsia="Calibri"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2184960"/>
    <w:multiLevelType w:val="hybridMultilevel"/>
    <w:tmpl w:val="5882F394"/>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71ED2"/>
    <w:multiLevelType w:val="hybridMultilevel"/>
    <w:tmpl w:val="0BFC1468"/>
    <w:lvl w:ilvl="0" w:tplc="1194DFAA">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FB954DC952194281A9439CE603D18F53"/>
    <w:docVar w:name="LW_CROSSREFERENCE" w:val="&lt;UNUSED&gt;"/>
    <w:docVar w:name="LW_DocType" w:val="NORMAL"/>
    <w:docVar w:name="LW_EMISSION" w:val="18.11.2015"/>
    <w:docVar w:name="LW_EMISSION_ISODATE" w:val="2015-11-18"/>
    <w:docVar w:name="LW_EMISSION_LOCATION" w:val="BRX"/>
    <w:docVar w:name="LW_EMISSION_PREFIX" w:val="Bruxelles, "/>
    <w:docVar w:name="LW_EMISSION_SUFFIX" w:val=" "/>
    <w:docVar w:name="LW_ID_DOCTYPE_NONLW" w:val="CP-005"/>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5) 751"/>
    <w:docVar w:name="LW_REF.INTERNE" w:val="&lt;UNUSED&gt;"/>
    <w:docVar w:name="LW_SOUS.TITRE.OBJ.CP" w:val="&lt;UNUSED&gt;"/>
    <w:docVar w:name="LW_SUPERTITRE" w:val="&lt;UNUSED&gt;"/>
    <w:docVar w:name="LW_TITRE.OBJ.CP" w:val="Valutazione REFIT della direttiva 91/477/CE del Consiglio, del 18 giugno 1991, modificata dalla direttiva 2008/51/CE, del 21 maggio 2008, relativa al controllo dell'acquisizione e della detenzione di armi"/>
    <w:docVar w:name="LW_TYPE.DOC.CP" w:val="RELAZIONE DELLA COMMISSIONE AL CONSIGLIO E AL PARLAMENTO EUROPEO"/>
  </w:docVars>
  <w:rsids>
    <w:rsidRoot w:val="00E777DA"/>
    <w:rsid w:val="001A5BC2"/>
    <w:rsid w:val="00792AB2"/>
    <w:rsid w:val="00E77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it-IT"/>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it-IT"/>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it-I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it-I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val="it-IT"/>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lang w:val="it-IT"/>
    </w:rPr>
  </w:style>
  <w:style w:type="character" w:styleId="CommentReference">
    <w:name w:val="annotation reference"/>
    <w:uiPriority w:val="99"/>
    <w:unhideWhenUsed/>
    <w:rPr>
      <w:sz w:val="16"/>
      <w:szCs w:val="16"/>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val="it-IT"/>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uiPriority w:val="99"/>
    <w:unhideWhenUsed/>
    <w:qFormat/>
    <w:rPr>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it-I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it-IT"/>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it-IT"/>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it-I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it-I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val="it-IT"/>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lang w:val="it-IT"/>
    </w:rPr>
  </w:style>
  <w:style w:type="character" w:styleId="CommentReference">
    <w:name w:val="annotation reference"/>
    <w:uiPriority w:val="99"/>
    <w:unhideWhenUsed/>
    <w:rPr>
      <w:sz w:val="16"/>
      <w:szCs w:val="16"/>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val="it-IT"/>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uiPriority w:val="99"/>
    <w:unhideWhenUsed/>
    <w:qFormat/>
    <w:rPr>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it-I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ipri.org/research/security/europe/publications/study-on-firearms" TargetMode="External"/><Relationship Id="rId1" Type="http://schemas.openxmlformats.org/officeDocument/2006/relationships/hyperlink" Target="http://bookshop.europa.eu/en/evaluation-of-the-firearms-directive-pbNB05141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NOT.DOTM</Template>
  <TotalTime>6</TotalTime>
  <Pages>19</Pages>
  <Words>7034</Words>
  <Characters>38691</Characters>
  <Application>Microsoft Office Word</Application>
  <DocSecurity>0</DocSecurity>
  <Lines>655</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dcterms:created xsi:type="dcterms:W3CDTF">2015-11-19T15:40:00Z</dcterms:created>
  <dcterms:modified xsi:type="dcterms:W3CDTF">2015-12-07T15:56:00Z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NOT.DOT</vt:lpwstr>
  </property>
  <property fmtid="{D5CDD505-2E9C-101B-9397-08002B2CF9AE}" pid="6" name="DocStatus">
    <vt:lpwstr>Red</vt:lpwstr>
  </property>
</Properties>
</file>