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BD84B6CBD72C435F913F020AD3EC5878" style="width:450.4pt;height:444.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tabs>
          <w:tab w:val="num" w:pos="480"/>
        </w:tabs>
        <w:spacing w:before="240" w:after="240" w:line="240" w:lineRule="auto"/>
        <w:jc w:val="both"/>
        <w:outlineLvl w:val="0"/>
        <w:rPr>
          <w:rFonts w:ascii="Times New Roman" w:eastAsia="Times New Roman" w:hAnsi="Times New Roman" w:cs="Times New Roman"/>
          <w:b/>
          <w:smallCaps/>
          <w:noProof/>
          <w:sz w:val="24"/>
          <w:szCs w:val="20"/>
        </w:rPr>
      </w:pPr>
      <w:bookmarkStart w:id="1" w:name="_GoBack"/>
      <w:bookmarkEnd w:id="1"/>
      <w:r>
        <w:rPr>
          <w:rFonts w:ascii="Times New Roman" w:hAnsi="Times New Roman"/>
          <w:b/>
          <w:smallCaps/>
          <w:noProof/>
          <w:sz w:val="24"/>
        </w:rPr>
        <w:lastRenderedPageBreak/>
        <w:t>Prilog III.:  Ukupna procjena dodatnosti (članak 95. Uredbe o zajedničkim odredbama)</w:t>
      </w:r>
    </w:p>
    <w:p>
      <w:pPr>
        <w:tabs>
          <w:tab w:val="num" w:pos="1003"/>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Dodatnost je jedno od temeljnih načela kohezijske politike. Ona znači da se fondovima (EFRR, ESF, KF) dopunjuju, ali ne zamjenjuju javni ili ekvivalentni strukturni rashodi države članice.</w:t>
      </w:r>
    </w:p>
    <w:p>
      <w:pPr>
        <w:tabs>
          <w:tab w:val="num" w:pos="1003"/>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Provjere dodatnosti znatno su pojednostavnjene u novom programskom razdoblju (2014. – 2020.) jednostavnom primjenom najvažnijeg pokazatelja javnog ulaganja (tj. bruto investicije opće države u fiksni kapital).</w:t>
      </w:r>
    </w:p>
    <w:p>
      <w:pPr>
        <w:tabs>
          <w:tab w:val="num" w:pos="1003"/>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To je načelo sada u potpunosti usklađeno sa sustavom EU-a za gospodarsko upravljanje jer će se informacije o kojima države članice izvješćuju u okviru programa stabilnosti i konvergencije upotrebljavati kao referentne vrijednosti za tu provjeru.</w:t>
      </w:r>
    </w:p>
    <w:p>
      <w:pPr>
        <w:tabs>
          <w:tab w:val="num" w:pos="1003"/>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Komisija će provjeravati usklađenost s načelom dodatnosti u državama članicama u čijim najslabije razvijenim regijama živi najmanje 15 % stanovništva tih država članica. Provjeri podliježe samo 14 država članica, od čega njih 11 na nacionalnoj razini (Bugarska, Češka, Estonija, Latvija, Litva, Mađarska, Poljska, Portugal, Rumunjska, Slovačka i Hrvatska), a 3 na regionalnoj (Italija, Grčka, Slovenija).</w:t>
      </w:r>
    </w:p>
    <w:p>
      <w:pPr>
        <w:tabs>
          <w:tab w:val="num" w:pos="1003"/>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U godišnjim pregledima rasta koje je uvela Komisija opetovano se poziva na poboljšanje sastava javnih rashoda kako bi bili više usmjereni na poticanje rasta. Načelo dodatnosti važan je instrument za postizanje tog cilja jer se njime osigurava da će se uložiti i određeni iznos nacionalnih sredstava.</w:t>
      </w:r>
    </w:p>
    <w:p>
      <w:pPr>
        <w:tabs>
          <w:tab w:val="num" w:pos="1003"/>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Države članice utvrdile su svoje ciljeve za cijelo programsko razdoblje 2014. – 2020. u pojedinačnim sporazumima o partnerstvu.</w:t>
      </w:r>
    </w:p>
    <w:p>
      <w:pPr>
        <w:tabs>
          <w:tab w:val="num" w:pos="1003"/>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Na temelju načela dodatnosti od 2014. do 2016. mobilizirat će se otprilike 45 milijardi EUR, što odgovara otprilike 2,8 % prosječnog BDP-a dotičnih regija i država članica.</w:t>
      </w:r>
    </w:p>
    <w:p>
      <w:pPr>
        <w:tabs>
          <w:tab w:val="num" w:pos="1003"/>
        </w:tabs>
        <w:spacing w:after="240" w:line="240" w:lineRule="auto"/>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pPr>
      <w:r>
        <w:rPr>
          <w:rFonts w:ascii="Times New Roman" w:hAnsi="Times New Roman"/>
          <w:noProof/>
          <w:sz w:val="24"/>
        </w:rPr>
        <w:lastRenderedPageBreak/>
        <w:t>U usporedbi s nacionalnim BDP-om najviši su ciljevi postavljeni u Rumunjskoj, Bugarskoj i Poljskoj, a najniže obveze u Grčkoj, Italiji i Portugalu</w:t>
      </w:r>
      <w:r>
        <w:rPr>
          <w:rStyle w:val="FootnoteReference"/>
          <w:rFonts w:ascii="Times New Roman" w:hAnsi="Times New Roman"/>
          <w:noProof/>
          <w:sz w:val="24"/>
        </w:rPr>
        <w:footnoteReference w:id="1"/>
      </w:r>
      <w:r>
        <w:rPr>
          <w:noProof/>
        </w:rPr>
        <w:t>.</w:t>
      </w:r>
      <w:r>
        <w:rPr>
          <w:noProof/>
          <w:lang w:val="en-US" w:eastAsia="en-US" w:bidi="ar-SA"/>
        </w:rPr>
        <w:drawing>
          <wp:inline distT="0" distB="0" distL="0" distR="0">
            <wp:extent cx="4245997" cy="2464905"/>
            <wp:effectExtent l="0" t="0" r="21590" b="1206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spacing w:line="240" w:lineRule="auto"/>
        <w:jc w:val="both"/>
        <w:rPr>
          <w:rFonts w:ascii="Times New Roman" w:hAnsi="Times New Roman" w:cs="Times New Roman"/>
          <w:b/>
          <w:noProof/>
          <w:sz w:val="24"/>
          <w:szCs w:val="24"/>
        </w:rPr>
      </w:pPr>
      <w:r>
        <w:rPr>
          <w:rFonts w:ascii="Times New Roman" w:hAnsi="Times New Roman"/>
          <w:b/>
          <w:noProof/>
          <w:sz w:val="24"/>
        </w:rPr>
        <w:t>Prilog IV.: Raspored podnošenja i donošenja sporazuma o partnerstvu (SP) i programa</w:t>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object w:dxaOrig="14442" w:dyaOrig="7855">
          <v:shape id="_x0000_i1026" type="#_x0000_t75" style="width:722.5pt;height:393.5pt" o:ole="">
            <v:imagedata r:id="rId23" o:title=""/>
          </v:shape>
          <o:OLEObject Type="Embed" ProgID="Excel.Sheet.12" ShapeID="_x0000_i1026" DrawAspect="Content" ObjectID="_1511671418" r:id="rId24"/>
        </w:object>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object w:dxaOrig="14442" w:dyaOrig="6807">
          <v:shape id="_x0000_i1027" type="#_x0000_t75" style="width:722.5pt;height:352.45pt" o:ole="">
            <v:imagedata r:id="rId25" o:title=""/>
          </v:shape>
          <o:OLEObject Type="Embed" ProgID="Excel.Sheet.12" ShapeID="_x0000_i1027" DrawAspect="Content" ObjectID="_1511671419" r:id="rId26"/>
        </w:object>
      </w:r>
    </w:p>
    <w:sectPr>
      <w:headerReference w:type="even" r:id="rId27"/>
      <w:headerReference w:type="default" r:id="rId28"/>
      <w:footerReference w:type="even" r:id="rId29"/>
      <w:footerReference w:type="default" r:id="rId30"/>
      <w:headerReference w:type="first" r:id="rId31"/>
      <w:footerReference w:type="first" r:id="rId32"/>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355408"/>
      <w:docPartObj>
        <w:docPartGallery w:val="Page Numbers (Bottom of Page)"/>
        <w:docPartUnique/>
      </w:docPartObj>
    </w:sdtPr>
    <w:sdtEndPr>
      <w:rPr>
        <w:noProof/>
      </w:rPr>
    </w:sdtEndPr>
    <w:sdtContent>
      <w:p>
        <w:pPr>
          <w:pStyle w:val="Footer"/>
          <w:jc w:val="right"/>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3</w:t>
        </w:r>
        <w:r>
          <w:rPr>
            <w:rFonts w:ascii="Times New Roman" w:hAnsi="Times New Roman" w:cs="Times New Roman"/>
            <w:noProof/>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362934"/>
      <w:docPartObj>
        <w:docPartGallery w:val="Page Numbers (Bottom of Page)"/>
        <w:docPartUnique/>
      </w:docPartObj>
    </w:sdtPr>
    <w:sdtEndPr>
      <w:rPr>
        <w:noProof/>
      </w:rPr>
    </w:sdtEndPr>
    <w:sdtContent>
      <w:p>
        <w:pPr>
          <w:pStyle w:val="Footer"/>
          <w:jc w:val="right"/>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4</w:t>
        </w:r>
        <w:r>
          <w:rPr>
            <w:rFonts w:ascii="Times New Roman" w:hAnsi="Times New Roman" w:cs="Times New Roman"/>
            <w:noProof/>
            <w:sz w:val="24"/>
            <w:szCs w:val="24"/>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U Grčkoj, Italiji i Sloveniji cilj se odnosi na bruto investicije opće države u fiksni kapital u slabije razvijenim regijama, jer se u tim državama članicama dodatnost provjerava na regionalnoj razini (bruto investicije u fiksni kapital u slabije razvijenim regijama / nacionalni BDP).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6">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1">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3">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0"/>
  </w:num>
  <w:num w:numId="2">
    <w:abstractNumId w:val="5"/>
  </w:num>
  <w:num w:numId="3">
    <w:abstractNumId w:val="4"/>
  </w:num>
  <w:num w:numId="4">
    <w:abstractNumId w:val="2"/>
  </w:num>
  <w:num w:numId="5">
    <w:abstractNumId w:val="1"/>
  </w:num>
  <w:num w:numId="6">
    <w:abstractNumId w:val="11"/>
  </w:num>
  <w:num w:numId="7">
    <w:abstractNumId w:val="13"/>
  </w:num>
  <w:num w:numId="8">
    <w:abstractNumId w:val="12"/>
  </w:num>
  <w:num w:numId="9">
    <w:abstractNumId w:val="14"/>
  </w:num>
  <w:num w:numId="10">
    <w:abstractNumId w:val="3"/>
  </w:num>
  <w:num w:numId="11">
    <w:abstractNumId w:val="6"/>
  </w:num>
  <w:num w:numId="12">
    <w:abstractNumId w:val="8"/>
  </w:num>
  <w:num w:numId="13">
    <w:abstractNumId w:val="7"/>
  </w:num>
  <w:num w:numId="14">
    <w:abstractNumId w:val="0"/>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ANNEX_NBR_FIRST" w:val="3"/>
    <w:docVar w:name="LW_ANNEX_NBR_LAST" w:val="4"/>
    <w:docVar w:name="LW_CONFIDENCE" w:val=" "/>
    <w:docVar w:name="LW_CONST_RESTREINT_UE" w:val="RESTREINT UE"/>
    <w:docVar w:name="LW_CORRIGENDUM" w:val="&lt;UNUSED&gt;"/>
    <w:docVar w:name="LW_COVERPAGE_GUID" w:val="BD84B6CBD72C435F913F020AD3EC5878"/>
    <w:docVar w:name="LW_CROSSREFERENCE" w:val="&lt;UNUSED&gt;"/>
    <w:docVar w:name="LW_DocType" w:val="NORMAL"/>
    <w:docVar w:name="LW_EMISSION" w:val="14.12.2015."/>
    <w:docVar w:name="LW_EMISSION_ISODATE" w:val="2015-12-14"/>
    <w:docVar w:name="LW_EMISSION_LOCATION" w:val="BRX"/>
    <w:docVar w:name="LW_EMISSION_PREFIX" w:val="Bruxelles, "/>
    <w:docVar w:name="LW_EMISSION_SUFFIX" w:val="&lt;EMPTY&gt;"/>
    <w:docVar w:name="LW_ID_DOCTYPE_NONLW" w:val="CP-039"/>
    <w:docVar w:name="LW_LANGUE" w:val="HR"/>
    <w:docVar w:name="LW_MARKING" w:val="&lt;UNUSED&gt;"/>
    <w:docVar w:name="LW_NOM.INST" w:val="EUROPSKA KOMISIJA"/>
    <w:docVar w:name="LW_NOM.INST_JOINTDOC" w:val="&lt;EMPTY&gt;"/>
    <w:docVar w:name="LW_OBJETACTEPRINCIPAL.CP" w:val="Ulaganje u radna mjesta i rast \u8211? pobolj\u353?ano iskori\u353?tavanje europskih strukturnih i investicijskih fondova_x000b_"/>
    <w:docVar w:name="LW_PART_NBR" w:val="&lt;UNUSED&gt;"/>
    <w:docVar w:name="LW_PART_NBR_TOTAL" w:val="&lt;UNUSED&gt;"/>
    <w:docVar w:name="LW_REF.INST.NEW" w:val="COM"/>
    <w:docVar w:name="LW_REF.INST.NEW_ADOPTED" w:val="final"/>
    <w:docVar w:name="LW_REF.INST.NEW_TEXT" w:val="(2015) 639"/>
    <w:docVar w:name="LW_REF.INTERNE" w:val="&lt;UNUSED&gt;"/>
    <w:docVar w:name="LW_SUPERTITRE" w:val="&lt;UNUSED&gt;"/>
    <w:docVar w:name="LW_TITRE.OBJ.CP" w:val="PRILOG III.: Ukupna procjena dodatnosti (\u269?lanak 95. Uredbe o zajedni\u269?kim odredbama)_x000b_PRILOG IV.: Raspored podno\u353?enja i dono\u353?enja sporazuma o partnerstvu i programa"/>
    <w:docVar w:name="LW_TYPE.DOC.CP" w:val="PRILOZI_x000b_"/>
    <w:docVar w:name="LW_TYPEACTEPRINCIPAL.CP" w:val="Komunikaciji Komisije"/>
    <w:docVar w:name="Stamp" w:val="\\dossiers.dgt.cec.eu.int\dossiers\REGIO\REGIO-2015-00467\REGIO-2015-00467-00-02-EN-REV-00.DOCX"/>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hr-H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autoRedefine/>
    <w:uiPriority w:val="9"/>
    <w:unhideWhenUsed/>
    <w:qFormat/>
    <w:pPr>
      <w:keepNext/>
      <w:keepLines/>
      <w:spacing w:before="120" w:after="120" w:line="240" w:lineRule="auto"/>
      <w:jc w:val="both"/>
      <w:outlineLvl w:val="1"/>
    </w:pPr>
    <w:rPr>
      <w:rFonts w:ascii="Times New Roman" w:eastAsiaTheme="minorHAnsi" w:hAnsi="Times New Roman" w:cs="Times New Roman"/>
      <w:b/>
      <w:bCs/>
      <w:i/>
      <w:sz w:val="24"/>
      <w:szCs w:val="24"/>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character" w:customStyle="1" w:styleId="ListParagraphChar">
    <w:name w:val="List Paragraph Char"/>
    <w:basedOn w:val="DefaultParagraphFont"/>
    <w:link w:val="ListParagraph"/>
    <w:uiPriority w:val="34"/>
    <w:locked/>
  </w:style>
  <w:style w:type="paragraph" w:styleId="FootnoteText">
    <w:name w:val="footnote text"/>
    <w:basedOn w:val="Normal"/>
    <w:semiHidden/>
    <w:unhideWhenUsed/>
    <w:pPr>
      <w:spacing w:after="0" w:line="240" w:lineRule="auto"/>
    </w:pPr>
    <w:rPr>
      <w:rFonts w:ascii="Calibri" w:eastAsia="Calibri" w:hAnsi="Calibri" w:cs="Times New Roman"/>
      <w:sz w:val="20"/>
      <w:szCs w:val="20"/>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uiPriority w:val="99"/>
    <w:semiHidden/>
    <w:rPr>
      <w:rFonts w:ascii="Calibri" w:eastAsia="Calibri" w:hAnsi="Calibri" w:cs="Times New Roman"/>
      <w:sz w:val="20"/>
      <w:szCs w:val="20"/>
    </w:rPr>
  </w:style>
  <w:style w:type="character" w:styleId="FootnoteReference">
    <w:name w:val="footnote reference"/>
    <w:aliases w:val="Footnote symbol,Footnote reference number,Times 10 Point,Exposant 3 Point,EN Footnote Reference,note TESI,E...,nota de rodapé,Footnote Reference_LVL6,Footnote Reference_LVL61,Footnote Reference_LVL62,Ref,de nota al pie,fr,ftref,Char1"/>
    <w:basedOn w:val="DefaultParagraphFont"/>
    <w:link w:val="FootnotesymbolCarZchn"/>
    <w:uiPriority w:val="99"/>
    <w:unhideWhenUsed/>
    <w:rPr>
      <w:vertAlign w:val="superscript"/>
    </w:rPr>
  </w:style>
  <w:style w:type="paragraph" w:styleId="ListBullet2">
    <w:name w:val="List Bullet 2"/>
    <w:basedOn w:val="Normal"/>
    <w:pPr>
      <w:numPr>
        <w:numId w:val="3"/>
      </w:numPr>
      <w:spacing w:after="240" w:line="240" w:lineRule="auto"/>
      <w:jc w:val="both"/>
    </w:pPr>
    <w:rPr>
      <w:rFonts w:ascii="Times New Roman" w:eastAsia="Times New Roman" w:hAnsi="Times New Roman" w:cs="Times New Roman"/>
      <w:sz w:val="24"/>
      <w:szCs w:val="20"/>
      <w:lang w:eastAsia="en-US" w:bidi="ar-SA"/>
    </w:rPr>
  </w:style>
  <w:style w:type="character" w:customStyle="1" w:styleId="Heading2Char">
    <w:name w:val="Heading 2 Char"/>
    <w:basedOn w:val="DefaultParagraphFont"/>
    <w:link w:val="Heading2"/>
    <w:uiPriority w:val="9"/>
    <w:rPr>
      <w:rFonts w:ascii="Times New Roman" w:eastAsiaTheme="minorHAnsi" w:hAnsi="Times New Roman" w:cs="Times New Roman"/>
      <w:b/>
      <w:bCs/>
      <w:i/>
      <w:sz w:val="24"/>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lang w:eastAsia="en-US" w:bidi="ar-SA"/>
    </w:rPr>
  </w:style>
  <w:style w:type="paragraph" w:styleId="TOC1">
    <w:name w:val="toc 1"/>
    <w:basedOn w:val="Normal"/>
    <w:next w:val="Normal"/>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heme="majorEastAsia" w:hAnsi="Times New Roman" w:cs="Times New Roman"/>
      <w:sz w:val="24"/>
      <w:szCs w:val="24"/>
    </w:rPr>
  </w:style>
  <w:style w:type="character" w:customStyle="1" w:styleId="FooterCoverPageChar">
    <w:name w:val="Footer Cover Page Char"/>
    <w:basedOn w:val="Heading1Char"/>
    <w:link w:val="FooterCoverPage"/>
    <w:rPr>
      <w:rFonts w:ascii="Times New Roman" w:eastAsiaTheme="majorEastAsia" w:hAnsi="Times New Roman" w:cs="Times New Roman"/>
      <w:b w:val="0"/>
      <w:bCs w:val="0"/>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heme="majorEastAsia" w:hAnsi="Times New Roman" w:cs="Times New Roman"/>
      <w:sz w:val="24"/>
      <w:szCs w:val="24"/>
    </w:rPr>
  </w:style>
  <w:style w:type="character" w:customStyle="1" w:styleId="HeaderCoverPageChar">
    <w:name w:val="Header Cover Page Char"/>
    <w:basedOn w:val="Heading1Char"/>
    <w:link w:val="HeaderCoverPage"/>
    <w:rPr>
      <w:rFonts w:ascii="Times New Roman" w:eastAsiaTheme="majorEastAsia" w:hAnsi="Times New Roman" w:cs="Times New Roman"/>
      <w:b w:val="0"/>
      <w:bCs w:val="0"/>
      <w:sz w:val="24"/>
      <w:szCs w:val="24"/>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cs="Times New Roman"/>
      <w:sz w:val="24"/>
      <w:szCs w:val="20"/>
      <w:lang w:eastAsia="en-US" w:bidi="ar-SA"/>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Bullet1">
    <w:name w:val="List Bullet 1"/>
    <w:basedOn w:val="Normal"/>
    <w:pPr>
      <w:numPr>
        <w:numId w:val="2"/>
      </w:numPr>
      <w:spacing w:after="240" w:line="240" w:lineRule="auto"/>
      <w:jc w:val="both"/>
    </w:pPr>
    <w:rPr>
      <w:rFonts w:ascii="Times New Roman" w:eastAsia="Times New Roman" w:hAnsi="Times New Roman" w:cs="Times New Roman"/>
      <w:sz w:val="24"/>
      <w:szCs w:val="20"/>
      <w:lang w:eastAsia="en-US" w:bidi="ar-SA"/>
    </w:rPr>
  </w:style>
  <w:style w:type="paragraph" w:styleId="ListBullet3">
    <w:name w:val="List Bullet 3"/>
    <w:basedOn w:val="Normal"/>
    <w:pPr>
      <w:numPr>
        <w:numId w:val="4"/>
      </w:numPr>
      <w:spacing w:after="240" w:line="240" w:lineRule="auto"/>
      <w:jc w:val="both"/>
    </w:pPr>
    <w:rPr>
      <w:rFonts w:ascii="Times New Roman" w:eastAsia="Times New Roman" w:hAnsi="Times New Roman" w:cs="Times New Roman"/>
      <w:sz w:val="24"/>
      <w:szCs w:val="20"/>
      <w:lang w:eastAsia="en-US" w:bidi="ar-SA"/>
    </w:rPr>
  </w:style>
  <w:style w:type="paragraph" w:styleId="ListBullet4">
    <w:name w:val="List Bullet 4"/>
    <w:basedOn w:val="Normal"/>
    <w:pPr>
      <w:numPr>
        <w:numId w:val="5"/>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Dash">
    <w:name w:val="List Dash"/>
    <w:basedOn w:val="Normal"/>
    <w:pPr>
      <w:numPr>
        <w:numId w:val="6"/>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Dash1">
    <w:name w:val="List Dash 1"/>
    <w:basedOn w:val="Normal"/>
    <w:pPr>
      <w:numPr>
        <w:numId w:val="7"/>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Dash2">
    <w:name w:val="List Dash 2"/>
    <w:basedOn w:val="Normal"/>
    <w:pPr>
      <w:numPr>
        <w:numId w:val="8"/>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Dash3">
    <w:name w:val="List Dash 3"/>
    <w:basedOn w:val="Normal"/>
    <w:pPr>
      <w:numPr>
        <w:numId w:val="9"/>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Dash4">
    <w:name w:val="List Dash 4"/>
    <w:basedOn w:val="Normal"/>
    <w:pPr>
      <w:numPr>
        <w:numId w:val="10"/>
      </w:numPr>
      <w:spacing w:after="240" w:line="240" w:lineRule="auto"/>
      <w:jc w:val="both"/>
    </w:pPr>
    <w:rPr>
      <w:rFonts w:ascii="Times New Roman" w:eastAsia="Times New Roman" w:hAnsi="Times New Roman" w:cs="Times New Roman"/>
      <w:sz w:val="24"/>
      <w:szCs w:val="20"/>
      <w:lang w:eastAsia="en-US" w:bidi="ar-SA"/>
    </w:rPr>
  </w:style>
  <w:style w:type="paragraph" w:styleId="ListNumber">
    <w:name w:val="List Number"/>
    <w:basedOn w:val="Normal"/>
    <w:pPr>
      <w:numPr>
        <w:numId w:val="11"/>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1">
    <w:name w:val="List Number 1"/>
    <w:basedOn w:val="Normal"/>
    <w:pPr>
      <w:numPr>
        <w:numId w:val="12"/>
      </w:numPr>
      <w:spacing w:after="240" w:line="240" w:lineRule="auto"/>
      <w:jc w:val="both"/>
    </w:pPr>
    <w:rPr>
      <w:rFonts w:ascii="Times New Roman" w:eastAsia="Times New Roman" w:hAnsi="Times New Roman" w:cs="Times New Roman"/>
      <w:sz w:val="24"/>
      <w:szCs w:val="20"/>
      <w:lang w:eastAsia="en-US" w:bidi="ar-SA"/>
    </w:rPr>
  </w:style>
  <w:style w:type="paragraph" w:styleId="ListNumber2">
    <w:name w:val="List Number 2"/>
    <w:basedOn w:val="Normal"/>
    <w:pPr>
      <w:numPr>
        <w:numId w:val="13"/>
      </w:numPr>
      <w:spacing w:after="240" w:line="240" w:lineRule="auto"/>
      <w:jc w:val="both"/>
    </w:pPr>
    <w:rPr>
      <w:rFonts w:ascii="Times New Roman" w:eastAsia="Times New Roman" w:hAnsi="Times New Roman" w:cs="Times New Roman"/>
      <w:sz w:val="24"/>
      <w:szCs w:val="20"/>
      <w:lang w:eastAsia="en-US" w:bidi="ar-SA"/>
    </w:rPr>
  </w:style>
  <w:style w:type="paragraph" w:styleId="ListNumber3">
    <w:name w:val="List Number 3"/>
    <w:basedOn w:val="Normal"/>
    <w:pPr>
      <w:numPr>
        <w:numId w:val="14"/>
      </w:numPr>
      <w:spacing w:after="240" w:line="240" w:lineRule="auto"/>
      <w:jc w:val="both"/>
    </w:pPr>
    <w:rPr>
      <w:rFonts w:ascii="Times New Roman" w:eastAsia="Times New Roman" w:hAnsi="Times New Roman" w:cs="Times New Roman"/>
      <w:sz w:val="24"/>
      <w:szCs w:val="20"/>
      <w:lang w:eastAsia="en-US" w:bidi="ar-SA"/>
    </w:rPr>
  </w:style>
  <w:style w:type="paragraph" w:styleId="ListNumber4">
    <w:name w:val="List Number 4"/>
    <w:basedOn w:val="Normal"/>
    <w:pPr>
      <w:numPr>
        <w:numId w:val="15"/>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Level2">
    <w:name w:val="List Number (Level 2)"/>
    <w:basedOn w:val="Normal"/>
    <w:pPr>
      <w:numPr>
        <w:ilvl w:val="1"/>
        <w:numId w:val="11"/>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1Level2">
    <w:name w:val="List Number 1 (Level 2)"/>
    <w:basedOn w:val="Normal"/>
    <w:pPr>
      <w:numPr>
        <w:ilvl w:val="1"/>
        <w:numId w:val="12"/>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2Level2">
    <w:name w:val="List Number 2 (Level 2)"/>
    <w:basedOn w:val="Normal"/>
    <w:pPr>
      <w:numPr>
        <w:ilvl w:val="1"/>
        <w:numId w:val="13"/>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3Level2">
    <w:name w:val="List Number 3 (Level 2)"/>
    <w:basedOn w:val="Normal"/>
    <w:pPr>
      <w:numPr>
        <w:ilvl w:val="1"/>
        <w:numId w:val="14"/>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4Level2">
    <w:name w:val="List Number 4 (Level 2)"/>
    <w:basedOn w:val="Normal"/>
    <w:pPr>
      <w:numPr>
        <w:ilvl w:val="1"/>
        <w:numId w:val="15"/>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Level3">
    <w:name w:val="List Number (Level 3)"/>
    <w:basedOn w:val="Normal"/>
    <w:pPr>
      <w:numPr>
        <w:ilvl w:val="2"/>
        <w:numId w:val="11"/>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1Level3">
    <w:name w:val="List Number 1 (Level 3)"/>
    <w:basedOn w:val="Normal"/>
    <w:pPr>
      <w:numPr>
        <w:ilvl w:val="2"/>
        <w:numId w:val="12"/>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2Level3">
    <w:name w:val="List Number 2 (Level 3)"/>
    <w:basedOn w:val="Normal"/>
    <w:pPr>
      <w:numPr>
        <w:ilvl w:val="2"/>
        <w:numId w:val="13"/>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3Level3">
    <w:name w:val="List Number 3 (Level 3)"/>
    <w:basedOn w:val="Normal"/>
    <w:pPr>
      <w:numPr>
        <w:ilvl w:val="2"/>
        <w:numId w:val="14"/>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4Level3">
    <w:name w:val="List Number 4 (Level 3)"/>
    <w:basedOn w:val="Normal"/>
    <w:pPr>
      <w:numPr>
        <w:ilvl w:val="2"/>
        <w:numId w:val="15"/>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Level4">
    <w:name w:val="List Number (Level 4)"/>
    <w:basedOn w:val="Normal"/>
    <w:pPr>
      <w:numPr>
        <w:ilvl w:val="3"/>
        <w:numId w:val="11"/>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1Level4">
    <w:name w:val="List Number 1 (Level 4)"/>
    <w:basedOn w:val="Normal"/>
    <w:pPr>
      <w:numPr>
        <w:ilvl w:val="3"/>
        <w:numId w:val="12"/>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2Level4">
    <w:name w:val="List Number 2 (Level 4)"/>
    <w:basedOn w:val="Normal"/>
    <w:pPr>
      <w:numPr>
        <w:ilvl w:val="3"/>
        <w:numId w:val="13"/>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3Level4">
    <w:name w:val="List Number 3 (Level 4)"/>
    <w:basedOn w:val="Normal"/>
    <w:pPr>
      <w:numPr>
        <w:ilvl w:val="3"/>
        <w:numId w:val="14"/>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4Level4">
    <w:name w:val="List Number 4 (Level 4)"/>
    <w:basedOn w:val="Normal"/>
    <w:pPr>
      <w:numPr>
        <w:ilvl w:val="3"/>
        <w:numId w:val="15"/>
      </w:numPr>
      <w:spacing w:after="240" w:line="240" w:lineRule="auto"/>
      <w:jc w:val="both"/>
    </w:pPr>
    <w:rPr>
      <w:rFonts w:ascii="Times New Roman" w:eastAsia="Times New Roman" w:hAnsi="Times New Roman" w:cs="Times New Roman"/>
      <w:sz w:val="24"/>
      <w:szCs w:val="20"/>
      <w:lang w:eastAsia="en-US" w:bidi="ar-SA"/>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lang w:eastAsia="en-US" w:bidi="ar-SA"/>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nwt1">
    <w:name w:val="nwt1"/>
    <w:basedOn w:val="DefaultParagraphFont"/>
    <w:rPr>
      <w:vertAlign w:val="baseline"/>
    </w:rPr>
  </w:style>
  <w:style w:type="table" w:customStyle="1" w:styleId="TableGrid3">
    <w:name w:val="Table Grid3"/>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character" w:customStyle="1" w:styleId="Bodytext">
    <w:name w:val="Body text_"/>
    <w:basedOn w:val="DefaultParagraphFont"/>
    <w:link w:val="BodyText8"/>
    <w:rPr>
      <w:sz w:val="23"/>
      <w:szCs w:val="23"/>
      <w:shd w:val="clear" w:color="auto" w:fill="FFFFFF"/>
    </w:rPr>
  </w:style>
  <w:style w:type="paragraph" w:customStyle="1" w:styleId="BodyText8">
    <w:name w:val="Body Text8"/>
    <w:basedOn w:val="Normal"/>
    <w:link w:val="Bodytext"/>
    <w:pPr>
      <w:widowControl w:val="0"/>
      <w:shd w:val="clear" w:color="auto" w:fill="FFFFFF"/>
      <w:spacing w:before="240" w:after="0" w:line="552" w:lineRule="exact"/>
      <w:ind w:hanging="420"/>
    </w:pPr>
    <w:rPr>
      <w:sz w:val="23"/>
      <w:szCs w:val="23"/>
    </w:rPr>
  </w:style>
  <w:style w:type="table" w:customStyle="1" w:styleId="TableGrid4">
    <w:name w:val="Table Grid4"/>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table" w:customStyle="1" w:styleId="TableGrid5">
    <w:name w:val="Table Grid5"/>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pPr>
      <w:widowControl w:val="0"/>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hr-H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autoRedefine/>
    <w:uiPriority w:val="9"/>
    <w:unhideWhenUsed/>
    <w:qFormat/>
    <w:pPr>
      <w:keepNext/>
      <w:keepLines/>
      <w:spacing w:before="120" w:after="120" w:line="240" w:lineRule="auto"/>
      <w:jc w:val="both"/>
      <w:outlineLvl w:val="1"/>
    </w:pPr>
    <w:rPr>
      <w:rFonts w:ascii="Times New Roman" w:eastAsiaTheme="minorHAnsi" w:hAnsi="Times New Roman" w:cs="Times New Roman"/>
      <w:b/>
      <w:bCs/>
      <w:i/>
      <w:sz w:val="24"/>
      <w:szCs w:val="24"/>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character" w:customStyle="1" w:styleId="ListParagraphChar">
    <w:name w:val="List Paragraph Char"/>
    <w:basedOn w:val="DefaultParagraphFont"/>
    <w:link w:val="ListParagraph"/>
    <w:uiPriority w:val="34"/>
    <w:locked/>
  </w:style>
  <w:style w:type="paragraph" w:styleId="FootnoteText">
    <w:name w:val="footnote text"/>
    <w:basedOn w:val="Normal"/>
    <w:semiHidden/>
    <w:unhideWhenUsed/>
    <w:pPr>
      <w:spacing w:after="0" w:line="240" w:lineRule="auto"/>
    </w:pPr>
    <w:rPr>
      <w:rFonts w:ascii="Calibri" w:eastAsia="Calibri" w:hAnsi="Calibri" w:cs="Times New Roman"/>
      <w:sz w:val="20"/>
      <w:szCs w:val="20"/>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uiPriority w:val="99"/>
    <w:semiHidden/>
    <w:rPr>
      <w:rFonts w:ascii="Calibri" w:eastAsia="Calibri" w:hAnsi="Calibri" w:cs="Times New Roman"/>
      <w:sz w:val="20"/>
      <w:szCs w:val="20"/>
    </w:rPr>
  </w:style>
  <w:style w:type="character" w:styleId="FootnoteReference">
    <w:name w:val="footnote reference"/>
    <w:aliases w:val="Footnote symbol,Footnote reference number,Times 10 Point,Exposant 3 Point,EN Footnote Reference,note TESI,E...,nota de rodapé,Footnote Reference_LVL6,Footnote Reference_LVL61,Footnote Reference_LVL62,Ref,de nota al pie,fr,ftref,Char1"/>
    <w:basedOn w:val="DefaultParagraphFont"/>
    <w:link w:val="FootnotesymbolCarZchn"/>
    <w:uiPriority w:val="99"/>
    <w:unhideWhenUsed/>
    <w:rPr>
      <w:vertAlign w:val="superscript"/>
    </w:rPr>
  </w:style>
  <w:style w:type="paragraph" w:styleId="ListBullet2">
    <w:name w:val="List Bullet 2"/>
    <w:basedOn w:val="Normal"/>
    <w:pPr>
      <w:numPr>
        <w:numId w:val="3"/>
      </w:numPr>
      <w:spacing w:after="240" w:line="240" w:lineRule="auto"/>
      <w:jc w:val="both"/>
    </w:pPr>
    <w:rPr>
      <w:rFonts w:ascii="Times New Roman" w:eastAsia="Times New Roman" w:hAnsi="Times New Roman" w:cs="Times New Roman"/>
      <w:sz w:val="24"/>
      <w:szCs w:val="20"/>
      <w:lang w:eastAsia="en-US" w:bidi="ar-SA"/>
    </w:rPr>
  </w:style>
  <w:style w:type="character" w:customStyle="1" w:styleId="Heading2Char">
    <w:name w:val="Heading 2 Char"/>
    <w:basedOn w:val="DefaultParagraphFont"/>
    <w:link w:val="Heading2"/>
    <w:uiPriority w:val="9"/>
    <w:rPr>
      <w:rFonts w:ascii="Times New Roman" w:eastAsiaTheme="minorHAnsi" w:hAnsi="Times New Roman" w:cs="Times New Roman"/>
      <w:b/>
      <w:bCs/>
      <w:i/>
      <w:sz w:val="24"/>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lang w:eastAsia="en-US" w:bidi="ar-SA"/>
    </w:rPr>
  </w:style>
  <w:style w:type="paragraph" w:styleId="TOC1">
    <w:name w:val="toc 1"/>
    <w:basedOn w:val="Normal"/>
    <w:next w:val="Normal"/>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heme="majorEastAsia" w:hAnsi="Times New Roman" w:cs="Times New Roman"/>
      <w:sz w:val="24"/>
      <w:szCs w:val="24"/>
    </w:rPr>
  </w:style>
  <w:style w:type="character" w:customStyle="1" w:styleId="FooterCoverPageChar">
    <w:name w:val="Footer Cover Page Char"/>
    <w:basedOn w:val="Heading1Char"/>
    <w:link w:val="FooterCoverPage"/>
    <w:rPr>
      <w:rFonts w:ascii="Times New Roman" w:eastAsiaTheme="majorEastAsia" w:hAnsi="Times New Roman" w:cs="Times New Roman"/>
      <w:b w:val="0"/>
      <w:bCs w:val="0"/>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heme="majorEastAsia" w:hAnsi="Times New Roman" w:cs="Times New Roman"/>
      <w:sz w:val="24"/>
      <w:szCs w:val="24"/>
    </w:rPr>
  </w:style>
  <w:style w:type="character" w:customStyle="1" w:styleId="HeaderCoverPageChar">
    <w:name w:val="Header Cover Page Char"/>
    <w:basedOn w:val="Heading1Char"/>
    <w:link w:val="HeaderCoverPage"/>
    <w:rPr>
      <w:rFonts w:ascii="Times New Roman" w:eastAsiaTheme="majorEastAsia" w:hAnsi="Times New Roman" w:cs="Times New Roman"/>
      <w:b w:val="0"/>
      <w:bCs w:val="0"/>
      <w:sz w:val="24"/>
      <w:szCs w:val="24"/>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cs="Times New Roman"/>
      <w:sz w:val="24"/>
      <w:szCs w:val="20"/>
      <w:lang w:eastAsia="en-US" w:bidi="ar-SA"/>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Bullet1">
    <w:name w:val="List Bullet 1"/>
    <w:basedOn w:val="Normal"/>
    <w:pPr>
      <w:numPr>
        <w:numId w:val="2"/>
      </w:numPr>
      <w:spacing w:after="240" w:line="240" w:lineRule="auto"/>
      <w:jc w:val="both"/>
    </w:pPr>
    <w:rPr>
      <w:rFonts w:ascii="Times New Roman" w:eastAsia="Times New Roman" w:hAnsi="Times New Roman" w:cs="Times New Roman"/>
      <w:sz w:val="24"/>
      <w:szCs w:val="20"/>
      <w:lang w:eastAsia="en-US" w:bidi="ar-SA"/>
    </w:rPr>
  </w:style>
  <w:style w:type="paragraph" w:styleId="ListBullet3">
    <w:name w:val="List Bullet 3"/>
    <w:basedOn w:val="Normal"/>
    <w:pPr>
      <w:numPr>
        <w:numId w:val="4"/>
      </w:numPr>
      <w:spacing w:after="240" w:line="240" w:lineRule="auto"/>
      <w:jc w:val="both"/>
    </w:pPr>
    <w:rPr>
      <w:rFonts w:ascii="Times New Roman" w:eastAsia="Times New Roman" w:hAnsi="Times New Roman" w:cs="Times New Roman"/>
      <w:sz w:val="24"/>
      <w:szCs w:val="20"/>
      <w:lang w:eastAsia="en-US" w:bidi="ar-SA"/>
    </w:rPr>
  </w:style>
  <w:style w:type="paragraph" w:styleId="ListBullet4">
    <w:name w:val="List Bullet 4"/>
    <w:basedOn w:val="Normal"/>
    <w:pPr>
      <w:numPr>
        <w:numId w:val="5"/>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Dash">
    <w:name w:val="List Dash"/>
    <w:basedOn w:val="Normal"/>
    <w:pPr>
      <w:numPr>
        <w:numId w:val="6"/>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Dash1">
    <w:name w:val="List Dash 1"/>
    <w:basedOn w:val="Normal"/>
    <w:pPr>
      <w:numPr>
        <w:numId w:val="7"/>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Dash2">
    <w:name w:val="List Dash 2"/>
    <w:basedOn w:val="Normal"/>
    <w:pPr>
      <w:numPr>
        <w:numId w:val="8"/>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Dash3">
    <w:name w:val="List Dash 3"/>
    <w:basedOn w:val="Normal"/>
    <w:pPr>
      <w:numPr>
        <w:numId w:val="9"/>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Dash4">
    <w:name w:val="List Dash 4"/>
    <w:basedOn w:val="Normal"/>
    <w:pPr>
      <w:numPr>
        <w:numId w:val="10"/>
      </w:numPr>
      <w:spacing w:after="240" w:line="240" w:lineRule="auto"/>
      <w:jc w:val="both"/>
    </w:pPr>
    <w:rPr>
      <w:rFonts w:ascii="Times New Roman" w:eastAsia="Times New Roman" w:hAnsi="Times New Roman" w:cs="Times New Roman"/>
      <w:sz w:val="24"/>
      <w:szCs w:val="20"/>
      <w:lang w:eastAsia="en-US" w:bidi="ar-SA"/>
    </w:rPr>
  </w:style>
  <w:style w:type="paragraph" w:styleId="ListNumber">
    <w:name w:val="List Number"/>
    <w:basedOn w:val="Normal"/>
    <w:pPr>
      <w:numPr>
        <w:numId w:val="11"/>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1">
    <w:name w:val="List Number 1"/>
    <w:basedOn w:val="Normal"/>
    <w:pPr>
      <w:numPr>
        <w:numId w:val="12"/>
      </w:numPr>
      <w:spacing w:after="240" w:line="240" w:lineRule="auto"/>
      <w:jc w:val="both"/>
    </w:pPr>
    <w:rPr>
      <w:rFonts w:ascii="Times New Roman" w:eastAsia="Times New Roman" w:hAnsi="Times New Roman" w:cs="Times New Roman"/>
      <w:sz w:val="24"/>
      <w:szCs w:val="20"/>
      <w:lang w:eastAsia="en-US" w:bidi="ar-SA"/>
    </w:rPr>
  </w:style>
  <w:style w:type="paragraph" w:styleId="ListNumber2">
    <w:name w:val="List Number 2"/>
    <w:basedOn w:val="Normal"/>
    <w:pPr>
      <w:numPr>
        <w:numId w:val="13"/>
      </w:numPr>
      <w:spacing w:after="240" w:line="240" w:lineRule="auto"/>
      <w:jc w:val="both"/>
    </w:pPr>
    <w:rPr>
      <w:rFonts w:ascii="Times New Roman" w:eastAsia="Times New Roman" w:hAnsi="Times New Roman" w:cs="Times New Roman"/>
      <w:sz w:val="24"/>
      <w:szCs w:val="20"/>
      <w:lang w:eastAsia="en-US" w:bidi="ar-SA"/>
    </w:rPr>
  </w:style>
  <w:style w:type="paragraph" w:styleId="ListNumber3">
    <w:name w:val="List Number 3"/>
    <w:basedOn w:val="Normal"/>
    <w:pPr>
      <w:numPr>
        <w:numId w:val="14"/>
      </w:numPr>
      <w:spacing w:after="240" w:line="240" w:lineRule="auto"/>
      <w:jc w:val="both"/>
    </w:pPr>
    <w:rPr>
      <w:rFonts w:ascii="Times New Roman" w:eastAsia="Times New Roman" w:hAnsi="Times New Roman" w:cs="Times New Roman"/>
      <w:sz w:val="24"/>
      <w:szCs w:val="20"/>
      <w:lang w:eastAsia="en-US" w:bidi="ar-SA"/>
    </w:rPr>
  </w:style>
  <w:style w:type="paragraph" w:styleId="ListNumber4">
    <w:name w:val="List Number 4"/>
    <w:basedOn w:val="Normal"/>
    <w:pPr>
      <w:numPr>
        <w:numId w:val="15"/>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Level2">
    <w:name w:val="List Number (Level 2)"/>
    <w:basedOn w:val="Normal"/>
    <w:pPr>
      <w:numPr>
        <w:ilvl w:val="1"/>
        <w:numId w:val="11"/>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1Level2">
    <w:name w:val="List Number 1 (Level 2)"/>
    <w:basedOn w:val="Normal"/>
    <w:pPr>
      <w:numPr>
        <w:ilvl w:val="1"/>
        <w:numId w:val="12"/>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2Level2">
    <w:name w:val="List Number 2 (Level 2)"/>
    <w:basedOn w:val="Normal"/>
    <w:pPr>
      <w:numPr>
        <w:ilvl w:val="1"/>
        <w:numId w:val="13"/>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3Level2">
    <w:name w:val="List Number 3 (Level 2)"/>
    <w:basedOn w:val="Normal"/>
    <w:pPr>
      <w:numPr>
        <w:ilvl w:val="1"/>
        <w:numId w:val="14"/>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4Level2">
    <w:name w:val="List Number 4 (Level 2)"/>
    <w:basedOn w:val="Normal"/>
    <w:pPr>
      <w:numPr>
        <w:ilvl w:val="1"/>
        <w:numId w:val="15"/>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Level3">
    <w:name w:val="List Number (Level 3)"/>
    <w:basedOn w:val="Normal"/>
    <w:pPr>
      <w:numPr>
        <w:ilvl w:val="2"/>
        <w:numId w:val="11"/>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1Level3">
    <w:name w:val="List Number 1 (Level 3)"/>
    <w:basedOn w:val="Normal"/>
    <w:pPr>
      <w:numPr>
        <w:ilvl w:val="2"/>
        <w:numId w:val="12"/>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2Level3">
    <w:name w:val="List Number 2 (Level 3)"/>
    <w:basedOn w:val="Normal"/>
    <w:pPr>
      <w:numPr>
        <w:ilvl w:val="2"/>
        <w:numId w:val="13"/>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3Level3">
    <w:name w:val="List Number 3 (Level 3)"/>
    <w:basedOn w:val="Normal"/>
    <w:pPr>
      <w:numPr>
        <w:ilvl w:val="2"/>
        <w:numId w:val="14"/>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4Level3">
    <w:name w:val="List Number 4 (Level 3)"/>
    <w:basedOn w:val="Normal"/>
    <w:pPr>
      <w:numPr>
        <w:ilvl w:val="2"/>
        <w:numId w:val="15"/>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Level4">
    <w:name w:val="List Number (Level 4)"/>
    <w:basedOn w:val="Normal"/>
    <w:pPr>
      <w:numPr>
        <w:ilvl w:val="3"/>
        <w:numId w:val="11"/>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1Level4">
    <w:name w:val="List Number 1 (Level 4)"/>
    <w:basedOn w:val="Normal"/>
    <w:pPr>
      <w:numPr>
        <w:ilvl w:val="3"/>
        <w:numId w:val="12"/>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2Level4">
    <w:name w:val="List Number 2 (Level 4)"/>
    <w:basedOn w:val="Normal"/>
    <w:pPr>
      <w:numPr>
        <w:ilvl w:val="3"/>
        <w:numId w:val="13"/>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3Level4">
    <w:name w:val="List Number 3 (Level 4)"/>
    <w:basedOn w:val="Normal"/>
    <w:pPr>
      <w:numPr>
        <w:ilvl w:val="3"/>
        <w:numId w:val="14"/>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4Level4">
    <w:name w:val="List Number 4 (Level 4)"/>
    <w:basedOn w:val="Normal"/>
    <w:pPr>
      <w:numPr>
        <w:ilvl w:val="3"/>
        <w:numId w:val="15"/>
      </w:numPr>
      <w:spacing w:after="240" w:line="240" w:lineRule="auto"/>
      <w:jc w:val="both"/>
    </w:pPr>
    <w:rPr>
      <w:rFonts w:ascii="Times New Roman" w:eastAsia="Times New Roman" w:hAnsi="Times New Roman" w:cs="Times New Roman"/>
      <w:sz w:val="24"/>
      <w:szCs w:val="20"/>
      <w:lang w:eastAsia="en-US" w:bidi="ar-SA"/>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lang w:eastAsia="en-US" w:bidi="ar-SA"/>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nwt1">
    <w:name w:val="nwt1"/>
    <w:basedOn w:val="DefaultParagraphFont"/>
    <w:rPr>
      <w:vertAlign w:val="baseline"/>
    </w:rPr>
  </w:style>
  <w:style w:type="table" w:customStyle="1" w:styleId="TableGrid3">
    <w:name w:val="Table Grid3"/>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character" w:customStyle="1" w:styleId="Bodytext">
    <w:name w:val="Body text_"/>
    <w:basedOn w:val="DefaultParagraphFont"/>
    <w:link w:val="BodyText8"/>
    <w:rPr>
      <w:sz w:val="23"/>
      <w:szCs w:val="23"/>
      <w:shd w:val="clear" w:color="auto" w:fill="FFFFFF"/>
    </w:rPr>
  </w:style>
  <w:style w:type="paragraph" w:customStyle="1" w:styleId="BodyText8">
    <w:name w:val="Body Text8"/>
    <w:basedOn w:val="Normal"/>
    <w:link w:val="Bodytext"/>
    <w:pPr>
      <w:widowControl w:val="0"/>
      <w:shd w:val="clear" w:color="auto" w:fill="FFFFFF"/>
      <w:spacing w:before="240" w:after="0" w:line="552" w:lineRule="exact"/>
      <w:ind w:hanging="420"/>
    </w:pPr>
    <w:rPr>
      <w:sz w:val="23"/>
      <w:szCs w:val="23"/>
    </w:rPr>
  </w:style>
  <w:style w:type="table" w:customStyle="1" w:styleId="TableGrid4">
    <w:name w:val="Table Grid4"/>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table" w:customStyle="1" w:styleId="TableGrid5">
    <w:name w:val="Table Grid5"/>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pPr>
      <w:widowControl w:val="0"/>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708740">
      <w:bodyDiv w:val="1"/>
      <w:marLeft w:val="0"/>
      <w:marRight w:val="0"/>
      <w:marTop w:val="0"/>
      <w:marBottom w:val="0"/>
      <w:divBdr>
        <w:top w:val="none" w:sz="0" w:space="0" w:color="auto"/>
        <w:left w:val="none" w:sz="0" w:space="0" w:color="auto"/>
        <w:bottom w:val="none" w:sz="0" w:space="0" w:color="auto"/>
        <w:right w:val="none" w:sz="0" w:space="0" w:color="auto"/>
      </w:divBdr>
    </w:div>
    <w:div w:id="286667147">
      <w:bodyDiv w:val="1"/>
      <w:marLeft w:val="0"/>
      <w:marRight w:val="0"/>
      <w:marTop w:val="0"/>
      <w:marBottom w:val="0"/>
      <w:divBdr>
        <w:top w:val="none" w:sz="0" w:space="0" w:color="auto"/>
        <w:left w:val="none" w:sz="0" w:space="0" w:color="auto"/>
        <w:bottom w:val="none" w:sz="0" w:space="0" w:color="auto"/>
        <w:right w:val="none" w:sz="0" w:space="0" w:color="auto"/>
      </w:divBdr>
    </w:div>
    <w:div w:id="377095804">
      <w:bodyDiv w:val="1"/>
      <w:marLeft w:val="0"/>
      <w:marRight w:val="0"/>
      <w:marTop w:val="0"/>
      <w:marBottom w:val="0"/>
      <w:divBdr>
        <w:top w:val="none" w:sz="0" w:space="0" w:color="auto"/>
        <w:left w:val="none" w:sz="0" w:space="0" w:color="auto"/>
        <w:bottom w:val="none" w:sz="0" w:space="0" w:color="auto"/>
        <w:right w:val="none" w:sz="0" w:space="0" w:color="auto"/>
      </w:divBdr>
    </w:div>
    <w:div w:id="617637871">
      <w:bodyDiv w:val="1"/>
      <w:marLeft w:val="0"/>
      <w:marRight w:val="0"/>
      <w:marTop w:val="0"/>
      <w:marBottom w:val="0"/>
      <w:divBdr>
        <w:top w:val="none" w:sz="0" w:space="0" w:color="auto"/>
        <w:left w:val="none" w:sz="0" w:space="0" w:color="auto"/>
        <w:bottom w:val="none" w:sz="0" w:space="0" w:color="auto"/>
        <w:right w:val="none" w:sz="0" w:space="0" w:color="auto"/>
      </w:divBdr>
    </w:div>
    <w:div w:id="730495710">
      <w:bodyDiv w:val="1"/>
      <w:marLeft w:val="0"/>
      <w:marRight w:val="0"/>
      <w:marTop w:val="0"/>
      <w:marBottom w:val="0"/>
      <w:divBdr>
        <w:top w:val="none" w:sz="0" w:space="0" w:color="auto"/>
        <w:left w:val="none" w:sz="0" w:space="0" w:color="auto"/>
        <w:bottom w:val="none" w:sz="0" w:space="0" w:color="auto"/>
        <w:right w:val="none" w:sz="0" w:space="0" w:color="auto"/>
      </w:divBdr>
    </w:div>
    <w:div w:id="1231380866">
      <w:bodyDiv w:val="1"/>
      <w:marLeft w:val="0"/>
      <w:marRight w:val="0"/>
      <w:marTop w:val="0"/>
      <w:marBottom w:val="0"/>
      <w:divBdr>
        <w:top w:val="none" w:sz="0" w:space="0" w:color="auto"/>
        <w:left w:val="none" w:sz="0" w:space="0" w:color="auto"/>
        <w:bottom w:val="none" w:sz="0" w:space="0" w:color="auto"/>
        <w:right w:val="none" w:sz="0" w:space="0" w:color="auto"/>
      </w:divBdr>
    </w:div>
    <w:div w:id="1261646464">
      <w:bodyDiv w:val="1"/>
      <w:marLeft w:val="0"/>
      <w:marRight w:val="0"/>
      <w:marTop w:val="0"/>
      <w:marBottom w:val="0"/>
      <w:divBdr>
        <w:top w:val="none" w:sz="0" w:space="0" w:color="auto"/>
        <w:left w:val="none" w:sz="0" w:space="0" w:color="auto"/>
        <w:bottom w:val="none" w:sz="0" w:space="0" w:color="auto"/>
        <w:right w:val="none" w:sz="0" w:space="0" w:color="auto"/>
      </w:divBdr>
    </w:div>
    <w:div w:id="1455833956">
      <w:bodyDiv w:val="1"/>
      <w:marLeft w:val="0"/>
      <w:marRight w:val="0"/>
      <w:marTop w:val="0"/>
      <w:marBottom w:val="0"/>
      <w:divBdr>
        <w:top w:val="none" w:sz="0" w:space="0" w:color="auto"/>
        <w:left w:val="none" w:sz="0" w:space="0" w:color="auto"/>
        <w:bottom w:val="none" w:sz="0" w:space="0" w:color="auto"/>
        <w:right w:val="none" w:sz="0" w:space="0" w:color="auto"/>
      </w:divBdr>
    </w:div>
    <w:div w:id="1840461624">
      <w:bodyDiv w:val="1"/>
      <w:marLeft w:val="0"/>
      <w:marRight w:val="0"/>
      <w:marTop w:val="0"/>
      <w:marBottom w:val="0"/>
      <w:divBdr>
        <w:top w:val="none" w:sz="0" w:space="0" w:color="auto"/>
        <w:left w:val="none" w:sz="0" w:space="0" w:color="auto"/>
        <w:bottom w:val="none" w:sz="0" w:space="0" w:color="auto"/>
        <w:right w:val="none" w:sz="0" w:space="0" w:color="auto"/>
      </w:divBdr>
    </w:div>
    <w:div w:id="199710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package" Target="embeddings/Microsoft_Excel_Worksheet2.xlsx"/><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3.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package" Target="embeddings/Microsoft_Excel_Worksheet1.xlsx"/><Relationship Id="rId32"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emf"/><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header" Target="header7.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net1.cec.eu.int\REGIO\B\B.1\0904_ADDITIONNALITE\04_2014-2020\Additionality%202014_2020.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hr-HR"/>
              <a:t>Ciljevi dodatnosti kao udio BDP-a, 2014. – 2020.</a:t>
            </a:r>
          </a:p>
        </c:rich>
      </c:tx>
      <c:overlay val="0"/>
    </c:title>
    <c:autoTitleDeleted val="0"/>
    <c:plotArea>
      <c:layout/>
      <c:barChart>
        <c:barDir val="col"/>
        <c:grouping val="clustered"/>
        <c:varyColors val="0"/>
        <c:ser>
          <c:idx val="0"/>
          <c:order val="0"/>
          <c:invertIfNegative val="0"/>
          <c:cat>
            <c:strRef>
              <c:f>Sheet1!$B$3:$B$16</c:f>
              <c:strCache>
                <c:ptCount val="14"/>
                <c:pt idx="0">
                  <c:v>RO </c:v>
                </c:pt>
                <c:pt idx="1">
                  <c:v>BG</c:v>
                </c:pt>
                <c:pt idx="2">
                  <c:v>PL</c:v>
                </c:pt>
                <c:pt idx="3">
                  <c:v>CZ</c:v>
                </c:pt>
                <c:pt idx="4">
                  <c:v>EE</c:v>
                </c:pt>
                <c:pt idx="5">
                  <c:v>LT</c:v>
                </c:pt>
                <c:pt idx="6">
                  <c:v>LV</c:v>
                </c:pt>
                <c:pt idx="7">
                  <c:v>HU</c:v>
                </c:pt>
                <c:pt idx="8">
                  <c:v>HR</c:v>
                </c:pt>
                <c:pt idx="9">
                  <c:v>SK</c:v>
                </c:pt>
                <c:pt idx="10">
                  <c:v>SI</c:v>
                </c:pt>
                <c:pt idx="11">
                  <c:v>PT</c:v>
                </c:pt>
                <c:pt idx="12">
                  <c:v>GR</c:v>
                </c:pt>
                <c:pt idx="13">
                  <c:v>IT</c:v>
                </c:pt>
              </c:strCache>
            </c:strRef>
          </c:cat>
          <c:val>
            <c:numRef>
              <c:f>Sheet1!$C$3:$C$16</c:f>
              <c:numCache>
                <c:formatCode>0.0%</c:formatCode>
                <c:ptCount val="14"/>
                <c:pt idx="0">
                  <c:v>5.3999999999999999E-2</c:v>
                </c:pt>
                <c:pt idx="1">
                  <c:v>4.4499999999999998E-2</c:v>
                </c:pt>
                <c:pt idx="2">
                  <c:v>3.58333333333333E-2</c:v>
                </c:pt>
                <c:pt idx="3">
                  <c:v>3.3000000000000002E-2</c:v>
                </c:pt>
                <c:pt idx="4">
                  <c:v>3.2500000000000001E-2</c:v>
                </c:pt>
                <c:pt idx="5">
                  <c:v>3.15E-2</c:v>
                </c:pt>
                <c:pt idx="6">
                  <c:v>0.03</c:v>
                </c:pt>
                <c:pt idx="7">
                  <c:v>2.9499999999999998E-2</c:v>
                </c:pt>
                <c:pt idx="8">
                  <c:v>2.6499999999999999E-2</c:v>
                </c:pt>
                <c:pt idx="9">
                  <c:v>2.1000000000000001E-2</c:v>
                </c:pt>
                <c:pt idx="10">
                  <c:v>1.72833333333333E-2</c:v>
                </c:pt>
                <c:pt idx="11">
                  <c:v>1.63333333333333E-2</c:v>
                </c:pt>
                <c:pt idx="12">
                  <c:v>7.7999999999999996E-3</c:v>
                </c:pt>
                <c:pt idx="13">
                  <c:v>4.1999999999999997E-3</c:v>
                </c:pt>
              </c:numCache>
            </c:numRef>
          </c:val>
        </c:ser>
        <c:dLbls>
          <c:showLegendKey val="0"/>
          <c:showVal val="0"/>
          <c:showCatName val="0"/>
          <c:showSerName val="0"/>
          <c:showPercent val="0"/>
          <c:showBubbleSize val="0"/>
        </c:dLbls>
        <c:gapWidth val="150"/>
        <c:axId val="60680064"/>
        <c:axId val="60681600"/>
      </c:barChart>
      <c:catAx>
        <c:axId val="60680064"/>
        <c:scaling>
          <c:orientation val="minMax"/>
        </c:scaling>
        <c:delete val="0"/>
        <c:axPos val="b"/>
        <c:numFmt formatCode="General" sourceLinked="0"/>
        <c:majorTickMark val="out"/>
        <c:minorTickMark val="none"/>
        <c:tickLblPos val="nextTo"/>
        <c:crossAx val="60681600"/>
        <c:crosses val="autoZero"/>
        <c:auto val="1"/>
        <c:lblAlgn val="ctr"/>
        <c:lblOffset val="100"/>
        <c:noMultiLvlLbl val="0"/>
      </c:catAx>
      <c:valAx>
        <c:axId val="60681600"/>
        <c:scaling>
          <c:orientation val="minMax"/>
        </c:scaling>
        <c:delete val="0"/>
        <c:axPos val="l"/>
        <c:title>
          <c:tx>
            <c:rich>
              <a:bodyPr rot="-5400000" vert="horz"/>
              <a:lstStyle/>
              <a:p>
                <a:pPr>
                  <a:defRPr/>
                </a:pPr>
                <a:r>
                  <a:rPr lang="hr-HR"/>
                  <a:t>Udio BDP-a</a:t>
                </a:r>
              </a:p>
            </c:rich>
          </c:tx>
          <c:overlay val="0"/>
        </c:title>
        <c:numFmt formatCode="0%" sourceLinked="0"/>
        <c:majorTickMark val="out"/>
        <c:minorTickMark val="none"/>
        <c:tickLblPos val="nextTo"/>
        <c:crossAx val="6068006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7141F-20F5-4285-B0C4-C352AC65D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40</TotalTime>
  <Pages>4</Pages>
  <Words>286</Words>
  <Characters>1741</Characters>
  <Application>Microsoft Office Word</Application>
  <DocSecurity>0</DocSecurity>
  <Lines>35</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NICA Ioana (REGIO)</dc:creator>
  <cp:lastModifiedBy>DIGIT/A3</cp:lastModifiedBy>
  <cp:revision>19</cp:revision>
  <cp:lastPrinted>2015-11-25T15:59:00Z</cp:lastPrinted>
  <dcterms:created xsi:type="dcterms:W3CDTF">2015-11-25T16:55:00Z</dcterms:created>
  <dcterms:modified xsi:type="dcterms:W3CDTF">2015-12-15T06:57:00Z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&lt;UNUSED&gt;</vt:lpwstr>
  </property>
  <property fmtid="{D5CDD505-2E9C-101B-9397-08002B2CF9AE}" pid="3" name="Total parts">
    <vt:lpwstr>&lt;UNUSED&gt;</vt:lpwstr>
  </property>
  <property fmtid="{D5CDD505-2E9C-101B-9397-08002B2CF9AE}" pid="4" name="Classification">
    <vt:lpwstr> </vt:lpwstr>
  </property>
  <property fmtid="{D5CDD505-2E9C-101B-9397-08002B2CF9AE}" pid="5" name="ELDocType">
    <vt:lpwstr>NOT.DOT</vt:lpwstr>
  </property>
  <property fmtid="{D5CDD505-2E9C-101B-9397-08002B2CF9AE}" pid="6" name="Created using">
    <vt:lpwstr>3.0</vt:lpwstr>
  </property>
  <property fmtid="{D5CDD505-2E9C-101B-9397-08002B2CF9AE}" pid="7" name="Last edited using">
    <vt:lpwstr>EL </vt:lpwstr>
  </property>
  <property fmtid="{D5CDD505-2E9C-101B-9397-08002B2CF9AE}" pid="8" name="Formatting">
    <vt:lpwstr>4.1</vt:lpwstr>
  </property>
  <property fmtid="{D5CDD505-2E9C-101B-9397-08002B2CF9AE}" pid="9" name="First annex">
    <vt:lpwstr>3</vt:lpwstr>
  </property>
  <property fmtid="{D5CDD505-2E9C-101B-9397-08002B2CF9AE}" pid="10" name="Last annex">
    <vt:lpwstr>4</vt:lpwstr>
  </property>
  <property fmtid="{D5CDD505-2E9C-101B-9397-08002B2CF9AE}" pid="11" name="DocStatus">
    <vt:lpwstr>Green</vt:lpwstr>
  </property>
</Properties>
</file>