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7B3" w:rsidRDefault="00BD588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C7C674E9B1A4746A9F0DA4DF08FAED6" style="width:450pt;height:320.25pt">
            <v:imagedata r:id="rId9" o:title=""/>
          </v:shape>
        </w:pict>
      </w:r>
    </w:p>
    <w:bookmarkEnd w:id="0"/>
    <w:p w:rsidR="00EA67B3" w:rsidRDefault="00EA67B3">
      <w:pPr>
        <w:rPr>
          <w:noProof/>
        </w:rPr>
        <w:sectPr w:rsidR="00EA67B3">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EA67B3" w:rsidRDefault="00BD5885">
      <w:pPr>
        <w:pStyle w:val="TOC1"/>
        <w:rPr>
          <w:noProof/>
          <w:szCs w:val="24"/>
        </w:rPr>
      </w:pPr>
      <w:r>
        <w:rPr>
          <w:noProof/>
        </w:rPr>
        <w:lastRenderedPageBreak/>
        <w:t>Πίνακας περιεχομένων</w:t>
      </w:r>
    </w:p>
    <w:p w:rsidR="00EA67B3" w:rsidRDefault="00BD5885">
      <w:pPr>
        <w:pStyle w:val="TOC1"/>
        <w:rPr>
          <w:rFonts w:asciiTheme="minorHAnsi" w:eastAsiaTheme="minorEastAsia" w:hAnsiTheme="minorHAnsi" w:cstheme="minorBidi"/>
          <w:caps w:val="0"/>
          <w:noProof/>
          <w:sz w:val="22"/>
          <w:szCs w:val="22"/>
          <w:lang w:val="en-GB" w:eastAsia="en-GB" w:bidi="ar-SA"/>
        </w:rPr>
      </w:pPr>
      <w:r>
        <w:rPr>
          <w:noProof/>
          <w:szCs w:val="24"/>
        </w:rPr>
        <w:fldChar w:fldCharType="begin"/>
      </w:r>
      <w:r>
        <w:rPr>
          <w:noProof/>
          <w:szCs w:val="24"/>
        </w:rPr>
        <w:instrText xml:space="preserve"> TOC \o "1-3" \h \z \u </w:instrText>
      </w:r>
      <w:r>
        <w:rPr>
          <w:noProof/>
          <w:szCs w:val="24"/>
        </w:rPr>
        <w:fldChar w:fldCharType="separate"/>
      </w:r>
      <w:hyperlink w:anchor="_Toc438194050" w:history="1">
        <w:r>
          <w:rPr>
            <w:rStyle w:val="Hyperlink"/>
            <w:noProof/>
          </w:rPr>
          <w:t>1. Εισαγωγή</w:t>
        </w:r>
        <w:r>
          <w:rPr>
            <w:noProof/>
            <w:webHidden/>
          </w:rPr>
          <w:tab/>
        </w:r>
        <w:r>
          <w:rPr>
            <w:noProof/>
            <w:webHidden/>
          </w:rPr>
          <w:fldChar w:fldCharType="begin"/>
        </w:r>
        <w:r>
          <w:rPr>
            <w:noProof/>
            <w:webHidden/>
          </w:rPr>
          <w:instrText xml:space="preserve"> PAGEREF _Toc438194050 \h </w:instrText>
        </w:r>
        <w:r>
          <w:rPr>
            <w:noProof/>
            <w:webHidden/>
          </w:rPr>
        </w:r>
        <w:r>
          <w:rPr>
            <w:noProof/>
            <w:webHidden/>
          </w:rPr>
          <w:fldChar w:fldCharType="separate"/>
        </w:r>
        <w:r>
          <w:rPr>
            <w:noProof/>
            <w:webHidden/>
          </w:rPr>
          <w:t>3</w:t>
        </w:r>
        <w:r>
          <w:rPr>
            <w:noProof/>
            <w:webHidden/>
          </w:rPr>
          <w:fldChar w:fldCharType="end"/>
        </w:r>
      </w:hyperlink>
    </w:p>
    <w:p w:rsidR="00EA67B3" w:rsidRDefault="00BD5885">
      <w:pPr>
        <w:pStyle w:val="TOC1"/>
        <w:rPr>
          <w:rFonts w:asciiTheme="minorHAnsi" w:eastAsiaTheme="minorEastAsia" w:hAnsiTheme="minorHAnsi" w:cstheme="minorBidi"/>
          <w:caps w:val="0"/>
          <w:noProof/>
          <w:sz w:val="22"/>
          <w:szCs w:val="22"/>
          <w:lang w:val="en-GB" w:eastAsia="en-GB" w:bidi="ar-SA"/>
        </w:rPr>
      </w:pPr>
      <w:hyperlink w:anchor="_Toc438194051" w:history="1">
        <w:r>
          <w:rPr>
            <w:rStyle w:val="Hyperlink"/>
            <w:noProof/>
          </w:rPr>
          <w:t>2. Ιστορικό</w:t>
        </w:r>
        <w:r>
          <w:rPr>
            <w:noProof/>
            <w:webHidden/>
          </w:rPr>
          <w:tab/>
        </w:r>
        <w:r>
          <w:rPr>
            <w:noProof/>
            <w:webHidden/>
          </w:rPr>
          <w:fldChar w:fldCharType="begin"/>
        </w:r>
        <w:r>
          <w:rPr>
            <w:noProof/>
            <w:webHidden/>
          </w:rPr>
          <w:instrText xml:space="preserve"> PAGEREF _Toc438194051 \h </w:instrText>
        </w:r>
        <w:r>
          <w:rPr>
            <w:noProof/>
            <w:webHidden/>
          </w:rPr>
        </w:r>
        <w:r>
          <w:rPr>
            <w:noProof/>
            <w:webHidden/>
          </w:rPr>
          <w:fldChar w:fldCharType="separate"/>
        </w:r>
        <w:r>
          <w:rPr>
            <w:noProof/>
            <w:webHidden/>
          </w:rPr>
          <w:t>4</w:t>
        </w:r>
        <w:r>
          <w:rPr>
            <w:noProof/>
            <w:webHidden/>
          </w:rPr>
          <w:fldChar w:fldCharType="end"/>
        </w:r>
      </w:hyperlink>
    </w:p>
    <w:p w:rsidR="00EA67B3" w:rsidRDefault="00BD5885">
      <w:pPr>
        <w:pStyle w:val="TOC1"/>
        <w:rPr>
          <w:rFonts w:asciiTheme="minorHAnsi" w:eastAsiaTheme="minorEastAsia" w:hAnsiTheme="minorHAnsi" w:cstheme="minorBidi"/>
          <w:caps w:val="0"/>
          <w:noProof/>
          <w:sz w:val="22"/>
          <w:szCs w:val="22"/>
          <w:lang w:val="en-GB" w:eastAsia="en-GB" w:bidi="ar-SA"/>
        </w:rPr>
      </w:pPr>
      <w:hyperlink w:anchor="_Toc438194052" w:history="1">
        <w:r>
          <w:rPr>
            <w:rStyle w:val="Hyperlink"/>
            <w:noProof/>
          </w:rPr>
          <w:t>3. Η εξωτερική αξιολόγηση της οδηγίας</w:t>
        </w:r>
        <w:r>
          <w:rPr>
            <w:noProof/>
            <w:webHidden/>
          </w:rPr>
          <w:tab/>
        </w:r>
        <w:r>
          <w:rPr>
            <w:noProof/>
            <w:webHidden/>
          </w:rPr>
          <w:fldChar w:fldCharType="begin"/>
        </w:r>
        <w:r>
          <w:rPr>
            <w:noProof/>
            <w:webHidden/>
          </w:rPr>
          <w:instrText xml:space="preserve"> PAGEREF _Toc438194052 \h </w:instrText>
        </w:r>
        <w:r>
          <w:rPr>
            <w:noProof/>
            <w:webHidden/>
          </w:rPr>
        </w:r>
        <w:r>
          <w:rPr>
            <w:noProof/>
            <w:webHidden/>
          </w:rPr>
          <w:fldChar w:fldCharType="separate"/>
        </w:r>
        <w:r>
          <w:rPr>
            <w:noProof/>
            <w:webHidden/>
          </w:rPr>
          <w:t>4</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53" w:history="1">
        <w:r>
          <w:rPr>
            <w:rStyle w:val="Hyperlink"/>
            <w:noProof/>
          </w:rPr>
          <w:t>3.1 Πεδίο εφαρμογής της αξιολόγησης</w:t>
        </w:r>
        <w:r>
          <w:rPr>
            <w:noProof/>
            <w:webHidden/>
          </w:rPr>
          <w:tab/>
        </w:r>
        <w:r>
          <w:rPr>
            <w:noProof/>
            <w:webHidden/>
          </w:rPr>
          <w:fldChar w:fldCharType="begin"/>
        </w:r>
        <w:r>
          <w:rPr>
            <w:noProof/>
            <w:webHidden/>
          </w:rPr>
          <w:instrText xml:space="preserve"> PAGEREF _Toc438194053 \h </w:instrText>
        </w:r>
        <w:r>
          <w:rPr>
            <w:noProof/>
            <w:webHidden/>
          </w:rPr>
        </w:r>
        <w:r>
          <w:rPr>
            <w:noProof/>
            <w:webHidden/>
          </w:rPr>
          <w:fldChar w:fldCharType="separate"/>
        </w:r>
        <w:r>
          <w:rPr>
            <w:noProof/>
            <w:webHidden/>
          </w:rPr>
          <w:t>5</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54" w:history="1">
        <w:r>
          <w:rPr>
            <w:rStyle w:val="Hyperlink"/>
            <w:noProof/>
          </w:rPr>
          <w:t>3.2 Μεθοδολογία</w:t>
        </w:r>
        <w:r>
          <w:rPr>
            <w:noProof/>
            <w:webHidden/>
          </w:rPr>
          <w:tab/>
        </w:r>
        <w:r>
          <w:rPr>
            <w:noProof/>
            <w:webHidden/>
          </w:rPr>
          <w:fldChar w:fldCharType="begin"/>
        </w:r>
        <w:r>
          <w:rPr>
            <w:noProof/>
            <w:webHidden/>
          </w:rPr>
          <w:instrText xml:space="preserve"> PAGEREF _Toc438194054 \h </w:instrText>
        </w:r>
        <w:r>
          <w:rPr>
            <w:noProof/>
            <w:webHidden/>
          </w:rPr>
        </w:r>
        <w:r>
          <w:rPr>
            <w:noProof/>
            <w:webHidden/>
          </w:rPr>
          <w:fldChar w:fldCharType="separate"/>
        </w:r>
        <w:r>
          <w:rPr>
            <w:noProof/>
            <w:webHidden/>
          </w:rPr>
          <w:t>5</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55" w:history="1">
        <w:r>
          <w:rPr>
            <w:rStyle w:val="Hyperlink"/>
            <w:smallCaps/>
            <w:noProof/>
          </w:rPr>
          <w:t xml:space="preserve">3.3 </w:t>
        </w:r>
        <w:r>
          <w:rPr>
            <w:rStyle w:val="Hyperlink"/>
            <w:noProof/>
          </w:rPr>
          <w:t>Αποτελέσμα</w:t>
        </w:r>
        <w:r>
          <w:rPr>
            <w:rStyle w:val="Hyperlink"/>
            <w:noProof/>
          </w:rPr>
          <w:t>τα της αξιολόγησης</w:t>
        </w:r>
        <w:r>
          <w:rPr>
            <w:noProof/>
            <w:webHidden/>
          </w:rPr>
          <w:tab/>
        </w:r>
        <w:r>
          <w:rPr>
            <w:noProof/>
            <w:webHidden/>
          </w:rPr>
          <w:fldChar w:fldCharType="begin"/>
        </w:r>
        <w:r>
          <w:rPr>
            <w:noProof/>
            <w:webHidden/>
          </w:rPr>
          <w:instrText xml:space="preserve"> PAGEREF _Toc438194055 \h </w:instrText>
        </w:r>
        <w:r>
          <w:rPr>
            <w:noProof/>
            <w:webHidden/>
          </w:rPr>
        </w:r>
        <w:r>
          <w:rPr>
            <w:noProof/>
            <w:webHidden/>
          </w:rPr>
          <w:fldChar w:fldCharType="separate"/>
        </w:r>
        <w:r>
          <w:rPr>
            <w:noProof/>
            <w:webHidden/>
          </w:rPr>
          <w:t>6</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56" w:history="1">
        <w:r>
          <w:rPr>
            <w:rStyle w:val="Hyperlink"/>
            <w:smallCaps/>
            <w:noProof/>
          </w:rPr>
          <w:t xml:space="preserve">3.4 </w:t>
        </w:r>
        <w:r>
          <w:rPr>
            <w:rStyle w:val="Hyperlink"/>
            <w:noProof/>
          </w:rPr>
          <w:t>Ανάδραση των ενδιαφερομένων μερών στην αξιολόγηση</w:t>
        </w:r>
        <w:r>
          <w:rPr>
            <w:noProof/>
            <w:webHidden/>
          </w:rPr>
          <w:tab/>
        </w:r>
        <w:r>
          <w:rPr>
            <w:noProof/>
            <w:webHidden/>
          </w:rPr>
          <w:fldChar w:fldCharType="begin"/>
        </w:r>
        <w:r>
          <w:rPr>
            <w:noProof/>
            <w:webHidden/>
          </w:rPr>
          <w:instrText xml:space="preserve"> PAGEREF _Toc438194056 \h </w:instrText>
        </w:r>
        <w:r>
          <w:rPr>
            <w:noProof/>
            <w:webHidden/>
          </w:rPr>
        </w:r>
        <w:r>
          <w:rPr>
            <w:noProof/>
            <w:webHidden/>
          </w:rPr>
          <w:fldChar w:fldCharType="separate"/>
        </w:r>
        <w:r>
          <w:rPr>
            <w:noProof/>
            <w:webHidden/>
          </w:rPr>
          <w:t>7</w:t>
        </w:r>
        <w:r>
          <w:rPr>
            <w:noProof/>
            <w:webHidden/>
          </w:rPr>
          <w:fldChar w:fldCharType="end"/>
        </w:r>
      </w:hyperlink>
    </w:p>
    <w:p w:rsidR="00EA67B3" w:rsidRDefault="00BD5885">
      <w:pPr>
        <w:pStyle w:val="TOC1"/>
        <w:rPr>
          <w:rFonts w:asciiTheme="minorHAnsi" w:eastAsiaTheme="minorEastAsia" w:hAnsiTheme="minorHAnsi" w:cstheme="minorBidi"/>
          <w:caps w:val="0"/>
          <w:noProof/>
          <w:sz w:val="22"/>
          <w:szCs w:val="22"/>
          <w:lang w:val="en-GB" w:eastAsia="en-GB" w:bidi="ar-SA"/>
        </w:rPr>
      </w:pPr>
      <w:hyperlink w:anchor="_Toc438194057" w:history="1">
        <w:r>
          <w:rPr>
            <w:rStyle w:val="Hyperlink"/>
            <w:noProof/>
          </w:rPr>
          <w:t>4. Θέματα που προκύπτουν από την αξιολόγηση: ορισμοί</w:t>
        </w:r>
        <w:r>
          <w:rPr>
            <w:noProof/>
            <w:webHidden/>
          </w:rPr>
          <w:tab/>
        </w:r>
        <w:r>
          <w:rPr>
            <w:noProof/>
            <w:webHidden/>
          </w:rPr>
          <w:fldChar w:fldCharType="begin"/>
        </w:r>
        <w:r>
          <w:rPr>
            <w:noProof/>
            <w:webHidden/>
          </w:rPr>
          <w:instrText xml:space="preserve"> PAGEREF _Toc438194057 \h </w:instrText>
        </w:r>
        <w:r>
          <w:rPr>
            <w:noProof/>
            <w:webHidden/>
          </w:rPr>
        </w:r>
        <w:r>
          <w:rPr>
            <w:noProof/>
            <w:webHidden/>
          </w:rPr>
          <w:fldChar w:fldCharType="separate"/>
        </w:r>
        <w:r>
          <w:rPr>
            <w:noProof/>
            <w:webHidden/>
          </w:rPr>
          <w:t>8</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58" w:history="1">
        <w:r>
          <w:rPr>
            <w:rStyle w:val="Hyperlink"/>
            <w:noProof/>
          </w:rPr>
          <w:t>4.1 Λειτουργικότητα των υφιστάμενων ορισμών</w:t>
        </w:r>
        <w:r>
          <w:rPr>
            <w:noProof/>
            <w:webHidden/>
          </w:rPr>
          <w:tab/>
        </w:r>
        <w:r>
          <w:rPr>
            <w:noProof/>
            <w:webHidden/>
          </w:rPr>
          <w:fldChar w:fldCharType="begin"/>
        </w:r>
        <w:r>
          <w:rPr>
            <w:noProof/>
            <w:webHidden/>
          </w:rPr>
          <w:instrText xml:space="preserve"> PAGEREF _Toc438194058 \h </w:instrText>
        </w:r>
        <w:r>
          <w:rPr>
            <w:noProof/>
            <w:webHidden/>
          </w:rPr>
        </w:r>
        <w:r>
          <w:rPr>
            <w:noProof/>
            <w:webHidden/>
          </w:rPr>
          <w:fldChar w:fldCharType="separate"/>
        </w:r>
        <w:r>
          <w:rPr>
            <w:noProof/>
            <w:webHidden/>
          </w:rPr>
          <w:t>8</w:t>
        </w:r>
        <w:r>
          <w:rPr>
            <w:noProof/>
            <w:webHidden/>
          </w:rPr>
          <w:fldChar w:fldCharType="end"/>
        </w:r>
      </w:hyperlink>
    </w:p>
    <w:p w:rsidR="00EA67B3" w:rsidRDefault="00BD5885">
      <w:pPr>
        <w:pStyle w:val="TOC3"/>
        <w:rPr>
          <w:rFonts w:asciiTheme="minorHAnsi" w:eastAsiaTheme="minorEastAsia" w:hAnsiTheme="minorHAnsi" w:cstheme="minorBidi"/>
          <w:noProof/>
          <w:sz w:val="22"/>
          <w:szCs w:val="22"/>
          <w:lang w:val="en-GB" w:eastAsia="en-GB" w:bidi="ar-SA"/>
        </w:rPr>
      </w:pPr>
      <w:hyperlink w:anchor="_Toc438194059" w:history="1">
        <w:r>
          <w:rPr>
            <w:rStyle w:val="Hyperlink"/>
            <w:i/>
            <w:noProof/>
          </w:rPr>
          <w:t>4.1.1 Υποκειμενικά κριτήρια</w:t>
        </w:r>
        <w:r>
          <w:rPr>
            <w:noProof/>
            <w:webHidden/>
          </w:rPr>
          <w:tab/>
        </w:r>
        <w:r>
          <w:rPr>
            <w:noProof/>
            <w:webHidden/>
          </w:rPr>
          <w:fldChar w:fldCharType="begin"/>
        </w:r>
        <w:r>
          <w:rPr>
            <w:noProof/>
            <w:webHidden/>
          </w:rPr>
          <w:instrText xml:space="preserve"> PAGEREF _Toc438194059 \h </w:instrText>
        </w:r>
        <w:r>
          <w:rPr>
            <w:noProof/>
            <w:webHidden/>
          </w:rPr>
        </w:r>
        <w:r>
          <w:rPr>
            <w:noProof/>
            <w:webHidden/>
          </w:rPr>
          <w:fldChar w:fldCharType="separate"/>
        </w:r>
        <w:r>
          <w:rPr>
            <w:noProof/>
            <w:webHidden/>
          </w:rPr>
          <w:t>8</w:t>
        </w:r>
        <w:r>
          <w:rPr>
            <w:noProof/>
            <w:webHidden/>
          </w:rPr>
          <w:fldChar w:fldCharType="end"/>
        </w:r>
      </w:hyperlink>
    </w:p>
    <w:p w:rsidR="00EA67B3" w:rsidRDefault="00BD5885">
      <w:pPr>
        <w:pStyle w:val="TOC3"/>
        <w:rPr>
          <w:rFonts w:asciiTheme="minorHAnsi" w:eastAsiaTheme="minorEastAsia" w:hAnsiTheme="minorHAnsi" w:cstheme="minorBidi"/>
          <w:noProof/>
          <w:sz w:val="22"/>
          <w:szCs w:val="22"/>
          <w:lang w:val="en-GB" w:eastAsia="en-GB" w:bidi="ar-SA"/>
        </w:rPr>
      </w:pPr>
      <w:hyperlink w:anchor="_Toc438194060" w:history="1">
        <w:r>
          <w:rPr>
            <w:rStyle w:val="Hyperlink"/>
            <w:i/>
            <w:noProof/>
          </w:rPr>
          <w:t>4.1.2 Αποκλίσεις μεταξύ δασμών και ειδικού φόρου κατανάλωσης</w:t>
        </w:r>
        <w:r>
          <w:rPr>
            <w:noProof/>
            <w:webHidden/>
          </w:rPr>
          <w:tab/>
        </w:r>
        <w:r>
          <w:rPr>
            <w:noProof/>
            <w:webHidden/>
          </w:rPr>
          <w:fldChar w:fldCharType="begin"/>
        </w:r>
        <w:r>
          <w:rPr>
            <w:noProof/>
            <w:webHidden/>
          </w:rPr>
          <w:instrText xml:space="preserve"> PAGERE</w:instrText>
        </w:r>
        <w:r>
          <w:rPr>
            <w:noProof/>
            <w:webHidden/>
          </w:rPr>
          <w:instrText xml:space="preserve">F _Toc438194060 \h </w:instrText>
        </w:r>
        <w:r>
          <w:rPr>
            <w:noProof/>
            <w:webHidden/>
          </w:rPr>
        </w:r>
        <w:r>
          <w:rPr>
            <w:noProof/>
            <w:webHidden/>
          </w:rPr>
          <w:fldChar w:fldCharType="separate"/>
        </w:r>
        <w:r>
          <w:rPr>
            <w:noProof/>
            <w:webHidden/>
          </w:rPr>
          <w:t>9</w:t>
        </w:r>
        <w:r>
          <w:rPr>
            <w:noProof/>
            <w:webHidden/>
          </w:rPr>
          <w:fldChar w:fldCharType="end"/>
        </w:r>
      </w:hyperlink>
    </w:p>
    <w:p w:rsidR="00EA67B3" w:rsidRDefault="00BD5885">
      <w:pPr>
        <w:pStyle w:val="TOC3"/>
        <w:rPr>
          <w:rFonts w:asciiTheme="minorHAnsi" w:eastAsiaTheme="minorEastAsia" w:hAnsiTheme="minorHAnsi" w:cstheme="minorBidi"/>
          <w:noProof/>
          <w:sz w:val="22"/>
          <w:szCs w:val="22"/>
          <w:lang w:val="en-GB" w:eastAsia="en-GB" w:bidi="ar-SA"/>
        </w:rPr>
      </w:pPr>
      <w:hyperlink w:anchor="_Toc438194061" w:history="1">
        <w:r>
          <w:rPr>
            <w:rStyle w:val="Hyperlink"/>
            <w:i/>
            <w:noProof/>
          </w:rPr>
          <w:t>4.1.3 Ελάχιστος ειδικός φόρος κατανάλωσης</w:t>
        </w:r>
        <w:r>
          <w:rPr>
            <w:noProof/>
            <w:webHidden/>
          </w:rPr>
          <w:tab/>
        </w:r>
        <w:r>
          <w:rPr>
            <w:noProof/>
            <w:webHidden/>
          </w:rPr>
          <w:fldChar w:fldCharType="begin"/>
        </w:r>
        <w:r>
          <w:rPr>
            <w:noProof/>
            <w:webHidden/>
          </w:rPr>
          <w:instrText xml:space="preserve"> PAGEREF _Toc438194061 \h </w:instrText>
        </w:r>
        <w:r>
          <w:rPr>
            <w:noProof/>
            <w:webHidden/>
          </w:rPr>
        </w:r>
        <w:r>
          <w:rPr>
            <w:noProof/>
            <w:webHidden/>
          </w:rPr>
          <w:fldChar w:fldCharType="separate"/>
        </w:r>
        <w:r>
          <w:rPr>
            <w:noProof/>
            <w:webHidden/>
          </w:rPr>
          <w:t>10</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62" w:history="1">
        <w:r>
          <w:rPr>
            <w:rStyle w:val="Hyperlink"/>
            <w:noProof/>
          </w:rPr>
          <w:t>4.2 Απουσία ορισμών</w:t>
        </w:r>
        <w:r>
          <w:rPr>
            <w:noProof/>
            <w:webHidden/>
          </w:rPr>
          <w:tab/>
        </w:r>
        <w:r>
          <w:rPr>
            <w:noProof/>
            <w:webHidden/>
          </w:rPr>
          <w:fldChar w:fldCharType="begin"/>
        </w:r>
        <w:r>
          <w:rPr>
            <w:noProof/>
            <w:webHidden/>
          </w:rPr>
          <w:instrText xml:space="preserve"> PAGEREF _Toc438194062 \h </w:instrText>
        </w:r>
        <w:r>
          <w:rPr>
            <w:noProof/>
            <w:webHidden/>
          </w:rPr>
        </w:r>
        <w:r>
          <w:rPr>
            <w:noProof/>
            <w:webHidden/>
          </w:rPr>
          <w:fldChar w:fldCharType="separate"/>
        </w:r>
        <w:r>
          <w:rPr>
            <w:noProof/>
            <w:webHidden/>
          </w:rPr>
          <w:t>10</w:t>
        </w:r>
        <w:r>
          <w:rPr>
            <w:noProof/>
            <w:webHidden/>
          </w:rPr>
          <w:fldChar w:fldCharType="end"/>
        </w:r>
      </w:hyperlink>
    </w:p>
    <w:p w:rsidR="00EA67B3" w:rsidRDefault="00BD5885">
      <w:pPr>
        <w:pStyle w:val="TOC1"/>
        <w:rPr>
          <w:rFonts w:asciiTheme="minorHAnsi" w:eastAsiaTheme="minorEastAsia" w:hAnsiTheme="minorHAnsi" w:cstheme="minorBidi"/>
          <w:caps w:val="0"/>
          <w:noProof/>
          <w:sz w:val="22"/>
          <w:szCs w:val="22"/>
          <w:lang w:val="en-GB" w:eastAsia="en-GB" w:bidi="ar-SA"/>
        </w:rPr>
      </w:pPr>
      <w:hyperlink w:anchor="_Toc438194063" w:history="1">
        <w:r>
          <w:rPr>
            <w:rStyle w:val="Hyperlink"/>
            <w:noProof/>
          </w:rPr>
          <w:t>5. Συμπεράσματα και συστάσεις της αξιολόγησης</w:t>
        </w:r>
        <w:r>
          <w:rPr>
            <w:noProof/>
            <w:webHidden/>
          </w:rPr>
          <w:tab/>
        </w:r>
        <w:r>
          <w:rPr>
            <w:noProof/>
            <w:webHidden/>
          </w:rPr>
          <w:fldChar w:fldCharType="begin"/>
        </w:r>
        <w:r>
          <w:rPr>
            <w:noProof/>
            <w:webHidden/>
          </w:rPr>
          <w:instrText xml:space="preserve"> PAGEREF _Toc438194063 \h </w:instrText>
        </w:r>
        <w:r>
          <w:rPr>
            <w:noProof/>
            <w:webHidden/>
          </w:rPr>
        </w:r>
        <w:r>
          <w:rPr>
            <w:noProof/>
            <w:webHidden/>
          </w:rPr>
          <w:fldChar w:fldCharType="separate"/>
        </w:r>
        <w:r>
          <w:rPr>
            <w:noProof/>
            <w:webHidden/>
          </w:rPr>
          <w:t>12</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64" w:history="1">
        <w:r>
          <w:rPr>
            <w:rStyle w:val="Hyperlink"/>
            <w:noProof/>
          </w:rPr>
          <w:t>5.1 Ποιότητα της αξιολόγησης</w:t>
        </w:r>
        <w:r>
          <w:rPr>
            <w:noProof/>
            <w:webHidden/>
          </w:rPr>
          <w:tab/>
        </w:r>
        <w:r>
          <w:rPr>
            <w:noProof/>
            <w:webHidden/>
          </w:rPr>
          <w:fldChar w:fldCharType="begin"/>
        </w:r>
        <w:r>
          <w:rPr>
            <w:noProof/>
            <w:webHidden/>
          </w:rPr>
          <w:instrText xml:space="preserve"> PAGEREF _Toc438194064 \h </w:instrText>
        </w:r>
        <w:r>
          <w:rPr>
            <w:noProof/>
            <w:webHidden/>
          </w:rPr>
        </w:r>
        <w:r>
          <w:rPr>
            <w:noProof/>
            <w:webHidden/>
          </w:rPr>
          <w:fldChar w:fldCharType="separate"/>
        </w:r>
        <w:r>
          <w:rPr>
            <w:noProof/>
            <w:webHidden/>
          </w:rPr>
          <w:t>12</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65" w:history="1">
        <w:r>
          <w:rPr>
            <w:rStyle w:val="Hyperlink"/>
            <w:noProof/>
          </w:rPr>
          <w:t>5.2 Συστάσεις</w:t>
        </w:r>
        <w:r>
          <w:rPr>
            <w:noProof/>
            <w:webHidden/>
          </w:rPr>
          <w:tab/>
        </w:r>
        <w:r>
          <w:rPr>
            <w:noProof/>
            <w:webHidden/>
          </w:rPr>
          <w:fldChar w:fldCharType="begin"/>
        </w:r>
        <w:r>
          <w:rPr>
            <w:noProof/>
            <w:webHidden/>
          </w:rPr>
          <w:instrText xml:space="preserve"> PAGEREF _Toc438194065 \h </w:instrText>
        </w:r>
        <w:r>
          <w:rPr>
            <w:noProof/>
            <w:webHidden/>
          </w:rPr>
        </w:r>
        <w:r>
          <w:rPr>
            <w:noProof/>
            <w:webHidden/>
          </w:rPr>
          <w:fldChar w:fldCharType="separate"/>
        </w:r>
        <w:r>
          <w:rPr>
            <w:noProof/>
            <w:webHidden/>
          </w:rPr>
          <w:t>12</w:t>
        </w:r>
        <w:r>
          <w:rPr>
            <w:noProof/>
            <w:webHidden/>
          </w:rPr>
          <w:fldChar w:fldCharType="end"/>
        </w:r>
      </w:hyperlink>
    </w:p>
    <w:p w:rsidR="00EA67B3" w:rsidRDefault="00BD5885">
      <w:pPr>
        <w:pStyle w:val="TOC1"/>
        <w:rPr>
          <w:rFonts w:asciiTheme="minorHAnsi" w:eastAsiaTheme="minorEastAsia" w:hAnsiTheme="minorHAnsi" w:cstheme="minorBidi"/>
          <w:caps w:val="0"/>
          <w:noProof/>
          <w:sz w:val="22"/>
          <w:szCs w:val="22"/>
          <w:lang w:val="en-GB" w:eastAsia="en-GB" w:bidi="ar-SA"/>
        </w:rPr>
      </w:pPr>
      <w:hyperlink w:anchor="_Toc438194066" w:history="1">
        <w:r>
          <w:rPr>
            <w:rStyle w:val="Hyperlink"/>
            <w:noProof/>
          </w:rPr>
          <w:t>6. Παρακολούθηση και τελικά συμπεράσματα</w:t>
        </w:r>
        <w:r>
          <w:rPr>
            <w:noProof/>
            <w:webHidden/>
          </w:rPr>
          <w:tab/>
        </w:r>
        <w:r>
          <w:rPr>
            <w:noProof/>
            <w:webHidden/>
          </w:rPr>
          <w:fldChar w:fldCharType="begin"/>
        </w:r>
        <w:r>
          <w:rPr>
            <w:noProof/>
            <w:webHidden/>
          </w:rPr>
          <w:instrText xml:space="preserve"> PAGEREF _Toc438194066 \h </w:instrText>
        </w:r>
        <w:r>
          <w:rPr>
            <w:noProof/>
            <w:webHidden/>
          </w:rPr>
        </w:r>
        <w:r>
          <w:rPr>
            <w:noProof/>
            <w:webHidden/>
          </w:rPr>
          <w:fldChar w:fldCharType="separate"/>
        </w:r>
        <w:r>
          <w:rPr>
            <w:noProof/>
            <w:webHidden/>
          </w:rPr>
          <w:t>15</w:t>
        </w:r>
        <w:r>
          <w:rPr>
            <w:noProof/>
            <w:webHidden/>
          </w:rPr>
          <w:fldChar w:fldCharType="end"/>
        </w:r>
      </w:hyperlink>
    </w:p>
    <w:p w:rsidR="00EA67B3" w:rsidRDefault="00BD5885">
      <w:pPr>
        <w:pStyle w:val="TOC1"/>
        <w:rPr>
          <w:rFonts w:asciiTheme="minorHAnsi" w:eastAsiaTheme="minorEastAsia" w:hAnsiTheme="minorHAnsi" w:cstheme="minorBidi"/>
          <w:caps w:val="0"/>
          <w:noProof/>
          <w:sz w:val="22"/>
          <w:szCs w:val="22"/>
          <w:lang w:val="en-GB" w:eastAsia="en-GB" w:bidi="ar-SA"/>
        </w:rPr>
      </w:pPr>
      <w:hyperlink w:anchor="_Toc438194067" w:history="1">
        <w:r>
          <w:rPr>
            <w:rStyle w:val="Hyperlink"/>
            <w:noProof/>
          </w:rPr>
          <w:t>Παράρτημα I. Τάσεις και στατιστικές</w:t>
        </w:r>
        <w:r>
          <w:rPr>
            <w:noProof/>
            <w:webHidden/>
          </w:rPr>
          <w:tab/>
        </w:r>
        <w:r>
          <w:rPr>
            <w:noProof/>
            <w:webHidden/>
          </w:rPr>
          <w:fldChar w:fldCharType="begin"/>
        </w:r>
        <w:r>
          <w:rPr>
            <w:noProof/>
            <w:webHidden/>
          </w:rPr>
          <w:instrText xml:space="preserve"> PAGEREF _Toc438194067 \h </w:instrText>
        </w:r>
        <w:r>
          <w:rPr>
            <w:noProof/>
            <w:webHidden/>
          </w:rPr>
        </w:r>
        <w:r>
          <w:rPr>
            <w:noProof/>
            <w:webHidden/>
          </w:rPr>
          <w:fldChar w:fldCharType="separate"/>
        </w:r>
        <w:r>
          <w:rPr>
            <w:noProof/>
            <w:webHidden/>
          </w:rPr>
          <w:t>17</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68" w:history="1">
        <w:r>
          <w:rPr>
            <w:rStyle w:val="Hyperlink"/>
            <w:smallCaps/>
            <w:noProof/>
          </w:rPr>
          <w:t>Παράρτημα i.i - σταθμισμένη μέση τιμή τσιγά</w:t>
        </w:r>
        <w:r>
          <w:rPr>
            <w:rStyle w:val="Hyperlink"/>
            <w:smallCaps/>
            <w:noProof/>
          </w:rPr>
          <w:t>ρ</w:t>
        </w:r>
        <w:r>
          <w:rPr>
            <w:rStyle w:val="Hyperlink"/>
            <w:smallCaps/>
            <w:noProof/>
          </w:rPr>
          <w:t>ων</w:t>
        </w:r>
        <w:r>
          <w:rPr>
            <w:noProof/>
            <w:webHidden/>
          </w:rPr>
          <w:tab/>
        </w:r>
        <w:r>
          <w:rPr>
            <w:noProof/>
            <w:webHidden/>
          </w:rPr>
          <w:fldChar w:fldCharType="begin"/>
        </w:r>
        <w:r>
          <w:rPr>
            <w:noProof/>
            <w:webHidden/>
          </w:rPr>
          <w:instrText xml:space="preserve"> PAGEREF _Toc438194068 \h </w:instrText>
        </w:r>
        <w:r>
          <w:rPr>
            <w:noProof/>
            <w:webHidden/>
          </w:rPr>
        </w:r>
        <w:r>
          <w:rPr>
            <w:noProof/>
            <w:webHidden/>
          </w:rPr>
          <w:fldChar w:fldCharType="separate"/>
        </w:r>
        <w:r>
          <w:rPr>
            <w:noProof/>
            <w:webHidden/>
          </w:rPr>
          <w:t>19</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69" w:history="1">
        <w:r>
          <w:rPr>
            <w:rStyle w:val="Hyperlink"/>
            <w:rFonts w:ascii="Times New Roman Bold" w:hAnsi="Times New Roman Bold"/>
            <w:smallCaps/>
            <w:noProof/>
          </w:rPr>
          <w:t>Παράρτημα i.ii - φορολογική επιβάρυνση των τσιγάρων</w:t>
        </w:r>
        <w:r>
          <w:rPr>
            <w:noProof/>
            <w:webHidden/>
          </w:rPr>
          <w:tab/>
        </w:r>
        <w:r>
          <w:rPr>
            <w:noProof/>
            <w:webHidden/>
          </w:rPr>
          <w:fldChar w:fldCharType="begin"/>
        </w:r>
        <w:r>
          <w:rPr>
            <w:noProof/>
            <w:webHidden/>
          </w:rPr>
          <w:instrText xml:space="preserve"> PAGEREF _Toc4381940</w:instrText>
        </w:r>
        <w:r>
          <w:rPr>
            <w:noProof/>
            <w:webHidden/>
          </w:rPr>
          <w:instrText xml:space="preserve">69 \h </w:instrText>
        </w:r>
        <w:r>
          <w:rPr>
            <w:noProof/>
            <w:webHidden/>
          </w:rPr>
        </w:r>
        <w:r>
          <w:rPr>
            <w:noProof/>
            <w:webHidden/>
          </w:rPr>
          <w:fldChar w:fldCharType="separate"/>
        </w:r>
        <w:r>
          <w:rPr>
            <w:noProof/>
            <w:webHidden/>
          </w:rPr>
          <w:t>20</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71" w:history="1">
        <w:r>
          <w:rPr>
            <w:rStyle w:val="Hyperlink"/>
            <w:rFonts w:ascii="Times New Roman Bold" w:hAnsi="Times New Roman Bold"/>
            <w:smallCaps/>
            <w:noProof/>
          </w:rPr>
          <w:t xml:space="preserve">Παράρτημα i.iii </w:t>
        </w:r>
        <w:r>
          <w:rPr>
            <w:rStyle w:val="Hyperlink"/>
            <w:rFonts w:ascii="Times New Roman Bold" w:hAnsi="Times New Roman Bold"/>
            <w:smallCaps/>
            <w:noProof/>
          </w:rPr>
          <w:t>- στοιχεία για την κατανάλωση τσιγάρων</w:t>
        </w:r>
        <w:r>
          <w:rPr>
            <w:noProof/>
            <w:webHidden/>
          </w:rPr>
          <w:tab/>
        </w:r>
        <w:r>
          <w:rPr>
            <w:noProof/>
            <w:webHidden/>
          </w:rPr>
          <w:fldChar w:fldCharType="begin"/>
        </w:r>
        <w:r>
          <w:rPr>
            <w:noProof/>
            <w:webHidden/>
          </w:rPr>
          <w:instrText xml:space="preserve"> PAGEREF _Toc438194071 \h </w:instrText>
        </w:r>
        <w:r>
          <w:rPr>
            <w:noProof/>
            <w:webHidden/>
          </w:rPr>
        </w:r>
        <w:r>
          <w:rPr>
            <w:noProof/>
            <w:webHidden/>
          </w:rPr>
          <w:fldChar w:fldCharType="separate"/>
        </w:r>
        <w:r>
          <w:rPr>
            <w:noProof/>
            <w:webHidden/>
          </w:rPr>
          <w:t>21</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72" w:history="1">
        <w:r>
          <w:rPr>
            <w:rStyle w:val="Hyperlink"/>
            <w:rFonts w:ascii="Times New Roman Bold" w:hAnsi="Times New Roman Bold"/>
            <w:smallCaps/>
            <w:noProof/>
          </w:rPr>
          <w:t>Παράρτημα i.iv – πακέτα τσιγάρων ανά ενήλικο</w:t>
        </w:r>
        <w:r>
          <w:rPr>
            <w:noProof/>
            <w:webHidden/>
          </w:rPr>
          <w:tab/>
        </w:r>
        <w:r>
          <w:rPr>
            <w:noProof/>
            <w:webHidden/>
          </w:rPr>
          <w:fldChar w:fldCharType="begin"/>
        </w:r>
        <w:r>
          <w:rPr>
            <w:noProof/>
            <w:webHidden/>
          </w:rPr>
          <w:instrText xml:space="preserve"> PAGEREF _Toc438194072 \h </w:instrText>
        </w:r>
        <w:r>
          <w:rPr>
            <w:noProof/>
            <w:webHidden/>
          </w:rPr>
        </w:r>
        <w:r>
          <w:rPr>
            <w:noProof/>
            <w:webHidden/>
          </w:rPr>
          <w:fldChar w:fldCharType="separate"/>
        </w:r>
        <w:r>
          <w:rPr>
            <w:noProof/>
            <w:webHidden/>
          </w:rPr>
          <w:t>22</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73" w:history="1">
        <w:r>
          <w:rPr>
            <w:rStyle w:val="Hyperlink"/>
            <w:rFonts w:ascii="Times New Roman Bold" w:hAnsi="Times New Roman Bold"/>
            <w:smallCaps/>
            <w:noProof/>
          </w:rPr>
          <w:t>Παράρτημα i.v - στοιχεία για την κατανάλωση λεπτοκομμένου καπνού</w:t>
        </w:r>
        <w:r>
          <w:rPr>
            <w:noProof/>
            <w:webHidden/>
          </w:rPr>
          <w:tab/>
        </w:r>
        <w:r>
          <w:rPr>
            <w:noProof/>
            <w:webHidden/>
          </w:rPr>
          <w:fldChar w:fldCharType="begin"/>
        </w:r>
        <w:r>
          <w:rPr>
            <w:noProof/>
            <w:webHidden/>
          </w:rPr>
          <w:instrText xml:space="preserve"> PAGEREF _Toc438194073 \h </w:instrText>
        </w:r>
        <w:r>
          <w:rPr>
            <w:noProof/>
            <w:webHidden/>
          </w:rPr>
        </w:r>
        <w:r>
          <w:rPr>
            <w:noProof/>
            <w:webHidden/>
          </w:rPr>
          <w:fldChar w:fldCharType="separate"/>
        </w:r>
        <w:r>
          <w:rPr>
            <w:noProof/>
            <w:webHidden/>
          </w:rPr>
          <w:t>2</w:t>
        </w:r>
        <w:r>
          <w:rPr>
            <w:noProof/>
            <w:webHidden/>
            <w:lang w:val="fr-BE"/>
          </w:rPr>
          <w:t>3</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75" w:history="1">
        <w:r>
          <w:rPr>
            <w:rStyle w:val="Hyperlink"/>
            <w:smallCaps/>
            <w:noProof/>
          </w:rPr>
          <w:t>Παράρτημα i.vi – λεπτοκομμένος καπνός ανά ενήλικο</w:t>
        </w:r>
        <w:r>
          <w:rPr>
            <w:noProof/>
            <w:webHidden/>
          </w:rPr>
          <w:tab/>
        </w:r>
        <w:r>
          <w:rPr>
            <w:noProof/>
            <w:webHidden/>
          </w:rPr>
          <w:fldChar w:fldCharType="begin"/>
        </w:r>
        <w:r>
          <w:rPr>
            <w:noProof/>
            <w:webHidden/>
          </w:rPr>
          <w:instrText xml:space="preserve"> PAGEREF _Toc438194075 \h </w:instrText>
        </w:r>
        <w:r>
          <w:rPr>
            <w:noProof/>
            <w:webHidden/>
          </w:rPr>
        </w:r>
        <w:r>
          <w:rPr>
            <w:noProof/>
            <w:webHidden/>
          </w:rPr>
          <w:fldChar w:fldCharType="separate"/>
        </w:r>
        <w:r>
          <w:rPr>
            <w:noProof/>
            <w:webHidden/>
          </w:rPr>
          <w:t>2</w:t>
        </w:r>
        <w:r>
          <w:rPr>
            <w:noProof/>
            <w:webHidden/>
          </w:rPr>
          <w:t>4</w:t>
        </w:r>
        <w:r>
          <w:rPr>
            <w:noProof/>
            <w:webHidden/>
          </w:rPr>
          <w:fldChar w:fldCharType="end"/>
        </w:r>
      </w:hyperlink>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76" w:history="1">
        <w:r>
          <w:rPr>
            <w:rStyle w:val="Hyperlink"/>
            <w:rFonts w:ascii="Times New Roman Bold" w:hAnsi="Times New Roman Bold"/>
            <w:smallCaps/>
            <w:noProof/>
          </w:rPr>
          <w:t>Παράρτημα i.vii - φορο</w:t>
        </w:r>
        <w:r>
          <w:rPr>
            <w:rStyle w:val="Hyperlink"/>
            <w:rFonts w:ascii="Times New Roman Bold" w:hAnsi="Times New Roman Bold"/>
            <w:smallCaps/>
            <w:noProof/>
          </w:rPr>
          <w:t>λ</w:t>
        </w:r>
        <w:r>
          <w:rPr>
            <w:rStyle w:val="Hyperlink"/>
            <w:rFonts w:ascii="Times New Roman Bold" w:hAnsi="Times New Roman Bold"/>
            <w:smallCaps/>
            <w:noProof/>
          </w:rPr>
          <w:t>ο</w:t>
        </w:r>
        <w:r>
          <w:rPr>
            <w:rStyle w:val="Hyperlink"/>
            <w:rFonts w:ascii="Times New Roman Bold" w:hAnsi="Times New Roman Bold"/>
            <w:smallCaps/>
            <w:noProof/>
          </w:rPr>
          <w:t>γικά έσοδα</w:t>
        </w:r>
        <w:r>
          <w:rPr>
            <w:noProof/>
            <w:webHidden/>
          </w:rPr>
          <w:tab/>
        </w:r>
        <w:r>
          <w:rPr>
            <w:noProof/>
            <w:webHidden/>
          </w:rPr>
          <w:fldChar w:fldCharType="begin"/>
        </w:r>
        <w:r>
          <w:rPr>
            <w:noProof/>
            <w:webHidden/>
          </w:rPr>
          <w:instrText xml:space="preserve"> PAGEREF _Toc438194076 \h </w:instrText>
        </w:r>
        <w:r>
          <w:rPr>
            <w:noProof/>
            <w:webHidden/>
          </w:rPr>
        </w:r>
        <w:r>
          <w:rPr>
            <w:noProof/>
            <w:webHidden/>
          </w:rPr>
          <w:fldChar w:fldCharType="separate"/>
        </w:r>
        <w:r>
          <w:rPr>
            <w:noProof/>
            <w:webHidden/>
          </w:rPr>
          <w:t>2</w:t>
        </w:r>
        <w:r>
          <w:rPr>
            <w:noProof/>
            <w:webHidden/>
          </w:rPr>
          <w:fldChar w:fldCharType="end"/>
        </w:r>
      </w:hyperlink>
      <w:r>
        <w:rPr>
          <w:noProof/>
          <w:lang w:val="fr-BE"/>
        </w:rPr>
        <w:t>5</w:t>
      </w:r>
    </w:p>
    <w:p w:rsidR="00EA67B3" w:rsidRDefault="00BD5885">
      <w:pPr>
        <w:pStyle w:val="TOC2"/>
        <w:rPr>
          <w:rFonts w:asciiTheme="minorHAnsi" w:eastAsiaTheme="minorEastAsia" w:hAnsiTheme="minorHAnsi" w:cstheme="minorBidi"/>
          <w:noProof/>
          <w:sz w:val="22"/>
          <w:szCs w:val="22"/>
          <w:lang w:val="en-GB" w:eastAsia="en-GB" w:bidi="ar-SA"/>
        </w:rPr>
      </w:pPr>
      <w:hyperlink w:anchor="_Toc438194078" w:history="1">
        <w:r>
          <w:rPr>
            <w:rStyle w:val="Hyperlink"/>
            <w:rFonts w:ascii="Times New Roman Bold" w:hAnsi="Times New Roman Bold"/>
            <w:smallCaps/>
            <w:noProof/>
          </w:rPr>
          <w:t>Παράρτημα i.viii – έσοδα από</w:t>
        </w:r>
        <w:r>
          <w:rPr>
            <w:rStyle w:val="Hyperlink"/>
            <w:rFonts w:ascii="Times New Roman Bold" w:hAnsi="Times New Roman Bold"/>
            <w:smallCaps/>
            <w:noProof/>
          </w:rPr>
          <w:t xml:space="preserve"> τον καπνό σε σχέση με τα συνολικά φορολογικά έσοδα</w:t>
        </w:r>
        <w:r>
          <w:rPr>
            <w:noProof/>
            <w:webHidden/>
          </w:rPr>
          <w:tab/>
        </w:r>
        <w:r>
          <w:rPr>
            <w:noProof/>
            <w:webHidden/>
          </w:rPr>
          <w:fldChar w:fldCharType="begin"/>
        </w:r>
        <w:r>
          <w:rPr>
            <w:noProof/>
            <w:webHidden/>
          </w:rPr>
          <w:instrText xml:space="preserve"> PAGEREF _Toc438194078 \h </w:instrText>
        </w:r>
        <w:r>
          <w:rPr>
            <w:noProof/>
            <w:webHidden/>
          </w:rPr>
        </w:r>
        <w:r>
          <w:rPr>
            <w:noProof/>
            <w:webHidden/>
          </w:rPr>
          <w:fldChar w:fldCharType="separate"/>
        </w:r>
        <w:r>
          <w:rPr>
            <w:noProof/>
            <w:webHidden/>
          </w:rPr>
          <w:t>26</w:t>
        </w:r>
        <w:r>
          <w:rPr>
            <w:noProof/>
            <w:webHidden/>
          </w:rPr>
          <w:fldChar w:fldCharType="end"/>
        </w:r>
      </w:hyperlink>
    </w:p>
    <w:p w:rsidR="00EA67B3" w:rsidRDefault="00BD5885">
      <w:pPr>
        <w:pStyle w:val="TOC1"/>
        <w:rPr>
          <w:rFonts w:asciiTheme="minorHAnsi" w:eastAsiaTheme="minorEastAsia" w:hAnsiTheme="minorHAnsi" w:cstheme="minorBidi"/>
          <w:caps w:val="0"/>
          <w:noProof/>
          <w:sz w:val="22"/>
          <w:szCs w:val="22"/>
        </w:rPr>
      </w:pPr>
      <w:r>
        <w:rPr>
          <w:noProof/>
          <w:szCs w:val="24"/>
        </w:rPr>
        <w:fldChar w:fldCharType="end"/>
      </w:r>
    </w:p>
    <w:p w:rsidR="00EA67B3" w:rsidRDefault="00BD5885">
      <w:pPr>
        <w:pStyle w:val="Heading1"/>
        <w:rPr>
          <w:noProof/>
        </w:rPr>
      </w:pPr>
      <w:r>
        <w:rPr>
          <w:noProof/>
        </w:rPr>
        <w:br w:type="page"/>
      </w:r>
      <w:bookmarkStart w:id="1" w:name="_Toc433017690"/>
      <w:bookmarkStart w:id="2" w:name="_Toc438194050"/>
      <w:r>
        <w:rPr>
          <w:noProof/>
        </w:rPr>
        <w:t xml:space="preserve">1. </w:t>
      </w:r>
      <w:r>
        <w:rPr>
          <w:noProof/>
          <w:u w:val="single"/>
        </w:rPr>
        <w:t>Εισαγωγή</w:t>
      </w:r>
      <w:bookmarkEnd w:id="1"/>
      <w:bookmarkEnd w:id="2"/>
    </w:p>
    <w:p w:rsidR="00EA67B3" w:rsidRDefault="00BD5885">
      <w:pPr>
        <w:pStyle w:val="Default"/>
        <w:jc w:val="both"/>
        <w:rPr>
          <w:rFonts w:ascii="Times New Roman" w:hAnsi="Times New Roman" w:cs="Times New Roman"/>
          <w:noProof/>
        </w:rPr>
      </w:pPr>
      <w:r>
        <w:rPr>
          <w:rFonts w:ascii="Times New Roman" w:hAnsi="Times New Roman"/>
          <w:noProof/>
        </w:rPr>
        <w:t xml:space="preserve">Σύμφωνα με το άρθρο 19 παράγραφος 1 της </w:t>
      </w:r>
      <w:hyperlink r:id="rId16">
        <w:r>
          <w:rPr>
            <w:rStyle w:val="Hyperlink"/>
            <w:rFonts w:ascii="Times New Roman" w:hAnsi="Times New Roman"/>
            <w:noProof/>
          </w:rPr>
          <w:t>οδηγίας 2011/64/ΕΕ</w:t>
        </w:r>
      </w:hyperlink>
      <w:r>
        <w:rPr>
          <w:rStyle w:val="FootnoteReference"/>
          <w:rFonts w:ascii="Times New Roman" w:hAnsi="Times New Roman"/>
          <w:noProof/>
        </w:rPr>
        <w:footnoteReference w:id="2"/>
      </w:r>
      <w:r>
        <w:rPr>
          <w:rFonts w:ascii="Times New Roman" w:hAnsi="Times New Roman"/>
          <w:noProof/>
        </w:rPr>
        <w:t xml:space="preserve">, η Επιτροπή υποχρεούται να υποβάλει έκθεση σχετικά </w:t>
      </w:r>
      <w:r>
        <w:rPr>
          <w:rFonts w:ascii="Times New Roman" w:hAnsi="Times New Roman"/>
          <w:noProof/>
        </w:rPr>
        <w:t>με τη διάρθρωση και τους συντελεστές του ειδικού φόρου κατανάλωσης που προβλέπονται στην εν λόγω οδηγία, ανά τετραετία. Στην εν λόγω έκθεση πρέπει να λαμβάνονται υπόψη η ορθή λειτουργία της εσωτερικής αγοράς, η πραγματική αξία των συντελεστών του ειδικού φ</w:t>
      </w:r>
      <w:r>
        <w:rPr>
          <w:rFonts w:ascii="Times New Roman" w:hAnsi="Times New Roman"/>
          <w:noProof/>
        </w:rPr>
        <w:t>όρου κατανάλωσης και οι ευρύτεροι στόχοι της Συνθήκης· η έκθεση πρέπει να βασίζεται ιδίως σε πληροφορίες που παρέχουν τα κράτη μέλη. Η παρούσα έκθεση αποτελεί μέρος μιας σειράς εκθέσεων</w:t>
      </w:r>
      <w:r>
        <w:rPr>
          <w:rFonts w:ascii="Times New Roman" w:hAnsi="Times New Roman"/>
          <w:noProof/>
          <w:vertAlign w:val="superscript"/>
        </w:rPr>
        <w:footnoteReference w:id="3"/>
      </w:r>
      <w:r>
        <w:rPr>
          <w:rFonts w:ascii="Times New Roman" w:hAnsi="Times New Roman"/>
          <w:noProof/>
        </w:rPr>
        <w:t xml:space="preserve"> για τη λειτουργία των κανόνων της ΕΕ για τους ειδικούς φόρους κατανάλ</w:t>
      </w:r>
      <w:r>
        <w:rPr>
          <w:rFonts w:ascii="Times New Roman" w:hAnsi="Times New Roman"/>
          <w:noProof/>
        </w:rPr>
        <w:t xml:space="preserve">ωσης που εφαρμόζονται στα βιομηχανοποιημένα καπνά, τις οποίες η Επιτροπή υποβάλλει από το 1992.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Επιπλέον, η οδηγία έχει επιλεγεί για αξιολόγηση στο πλαίσιο του προγράμματος βελτίωσης της καταλληλότητας και της αποδοτικότητας του κανονιστικού πλαισίου (RE</w:t>
      </w:r>
      <w:r>
        <w:rPr>
          <w:rFonts w:ascii="Times New Roman" w:hAnsi="Times New Roman"/>
          <w:noProof/>
        </w:rPr>
        <w:t>FIT) της Επιτροπής</w:t>
      </w:r>
      <w:r>
        <w:rPr>
          <w:rStyle w:val="FootnoteReference"/>
          <w:rFonts w:ascii="Times New Roman" w:hAnsi="Times New Roman"/>
          <w:noProof/>
        </w:rPr>
        <w:footnoteReference w:id="4"/>
      </w:r>
      <w:r>
        <w:rPr>
          <w:noProof/>
        </w:rPr>
        <w:t>.</w:t>
      </w:r>
      <w:r>
        <w:rPr>
          <w:rFonts w:ascii="Times New Roman" w:hAnsi="Times New Roman"/>
          <w:noProof/>
        </w:rPr>
        <w:t xml:space="preserve">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Η παρούσα έκθεση παρουσιάζει τα αποτελέσματα και τα συμπεράσματα εξωτερικής αξιολόγησης που προέβη σε αποτίμηση της οδηγίας υπό τις εν λόγω δύο οπτικές γωνίες. Επιπλέον, παρέχει επισκόπηση των διαθέσιμων στατιστικών που διαβίβασαν τα</w:t>
      </w:r>
      <w:r>
        <w:rPr>
          <w:rFonts w:ascii="Times New Roman" w:hAnsi="Times New Roman"/>
          <w:noProof/>
        </w:rPr>
        <w:t xml:space="preserve"> κράτη μέλη σχετικά με τον προσδιορισμό της σταθμισμένης μέσης τιμής (ΣΜΤ), των στοιχείων για την κατανάλωση, των φορολογικών εσόδων και της φορολογικής επιβάρυνσης επί των βιομηχανοποιημένων καπνών μετά την έναρξη ισχύος της οδηγίας το 2011.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noProof/>
        </w:rPr>
      </w:pPr>
      <w:r>
        <w:rPr>
          <w:rFonts w:ascii="Times New Roman" w:hAnsi="Times New Roman"/>
          <w:noProof/>
        </w:rPr>
        <w:t xml:space="preserve">Σε </w:t>
      </w:r>
      <w:r>
        <w:rPr>
          <w:rFonts w:ascii="Times New Roman" w:hAnsi="Times New Roman"/>
          <w:noProof/>
        </w:rPr>
        <w:t>αντιδιαστολή με προηγούμενες εκθέσεις, η παρούσα έκθεση δεν επικεντρώνεται στην αύξηση των ελάχιστων συντελεστών ειδικού φόρου κατανάλωσης που προβλέπεται από την οδηγία 2011/64/ΕΕ. Αρκετές αυξήσεις του ελάχιστου συνολικού ειδικού φόρου κατανάλωσης τέθηκαν</w:t>
      </w:r>
      <w:r>
        <w:rPr>
          <w:rFonts w:ascii="Times New Roman" w:hAnsi="Times New Roman"/>
          <w:noProof/>
        </w:rPr>
        <w:t xml:space="preserve"> σε ισχύ πρόσφατα· σε ορισμένα κράτη μέλη χορηγήθηκε μεταβατική περίοδος και ορισμένες σταδιακές αυξήσεις δεν έχουν ακόμη τεθεί σε ισχύ</w:t>
      </w:r>
      <w:r>
        <w:rPr>
          <w:rStyle w:val="FootnoteReference"/>
          <w:rFonts w:ascii="Times New Roman" w:hAnsi="Times New Roman"/>
          <w:noProof/>
        </w:rPr>
        <w:footnoteReference w:id="5"/>
      </w:r>
      <w:r>
        <w:rPr>
          <w:noProof/>
        </w:rPr>
        <w:t>.</w:t>
      </w:r>
      <w:r>
        <w:rPr>
          <w:rFonts w:ascii="Times New Roman" w:hAnsi="Times New Roman"/>
          <w:noProof/>
        </w:rPr>
        <w:t xml:space="preserve"> Ως εκ τούτου, ο αντίκτυπος των εν λόγω μέτρων θα εξεταστεί σε μελλοντική έκθεση. </w:t>
      </w:r>
    </w:p>
    <w:p w:rsidR="00EA67B3" w:rsidRDefault="00EA67B3">
      <w:pPr>
        <w:pStyle w:val="Default"/>
        <w:jc w:val="both"/>
        <w:rPr>
          <w:rFonts w:ascii="Times New Roman" w:hAnsi="Times New Roman" w:cs="Times New Roman"/>
          <w:noProof/>
        </w:rPr>
      </w:pPr>
    </w:p>
    <w:p w:rsidR="00EA67B3" w:rsidRDefault="00BD5885">
      <w:pPr>
        <w:pStyle w:val="Heading1"/>
        <w:rPr>
          <w:noProof/>
        </w:rPr>
      </w:pPr>
      <w:bookmarkStart w:id="3" w:name="_Toc433017691"/>
      <w:bookmarkStart w:id="4" w:name="_Toc438194051"/>
      <w:r>
        <w:rPr>
          <w:noProof/>
        </w:rPr>
        <w:t xml:space="preserve">2. </w:t>
      </w:r>
      <w:r>
        <w:rPr>
          <w:noProof/>
          <w:u w:val="single"/>
        </w:rPr>
        <w:t>Ιστορικό</w:t>
      </w:r>
      <w:bookmarkEnd w:id="3"/>
      <w:bookmarkEnd w:id="4"/>
    </w:p>
    <w:p w:rsidR="00EA67B3" w:rsidRDefault="00BD5885">
      <w:pPr>
        <w:pStyle w:val="Default"/>
        <w:jc w:val="both"/>
        <w:rPr>
          <w:rFonts w:ascii="Times New Roman" w:eastAsia="Times New Roman" w:hAnsi="Times New Roman" w:cs="Times New Roman"/>
          <w:noProof/>
        </w:rPr>
      </w:pPr>
      <w:r>
        <w:rPr>
          <w:rFonts w:ascii="Times New Roman" w:hAnsi="Times New Roman"/>
          <w:noProof/>
        </w:rPr>
        <w:t>Η οδηγία 2011/64/ΕΕ θεσ</w:t>
      </w:r>
      <w:r>
        <w:rPr>
          <w:rFonts w:ascii="Times New Roman" w:hAnsi="Times New Roman"/>
          <w:noProof/>
        </w:rPr>
        <w:t xml:space="preserve">πίζει τους κανόνες της ΕΕ για τη διάρθρωση και τους συντελεστές του ειδικού φόρου κατανάλωσης που εφαρμόζονται στα βιομηχανοποιημένα καπνά. Ειδικότερα, ορίζει και κατατάσσει τα διάφορα βιομηχανοποιημένα προϊόντα καπνού που καλύπτονται από την οδηγία βάσει </w:t>
      </w:r>
      <w:r>
        <w:rPr>
          <w:rFonts w:ascii="Times New Roman" w:hAnsi="Times New Roman"/>
          <w:noProof/>
        </w:rPr>
        <w:t>των χαρακτηριστικών τους. Στην εν λόγω οδηγία καθορίζεται επίσης η διάρθρωση των ειδικών φόρων κατανάλωσης για τα διάφορα είδη προϊόντων. Σκοπός της οδηγίας είναι να διασφαλίσει την εύρυθμη λειτουργία της εσωτερικής αγοράς και, συγχρόνως, υψηλό επίπεδο προ</w:t>
      </w:r>
      <w:r>
        <w:rPr>
          <w:rFonts w:ascii="Times New Roman" w:hAnsi="Times New Roman"/>
          <w:noProof/>
        </w:rPr>
        <w:t>στασίας της υγείας</w:t>
      </w:r>
      <w:r>
        <w:rPr>
          <w:rStyle w:val="FootnoteReference"/>
          <w:rFonts w:ascii="Times New Roman" w:hAnsi="Times New Roman"/>
          <w:noProof/>
        </w:rPr>
        <w:footnoteReference w:id="6"/>
      </w:r>
      <w:r>
        <w:rPr>
          <w:noProof/>
        </w:rPr>
        <w:t>.</w:t>
      </w:r>
      <w:r>
        <w:rPr>
          <w:rFonts w:ascii="Times New Roman" w:hAnsi="Times New Roman"/>
          <w:noProof/>
        </w:rPr>
        <w:t xml:space="preserve"> Η εύρυθμη λειτουργία της εσωτερικής αγοράς προϋποθέτει ότι ο τρόπος με τον οποίο τα κράτη μέλη φορολογούν την κατανάλωση των προϊόντων του εν λόγω τομέα δεν στρεβλώνει τον ανταγωνισμό, ούτε παρεμποδίζει την ελεύθερη κυκλοφορία τους εντ</w:t>
      </w:r>
      <w:r>
        <w:rPr>
          <w:rFonts w:ascii="Times New Roman" w:hAnsi="Times New Roman"/>
          <w:noProof/>
        </w:rPr>
        <w:t>ός της ΕΕ. Σε αυτό το πλαίσιο, η οδηγία θα πρέπει να διασφαλίζει ότι τα βιομηχανοποιημένα προϊόντα καπνού φορολογούνται σωστά στο κράτος μέλος της τελικής κατανάλωσής τους</w:t>
      </w:r>
      <w:r>
        <w:rPr>
          <w:rStyle w:val="FootnoteReference"/>
          <w:rFonts w:ascii="Times New Roman" w:hAnsi="Times New Roman"/>
          <w:noProof/>
        </w:rPr>
        <w:footnoteReference w:id="7"/>
      </w:r>
      <w:r>
        <w:rPr>
          <w:noProof/>
        </w:rPr>
        <w:t>.</w:t>
      </w:r>
      <w:r>
        <w:rPr>
          <w:rFonts w:ascii="Times New Roman" w:hAnsi="Times New Roman"/>
          <w:noProof/>
        </w:rPr>
        <w:t xml:space="preserve"> Αυτό έχει σημασία, δεδομένου ότι τα έσοδα από τους ειδικούς φόρους κατανάλωσης που</w:t>
      </w:r>
      <w:r>
        <w:rPr>
          <w:rFonts w:ascii="Times New Roman" w:hAnsi="Times New Roman"/>
          <w:noProof/>
        </w:rPr>
        <w:t xml:space="preserve"> εφαρμόζονται στα βιομηχανοποιημένα καπνά συνέβαλαν συνολικά με ποσό άνω των 81 δισ. ευρώ στους εθνικούς προϋπολογισμούς των κρατών μελών το 2014.</w:t>
      </w:r>
    </w:p>
    <w:p w:rsidR="00EA67B3" w:rsidRDefault="00EA67B3">
      <w:pPr>
        <w:pStyle w:val="Default"/>
        <w:jc w:val="both"/>
        <w:rPr>
          <w:rFonts w:ascii="Times New Roman" w:eastAsia="Times New Roman" w:hAnsi="Times New Roman" w:cs="Times New Roman"/>
          <w:noProof/>
        </w:rPr>
      </w:pPr>
    </w:p>
    <w:p w:rsidR="00EA67B3" w:rsidRDefault="00BD5885">
      <w:pPr>
        <w:pStyle w:val="Default"/>
        <w:jc w:val="both"/>
        <w:rPr>
          <w:rFonts w:ascii="Times New Roman" w:eastAsia="Times New Roman" w:hAnsi="Times New Roman" w:cs="Times New Roman"/>
          <w:noProof/>
        </w:rPr>
      </w:pPr>
      <w:r>
        <w:rPr>
          <w:rFonts w:ascii="Times New Roman" w:hAnsi="Times New Roman"/>
          <w:noProof/>
        </w:rPr>
        <w:t>Στο πλαίσιο του προγράμματος REFIT, η Επιτροπή έχει δεσμευθεί να διασφαλίσει ότι η νομοθεσία της ΕΕ είναι κα</w:t>
      </w:r>
      <w:r>
        <w:rPr>
          <w:rFonts w:ascii="Times New Roman" w:hAnsi="Times New Roman"/>
          <w:noProof/>
        </w:rPr>
        <w:t>τάλληλη για τον σκοπό που επιδιώκει και επιτυγχάνει τους στόχους της με το ελάχιστο το κόστος και τον ελάχιστο φόρτο.</w:t>
      </w:r>
    </w:p>
    <w:p w:rsidR="00EA67B3" w:rsidRDefault="00EA67B3">
      <w:pPr>
        <w:spacing w:after="240" w:line="240" w:lineRule="auto"/>
        <w:jc w:val="both"/>
        <w:rPr>
          <w:rFonts w:ascii="Times New Roman" w:eastAsia="Times New Roman" w:hAnsi="Times New Roman"/>
          <w:noProof/>
          <w:sz w:val="24"/>
          <w:szCs w:val="24"/>
        </w:rPr>
      </w:pPr>
    </w:p>
    <w:p w:rsidR="00EA67B3" w:rsidRDefault="00BD5885">
      <w:pPr>
        <w:pStyle w:val="Heading1"/>
        <w:rPr>
          <w:noProof/>
          <w:u w:val="single"/>
        </w:rPr>
      </w:pPr>
      <w:bookmarkStart w:id="5" w:name="_Toc433017692"/>
      <w:bookmarkStart w:id="6" w:name="_Toc438194052"/>
      <w:r>
        <w:rPr>
          <w:rFonts w:ascii="Times New Roman" w:hAnsi="Times New Roman"/>
          <w:smallCaps w:val="0"/>
          <w:noProof/>
        </w:rPr>
        <w:t>3</w:t>
      </w:r>
      <w:r>
        <w:rPr>
          <w:rFonts w:ascii="Times New Roman" w:hAnsi="Times New Roman"/>
          <w:noProof/>
        </w:rPr>
        <w:t>.</w:t>
      </w:r>
      <w:r>
        <w:rPr>
          <w:rFonts w:ascii="Times New Roman" w:hAnsi="Times New Roman"/>
          <w:noProof/>
          <w:u w:val="single"/>
        </w:rPr>
        <w:t xml:space="preserve"> </w:t>
      </w:r>
      <w:r>
        <w:rPr>
          <w:smallCaps w:val="0"/>
          <w:noProof/>
          <w:u w:val="single"/>
        </w:rPr>
        <w:t xml:space="preserve">Η </w:t>
      </w:r>
      <w:r>
        <w:rPr>
          <w:noProof/>
          <w:u w:val="single"/>
        </w:rPr>
        <w:t>εξωτερική αξιολόγηση της οδηγίας</w:t>
      </w:r>
      <w:bookmarkEnd w:id="5"/>
      <w:bookmarkEnd w:id="6"/>
    </w:p>
    <w:p w:rsidR="00EA67B3" w:rsidRDefault="00BD5885">
      <w:pPr>
        <w:pStyle w:val="Default"/>
        <w:jc w:val="both"/>
        <w:rPr>
          <w:rFonts w:ascii="Times New Roman" w:eastAsia="Times New Roman" w:hAnsi="Times New Roman" w:cs="Times New Roman"/>
          <w:noProof/>
        </w:rPr>
      </w:pPr>
      <w:r>
        <w:rPr>
          <w:rFonts w:ascii="Times New Roman" w:hAnsi="Times New Roman"/>
          <w:noProof/>
        </w:rPr>
        <w:t>Προκειμένου να αξιολογήσει την εφαρμογή της οδηγίας, η Γενική Διεύθυνση Φορολογίας και Τελωνειακής Ένωσης (ΓΔ TAXUD) ανέθεσε τη διενέργεια εξωτερικής αξιολόγησης (εφεξής: αξιολόγηση) σε κοινοπραξία που συστάθηκε από τις εταιρείες Ramboll Management Consult</w:t>
      </w:r>
      <w:r>
        <w:rPr>
          <w:rFonts w:ascii="Times New Roman" w:hAnsi="Times New Roman"/>
          <w:noProof/>
        </w:rPr>
        <w:t xml:space="preserve">ing AS, The Evaluation Partnership και Europe Economics. </w:t>
      </w:r>
    </w:p>
    <w:p w:rsidR="00EA67B3" w:rsidRDefault="00EA67B3">
      <w:pPr>
        <w:pStyle w:val="Default"/>
        <w:jc w:val="both"/>
        <w:rPr>
          <w:rFonts w:ascii="Times New Roman" w:eastAsia="Times New Roman" w:hAnsi="Times New Roman" w:cs="Times New Roman"/>
          <w:noProof/>
        </w:rPr>
      </w:pPr>
    </w:p>
    <w:p w:rsidR="00EA67B3" w:rsidRDefault="00BD5885">
      <w:pPr>
        <w:pStyle w:val="Default"/>
        <w:jc w:val="both"/>
        <w:rPr>
          <w:rFonts w:ascii="Times New Roman" w:eastAsia="Times New Roman" w:hAnsi="Times New Roman" w:cs="Times New Roman"/>
          <w:noProof/>
        </w:rPr>
      </w:pPr>
      <w:r>
        <w:rPr>
          <w:rFonts w:ascii="Times New Roman" w:hAnsi="Times New Roman"/>
          <w:noProof/>
        </w:rPr>
        <w:t>Κατόπιν διαβούλευσης με τα κράτη μέλη και σύμφωνα με το πρόγραμμα REFIT, συμφωνήθηκε ότι στόχος της αξιολόγησης θα πρέπει είναι ο εντοπισμός των δυνατοτήτων βελτίωσης της νομοθεσίας με στόχο τη μεί</w:t>
      </w:r>
      <w:r>
        <w:rPr>
          <w:rFonts w:ascii="Times New Roman" w:hAnsi="Times New Roman"/>
          <w:noProof/>
        </w:rPr>
        <w:t>ωση των διοικητικών δαπανών και του διοικητικού φόρτου προς όφελος των εθνικών διοικήσεων και των οικονομικών φορέων, καθώς και την ενίσχυση του επιπέδου συμμόρφωσης και ασφάλειας κατά την είσπραξη των ειδικών φόρων κατανάλωσης που επιβάλλονται στα βιομηχα</w:t>
      </w:r>
      <w:r>
        <w:rPr>
          <w:rFonts w:ascii="Times New Roman" w:hAnsi="Times New Roman"/>
          <w:noProof/>
        </w:rPr>
        <w:t xml:space="preserve">νοποιημένα καπνά. Η αξιολόγηση ξεκίνησε τον Δεκέμβριο του 2012 και ολοκληρώθηκε τον Αύγουστο του 2014. Μια συντονιστική ομάδα που απαρτιζόταν από προσωπικό προερχόμενο από όλες τις αρμόδιες υπηρεσίες της Επιτροπής επόπτευσε τη διενέργεια της αξιολόγησης. </w:t>
      </w:r>
    </w:p>
    <w:p w:rsidR="00EA67B3" w:rsidRDefault="00EA67B3">
      <w:pPr>
        <w:autoSpaceDE w:val="0"/>
        <w:autoSpaceDN w:val="0"/>
        <w:adjustRightInd w:val="0"/>
        <w:spacing w:after="0" w:line="240" w:lineRule="auto"/>
        <w:rPr>
          <w:rFonts w:ascii="TimesNewRoman" w:hAnsi="TimesNewRoman" w:cs="TimesNewRoman"/>
          <w:noProof/>
          <w:sz w:val="24"/>
          <w:szCs w:val="24"/>
        </w:rPr>
      </w:pPr>
    </w:p>
    <w:p w:rsidR="00EA67B3" w:rsidRDefault="00BD5885">
      <w:pPr>
        <w:autoSpaceDE w:val="0"/>
        <w:autoSpaceDN w:val="0"/>
        <w:adjustRightInd w:val="0"/>
        <w:spacing w:after="0" w:line="240" w:lineRule="auto"/>
        <w:jc w:val="both"/>
        <w:rPr>
          <w:rFonts w:ascii="TimesNewRoman" w:hAnsi="TimesNewRoman" w:cs="TimesNewRoman"/>
          <w:noProof/>
          <w:sz w:val="24"/>
          <w:szCs w:val="24"/>
        </w:rPr>
      </w:pPr>
      <w:r>
        <w:rPr>
          <w:rFonts w:ascii="TimesNewRoman" w:hAnsi="TimesNewRoman"/>
          <w:noProof/>
          <w:sz w:val="24"/>
        </w:rPr>
        <w:t>Σημειωτέον ότι, επειδή η αξιολόγηση ολοκληρώθηκε πριν από την έγκριση των νέων «Κατευθυντήριων γραμμών για τη βελτίωση της νομοθεσίας» της 19ης Μαΐου 2015</w:t>
      </w:r>
      <w:r>
        <w:rPr>
          <w:rStyle w:val="FootnoteReference"/>
          <w:rFonts w:ascii="TimesNewRoman" w:hAnsi="TimesNewRoman"/>
          <w:noProof/>
          <w:sz w:val="24"/>
        </w:rPr>
        <w:footnoteReference w:id="8"/>
      </w:r>
      <w:r>
        <w:rPr>
          <w:rFonts w:ascii="TimesNewRoman" w:hAnsi="TimesNewRoman"/>
          <w:noProof/>
          <w:sz w:val="24"/>
        </w:rPr>
        <w:t>, ορισμένα από τα υποχρεωτικά στοιχεία που προβλέπονταν στις εν λόγω κατευθυντήριες γραμμές δεν μπορ</w:t>
      </w:r>
      <w:r>
        <w:rPr>
          <w:rFonts w:ascii="TimesNewRoman" w:hAnsi="TimesNewRoman"/>
          <w:noProof/>
          <w:sz w:val="24"/>
        </w:rPr>
        <w:t>ούσαν συνεπώς να ληφθούν υπόψη. Πρώτον, για την αξιολόγηση συγκεντρώθηκαν οι απόψεις των ενδιαφερομένων μερών μέσω στοχευμένης έρευνας και όχι μέσω ανοικτής δημόσιας διαβούλευσης. Δεύτερον, σύμφωνα με τους στόχους του προγράμματος REFIT, στο επίκεντρο τέθη</w:t>
      </w:r>
      <w:r>
        <w:rPr>
          <w:rFonts w:ascii="TimesNewRoman" w:hAnsi="TimesNewRoman"/>
          <w:noProof/>
          <w:sz w:val="24"/>
        </w:rPr>
        <w:t>καν πρωτίστως θέματα που αφορούσαν την αποτελεσματικότητα και την αποδοτικότητα</w:t>
      </w:r>
      <w:r>
        <w:rPr>
          <w:rStyle w:val="FootnoteReference"/>
          <w:rFonts w:ascii="TimesNewRoman" w:hAnsi="TimesNewRoman"/>
          <w:noProof/>
          <w:sz w:val="24"/>
        </w:rPr>
        <w:footnoteReference w:id="9"/>
      </w:r>
      <w:r>
        <w:rPr>
          <w:noProof/>
        </w:rPr>
        <w:t>.</w:t>
      </w:r>
    </w:p>
    <w:p w:rsidR="00EA67B3" w:rsidRDefault="00BD5885">
      <w:pPr>
        <w:pStyle w:val="Heading2"/>
        <w:rPr>
          <w:rFonts w:ascii="Times New Roman" w:hAnsi="Times New Roman"/>
          <w:i w:val="0"/>
          <w:noProof/>
          <w:sz w:val="24"/>
          <w:szCs w:val="24"/>
        </w:rPr>
      </w:pPr>
      <w:r>
        <w:rPr>
          <w:rFonts w:ascii="Times New Roman" w:hAnsi="Times New Roman"/>
          <w:i w:val="0"/>
          <w:noProof/>
          <w:sz w:val="24"/>
          <w:szCs w:val="24"/>
        </w:rPr>
        <w:br/>
      </w:r>
      <w:bookmarkStart w:id="7" w:name="_Toc433017693"/>
      <w:bookmarkStart w:id="8" w:name="_Toc438194053"/>
      <w:r>
        <w:rPr>
          <w:rFonts w:ascii="Times New Roman" w:hAnsi="Times New Roman"/>
          <w:i w:val="0"/>
          <w:noProof/>
          <w:sz w:val="24"/>
        </w:rPr>
        <w:t>3.1 Πεδίο εφαρμογής της αξιολόγησης</w:t>
      </w:r>
      <w:bookmarkEnd w:id="7"/>
      <w:bookmarkEnd w:id="8"/>
    </w:p>
    <w:p w:rsidR="00EA67B3" w:rsidRDefault="00BD5885">
      <w:pPr>
        <w:pStyle w:val="Default"/>
        <w:jc w:val="both"/>
        <w:rPr>
          <w:rFonts w:ascii="Times New Roman" w:eastAsia="Times New Roman" w:hAnsi="Times New Roman"/>
          <w:b/>
          <w:noProof/>
          <w:szCs w:val="20"/>
        </w:rPr>
      </w:pPr>
      <w:r>
        <w:rPr>
          <w:rFonts w:ascii="Times New Roman" w:hAnsi="Times New Roman"/>
          <w:noProof/>
        </w:rPr>
        <w:t>Ως πρώτο βήμα, κατά την αξιολόγηση καταγράφηκαν τα κύρια χαρακτηριστικά των καθεστώτων ειδικού φόρου κατανάλωσης που επιβάλλεται στα βιομ</w:t>
      </w:r>
      <w:r>
        <w:rPr>
          <w:rFonts w:ascii="Times New Roman" w:hAnsi="Times New Roman"/>
          <w:noProof/>
        </w:rPr>
        <w:t>ηχανοποιημένα καπνά, με σημείο αναφοράς τις δύο βασικές οδηγίες για τη ρύθμιση των ειδικών φόρων κατανάλωσης που εφαρμόζονται στα βιομηχανοποιημένα καπνά.</w:t>
      </w:r>
      <w:r>
        <w:rPr>
          <w:rFonts w:ascii="Times New Roman" w:hAnsi="Times New Roman"/>
          <w:noProof/>
          <w:vertAlign w:val="superscript"/>
        </w:rPr>
        <w:footnoteReference w:id="10"/>
      </w:r>
      <w:r>
        <w:rPr>
          <w:rFonts w:ascii="Times New Roman" w:hAnsi="Times New Roman"/>
          <w:noProof/>
        </w:rPr>
        <w:t xml:space="preserve"> Στη συνέχεια επίκεντρο της αξιολόγησης ήταν οι απαντήσεις στις συμφωνηθείσες ερωτήσεις της αξιολόγησ</w:t>
      </w:r>
      <w:r>
        <w:rPr>
          <w:rFonts w:ascii="Times New Roman" w:hAnsi="Times New Roman"/>
          <w:noProof/>
        </w:rPr>
        <w:t xml:space="preserve">ης. Τα συμπεράσματα της αξιολόγησης ομαδοποιούνται με βάση τις εν λόγω ερωτήσεις αξιολόγησης που παρατίθενται στην </w:t>
      </w:r>
      <w:hyperlink w:anchor="_3.3_Results_of" w:history="1">
        <w:r>
          <w:rPr>
            <w:rStyle w:val="Hyperlink"/>
            <w:rFonts w:ascii="Times New Roman" w:hAnsi="Times New Roman"/>
            <w:noProof/>
          </w:rPr>
          <w:t>παράγραφο 3.3</w:t>
        </w:r>
      </w:hyperlink>
      <w:r>
        <w:rPr>
          <w:rFonts w:ascii="Times New Roman" w:hAnsi="Times New Roman"/>
          <w:noProof/>
        </w:rPr>
        <w:t>.</w:t>
      </w:r>
      <w:r>
        <w:rPr>
          <w:noProof/>
        </w:rPr>
        <w:t xml:space="preserve"> </w:t>
      </w:r>
      <w:r>
        <w:rPr>
          <w:rFonts w:ascii="Times New Roman" w:hAnsi="Times New Roman"/>
          <w:noProof/>
        </w:rPr>
        <w:t>Στην αξιολόγηση προσδιορίστηκαν επίσης θέματα που προκύπτουν από τα εν λόγω συμπεράσματα τα</w:t>
      </w:r>
      <w:r>
        <w:rPr>
          <w:rFonts w:ascii="Times New Roman" w:hAnsi="Times New Roman"/>
          <w:noProof/>
        </w:rPr>
        <w:t xml:space="preserve"> οποία εξετάζονται στο </w:t>
      </w:r>
      <w:hyperlink w:anchor="_4._Issues_arising" w:history="1">
        <w:r>
          <w:rPr>
            <w:rStyle w:val="Hyperlink"/>
            <w:rFonts w:ascii="Times New Roman" w:hAnsi="Times New Roman"/>
            <w:noProof/>
          </w:rPr>
          <w:t>τμήμα 4</w:t>
        </w:r>
      </w:hyperlink>
      <w:r>
        <w:rPr>
          <w:rFonts w:ascii="Times New Roman" w:hAnsi="Times New Roman"/>
          <w:noProof/>
        </w:rPr>
        <w:t xml:space="preserve"> της παρούσας έκθεσης.</w:t>
      </w:r>
    </w:p>
    <w:p w:rsidR="00EA67B3" w:rsidRDefault="00EA67B3">
      <w:pPr>
        <w:pStyle w:val="Default"/>
        <w:jc w:val="both"/>
        <w:rPr>
          <w:rFonts w:ascii="Times New Roman" w:eastAsia="Times New Roman" w:hAnsi="Times New Roman"/>
          <w:noProof/>
          <w:szCs w:val="20"/>
        </w:rPr>
      </w:pPr>
    </w:p>
    <w:p w:rsidR="00EA67B3" w:rsidRDefault="00BD5885">
      <w:pPr>
        <w:pStyle w:val="ListBullet"/>
        <w:numPr>
          <w:ilvl w:val="0"/>
          <w:numId w:val="0"/>
        </w:numPr>
        <w:rPr>
          <w:noProof/>
        </w:rPr>
      </w:pPr>
      <w:r>
        <w:rPr>
          <w:noProof/>
        </w:rPr>
        <w:t xml:space="preserve">Ο αντίκτυπος των ελάχιστων συντελεστών στην προστασία της υγείας δεν εμπίπτει στο πεδίο της αξιολόγησης, δεδομένου ότι πολλές αυξήσεις του συνολικού ελάχιστου </w:t>
      </w:r>
      <w:r>
        <w:rPr>
          <w:noProof/>
        </w:rPr>
        <w:t>ειδικού φόρου κατανάλωσης τέθηκαν σε ισχύ πρόσφατα, πράγμα που σημαίνει ότι χρειάζεται περισσότερος χρόνος για να αξιολογηθούν οι εν λόγω επιπτώσεις</w:t>
      </w:r>
      <w:r>
        <w:rPr>
          <w:rStyle w:val="FootnoteReference"/>
          <w:noProof/>
        </w:rPr>
        <w:footnoteReference w:id="11"/>
      </w:r>
      <w:r>
        <w:rPr>
          <w:noProof/>
        </w:rPr>
        <w:t>. Επιπλέον, σε αρκετά κράτη μέλη δόθηκε μεταβατική περίοδος έως την 31η Δεκεμβρίου 2017 ώστε να εισαχθούν ο</w:t>
      </w:r>
      <w:r>
        <w:rPr>
          <w:noProof/>
        </w:rPr>
        <w:t xml:space="preserve">ι ελάχιστοι συντελεστές για τα τσιγάρα. Για τον λεπτοκομμένο καπνό για κάπνισμα, οι σταδιακές αυξήσεις του συνολικού ελάχιστου ειδικού φόρου κατανάλωσης θα επιβληθούν το διάστημα έως την 1η Ιανουαρίου 2020. </w:t>
      </w:r>
    </w:p>
    <w:p w:rsidR="00EA67B3" w:rsidRDefault="00EA67B3">
      <w:pPr>
        <w:rPr>
          <w:noProof/>
        </w:rPr>
      </w:pPr>
    </w:p>
    <w:p w:rsidR="00EA67B3" w:rsidRDefault="00BD5885">
      <w:pPr>
        <w:pStyle w:val="Heading2"/>
        <w:rPr>
          <w:rFonts w:ascii="Times New Roman" w:hAnsi="Times New Roman"/>
          <w:i w:val="0"/>
          <w:noProof/>
          <w:sz w:val="24"/>
          <w:szCs w:val="24"/>
        </w:rPr>
      </w:pPr>
      <w:bookmarkStart w:id="9" w:name="_Toc433017694"/>
      <w:bookmarkStart w:id="10" w:name="_Toc438194054"/>
      <w:r>
        <w:rPr>
          <w:rFonts w:ascii="Times New Roman" w:hAnsi="Times New Roman"/>
          <w:i w:val="0"/>
          <w:noProof/>
          <w:sz w:val="24"/>
        </w:rPr>
        <w:t>3.2 Μεθοδολογία</w:t>
      </w:r>
      <w:bookmarkEnd w:id="9"/>
      <w:bookmarkEnd w:id="10"/>
    </w:p>
    <w:p w:rsidR="00EA67B3" w:rsidRDefault="00BD5885">
      <w:pPr>
        <w:pStyle w:val="Default"/>
        <w:jc w:val="both"/>
        <w:rPr>
          <w:rFonts w:ascii="Times New Roman" w:eastAsia="Times New Roman" w:hAnsi="Times New Roman"/>
          <w:noProof/>
          <w:szCs w:val="20"/>
        </w:rPr>
      </w:pPr>
      <w:r>
        <w:rPr>
          <w:rFonts w:ascii="Times New Roman" w:hAnsi="Times New Roman"/>
          <w:noProof/>
        </w:rPr>
        <w:t>Η αξιολόγηση διενεργήθηκε σε τρ</w:t>
      </w:r>
      <w:r>
        <w:rPr>
          <w:rFonts w:ascii="Times New Roman" w:hAnsi="Times New Roman"/>
          <w:noProof/>
        </w:rPr>
        <w:t xml:space="preserve">εις φάσεις: σχεδιασμός, συγκέντρωση και ανάλυση δεδομένων. Κατά τη φάση της συγκέντρωσης δεδομένων, εστάλη ερωτηματολόγιο τόσο στα κράτη μέλη όσο και στους οικονομικούς φορείς. Στο ερωτηματολόγιο απάντησαν 27 κράτη μέλη και 48 οικονομικοί φορείς. Μετά την </w:t>
      </w:r>
      <w:r>
        <w:rPr>
          <w:rFonts w:ascii="Times New Roman" w:hAnsi="Times New Roman"/>
          <w:noProof/>
        </w:rPr>
        <w:t>παραλαβή των απαντήσεων ακολούθησαν τηλεφωνική επικοινωνία και προσωπικές συνεντεύξεις. Επιπλέον, σε 7 επιλεγμένα κράτη μέλη πραγματοποιήθηκαν περιπτωσιολογικές μελέτες</w:t>
      </w:r>
      <w:r>
        <w:rPr>
          <w:rStyle w:val="FootnoteReference"/>
          <w:rFonts w:ascii="Times New Roman" w:hAnsi="Times New Roman"/>
          <w:noProof/>
        </w:rPr>
        <w:footnoteReference w:id="12"/>
      </w:r>
      <w:r>
        <w:rPr>
          <w:noProof/>
        </w:rPr>
        <w:t>.</w:t>
      </w:r>
      <w:r>
        <w:rPr>
          <w:rFonts w:ascii="Times New Roman" w:hAnsi="Times New Roman"/>
          <w:noProof/>
        </w:rPr>
        <w:t xml:space="preserve"> Επίσης, σε αυτό το στάδιο, πραγματοποιήθηκε έρευνα τεκμηρίωσης και ανάλυσης της σχετι</w:t>
      </w:r>
      <w:r>
        <w:rPr>
          <w:rFonts w:ascii="Times New Roman" w:hAnsi="Times New Roman"/>
          <w:noProof/>
        </w:rPr>
        <w:t xml:space="preserve">κής βιβλιογραφίας. Επιπλέον, διενεργήθηκε επίσης ποιοτική ανάλυση της κείμενης νομοθεσίας, μελετών και της οικονομικής βιβλιογραφίας, καθώς και ανάλυση των διαθέσιμων οικονομικών στοιχείων. </w:t>
      </w:r>
    </w:p>
    <w:p w:rsidR="00EA67B3" w:rsidRDefault="00EA67B3">
      <w:pPr>
        <w:pStyle w:val="Default"/>
        <w:jc w:val="both"/>
        <w:rPr>
          <w:rFonts w:ascii="Times New Roman" w:eastAsia="Times New Roman" w:hAnsi="Times New Roman"/>
          <w:noProof/>
          <w:szCs w:val="20"/>
        </w:rPr>
      </w:pPr>
    </w:p>
    <w:p w:rsidR="00EA67B3" w:rsidRDefault="00BD5885">
      <w:pPr>
        <w:pStyle w:val="Default"/>
        <w:jc w:val="both"/>
        <w:rPr>
          <w:rFonts w:ascii="Times New Roman" w:eastAsia="Times New Roman" w:hAnsi="Times New Roman"/>
          <w:noProof/>
          <w:szCs w:val="20"/>
        </w:rPr>
      </w:pPr>
      <w:r>
        <w:rPr>
          <w:rFonts w:ascii="Times New Roman" w:hAnsi="Times New Roman"/>
          <w:noProof/>
        </w:rPr>
        <w:t xml:space="preserve">Βάσει των απαντήσεων στο ερωτηματολόγιο, η ανάδοχος κοινοπραξία </w:t>
      </w:r>
      <w:r>
        <w:rPr>
          <w:rFonts w:ascii="Times New Roman" w:hAnsi="Times New Roman"/>
          <w:noProof/>
        </w:rPr>
        <w:t>εντόπισε τις ορθές πρακτικές καθώς και τα προβλήματα. Στο τρίτο στάδιο, η ανάδοχος κοινοπραξία ανέλυσε και συνέκρινε τις διάφορες απαντήσεις και κατάρτισε κατάλογο με τα προβλήματα που αντιμετωπίζουν οι φορολογικές αρχές και οι οικονομικοί φορείς. Τέλος, κ</w:t>
      </w:r>
      <w:r>
        <w:rPr>
          <w:rFonts w:ascii="Times New Roman" w:hAnsi="Times New Roman"/>
          <w:noProof/>
        </w:rPr>
        <w:t xml:space="preserve">αταρτίστηκε δέσμη συστάσεων για την αντιμετώπιση των προβλημάτων που εντοπίστηκαν. </w:t>
      </w:r>
    </w:p>
    <w:p w:rsidR="00EA67B3" w:rsidRDefault="00EA67B3">
      <w:pPr>
        <w:pStyle w:val="Default"/>
        <w:jc w:val="both"/>
        <w:rPr>
          <w:rFonts w:ascii="Times New Roman" w:eastAsia="Times New Roman" w:hAnsi="Times New Roman"/>
          <w:noProof/>
          <w:szCs w:val="20"/>
        </w:rPr>
      </w:pPr>
    </w:p>
    <w:p w:rsidR="00EA67B3" w:rsidRDefault="00EA67B3">
      <w:pPr>
        <w:pStyle w:val="ListBullet"/>
        <w:numPr>
          <w:ilvl w:val="0"/>
          <w:numId w:val="0"/>
        </w:numPr>
        <w:ind w:left="283"/>
        <w:rPr>
          <w:noProof/>
        </w:rPr>
      </w:pPr>
    </w:p>
    <w:p w:rsidR="00EA67B3" w:rsidRDefault="00BD5885">
      <w:pPr>
        <w:pStyle w:val="Heading2"/>
        <w:rPr>
          <w:rFonts w:ascii="Times New Roman" w:hAnsi="Times New Roman"/>
          <w:i w:val="0"/>
          <w:noProof/>
          <w:sz w:val="24"/>
          <w:szCs w:val="24"/>
        </w:rPr>
      </w:pPr>
      <w:bookmarkStart w:id="11" w:name="_3.3_Results_of"/>
      <w:bookmarkStart w:id="12" w:name="_Toc433017695"/>
      <w:bookmarkStart w:id="13" w:name="_Toc438194055"/>
      <w:bookmarkEnd w:id="11"/>
      <w:r>
        <w:rPr>
          <w:rFonts w:ascii="Times New Roman" w:hAnsi="Times New Roman"/>
          <w:i w:val="0"/>
          <w:smallCaps/>
          <w:noProof/>
          <w:sz w:val="24"/>
        </w:rPr>
        <w:t xml:space="preserve">3.3 </w:t>
      </w:r>
      <w:r>
        <w:rPr>
          <w:rFonts w:ascii="Times New Roman" w:hAnsi="Times New Roman"/>
          <w:i w:val="0"/>
          <w:noProof/>
          <w:sz w:val="24"/>
        </w:rPr>
        <w:t>Αποτελέσματα της αξιολόγησης</w:t>
      </w:r>
      <w:bookmarkEnd w:id="12"/>
      <w:bookmarkEnd w:id="13"/>
    </w:p>
    <w:p w:rsidR="00EA67B3" w:rsidRDefault="00BD5885">
      <w:pPr>
        <w:spacing w:line="240" w:lineRule="auto"/>
        <w:jc w:val="both"/>
        <w:rPr>
          <w:rFonts w:ascii="Times New Roman" w:eastAsia="Times New Roman" w:hAnsi="Times New Roman"/>
          <w:b/>
          <w:noProof/>
          <w:sz w:val="24"/>
          <w:szCs w:val="24"/>
        </w:rPr>
      </w:pPr>
      <w:r>
        <w:rPr>
          <w:rFonts w:ascii="Times New Roman" w:hAnsi="Times New Roman"/>
          <w:b/>
          <w:noProof/>
          <w:sz w:val="24"/>
        </w:rPr>
        <w:t xml:space="preserve">3.3.1 Σε ποιο βαθμό το υφιστάμενο καθεστώς του ειδικού φόρου κατανάλωσης στα προϊόντα καπνού διασφαλίζει την εύρυθμη λειτουργία της </w:t>
      </w:r>
      <w:r>
        <w:rPr>
          <w:rFonts w:ascii="Times New Roman" w:hAnsi="Times New Roman"/>
          <w:b/>
          <w:noProof/>
          <w:sz w:val="24"/>
        </w:rPr>
        <w:t>εσωτερικής αγοράς και την αποφυγή στρεβλώσεων στον ανταγωνισμό;</w:t>
      </w:r>
    </w:p>
    <w:p w:rsidR="00EA67B3" w:rsidRDefault="00BD5885">
      <w:pPr>
        <w:spacing w:line="240" w:lineRule="auto"/>
        <w:jc w:val="both"/>
        <w:rPr>
          <w:rFonts w:ascii="Times New Roman" w:eastAsia="Times New Roman" w:hAnsi="Times New Roman"/>
          <w:noProof/>
          <w:sz w:val="24"/>
          <w:szCs w:val="24"/>
        </w:rPr>
      </w:pPr>
      <w:r>
        <w:rPr>
          <w:rFonts w:ascii="Times New Roman" w:hAnsi="Times New Roman"/>
          <w:noProof/>
          <w:sz w:val="24"/>
        </w:rPr>
        <w:t>Διαπιστώθηκε ότι η εφαρμογή του</w:t>
      </w:r>
      <w:r>
        <w:rPr>
          <w:rFonts w:ascii="Times New Roman" w:hAnsi="Times New Roman"/>
          <w:noProof/>
        </w:rPr>
        <w:t xml:space="preserve"> ελάχιστου ειδικού φόρου κατανάλωσης (ΕΕΦΚ)</w:t>
      </w:r>
      <w:r>
        <w:rPr>
          <w:rStyle w:val="FootnoteReference"/>
          <w:rFonts w:ascii="Times New Roman" w:hAnsi="Times New Roman"/>
          <w:noProof/>
        </w:rPr>
        <w:footnoteReference w:id="13"/>
      </w:r>
      <w:r>
        <w:rPr>
          <w:rFonts w:ascii="Times New Roman" w:hAnsi="Times New Roman"/>
          <w:noProof/>
          <w:sz w:val="24"/>
        </w:rPr>
        <w:t xml:space="preserve">, η μη συνεπής αντιμετώπιση των ηλεκτρονικών τσιγάρων και ορισμένων βιομηχανοποιημένων προϊόντων καπνού και η χρήση, </w:t>
      </w:r>
      <w:r>
        <w:rPr>
          <w:rFonts w:ascii="Times New Roman" w:hAnsi="Times New Roman"/>
          <w:noProof/>
          <w:sz w:val="24"/>
        </w:rPr>
        <w:t>εξαιτίας της φορολόγησης, υποκατάστατων μεταξύ και εντός ομάδων προϊόντων προκαλούν στρεβλώσεις στην εσωτερική αγορά. Μολονότι τα μη εναρμονισμένα μέτρα κατά της τακτικής συσσώρευσης αποθεμάτων πριν από την αύξηση των φόρων μπορεί επίσης να επηρεάσουν αρνη</w:t>
      </w:r>
      <w:r>
        <w:rPr>
          <w:rFonts w:ascii="Times New Roman" w:hAnsi="Times New Roman"/>
          <w:noProof/>
          <w:sz w:val="24"/>
        </w:rPr>
        <w:t>τικά την εύρυθμη λειτουργία της εσωτερικής αγοράς, η εναρμόνιση στους εν λόγω τομείς δεν θεωρείται ούτε εφικτή ούτε επιθυμητή από τις φορολογικές αρχές. Εκτός από αυτές τις εξαιρέσεις, κατά την αξιολόγηση διαπιστώθηκε ότι η σημερινή διάρθρωση και το σημερι</w:t>
      </w:r>
      <w:r>
        <w:rPr>
          <w:rFonts w:ascii="Times New Roman" w:hAnsi="Times New Roman"/>
          <w:noProof/>
          <w:sz w:val="24"/>
        </w:rPr>
        <w:t>νό επίπεδο των συντελεστών επιτρέπουν γενικά τη διασφάλιση ουδέτερων συνθηκών ανταγωνισμού και την ελεύθερη διαμόρφωση των τιμών εντός της εσωτερικής αγοράς.</w:t>
      </w:r>
    </w:p>
    <w:p w:rsidR="00EA67B3" w:rsidRDefault="00BD5885">
      <w:pPr>
        <w:spacing w:line="240" w:lineRule="auto"/>
        <w:jc w:val="both"/>
        <w:rPr>
          <w:rFonts w:ascii="Times New Roman" w:eastAsia="Times New Roman" w:hAnsi="Times New Roman"/>
          <w:noProof/>
          <w:sz w:val="24"/>
          <w:szCs w:val="24"/>
        </w:rPr>
      </w:pPr>
      <w:r>
        <w:rPr>
          <w:rFonts w:ascii="Times New Roman" w:hAnsi="Times New Roman"/>
          <w:noProof/>
          <w:sz w:val="24"/>
        </w:rPr>
        <w:t>Ο αντίκτυπος των παρεκκλίσεων και των εξαιρέσεων που επιτρέπονται από την ισχύουσα οδηγία περί δια</w:t>
      </w:r>
      <w:r>
        <w:rPr>
          <w:rFonts w:ascii="Times New Roman" w:hAnsi="Times New Roman"/>
          <w:noProof/>
          <w:sz w:val="24"/>
        </w:rPr>
        <w:t>συνοριακών αγοραπωλησιών και παράνομου εμπορίου είναι περιορισμένος. Επιπροσθέτως, δεν βρέθηκαν σαφείς αποδείξεις που να καταδεικνύουν ότι οι αλλαγές στα επίπεδα του ειδικού φόρου κατανάλωσης επί του καπνού που τέθηκαν σε ισχύ οδήγησαν σε αλλαγές στη μορφή</w:t>
      </w:r>
      <w:r>
        <w:rPr>
          <w:rFonts w:ascii="Times New Roman" w:hAnsi="Times New Roman"/>
          <w:noProof/>
          <w:sz w:val="24"/>
        </w:rPr>
        <w:t xml:space="preserve"> του εμπορίου. </w:t>
      </w:r>
    </w:p>
    <w:p w:rsidR="00EA67B3" w:rsidRDefault="00EA67B3">
      <w:pPr>
        <w:spacing w:after="0" w:line="240" w:lineRule="auto"/>
        <w:jc w:val="both"/>
        <w:rPr>
          <w:rFonts w:ascii="Times New Roman" w:eastAsia="Times New Roman" w:hAnsi="Times New Roman"/>
          <w:b/>
          <w:i/>
          <w:noProof/>
          <w:sz w:val="24"/>
          <w:szCs w:val="24"/>
        </w:rPr>
      </w:pPr>
    </w:p>
    <w:p w:rsidR="00EA67B3" w:rsidRDefault="00BD5885">
      <w:pPr>
        <w:spacing w:after="0" w:line="240" w:lineRule="auto"/>
        <w:jc w:val="both"/>
        <w:rPr>
          <w:rFonts w:ascii="Times New Roman" w:eastAsia="Times New Roman" w:hAnsi="Times New Roman"/>
          <w:b/>
          <w:noProof/>
          <w:sz w:val="24"/>
          <w:szCs w:val="24"/>
        </w:rPr>
      </w:pPr>
      <w:r>
        <w:rPr>
          <w:rFonts w:ascii="Times New Roman" w:hAnsi="Times New Roman"/>
          <w:b/>
          <w:noProof/>
          <w:sz w:val="24"/>
        </w:rPr>
        <w:t>3.3.2 Σε ποιο βαθμό το υφιστάμενο καθεστώς ειδικού φόρου κατανάλωσης στα προϊόντα καπνού εφαρμόζεται με αποδοτικό τρόπο;</w:t>
      </w:r>
    </w:p>
    <w:p w:rsidR="00EA67B3" w:rsidRDefault="00EA67B3">
      <w:pPr>
        <w:spacing w:after="0" w:line="240" w:lineRule="auto"/>
        <w:jc w:val="both"/>
        <w:rPr>
          <w:rFonts w:ascii="Times New Roman" w:eastAsia="Times New Roman" w:hAnsi="Times New Roman"/>
          <w:i/>
          <w:noProof/>
          <w:sz w:val="24"/>
          <w:szCs w:val="24"/>
        </w:rPr>
      </w:pPr>
    </w:p>
    <w:p w:rsidR="00EA67B3" w:rsidRDefault="00BD5885">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Όσον αφορά τις διοικητικές δαπάνες και τις δαπάνες συμμόρφωσης που βαρύνουν τις φορολογικές αρχές και τους </w:t>
      </w:r>
      <w:r>
        <w:rPr>
          <w:rFonts w:ascii="Times New Roman" w:hAnsi="Times New Roman"/>
          <w:noProof/>
          <w:sz w:val="24"/>
        </w:rPr>
        <w:t>οικονομικούς φορείς, οι μεγαλύτερες αρνητικές επιπτώσεις οφείλονται στις αποκλίσεις μεταξύ των ορισμών του ειδικού φόρου κατανάλωσης και της κατάταξης της Συνδυασμένης Ονοματολογίας (ΣΟ) για τελωνειακούς σκοπούς, καθώς και στη νομική αβεβαιότητα όσον αφορά</w:t>
      </w:r>
      <w:r>
        <w:rPr>
          <w:rFonts w:ascii="Times New Roman" w:hAnsi="Times New Roman"/>
          <w:noProof/>
          <w:sz w:val="24"/>
        </w:rPr>
        <w:t xml:space="preserve"> την αντιμετώπιση ορισμένων προϊόντων (συμπεριλαμβανομένων των δικαστικών διαφορών). Παρόλο που το κόστος της νομικής αβεβαιότητας είναι γενικά σχετικά χαμηλό, δεδομένου ότι συχνά αφορά προϊόντα εξειδικευμένου τμήματος της αγοράς, ο αντίκτυπος για τον φορέ</w:t>
      </w:r>
      <w:r>
        <w:rPr>
          <w:rFonts w:ascii="Times New Roman" w:hAnsi="Times New Roman"/>
          <w:noProof/>
          <w:sz w:val="24"/>
        </w:rPr>
        <w:t>α ή την φορολογική αρχή θεωρείται δυνητικά σημαντικός.</w:t>
      </w:r>
    </w:p>
    <w:p w:rsidR="00EA67B3" w:rsidRDefault="00EA67B3">
      <w:pPr>
        <w:spacing w:after="0" w:line="240" w:lineRule="auto"/>
        <w:jc w:val="both"/>
        <w:rPr>
          <w:rFonts w:ascii="Times New Roman" w:eastAsia="Times New Roman" w:hAnsi="Times New Roman"/>
          <w:noProof/>
          <w:sz w:val="24"/>
          <w:szCs w:val="24"/>
        </w:rPr>
      </w:pPr>
    </w:p>
    <w:p w:rsidR="00EA67B3" w:rsidRDefault="00EA67B3">
      <w:pPr>
        <w:spacing w:after="0" w:line="240" w:lineRule="auto"/>
        <w:jc w:val="both"/>
        <w:rPr>
          <w:rFonts w:ascii="Times New Roman" w:eastAsia="Times New Roman" w:hAnsi="Times New Roman"/>
          <w:b/>
          <w:i/>
          <w:noProof/>
          <w:sz w:val="24"/>
          <w:szCs w:val="24"/>
        </w:rPr>
      </w:pPr>
    </w:p>
    <w:p w:rsidR="00EA67B3" w:rsidRDefault="00BD5885">
      <w:pPr>
        <w:spacing w:after="0" w:line="240" w:lineRule="auto"/>
        <w:jc w:val="both"/>
        <w:rPr>
          <w:rFonts w:ascii="Times New Roman" w:eastAsia="Times New Roman" w:hAnsi="Times New Roman"/>
          <w:b/>
          <w:noProof/>
          <w:sz w:val="24"/>
          <w:szCs w:val="24"/>
        </w:rPr>
      </w:pPr>
      <w:r>
        <w:rPr>
          <w:rFonts w:ascii="Times New Roman" w:hAnsi="Times New Roman"/>
          <w:b/>
          <w:noProof/>
          <w:sz w:val="24"/>
        </w:rPr>
        <w:t>3.3.3 Σε ποιο βαθμό το υφιστάμενο καθεστώς ειδικού φόρου κατανάλωσης στα προϊόντα καπνού διασφαλίζει τους δημοσιονομικούς στόχους των κρατών μελών;</w:t>
      </w:r>
    </w:p>
    <w:p w:rsidR="00EA67B3" w:rsidRDefault="00EA67B3">
      <w:pPr>
        <w:spacing w:after="0" w:line="240" w:lineRule="auto"/>
        <w:jc w:val="both"/>
        <w:rPr>
          <w:rFonts w:ascii="Times New Roman" w:eastAsia="Times New Roman" w:hAnsi="Times New Roman"/>
          <w:noProof/>
          <w:sz w:val="24"/>
          <w:szCs w:val="24"/>
        </w:rPr>
      </w:pPr>
    </w:p>
    <w:p w:rsidR="00EA67B3" w:rsidRDefault="00BD5885">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Σε γενικές γραμμές, οι ορισμοί των άρθρων 2 έως 5 </w:t>
      </w:r>
      <w:r>
        <w:rPr>
          <w:rFonts w:ascii="Times New Roman" w:hAnsi="Times New Roman"/>
          <w:noProof/>
          <w:sz w:val="24"/>
        </w:rPr>
        <w:t xml:space="preserve">της οδηγίας 2011/64/ΕΕ είναι αποτελεσματικοί για την ορθή είσπραξη των ειδικών φόρων κατανάλωσης. Αντιθέτως, οι ορισμοί υπολείπονται όσον αφορά την παρακολούθηση της κυκλοφορίας και την κατοχή βιομηχανοποιημένων καπνών. </w:t>
      </w:r>
    </w:p>
    <w:p w:rsidR="00EA67B3" w:rsidRDefault="00EA67B3">
      <w:pPr>
        <w:spacing w:after="0" w:line="240" w:lineRule="auto"/>
        <w:jc w:val="both"/>
        <w:rPr>
          <w:rFonts w:ascii="Times New Roman" w:eastAsia="Times New Roman" w:hAnsi="Times New Roman"/>
          <w:noProof/>
          <w:sz w:val="24"/>
          <w:szCs w:val="24"/>
        </w:rPr>
      </w:pPr>
    </w:p>
    <w:p w:rsidR="00EA67B3" w:rsidRDefault="00EA67B3">
      <w:pPr>
        <w:spacing w:after="0" w:line="240" w:lineRule="auto"/>
        <w:jc w:val="both"/>
        <w:rPr>
          <w:rFonts w:ascii="Times New Roman" w:eastAsia="Times New Roman" w:hAnsi="Times New Roman"/>
          <w:noProof/>
          <w:sz w:val="24"/>
          <w:szCs w:val="24"/>
        </w:rPr>
      </w:pPr>
    </w:p>
    <w:p w:rsidR="00EA67B3" w:rsidRDefault="00BD5885">
      <w:pPr>
        <w:pStyle w:val="Heading2"/>
        <w:rPr>
          <w:rFonts w:ascii="Times New Roman" w:hAnsi="Times New Roman"/>
          <w:i w:val="0"/>
          <w:smallCaps/>
          <w:noProof/>
          <w:sz w:val="24"/>
          <w:szCs w:val="24"/>
        </w:rPr>
      </w:pPr>
      <w:bookmarkStart w:id="14" w:name="_Toc433017696"/>
      <w:bookmarkStart w:id="15" w:name="_Toc438194056"/>
      <w:r>
        <w:rPr>
          <w:rFonts w:ascii="Times New Roman" w:hAnsi="Times New Roman"/>
          <w:i w:val="0"/>
          <w:smallCaps/>
          <w:noProof/>
          <w:sz w:val="24"/>
        </w:rPr>
        <w:t xml:space="preserve">3.4 </w:t>
      </w:r>
      <w:r>
        <w:rPr>
          <w:rFonts w:ascii="Times New Roman" w:hAnsi="Times New Roman"/>
          <w:i w:val="0"/>
          <w:noProof/>
          <w:sz w:val="24"/>
        </w:rPr>
        <w:t>Ανάδραση των ενδιαφερομένων μ</w:t>
      </w:r>
      <w:r>
        <w:rPr>
          <w:rFonts w:ascii="Times New Roman" w:hAnsi="Times New Roman"/>
          <w:i w:val="0"/>
          <w:noProof/>
          <w:sz w:val="24"/>
        </w:rPr>
        <w:t>ερών στην αξιολόγηση</w:t>
      </w:r>
      <w:bookmarkEnd w:id="14"/>
      <w:bookmarkEnd w:id="15"/>
    </w:p>
    <w:p w:rsidR="00EA67B3" w:rsidRDefault="00BD5885">
      <w:pPr>
        <w:pStyle w:val="Default"/>
        <w:jc w:val="both"/>
        <w:rPr>
          <w:rFonts w:ascii="Times New Roman" w:hAnsi="Times New Roman" w:cs="Times New Roman"/>
          <w:noProof/>
        </w:rPr>
      </w:pPr>
      <w:r>
        <w:rPr>
          <w:rFonts w:ascii="Times New Roman" w:hAnsi="Times New Roman"/>
          <w:noProof/>
        </w:rPr>
        <w:t>Η συντονιστική ομάδα που ήταν υπεύθυνη για την εποπτεία της αξιολόγησης κάλεσε τα ενδιαφερόμενα μέρη να παρουσιάσουν τις απόψεις τους σχετικά με τα συμπεράσματα σε συνεδρίαση που διοργανώθηκε στις Βρυξέλλες στις 6 Ιουνίου 2014. Κλήθηκα</w:t>
      </w:r>
      <w:r>
        <w:rPr>
          <w:rFonts w:ascii="Times New Roman" w:hAnsi="Times New Roman"/>
          <w:noProof/>
        </w:rPr>
        <w:t xml:space="preserve">ν όλα τα ενδιαφερόμενα μέρη, συμπεριλαμβανομένων των αρχών των κρατών μελών, των οικονομικών παραγόντων, των ενώσεων προστασίας της υγείας και των ενώσεων καταναλωτών. Μετά τη συνεδρίαση η Επιτροπή έλαβε γραπτώς ανατροφοδότηση από 3 κράτη μέλη, 12 ενώσεις </w:t>
      </w:r>
      <w:r>
        <w:rPr>
          <w:rFonts w:ascii="Times New Roman" w:hAnsi="Times New Roman"/>
          <w:noProof/>
        </w:rPr>
        <w:t xml:space="preserve">ή ομοσπονδίες που εκπροσωπούν οικονομικούς παράγοντες και ένα δίκτυο Μη Κυβερνητικών Οργανώσεων (ΜΚΟ) που δραστηριοποιούνται στον τομέα της δημόσιας υγείας στην Ευρώπη.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Οι παρατηρήσεις που υποβλήθηκαν ήταν ποικίλες ως προς τη φύση τους. Σε γενικές γραμμέ</w:t>
      </w:r>
      <w:r>
        <w:rPr>
          <w:rFonts w:ascii="Times New Roman" w:hAnsi="Times New Roman"/>
          <w:noProof/>
        </w:rPr>
        <w:t>ς, οι διαπιστώσεις της αξιολόγησης έτυχαν μεγαλύτερης στήριξης σε σύγκριση με τις συστάσεις. Κατά τη γνώμη των περισσότερων ενδιαφερόμενων, οι συστάσεις χρειάζεται να υποβληθούν σε περαιτέρω ανάλυση. Εκτός από τη στήριξη ορισμένων διαπιστώσεων, υποβλήθηκαν</w:t>
      </w:r>
      <w:r>
        <w:rPr>
          <w:rFonts w:ascii="Times New Roman" w:hAnsi="Times New Roman"/>
          <w:noProof/>
        </w:rPr>
        <w:t xml:space="preserve"> πολλές ερωτήσεις σχετικά με τη μεθοδολογία και τη χρήση δεδομένων.</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Εκφράστηκαν ανησυχίες σχετικά με την υπερεκπροσώπηση ορισμένων ενδιαφερομένων μερών, γεγονός που επηρεάζει το συνολικό μέγεθος των δεδομένων. Κάποιοι από τους ενδιαφερόμενους είχαν επιφορ</w:t>
      </w:r>
      <w:r>
        <w:rPr>
          <w:rFonts w:ascii="Times New Roman" w:hAnsi="Times New Roman"/>
          <w:noProof/>
        </w:rPr>
        <w:t xml:space="preserve">τίσει έναν κεντρικό φορέα να απαντήσει στο ερωτηματολόγιο, ενώ άλλοι ζήτησαν από διάφορους εθνικούς φορείς να απαντήσουν χωριστά. Αυτό ελήφθη υπόψη από την εξωτερική ανάδοχο κοινοπραξία και έγιναν οι σχετικές προσαρμογές.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Υποβλήθηκαν διάφορες κρίσιμης ση</w:t>
      </w:r>
      <w:r>
        <w:rPr>
          <w:rFonts w:ascii="Times New Roman" w:hAnsi="Times New Roman"/>
          <w:noProof/>
        </w:rPr>
        <w:t>μασίας παρατηρήσεις σχετικά με τον υπολογισμό της ελαστικότητας της ζήτησης ως προς την τιμή και υποθέσεις σχετικά με τον όγκο του παράνομου εμπορίου, καθώς και την επιλογή να χρησιμοποιούνται δεδομένα του Euromonitor. Η εξωτερική ανάδοχος κοινοπραξία διαβ</w:t>
      </w:r>
      <w:r>
        <w:rPr>
          <w:rFonts w:ascii="Times New Roman" w:hAnsi="Times New Roman"/>
          <w:noProof/>
        </w:rPr>
        <w:t xml:space="preserve">εβαίωσε ότι στην τελική δημοσίευση θα συμπεριληφθούν διευκρινίσεις για τα εν λόγω θέματα.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 xml:space="preserve">Ορισμένοι θεώρησαν ότι η αξιολόγηση θα έπρεπε επίσης να είχε επικεντρωθεί στις υγειονομικές πτυχές της κατανάλωσης καπνού και στη φορολογία. Ωστόσο, αυτό κρίθηκε πρόωρο, διότι θα σήμαινε ότι λαμβάνεται υπόψη ο αντίκτυπος της νέας </w:t>
      </w:r>
      <w:hyperlink r:id="rId17">
        <w:r>
          <w:rPr>
            <w:rStyle w:val="Hyperlink"/>
            <w:rFonts w:ascii="Times New Roman" w:hAnsi="Times New Roman"/>
            <w:noProof/>
          </w:rPr>
          <w:t>οδηγίας για τα προϊόντα καπνού</w:t>
        </w:r>
      </w:hyperlink>
      <w:r>
        <w:rPr>
          <w:rFonts w:ascii="Times New Roman" w:hAnsi="Times New Roman"/>
          <w:noProof/>
        </w:rPr>
        <w:t>2014/40/ΕΕ</w:t>
      </w:r>
      <w:r>
        <w:rPr>
          <w:rStyle w:val="FootnoteReference"/>
          <w:rFonts w:ascii="Times New Roman" w:hAnsi="Times New Roman"/>
          <w:noProof/>
        </w:rPr>
        <w:footnoteReference w:id="14"/>
      </w:r>
      <w:r>
        <w:rPr>
          <w:rFonts w:ascii="Times New Roman" w:hAnsi="Times New Roman"/>
          <w:noProof/>
        </w:rPr>
        <w:t xml:space="preserve">, η οποία πρέπει να τεθεί σε εφαρμογή έως τον Μάιο του 2016. Εν πάση περιπτώσει, η νέα οδηγία για τα προϊόντα καπνού δεν είχε ακόμη εγκριθεί κατά τον χρόνο διεξαγωγής των βασικών εργασιών αξιολόγησης.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 xml:space="preserve">Εκτός από την ανατροφοδότηση σχετικά με το εύρος και </w:t>
      </w:r>
      <w:r>
        <w:rPr>
          <w:rFonts w:ascii="Times New Roman" w:hAnsi="Times New Roman"/>
          <w:noProof/>
        </w:rPr>
        <w:t xml:space="preserve">τη μεθοδολογία της αξιολόγησης, παρασχέθηκε επίσης ανατροφοδότηση σχετικά με τις συστάσεις της αξιολόγησης (βλέπε επίσης </w:t>
      </w:r>
      <w:hyperlink w:anchor="_5.2_Recommendations" w:history="1">
        <w:r>
          <w:rPr>
            <w:rStyle w:val="Hyperlink"/>
            <w:rFonts w:ascii="Times New Roman" w:hAnsi="Times New Roman"/>
            <w:noProof/>
          </w:rPr>
          <w:t>παράγραφο 5.2</w:t>
        </w:r>
      </w:hyperlink>
      <w:r>
        <w:rPr>
          <w:rFonts w:ascii="Times New Roman" w:hAnsi="Times New Roman"/>
          <w:noProof/>
        </w:rPr>
        <w:t>:</w:t>
      </w:r>
    </w:p>
    <w:p w:rsidR="00EA67B3" w:rsidRDefault="00EA67B3">
      <w:pPr>
        <w:pStyle w:val="Default"/>
        <w:jc w:val="both"/>
        <w:rPr>
          <w:rFonts w:ascii="Times New Roman" w:hAnsi="Times New Roman" w:cs="Times New Roman"/>
          <w:noProof/>
        </w:rPr>
      </w:pPr>
    </w:p>
    <w:p w:rsidR="00EA67B3" w:rsidRDefault="00BD5885">
      <w:pPr>
        <w:pStyle w:val="Default"/>
        <w:numPr>
          <w:ilvl w:val="0"/>
          <w:numId w:val="2"/>
        </w:numPr>
        <w:jc w:val="both"/>
        <w:rPr>
          <w:rFonts w:ascii="Times New Roman" w:hAnsi="Times New Roman" w:cs="Times New Roman"/>
          <w:noProof/>
        </w:rPr>
      </w:pPr>
      <w:r>
        <w:rPr>
          <w:rFonts w:ascii="Times New Roman" w:hAnsi="Times New Roman"/>
          <w:noProof/>
        </w:rPr>
        <w:t>Ορισμένοι από τους ερωτηθέντες εξέφρασαν την άποψη ότι η σύσταση να εξεταστεί η</w:t>
      </w:r>
      <w:r>
        <w:rPr>
          <w:rFonts w:ascii="Times New Roman" w:hAnsi="Times New Roman"/>
          <w:noProof/>
        </w:rPr>
        <w:t xml:space="preserve"> εναρμόνιση των ελάχιστων συντελεστών για τα πούρα και τα πουράκια με τους συντελεστές των τσιγάρων θα είχε δυσανάλογο αποτέλεσμα. </w:t>
      </w:r>
    </w:p>
    <w:p w:rsidR="00EA67B3" w:rsidRDefault="00BD5885">
      <w:pPr>
        <w:pStyle w:val="Default"/>
        <w:numPr>
          <w:ilvl w:val="0"/>
          <w:numId w:val="2"/>
        </w:numPr>
        <w:jc w:val="both"/>
        <w:rPr>
          <w:rFonts w:ascii="Times New Roman" w:hAnsi="Times New Roman" w:cs="Times New Roman"/>
          <w:noProof/>
        </w:rPr>
      </w:pPr>
      <w:r>
        <w:rPr>
          <w:rFonts w:ascii="Times New Roman" w:hAnsi="Times New Roman"/>
          <w:noProof/>
        </w:rPr>
        <w:t>Άλλοι δεν είχαν πειστεί ότι η ενσωμάτωση του ακατέργαστου καπνού στο πεδίο εφαρμογής των διατάξεων περί κατοχής και διακίνησ</w:t>
      </w:r>
      <w:r>
        <w:rPr>
          <w:rFonts w:ascii="Times New Roman" w:hAnsi="Times New Roman"/>
          <w:noProof/>
        </w:rPr>
        <w:t xml:space="preserve">ης βιομηχανοποιημένων καπνών θα επιλύσει τα προβλήματα που εντοπίστηκαν. </w:t>
      </w:r>
    </w:p>
    <w:p w:rsidR="00EA67B3" w:rsidRDefault="00BD5885">
      <w:pPr>
        <w:pStyle w:val="Default"/>
        <w:numPr>
          <w:ilvl w:val="0"/>
          <w:numId w:val="2"/>
        </w:numPr>
        <w:jc w:val="both"/>
        <w:rPr>
          <w:rFonts w:ascii="Times New Roman" w:hAnsi="Times New Roman" w:cs="Times New Roman"/>
          <w:noProof/>
        </w:rPr>
      </w:pPr>
      <w:r>
        <w:rPr>
          <w:rFonts w:ascii="Times New Roman" w:hAnsi="Times New Roman"/>
          <w:noProof/>
        </w:rPr>
        <w:t>Ορισμένοι εξέφρασαν την άποψη ότι δεν θα ήταν σκόπιμο να προταθεί η εξάλειψη των αποκλίσεων μεταξύ των κατηγοριών του ειδικού φόρου κατανάλωσης και των κωδικών ΣΟ, διότι οι κωδικοί Σ</w:t>
      </w:r>
      <w:r>
        <w:rPr>
          <w:rFonts w:ascii="Times New Roman" w:hAnsi="Times New Roman"/>
          <w:noProof/>
        </w:rPr>
        <w:t xml:space="preserve">Ο είχαν εκπονηθεί για διαφορετικούς σκοπούς. </w:t>
      </w:r>
    </w:p>
    <w:p w:rsidR="00EA67B3" w:rsidRDefault="00BD5885">
      <w:pPr>
        <w:pStyle w:val="Default"/>
        <w:numPr>
          <w:ilvl w:val="0"/>
          <w:numId w:val="2"/>
        </w:numPr>
        <w:jc w:val="both"/>
        <w:rPr>
          <w:rFonts w:ascii="Times New Roman" w:hAnsi="Times New Roman" w:cs="Times New Roman"/>
          <w:noProof/>
        </w:rPr>
      </w:pPr>
      <w:r>
        <w:rPr>
          <w:rFonts w:ascii="Times New Roman" w:hAnsi="Times New Roman"/>
          <w:noProof/>
        </w:rPr>
        <w:t>Ορισμένοι από τους ερωτηθέντες ήταν της γνώμης ότι τα ηλεκτρονικά τσιγάρα δεν θα πρέπει να περιλαμβάνονται στο πεδίο εφαρμογής της ισχύουσας οδηγίας, αλλά θα πρέπει να εξεταστεί το ενδεχόμενο ανάληψης ξεχωριστή</w:t>
      </w:r>
      <w:r>
        <w:rPr>
          <w:rFonts w:ascii="Times New Roman" w:hAnsi="Times New Roman"/>
          <w:noProof/>
        </w:rPr>
        <w:t>ς πρωτοβουλίας για εναρμονισμένη προσέγγιση της φορολογίας που επιβάλλεται στα εν λόγω προϊόντα.</w:t>
      </w:r>
    </w:p>
    <w:p w:rsidR="00EA67B3" w:rsidRDefault="00BD5885">
      <w:pPr>
        <w:spacing w:after="0" w:line="240" w:lineRule="auto"/>
        <w:jc w:val="both"/>
        <w:rPr>
          <w:rFonts w:ascii="Times New Roman Bold" w:eastAsia="Times New Roman" w:hAnsi="Times New Roman Bold"/>
          <w:b/>
          <w:noProof/>
          <w:sz w:val="24"/>
          <w:szCs w:val="24"/>
        </w:rPr>
      </w:pPr>
      <w:r>
        <w:rPr>
          <w:rFonts w:ascii="Times New Roman" w:hAnsi="Times New Roman"/>
          <w:i/>
          <w:noProof/>
          <w:sz w:val="24"/>
        </w:rPr>
        <w:t xml:space="preserve"> </w:t>
      </w:r>
      <w:bookmarkStart w:id="16" w:name="_2.2_Lack_of"/>
      <w:bookmarkEnd w:id="16"/>
      <w:r>
        <w:rPr>
          <w:rFonts w:ascii="Times New Roman" w:eastAsia="Times New Roman" w:hAnsi="Times New Roman"/>
          <w:i/>
          <w:noProof/>
          <w:sz w:val="24"/>
          <w:szCs w:val="24"/>
        </w:rPr>
        <w:br/>
      </w:r>
    </w:p>
    <w:p w:rsidR="00EA67B3" w:rsidRDefault="00BD5885">
      <w:pPr>
        <w:pStyle w:val="Heading1"/>
        <w:rPr>
          <w:rFonts w:ascii="Times New Roman" w:hAnsi="Times New Roman"/>
          <w:noProof/>
        </w:rPr>
      </w:pPr>
      <w:bookmarkStart w:id="17" w:name="_4._Issues_arising"/>
      <w:bookmarkStart w:id="18" w:name="_Toc433017697"/>
      <w:bookmarkStart w:id="19" w:name="_Toc438194057"/>
      <w:bookmarkEnd w:id="17"/>
      <w:r>
        <w:rPr>
          <w:noProof/>
        </w:rPr>
        <w:t xml:space="preserve">4. </w:t>
      </w:r>
      <w:r>
        <w:rPr>
          <w:noProof/>
          <w:u w:val="single"/>
        </w:rPr>
        <w:t>Θέματα που προκύπτουν από την αξιολόγηση:</w:t>
      </w:r>
      <w:r>
        <w:rPr>
          <w:rFonts w:ascii="Times New Roman" w:hAnsi="Times New Roman"/>
          <w:noProof/>
          <w:u w:val="single"/>
        </w:rPr>
        <w:t xml:space="preserve"> ορισμοί</w:t>
      </w:r>
      <w:bookmarkEnd w:id="18"/>
      <w:bookmarkEnd w:id="19"/>
    </w:p>
    <w:p w:rsidR="00EA67B3" w:rsidRDefault="00BD5885">
      <w:pPr>
        <w:pStyle w:val="Default"/>
        <w:jc w:val="both"/>
        <w:rPr>
          <w:rFonts w:ascii="Times New Roman" w:hAnsi="Times New Roman" w:cs="Times New Roman"/>
          <w:noProof/>
        </w:rPr>
      </w:pPr>
      <w:r>
        <w:rPr>
          <w:rFonts w:ascii="Times New Roman" w:hAnsi="Times New Roman"/>
          <w:noProof/>
        </w:rPr>
        <w:t>Μετά την έναρξη ισχύος της οδηγίας 2011/64/ΕΕ, οι ορισμοί για τα τσιγάρα, τα πουράκια σιγαρίλος, τα πού</w:t>
      </w:r>
      <w:r>
        <w:rPr>
          <w:rFonts w:ascii="Times New Roman" w:hAnsi="Times New Roman"/>
          <w:noProof/>
        </w:rPr>
        <w:t>ρα και τον καπνό για κάπνισμα τροποποιήθηκαν ώστε να αντικατοπτρίζουν τις ανησυχίες για τις ανεπάρκειες των προηγούμενων ορισμών. Κατά την αξιολόγηση εξετάστηκε η λειτουργικότητα των νέων ορισμών. Επίσης, εντοπίστηκαν ορισμένα θέματα που απαιτούν περαιτέρω</w:t>
      </w:r>
      <w:r>
        <w:rPr>
          <w:rFonts w:ascii="Times New Roman" w:hAnsi="Times New Roman"/>
          <w:noProof/>
        </w:rPr>
        <w:t xml:space="preserve"> εξέταση. Τα εν λόγω θέματα παρατίθενται στις ακόλουθες παραγράφους.</w:t>
      </w:r>
    </w:p>
    <w:p w:rsidR="00EA67B3" w:rsidRDefault="00EA67B3">
      <w:pPr>
        <w:pStyle w:val="Default"/>
        <w:jc w:val="both"/>
        <w:rPr>
          <w:rFonts w:ascii="Times New Roman" w:hAnsi="Times New Roman" w:cs="Times New Roman"/>
          <w:noProof/>
        </w:rPr>
      </w:pPr>
    </w:p>
    <w:p w:rsidR="00EA67B3" w:rsidRDefault="00BD5885">
      <w:pPr>
        <w:pStyle w:val="Heading2"/>
        <w:rPr>
          <w:rFonts w:ascii="Times New Roman" w:hAnsi="Times New Roman"/>
          <w:i w:val="0"/>
          <w:noProof/>
          <w:sz w:val="24"/>
          <w:szCs w:val="24"/>
        </w:rPr>
      </w:pPr>
      <w:bookmarkStart w:id="20" w:name="_Toc433017698"/>
      <w:bookmarkStart w:id="21" w:name="_Toc438194058"/>
      <w:r>
        <w:rPr>
          <w:rFonts w:ascii="Times New Roman" w:hAnsi="Times New Roman"/>
          <w:i w:val="0"/>
          <w:noProof/>
          <w:sz w:val="24"/>
        </w:rPr>
        <w:t>4.1 Λειτουργικότητα των υφιστάμενων ορισμών</w:t>
      </w:r>
      <w:bookmarkEnd w:id="20"/>
      <w:bookmarkEnd w:id="21"/>
    </w:p>
    <w:p w:rsidR="00EA67B3" w:rsidRDefault="00BD5885">
      <w:pPr>
        <w:pStyle w:val="Heading3"/>
        <w:rPr>
          <w:rFonts w:ascii="Times New Roman" w:hAnsi="Times New Roman"/>
          <w:b w:val="0"/>
          <w:i/>
          <w:noProof/>
          <w:sz w:val="24"/>
          <w:szCs w:val="24"/>
        </w:rPr>
      </w:pPr>
      <w:bookmarkStart w:id="22" w:name="_Toc433017699"/>
      <w:bookmarkStart w:id="23" w:name="_Toc438194059"/>
      <w:r>
        <w:rPr>
          <w:rFonts w:ascii="Times New Roman" w:hAnsi="Times New Roman"/>
          <w:b w:val="0"/>
          <w:i/>
          <w:noProof/>
          <w:sz w:val="24"/>
        </w:rPr>
        <w:t>4.1.1 Υποκειμενικά κριτήρια</w:t>
      </w:r>
      <w:bookmarkEnd w:id="22"/>
      <w:bookmarkEnd w:id="23"/>
    </w:p>
    <w:p w:rsidR="00EA67B3" w:rsidRDefault="00BD5885">
      <w:pPr>
        <w:pStyle w:val="Default"/>
        <w:jc w:val="both"/>
        <w:rPr>
          <w:rFonts w:ascii="Times New Roman" w:hAnsi="Times New Roman" w:cs="Times New Roman"/>
          <w:noProof/>
        </w:rPr>
      </w:pPr>
      <w:r>
        <w:rPr>
          <w:rFonts w:ascii="Times New Roman" w:hAnsi="Times New Roman"/>
          <w:noProof/>
        </w:rPr>
        <w:t xml:space="preserve">Οι υφιστάμενοι ορισμοί περιλαμβάνουν πολλές υποκειμενικές εκφράσεις. Συνεπώς, η κατάταξη των προϊόντων για τους σκοπούς εφαρμογής του ειδικού φόρου κατανάλωσης απαιτεί έναν ορισμένο βαθμό υποκειμενικής ερμηνείας. Τα ενδιαφερόμενα μέρη άσκησαν κριτική όσον </w:t>
      </w:r>
      <w:r>
        <w:rPr>
          <w:rFonts w:ascii="Times New Roman" w:hAnsi="Times New Roman"/>
          <w:noProof/>
        </w:rPr>
        <w:t xml:space="preserve">αφορά τη λειτουργικότητα των υφιστάμενων ορισμών και, ιδίως, τα υποκειμενικά στοιχεία. Οι δυσκολίες που αναφέρονται κατωτέρω εντοπίστηκαν κατά την αξιολόγηση. </w:t>
      </w:r>
    </w:p>
    <w:p w:rsidR="00EA67B3" w:rsidRDefault="00EA67B3">
      <w:pPr>
        <w:pStyle w:val="Default"/>
        <w:rPr>
          <w:rFonts w:ascii="Times New Roman" w:hAnsi="Times New Roman" w:cs="Times New Roman"/>
          <w:noProof/>
        </w:rPr>
      </w:pPr>
    </w:p>
    <w:p w:rsidR="00EA67B3" w:rsidRDefault="00BD5885">
      <w:pPr>
        <w:pStyle w:val="Default"/>
        <w:numPr>
          <w:ilvl w:val="0"/>
          <w:numId w:val="3"/>
        </w:numPr>
        <w:jc w:val="both"/>
        <w:rPr>
          <w:rFonts w:ascii="Times New Roman" w:hAnsi="Times New Roman" w:cs="Times New Roman"/>
          <w:noProof/>
        </w:rPr>
      </w:pPr>
      <w:r>
        <w:rPr>
          <w:rFonts w:ascii="Times New Roman" w:hAnsi="Times New Roman"/>
          <w:noProof/>
        </w:rPr>
        <w:t xml:space="preserve">Η υφιστάμενη διατύπωση του άρθρου 5 και ιδίως φράσεις όπως </w:t>
      </w:r>
      <w:r>
        <w:rPr>
          <w:rFonts w:ascii="Times New Roman" w:hAnsi="Times New Roman"/>
          <w:i/>
          <w:noProof/>
        </w:rPr>
        <w:t>«συσκευασμένα για λιανική πώληση»</w:t>
      </w:r>
      <w:r>
        <w:rPr>
          <w:rFonts w:ascii="Times New Roman" w:hAnsi="Times New Roman"/>
          <w:noProof/>
        </w:rPr>
        <w:t xml:space="preserve"> κα</w:t>
      </w:r>
      <w:r>
        <w:rPr>
          <w:rFonts w:ascii="Times New Roman" w:hAnsi="Times New Roman"/>
          <w:noProof/>
        </w:rPr>
        <w:t xml:space="preserve">ι </w:t>
      </w:r>
      <w:r>
        <w:rPr>
          <w:rFonts w:ascii="Times New Roman" w:hAnsi="Times New Roman"/>
          <w:i/>
          <w:noProof/>
        </w:rPr>
        <w:t xml:space="preserve">«μπορεί να καπνιστεί χωρίς να υποστεί μεταγενέστερη μεταποίηση» </w:t>
      </w:r>
      <w:r>
        <w:rPr>
          <w:rFonts w:ascii="Times New Roman" w:hAnsi="Times New Roman"/>
          <w:noProof/>
        </w:rPr>
        <w:t xml:space="preserve"> μπορεί να προκαλέσουν νομική αβεβαιότητα και διαφορετική μεταχείριση πανομοιότυπων προϊόντων στα κράτη μέλη.</w:t>
      </w:r>
      <w:r>
        <w:rPr>
          <w:rFonts w:ascii="Times New Roman" w:hAnsi="Times New Roman" w:cs="Times New Roman"/>
          <w:noProof/>
        </w:rPr>
        <w:br/>
      </w:r>
    </w:p>
    <w:p w:rsidR="00EA67B3" w:rsidRDefault="00BD5885">
      <w:pPr>
        <w:pStyle w:val="Default"/>
        <w:numPr>
          <w:ilvl w:val="0"/>
          <w:numId w:val="3"/>
        </w:numPr>
        <w:jc w:val="both"/>
        <w:rPr>
          <w:rFonts w:ascii="Times New Roman" w:hAnsi="Times New Roman" w:cs="Times New Roman"/>
          <w:noProof/>
        </w:rPr>
      </w:pPr>
      <w:r>
        <w:rPr>
          <w:rFonts w:ascii="Times New Roman" w:hAnsi="Times New Roman"/>
          <w:noProof/>
        </w:rPr>
        <w:t>Οι ορισμοί για τα πούρα, τα πουράκια σιγαρίλος και τον καπνό για κάπνισμα δεν π</w:t>
      </w:r>
      <w:r>
        <w:rPr>
          <w:rFonts w:ascii="Times New Roman" w:hAnsi="Times New Roman"/>
          <w:noProof/>
        </w:rPr>
        <w:t>αρέχουν επαρκή ασφάλεια δικαίου για τους σκοπούς της κατάταξης. Η μη συνεπής μεταχείριση των βιομηχανοποιημένων προϊόντων καπνού (ιδίως των προϊόντων που συνιστούν «οριακή περίπτωση») μπορεί να οδηγήσει σε διαφορετικά φορολογικά καθεστώτα σε κάθε κράτος μέ</w:t>
      </w:r>
      <w:r>
        <w:rPr>
          <w:rFonts w:ascii="Times New Roman" w:hAnsi="Times New Roman"/>
          <w:noProof/>
        </w:rPr>
        <w:t>λος. Αυτό θα έθετε σε κίνδυνο την εύρυθμη λειτουργία της εσωτερικής αγοράς. Τα μισά κράτη μέλη έχουν εμπειρία με προϊόντα τα οποία, κατά την άποψή τους, συνιστούν απόπειρα κατάχρησης των υφιστάμενων ορισμών, προκειμένου να επιτευχθούν οφέλη από ευνοϊκότερη</w:t>
      </w:r>
      <w:r>
        <w:rPr>
          <w:rFonts w:ascii="Times New Roman" w:hAnsi="Times New Roman"/>
          <w:noProof/>
        </w:rPr>
        <w:t xml:space="preserve"> φορολογική μεταχείριση</w:t>
      </w:r>
      <w:r>
        <w:rPr>
          <w:rStyle w:val="FootnoteReference"/>
          <w:rFonts w:ascii="Times New Roman" w:hAnsi="Times New Roman"/>
          <w:noProof/>
        </w:rPr>
        <w:footnoteReference w:id="15"/>
      </w:r>
      <w:r>
        <w:rPr>
          <w:noProof/>
        </w:rPr>
        <w:t>.</w:t>
      </w:r>
      <w:r>
        <w:rPr>
          <w:rFonts w:ascii="Times New Roman" w:hAnsi="Times New Roman"/>
          <w:noProof/>
        </w:rPr>
        <w:t xml:space="preserve"> Αρκετοί οικονομικοί φορείς ανέφεραν ότι ορισμένα από τα μικρότερα πούρα ή σιγαρίλος στα οποία επιβάλλεται χαμηλότερος συντελεστής ειδικού φόρου κατανάλωσης θα πρέπει να θεωρούνται τσιγάρα. Κατά τη γνώμη τους, τα προϊόντα αυτά συνι</w:t>
      </w:r>
      <w:r>
        <w:rPr>
          <w:rFonts w:ascii="Times New Roman" w:hAnsi="Times New Roman"/>
          <w:noProof/>
        </w:rPr>
        <w:t>στούν άμεσα υποκατάστατα των τσιγάρων</w:t>
      </w:r>
      <w:r>
        <w:rPr>
          <w:rStyle w:val="FootnoteReference"/>
          <w:rFonts w:ascii="Times New Roman" w:hAnsi="Times New Roman"/>
          <w:noProof/>
        </w:rPr>
        <w:footnoteReference w:id="16"/>
      </w:r>
      <w:r>
        <w:rPr>
          <w:noProof/>
        </w:rPr>
        <w:t>.</w:t>
      </w:r>
    </w:p>
    <w:p w:rsidR="00EA67B3" w:rsidRDefault="00EA67B3">
      <w:pPr>
        <w:pStyle w:val="Default"/>
        <w:jc w:val="both"/>
        <w:rPr>
          <w:rFonts w:ascii="Times New Roman" w:hAnsi="Times New Roman" w:cs="Times New Roman"/>
          <w:noProof/>
        </w:rPr>
      </w:pPr>
    </w:p>
    <w:p w:rsidR="00EA67B3" w:rsidRDefault="00BD5885">
      <w:pPr>
        <w:pStyle w:val="Default"/>
        <w:numPr>
          <w:ilvl w:val="0"/>
          <w:numId w:val="3"/>
        </w:numPr>
        <w:jc w:val="both"/>
        <w:rPr>
          <w:rFonts w:ascii="Times New Roman" w:hAnsi="Times New Roman" w:cs="Times New Roman"/>
          <w:noProof/>
        </w:rPr>
      </w:pPr>
      <w:r>
        <w:rPr>
          <w:rFonts w:ascii="Times New Roman" w:hAnsi="Times New Roman"/>
          <w:noProof/>
        </w:rPr>
        <w:t xml:space="preserve">Η χαλαρή διατύπωση των ορισμών της οδηγίας ή η απουσία ορισμών (βλ. </w:t>
      </w:r>
      <w:hyperlink w:anchor="_4.2_Absence_of" w:history="1">
        <w:r>
          <w:rPr>
            <w:rStyle w:val="Hyperlink"/>
            <w:rFonts w:ascii="Times New Roman" w:hAnsi="Times New Roman"/>
            <w:noProof/>
          </w:rPr>
          <w:t>παράγραφο 4.2</w:t>
        </w:r>
      </w:hyperlink>
      <w:r>
        <w:rPr>
          <w:rFonts w:ascii="Times New Roman" w:hAnsi="Times New Roman"/>
          <w:noProof/>
        </w:rPr>
        <w:t>) προκαλεί νομική αβεβαιότητα. Για παράδειγμα, η κατάταξη ενός προϊόντος, το οποίο μάλιστα δεν συνδ</w:t>
      </w:r>
      <w:r>
        <w:rPr>
          <w:rFonts w:ascii="Times New Roman" w:hAnsi="Times New Roman"/>
          <w:noProof/>
        </w:rPr>
        <w:t>έεται με ιδιαιτέρως πολύπλοκα προβλήματα, μπορεί να απαιτήσει από 2 έως 8 ώρες εργασίας από τους οικονομικούς φορείς</w:t>
      </w:r>
      <w:r>
        <w:rPr>
          <w:rStyle w:val="FootnoteReference"/>
          <w:rFonts w:ascii="Times New Roman" w:hAnsi="Times New Roman"/>
          <w:noProof/>
        </w:rPr>
        <w:footnoteReference w:id="17"/>
      </w:r>
      <w:r>
        <w:rPr>
          <w:noProof/>
        </w:rPr>
        <w:t>.</w:t>
      </w:r>
      <w:r>
        <w:rPr>
          <w:rFonts w:ascii="Times New Roman" w:hAnsi="Times New Roman"/>
          <w:noProof/>
        </w:rPr>
        <w:t xml:space="preserve"> Εάν η κατάταξη αποτελεί όντως πρόβλημα, απαιτείται ακόμη περισσότερος χρόνος. Συνεπώς, ο αντίκτυπος της νομικής αβεβαιότητας στους μεμονω</w:t>
      </w:r>
      <w:r>
        <w:rPr>
          <w:rFonts w:ascii="Times New Roman" w:hAnsi="Times New Roman"/>
          <w:noProof/>
        </w:rPr>
        <w:t>μένους οικονομικούς φορείς ή στις φορολογικές αρχές μπορεί να είναι σημαντικός.</w:t>
      </w:r>
    </w:p>
    <w:p w:rsidR="00EA67B3" w:rsidRDefault="00BD5885">
      <w:pPr>
        <w:pStyle w:val="Heading3"/>
        <w:rPr>
          <w:rFonts w:ascii="Times New Roman" w:hAnsi="Times New Roman"/>
          <w:b w:val="0"/>
          <w:i/>
          <w:noProof/>
          <w:sz w:val="24"/>
          <w:szCs w:val="24"/>
        </w:rPr>
      </w:pPr>
      <w:bookmarkStart w:id="24" w:name="_Toc433017700"/>
      <w:bookmarkStart w:id="25" w:name="_Toc438194060"/>
      <w:r>
        <w:rPr>
          <w:rFonts w:ascii="Times New Roman" w:hAnsi="Times New Roman"/>
          <w:b w:val="0"/>
          <w:i/>
          <w:noProof/>
          <w:sz w:val="24"/>
        </w:rPr>
        <w:t>4.1.2 Αποκλίσεις μεταξύ δασμών και ειδικού φόρου κατανάλωσης</w:t>
      </w:r>
      <w:bookmarkEnd w:id="24"/>
      <w:bookmarkEnd w:id="25"/>
    </w:p>
    <w:p w:rsidR="00EA67B3" w:rsidRDefault="00BD5885">
      <w:pPr>
        <w:spacing w:after="0" w:line="240" w:lineRule="auto"/>
        <w:rPr>
          <w:rFonts w:ascii="Times New Roman" w:hAnsi="Times New Roman"/>
          <w:noProof/>
          <w:sz w:val="24"/>
          <w:szCs w:val="24"/>
        </w:rPr>
      </w:pPr>
      <w:r>
        <w:rPr>
          <w:rFonts w:ascii="Times New Roman" w:hAnsi="Times New Roman"/>
          <w:noProof/>
          <w:sz w:val="24"/>
        </w:rPr>
        <w:t>Επί του παρόντος υπάρχουν δύο διαφορετικά συστήματα κατάταξης προϊόντων για τους σκοπούς του ειδικού φόρου κατανάλω</w:t>
      </w:r>
      <w:r>
        <w:rPr>
          <w:rFonts w:ascii="Times New Roman" w:hAnsi="Times New Roman"/>
          <w:noProof/>
          <w:sz w:val="24"/>
        </w:rPr>
        <w:t xml:space="preserve">σης και για τελωνειακούς σκοπούς. Ειδικότερα, οι ορισμοί που περιλαμβάνονται στα άρθρα 2 έως 5 της οδηγίας 2011/64/ΕΕ δεν είναι πλήρως συμβατοί με το σύστημα κατάταξης για τελωνειακούς σκοπούς Οι αποκλίσεις οδηγούν σε υψηλότερο κόστος συμμόρφωσης τόσο για </w:t>
      </w:r>
      <w:r>
        <w:rPr>
          <w:rFonts w:ascii="Times New Roman" w:hAnsi="Times New Roman"/>
          <w:noProof/>
          <w:sz w:val="24"/>
        </w:rPr>
        <w:t>τις φορολογικές αρχές όσο και για τους οικονομικούς φορείς.</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Ειδικότερα, οι μικρότεροι οικονομικοί φορείς ανέφεραν προβλήματα λόγω των διαφορετικών ορισμών για τους σκοπούς του ειδικού φόρου κατανάλωσης και για τελωνειακούς σκοπούς που μπορεί να οδηγήσουν</w:t>
      </w:r>
      <w:r>
        <w:rPr>
          <w:rFonts w:ascii="Times New Roman" w:hAnsi="Times New Roman"/>
          <w:noProof/>
          <w:sz w:val="24"/>
        </w:rPr>
        <w:t xml:space="preserve"> σε αυξημένο κόστος συμμόρφωσης, διότι οι εν λόγω οικονομικοί φορείς πρέπει να αναλαμβάνουν παρόμοια δράση δύο φορές, στο πλαίσιο διαφορετικών καθεστώτων που χρησιμοποιούνται από τις αρχές. Γενικά, το 68% των φορέων ανέφερε ότι οι αποκλίνοντες ορισμοί οδηγ</w:t>
      </w:r>
      <w:r>
        <w:rPr>
          <w:rFonts w:ascii="Times New Roman" w:hAnsi="Times New Roman"/>
          <w:noProof/>
          <w:sz w:val="24"/>
        </w:rPr>
        <w:t>ούν σε μεγάλη αύξηση του διοικητικού κόστους, ενώ το 4% πιστεύει ότι η αύξηση είναι πολύ μεγάλη</w:t>
      </w:r>
      <w:r>
        <w:rPr>
          <w:rStyle w:val="FootnoteReference"/>
          <w:rFonts w:ascii="Times New Roman" w:hAnsi="Times New Roman"/>
          <w:noProof/>
          <w:sz w:val="24"/>
        </w:rPr>
        <w:footnoteReference w:id="19"/>
      </w:r>
      <w:r>
        <w:rPr>
          <w:noProof/>
        </w:rPr>
        <w:t>.</w:t>
      </w:r>
      <w:r>
        <w:rPr>
          <w:rFonts w:ascii="Times New Roman" w:hAnsi="Times New Roman"/>
          <w:noProof/>
          <w:sz w:val="24"/>
        </w:rPr>
        <w:t xml:space="preserve"> </w:t>
      </w:r>
    </w:p>
    <w:p w:rsidR="00EA67B3" w:rsidRDefault="00EA67B3">
      <w:pPr>
        <w:pStyle w:val="Default"/>
        <w:jc w:val="both"/>
        <w:rPr>
          <w:rFonts w:ascii="Times New Roman" w:hAnsi="Times New Roman" w:cs="Times New Roman"/>
          <w:noProof/>
        </w:rPr>
      </w:pPr>
    </w:p>
    <w:p w:rsidR="00EA67B3" w:rsidRDefault="00BD5885">
      <w:pPr>
        <w:pStyle w:val="Heading3"/>
        <w:jc w:val="both"/>
        <w:rPr>
          <w:rFonts w:ascii="Times New Roman" w:hAnsi="Times New Roman"/>
          <w:b w:val="0"/>
          <w:i/>
          <w:noProof/>
          <w:sz w:val="24"/>
          <w:szCs w:val="24"/>
        </w:rPr>
      </w:pPr>
      <w:bookmarkStart w:id="26" w:name="_Toc433017701"/>
      <w:bookmarkStart w:id="27" w:name="_Toc438194061"/>
      <w:r>
        <w:rPr>
          <w:rFonts w:ascii="Times New Roman" w:hAnsi="Times New Roman"/>
          <w:b w:val="0"/>
          <w:i/>
          <w:noProof/>
          <w:sz w:val="24"/>
        </w:rPr>
        <w:t>4.1.3 Ελάχιστος ειδικός φόρος κατανάλωσης</w:t>
      </w:r>
      <w:bookmarkEnd w:id="26"/>
      <w:bookmarkEnd w:id="27"/>
    </w:p>
    <w:p w:rsidR="00EA67B3" w:rsidRDefault="00BD5885">
      <w:pPr>
        <w:pStyle w:val="Default"/>
        <w:jc w:val="both"/>
        <w:rPr>
          <w:rFonts w:ascii="Times New Roman" w:eastAsia="Times New Roman" w:hAnsi="Times New Roman" w:cs="Times New Roman"/>
          <w:noProof/>
        </w:rPr>
      </w:pPr>
      <w:r>
        <w:rPr>
          <w:rFonts w:ascii="Times New Roman" w:hAnsi="Times New Roman"/>
          <w:noProof/>
        </w:rPr>
        <w:t xml:space="preserve">Από το 2011 τα κράτη μέλη έχουν τη δυνατότητα να επιβάλουν ελάχιστο ειδικό φόρο κατανάλωσης (ΕΕΦΚ) στα τσιγάρα. Η </w:t>
      </w:r>
      <w:r>
        <w:rPr>
          <w:rFonts w:ascii="Times New Roman" w:hAnsi="Times New Roman"/>
          <w:noProof/>
        </w:rPr>
        <w:t>εισαγωγή του ΕΕΦΚ υποτίθεται ότι παρέχει στα κράτη μέλη ένα πλαίσιο κανόνων για τον ομοιόμορφο καθορισμό του εν λόγω ελάχιστου ποσού. Ωστόσο, κατά την αξιολόγηση διαπιστώθηκε ότι το άρθρο 8 παράγραφος 6 δεν είναι σαφές και ότι, στην πράξη, η εφαρμογή του φ</w:t>
      </w:r>
      <w:r>
        <w:rPr>
          <w:rFonts w:ascii="Times New Roman" w:hAnsi="Times New Roman"/>
          <w:noProof/>
        </w:rPr>
        <w:t>αίνεται να διαφέρει στα κράτη μέλη. Οι συνεντεύξεις με τα κράτη μέλη καταδεικνύουν ότι υπάρχει επί του παρόντος πληθώρα ερμηνειών που χρησιμοποιούνται για τον καθορισμό του ΕΕΦΚ</w:t>
      </w:r>
      <w:r>
        <w:rPr>
          <w:rStyle w:val="FootnoteReference"/>
          <w:rFonts w:ascii="Times New Roman" w:hAnsi="Times New Roman"/>
          <w:noProof/>
        </w:rPr>
        <w:footnoteReference w:id="20"/>
      </w:r>
      <w:r>
        <w:rPr>
          <w:noProof/>
        </w:rPr>
        <w:t>.</w:t>
      </w:r>
      <w:r>
        <w:rPr>
          <w:rFonts w:ascii="Times New Roman" w:hAnsi="Times New Roman"/>
          <w:noProof/>
        </w:rPr>
        <w:t xml:space="preserve"> </w:t>
      </w:r>
    </w:p>
    <w:p w:rsidR="00EA67B3" w:rsidRDefault="00BD5885">
      <w:pPr>
        <w:pStyle w:val="Heading2"/>
        <w:rPr>
          <w:rFonts w:ascii="Times New Roman" w:hAnsi="Times New Roman"/>
          <w:i w:val="0"/>
          <w:noProof/>
          <w:sz w:val="24"/>
          <w:szCs w:val="24"/>
        </w:rPr>
      </w:pPr>
      <w:bookmarkStart w:id="28" w:name="_4.2_Absence_of"/>
      <w:bookmarkEnd w:id="28"/>
      <w:r>
        <w:rPr>
          <w:rFonts w:ascii="Times New Roman" w:hAnsi="Times New Roman"/>
          <w:i w:val="0"/>
          <w:noProof/>
          <w:sz w:val="24"/>
          <w:szCs w:val="24"/>
        </w:rPr>
        <w:br/>
      </w:r>
      <w:bookmarkStart w:id="29" w:name="_Toc433017702"/>
      <w:bookmarkStart w:id="30" w:name="_Toc438194062"/>
      <w:r>
        <w:rPr>
          <w:rFonts w:ascii="Times New Roman" w:hAnsi="Times New Roman"/>
          <w:i w:val="0"/>
          <w:noProof/>
          <w:sz w:val="24"/>
        </w:rPr>
        <w:t>4.2 Απουσία ορισμών</w:t>
      </w:r>
      <w:bookmarkEnd w:id="29"/>
      <w:bookmarkEnd w:id="30"/>
    </w:p>
    <w:p w:rsidR="00EA67B3" w:rsidRDefault="00BD5885">
      <w:pPr>
        <w:pStyle w:val="Default"/>
        <w:jc w:val="both"/>
        <w:rPr>
          <w:rFonts w:ascii="Times New Roman" w:hAnsi="Times New Roman" w:cs="Times New Roman"/>
          <w:noProof/>
        </w:rPr>
      </w:pPr>
      <w:r>
        <w:rPr>
          <w:rFonts w:ascii="Times New Roman" w:hAnsi="Times New Roman"/>
          <w:noProof/>
        </w:rPr>
        <w:t xml:space="preserve">Επί του παρόντος, η οδηγία 2011/64/ΕΕ ορίζει τα τσιγάρα, τα πουράκια σιγαρίλος, τα πούρα και τον καπνό για κάπνισμα.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Ορισμένα μη προϊόντα χωρίς ορισμό μπορεί να εμπίπτουν σε μία από τις εν λόγω κατηγορίες (παραδείγματος χάριν καπνός για ναργιλέ). Άλλα πρ</w:t>
      </w:r>
      <w:r>
        <w:rPr>
          <w:rFonts w:ascii="Times New Roman" w:hAnsi="Times New Roman"/>
          <w:noProof/>
        </w:rPr>
        <w:t xml:space="preserve">οϊόντα ενδέχεται να μην εμπίπτουν στο πεδίο εφαρμογής της οδηγίας (αυτό ισχύει γενικά για τον ακατέργαστο καπνό, ορισμένα ενδιάμεσα προϊόντα και τα ηλεκτρονικά τσιγάρα). Κυκλοφορούν επίσης νέα θερμαινόμενα προϊόντα καπνού στην αγορά ορισμένων κρατών μελών </w:t>
      </w:r>
      <w:r>
        <w:rPr>
          <w:rFonts w:ascii="Times New Roman" w:hAnsi="Times New Roman"/>
          <w:noProof/>
        </w:rPr>
        <w:t>που οδηγούν σε διαφορετική μεταχείριση</w:t>
      </w:r>
      <w:r>
        <w:rPr>
          <w:rStyle w:val="FootnoteReference"/>
          <w:rFonts w:ascii="Times New Roman" w:hAnsi="Times New Roman"/>
          <w:noProof/>
        </w:rPr>
        <w:footnoteReference w:id="21"/>
      </w:r>
      <w:r>
        <w:rPr>
          <w:noProof/>
        </w:rPr>
        <w:t>.</w:t>
      </w:r>
      <w:r>
        <w:rPr>
          <w:rFonts w:ascii="Times New Roman" w:hAnsi="Times New Roman"/>
          <w:noProof/>
        </w:rPr>
        <w:t xml:space="preserve"> Τα εν λόγω «θερμαινόμενα χωρίς καύση» προϊόντα καπνού διαφέρουν από τα ηλεκτρονικά τσιγάρα ως προς το ότι περιέχουν όντως καπνό. Ωστόσο, αντί της καύσης του καπνού, συντελείται μια διαδικασία θέρμανσης (σε αντίθεση </w:t>
      </w:r>
      <w:r>
        <w:rPr>
          <w:rFonts w:ascii="Times New Roman" w:hAnsi="Times New Roman"/>
          <w:noProof/>
        </w:rPr>
        <w:t xml:space="preserve">με την καύση).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Ορισμένα κράτη μέλη και οικονομικοί φορείς ανέφεραν ότι οι υφιστάμενοι ορισμοί δεν είναι πλέον κατάλληλοι για τον σκοπό που προορίζονται. Αυτό δεν οφείλεται μόνο στις εξελίξεις της αγοράς, αλλά και στις αμφιβολίες σχετικά με το κατά πόσο ο</w:t>
      </w:r>
      <w:r>
        <w:rPr>
          <w:rFonts w:ascii="Times New Roman" w:hAnsi="Times New Roman"/>
          <w:noProof/>
        </w:rPr>
        <w:t>ι υφιστάμενοι ορισμοί είναι αρκετά αποτελεσματικοί για την πρόληψη του παράνομου εμπορίου.</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Μολονότι αναγνωρίζει ότι το καθήκον της πρόληψης του παράνομου εμπορίου προϊόντων που υπόκεινται σε ειδικό φόρο κατανάλωσης εμπίπτει (ιδίως όσον αφορά την επιβολή τ</w:t>
      </w:r>
      <w:r>
        <w:rPr>
          <w:rFonts w:ascii="Times New Roman" w:hAnsi="Times New Roman"/>
          <w:noProof/>
        </w:rPr>
        <w:t>ου νόμου) πρωτίστως στην αρμοδιότητα των κρατών μελών, η Επιτροπή είναι της γνώμης ότι οι κανόνες της ΕΕ θα πρέπει να είναι όσο το δυνατόν πιο αποτελεσματικοί για την καταπολέμηση του εν λόγω εμπορίου. Η ΕΕ έχει εντείνει τις προσπάθειές της τα τελευταία χρ</w:t>
      </w:r>
      <w:r>
        <w:rPr>
          <w:rFonts w:ascii="Times New Roman" w:hAnsi="Times New Roman"/>
          <w:noProof/>
        </w:rPr>
        <w:t xml:space="preserve">όνια με την υπογραφή του </w:t>
      </w:r>
      <w:hyperlink r:id="rId18">
        <w:r>
          <w:rPr>
            <w:rStyle w:val="Hyperlink"/>
            <w:rFonts w:ascii="Times New Roman" w:hAnsi="Times New Roman"/>
            <w:noProof/>
          </w:rPr>
          <w:t>πρωτοκόλλου για την εξάλειψη του παράνομου εμπορίου προϊόντων καπνού</w:t>
        </w:r>
      </w:hyperlink>
      <w:r>
        <w:rPr>
          <w:rFonts w:ascii="Times New Roman" w:hAnsi="Times New Roman"/>
          <w:noProof/>
        </w:rPr>
        <w:t xml:space="preserve">, την έκδοση της οδηγίας για τα προϊόντα καπνού που περιέχει ρητές διατάξεις κατά </w:t>
      </w:r>
      <w:r>
        <w:rPr>
          <w:rFonts w:ascii="Times New Roman" w:hAnsi="Times New Roman"/>
          <w:noProof/>
        </w:rPr>
        <w:t>του παράνομου εμπορίου και το πρόγραμμα δράσης που προβλέπεται στην ανακοίνωση της Επιτροπής της 6ης Ιουνίου 2013</w:t>
      </w:r>
      <w:r>
        <w:rPr>
          <w:rStyle w:val="FootnoteReference"/>
          <w:rFonts w:ascii="Times New Roman" w:hAnsi="Times New Roman"/>
          <w:noProof/>
        </w:rPr>
        <w:footnoteReference w:id="22"/>
      </w:r>
      <w:r>
        <w:rPr>
          <w:noProof/>
        </w:rPr>
        <w:t>.</w:t>
      </w:r>
      <w:r>
        <w:rPr>
          <w:rFonts w:ascii="Times New Roman" w:hAnsi="Times New Roman"/>
          <w:noProof/>
        </w:rPr>
        <w:t xml:space="preserve"> Στην αξιολόγηση εκτιμάται ότι το ποσό των απολεσθέντων δασμών λόγω του παράνομου εμπορίου ανέρχεται περίπου σε 11,1 δισεκ. ευρώ ετησίως</w:t>
      </w:r>
      <w:r>
        <w:rPr>
          <w:rStyle w:val="FootnoteReference"/>
          <w:rFonts w:ascii="Times New Roman" w:hAnsi="Times New Roman"/>
          <w:noProof/>
        </w:rPr>
        <w:footnoteReference w:id="23"/>
      </w:r>
      <w:r>
        <w:rPr>
          <w:noProof/>
        </w:rPr>
        <w:t>.</w:t>
      </w:r>
      <w:r>
        <w:rPr>
          <w:rFonts w:ascii="Times New Roman" w:hAnsi="Times New Roman"/>
          <w:noProof/>
        </w:rPr>
        <w:t>Σύμ</w:t>
      </w:r>
      <w:r>
        <w:rPr>
          <w:rFonts w:ascii="Times New Roman" w:hAnsi="Times New Roman"/>
          <w:noProof/>
        </w:rPr>
        <w:t>φωνα με τις εκτιμήσεις της εξωτερικής αναδόχου κοινοπραξίας, ο περιορισμός του παράνομου εμπορίου θα μπορούσε να οδηγήσει σε πιθανή είσπραξη δασμών της τάξεως των 6,1 έως 7,2 δισεκατ. ευρώ ετησίως, μετά από προσαρμογή ώστε να ληφθεί υπόψη η μείωση του επιπ</w:t>
      </w:r>
      <w:r>
        <w:rPr>
          <w:rFonts w:ascii="Times New Roman" w:hAnsi="Times New Roman"/>
          <w:noProof/>
        </w:rPr>
        <w:t>έδου κατανάλωσης λόγω των τιμών (υπολογίζεται με βάση τη μέση ελαστικότητα τιμής σε δεδομένη αγορά)</w:t>
      </w:r>
      <w:r>
        <w:rPr>
          <w:rStyle w:val="FootnoteReference"/>
          <w:rFonts w:ascii="Times New Roman" w:hAnsi="Times New Roman"/>
          <w:noProof/>
        </w:rPr>
        <w:footnoteReference w:id="24"/>
      </w:r>
      <w:r>
        <w:rPr>
          <w:noProof/>
        </w:rPr>
        <w:t>.</w:t>
      </w:r>
      <w:r>
        <w:rPr>
          <w:rFonts w:ascii="Times New Roman" w:hAnsi="Times New Roman"/>
          <w:noProof/>
        </w:rPr>
        <w:t xml:space="preserve">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 xml:space="preserve">Τα άλλα θέματα που αναδείχθηκαν ήταν τα ακόλουθα: </w:t>
      </w:r>
    </w:p>
    <w:p w:rsidR="00EA67B3" w:rsidRDefault="00EA67B3">
      <w:pPr>
        <w:spacing w:after="0" w:line="240" w:lineRule="auto"/>
        <w:jc w:val="both"/>
        <w:rPr>
          <w:rFonts w:ascii="Times New Roman" w:eastAsia="Times New Roman" w:hAnsi="Times New Roman"/>
          <w:noProof/>
          <w:sz w:val="24"/>
          <w:szCs w:val="24"/>
        </w:rPr>
      </w:pPr>
    </w:p>
    <w:p w:rsidR="00EA67B3" w:rsidRDefault="00BD5885">
      <w:pPr>
        <w:pStyle w:val="Default"/>
        <w:numPr>
          <w:ilvl w:val="0"/>
          <w:numId w:val="2"/>
        </w:numPr>
        <w:jc w:val="both"/>
        <w:rPr>
          <w:rFonts w:ascii="Times New Roman" w:hAnsi="Times New Roman" w:cs="Times New Roman"/>
          <w:noProof/>
        </w:rPr>
      </w:pPr>
      <w:r>
        <w:rPr>
          <w:rFonts w:ascii="Times New Roman" w:hAnsi="Times New Roman"/>
          <w:noProof/>
        </w:rPr>
        <w:t>Οι ορισμοί δεν επιτρέπουν την ορθή και πλήρη χρήση του συστήματος διακίνησης και ελέγχου των προϊόντ</w:t>
      </w:r>
      <w:r>
        <w:rPr>
          <w:rFonts w:ascii="Times New Roman" w:hAnsi="Times New Roman"/>
          <w:noProof/>
        </w:rPr>
        <w:t>ων που υπόκεινται σε ειδικούς φόρους κατανάλωσης (EMCS), ούτε των σχετικών διατάξεων για τη διοικητική συνεργασία και ανταλλαγή πληροφοριών, οι οποίες θεωρούνται στο σύνολό τους κύρια στοιχεία καταπολέμησης της απάτης. Αυτό οφείλεται, ιδίως, στο περιορισμέ</w:t>
      </w:r>
      <w:r>
        <w:rPr>
          <w:rFonts w:ascii="Times New Roman" w:hAnsi="Times New Roman"/>
          <w:noProof/>
        </w:rPr>
        <w:t>νο πεδίο εφαρμογής της οδηγίας 2011/64/ΕΕ, το οποίο έχει ως αποτέλεσμα να εξαιρούνται ορισμένα προϊόντα (όπως ο ακατέργαστος καπνός). Αρκετά κράτη μέλη ανέφεραν ότι μια ολοένα και μεγαλύτερη ποσότητα ακατέργαστου καπνού διοχετευόταν από τα νόμιμα σε παράνο</w:t>
      </w:r>
      <w:r>
        <w:rPr>
          <w:rFonts w:ascii="Times New Roman" w:hAnsi="Times New Roman"/>
          <w:noProof/>
        </w:rPr>
        <w:t>μα κυκλώματα εμπορίου ή πωλούνταν απευθείας στους τελικούς καταναλωτές.</w:t>
      </w:r>
    </w:p>
    <w:p w:rsidR="00EA67B3" w:rsidRDefault="00EA67B3">
      <w:pPr>
        <w:pStyle w:val="Default"/>
        <w:jc w:val="both"/>
        <w:rPr>
          <w:rFonts w:ascii="Times New Roman" w:hAnsi="Times New Roman" w:cs="Times New Roman"/>
          <w:noProof/>
        </w:rPr>
      </w:pPr>
    </w:p>
    <w:p w:rsidR="00EA67B3" w:rsidRDefault="00BD5885">
      <w:pPr>
        <w:pStyle w:val="Default"/>
        <w:numPr>
          <w:ilvl w:val="0"/>
          <w:numId w:val="2"/>
        </w:numPr>
        <w:jc w:val="both"/>
        <w:rPr>
          <w:rFonts w:ascii="Times New Roman" w:hAnsi="Times New Roman" w:cs="Times New Roman"/>
          <w:noProof/>
        </w:rPr>
      </w:pPr>
      <w:r>
        <w:rPr>
          <w:rFonts w:ascii="Times New Roman" w:hAnsi="Times New Roman"/>
          <w:noProof/>
        </w:rPr>
        <w:t>Η ασυνεπής μεταχείριση ορισμένων προϊόντων (π.χ. ενδιάμεσα προϊόντα, ακατέργαστος καπνός και υποπροϊόντα καπνού) σε όλα τα κράτη μέλη ευθύνεται εν μέρει για την περιορισμένη ικανότητα</w:t>
      </w:r>
      <w:r>
        <w:rPr>
          <w:rFonts w:ascii="Times New Roman" w:hAnsi="Times New Roman"/>
          <w:noProof/>
        </w:rPr>
        <w:t xml:space="preserve"> των αρχών των κρατών μελών να παρακολουθούν τα βιομηχανοποιημένα καπνά.</w:t>
      </w:r>
    </w:p>
    <w:p w:rsidR="00EA67B3" w:rsidRDefault="00EA67B3">
      <w:pPr>
        <w:pStyle w:val="Default"/>
        <w:jc w:val="both"/>
        <w:rPr>
          <w:rFonts w:ascii="Times New Roman" w:hAnsi="Times New Roman" w:cs="Times New Roman"/>
          <w:noProof/>
        </w:rPr>
      </w:pPr>
    </w:p>
    <w:p w:rsidR="00EA67B3" w:rsidRDefault="00BD5885">
      <w:pPr>
        <w:pStyle w:val="Default"/>
        <w:numPr>
          <w:ilvl w:val="0"/>
          <w:numId w:val="2"/>
        </w:numPr>
        <w:jc w:val="both"/>
        <w:rPr>
          <w:rFonts w:ascii="Times New Roman" w:hAnsi="Times New Roman" w:cs="Times New Roman"/>
          <w:noProof/>
        </w:rPr>
      </w:pPr>
      <w:r>
        <w:rPr>
          <w:rFonts w:ascii="Times New Roman" w:hAnsi="Times New Roman"/>
          <w:noProof/>
        </w:rPr>
        <w:t>Η γενική προσέγγιση που ακολουθείται στους ορισμούς του άρθρου 5 συνεπάγεται σχετικά υψηλότερη φορολόγηση προϊόντων με διαφορετικά χαρακτηριστικά, όπως ο καπνός για ναργιλέ, σε σύγκρ</w:t>
      </w:r>
      <w:r>
        <w:rPr>
          <w:rFonts w:ascii="Times New Roman" w:hAnsi="Times New Roman"/>
          <w:noProof/>
        </w:rPr>
        <w:t>ιση με άλλα προϊόντα αυτής της κατηγορίας.</w:t>
      </w:r>
    </w:p>
    <w:p w:rsidR="00EA67B3" w:rsidRDefault="00EA67B3">
      <w:pPr>
        <w:pStyle w:val="Default"/>
        <w:jc w:val="both"/>
        <w:rPr>
          <w:rFonts w:ascii="Times New Roman" w:hAnsi="Times New Roman" w:cs="Times New Roman"/>
          <w:noProof/>
        </w:rPr>
      </w:pPr>
    </w:p>
    <w:p w:rsidR="00EA67B3" w:rsidRDefault="00BD5885">
      <w:pPr>
        <w:pStyle w:val="Default"/>
        <w:numPr>
          <w:ilvl w:val="0"/>
          <w:numId w:val="2"/>
        </w:numPr>
        <w:jc w:val="both"/>
        <w:rPr>
          <w:rFonts w:ascii="Times New Roman" w:hAnsi="Times New Roman" w:cs="Times New Roman"/>
          <w:noProof/>
        </w:rPr>
      </w:pPr>
      <w:r>
        <w:rPr>
          <w:rFonts w:ascii="Times New Roman" w:hAnsi="Times New Roman"/>
          <w:noProof/>
        </w:rPr>
        <w:t>Η εξαίρεση των ηλεκτρονικών τσιγάρων από το πεδίο εφαρμογής των προϊόντων που υπόκεινται σε ειδικούς φόρους κατανάλωσης ενδέχεται να έχει σημαντικές μακροπρόθεσμες δημοσιονομικές επιπτώσεις στα κράτη μέλη. Ορισμέ</w:t>
      </w:r>
      <w:r>
        <w:rPr>
          <w:rFonts w:ascii="Times New Roman" w:hAnsi="Times New Roman"/>
          <w:noProof/>
        </w:rPr>
        <w:t>να κράτη μέλη έχουν αρχίσει να επιβάλλουν εθνικούς φόρους στα εν λόγω προϊόντα. Αυτό μπορεί εν καιρώ να θέσει σε κίνδυνο την εύρυθμη λειτουργία της εσωτερικής αγοράς, εάν και άλλα κράτη μέλη αποφασίσουν να πράξουν το ίδιο χωρίς να συντονιστούν μεταξύ τους,</w:t>
      </w:r>
      <w:r>
        <w:rPr>
          <w:rFonts w:ascii="Times New Roman" w:hAnsi="Times New Roman"/>
          <w:noProof/>
        </w:rPr>
        <w:t xml:space="preserve"> πράγμα που θα μπορούσε να οδηγήσει σε διαφορετική μεταχείριση στο σύνολο της ΕΕ.</w:t>
      </w:r>
    </w:p>
    <w:p w:rsidR="00EA67B3" w:rsidRDefault="00EA67B3">
      <w:pPr>
        <w:spacing w:after="0" w:line="240" w:lineRule="auto"/>
        <w:jc w:val="both"/>
        <w:rPr>
          <w:rFonts w:ascii="Times New Roman" w:eastAsia="Times New Roman" w:hAnsi="Times New Roman"/>
          <w:noProof/>
          <w:sz w:val="24"/>
          <w:szCs w:val="24"/>
        </w:rPr>
      </w:pPr>
    </w:p>
    <w:p w:rsidR="00EA67B3" w:rsidRDefault="00EA67B3">
      <w:pPr>
        <w:spacing w:after="0" w:line="240" w:lineRule="auto"/>
        <w:jc w:val="both"/>
        <w:rPr>
          <w:rFonts w:ascii="Times New Roman" w:eastAsia="Times New Roman" w:hAnsi="Times New Roman"/>
          <w:noProof/>
          <w:sz w:val="24"/>
          <w:szCs w:val="24"/>
        </w:rPr>
      </w:pPr>
    </w:p>
    <w:p w:rsidR="00EA67B3" w:rsidRDefault="00BD5885">
      <w:pPr>
        <w:pStyle w:val="Heading1"/>
        <w:rPr>
          <w:noProof/>
          <w:u w:val="single"/>
        </w:rPr>
      </w:pPr>
      <w:bookmarkStart w:id="31" w:name="_Toc433017703"/>
      <w:bookmarkStart w:id="32" w:name="_Toc438194063"/>
      <w:r>
        <w:rPr>
          <w:noProof/>
          <w:u w:val="single"/>
        </w:rPr>
        <w:t>5. Συμπεράσματα και συστάσεις της αξιολόγησης</w:t>
      </w:r>
      <w:bookmarkEnd w:id="31"/>
      <w:bookmarkEnd w:id="32"/>
      <w:r>
        <w:rPr>
          <w:noProof/>
          <w:u w:val="single"/>
        </w:rPr>
        <w:t xml:space="preserve"> </w:t>
      </w:r>
    </w:p>
    <w:p w:rsidR="00EA67B3" w:rsidRDefault="00BD5885">
      <w:pPr>
        <w:pStyle w:val="Heading2"/>
        <w:rPr>
          <w:rFonts w:ascii="Times New Roman" w:hAnsi="Times New Roman"/>
          <w:i w:val="0"/>
          <w:noProof/>
          <w:sz w:val="24"/>
          <w:szCs w:val="24"/>
        </w:rPr>
      </w:pPr>
      <w:bookmarkStart w:id="33" w:name="_Toc433017704"/>
      <w:bookmarkStart w:id="34" w:name="_Toc438194064"/>
      <w:r>
        <w:rPr>
          <w:rFonts w:ascii="Times New Roman" w:hAnsi="Times New Roman"/>
          <w:i w:val="0"/>
          <w:noProof/>
          <w:sz w:val="24"/>
        </w:rPr>
        <w:t>5.1 Ποιότητα της αξιολόγησης</w:t>
      </w:r>
      <w:bookmarkEnd w:id="33"/>
      <w:bookmarkEnd w:id="34"/>
    </w:p>
    <w:p w:rsidR="00EA67B3" w:rsidRDefault="00BD5885">
      <w:pPr>
        <w:pStyle w:val="Default"/>
        <w:jc w:val="both"/>
        <w:rPr>
          <w:rFonts w:ascii="Times New Roman" w:hAnsi="Times New Roman" w:cs="Times New Roman"/>
          <w:noProof/>
        </w:rPr>
      </w:pPr>
      <w:r>
        <w:rPr>
          <w:rFonts w:ascii="Times New Roman" w:hAnsi="Times New Roman"/>
          <w:noProof/>
        </w:rPr>
        <w:t>Η Επιτροπή εξέτασε προσεκτικά την εξωτερική αξιολόγηση και έλαβε επίσης υπόψη την ανάδραση των ε</w:t>
      </w:r>
      <w:r>
        <w:rPr>
          <w:rFonts w:ascii="Times New Roman" w:hAnsi="Times New Roman"/>
          <w:noProof/>
        </w:rPr>
        <w:t>νδιαφερομένων. Το έργο που διεξήγαγε η ομάδα αξιολόγησης κρίθηκε ότι είναι σύμφωνο με τα πρότυπα αξιολόγησης της Επιτροπής</w:t>
      </w:r>
      <w:r>
        <w:rPr>
          <w:rFonts w:ascii="Times New Roman" w:hAnsi="Times New Roman"/>
          <w:noProof/>
          <w:vertAlign w:val="superscript"/>
        </w:rPr>
        <w:footnoteReference w:id="25"/>
      </w:r>
      <w:r>
        <w:rPr>
          <w:rFonts w:ascii="Times New Roman" w:hAnsi="Times New Roman"/>
          <w:noProof/>
        </w:rPr>
        <w:t>. Οι αποφάσεις και τα συμπεράσματα της αξιολόγησης προέκυψαν άμεσα από διαπιστώσεις που βασίστηκαν στα συγκεντρωθέντα στοιχεία. Προκε</w:t>
      </w:r>
      <w:r>
        <w:rPr>
          <w:rFonts w:ascii="Times New Roman" w:hAnsi="Times New Roman"/>
          <w:noProof/>
        </w:rPr>
        <w:t>ιμένου να διασφαλισθεί η αξιοπιστία των διαπιστώσεων, χρησιμοποιήθηκαν κατά την αξιολόγηση διάφορες μέθοδοι συλλογής δεδομένων, συμπεριλαμβανομένων των ερευνών, των συνεντεύξεων, της έρευνας τεκμηρίωσης και της μελέτης περιπτώσεων. Αυτό το μεθοδολογικό μεί</w:t>
      </w:r>
      <w:r>
        <w:rPr>
          <w:rFonts w:ascii="Times New Roman" w:hAnsi="Times New Roman"/>
          <w:noProof/>
        </w:rPr>
        <w:t xml:space="preserve">γμα θεωρήθηκε γενικά επαρκές από την Επιτροπή και τους ενδιαφερόμενους φορείς.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eastAsia="Times New Roman" w:hAnsi="Times New Roman" w:cs="Times New Roman"/>
          <w:noProof/>
        </w:rPr>
      </w:pPr>
      <w:r>
        <w:rPr>
          <w:rFonts w:ascii="Times New Roman" w:hAnsi="Times New Roman"/>
          <w:noProof/>
        </w:rPr>
        <w:t xml:space="preserve">Ωστόσο, η Επιτροπή έχει επίγνωση του γεγονότος ότι, λόγω της έλλειψης δεδομένων ή πληροφοριών, έγιναν αναπόφευκτα ορισμένες υποθετικές εκτιμήσεις προκειμένου να απαντηθούν οι </w:t>
      </w:r>
      <w:r>
        <w:rPr>
          <w:rFonts w:ascii="Times New Roman" w:hAnsi="Times New Roman"/>
          <w:noProof/>
        </w:rPr>
        <w:t xml:space="preserve">ερωτήσεις της αξιολόγησης. Ορισμένες διαπιστώσεις έγιναν ενώ υπήρχε έλλειψη πληροφοριών σχετικά με το κόστος και τα οφέλη, για παράδειγμα όσον αφορά τη διπλή κατάταξη και την παρακολούθηση του ακατέργαστου καπνού. Επίσης, επειδή κατά την αξιολόγηση δόθηκε </w:t>
      </w:r>
      <w:r>
        <w:rPr>
          <w:rFonts w:ascii="Times New Roman" w:hAnsi="Times New Roman"/>
          <w:noProof/>
        </w:rPr>
        <w:t xml:space="preserve">έμφαση στην αποτελεσματικότητα και την αποδοτικότητα, θέματα που αφορούν τη συνάφεια, τη συνοχή και την προστιθέμενη αξία για την ΕΕ δεν εξετάστηκαν λεπτομερώς. Τέλος, κατά την αξιολόγηση δεν ελήφθη υπόψη ο δυνητικός αντίκτυπος της νέας οδηγίας 2014/40/ΕΕ </w:t>
      </w:r>
      <w:r>
        <w:rPr>
          <w:rFonts w:ascii="Times New Roman" w:hAnsi="Times New Roman"/>
          <w:noProof/>
        </w:rPr>
        <w:t>στα προϊόντα καπνού, η οποία επίσης αναμένεται να έχει επίπτωση στην κατανάλωση καπνού</w:t>
      </w:r>
      <w:r>
        <w:rPr>
          <w:rStyle w:val="FootnoteReference"/>
          <w:rFonts w:ascii="Times New Roman" w:hAnsi="Times New Roman"/>
          <w:noProof/>
        </w:rPr>
        <w:footnoteReference w:id="26"/>
      </w:r>
      <w:r>
        <w:rPr>
          <w:noProof/>
        </w:rPr>
        <w:t>.</w:t>
      </w:r>
      <w:r>
        <w:rPr>
          <w:rFonts w:ascii="Times New Roman" w:hAnsi="Times New Roman"/>
          <w:noProof/>
        </w:rPr>
        <w:t xml:space="preserve"> </w:t>
      </w:r>
    </w:p>
    <w:p w:rsidR="00EA67B3" w:rsidRDefault="00EA67B3">
      <w:pPr>
        <w:pStyle w:val="Default"/>
        <w:jc w:val="both"/>
        <w:rPr>
          <w:rFonts w:ascii="Times New Roman" w:eastAsia="Times New Roman" w:hAnsi="Times New Roman" w:cs="Times New Roman"/>
          <w:noProof/>
        </w:rPr>
      </w:pPr>
    </w:p>
    <w:p w:rsidR="00EA67B3" w:rsidRDefault="00BD5885">
      <w:pPr>
        <w:pStyle w:val="Heading2"/>
        <w:rPr>
          <w:rFonts w:ascii="Times New Roman" w:hAnsi="Times New Roman"/>
          <w:noProof/>
        </w:rPr>
      </w:pPr>
      <w:bookmarkStart w:id="35" w:name="_5.2_Recommendations"/>
      <w:bookmarkStart w:id="36" w:name="_Toc433017705"/>
      <w:bookmarkStart w:id="37" w:name="_Toc438194065"/>
      <w:bookmarkEnd w:id="35"/>
      <w:r>
        <w:rPr>
          <w:rFonts w:ascii="Times New Roman" w:hAnsi="Times New Roman"/>
          <w:i w:val="0"/>
          <w:noProof/>
          <w:sz w:val="24"/>
        </w:rPr>
        <w:t>5.2 Συστάσεις</w:t>
      </w:r>
      <w:bookmarkEnd w:id="36"/>
      <w:bookmarkEnd w:id="37"/>
    </w:p>
    <w:p w:rsidR="00EA67B3" w:rsidRDefault="00BD5885">
      <w:pPr>
        <w:keepNext/>
        <w:spacing w:before="120" w:after="120" w:line="240" w:lineRule="auto"/>
        <w:jc w:val="both"/>
        <w:rPr>
          <w:rFonts w:ascii="Times New Roman" w:eastAsia="Times New Roman" w:hAnsi="Times New Roman"/>
          <w:b/>
          <w:noProof/>
          <w:sz w:val="24"/>
          <w:szCs w:val="24"/>
        </w:rPr>
      </w:pPr>
      <w:r>
        <w:rPr>
          <w:rFonts w:ascii="Times New Roman" w:hAnsi="Times New Roman"/>
          <w:noProof/>
          <w:sz w:val="24"/>
        </w:rPr>
        <w:t xml:space="preserve">Με βάση τα στοιχεία που συγκεντρώθηκαν, οι αξιολογητές διατύπωσαν 16 συστάσεις, με σκοπό τη βελτίωση της εφαρμογής των κανονιστικών διατάξεων για τους </w:t>
      </w:r>
      <w:r>
        <w:rPr>
          <w:rFonts w:ascii="Times New Roman" w:hAnsi="Times New Roman"/>
          <w:noProof/>
          <w:sz w:val="24"/>
        </w:rPr>
        <w:t>ειδικούς φόρους κατανάλωσης στα βιομηχανοποιημένα καπνά.</w:t>
      </w:r>
    </w:p>
    <w:p w:rsidR="00EA67B3" w:rsidRDefault="00BD5885">
      <w:pPr>
        <w:keepNext/>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 xml:space="preserve">Πίνακας </w:t>
      </w:r>
      <w:r>
        <w:rPr>
          <w:rFonts w:ascii="Times New Roman" w:eastAsia="Times New Roman" w:hAnsi="Times New Roman"/>
          <w:b/>
          <w:noProof/>
          <w:sz w:val="24"/>
          <w:szCs w:val="24"/>
        </w:rPr>
        <w:fldChar w:fldCharType="begin" w:fldLock="1"/>
      </w:r>
      <w:r>
        <w:rPr>
          <w:rFonts w:ascii="Times New Roman" w:eastAsia="Times New Roman" w:hAnsi="Times New Roman"/>
          <w:b/>
          <w:noProof/>
          <w:sz w:val="24"/>
          <w:szCs w:val="24"/>
        </w:rPr>
        <w:instrText xml:space="preserve"> SEQ Table \* ARABIC </w:instrText>
      </w:r>
      <w:r>
        <w:rPr>
          <w:rFonts w:ascii="Times New Roman" w:eastAsia="Times New Roman" w:hAnsi="Times New Roman"/>
          <w:b/>
          <w:noProof/>
          <w:sz w:val="24"/>
          <w:szCs w:val="24"/>
        </w:rPr>
        <w:fldChar w:fldCharType="separate"/>
      </w:r>
      <w:r>
        <w:rPr>
          <w:rFonts w:ascii="Times New Roman" w:eastAsia="Times New Roman" w:hAnsi="Times New Roman"/>
          <w:b/>
          <w:noProof/>
          <w:sz w:val="24"/>
          <w:szCs w:val="24"/>
        </w:rPr>
        <w:t>1</w:t>
      </w:r>
      <w:r>
        <w:rPr>
          <w:rFonts w:ascii="Times New Roman" w:eastAsia="Times New Roman" w:hAnsi="Times New Roman"/>
          <w:b/>
          <w:noProof/>
          <w:sz w:val="24"/>
          <w:szCs w:val="24"/>
        </w:rPr>
        <w:fldChar w:fldCharType="end"/>
      </w:r>
      <w:r>
        <w:rPr>
          <w:rFonts w:ascii="Times New Roman" w:hAnsi="Times New Roman"/>
          <w:b/>
          <w:noProof/>
          <w:sz w:val="24"/>
        </w:rPr>
        <w:t xml:space="preserve"> – Συστάσεις της εξωτερικής αξιολόγησης</w:t>
      </w:r>
      <w:r>
        <w:rPr>
          <w:rStyle w:val="FootnoteReference"/>
          <w:rFonts w:ascii="Times New Roman" w:hAnsi="Times New Roman"/>
          <w:b/>
          <w:noProof/>
          <w:sz w:val="24"/>
        </w:rPr>
        <w:footnoteReference w:id="27"/>
      </w:r>
    </w:p>
    <w:tbl>
      <w:tblPr>
        <w:tblW w:w="9229" w:type="dxa"/>
        <w:tblInd w:w="55" w:type="dxa"/>
        <w:tblLayout w:type="fixed"/>
        <w:tblCellMar>
          <w:left w:w="70" w:type="dxa"/>
          <w:right w:w="70" w:type="dxa"/>
        </w:tblCellMar>
        <w:tblLook w:val="04A0" w:firstRow="1" w:lastRow="0" w:firstColumn="1" w:lastColumn="0" w:noHBand="0" w:noVBand="1"/>
      </w:tblPr>
      <w:tblGrid>
        <w:gridCol w:w="511"/>
        <w:gridCol w:w="8718"/>
      </w:tblGrid>
      <w:tr w:rsidR="00EA67B3">
        <w:trPr>
          <w:trHeight w:val="152"/>
          <w:tblHeader/>
        </w:trPr>
        <w:tc>
          <w:tcPr>
            <w:tcW w:w="511"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A67B3" w:rsidRDefault="00BD5885">
            <w:pPr>
              <w:spacing w:after="0" w:line="240" w:lineRule="auto"/>
              <w:jc w:val="center"/>
              <w:rPr>
                <w:rFonts w:ascii="Times New Roman" w:eastAsia="Times New Roman" w:hAnsi="Times New Roman"/>
                <w:b/>
                <w:bCs/>
                <w:noProof/>
                <w:color w:val="000000"/>
              </w:rPr>
            </w:pPr>
            <w:r>
              <w:rPr>
                <w:rFonts w:ascii="Times New Roman" w:hAnsi="Times New Roman"/>
                <w:b/>
                <w:noProof/>
                <w:color w:val="000000"/>
              </w:rPr>
              <w:t>Αριθμ.</w:t>
            </w:r>
          </w:p>
        </w:tc>
        <w:tc>
          <w:tcPr>
            <w:tcW w:w="8718"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A67B3" w:rsidRDefault="00BD5885">
            <w:pPr>
              <w:spacing w:after="0" w:line="240" w:lineRule="auto"/>
              <w:jc w:val="center"/>
              <w:rPr>
                <w:rFonts w:ascii="Times New Roman" w:eastAsia="Times New Roman" w:hAnsi="Times New Roman"/>
                <w:b/>
                <w:bCs/>
                <w:noProof/>
                <w:color w:val="000000"/>
              </w:rPr>
            </w:pPr>
            <w:r>
              <w:rPr>
                <w:rFonts w:ascii="Times New Roman" w:hAnsi="Times New Roman"/>
                <w:b/>
                <w:noProof/>
                <w:color w:val="000000"/>
              </w:rPr>
              <w:t>Σύσταση</w:t>
            </w:r>
          </w:p>
        </w:tc>
      </w:tr>
      <w:tr w:rsidR="00EA67B3">
        <w:trPr>
          <w:trHeight w:val="145"/>
        </w:trPr>
        <w:tc>
          <w:tcPr>
            <w:tcW w:w="9229" w:type="dxa"/>
            <w:gridSpan w:val="2"/>
            <w:tcBorders>
              <w:top w:val="single" w:sz="4" w:space="0" w:color="auto"/>
              <w:left w:val="single" w:sz="8" w:space="0" w:color="auto"/>
              <w:bottom w:val="single" w:sz="4" w:space="0" w:color="auto"/>
              <w:right w:val="single" w:sz="8" w:space="0" w:color="000000"/>
            </w:tcBorders>
            <w:shd w:val="clear" w:color="auto" w:fill="B8CCE4"/>
            <w:noWrap/>
            <w:vAlign w:val="center"/>
            <w:hideMark/>
          </w:tcPr>
          <w:p w:rsidR="00EA67B3" w:rsidRDefault="00BD5885">
            <w:pPr>
              <w:tabs>
                <w:tab w:val="left" w:pos="10081"/>
              </w:tabs>
              <w:spacing w:after="0" w:line="240" w:lineRule="auto"/>
              <w:rPr>
                <w:rFonts w:ascii="Times New Roman" w:eastAsia="Times New Roman" w:hAnsi="Times New Roman"/>
                <w:b/>
                <w:bCs/>
                <w:noProof/>
                <w:color w:val="000000"/>
              </w:rPr>
            </w:pPr>
            <w:r>
              <w:rPr>
                <w:rFonts w:ascii="Times New Roman" w:hAnsi="Times New Roman"/>
                <w:b/>
                <w:noProof/>
                <w:color w:val="000000"/>
              </w:rPr>
              <w:t xml:space="preserve">         Συστάσεις σχετικά με τους ορισμούς των προϊόντων καπνού που υπόκεινται σε ειδικό φόρο κατανάλωσης</w:t>
            </w:r>
          </w:p>
        </w:tc>
      </w:tr>
      <w:tr w:rsidR="00EA67B3">
        <w:trPr>
          <w:trHeight w:val="291"/>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1</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Περαιτέρω ανάλυση της δυνατότητας να συμπεριληφθούν τα ηλεκτρονικά τσιγάρα στο πεδίο εφαρμογής του ειδικού φόρου κατανάλωσης στα προϊόντα καπνού.</w:t>
            </w:r>
          </w:p>
        </w:tc>
      </w:tr>
      <w:tr w:rsidR="00EA67B3">
        <w:trPr>
          <w:trHeight w:val="580"/>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2</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 xml:space="preserve">Περαιτέρω ανάλυση (με ιδιαίτερη προσοχή στις συνεπαγόμενες δαπάνες και φόρτο) της δυνατότητας να </w:t>
            </w:r>
            <w:r>
              <w:rPr>
                <w:rFonts w:ascii="Times New Roman" w:hAnsi="Times New Roman"/>
                <w:noProof/>
                <w:color w:val="000000"/>
              </w:rPr>
              <w:t>συμπεριληφθεί ο ακατέργαστος καπνός στο πεδίο παρακολούθησης των υποκείμενων σε ειδικό φόρο κατανάλωσης προϊόντων καπνού και/ή εναλλακτικές λύσεις που εξασφαλίζουν τη συστηματική παρακολούθηση της εφοδιαστικής ακατέργαστου καπνού.</w:t>
            </w:r>
          </w:p>
        </w:tc>
      </w:tr>
      <w:tr w:rsidR="00EA67B3">
        <w:trPr>
          <w:trHeight w:val="145"/>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3</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 xml:space="preserve">Το άρθρο 4 παράγραφος </w:t>
            </w:r>
            <w:r>
              <w:rPr>
                <w:rFonts w:ascii="Times New Roman" w:hAnsi="Times New Roman"/>
                <w:noProof/>
                <w:color w:val="000000"/>
              </w:rPr>
              <w:t>1 στοιχείο α) θα πρέπει να εναρμονισθεί με τις επεξηγηματικές σημειώσεις της Συνδυασμένης Ονοματολογίας (ΕΣΣΟ) της διάκρισης 2402 10 00.</w:t>
            </w:r>
          </w:p>
        </w:tc>
      </w:tr>
      <w:tr w:rsidR="00EA67B3">
        <w:trPr>
          <w:trHeight w:val="580"/>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4</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 xml:space="preserve">Στο άρθρο 5 παράγραφος 1 στοιχείο α) η φράση «ο οποίος μπορεί να καπνισθεί χωρίς να υποστεί μεταγενέστερη </w:t>
            </w:r>
            <w:r>
              <w:rPr>
                <w:rFonts w:ascii="Times New Roman" w:hAnsi="Times New Roman"/>
                <w:noProof/>
                <w:color w:val="000000"/>
              </w:rPr>
              <w:t>μεταποίηση» θα πρέπει να αναθεωρηθεί προκειμένου να μειωθεί η αβεβαιότητα σχετικά με τη μεταχείριση των μερικώς επεξεργασμένων καπνών που τίθενται προς πώληση με σκοπό να καπνιστούν (π.χ. «χωρίς περαιτέρω επεξεργασία σε φορολογική αποθήκη»).</w:t>
            </w:r>
          </w:p>
        </w:tc>
      </w:tr>
      <w:tr w:rsidR="00EA67B3">
        <w:trPr>
          <w:trHeight w:val="435"/>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5</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Λαμβάνοντας</w:t>
            </w:r>
            <w:r>
              <w:rPr>
                <w:rFonts w:ascii="Times New Roman" w:hAnsi="Times New Roman"/>
                <w:noProof/>
                <w:color w:val="000000"/>
              </w:rPr>
              <w:t xml:space="preserve"> υπόψη τα διαφορετικά χαρακτηριστικά του καπνού για ναργιλέ, πρέπει να θεσπιστεί διακριτή φορολογική κατηγορία, η οποία θα επιτρέπει την επιβολή κατάλληλα σχεδιασμένου φορολογικού συντελεστή.</w:t>
            </w:r>
          </w:p>
        </w:tc>
      </w:tr>
      <w:tr w:rsidR="00EA67B3">
        <w:trPr>
          <w:trHeight w:val="435"/>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6</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Στο άρθρο 5 παράγραφος 1 στοιχείο β) η φράση «τα συσκευασμένα</w:t>
            </w:r>
            <w:r>
              <w:rPr>
                <w:rFonts w:ascii="Times New Roman" w:hAnsi="Times New Roman"/>
                <w:noProof/>
                <w:color w:val="000000"/>
              </w:rPr>
              <w:t xml:space="preserve"> για λιανική πώληση υπολείμματα καπνού, τα οποία μπορούν να καπνιστούν» θα πρέπει να αναθεωρηθεί διαγράφοντας από τον ορισμό τη λέξη «λιανική» και στη συνέχεια να εναρμονισθεί ο κωδικός ΣΟ.</w:t>
            </w:r>
          </w:p>
        </w:tc>
      </w:tr>
      <w:tr w:rsidR="00EA67B3">
        <w:trPr>
          <w:trHeight w:val="145"/>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7</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Περαιτέρω ανάλυση της δυνατότητας να δοθεί στον διογκωμένο καπν</w:t>
            </w:r>
            <w:r>
              <w:rPr>
                <w:rFonts w:ascii="Times New Roman" w:hAnsi="Times New Roman"/>
                <w:noProof/>
                <w:color w:val="000000"/>
              </w:rPr>
              <w:t>ό διαφορετικός κωδικός ΣΟ.</w:t>
            </w:r>
          </w:p>
        </w:tc>
      </w:tr>
      <w:tr w:rsidR="00EA67B3">
        <w:trPr>
          <w:trHeight w:val="317"/>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8</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Προκειμένου να εξαλειφθούν οι αποκλίσεις και η νομική αβεβαιότητα όσον αφορά τη μεταχείριση, να εξεταστεί περαιτέρω η δυνατότητα να συμπεριληφθεί πρόσθετη φορολογική κατηγορία στο πεδίο εφαρμογής της οδηγίας, η οποία θα πρέπει</w:t>
            </w:r>
            <w:r>
              <w:rPr>
                <w:rFonts w:ascii="Times New Roman" w:hAnsi="Times New Roman"/>
                <w:noProof/>
                <w:color w:val="000000"/>
              </w:rPr>
              <w:t xml:space="preserve"> να περιλαμβάνει τα ενδιάμεσα προϊόντα των οποίων η παρακολούθηση είναι αναγκαία στο πλαίσιο του EMCS· η εν λόγω κατηγορία μπορεί να περιλαμβάνει άμεση αναφορά σε ισχύοντες κωδικούς ΣΟ (π.χ. ανασυσταμένος καπνός· απορρίμματα καπνού ακατάλληλα για κάπνισμα,</w:t>
            </w:r>
            <w:r>
              <w:rPr>
                <w:rFonts w:ascii="Times New Roman" w:hAnsi="Times New Roman"/>
                <w:noProof/>
                <w:color w:val="000000"/>
              </w:rPr>
              <w:t xml:space="preserve"> διογκωμένος καπνός, κ.λπ.).</w:t>
            </w:r>
          </w:p>
        </w:tc>
      </w:tr>
      <w:tr w:rsidR="00EA67B3">
        <w:trPr>
          <w:trHeight w:val="580"/>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9</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 xml:space="preserve">Να επιδιωχθεί η εξάλειψη των αποκλίσεων μεταξύ των κωδικών ΣΟ και των κατηγοριών ειδικού φόρου κατανάλωσης, δίνοντας προτεραιότητα στην ανάγκη τα προϊόντα που δεν υπόκεινται σε ειδικό φόρο κατανάλωσης να εμπίπτουν στον ίδιο </w:t>
            </w:r>
            <w:r>
              <w:rPr>
                <w:rFonts w:ascii="Times New Roman" w:hAnsi="Times New Roman"/>
                <w:noProof/>
                <w:color w:val="000000"/>
              </w:rPr>
              <w:t>κωδικό ΣΟ με τα προϊόντα που υπόκεινται σε ειδικό φόρο κατανάλωσης, και τα προϊόντα της ίδιας δασμολογικής κατάταξης να μπορούν ενδεχομένως να καταταχθούν σε διάφορες κατηγορίες ειδικού φόρου κατανάλωσης.</w:t>
            </w:r>
          </w:p>
        </w:tc>
      </w:tr>
      <w:tr w:rsidR="00EA67B3">
        <w:trPr>
          <w:trHeight w:val="435"/>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10</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Στο άρθρο 4 παράγραφος 1 η φράση «δεδομένων των</w:t>
            </w:r>
            <w:r>
              <w:rPr>
                <w:rFonts w:ascii="Times New Roman" w:hAnsi="Times New Roman"/>
                <w:noProof/>
                <w:color w:val="000000"/>
              </w:rPr>
              <w:t xml:space="preserve"> χαρακτηριστικών τους και των συνήθων καταναλωτικών προσδοκιών, προορίζονται αποκλειστικά να καπνίζονται ως έχουν» θα πρέπει να αναθεωρηθεί ώστε να διασφαλισθεί η νομική σαφήνεια και να εξαλειφθεί η νομική αβεβαιότητα και οι δαπανηρές δικαστικές διαφορές.</w:t>
            </w:r>
          </w:p>
        </w:tc>
      </w:tr>
      <w:tr w:rsidR="00EA67B3">
        <w:trPr>
          <w:trHeight w:val="145"/>
        </w:trPr>
        <w:tc>
          <w:tcPr>
            <w:tcW w:w="9229" w:type="dxa"/>
            <w:gridSpan w:val="2"/>
            <w:tcBorders>
              <w:top w:val="single" w:sz="4" w:space="0" w:color="auto"/>
              <w:left w:val="single" w:sz="8" w:space="0" w:color="auto"/>
              <w:bottom w:val="single" w:sz="4" w:space="0" w:color="auto"/>
              <w:right w:val="single" w:sz="8" w:space="0" w:color="000000"/>
            </w:tcBorders>
            <w:shd w:val="clear" w:color="auto" w:fill="B8CCE4"/>
            <w:noWrap/>
            <w:vAlign w:val="center"/>
            <w:hideMark/>
          </w:tcPr>
          <w:p w:rsidR="00EA67B3" w:rsidRDefault="00BD5885">
            <w:pPr>
              <w:spacing w:after="0" w:line="240" w:lineRule="auto"/>
              <w:jc w:val="both"/>
              <w:rPr>
                <w:rFonts w:ascii="Times New Roman" w:eastAsia="Times New Roman" w:hAnsi="Times New Roman"/>
                <w:b/>
                <w:bCs/>
                <w:noProof/>
                <w:color w:val="000000"/>
              </w:rPr>
            </w:pPr>
            <w:r>
              <w:rPr>
                <w:rFonts w:ascii="Times New Roman" w:hAnsi="Times New Roman"/>
                <w:b/>
                <w:noProof/>
                <w:color w:val="000000"/>
              </w:rPr>
              <w:t xml:space="preserve">        Συστάσεις σχετικά με τους συντελεστές και τη δομή του ειδικού φόρου κατανάλωσης</w:t>
            </w:r>
          </w:p>
        </w:tc>
      </w:tr>
      <w:tr w:rsidR="00EA67B3">
        <w:trPr>
          <w:trHeight w:val="580"/>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11</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Να εξεταστεί η δυνατότητα εναρμόνισης των ελάχιστων ειδικών φόρων κατανάλωσης στα πούρα και τα πουράκια σιγαρίλος με εκείνους στα τσιγάρα, ούτως ώστε να εξαλειφθεί</w:t>
            </w:r>
            <w:r>
              <w:rPr>
                <w:rFonts w:ascii="Times New Roman" w:hAnsi="Times New Roman"/>
                <w:noProof/>
                <w:color w:val="000000"/>
              </w:rPr>
              <w:t xml:space="preserve"> το κίνητρο διάθεσης στην αγορά προϊόντων που συνιστούν «οριακή περίπτωση», με τα οποία ενδέχεται να επιχειρηθεί η αποφυγή καταβολής υψηλότερου ειδικού φόρου κατανάλωσης.</w:t>
            </w:r>
          </w:p>
        </w:tc>
      </w:tr>
      <w:tr w:rsidR="00EA67B3">
        <w:trPr>
          <w:trHeight w:val="291"/>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12</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 xml:space="preserve">Να αναθεωρηθούν το άρθρο 7 παράγραφος 4 και το άρθρο 8 παράγραφος 6 με σκοπό την εξάλειψη της αβεβαιότητας όσον αφορά τα όρια που επιβάλλονται στον ΕΕΦΚ. </w:t>
            </w:r>
          </w:p>
        </w:tc>
      </w:tr>
      <w:tr w:rsidR="00EA67B3">
        <w:trPr>
          <w:trHeight w:val="145"/>
        </w:trPr>
        <w:tc>
          <w:tcPr>
            <w:tcW w:w="9229" w:type="dxa"/>
            <w:gridSpan w:val="2"/>
            <w:tcBorders>
              <w:top w:val="single" w:sz="4" w:space="0" w:color="auto"/>
              <w:left w:val="single" w:sz="8" w:space="0" w:color="auto"/>
              <w:bottom w:val="single" w:sz="4" w:space="0" w:color="auto"/>
              <w:right w:val="single" w:sz="8" w:space="0" w:color="000000"/>
            </w:tcBorders>
            <w:shd w:val="clear" w:color="auto" w:fill="B8CCE4"/>
            <w:noWrap/>
            <w:vAlign w:val="center"/>
          </w:tcPr>
          <w:p w:rsidR="00EA67B3" w:rsidRDefault="00BD5885">
            <w:pPr>
              <w:spacing w:after="0" w:line="240" w:lineRule="auto"/>
              <w:jc w:val="both"/>
              <w:rPr>
                <w:rFonts w:ascii="Times New Roman" w:eastAsia="Times New Roman" w:hAnsi="Times New Roman"/>
                <w:b/>
                <w:bCs/>
                <w:noProof/>
                <w:color w:val="000000"/>
              </w:rPr>
            </w:pPr>
            <w:r>
              <w:rPr>
                <w:rFonts w:ascii="Times New Roman" w:hAnsi="Times New Roman"/>
                <w:b/>
                <w:noProof/>
                <w:color w:val="000000"/>
              </w:rPr>
              <w:t xml:space="preserve">        Συστάσεις σχετικά με άλλα θέματα που εξετάστηκαν στο πλαίσιο της εν λόγω αξιολόγησης</w:t>
            </w:r>
          </w:p>
        </w:tc>
      </w:tr>
      <w:tr w:rsidR="00EA67B3">
        <w:trPr>
          <w:trHeight w:val="435"/>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13</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 xml:space="preserve">Θα πρέπει να εκπονηθεί διορθωτικό μήνυμα για το ηλεκτρονικό διοικητικό έγγραφο (ηλ.-ΔΕ) προκειμένου να διορθώνονται ήσσονος σημασίας λάθη· ωστόσο, δεν θα πρέπει να μπορούν να τροποποιούνται βασικά στοιχεία, όπως η ποσότητα, ο κωδικός προϊόντος υποκείμενου </w:t>
            </w:r>
            <w:r>
              <w:rPr>
                <w:rFonts w:ascii="Times New Roman" w:hAnsi="Times New Roman"/>
                <w:noProof/>
                <w:color w:val="000000"/>
              </w:rPr>
              <w:t xml:space="preserve">σε ειδικό φόρο κατανάλωσης (EPC), ο κωδικός ΣΟ κ.λπ. </w:t>
            </w:r>
          </w:p>
        </w:tc>
      </w:tr>
      <w:tr w:rsidR="00EA67B3">
        <w:trPr>
          <w:trHeight w:val="291"/>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14</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 xml:space="preserve">Να εξεταστεί το ενδεχόμενο ενσωμάτωσης των εθνικών συστημάτων διακίνησης και ελέγχου των προϊόντων που υπόκεινται σε ειδικούς φόρους κατανάλωσης (EMCS) στο πλαίσιο της εποπτείας της αγοράς και για </w:t>
            </w:r>
            <w:r>
              <w:rPr>
                <w:rFonts w:ascii="Times New Roman" w:hAnsi="Times New Roman"/>
                <w:noProof/>
                <w:color w:val="000000"/>
              </w:rPr>
              <w:t>λόγους ποινικής έρευνας.</w:t>
            </w:r>
          </w:p>
        </w:tc>
      </w:tr>
      <w:tr w:rsidR="00EA67B3">
        <w:trPr>
          <w:trHeight w:val="291"/>
        </w:trPr>
        <w:tc>
          <w:tcPr>
            <w:tcW w:w="511" w:type="dxa"/>
            <w:tcBorders>
              <w:top w:val="nil"/>
              <w:left w:val="single" w:sz="8" w:space="0" w:color="auto"/>
              <w:bottom w:val="single" w:sz="4"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15</w:t>
            </w:r>
          </w:p>
        </w:tc>
        <w:tc>
          <w:tcPr>
            <w:tcW w:w="8718" w:type="dxa"/>
            <w:tcBorders>
              <w:top w:val="nil"/>
              <w:left w:val="nil"/>
              <w:bottom w:val="single" w:sz="4"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Οι χώρες διαμετακόμισης θα πρέπει να ενημερώνονται με ηλεκτρονικά μέσα για κάθε διακίνηση που πραγματοποιείται στο έδαφός τους.</w:t>
            </w:r>
          </w:p>
        </w:tc>
      </w:tr>
      <w:tr w:rsidR="00EA67B3">
        <w:trPr>
          <w:trHeight w:val="297"/>
        </w:trPr>
        <w:tc>
          <w:tcPr>
            <w:tcW w:w="511" w:type="dxa"/>
            <w:tcBorders>
              <w:top w:val="nil"/>
              <w:left w:val="single" w:sz="8" w:space="0" w:color="auto"/>
              <w:bottom w:val="single" w:sz="8" w:space="0" w:color="auto"/>
              <w:right w:val="single" w:sz="4" w:space="0" w:color="auto"/>
            </w:tcBorders>
            <w:shd w:val="clear" w:color="auto" w:fill="auto"/>
            <w:noWrap/>
            <w:vAlign w:val="center"/>
            <w:hideMark/>
          </w:tcPr>
          <w:p w:rsidR="00EA67B3" w:rsidRDefault="00BD5885">
            <w:pPr>
              <w:spacing w:after="0" w:line="240" w:lineRule="auto"/>
              <w:jc w:val="center"/>
              <w:rPr>
                <w:rFonts w:ascii="Times New Roman" w:eastAsia="Times New Roman" w:hAnsi="Times New Roman"/>
                <w:noProof/>
                <w:color w:val="000000"/>
              </w:rPr>
            </w:pPr>
            <w:r>
              <w:rPr>
                <w:rFonts w:ascii="Times New Roman" w:hAnsi="Times New Roman"/>
                <w:noProof/>
                <w:color w:val="000000"/>
              </w:rPr>
              <w:t>16</w:t>
            </w:r>
          </w:p>
        </w:tc>
        <w:tc>
          <w:tcPr>
            <w:tcW w:w="8718" w:type="dxa"/>
            <w:tcBorders>
              <w:top w:val="nil"/>
              <w:left w:val="nil"/>
              <w:bottom w:val="single" w:sz="8" w:space="0" w:color="auto"/>
              <w:right w:val="single" w:sz="4" w:space="0" w:color="auto"/>
            </w:tcBorders>
            <w:shd w:val="clear" w:color="auto" w:fill="auto"/>
            <w:vAlign w:val="center"/>
            <w:hideMark/>
          </w:tcPr>
          <w:p w:rsidR="00EA67B3" w:rsidRDefault="00BD5885">
            <w:pPr>
              <w:spacing w:after="0" w:line="240" w:lineRule="auto"/>
              <w:jc w:val="both"/>
              <w:rPr>
                <w:rFonts w:ascii="Times New Roman" w:eastAsia="Times New Roman" w:hAnsi="Times New Roman"/>
                <w:noProof/>
                <w:color w:val="000000"/>
              </w:rPr>
            </w:pPr>
            <w:r>
              <w:rPr>
                <w:rFonts w:ascii="Times New Roman" w:hAnsi="Times New Roman"/>
                <w:noProof/>
                <w:color w:val="000000"/>
              </w:rPr>
              <w:t xml:space="preserve">Να εξεταστεί το ενδεχόμενο εκπόνησης ενιαίου εργαλείου ανάλυσης κινδύνου και να διατυπωθούν </w:t>
            </w:r>
            <w:r>
              <w:rPr>
                <w:rFonts w:ascii="Times New Roman" w:hAnsi="Times New Roman"/>
                <w:noProof/>
                <w:color w:val="000000"/>
              </w:rPr>
              <w:t>συστάσεις για τη χρήση του σε επίπεδο ΕΕ.</w:t>
            </w:r>
          </w:p>
        </w:tc>
      </w:tr>
    </w:tbl>
    <w:p w:rsidR="00EA67B3" w:rsidRDefault="00EA67B3">
      <w:pPr>
        <w:spacing w:after="0" w:line="240" w:lineRule="auto"/>
        <w:rPr>
          <w:rFonts w:ascii="Times New Roman" w:eastAsia="Times New Roman" w:hAnsi="Times New Roman"/>
          <w:i/>
          <w:noProof/>
          <w:sz w:val="16"/>
          <w:szCs w:val="16"/>
        </w:rPr>
      </w:pPr>
    </w:p>
    <w:p w:rsidR="00EA67B3" w:rsidRDefault="00EA67B3">
      <w:pPr>
        <w:pStyle w:val="Default"/>
        <w:jc w:val="both"/>
        <w:rPr>
          <w:rFonts w:ascii="Times New Roman" w:hAnsi="Times New Roman" w:cs="Times New Roman"/>
          <w:noProof/>
        </w:rPr>
      </w:pP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Η Επιτροπή εξέτασε τη σημασία κάθε σύστασης και κρίνει ότι χρήζουν εμβριθέστερης εξέτασης οι ακόλουθες συστάσεις</w:t>
      </w:r>
      <w:bookmarkStart w:id="38" w:name="_5.1_Recommendations_and"/>
      <w:bookmarkEnd w:id="38"/>
      <w:r>
        <w:rPr>
          <w:rFonts w:ascii="Times New Roman" w:hAnsi="Times New Roman"/>
          <w:noProof/>
        </w:rPr>
        <w:t>:</w:t>
      </w:r>
    </w:p>
    <w:p w:rsidR="00EA67B3" w:rsidRDefault="00EA67B3">
      <w:pPr>
        <w:pStyle w:val="Default"/>
        <w:jc w:val="both"/>
        <w:rPr>
          <w:rFonts w:ascii="Times New Roman" w:hAnsi="Times New Roman" w:cs="Times New Roman"/>
          <w:noProof/>
        </w:rPr>
      </w:pPr>
    </w:p>
    <w:p w:rsidR="00EA67B3" w:rsidRDefault="00BD5885">
      <w:pPr>
        <w:pStyle w:val="ListBullet"/>
        <w:numPr>
          <w:ilvl w:val="0"/>
          <w:numId w:val="4"/>
        </w:numPr>
        <w:rPr>
          <w:noProof/>
        </w:rPr>
      </w:pPr>
      <w:r>
        <w:rPr>
          <w:noProof/>
        </w:rPr>
        <w:t xml:space="preserve">Με τις συστάσεις 4, 6, 10 και 12 προτείνεται η διατύπωση ακριβέστερων ορισμών προκειμένου να </w:t>
      </w:r>
      <w:r>
        <w:rPr>
          <w:noProof/>
        </w:rPr>
        <w:t xml:space="preserve">περιοριστεί η νομική ασάφεια και να αποφευχθούν οι διαφορετικές προσεγγίσεις στα κράτη μέλη και η στρέβλωση της εσωτερικής αγοράς. Η υλοποίηση των εν λόγω συστάσεων θα έχει επιπτώσεις στις παραμέτρους εφαρμογής άλλων συστάσεων και θα μπορούσε, συνεπώς, να </w:t>
      </w:r>
      <w:r>
        <w:rPr>
          <w:noProof/>
        </w:rPr>
        <w:t>έχει προτεραιότητα.</w:t>
      </w:r>
    </w:p>
    <w:p w:rsidR="00EA67B3" w:rsidRDefault="00BD5885">
      <w:pPr>
        <w:pStyle w:val="ListBullet"/>
        <w:numPr>
          <w:ilvl w:val="0"/>
          <w:numId w:val="4"/>
        </w:numPr>
        <w:rPr>
          <w:noProof/>
        </w:rPr>
      </w:pPr>
      <w:r>
        <w:rPr>
          <w:noProof/>
        </w:rPr>
        <w:t>Σκοπός των συστάσεων 3 και 9 είναι η απλούστευση της σημερινής δομής, με προσαρμογή των κατηγοριών ή των ορισμών των βιομηχανοποιημένων καπνών της νομοθεσίας για τον ειδικό φόρο κατανάλωσης, ώστε να λαμβάνονται υπόψη η κατάταξη για τελω</w:t>
      </w:r>
      <w:r>
        <w:rPr>
          <w:noProof/>
        </w:rPr>
        <w:t>νειακούς σκοπούς και οι αντίστοιχες επεξηγηματικές σημειώσεις της ΣΟ.</w:t>
      </w:r>
    </w:p>
    <w:p w:rsidR="00EA67B3" w:rsidRDefault="00BD5885">
      <w:pPr>
        <w:pStyle w:val="ListBullet"/>
        <w:rPr>
          <w:noProof/>
        </w:rPr>
      </w:pPr>
      <w:r>
        <w:rPr>
          <w:noProof/>
        </w:rPr>
        <w:t xml:space="preserve">Οι συστάσεις 1, 2, 5 και 8 αφορούν την ενδεχόμενη εισαγωγή νέων κατηγοριών προϊόντων προκειμένου να διευκολυνθεί η ενδεδειγμένη ίση φορολογική μεταχείριση των (νέων) προϊόντων εντός της </w:t>
      </w:r>
      <w:r>
        <w:rPr>
          <w:noProof/>
        </w:rPr>
        <w:t>εσωτερικής αγοράς και επιτρέπουν στα κράτη μέλη επαρκή παρακολούθηση και έλεγχο.</w:t>
      </w:r>
    </w:p>
    <w:p w:rsidR="00EA67B3" w:rsidRDefault="00BD5885">
      <w:pPr>
        <w:pStyle w:val="ListBullet"/>
        <w:rPr>
          <w:noProof/>
        </w:rPr>
      </w:pPr>
      <w:r>
        <w:rPr>
          <w:noProof/>
        </w:rPr>
        <w:t>Η σύσταση 11 έχει σκοπό να μειώσει τη φοροδιαφυγή. Στο πλαίσιο αυτό, θα πρέπει να ληφθεί υπόψη ότι οι παρεκκλίσεις από τον ορισμό για τα πούρα και τα πουράκια σιγαρίλος που χο</w:t>
      </w:r>
      <w:r>
        <w:rPr>
          <w:noProof/>
        </w:rPr>
        <w:t>ρηγήθηκαν στη Γερμανία και στην Ουγγαρία έληξαν στις 31 Δεκεμβρίου 2014</w:t>
      </w:r>
      <w:r>
        <w:rPr>
          <w:rStyle w:val="FootnoteReference"/>
          <w:noProof/>
        </w:rPr>
        <w:footnoteReference w:id="28"/>
      </w:r>
      <w:r>
        <w:rPr>
          <w:noProof/>
        </w:rPr>
        <w:t xml:space="preserve">. Επιπλέον, η υφιστάμενη οδηγία παρέχει στα κράτη μέλη τη δυνατότητα να αντιμετωπίσουν τη φοροδιαφυγή αυξάνοντας τον ειδικό φόρο κατανάλωσης μόνο στα πούρα. </w:t>
      </w:r>
    </w:p>
    <w:p w:rsidR="00EA67B3" w:rsidRDefault="00BD5885">
      <w:pPr>
        <w:pStyle w:val="Default"/>
        <w:jc w:val="both"/>
        <w:rPr>
          <w:rFonts w:ascii="Times New Roman" w:hAnsi="Times New Roman" w:cs="Times New Roman"/>
          <w:noProof/>
        </w:rPr>
      </w:pPr>
      <w:r>
        <w:rPr>
          <w:rFonts w:ascii="Times New Roman" w:hAnsi="Times New Roman"/>
          <w:noProof/>
        </w:rPr>
        <w:t>Οι άλλες συστάσεις θεωρείτ</w:t>
      </w:r>
      <w:r>
        <w:rPr>
          <w:rFonts w:ascii="Times New Roman" w:hAnsi="Times New Roman"/>
          <w:noProof/>
        </w:rPr>
        <w:t>αι είτε ότι δεν εμπίπτουν στο πεδίο εφαρμογής της πιθανής αναθεώρησης της οδηγίας 2011/64/ΕΕ του Συμβουλίου, είτε ότι συνδέονται με αυτό μόνο έμμεσα. Πρόκειται για:</w:t>
      </w:r>
    </w:p>
    <w:p w:rsidR="00EA67B3" w:rsidRDefault="00EA67B3">
      <w:pPr>
        <w:pStyle w:val="ListBullet"/>
        <w:numPr>
          <w:ilvl w:val="0"/>
          <w:numId w:val="0"/>
        </w:numPr>
        <w:ind w:left="283"/>
        <w:rPr>
          <w:noProof/>
        </w:rPr>
      </w:pPr>
    </w:p>
    <w:p w:rsidR="00EA67B3" w:rsidRDefault="00BD5885">
      <w:pPr>
        <w:pStyle w:val="ListBullet"/>
        <w:numPr>
          <w:ilvl w:val="0"/>
          <w:numId w:val="5"/>
        </w:numPr>
        <w:rPr>
          <w:noProof/>
        </w:rPr>
      </w:pPr>
      <w:r>
        <w:rPr>
          <w:noProof/>
        </w:rPr>
        <w:t xml:space="preserve">τη σύσταση 7 και, εν μέρει, τις συστάσεις 6 και 9 που αφορούν τη δασμολογική κατάταξη και </w:t>
      </w:r>
      <w:r>
        <w:rPr>
          <w:noProof/>
        </w:rPr>
        <w:t>τους αντίστοιχους κωδικούς ΣΟ. Η ΣΟ βασίζεται στην ονοματολογία του Εναρμονισμένου Συστήματος (ΕΣ) και σε περαιτέρω κοινοτικές υποδιαιρέσεις. Το Εναρμονισμένο Σύστημα αποτελεί αντικείμενο διαχείρισης του Παγκόσμιου Οργανισμού Τελωνείων (ΠΟΤ). Ως τούτου, οι</w:t>
      </w:r>
      <w:r>
        <w:rPr>
          <w:noProof/>
        </w:rPr>
        <w:t xml:space="preserve"> εν λόγω συστάσεις δεν εμπίπτουν στο πεδίο εφαρμογής της οδηγίας 2011/64/ΕΕ του Συμβουλίου. Ωστόσο, θα ήταν ίσως δυνατό να χρησιμοποιηθεί το σύστημα τελωνειακής κατάταξης ως προσχέδιο για τους ορισμούς των βιομηχανοποιημένων προϊόντων καπνού, ώστε να μειωθ</w:t>
      </w:r>
      <w:r>
        <w:rPr>
          <w:noProof/>
        </w:rPr>
        <w:t>εί η νομική αβεβαιότητα. Αυτό θα μπορούσε επίσης να δημιουργήσει δυνητικές συνέργειες μείωσης του κόστους, τις οποίες θα αξιολογήσουν οι υπηρεσίες της Επιτροπής.</w:t>
      </w:r>
    </w:p>
    <w:p w:rsidR="00EA67B3" w:rsidRDefault="00BD5885">
      <w:pPr>
        <w:pStyle w:val="ListBullet"/>
        <w:numPr>
          <w:ilvl w:val="0"/>
          <w:numId w:val="7"/>
        </w:numPr>
        <w:rPr>
          <w:noProof/>
          <w:szCs w:val="24"/>
        </w:rPr>
      </w:pPr>
      <w:r>
        <w:rPr>
          <w:noProof/>
        </w:rPr>
        <w:t xml:space="preserve">Οι συστάσεις 13 έως 16 περιέχουν τις προσαρμογές που αποσκοπούν στη βελτίωση του συνολικού συστήματος είσπραξης ειδικών φόρων κατανάλωσης στα κράτη μέλη. Συνεπώς, οι εν λόγω συστάσεις θεωρούνται πιο σχετικές με την παράλληλη και εν εξελίξει αξιολόγηση </w:t>
      </w:r>
      <w:hyperlink r:id="rId19">
        <w:r>
          <w:rPr>
            <w:rStyle w:val="Hyperlink"/>
            <w:noProof/>
          </w:rPr>
          <w:t>της οδηγίας 2008/118/ΕΚ του Συμβουλίου,</w:t>
        </w:r>
      </w:hyperlink>
      <w:r>
        <w:rPr>
          <w:rStyle w:val="FootnoteReference"/>
          <w:noProof/>
        </w:rPr>
        <w:t xml:space="preserve"> της 16ης Δεκεμβρίου 2008, σχετικά με το γενικό καθεστώς των ειδικών φόρων κατανάλωσης και για την κατάργηση της </w:t>
      </w:r>
      <w:hyperlink r:id="rId20">
        <w:r>
          <w:rPr>
            <w:rStyle w:val="Hyperlink"/>
            <w:noProof/>
          </w:rPr>
          <w:t>οδηγίας 92/12/ΕΟΚ</w:t>
        </w:r>
      </w:hyperlink>
      <w:r>
        <w:rPr>
          <w:noProof/>
        </w:rPr>
        <w:t>. Η διαδικασία αξιολόγησης της εν λόγω οδηγίας άρχισε το 2014 και αναμένεται να ολοκληρωθεί έως το 2016.</w:t>
      </w:r>
    </w:p>
    <w:p w:rsidR="00EA67B3" w:rsidRDefault="00EA67B3">
      <w:pPr>
        <w:pStyle w:val="ListBullet"/>
        <w:numPr>
          <w:ilvl w:val="0"/>
          <w:numId w:val="0"/>
        </w:numPr>
        <w:ind w:left="283" w:hanging="283"/>
        <w:rPr>
          <w:noProof/>
          <w:szCs w:val="24"/>
        </w:rPr>
      </w:pPr>
    </w:p>
    <w:p w:rsidR="00EA67B3" w:rsidRDefault="00BD5885">
      <w:pPr>
        <w:pStyle w:val="Heading1"/>
        <w:rPr>
          <w:noProof/>
        </w:rPr>
      </w:pPr>
      <w:bookmarkStart w:id="39" w:name="_Toc433017706"/>
      <w:bookmarkStart w:id="40" w:name="_Toc438194066"/>
      <w:r>
        <w:rPr>
          <w:noProof/>
        </w:rPr>
        <w:t xml:space="preserve">6. </w:t>
      </w:r>
      <w:r>
        <w:rPr>
          <w:noProof/>
          <w:u w:val="single"/>
        </w:rPr>
        <w:t>Παρακολούθηση και τελικά συμπεράσματ</w:t>
      </w:r>
      <w:r>
        <w:rPr>
          <w:noProof/>
          <w:u w:val="single"/>
        </w:rPr>
        <w:t>α</w:t>
      </w:r>
      <w:bookmarkEnd w:id="39"/>
      <w:bookmarkEnd w:id="40"/>
    </w:p>
    <w:p w:rsidR="00EA67B3" w:rsidRDefault="00BD5885">
      <w:pPr>
        <w:pStyle w:val="Default"/>
        <w:jc w:val="both"/>
        <w:rPr>
          <w:rFonts w:ascii="Times New Roman" w:hAnsi="Times New Roman" w:cs="Times New Roman"/>
          <w:noProof/>
        </w:rPr>
      </w:pPr>
      <w:r>
        <w:rPr>
          <w:rFonts w:ascii="Times New Roman" w:hAnsi="Times New Roman"/>
          <w:noProof/>
        </w:rPr>
        <w:t>Η επιβολή φόρων στην κατανάλωση προϊόντων, όπως οι ειδικοί φόροι κατανάλωσης στα βιομηχανοποιημένα καπνά, δεν θα πρέπει να στρεβλώνει τον ανταγωνισμό ούτε να εμποδίζει τη δυνατότητα ελεύθερης κυκλοφορίας των εμπορευμάτων εντός της ΕΕ με σκοπό την ορθή λε</w:t>
      </w:r>
      <w:r>
        <w:rPr>
          <w:rFonts w:ascii="Times New Roman" w:hAnsi="Times New Roman"/>
          <w:noProof/>
        </w:rPr>
        <w:t>ιτουργία της εσωτερικής αγοράς. Στο πλαίσιο του προγράμματος REFIT, η εν λόγω αξιολόγηση εξέτασε ιδίως θέματα αποδοτικότητας, αποτελεσματικότητας και διοικητικού φόρτου που προκύπτουν από την εφαρμογή της οδηγίας 2011/64/ΕΕ,</w:t>
      </w:r>
      <w:r>
        <w:rPr>
          <w:rFonts w:ascii="Times New Roman" w:hAnsi="Times New Roman"/>
          <w:noProof/>
          <w:color w:val="auto"/>
          <w:sz w:val="22"/>
        </w:rPr>
        <w:t xml:space="preserve"> </w:t>
      </w:r>
      <w:r>
        <w:rPr>
          <w:rFonts w:ascii="Times New Roman" w:hAnsi="Times New Roman"/>
          <w:noProof/>
        </w:rPr>
        <w:t>προκειμένου να εξασφαλιστεί ότι</w:t>
      </w:r>
      <w:r>
        <w:rPr>
          <w:rFonts w:ascii="Times New Roman" w:hAnsi="Times New Roman"/>
          <w:noProof/>
        </w:rPr>
        <w:t xml:space="preserve"> η νομοθεσία της ΕΕ για τους ειδικούς φόρους κατανάλωσης στα βιομηχανοποιημένα καπνά επιτυγχάνει τους στόχους της πολιτικής με το ελάχιστο δυνατό κόστος.</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noProof/>
        </w:rPr>
      </w:pPr>
      <w:r>
        <w:rPr>
          <w:rFonts w:ascii="Times New Roman" w:hAnsi="Times New Roman"/>
          <w:noProof/>
        </w:rPr>
        <w:t>Γενικά, κατά την αξιολόγηση διαπιστώθηκε ότι η σημερινή δομή και το επίπεδο των συντελεστών επιτρέπου</w:t>
      </w:r>
      <w:r>
        <w:rPr>
          <w:rFonts w:ascii="Times New Roman" w:hAnsi="Times New Roman"/>
          <w:noProof/>
        </w:rPr>
        <w:t>ν γενικά τις ουδέτερες συνθήκες ανταγωνισμού και την ελεύθερη διαμόρφωση των τιμών εντός της εσωτερικής αγοράς. Ταυτόχρονα, τα πορίσματα της αξιολόγησης καταδεικνύουν ότι ορισμένες στρεβλώσεις στην εσωτερική αγορά προκύπτουν από τη διαφοροποιημένη εφαρμογή</w:t>
      </w:r>
      <w:r>
        <w:rPr>
          <w:rFonts w:ascii="Times New Roman" w:hAnsi="Times New Roman"/>
          <w:noProof/>
        </w:rPr>
        <w:t xml:space="preserve"> του ΕΕΦΚ</w:t>
      </w:r>
      <w:r>
        <w:rPr>
          <w:rFonts w:ascii="Times New Roman" w:hAnsi="Times New Roman"/>
          <w:noProof/>
          <w:vertAlign w:val="superscript"/>
        </w:rPr>
        <w:footnoteReference w:id="29"/>
      </w:r>
      <w:r>
        <w:rPr>
          <w:rFonts w:ascii="Times New Roman" w:hAnsi="Times New Roman"/>
          <w:noProof/>
        </w:rPr>
        <w:t xml:space="preserve">, την ασυνεπή αντιμετώπιση των ηλεκτρονικών τσιγάρων και ορισμένων προϊόντων επεξεργασμένου καπνού και τη χρήση, εξαιτίας της φορολόγησης, υποκατάστατων μεταξύ και εντός ομάδων προϊόντων. </w:t>
      </w:r>
    </w:p>
    <w:p w:rsidR="00EA67B3" w:rsidRDefault="00EA67B3">
      <w:pPr>
        <w:pStyle w:val="Default"/>
        <w:jc w:val="both"/>
        <w:rPr>
          <w:rFonts w:ascii="Times New Roman" w:hAnsi="Times New Roman"/>
          <w:noProof/>
        </w:rPr>
      </w:pPr>
    </w:p>
    <w:p w:rsidR="00EA67B3" w:rsidRDefault="00BD5885">
      <w:pPr>
        <w:pStyle w:val="Default"/>
        <w:jc w:val="both"/>
        <w:rPr>
          <w:rFonts w:ascii="Times New Roman" w:hAnsi="Times New Roman"/>
          <w:noProof/>
        </w:rPr>
      </w:pPr>
      <w:r>
        <w:rPr>
          <w:rFonts w:ascii="Times New Roman" w:hAnsi="Times New Roman"/>
          <w:noProof/>
        </w:rPr>
        <w:t xml:space="preserve">Στο πλαίσιο του REFIT, κατά την αξιολόγηση εντοπίστηκαν </w:t>
      </w:r>
      <w:r>
        <w:rPr>
          <w:rFonts w:ascii="Times New Roman" w:hAnsi="Times New Roman"/>
          <w:noProof/>
        </w:rPr>
        <w:t>περιττές διοικητικές δαπάνες και δαπάνες συμμόρφωσης που βαρύνουν τις φορολογικές αρχές και τους οικονομικούς φορείς. Οι εν λόγω δαπάνες οφείλονται σε ορισμένους ορισμούς που μπορεί να οδηγήσουν σε νομική αβεβαιότητα σχετικά με τη μεταχείριση συγκεκριμένων</w:t>
      </w:r>
      <w:r>
        <w:rPr>
          <w:rFonts w:ascii="Times New Roman" w:hAnsi="Times New Roman"/>
          <w:noProof/>
        </w:rPr>
        <w:t xml:space="preserve"> προϊόντων. Επιπλέον, η εφαρμογή διαφορετικών ορισμών για τα προϊόντα καπνού για τους σκοπούς του ειδικού φόρου κατανάλωσης και για τελωνειακούς σκοπούς απεδείχθη προβληματική, ιδίως για τις μικρές και μεσαίες επιχειρήσεις, καθώς μεταφράζεται σε διπλούς υπ</w:t>
      </w:r>
      <w:r>
        <w:rPr>
          <w:rFonts w:ascii="Times New Roman" w:hAnsi="Times New Roman"/>
          <w:noProof/>
        </w:rPr>
        <w:t>ολογισμούς και νομική αβεβαιότητα.</w:t>
      </w:r>
    </w:p>
    <w:p w:rsidR="00EA67B3" w:rsidRDefault="00EA67B3">
      <w:pPr>
        <w:pStyle w:val="Default"/>
        <w:jc w:val="both"/>
        <w:rPr>
          <w:rFonts w:ascii="Times New Roman" w:hAnsi="Times New Roman"/>
          <w:noProof/>
        </w:rPr>
      </w:pPr>
    </w:p>
    <w:p w:rsidR="00EA67B3" w:rsidRDefault="00BD5885">
      <w:pPr>
        <w:pStyle w:val="Default"/>
        <w:jc w:val="both"/>
        <w:rPr>
          <w:rFonts w:ascii="Times New Roman" w:hAnsi="Times New Roman"/>
          <w:noProof/>
        </w:rPr>
      </w:pPr>
      <w:r>
        <w:rPr>
          <w:rFonts w:ascii="Times New Roman" w:hAnsi="Times New Roman"/>
          <w:noProof/>
        </w:rPr>
        <w:t>Τέλος, με ορισμένες εξαιρέσεις, η οδηγία απεδείχθη αποτελεσματική και γενικά κατάλληλη για τη δέουσα είσπραξη ειδικών φόρων κατανάλωσης όσον αφορά τη μεγάλη πλειονότητα των βιομηχανοποιημένων προϊόντων καπνού.</w:t>
      </w:r>
    </w:p>
    <w:p w:rsidR="00EA67B3" w:rsidRDefault="00EA67B3">
      <w:pPr>
        <w:rPr>
          <w:rFonts w:ascii="Times New Roman" w:hAnsi="Times New Roman"/>
          <w:noProof/>
          <w:sz w:val="24"/>
          <w:szCs w:val="24"/>
        </w:rPr>
      </w:pPr>
    </w:p>
    <w:p w:rsidR="00EA67B3" w:rsidRDefault="00BD5885">
      <w:pPr>
        <w:spacing w:line="240" w:lineRule="auto"/>
        <w:rPr>
          <w:rFonts w:ascii="Times New Roman" w:hAnsi="Times New Roman"/>
          <w:noProof/>
          <w:sz w:val="24"/>
          <w:szCs w:val="24"/>
        </w:rPr>
      </w:pPr>
      <w:r>
        <w:rPr>
          <w:rFonts w:ascii="Times New Roman" w:hAnsi="Times New Roman"/>
          <w:noProof/>
          <w:sz w:val="24"/>
        </w:rPr>
        <w:t>Υπό το πρ</w:t>
      </w:r>
      <w:r>
        <w:rPr>
          <w:rFonts w:ascii="Times New Roman" w:hAnsi="Times New Roman"/>
          <w:noProof/>
          <w:sz w:val="24"/>
        </w:rPr>
        <w:t>ίσμα των διαπιστώσεων της αξιολόγησης, η Επιτροπή θα μελετήσει τα επόμενα μέτρα κατά τη διάρκεια συνομιλιών με τους εμπειρογνώμονες των κρατών μελών</w:t>
      </w:r>
      <w:r>
        <w:rPr>
          <w:rStyle w:val="FootnoteReference"/>
          <w:rFonts w:ascii="Times New Roman" w:hAnsi="Times New Roman"/>
          <w:noProof/>
          <w:sz w:val="24"/>
        </w:rPr>
        <w:footnoteReference w:id="30"/>
      </w:r>
      <w:r>
        <w:rPr>
          <w:noProof/>
        </w:rPr>
        <w:t>.</w:t>
      </w:r>
      <w:r>
        <w:rPr>
          <w:rFonts w:ascii="Times New Roman" w:hAnsi="Times New Roman"/>
          <w:noProof/>
          <w:sz w:val="24"/>
        </w:rPr>
        <w:t xml:space="preserve"> Στα εν λόγω μέτρα θα μπορούσε επίσης να συμπεριληφθεί η αναθεώρηση της οδηγίας. Η αναθεώρηση αυτή θα περι</w:t>
      </w:r>
      <w:r>
        <w:rPr>
          <w:rFonts w:ascii="Times New Roman" w:hAnsi="Times New Roman"/>
          <w:noProof/>
          <w:sz w:val="24"/>
        </w:rPr>
        <w:t>ελάμβανε τη διεξαγωγή δημόσιας διαβούλευσης και την αξιολόγηση αντικτύπου για να συγκεντρωθούν επιπλέον στοιχεία, συμπεριλαμβανομένων, όπου είναι δυνατό, εκτιμήσεων για τις επιπτώσεις και την αναλογικότητα των ενδεχόμενων λύσεων στα προβλήματα που διαπιστώ</w:t>
      </w:r>
      <w:r>
        <w:rPr>
          <w:rFonts w:ascii="Times New Roman" w:hAnsi="Times New Roman"/>
          <w:noProof/>
          <w:sz w:val="24"/>
        </w:rPr>
        <w:t xml:space="preserve">θηκαν.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Εκτός από την εξέταση ειδικών συστάσεων της αξιολόγησης, η Επιτροπή, υπό το φως των διαπιστώσεων της αξιολόγησης, θα εξετάσει επίσης τον βέλτιστο επίτευξης των ακόλουθων στόχων:</w:t>
      </w:r>
    </w:p>
    <w:p w:rsidR="00EA67B3" w:rsidRDefault="00EA67B3">
      <w:pPr>
        <w:pStyle w:val="Default"/>
        <w:jc w:val="both"/>
        <w:rPr>
          <w:rFonts w:ascii="Times New Roman" w:hAnsi="Times New Roman" w:cs="Times New Roman"/>
          <w:noProof/>
        </w:rPr>
      </w:pPr>
    </w:p>
    <w:p w:rsidR="00EA67B3" w:rsidRDefault="00BD5885">
      <w:pPr>
        <w:pStyle w:val="Default"/>
        <w:numPr>
          <w:ilvl w:val="0"/>
          <w:numId w:val="1"/>
        </w:numPr>
        <w:jc w:val="both"/>
        <w:rPr>
          <w:rFonts w:ascii="Times New Roman" w:hAnsi="Times New Roman" w:cs="Times New Roman"/>
          <w:noProof/>
        </w:rPr>
      </w:pPr>
      <w:r>
        <w:rPr>
          <w:rFonts w:ascii="Times New Roman" w:hAnsi="Times New Roman"/>
          <w:noProof/>
        </w:rPr>
        <w:t>ενιαία αντίληψη σχετικά με την εφαρμογή του ΕΕΦΚ·</w:t>
      </w:r>
    </w:p>
    <w:p w:rsidR="00EA67B3" w:rsidRDefault="00EA67B3">
      <w:pPr>
        <w:pStyle w:val="Default"/>
        <w:jc w:val="both"/>
        <w:rPr>
          <w:rFonts w:ascii="Times New Roman" w:hAnsi="Times New Roman" w:cs="Times New Roman"/>
          <w:noProof/>
        </w:rPr>
      </w:pPr>
    </w:p>
    <w:p w:rsidR="00EA67B3" w:rsidRDefault="00BD5885">
      <w:pPr>
        <w:pStyle w:val="Default"/>
        <w:numPr>
          <w:ilvl w:val="0"/>
          <w:numId w:val="1"/>
        </w:numPr>
        <w:jc w:val="both"/>
        <w:rPr>
          <w:rFonts w:ascii="Times New Roman" w:hAnsi="Times New Roman" w:cs="Times New Roman"/>
          <w:noProof/>
        </w:rPr>
      </w:pPr>
      <w:r>
        <w:rPr>
          <w:rFonts w:ascii="Times New Roman" w:hAnsi="Times New Roman"/>
          <w:noProof/>
        </w:rPr>
        <w:t>περιορισμός της χ</w:t>
      </w:r>
      <w:r>
        <w:rPr>
          <w:rFonts w:ascii="Times New Roman" w:hAnsi="Times New Roman"/>
          <w:noProof/>
        </w:rPr>
        <w:t>ρήσης, εξαιτίας της φορολόγησης, υποκατάστατων μεταξύ και εντός ομάδων προϊόντων, όπου είναι δυνατόν·</w:t>
      </w:r>
      <w:r>
        <w:rPr>
          <w:rFonts w:ascii="Times New Roman" w:hAnsi="Times New Roman" w:cs="Times New Roman"/>
          <w:noProof/>
        </w:rPr>
        <w:br/>
      </w:r>
    </w:p>
    <w:p w:rsidR="00EA67B3" w:rsidRDefault="00BD5885">
      <w:pPr>
        <w:pStyle w:val="Default"/>
        <w:numPr>
          <w:ilvl w:val="0"/>
          <w:numId w:val="1"/>
        </w:numPr>
        <w:jc w:val="both"/>
        <w:rPr>
          <w:rFonts w:ascii="Times New Roman" w:hAnsi="Times New Roman" w:cs="Times New Roman"/>
          <w:noProof/>
        </w:rPr>
      </w:pPr>
      <w:r>
        <w:rPr>
          <w:rFonts w:ascii="Times New Roman" w:hAnsi="Times New Roman"/>
          <w:noProof/>
        </w:rPr>
        <w:t xml:space="preserve">διασφάλιση της σαφήνειας όσον αφορά τους εναρμονισμένους ορισμούς και την αντιμετώπιση νέων προϊόντων, προκειμένου: </w:t>
      </w:r>
    </w:p>
    <w:p w:rsidR="00EA67B3" w:rsidRDefault="00BD5885">
      <w:pPr>
        <w:pStyle w:val="Default"/>
        <w:numPr>
          <w:ilvl w:val="1"/>
          <w:numId w:val="1"/>
        </w:numPr>
        <w:jc w:val="both"/>
        <w:rPr>
          <w:rFonts w:ascii="Times New Roman" w:hAnsi="Times New Roman" w:cs="Times New Roman"/>
          <w:noProof/>
        </w:rPr>
      </w:pPr>
      <w:r>
        <w:rPr>
          <w:rFonts w:ascii="Times New Roman" w:hAnsi="Times New Roman"/>
          <w:noProof/>
        </w:rPr>
        <w:t>να υποστηριχθεί η συνεκτική αντιμετώ</w:t>
      </w:r>
      <w:r>
        <w:rPr>
          <w:rFonts w:ascii="Times New Roman" w:hAnsi="Times New Roman"/>
          <w:noProof/>
        </w:rPr>
        <w:t>πιση και η νομική σαφήνεια όσον αφορά την κατάταξη των προϊόντων που υπόκεινται σε ειδικό φόρο κατανάλωσης εντός της ΕΕ και·</w:t>
      </w:r>
    </w:p>
    <w:p w:rsidR="00EA67B3" w:rsidRDefault="00BD5885">
      <w:pPr>
        <w:pStyle w:val="Default"/>
        <w:numPr>
          <w:ilvl w:val="1"/>
          <w:numId w:val="1"/>
        </w:numPr>
        <w:jc w:val="both"/>
        <w:rPr>
          <w:rFonts w:ascii="Times New Roman" w:hAnsi="Times New Roman" w:cs="Times New Roman"/>
          <w:noProof/>
        </w:rPr>
      </w:pPr>
      <w:r>
        <w:rPr>
          <w:rFonts w:ascii="Times New Roman" w:hAnsi="Times New Roman"/>
          <w:noProof/>
        </w:rPr>
        <w:t>να επιτραπεί στα κράτη μέλη να παρακολουθούν αποτελεσματικά τη διακίνηση και την παραγωγή</w:t>
      </w:r>
    </w:p>
    <w:p w:rsidR="00EA67B3" w:rsidRDefault="00BD5885">
      <w:pPr>
        <w:pStyle w:val="Default"/>
        <w:numPr>
          <w:ilvl w:val="1"/>
          <w:numId w:val="1"/>
        </w:numPr>
        <w:jc w:val="both"/>
        <w:rPr>
          <w:rFonts w:ascii="Times New Roman" w:hAnsi="Times New Roman" w:cs="Times New Roman"/>
          <w:noProof/>
        </w:rPr>
      </w:pPr>
      <w:r>
        <w:rPr>
          <w:rFonts w:ascii="Times New Roman" w:hAnsi="Times New Roman"/>
          <w:noProof/>
        </w:rPr>
        <w:t>Αποφυγή περιττών διοικητικών δαπανών.</w:t>
      </w:r>
    </w:p>
    <w:p w:rsidR="00EA67B3" w:rsidRDefault="00EA67B3">
      <w:pPr>
        <w:pStyle w:val="Default"/>
        <w:ind w:left="1440"/>
        <w:jc w:val="both"/>
        <w:rPr>
          <w:rFonts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Όταν θα αποφασίζει ποια θα είναι τα επόμενα βήματα, η Επιτροπή θα λάβει επίσης δεόντως υπόψη τις σχετικές συστάσεις που διατύπωσε το Συμβούλιο ή το Ευρωπαϊκό Κοινοβούλιο.</w:t>
      </w:r>
    </w:p>
    <w:p w:rsidR="00EA67B3" w:rsidRDefault="00EA67B3">
      <w:pPr>
        <w:pStyle w:val="Default"/>
        <w:jc w:val="both"/>
        <w:rPr>
          <w:rFonts w:ascii="Times New Roman" w:hAnsi="Times New Roman" w:cs="Times New Roman"/>
          <w:noProof/>
        </w:rPr>
      </w:pPr>
    </w:p>
    <w:p w:rsidR="00EA67B3" w:rsidRDefault="00EA67B3">
      <w:pPr>
        <w:pStyle w:val="Default"/>
        <w:jc w:val="both"/>
        <w:rPr>
          <w:rFonts w:ascii="Times New Roman" w:hAnsi="Times New Roman" w:cs="Times New Roman"/>
          <w:noProof/>
        </w:rPr>
      </w:pPr>
    </w:p>
    <w:p w:rsidR="00EA67B3" w:rsidRDefault="00BD5885">
      <w:pPr>
        <w:pStyle w:val="Heading1"/>
        <w:rPr>
          <w:noProof/>
        </w:rPr>
      </w:pPr>
      <w:r>
        <w:rPr>
          <w:noProof/>
        </w:rPr>
        <w:br w:type="page"/>
      </w:r>
      <w:bookmarkStart w:id="41" w:name="_Toc433017707"/>
      <w:bookmarkStart w:id="42" w:name="_Toc438194067"/>
      <w:r>
        <w:rPr>
          <w:noProof/>
          <w:u w:val="single"/>
        </w:rPr>
        <w:t>Παράρτημα I. Τάσεις και στατιστικές</w:t>
      </w:r>
      <w:bookmarkEnd w:id="41"/>
      <w:bookmarkEnd w:id="42"/>
      <w:r>
        <w:rPr>
          <w:noProof/>
        </w:rPr>
        <w:t xml:space="preserve"> </w:t>
      </w:r>
    </w:p>
    <w:p w:rsidR="00EA67B3" w:rsidRDefault="00BD5885">
      <w:pPr>
        <w:pStyle w:val="Default"/>
        <w:jc w:val="both"/>
        <w:rPr>
          <w:rFonts w:ascii="Times New Roman" w:hAnsi="Times New Roman" w:cs="Times New Roman"/>
          <w:noProof/>
        </w:rPr>
      </w:pPr>
      <w:r>
        <w:rPr>
          <w:rFonts w:ascii="Times New Roman" w:hAnsi="Times New Roman"/>
          <w:noProof/>
        </w:rPr>
        <w:t xml:space="preserve">Μετά την τελευταία αναθεώρηση της νομοθεσίας </w:t>
      </w:r>
      <w:r>
        <w:rPr>
          <w:rFonts w:ascii="Times New Roman" w:hAnsi="Times New Roman"/>
          <w:noProof/>
        </w:rPr>
        <w:t>για τον ειδικό φόρο κατανάλωσης στον καπνό το 2011, οι συντελεστές του ειδικού φόρου κατανάλωσης στα βιομηχανοποιημένα καπνά τροποποιήθηκαν. Οι ελάχιστοι απαιτούμενοι συντελεστές αυξήθηκαν. Για τον λεπτοκομμένο καπνό για κάπνισμα, συμπεριελήφθησαν επίσης ο</w:t>
      </w:r>
      <w:r>
        <w:rPr>
          <w:rFonts w:ascii="Times New Roman" w:hAnsi="Times New Roman"/>
          <w:noProof/>
        </w:rPr>
        <w:t>ι μελλοντικές σταδιακές αυξήσεις. Δόθηκε στα κράτη μέλη μεγαλύτερη ευελιξία όσον αφορά την εφαρμογή του πάγιου στοιχείου του ειδικού φόρου κατανάλωσης στα τσιγάρα, το εύρος κλίμακας του πάγιου στοιχείου αυξήθηκε από 5-55 % σε 7,5-76,5 % της συνολικής φορολ</w:t>
      </w:r>
      <w:r>
        <w:rPr>
          <w:rFonts w:ascii="Times New Roman" w:hAnsi="Times New Roman"/>
          <w:noProof/>
        </w:rPr>
        <w:t xml:space="preserve">ογικής επιβάρυνσης. Επιπλέον, θεσπίστηκε επίσης η δυνατότητα θέσπισης κατώτατου ορίου φορολογίας στα τσιγάρα με την επιβολή ΕΕΦΚ.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Σύμφωνα με το άρθρο 19 παράγραφος 3 της οδηγίας 2011/64/ΕΕ και την εκτελεστική απόφαση 2011/480/ΕΕ της Επιτροπής</w:t>
      </w:r>
      <w:r>
        <w:rPr>
          <w:rStyle w:val="FootnoteReference"/>
          <w:rFonts w:ascii="Times New Roman" w:hAnsi="Times New Roman"/>
          <w:noProof/>
        </w:rPr>
        <w:footnoteReference w:id="31"/>
      </w:r>
      <w:r>
        <w:rPr>
          <w:rFonts w:ascii="Times New Roman" w:hAnsi="Times New Roman"/>
          <w:noProof/>
        </w:rPr>
        <w:t xml:space="preserve">, τα κράτη </w:t>
      </w:r>
      <w:r>
        <w:rPr>
          <w:rFonts w:ascii="Times New Roman" w:hAnsi="Times New Roman"/>
          <w:noProof/>
        </w:rPr>
        <w:t>μέλη υποχρεούνται να παρέχουν πληροφορίες σε ετήσια βάση στην Επιτροπή σχετικά με:</w:t>
      </w:r>
    </w:p>
    <w:p w:rsidR="00EA67B3" w:rsidRDefault="00EA67B3">
      <w:pPr>
        <w:pStyle w:val="Default"/>
        <w:jc w:val="both"/>
        <w:rPr>
          <w:rFonts w:ascii="Times New Roman" w:hAnsi="Times New Roman" w:cs="Times New Roman"/>
          <w:noProof/>
        </w:rPr>
      </w:pPr>
    </w:p>
    <w:p w:rsidR="00EA67B3" w:rsidRDefault="00BD5885">
      <w:pPr>
        <w:pStyle w:val="Default"/>
        <w:numPr>
          <w:ilvl w:val="0"/>
          <w:numId w:val="6"/>
        </w:numPr>
        <w:jc w:val="both"/>
        <w:rPr>
          <w:rFonts w:ascii="Times New Roman" w:hAnsi="Times New Roman" w:cs="Times New Roman"/>
          <w:noProof/>
        </w:rPr>
      </w:pPr>
      <w:r>
        <w:rPr>
          <w:rFonts w:ascii="Times New Roman" w:hAnsi="Times New Roman"/>
          <w:noProof/>
        </w:rPr>
        <w:t>τους συντελεστές του ειδικού φόρου κατανάλωσης·</w:t>
      </w:r>
    </w:p>
    <w:p w:rsidR="00EA67B3" w:rsidRDefault="00BD5885">
      <w:pPr>
        <w:pStyle w:val="Default"/>
        <w:numPr>
          <w:ilvl w:val="0"/>
          <w:numId w:val="6"/>
        </w:numPr>
        <w:jc w:val="both"/>
        <w:rPr>
          <w:rFonts w:ascii="Times New Roman" w:hAnsi="Times New Roman" w:cs="Times New Roman"/>
          <w:noProof/>
        </w:rPr>
      </w:pPr>
      <w:r>
        <w:rPr>
          <w:rFonts w:ascii="Times New Roman" w:hAnsi="Times New Roman"/>
          <w:noProof/>
        </w:rPr>
        <w:t>τη σταθμισμένη μέση τιμή λιανικής πώλησης (ΣΜΤ)·</w:t>
      </w:r>
    </w:p>
    <w:p w:rsidR="00EA67B3" w:rsidRDefault="00BD5885">
      <w:pPr>
        <w:pStyle w:val="Default"/>
        <w:numPr>
          <w:ilvl w:val="0"/>
          <w:numId w:val="6"/>
        </w:numPr>
        <w:jc w:val="both"/>
        <w:rPr>
          <w:rFonts w:ascii="Times New Roman" w:hAnsi="Times New Roman" w:cs="Times New Roman"/>
          <w:noProof/>
        </w:rPr>
      </w:pPr>
      <w:r>
        <w:rPr>
          <w:rFonts w:ascii="Times New Roman" w:hAnsi="Times New Roman"/>
          <w:noProof/>
        </w:rPr>
        <w:t>τα φορολογικά έσοδα και·</w:t>
      </w:r>
    </w:p>
    <w:p w:rsidR="00EA67B3" w:rsidRDefault="00BD5885">
      <w:pPr>
        <w:pStyle w:val="Default"/>
        <w:numPr>
          <w:ilvl w:val="0"/>
          <w:numId w:val="6"/>
        </w:numPr>
        <w:jc w:val="both"/>
        <w:rPr>
          <w:rFonts w:ascii="Times New Roman" w:hAnsi="Times New Roman" w:cs="Times New Roman"/>
          <w:noProof/>
        </w:rPr>
      </w:pPr>
      <w:r>
        <w:rPr>
          <w:rFonts w:ascii="Times New Roman" w:hAnsi="Times New Roman"/>
          <w:noProof/>
        </w:rPr>
        <w:t xml:space="preserve">στοιχεία για την κατανάλωση βιομηχανοποιημένων καπνών. </w:t>
      </w:r>
    </w:p>
    <w:p w:rsidR="00EA67B3" w:rsidRDefault="00EA67B3">
      <w:pPr>
        <w:pStyle w:val="Default"/>
        <w:ind w:left="420"/>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Οι πληροφορίες που παρασχέθηκαν έως σήμερα από τα κράτη μέλη σχετικά με το εν λόγω θέμα κατέδειξαν τα κάτωθι.</w:t>
      </w:r>
    </w:p>
    <w:p w:rsidR="00EA67B3" w:rsidRDefault="00BD5885">
      <w:pPr>
        <w:pStyle w:val="Default"/>
        <w:rPr>
          <w:rFonts w:ascii="Times New Roman" w:hAnsi="Times New Roman" w:cs="Times New Roman"/>
          <w:b/>
          <w:noProof/>
        </w:rPr>
      </w:pPr>
      <w:r>
        <w:rPr>
          <w:noProof/>
        </w:rPr>
        <w:br/>
      </w:r>
      <w:r>
        <w:rPr>
          <w:rFonts w:ascii="Times New Roman" w:hAnsi="Times New Roman"/>
          <w:b/>
          <w:noProof/>
        </w:rPr>
        <w:t>Σταθμισμένη μέση τιμή</w:t>
      </w:r>
    </w:p>
    <w:p w:rsidR="00EA67B3" w:rsidRDefault="00BD5885">
      <w:pPr>
        <w:pStyle w:val="Default"/>
        <w:jc w:val="both"/>
        <w:rPr>
          <w:rFonts w:ascii="Times New Roman" w:hAnsi="Times New Roman" w:cs="Times New Roman"/>
          <w:noProof/>
        </w:rPr>
      </w:pPr>
      <w:r>
        <w:rPr>
          <w:rFonts w:ascii="Times New Roman" w:hAnsi="Times New Roman"/>
          <w:noProof/>
        </w:rPr>
        <w:t>Με την έναρξη ισχύος της οδηγίας 2011/64/ΕΕ καταργήθηκε η δημοφιλέ</w:t>
      </w:r>
      <w:r>
        <w:rPr>
          <w:rFonts w:ascii="Times New Roman" w:hAnsi="Times New Roman"/>
          <w:noProof/>
        </w:rPr>
        <w:t>στερη κατηγορία τιμών (ΔΚΤ) και αντικαταστάθηκε από την ΣΜΤ. Μετά την εισαγωγή της ΣΜΤ, άλλαξε επίσης η βάση υπολογισμού των ελάχιστων συντελεστών ειδικού φόρου κατανάλωσης στα τσιγάρα και στον λεπτοκομμένο καπνό για κάπνισμα. Το παράρτημα Ι.Ι καταδεικνύει</w:t>
      </w:r>
      <w:r>
        <w:rPr>
          <w:rFonts w:ascii="Times New Roman" w:hAnsi="Times New Roman"/>
          <w:noProof/>
        </w:rPr>
        <w:t xml:space="preserve"> την εξέλιξη της ΣΜΤ για τα τσιγάρα σε κάθε κράτος μέλος από το 2012 έως το 2015. Σημειωτέον ότι, για παράδειγμα, η ΣΜΤ για το 2012 βασίζεται στις μέσες τιμές όλων των τσιγάρων που διατέθηκαν στην κατανάλωση το προηγούμενο έτος. Σε όλα τα κράτη μέλη, εκτός</w:t>
      </w:r>
      <w:r>
        <w:rPr>
          <w:rFonts w:ascii="Times New Roman" w:hAnsi="Times New Roman"/>
          <w:noProof/>
        </w:rPr>
        <w:t xml:space="preserve"> από τη Μάλτα, η μέση τιμή των τσιγάρων που διατέθηκαν στην κατανάλωση το 2014 αυξήθηκε σε σύγκριση με το 2011. Οι εν λόγω αυξήσεις μπορεί να οφείλονται σε διάφορους λόγους, όπως η αύξηση του φόρου, η οποία μπορεί επίσης να επηρεάσει την τιμή. Οι λόγοι αύξ</w:t>
      </w:r>
      <w:r>
        <w:rPr>
          <w:rFonts w:ascii="Times New Roman" w:hAnsi="Times New Roman"/>
          <w:noProof/>
        </w:rPr>
        <w:t>ησης των φόρων μπορεί επίσης να διαφέρουν: οι φόροι μπορεί να αυξάνονται για να τονωθούν τα έσοδα, για λόγους υγειονομικής πολιτικής ή για να διασφαλισθεί η συμμόρφωση με τις ελάχιστες ευρωπαϊκές απαιτήσεις</w:t>
      </w:r>
      <w:r>
        <w:rPr>
          <w:rStyle w:val="FootnoteReference"/>
          <w:rFonts w:ascii="Times New Roman" w:hAnsi="Times New Roman"/>
          <w:noProof/>
        </w:rPr>
        <w:footnoteReference w:id="32"/>
      </w:r>
      <w:r>
        <w:rPr>
          <w:rFonts w:ascii="Times New Roman" w:hAnsi="Times New Roman"/>
          <w:noProof/>
        </w:rPr>
        <w:t>.</w:t>
      </w:r>
    </w:p>
    <w:p w:rsidR="00EA67B3" w:rsidRDefault="00EA67B3">
      <w:pPr>
        <w:pStyle w:val="Default"/>
        <w:jc w:val="both"/>
        <w:rPr>
          <w:rFonts w:ascii="Times New Roman" w:hAnsi="Times New Roman" w:cs="Times New Roman"/>
          <w:noProof/>
        </w:rPr>
      </w:pPr>
    </w:p>
    <w:p w:rsidR="00EA67B3" w:rsidRDefault="00BD5885">
      <w:pPr>
        <w:pStyle w:val="Default"/>
        <w:rPr>
          <w:rFonts w:ascii="Times New Roman" w:hAnsi="Times New Roman" w:cs="Times New Roman"/>
          <w:b/>
          <w:noProof/>
        </w:rPr>
      </w:pPr>
      <w:r>
        <w:rPr>
          <w:rFonts w:ascii="Times New Roman" w:hAnsi="Times New Roman"/>
          <w:b/>
          <w:noProof/>
        </w:rPr>
        <w:t xml:space="preserve">Φορολογική επιβάρυνση </w:t>
      </w:r>
    </w:p>
    <w:p w:rsidR="00EA67B3" w:rsidRDefault="00BD5885">
      <w:pPr>
        <w:pStyle w:val="Default"/>
        <w:jc w:val="both"/>
        <w:rPr>
          <w:rFonts w:ascii="Times New Roman" w:hAnsi="Times New Roman" w:cs="Times New Roman"/>
          <w:noProof/>
        </w:rPr>
      </w:pPr>
      <w:r>
        <w:rPr>
          <w:rFonts w:ascii="Times New Roman" w:hAnsi="Times New Roman"/>
          <w:noProof/>
        </w:rPr>
        <w:t>Μετά τη θέσπιση της ΣΜΤ</w:t>
      </w:r>
      <w:r>
        <w:rPr>
          <w:rFonts w:ascii="Times New Roman" w:hAnsi="Times New Roman"/>
          <w:noProof/>
        </w:rPr>
        <w:t xml:space="preserve"> τα κράτη μέλη πρέπει να υποβάλλουν έκθεση για την φορολογική επιβάρυνσή τους ως ποσοστό της ΣΜΤ (με βάση τη μέση τιμή των προϊόντων τα οποία διατέθηκαν στην κατανάλωση το προηγούμενο έτος). Όπως φαίνεται στο παράρτημα Ι.II, η φορολογική επιβάρυνση (συμπερ</w:t>
      </w:r>
      <w:r>
        <w:rPr>
          <w:rFonts w:ascii="Times New Roman" w:hAnsi="Times New Roman"/>
          <w:noProof/>
        </w:rPr>
        <w:t>ιλαμβανομένου του ΦΠΑ) στα τσιγάρα σε όλα τα κράτη μέλη παρουσιάζει διακυμάνσεις από έτος σε έτος. Εάν η ΣΜΤ αυξηθεί, η φορολογική επιβάρυνση θα μειωθεί εφόσον οι συντελεστές παραμείνουν αμετάβλητοι. Συνολικά, από τα στοιχεία συνάγεται ότι η φορολογική επι</w:t>
      </w:r>
      <w:r>
        <w:rPr>
          <w:rFonts w:ascii="Times New Roman" w:hAnsi="Times New Roman"/>
          <w:noProof/>
        </w:rPr>
        <w:t>βάρυνση στα τσιγάρα στην ΕΕ κυμάνθηκε το 2015 από μόλις κάτω του 70 % στο Λουξεμβούργο και στη Λετονία έως 85 % στο Ηνωμένο Βασίλειο. Το ποσοστό αυτό δεν παρέχει, ωστόσο, καμία ένδειξη για το ποσό του φόρου</w:t>
      </w:r>
      <w:r>
        <w:rPr>
          <w:rStyle w:val="FootnoteReference"/>
          <w:rFonts w:ascii="Times New Roman" w:hAnsi="Times New Roman"/>
          <w:noProof/>
        </w:rPr>
        <w:footnoteReference w:id="33"/>
      </w:r>
      <w:r>
        <w:rPr>
          <w:rFonts w:ascii="Times New Roman" w:hAnsi="Times New Roman"/>
          <w:noProof/>
        </w:rPr>
        <w:t>, καθώς η φορολογική επιβάρυνση εκφράζεται ως ποσ</w:t>
      </w:r>
      <w:r>
        <w:rPr>
          <w:rFonts w:ascii="Times New Roman" w:hAnsi="Times New Roman"/>
          <w:noProof/>
        </w:rPr>
        <w:t>οστό της ΣΜΤ, η οποία είναι διαφορετική σε κάθε κράτος μέλος</w:t>
      </w:r>
      <w:r>
        <w:rPr>
          <w:rStyle w:val="FootnoteReference"/>
          <w:rFonts w:ascii="Times New Roman" w:hAnsi="Times New Roman"/>
          <w:noProof/>
        </w:rPr>
        <w:footnoteReference w:id="34"/>
      </w:r>
      <w:r>
        <w:rPr>
          <w:noProof/>
        </w:rPr>
        <w:t>.</w:t>
      </w:r>
    </w:p>
    <w:p w:rsidR="00EA67B3" w:rsidRDefault="00BD5885">
      <w:pPr>
        <w:pStyle w:val="Default"/>
        <w:rPr>
          <w:rFonts w:ascii="Times New Roman" w:hAnsi="Times New Roman" w:cs="Times New Roman"/>
          <w:b/>
          <w:noProof/>
        </w:rPr>
      </w:pPr>
      <w:r>
        <w:rPr>
          <w:rFonts w:ascii="Times New Roman" w:hAnsi="Times New Roman" w:cs="Times New Roman"/>
          <w:b/>
          <w:noProof/>
        </w:rPr>
        <w:br/>
      </w:r>
      <w:r>
        <w:rPr>
          <w:rFonts w:ascii="Times New Roman" w:hAnsi="Times New Roman"/>
          <w:b/>
          <w:noProof/>
        </w:rPr>
        <w:t xml:space="preserve">Στοιχεία για την κατανάλωση και τα φορολογικά έσοδα </w:t>
      </w:r>
    </w:p>
    <w:p w:rsidR="00EA67B3" w:rsidRDefault="00BD5885">
      <w:pPr>
        <w:pStyle w:val="Default"/>
        <w:jc w:val="both"/>
        <w:rPr>
          <w:rFonts w:ascii="Times New Roman" w:hAnsi="Times New Roman" w:cs="Times New Roman"/>
          <w:noProof/>
        </w:rPr>
      </w:pPr>
      <w:r>
        <w:rPr>
          <w:rFonts w:ascii="Times New Roman" w:hAnsi="Times New Roman"/>
          <w:noProof/>
        </w:rPr>
        <w:t>Η ποσότητα τσιγάρων που διατέθηκε στην κατανάλωση μειώθηκε στα περισσότερα κράτη μέλη, ενώ η ποσότητα λεπτοκομμένου καπνού που διατέθηκε στ</w:t>
      </w:r>
      <w:r>
        <w:rPr>
          <w:rFonts w:ascii="Times New Roman" w:hAnsi="Times New Roman"/>
          <w:noProof/>
        </w:rPr>
        <w:t>ην κατανάλωση παρουσίασε διακυμάνσεις την περίοδο 2011-2014</w:t>
      </w:r>
      <w:r>
        <w:rPr>
          <w:rStyle w:val="FootnoteReference"/>
          <w:rFonts w:ascii="Times New Roman" w:hAnsi="Times New Roman"/>
          <w:noProof/>
        </w:rPr>
        <w:footnoteReference w:id="35"/>
      </w:r>
      <w:r>
        <w:rPr>
          <w:noProof/>
        </w:rPr>
        <w:t>.</w:t>
      </w:r>
      <w:r>
        <w:rPr>
          <w:rFonts w:ascii="Times New Roman" w:hAnsi="Times New Roman"/>
          <w:noProof/>
        </w:rPr>
        <w:t xml:space="preserve"> Η μείωση της ποσότητας τσιγάρων που διατέθηκαν στην κατανάλωση θα πρέπει να οφειλόταν σε διάφορους λόγους, για παράδειγμα, απαγορεύσεις της διαφήμισης, εκστρατείες κατά του καπνίσματος, απαγόρευ</w:t>
      </w:r>
      <w:r>
        <w:rPr>
          <w:rFonts w:ascii="Times New Roman" w:hAnsi="Times New Roman"/>
          <w:noProof/>
        </w:rPr>
        <w:t>ση του καπνίσματος σε δημόσιους χώρους, φορολόγηση του καπνού και της κατανάλωσης άλλων προϊόντων καπνού ή κυκλοφορία εναλλακτικών προϊόντων στην αγορά, όπως τα ηλεκτρονικά τσιγάρα ή θεραπείες υποκατάστασης της νικοτίνης. Στα παραρτήματα I.IV και I.VI παρα</w:t>
      </w:r>
      <w:r>
        <w:rPr>
          <w:rFonts w:ascii="Times New Roman" w:hAnsi="Times New Roman"/>
          <w:noProof/>
        </w:rPr>
        <w:t>τίθενται τα πακέτα τσιγάρων και τα γραμμάρια λεπτοκομμένου καπνού που διατέθηκαν στην κατανάλωση σε σχέση με τον πληθυσμό κάθε κράτους μέλους. Αυτό δεν αποτελεί ένδειξη του ποσοστού καπνιστών σε ένα κράτος μέλος, διότι ο βιομηχανοποιημένος καπνός που διατί</w:t>
      </w:r>
      <w:r>
        <w:rPr>
          <w:rFonts w:ascii="Times New Roman" w:hAnsi="Times New Roman"/>
          <w:noProof/>
        </w:rPr>
        <w:t>θεται στην κατανάλωση σε ένα κράτος μέλος μπορεί επίσης να καταναλώνεται από πολίτες άλλων κρατών μελών</w:t>
      </w:r>
      <w:r>
        <w:rPr>
          <w:rStyle w:val="FootnoteReference"/>
          <w:rFonts w:ascii="Times New Roman" w:hAnsi="Times New Roman"/>
          <w:noProof/>
        </w:rPr>
        <w:footnoteReference w:id="36"/>
      </w:r>
      <w:r>
        <w:rPr>
          <w:noProof/>
        </w:rPr>
        <w:t>.</w:t>
      </w:r>
      <w:r>
        <w:rPr>
          <w:rFonts w:ascii="Times New Roman" w:hAnsi="Times New Roman"/>
          <w:noProof/>
        </w:rPr>
        <w:t xml:space="preserve"> </w:t>
      </w:r>
    </w:p>
    <w:p w:rsidR="00EA67B3" w:rsidRDefault="00EA67B3">
      <w:pPr>
        <w:pStyle w:val="Default"/>
        <w:jc w:val="both"/>
        <w:rPr>
          <w:rFonts w:ascii="Times New Roman" w:hAnsi="Times New Roman" w:cs="Times New Roman"/>
          <w:noProof/>
        </w:rPr>
      </w:pPr>
    </w:p>
    <w:p w:rsidR="00EA67B3" w:rsidRDefault="00BD5885">
      <w:pPr>
        <w:pStyle w:val="Default"/>
        <w:jc w:val="both"/>
        <w:rPr>
          <w:rFonts w:ascii="Times New Roman" w:hAnsi="Times New Roman" w:cs="Times New Roman"/>
          <w:noProof/>
        </w:rPr>
      </w:pPr>
      <w:r>
        <w:rPr>
          <w:rFonts w:ascii="Times New Roman" w:hAnsi="Times New Roman"/>
          <w:noProof/>
        </w:rPr>
        <w:t>Το υψηλότερο ποσό εσόδων από ειδικούς φόρους κατανάλωσης εισπράττεται στα κράτη μέλη με τον μεγαλύτερο πληθυσμό</w:t>
      </w:r>
      <w:r>
        <w:rPr>
          <w:rStyle w:val="FootnoteReference"/>
          <w:rFonts w:ascii="Times New Roman" w:hAnsi="Times New Roman"/>
          <w:noProof/>
        </w:rPr>
        <w:footnoteReference w:id="37"/>
      </w:r>
      <w:r>
        <w:rPr>
          <w:noProof/>
        </w:rPr>
        <w:t>.</w:t>
      </w:r>
      <w:r>
        <w:rPr>
          <w:rFonts w:ascii="Times New Roman" w:hAnsi="Times New Roman"/>
          <w:noProof/>
        </w:rPr>
        <w:t xml:space="preserve"> Το μερίδιο των εσόδων από ειδικούς</w:t>
      </w:r>
      <w:r>
        <w:rPr>
          <w:rFonts w:ascii="Times New Roman" w:hAnsi="Times New Roman"/>
          <w:noProof/>
        </w:rPr>
        <w:t xml:space="preserve"> φόρους κατανάλωσης στα βιομηχανοποιημένα καπνά σε σχέση με τα συνολικά φορολογικά έσοδα διαφέρει μεταξύ κρατών μελών</w:t>
      </w:r>
      <w:r>
        <w:rPr>
          <w:rStyle w:val="FootnoteReference"/>
          <w:rFonts w:ascii="Times New Roman" w:hAnsi="Times New Roman"/>
          <w:noProof/>
        </w:rPr>
        <w:footnoteReference w:id="38"/>
      </w:r>
      <w:r>
        <w:rPr>
          <w:noProof/>
        </w:rPr>
        <w:t>.</w:t>
      </w:r>
    </w:p>
    <w:p w:rsidR="00EA67B3" w:rsidRDefault="00EA67B3">
      <w:pPr>
        <w:rPr>
          <w:b/>
          <w:bCs/>
          <w:i/>
          <w:iCs/>
          <w:noProof/>
        </w:rPr>
        <w:sectPr w:rsidR="00EA67B3">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pgNumType w:start="2"/>
          <w:cols w:space="708"/>
          <w:docGrid w:linePitch="360"/>
        </w:sectPr>
      </w:pPr>
    </w:p>
    <w:p w:rsidR="00EA67B3" w:rsidRDefault="00BD5885">
      <w:pPr>
        <w:pStyle w:val="Heading2"/>
        <w:rPr>
          <w:rFonts w:ascii="Times New Roman" w:hAnsi="Times New Roman"/>
          <w:b w:val="0"/>
          <w:i w:val="0"/>
          <w:smallCaps/>
          <w:noProof/>
          <w:sz w:val="24"/>
        </w:rPr>
      </w:pPr>
      <w:bookmarkStart w:id="43" w:name="_Annex_i_-"/>
      <w:bookmarkStart w:id="44" w:name="_Toc433017708"/>
      <w:bookmarkStart w:id="45" w:name="_Toc438194068"/>
      <w:bookmarkEnd w:id="43"/>
      <w:r>
        <w:rPr>
          <w:rFonts w:ascii="Times New Roman" w:hAnsi="Times New Roman"/>
          <w:b w:val="0"/>
          <w:i w:val="0"/>
          <w:smallCaps/>
          <w:noProof/>
          <w:sz w:val="24"/>
        </w:rPr>
        <w:t>Παράρτημα i.i - σταθμισμένη μέση τιμή τσιγάρων</w:t>
      </w:r>
      <w:bookmarkEnd w:id="44"/>
      <w:bookmarkEnd w:id="45"/>
      <w:r>
        <w:rPr>
          <w:rFonts w:ascii="Times New Roman" w:hAnsi="Times New Roman"/>
          <w:b w:val="0"/>
          <w:i w:val="0"/>
          <w:smallCaps/>
          <w:noProof/>
          <w:sz w:val="24"/>
        </w:rPr>
        <w:t xml:space="preserve"> </w:t>
      </w:r>
    </w:p>
    <w:p w:rsidR="00EA67B3" w:rsidRDefault="00BD5885">
      <w:pPr>
        <w:pStyle w:val="Heading2"/>
        <w:rPr>
          <w:rFonts w:ascii="Times New Roman Bold" w:hAnsi="Times New Roman Bold"/>
          <w:b w:val="0"/>
          <w:i w:val="0"/>
          <w:smallCaps/>
          <w:noProof/>
          <w:sz w:val="24"/>
          <w:szCs w:val="24"/>
        </w:rPr>
      </w:pPr>
      <w:bookmarkStart w:id="46" w:name="_Annex_ii_-"/>
      <w:bookmarkEnd w:id="46"/>
      <w:r>
        <w:rPr>
          <w:noProof/>
          <w:lang w:val="en-GB" w:eastAsia="en-GB" w:bidi="ar-SA"/>
        </w:rPr>
        <w:drawing>
          <wp:inline distT="0" distB="0" distL="0" distR="0" wp14:anchorId="71D7A687" wp14:editId="791C72D7">
            <wp:extent cx="7821445" cy="5109049"/>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821214" cy="5108898"/>
                    </a:xfrm>
                    <a:prstGeom prst="rect">
                      <a:avLst/>
                    </a:prstGeom>
                    <a:noFill/>
                    <a:ln>
                      <a:noFill/>
                    </a:ln>
                  </pic:spPr>
                </pic:pic>
              </a:graphicData>
            </a:graphic>
          </wp:inline>
        </w:drawing>
      </w:r>
      <w:r>
        <w:rPr>
          <w:noProof/>
        </w:rPr>
        <w:br w:type="page"/>
      </w:r>
      <w:bookmarkStart w:id="47" w:name="_Toc433017709"/>
      <w:bookmarkStart w:id="48" w:name="_Toc438194069"/>
      <w:r>
        <w:rPr>
          <w:rFonts w:ascii="Times New Roman Bold" w:hAnsi="Times New Roman Bold"/>
          <w:b w:val="0"/>
          <w:i w:val="0"/>
          <w:smallCaps/>
          <w:noProof/>
          <w:sz w:val="24"/>
        </w:rPr>
        <w:t xml:space="preserve">Παράρτημα i.ii - φορολογική </w:t>
      </w:r>
      <w:r>
        <w:rPr>
          <w:rFonts w:ascii="Times New Roman Bold" w:hAnsi="Times New Roman Bold"/>
          <w:b w:val="0"/>
          <w:i w:val="0"/>
          <w:smallCaps/>
          <w:noProof/>
          <w:sz w:val="24"/>
        </w:rPr>
        <w:t>επιβάρυνση των τσιγάρων</w:t>
      </w:r>
      <w:bookmarkEnd w:id="47"/>
      <w:bookmarkEnd w:id="48"/>
      <w:r>
        <w:rPr>
          <w:rFonts w:ascii="Times New Roman Bold" w:hAnsi="Times New Roman Bold"/>
          <w:b w:val="0"/>
          <w:i w:val="0"/>
          <w:smallCaps/>
          <w:noProof/>
          <w:sz w:val="24"/>
        </w:rPr>
        <w:t xml:space="preserve"> </w:t>
      </w:r>
    </w:p>
    <w:p w:rsidR="00EA67B3" w:rsidRDefault="00BD5885">
      <w:pPr>
        <w:pStyle w:val="Heading2"/>
        <w:rPr>
          <w:rFonts w:ascii="Times New Roman Bold" w:hAnsi="Times New Roman Bold"/>
          <w:i w:val="0"/>
          <w:smallCaps/>
          <w:noProof/>
          <w:sz w:val="24"/>
          <w:szCs w:val="24"/>
        </w:rPr>
      </w:pPr>
      <w:bookmarkStart w:id="49" w:name="_Toc421105018"/>
      <w:bookmarkStart w:id="50" w:name="_Toc421105081"/>
      <w:bookmarkStart w:id="51" w:name="_Toc421105111"/>
      <w:bookmarkStart w:id="52" w:name="_Toc421105145"/>
      <w:bookmarkStart w:id="53" w:name="_Toc421105345"/>
      <w:bookmarkStart w:id="54" w:name="_Toc421105388"/>
      <w:bookmarkStart w:id="55" w:name="_Toc421105418"/>
      <w:bookmarkStart w:id="56" w:name="_Toc421105448"/>
      <w:bookmarkStart w:id="57" w:name="_Toc421106437"/>
      <w:bookmarkStart w:id="58" w:name="_Toc421106544"/>
      <w:bookmarkStart w:id="59" w:name="_Toc421107038"/>
      <w:bookmarkStart w:id="60" w:name="_Toc422415812"/>
      <w:bookmarkStart w:id="61" w:name="_Toc422415842"/>
      <w:bookmarkStart w:id="62" w:name="_Toc425178786"/>
      <w:bookmarkStart w:id="63" w:name="_Toc425180615"/>
      <w:bookmarkStart w:id="64" w:name="_Toc425340050"/>
      <w:bookmarkStart w:id="65" w:name="_Toc425340464"/>
      <w:bookmarkStart w:id="66" w:name="_Toc425340833"/>
      <w:bookmarkStart w:id="67" w:name="_Toc425341870"/>
      <w:bookmarkStart w:id="68" w:name="_Toc425418478"/>
      <w:bookmarkStart w:id="69" w:name="_Toc425418658"/>
      <w:bookmarkStart w:id="70" w:name="_Toc425418897"/>
      <w:bookmarkStart w:id="71" w:name="_Toc429757745"/>
      <w:bookmarkStart w:id="72" w:name="_Toc430010781"/>
      <w:bookmarkStart w:id="73" w:name="_Toc430767857"/>
      <w:bookmarkStart w:id="74" w:name="_Toc430791817"/>
      <w:bookmarkStart w:id="75" w:name="_Toc430795749"/>
      <w:bookmarkStart w:id="76" w:name="_Toc430871302"/>
      <w:bookmarkStart w:id="77" w:name="_Toc430878515"/>
      <w:bookmarkStart w:id="78" w:name="_Toc431198052"/>
      <w:bookmarkStart w:id="79" w:name="_Toc431973487"/>
      <w:bookmarkStart w:id="80" w:name="_Toc432782049"/>
      <w:bookmarkStart w:id="81" w:name="_Toc433014254"/>
      <w:bookmarkStart w:id="82" w:name="_Toc433015285"/>
      <w:bookmarkStart w:id="83" w:name="_Toc433015378"/>
      <w:bookmarkStart w:id="84" w:name="_Toc433016189"/>
      <w:bookmarkStart w:id="85" w:name="_Toc433016509"/>
      <w:bookmarkStart w:id="86" w:name="_Toc43301771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noProof/>
          <w:lang w:val="en-GB" w:eastAsia="en-GB" w:bidi="ar-SA"/>
        </w:rPr>
        <w:drawing>
          <wp:inline distT="0" distB="0" distL="0" distR="0" wp14:anchorId="536E8E3A" wp14:editId="5353251B">
            <wp:extent cx="7768791" cy="5062529"/>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69097" cy="5062728"/>
                    </a:xfrm>
                    <a:prstGeom prst="rect">
                      <a:avLst/>
                    </a:prstGeom>
                    <a:noFill/>
                    <a:ln>
                      <a:noFill/>
                    </a:ln>
                  </pic:spPr>
                </pic:pic>
              </a:graphicData>
            </a:graphic>
          </wp:inline>
        </w:drawing>
      </w:r>
    </w:p>
    <w:p w:rsidR="00EA67B3" w:rsidRDefault="00BD5885">
      <w:pPr>
        <w:pStyle w:val="Heading2"/>
        <w:rPr>
          <w:rFonts w:ascii="Times New Roman Bold" w:hAnsi="Times New Roman Bold"/>
          <w:b w:val="0"/>
          <w:i w:val="0"/>
          <w:smallCaps/>
          <w:noProof/>
          <w:sz w:val="24"/>
          <w:szCs w:val="24"/>
        </w:rPr>
      </w:pPr>
      <w:bookmarkStart w:id="87" w:name="_Toc433017711"/>
      <w:bookmarkStart w:id="88" w:name="_Toc438194071"/>
      <w:r>
        <w:rPr>
          <w:rFonts w:ascii="Times New Roman Bold" w:hAnsi="Times New Roman Bold"/>
          <w:b w:val="0"/>
          <w:i w:val="0"/>
          <w:smallCaps/>
          <w:noProof/>
          <w:sz w:val="24"/>
        </w:rPr>
        <w:t>Παράρτημα i.iii - στοιχεία για την κατανάλωση τσιγάρων</w:t>
      </w:r>
      <w:bookmarkEnd w:id="87"/>
      <w:bookmarkEnd w:id="88"/>
    </w:p>
    <w:p w:rsidR="00EA67B3" w:rsidRDefault="00BD5885">
      <w:pPr>
        <w:rPr>
          <w:noProof/>
        </w:rPr>
      </w:pPr>
      <w:r>
        <w:rPr>
          <w:noProof/>
          <w:lang w:val="en-GB" w:eastAsia="en-GB" w:bidi="ar-SA"/>
        </w:rPr>
        <w:drawing>
          <wp:inline distT="0" distB="0" distL="0" distR="0" wp14:anchorId="37C35513" wp14:editId="5BA392B1">
            <wp:extent cx="7980218" cy="520295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80218" cy="5202950"/>
                    </a:xfrm>
                    <a:prstGeom prst="rect">
                      <a:avLst/>
                    </a:prstGeom>
                    <a:noFill/>
                    <a:ln>
                      <a:noFill/>
                    </a:ln>
                  </pic:spPr>
                </pic:pic>
              </a:graphicData>
            </a:graphic>
          </wp:inline>
        </w:drawing>
      </w:r>
    </w:p>
    <w:p w:rsidR="00EA67B3" w:rsidRDefault="00BD5885">
      <w:pPr>
        <w:pStyle w:val="Heading2"/>
        <w:rPr>
          <w:rFonts w:ascii="Times New Roman Bold" w:hAnsi="Times New Roman Bold"/>
          <w:b w:val="0"/>
          <w:i w:val="0"/>
          <w:smallCaps/>
          <w:noProof/>
          <w:sz w:val="24"/>
          <w:szCs w:val="24"/>
        </w:rPr>
      </w:pPr>
      <w:r>
        <w:rPr>
          <w:noProof/>
        </w:rPr>
        <w:br w:type="page"/>
      </w:r>
      <w:bookmarkStart w:id="89" w:name="_Toc433017712"/>
      <w:r>
        <w:rPr>
          <w:rFonts w:ascii="Times New Roman Bold" w:hAnsi="Times New Roman Bold"/>
          <w:i w:val="0"/>
          <w:smallCaps/>
          <w:noProof/>
          <w:sz w:val="24"/>
        </w:rPr>
        <w:t xml:space="preserve"> </w:t>
      </w:r>
      <w:bookmarkStart w:id="90" w:name="_Annex_vi_-"/>
      <w:bookmarkStart w:id="91" w:name="_Toc438194072"/>
      <w:bookmarkEnd w:id="90"/>
      <w:r>
        <w:rPr>
          <w:rFonts w:ascii="Times New Roman Bold" w:hAnsi="Times New Roman Bold"/>
          <w:b w:val="0"/>
          <w:i w:val="0"/>
          <w:smallCaps/>
          <w:noProof/>
          <w:sz w:val="24"/>
        </w:rPr>
        <w:t>Παράρτημα i.iv – πακέτα τσιγάρων ανά ενήλικο</w:t>
      </w:r>
      <w:bookmarkEnd w:id="89"/>
      <w:bookmarkEnd w:id="91"/>
    </w:p>
    <w:p w:rsidR="00EA67B3" w:rsidRDefault="00BD5885">
      <w:pPr>
        <w:pStyle w:val="Heading2"/>
        <w:rPr>
          <w:rFonts w:ascii="Times New Roman" w:hAnsi="Times New Roman"/>
          <w:b w:val="0"/>
          <w:i w:val="0"/>
          <w:smallCaps/>
          <w:noProof/>
          <w:sz w:val="24"/>
          <w:szCs w:val="24"/>
        </w:rPr>
      </w:pPr>
      <w:bookmarkStart w:id="92" w:name="_Toc438194073"/>
      <w:r>
        <w:rPr>
          <w:noProof/>
          <w:lang w:val="en-GB" w:eastAsia="en-GB" w:bidi="ar-SA"/>
        </w:rPr>
        <w:drawing>
          <wp:inline distT="0" distB="0" distL="0" distR="0" wp14:anchorId="2D3F7382" wp14:editId="763F0895">
            <wp:extent cx="8104909" cy="52863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04960" cy="5286396"/>
                    </a:xfrm>
                    <a:prstGeom prst="rect">
                      <a:avLst/>
                    </a:prstGeom>
                    <a:noFill/>
                    <a:ln>
                      <a:noFill/>
                    </a:ln>
                  </pic:spPr>
                </pic:pic>
              </a:graphicData>
            </a:graphic>
          </wp:inline>
        </w:drawing>
      </w:r>
      <w:r>
        <w:rPr>
          <w:noProof/>
        </w:rPr>
        <w:br w:type="page"/>
      </w:r>
      <w:bookmarkStart w:id="93" w:name="_Toc433017713"/>
      <w:bookmarkStart w:id="94" w:name="_Toc425340056"/>
      <w:bookmarkStart w:id="95" w:name="_Toc425340470"/>
      <w:r>
        <w:rPr>
          <w:rFonts w:ascii="Times New Roman Bold" w:hAnsi="Times New Roman Bold"/>
          <w:b w:val="0"/>
          <w:i w:val="0"/>
          <w:smallCaps/>
          <w:noProof/>
          <w:sz w:val="24"/>
        </w:rPr>
        <w:t>Παράρτημα i.v - στοιχεία για την κατανάλωση λεπτοκομμένου καπνού</w:t>
      </w:r>
      <w:bookmarkEnd w:id="92"/>
      <w:bookmarkEnd w:id="93"/>
    </w:p>
    <w:p w:rsidR="00EA67B3" w:rsidRDefault="00BD5885">
      <w:pPr>
        <w:pStyle w:val="Heading2"/>
        <w:rPr>
          <w:rFonts w:ascii="Times New Roman Bold" w:hAnsi="Times New Roman Bold"/>
          <w:i w:val="0"/>
          <w:smallCaps/>
          <w:noProof/>
          <w:sz w:val="24"/>
          <w:szCs w:val="24"/>
        </w:rPr>
      </w:pPr>
      <w:r>
        <w:rPr>
          <w:noProof/>
          <w:lang w:val="en-GB" w:eastAsia="en-GB" w:bidi="ar-SA"/>
        </w:rPr>
        <w:drawing>
          <wp:inline distT="0" distB="0" distL="0" distR="0" wp14:anchorId="6B392B78" wp14:editId="0B4597A7">
            <wp:extent cx="7451542" cy="4865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53423" cy="4866803"/>
                    </a:xfrm>
                    <a:prstGeom prst="rect">
                      <a:avLst/>
                    </a:prstGeom>
                    <a:noFill/>
                    <a:ln>
                      <a:noFill/>
                    </a:ln>
                  </pic:spPr>
                </pic:pic>
              </a:graphicData>
            </a:graphic>
          </wp:inline>
        </w:drawing>
      </w:r>
    </w:p>
    <w:p w:rsidR="00EA67B3" w:rsidRDefault="00BD5885">
      <w:pPr>
        <w:pStyle w:val="Heading2"/>
        <w:rPr>
          <w:rFonts w:ascii="Times New Roman" w:hAnsi="Times New Roman"/>
          <w:b w:val="0"/>
          <w:i w:val="0"/>
          <w:smallCaps/>
          <w:noProof/>
          <w:sz w:val="24"/>
        </w:rPr>
      </w:pPr>
      <w:r>
        <w:rPr>
          <w:noProof/>
        </w:rPr>
        <w:br w:type="page"/>
      </w:r>
      <w:bookmarkStart w:id="96" w:name="_Toc433017714"/>
      <w:bookmarkStart w:id="97" w:name="_Toc438194075"/>
      <w:bookmarkStart w:id="98" w:name="_GoBack"/>
      <w:bookmarkEnd w:id="98"/>
      <w:r>
        <w:rPr>
          <w:rFonts w:ascii="Times New Roman" w:hAnsi="Times New Roman"/>
          <w:b w:val="0"/>
          <w:i w:val="0"/>
          <w:smallCaps/>
          <w:noProof/>
          <w:sz w:val="24"/>
        </w:rPr>
        <w:t>Παράρτημα i.vi – λεπτοκομμένος καπνός ανά ενήλικο</w:t>
      </w:r>
      <w:bookmarkEnd w:id="96"/>
      <w:bookmarkEnd w:id="97"/>
    </w:p>
    <w:p w:rsidR="00EA67B3" w:rsidRDefault="00BD5885">
      <w:pPr>
        <w:pStyle w:val="Heading2"/>
        <w:rPr>
          <w:rFonts w:ascii="Times New Roman Bold" w:hAnsi="Times New Roman Bold"/>
          <w:b w:val="0"/>
          <w:i w:val="0"/>
          <w:smallCaps/>
          <w:noProof/>
          <w:sz w:val="24"/>
          <w:szCs w:val="24"/>
        </w:rPr>
      </w:pPr>
      <w:bookmarkStart w:id="99" w:name="_Toc438194076"/>
      <w:r>
        <w:rPr>
          <w:noProof/>
          <w:lang w:val="en-GB" w:eastAsia="en-GB" w:bidi="ar-SA"/>
        </w:rPr>
        <w:drawing>
          <wp:inline distT="0" distB="0" distL="0" distR="0" wp14:anchorId="07D79B4B" wp14:editId="756D3381">
            <wp:extent cx="7702771" cy="5022059"/>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703107" cy="5022278"/>
                    </a:xfrm>
                    <a:prstGeom prst="rect">
                      <a:avLst/>
                    </a:prstGeom>
                    <a:noFill/>
                    <a:ln>
                      <a:noFill/>
                    </a:ln>
                  </pic:spPr>
                </pic:pic>
              </a:graphicData>
            </a:graphic>
          </wp:inline>
        </w:drawing>
      </w:r>
      <w:r>
        <w:rPr>
          <w:noProof/>
        </w:rPr>
        <w:br w:type="page"/>
      </w:r>
      <w:bookmarkStart w:id="100" w:name="_Toc433017715"/>
      <w:bookmarkEnd w:id="94"/>
      <w:bookmarkEnd w:id="95"/>
      <w:r>
        <w:rPr>
          <w:rFonts w:ascii="Times New Roman Bold" w:hAnsi="Times New Roman Bold"/>
          <w:b w:val="0"/>
          <w:i w:val="0"/>
          <w:smallCaps/>
          <w:noProof/>
          <w:sz w:val="24"/>
        </w:rPr>
        <w:t>Παρ</w:t>
      </w:r>
      <w:r>
        <w:rPr>
          <w:rFonts w:ascii="Times New Roman Bold" w:hAnsi="Times New Roman Bold"/>
          <w:b w:val="0"/>
          <w:i w:val="0"/>
          <w:smallCaps/>
          <w:noProof/>
          <w:sz w:val="24"/>
        </w:rPr>
        <w:t>άρτημα i.vii - φορολογικά έσοδα</w:t>
      </w:r>
      <w:bookmarkEnd w:id="99"/>
      <w:bookmarkEnd w:id="100"/>
      <w:r>
        <w:rPr>
          <w:rFonts w:ascii="Times New Roman Bold" w:hAnsi="Times New Roman Bold"/>
          <w:b w:val="0"/>
          <w:i w:val="0"/>
          <w:smallCaps/>
          <w:noProof/>
          <w:sz w:val="24"/>
        </w:rPr>
        <w:t xml:space="preserve"> </w:t>
      </w:r>
    </w:p>
    <w:p w:rsidR="00EA67B3" w:rsidRDefault="00BD5885">
      <w:pPr>
        <w:pStyle w:val="Heading2"/>
        <w:rPr>
          <w:rFonts w:ascii="Times New Roman Bold" w:hAnsi="Times New Roman Bold"/>
          <w:i w:val="0"/>
          <w:smallCaps/>
          <w:noProof/>
          <w:sz w:val="24"/>
          <w:szCs w:val="24"/>
        </w:rPr>
      </w:pPr>
      <w:r>
        <w:rPr>
          <w:noProof/>
          <w:lang w:val="en-GB" w:eastAsia="en-GB" w:bidi="ar-SA"/>
        </w:rPr>
        <w:drawing>
          <wp:inline distT="0" distB="0" distL="0" distR="0" wp14:anchorId="795DE2F5" wp14:editId="21D8BE07">
            <wp:extent cx="7938654" cy="518364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938556" cy="5183576"/>
                    </a:xfrm>
                    <a:prstGeom prst="rect">
                      <a:avLst/>
                    </a:prstGeom>
                    <a:noFill/>
                    <a:ln>
                      <a:noFill/>
                    </a:ln>
                  </pic:spPr>
                </pic:pic>
              </a:graphicData>
            </a:graphic>
          </wp:inline>
        </w:drawing>
      </w:r>
    </w:p>
    <w:p w:rsidR="00EA67B3" w:rsidRDefault="00BD5885">
      <w:pPr>
        <w:pStyle w:val="Heading2"/>
        <w:rPr>
          <w:noProof/>
        </w:rPr>
      </w:pPr>
      <w:r>
        <w:rPr>
          <w:noProof/>
        </w:rPr>
        <w:br w:type="page"/>
      </w:r>
      <w:bookmarkStart w:id="101" w:name="_Toc433017716"/>
      <w:bookmarkStart w:id="102" w:name="_Toc438194078"/>
      <w:r>
        <w:rPr>
          <w:rFonts w:ascii="Times New Roman Bold" w:hAnsi="Times New Roman Bold"/>
          <w:b w:val="0"/>
          <w:i w:val="0"/>
          <w:smallCaps/>
          <w:noProof/>
          <w:sz w:val="24"/>
        </w:rPr>
        <w:t>Παράρτημα i.viii – έσοδα από τον καπνό σε σχέση με τα συνολικά φορολογικά έσοδα</w:t>
      </w:r>
      <w:bookmarkEnd w:id="101"/>
      <w:bookmarkEnd w:id="102"/>
    </w:p>
    <w:p w:rsidR="00EA67B3" w:rsidRDefault="00BD5885">
      <w:pPr>
        <w:pStyle w:val="Heading2"/>
        <w:rPr>
          <w:noProof/>
        </w:rPr>
      </w:pPr>
      <w:r>
        <w:rPr>
          <w:noProof/>
          <w:lang w:val="en-GB" w:eastAsia="en-GB" w:bidi="ar-SA"/>
        </w:rPr>
        <w:drawing>
          <wp:inline distT="0" distB="0" distL="0" distR="0" wp14:anchorId="12FED11C" wp14:editId="54A8EC59">
            <wp:extent cx="7834746" cy="511015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841215" cy="5114371"/>
                    </a:xfrm>
                    <a:prstGeom prst="rect">
                      <a:avLst/>
                    </a:prstGeom>
                    <a:noFill/>
                    <a:ln>
                      <a:noFill/>
                    </a:ln>
                  </pic:spPr>
                </pic:pic>
              </a:graphicData>
            </a:graphic>
          </wp:inline>
        </w:drawing>
      </w:r>
    </w:p>
    <w:sectPr w:rsidR="00EA67B3">
      <w:headerReference w:type="even" r:id="rId35"/>
      <w:headerReference w:type="default" r:id="rId36"/>
      <w:footerReference w:type="even" r:id="rId37"/>
      <w:footerReference w:type="default" r:id="rId38"/>
      <w:headerReference w:type="first" r:id="rId39"/>
      <w:footerReference w:type="first" r:id="rId4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7B3" w:rsidRDefault="00BD5885">
      <w:pPr>
        <w:spacing w:after="0" w:line="240" w:lineRule="auto"/>
      </w:pPr>
      <w:r>
        <w:separator/>
      </w:r>
    </w:p>
  </w:endnote>
  <w:endnote w:type="continuationSeparator" w:id="0">
    <w:p w:rsidR="00EA67B3" w:rsidRDefault="00BD5885">
      <w:pPr>
        <w:spacing w:after="0" w:line="240" w:lineRule="auto"/>
      </w:pPr>
      <w:r>
        <w:continuationSeparator/>
      </w:r>
    </w:p>
  </w:endnote>
  <w:endnote w:type="continuationNotice" w:id="1">
    <w:p w:rsidR="00EA67B3" w:rsidRDefault="00EA6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BD5885">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BD5885">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p w:rsidR="00EA67B3" w:rsidRDefault="00EA67B3">
    <w:pPr>
      <w:pStyle w:val="Foote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BD5885">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24</w:t>
    </w:r>
    <w:r>
      <w:rPr>
        <w:rFonts w:ascii="Times New Roman" w:hAnsi="Times New Roman"/>
        <w:noProof/>
      </w:rPr>
      <w:fldChar w:fldCharType="end"/>
    </w:r>
  </w:p>
  <w:p w:rsidR="00EA67B3" w:rsidRDefault="00EA67B3">
    <w:pPr>
      <w:pStyle w:val="Footer"/>
      <w:rPr>
        <w:rFonts w:ascii="Times New Roman" w:hAnsi="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7B3" w:rsidRDefault="00BD5885">
      <w:pPr>
        <w:spacing w:after="0" w:line="240" w:lineRule="auto"/>
      </w:pPr>
      <w:r>
        <w:separator/>
      </w:r>
    </w:p>
  </w:footnote>
  <w:footnote w:type="continuationSeparator" w:id="0">
    <w:p w:rsidR="00EA67B3" w:rsidRDefault="00BD5885">
      <w:pPr>
        <w:spacing w:after="0" w:line="240" w:lineRule="auto"/>
      </w:pPr>
      <w:r>
        <w:continuationSeparator/>
      </w:r>
    </w:p>
  </w:footnote>
  <w:footnote w:type="continuationNotice" w:id="1">
    <w:p w:rsidR="00EA67B3" w:rsidRDefault="00EA67B3">
      <w:pPr>
        <w:spacing w:after="0" w:line="240" w:lineRule="auto"/>
      </w:pPr>
    </w:p>
  </w:footnote>
  <w:footnote w:id="2">
    <w:p w:rsidR="00EA67B3" w:rsidRDefault="00BD5885">
      <w:pPr>
        <w:pStyle w:val="FootnoteText"/>
        <w:rPr>
          <w:rStyle w:val="FootnoteReference"/>
          <w:vertAlign w:val="baseline"/>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Οδηγία 2011/64/ΕΕ του Συμβουλίου</w:t>
        </w:r>
      </w:hyperlink>
      <w:r>
        <w:rPr>
          <w:rStyle w:val="FootnoteReference"/>
          <w:rFonts w:ascii="Times New Roman" w:hAnsi="Times New Roman"/>
          <w:vertAlign w:val="baseline"/>
        </w:rPr>
        <w:t xml:space="preserve"> , της 21ης Ιουνίου 2011, για τη διάρθρωση και τους συντελεστές του ειδικού φόρου κατανάλωσης που εφαρμόζονται στα βιομηχα</w:t>
      </w:r>
      <w:r>
        <w:rPr>
          <w:rStyle w:val="FootnoteReference"/>
          <w:rFonts w:ascii="Times New Roman" w:hAnsi="Times New Roman"/>
          <w:vertAlign w:val="baseline"/>
        </w:rPr>
        <w:t>νοποιημένα καπνά</w:t>
      </w:r>
    </w:p>
  </w:footnote>
  <w:footnote w:id="3">
    <w:p w:rsidR="00EA67B3" w:rsidRDefault="00BD5885">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p>
    <w:p w:rsidR="00EA67B3" w:rsidRDefault="00BD5885">
      <w:pPr>
        <w:pStyle w:val="FootnoteText"/>
        <w:spacing w:after="0" w:line="240" w:lineRule="auto"/>
        <w:rPr>
          <w:rFonts w:ascii="Times New Roman" w:hAnsi="Times New Roman"/>
        </w:rPr>
      </w:pPr>
      <w:r>
        <w:rPr>
          <w:rFonts w:ascii="Times New Roman" w:hAnsi="Times New Roman"/>
        </w:rPr>
        <w:t>COM (1995) 285</w:t>
      </w:r>
      <w:r>
        <w:rPr>
          <w:rFonts w:ascii="Times New Roman" w:hAnsi="Times New Roman"/>
        </w:rPr>
        <w:br/>
        <w:t>COM (1998) 320</w:t>
      </w:r>
      <w:r>
        <w:rPr>
          <w:rFonts w:ascii="Times New Roman" w:hAnsi="Times New Roman"/>
        </w:rPr>
        <w:br/>
        <w:t>COM (2001) 133</w:t>
      </w:r>
      <w:r>
        <w:rPr>
          <w:rFonts w:ascii="Times New Roman" w:hAnsi="Times New Roman"/>
        </w:rPr>
        <w:br/>
        <w:t xml:space="preserve">COM (2008) 460 </w:t>
      </w:r>
      <w:r>
        <w:rPr>
          <w:rFonts w:ascii="Times New Roman" w:hAnsi="Times New Roman"/>
        </w:rPr>
        <w:br/>
        <w:t>Η τελευταία έκθεση του 2008 οδήγησε στην οδηγία 2010/12/ΕΕ του Συμβουλίου, της 16ης Φεβρουαρίου 2010, για την τροποποίηση των οδηγιών 92/79/ΕΟΚ, 92/80/ΕΟΚ και 95/59/ΕΚ όσον αφ</w:t>
      </w:r>
      <w:r>
        <w:rPr>
          <w:rFonts w:ascii="Times New Roman" w:hAnsi="Times New Roman"/>
        </w:rPr>
        <w:t>ορά τη δομή και τους συντελεστές του ειδικού φόρου κατανάλωσης που επιβάλλεται στα βιομηχανοποιημένα καπνά και της οδηγίας 2008/118/ΕΚ.</w:t>
      </w:r>
    </w:p>
    <w:p w:rsidR="00EA67B3" w:rsidRDefault="00BD5885">
      <w:pPr>
        <w:pStyle w:val="FootnoteText"/>
        <w:spacing w:after="0" w:line="240" w:lineRule="auto"/>
        <w:rPr>
          <w:rFonts w:ascii="Times New Roman" w:hAnsi="Times New Roman"/>
        </w:rPr>
      </w:pPr>
      <w:r>
        <w:rPr>
          <w:rFonts w:ascii="Times New Roman" w:hAnsi="Times New Roman"/>
        </w:rPr>
        <w:t xml:space="preserve"> </w:t>
      </w:r>
    </w:p>
  </w:footnote>
  <w:footnote w:id="4">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Το REFIT είναι ένα πρόγραμμα για την επανεξέταση του συνόλου της νομοθεσίας της ΕΕ, για τον εντοπισμό του φόρτου, τω</w:t>
      </w:r>
      <w:r>
        <w:rPr>
          <w:rFonts w:ascii="Times New Roman" w:hAnsi="Times New Roman"/>
        </w:rPr>
        <w:t xml:space="preserve">ν ανακολουθιών, των κενών ή των αναποτελεσματικών μέτρων, και για την υποβολή των αναγκαίων προτάσεων προκειμένου να ληφθούν υπόψη οι διαπιστώσεις της επανεξέτασης. </w:t>
      </w:r>
    </w:p>
  </w:footnote>
  <w:footnote w:id="5">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Άρθρο 10 και άρθρο 14 της οδηγίας 2011/64/ΕΕ.</w:t>
      </w:r>
    </w:p>
  </w:footnote>
  <w:footnote w:id="6">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Άρθρο 26, άρθρο 113 και άρθρο 168 της </w:t>
      </w:r>
      <w:hyperlink r:id="rId2">
        <w:r>
          <w:rPr>
            <w:rStyle w:val="Hyperlink"/>
            <w:rFonts w:ascii="Times New Roman" w:hAnsi="Times New Roman"/>
          </w:rPr>
          <w:t>Συνθήκης για τη λειτουργία της Ευρωπαϊκής Ένωσης</w:t>
        </w:r>
      </w:hyperlink>
    </w:p>
  </w:footnote>
  <w:footnote w:id="7">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Εκτός της κατάστασης που περιγράφεται στο άρθρο 32 της οδηγίας 2008/118/ΕΚ.</w:t>
      </w:r>
    </w:p>
  </w:footnote>
  <w:footnote w:id="8">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http://ec.europa.eu/smart-regu</w:t>
      </w:r>
      <w:r>
        <w:rPr>
          <w:rFonts w:ascii="Times New Roman" w:hAnsi="Times New Roman"/>
        </w:rPr>
        <w:t>lation/guidelines/toc_guide_en.htm</w:t>
      </w:r>
    </w:p>
  </w:footnote>
  <w:footnote w:id="9">
    <w:p w:rsidR="00EA67B3" w:rsidRDefault="00BD5885">
      <w:pPr>
        <w:pStyle w:val="FootnoteText"/>
      </w:pPr>
      <w:r>
        <w:rPr>
          <w:rStyle w:val="FootnoteReference"/>
          <w:rFonts w:ascii="Times New Roman" w:hAnsi="Times New Roman"/>
        </w:rPr>
        <w:footnoteRef/>
      </w:r>
      <w:r>
        <w:rPr>
          <w:rFonts w:ascii="Times New Roman" w:hAnsi="Times New Roman"/>
        </w:rPr>
        <w:t xml:space="preserve"> Σύμφωνα με τις νέες «Κατευθυντήριες γραμμές για τη βελτίωση της νομοθεσίας», κάθε αξιολόγηση πρέπει να αποτιμά την αποτελεσματικότητα, την αποδοτικότητα, τη συνάφεια, τη συνοχή και την προστιθέμενη αξία για την ΕΕ.</w:t>
      </w:r>
    </w:p>
  </w:footnote>
  <w:footnote w:id="10">
    <w:p w:rsidR="00EA67B3" w:rsidRDefault="00BD5885">
      <w:pPr>
        <w:pStyle w:val="FootnoteText"/>
        <w:rPr>
          <w:rFonts w:ascii="Times New Roman" w:hAnsi="Times New Roman"/>
        </w:rPr>
      </w:pPr>
      <w:r>
        <w:rPr>
          <w:rStyle w:val="FootnoteReference"/>
          <w:rFonts w:ascii="Times New Roman" w:hAnsi="Times New Roman"/>
        </w:rPr>
        <w:footnoteRef/>
      </w:r>
      <w:r>
        <w:rPr>
          <w:rStyle w:val="FootnoteReference"/>
          <w:rFonts w:ascii="Times New Roman" w:hAnsi="Times New Roman"/>
        </w:rPr>
        <w:t xml:space="preserve"> </w:t>
      </w:r>
      <w:hyperlink r:id="rId3">
        <w:r>
          <w:rPr>
            <w:rStyle w:val="Hyperlink"/>
            <w:rFonts w:ascii="Times New Roman" w:hAnsi="Times New Roman"/>
          </w:rPr>
          <w:t>Οδηγία 2011/64/ΕΕ του Συμβουλίου</w:t>
        </w:r>
      </w:hyperlink>
      <w:r>
        <w:rPr>
          <w:rStyle w:val="FootnoteReference"/>
          <w:rFonts w:ascii="Times New Roman" w:hAnsi="Times New Roman"/>
        </w:rPr>
        <w:t xml:space="preserve">, </w:t>
      </w:r>
      <w:r>
        <w:t>της 21ης Ιουνίου 2011, για τη διάρθρωση και τους συντελεστές του ειδικού φόρου κατανάλωσης που εφαρμόζονται στα βιομηχαν</w:t>
      </w:r>
      <w:r>
        <w:t xml:space="preserve">οποιημένα καπνά </w:t>
      </w:r>
      <w:hyperlink r:id="rId4">
        <w:r>
          <w:rPr>
            <w:rStyle w:val="Hyperlink"/>
            <w:rFonts w:ascii="Times New Roman" w:hAnsi="Times New Roman"/>
          </w:rPr>
          <w:t>Οδηγία 2008/118/ΕΚ του Συμβουλίου,</w:t>
        </w:r>
      </w:hyperlink>
      <w:r>
        <w:rPr>
          <w:rStyle w:val="FootnoteReference"/>
          <w:rFonts w:ascii="Times New Roman" w:hAnsi="Times New Roman"/>
        </w:rPr>
        <w:t xml:space="preserve"> </w:t>
      </w:r>
      <w:r>
        <w:t>της 16ης Δεκεμβρίου 2008, σχετικά με το γενικό καθεστώς των ειδικών φόρων κατανάλωσης και για την κατ</w:t>
      </w:r>
      <w:r>
        <w:t>άργηση της</w:t>
      </w:r>
      <w:r>
        <w:rPr>
          <w:rStyle w:val="FootnoteReference"/>
          <w:rFonts w:ascii="Times New Roman" w:hAnsi="Times New Roman"/>
        </w:rPr>
        <w:t xml:space="preserve"> </w:t>
      </w:r>
      <w:hyperlink r:id="rId5">
        <w:r>
          <w:rPr>
            <w:rStyle w:val="Hyperlink"/>
            <w:rFonts w:ascii="Times New Roman" w:hAnsi="Times New Roman"/>
          </w:rPr>
          <w:t>οδηγίας 92/12/ΕΟΚ</w:t>
        </w:r>
      </w:hyperlink>
      <w:r>
        <w:rPr>
          <w:rFonts w:ascii="Times New Roman" w:hAnsi="Times New Roman"/>
        </w:rPr>
        <w:t>.</w:t>
      </w:r>
    </w:p>
  </w:footnote>
  <w:footnote w:id="11">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Άρθρο 10 και άρθρο 14 της οδηγίας 2011/64/ΕΕ.</w:t>
      </w:r>
    </w:p>
  </w:footnote>
  <w:footnote w:id="12">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Γερμανία, Δανία, Φινλανδία, Ελλάδα, Πολωνία, Ρουμανία και Ηνωμένο Βασίλειο.</w:t>
      </w:r>
    </w:p>
  </w:footnote>
  <w:footnote w:id="13">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Άρθρο 7 παράγραφος 4 και άρθρο 8 παράγραφος 6 της οδηγίας 2011/64/ΕΕ</w:t>
      </w:r>
    </w:p>
  </w:footnote>
  <w:footnote w:id="14">
    <w:p w:rsidR="00EA67B3" w:rsidRDefault="00BD5885">
      <w:pPr>
        <w:pStyle w:val="doc-ti"/>
        <w:rPr>
          <w:sz w:val="20"/>
          <w:szCs w:val="20"/>
        </w:rPr>
      </w:pPr>
      <w:r>
        <w:rPr>
          <w:rStyle w:val="FootnoteReference"/>
          <w:sz w:val="20"/>
        </w:rPr>
        <w:footnoteRef/>
      </w:r>
      <w:r>
        <w:rPr>
          <w:sz w:val="20"/>
        </w:rPr>
        <w:t xml:space="preserve"> </w:t>
      </w:r>
      <w:hyperlink r:id="rId6">
        <w:r>
          <w:rPr>
            <w:rStyle w:val="Hyperlink"/>
            <w:sz w:val="20"/>
          </w:rPr>
          <w:t>Οδηγία 2014/40/ΕΕ</w:t>
        </w:r>
      </w:hyperlink>
      <w:r>
        <w:rPr>
          <w:sz w:val="20"/>
        </w:rPr>
        <w:t xml:space="preserve"> του Ευρωπαϊκού Κοινοβουλίου και του Συμβουλίου, της 3ης Απριλίου 2014, για την προσέγγιση</w:t>
      </w:r>
      <w:r>
        <w:rPr>
          <w:sz w:val="20"/>
        </w:rPr>
        <w:t xml:space="preserve">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w:t>
      </w:r>
      <w:hyperlink r:id="rId7">
        <w:r>
          <w:rPr>
            <w:rStyle w:val="Hyperlink"/>
            <w:sz w:val="20"/>
          </w:rPr>
          <w:t>οδηγίας 2001/37/ΕΚ</w:t>
        </w:r>
      </w:hyperlink>
      <w:r>
        <w:rPr>
          <w:sz w:val="20"/>
        </w:rPr>
        <w:t>.</w:t>
      </w:r>
    </w:p>
    <w:p w:rsidR="00EA67B3" w:rsidRDefault="00EA67B3">
      <w:pPr>
        <w:pStyle w:val="FootnoteText"/>
        <w:rPr>
          <w:rFonts w:ascii="Times New Roman" w:hAnsi="Times New Roman"/>
        </w:rPr>
      </w:pPr>
    </w:p>
  </w:footnote>
  <w:footnote w:id="15">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Βλ. επίσης σ. 57 </w:t>
      </w:r>
      <w:hyperlink r:id="rId8">
        <w:r>
          <w:rPr>
            <w:rStyle w:val="Hyperlink"/>
            <w:rFonts w:ascii="Times New Roman" w:hAnsi="Times New Roman"/>
          </w:rPr>
          <w:t>της αξιολόγησης</w:t>
        </w:r>
      </w:hyperlink>
      <w:r>
        <w:rPr>
          <w:rFonts w:ascii="Times New Roman" w:hAnsi="Times New Roman"/>
        </w:rPr>
        <w:t xml:space="preserve"> για τη φορολόγηση του καπνού.</w:t>
      </w:r>
    </w:p>
  </w:footnote>
  <w:footnote w:id="16">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Βλ. επίσης σ. 60 </w:t>
      </w:r>
      <w:hyperlink r:id="rId9">
        <w:r>
          <w:rPr>
            <w:rStyle w:val="Hyperlink"/>
            <w:rFonts w:ascii="Times New Roman" w:hAnsi="Times New Roman"/>
          </w:rPr>
          <w:t>της αξιολόγησης</w:t>
        </w:r>
      </w:hyperlink>
      <w:r>
        <w:rPr>
          <w:rFonts w:ascii="Times New Roman" w:hAnsi="Times New Roman"/>
        </w:rPr>
        <w:t xml:space="preserve"> για τη φο</w:t>
      </w:r>
      <w:r>
        <w:rPr>
          <w:rFonts w:ascii="Times New Roman" w:hAnsi="Times New Roman"/>
        </w:rPr>
        <w:t>ρολόγηση του καπνού.</w:t>
      </w:r>
    </w:p>
  </w:footnote>
  <w:footnote w:id="17">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Βλ. επίσης σ. 163 </w:t>
      </w:r>
      <w:hyperlink r:id="rId10">
        <w:r>
          <w:rPr>
            <w:rStyle w:val="Hyperlink"/>
            <w:rFonts w:ascii="Times New Roman" w:hAnsi="Times New Roman"/>
          </w:rPr>
          <w:t>της αξιολόγησης</w:t>
        </w:r>
      </w:hyperlink>
      <w:r>
        <w:rPr>
          <w:rFonts w:ascii="Times New Roman" w:hAnsi="Times New Roman"/>
        </w:rPr>
        <w:t xml:space="preserve"> για τη φορολόγηση του καπνού.</w:t>
      </w:r>
    </w:p>
  </w:footnote>
  <w:footnote w:id="18">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Βλ. επίση</w:t>
      </w:r>
      <w:r>
        <w:rPr>
          <w:rFonts w:ascii="Times New Roman" w:hAnsi="Times New Roman"/>
        </w:rPr>
        <w:t xml:space="preserve">ς σ. 154 </w:t>
      </w:r>
      <w:hyperlink r:id="rId11">
        <w:r>
          <w:rPr>
            <w:rStyle w:val="Hyperlink"/>
            <w:rFonts w:ascii="Times New Roman" w:hAnsi="Times New Roman"/>
          </w:rPr>
          <w:t>της αξιολόγησης</w:t>
        </w:r>
      </w:hyperlink>
      <w:r>
        <w:rPr>
          <w:rFonts w:ascii="Times New Roman" w:hAnsi="Times New Roman"/>
        </w:rPr>
        <w:t xml:space="preserve"> για τη φορολόγηση του καπνού.</w:t>
      </w:r>
    </w:p>
  </w:footnote>
  <w:footnote w:id="19">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Βλ. επίσης σ. 166 </w:t>
      </w:r>
      <w:hyperlink r:id="rId12">
        <w:r>
          <w:rPr>
            <w:rStyle w:val="Hyperlink"/>
            <w:rFonts w:ascii="Times New Roman" w:hAnsi="Times New Roman"/>
          </w:rPr>
          <w:t>της αξιολόγησης</w:t>
        </w:r>
      </w:hyperlink>
      <w:r>
        <w:rPr>
          <w:rFonts w:ascii="Times New Roman" w:hAnsi="Times New Roman"/>
        </w:rPr>
        <w:t xml:space="preserve"> για τη φορολόγηση του καπνού.</w:t>
      </w:r>
    </w:p>
  </w:footnote>
  <w:footnote w:id="20">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Βλ. επίσης σ. 12 </w:t>
      </w:r>
      <w:hyperlink r:id="rId13">
        <w:r>
          <w:rPr>
            <w:rStyle w:val="Hyperlink"/>
            <w:rFonts w:ascii="Times New Roman" w:hAnsi="Times New Roman"/>
          </w:rPr>
          <w:t>της αξιολόγησης</w:t>
        </w:r>
      </w:hyperlink>
      <w:r>
        <w:rPr>
          <w:rFonts w:ascii="Times New Roman" w:hAnsi="Times New Roman"/>
        </w:rPr>
        <w:t xml:space="preserve"> για τη φορολόγηση του καπνού.</w:t>
      </w:r>
    </w:p>
  </w:footnote>
  <w:footnote w:id="21">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Τα «θερμαινόμενα χωρίς καύση» προϊόντα δεν αποτέλεσαν αντικείμενο της αξιολόγησης. Στην </w:t>
      </w:r>
      <w:hyperlink r:id="rId14">
        <w:r>
          <w:rPr>
            <w:rStyle w:val="Hyperlink"/>
            <w:rFonts w:ascii="Times New Roman" w:hAnsi="Times New Roman"/>
          </w:rPr>
          <w:t>ομάδα έργου Fiscalis για τον καπνό (Fiscalis Project Group on Tobacco FPG 050)</w:t>
        </w:r>
      </w:hyperlink>
      <w:r>
        <w:rPr>
          <w:rFonts w:ascii="Times New Roman" w:hAnsi="Times New Roman"/>
        </w:rPr>
        <w:t xml:space="preserve"> και κατά τις συνεδριάσεις της </w:t>
      </w:r>
      <w:hyperlink r:id="rId15">
        <w:r>
          <w:rPr>
            <w:rStyle w:val="Hyperlink"/>
            <w:rFonts w:ascii="Times New Roman" w:hAnsi="Times New Roman"/>
          </w:rPr>
          <w:t>ομάδας εμπειρογνωμόνων για τους έμμεσους φόρους (Indirect Tax Expert Group (ITEG))</w:t>
        </w:r>
      </w:hyperlink>
      <w:r>
        <w:rPr>
          <w:rFonts w:ascii="Times New Roman" w:hAnsi="Times New Roman"/>
        </w:rPr>
        <w:t xml:space="preserve"> πραγματοποιήθηκαν οι πρώτες συζητήσεις σχετικά με τη φορ</w:t>
      </w:r>
      <w:r>
        <w:rPr>
          <w:rFonts w:ascii="Times New Roman" w:hAnsi="Times New Roman"/>
        </w:rPr>
        <w:t>ολογική μεταχείριση των εν λόγω προϊόντων.</w:t>
      </w:r>
    </w:p>
  </w:footnote>
  <w:footnote w:id="22">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6">
        <w:r>
          <w:rPr>
            <w:rStyle w:val="Hyperlink"/>
            <w:rFonts w:ascii="Times New Roman" w:hAnsi="Times New Roman"/>
          </w:rPr>
          <w:t>COM (2013) 324</w:t>
        </w:r>
      </w:hyperlink>
      <w:r>
        <w:rPr>
          <w:rFonts w:ascii="Times New Roman" w:hAnsi="Times New Roman"/>
        </w:rPr>
        <w:t>, Ανακοίνωση της Επιτροπής προς το Συμβούλιο και το Ευρωπαϊκό Κοινοβούλιο, Ενίσχυση της</w:t>
      </w:r>
      <w:r>
        <w:rPr>
          <w:rFonts w:ascii="Times New Roman" w:hAnsi="Times New Roman"/>
        </w:rPr>
        <w:t xml:space="preserve"> καταπολέμησης του λαθρεμπορίου τσιγάρων και άλλων μορφών παράνομου εμπορίου προϊόντων καπνού – Μια συνολική στρατηγική της ΕΕ.</w:t>
      </w:r>
    </w:p>
  </w:footnote>
  <w:footnote w:id="23">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Σύμφωνα με τις εκτιμήσεις της Ευρωπαϊκής Υπηρεσίας Καταπολέμησης της Απάτης (OLAF), το παράνομο εμπόριο τσιγάρων έχει ως συνέπ</w:t>
      </w:r>
      <w:r>
        <w:rPr>
          <w:rFonts w:ascii="Times New Roman" w:hAnsi="Times New Roman"/>
        </w:rPr>
        <w:t>εια ετήσιες οικονομικές απώλειες άνω των 10 δισεκατ. ευρώ για τον προϋπολογισμό της Ευρωπαϊκής Ένωσης και των κρατών μελών της, βλ. επίσης COM (2013) 324.</w:t>
      </w:r>
    </w:p>
  </w:footnote>
  <w:footnote w:id="24">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Βλ. επίσης σ. 46 </w:t>
      </w:r>
      <w:hyperlink r:id="rId17">
        <w:r>
          <w:rPr>
            <w:rStyle w:val="Hyperlink"/>
            <w:rFonts w:ascii="Times New Roman" w:hAnsi="Times New Roman"/>
          </w:rPr>
          <w:t>της αξιολόγησης</w:t>
        </w:r>
      </w:hyperlink>
      <w:r>
        <w:rPr>
          <w:rFonts w:ascii="Times New Roman" w:hAnsi="Times New Roman"/>
        </w:rPr>
        <w:t xml:space="preserve"> για τη φορολόγηση του καπνού.</w:t>
      </w:r>
    </w:p>
  </w:footnote>
  <w:footnote w:id="25">
    <w:p w:rsidR="00EA67B3" w:rsidRDefault="00BD5885">
      <w:pPr>
        <w:pStyle w:val="FootnoteText"/>
        <w:spacing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8">
        <w:r>
          <w:rPr>
            <w:rStyle w:val="Hyperlink"/>
            <w:rFonts w:ascii="Times New Roman" w:hAnsi="Times New Roman"/>
          </w:rPr>
          <w:t>http://ec.europa.eu/smart-regulation/evaluation/docs/standards_c_2002_5267_final_en.pdf</w:t>
        </w:r>
      </w:hyperlink>
      <w:r>
        <w:rPr>
          <w:rFonts w:ascii="Times New Roman" w:hAnsi="Times New Roman"/>
        </w:rPr>
        <w:t xml:space="preserve"> </w:t>
      </w:r>
    </w:p>
    <w:p w:rsidR="00EA67B3" w:rsidRDefault="00EA67B3">
      <w:pPr>
        <w:pStyle w:val="FootnoteText"/>
        <w:spacing w:line="240" w:lineRule="auto"/>
        <w:rPr>
          <w:rFonts w:ascii="Times New Roman" w:hAnsi="Times New Roman"/>
        </w:rPr>
      </w:pPr>
    </w:p>
  </w:footnote>
  <w:footnote w:id="26">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Σημειωτέον ότι τα κράτη μέλη υποχρεούνται να θέσουν σε ισχύ τις νομοθετικές, κανονιστικές και διοικητικές δια</w:t>
      </w:r>
      <w:r>
        <w:rPr>
          <w:rFonts w:ascii="Times New Roman" w:hAnsi="Times New Roman"/>
        </w:rPr>
        <w:t>τάξεις που είναι απαραίτητες για να συμμορφωθούν προς την εν λόγω οδηγία έως τις 20 Μαΐου 2016.</w:t>
      </w:r>
    </w:p>
  </w:footnote>
  <w:footnote w:id="27">
    <w:p w:rsidR="00EA67B3" w:rsidRDefault="00BD5885">
      <w:pPr>
        <w:spacing w:after="240" w:line="240" w:lineRule="auto"/>
        <w:rPr>
          <w:rFonts w:ascii="Times New Roman" w:eastAsia="Times New Roman" w:hAnsi="Times New Roman"/>
          <w:sz w:val="20"/>
          <w:szCs w:val="20"/>
        </w:rPr>
      </w:pPr>
      <w:r>
        <w:rPr>
          <w:rStyle w:val="FootnoteReference"/>
          <w:rFonts w:ascii="Times New Roman" w:hAnsi="Times New Roman"/>
          <w:sz w:val="20"/>
        </w:rPr>
        <w:footnoteRef/>
      </w:r>
      <w:r>
        <w:rPr>
          <w:rFonts w:ascii="Times New Roman" w:hAnsi="Times New Roman"/>
          <w:sz w:val="20"/>
        </w:rPr>
        <w:t xml:space="preserve"> Πηγή: </w:t>
      </w:r>
      <w:hyperlink r:id="rId19">
        <w:r>
          <w:rPr>
            <w:rStyle w:val="Hyperlink"/>
            <w:rFonts w:ascii="Times New Roman" w:hAnsi="Times New Roman"/>
            <w:sz w:val="20"/>
          </w:rPr>
          <w:t>Τελική έκθεση αξιολόγησης</w:t>
        </w:r>
      </w:hyperlink>
      <w:r>
        <w:rPr>
          <w:rFonts w:ascii="Times New Roman" w:hAnsi="Times New Roman"/>
          <w:sz w:val="20"/>
        </w:rPr>
        <w:t xml:space="preserve"> «Μελέτη σχετικά με τη μέτρηση και τη μείωση των διοικητικών δαπανών των οικονομικών φορέων και των φορολογικών αρχών και την επίτευξη, παράλληλα, υψηλότερου επιπέδου συμμόρφωσης και ασφάλειας κατά την επιβολή ειδικών φόρων κ</w:t>
      </w:r>
      <w:r>
        <w:rPr>
          <w:rFonts w:ascii="Times New Roman" w:hAnsi="Times New Roman"/>
          <w:sz w:val="20"/>
        </w:rPr>
        <w:t xml:space="preserve">ατανάλωσης στα προϊόντα καπνού» </w:t>
      </w:r>
    </w:p>
    <w:p w:rsidR="00EA67B3" w:rsidRDefault="00EA67B3">
      <w:pPr>
        <w:pStyle w:val="FootnoteText"/>
        <w:rPr>
          <w:rFonts w:ascii="Times New Roman" w:hAnsi="Times New Roman"/>
        </w:rPr>
      </w:pPr>
    </w:p>
  </w:footnote>
  <w:footnote w:id="28">
    <w:p w:rsidR="00EA67B3" w:rsidRDefault="00BD5885">
      <w:pPr>
        <w:pStyle w:val="FootnoteText"/>
        <w:spacing w:line="240" w:lineRule="auto"/>
        <w:rPr>
          <w:rFonts w:ascii="Times New Roman" w:hAnsi="Times New Roman"/>
        </w:rPr>
      </w:pPr>
      <w:r>
        <w:rPr>
          <w:rFonts w:ascii="Times New Roman" w:hAnsi="Times New Roman"/>
          <w:vertAlign w:val="superscript"/>
        </w:rPr>
        <w:t>25</w:t>
      </w:r>
      <w:r>
        <w:rPr>
          <w:rFonts w:ascii="Times New Roman" w:hAnsi="Times New Roman"/>
        </w:rPr>
        <w:t xml:space="preserve"> Άρθρο 4 παράγραφος 2 της οδηγίας 2011/64/ΕΕ</w:t>
      </w:r>
    </w:p>
  </w:footnote>
  <w:footnote w:id="29">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Άρθρο 7 παράγραφος 4 και άρθρο 8 παράγραφος 6 της οδηγίας 2011/64/ΕΕ</w:t>
      </w:r>
    </w:p>
  </w:footnote>
  <w:footnote w:id="30">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Ως πρώτο βήμα, η Επιτροπή συζήτησε τις συστάσεις στο πλαίσιο της </w:t>
      </w:r>
      <w:hyperlink r:id="rId20">
        <w:r>
          <w:rPr>
            <w:rStyle w:val="Hyperlink"/>
            <w:rFonts w:ascii="Times New Roman" w:hAnsi="Times New Roman"/>
          </w:rPr>
          <w:t>Ομάδας Έργου Fiscalis για τον καπνό (FPG 050)</w:t>
        </w:r>
      </w:hyperlink>
      <w:r>
        <w:rPr>
          <w:rFonts w:ascii="Times New Roman" w:hAnsi="Times New Roman"/>
        </w:rPr>
        <w:t xml:space="preserve"> κατά τη διάρκεια του 2015, και θα συνεχίσει το 2016 προκειμένου να ακουστούν οι γνώμες και οι εμπειρίες των εμπειρογνωμόνων των</w:t>
      </w:r>
      <w:r>
        <w:rPr>
          <w:rFonts w:ascii="Times New Roman" w:hAnsi="Times New Roman"/>
        </w:rPr>
        <w:t xml:space="preserve"> κρατών μελών. Ιδιαίτερη έμφαση δίδεται στις συστάσεις 1 και 2 (υπαγωγή άλλων προϊόντων, όπως του ακατέργαστου καπνού και των ηλεκτρονικών τσιγάρων στο πεδίο εφαρμογής προϊόντων που υπόκεινται σε ειδικό φόρο κατανάλωσης). </w:t>
      </w:r>
    </w:p>
  </w:footnote>
  <w:footnote w:id="31">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Εκτελεστική απόφαση της Επιτροπ</w:t>
      </w:r>
      <w:r>
        <w:rPr>
          <w:rFonts w:ascii="Times New Roman" w:hAnsi="Times New Roman"/>
        </w:rPr>
        <w:t>ής, της 28ης Ιουλίου 480, σχετικά με τον κατάλογο των στατιστικών στοιχείων για τη δομή και τους συντελεστές του ειδικού φόρου κατανάλωσης που επιβάλλεται στα βιομηχανοποιημένα καπνά, τα οποία υποβάλλονται από τα κράτη μέλη σύμφωνα με τις οδηγίες του Συμβο</w:t>
      </w:r>
      <w:r>
        <w:rPr>
          <w:rFonts w:ascii="Times New Roman" w:hAnsi="Times New Roman"/>
        </w:rPr>
        <w:t xml:space="preserve">υλίου 92/79/ΕΟΚ και 92/80/ΕΟΚ (2011/480/ΕΕ) </w:t>
      </w:r>
    </w:p>
  </w:footnote>
  <w:footnote w:id="32">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Η Europe Economics ανέλυσε επίσης την εξέλιξη των μέσων τιμών των τσιγάρων με βάση τα διαθέσιμα στοιχεία του Euromonitor από το 2007 έως το 2012 στα κράτη μέλη. Η εν λόγω ανάλυση δημοσιεύεται στο γράφημα 35 τη</w:t>
      </w:r>
      <w:r>
        <w:rPr>
          <w:rFonts w:ascii="Times New Roman" w:hAnsi="Times New Roman"/>
        </w:rPr>
        <w:t xml:space="preserve">ς αξιολόγησης της </w:t>
      </w:r>
      <w:hyperlink r:id="rId21">
        <w:r>
          <w:rPr>
            <w:rStyle w:val="Hyperlink"/>
            <w:rFonts w:ascii="Times New Roman" w:hAnsi="Times New Roman"/>
          </w:rPr>
          <w:t>φορολογίας</w:t>
        </w:r>
      </w:hyperlink>
      <w:r>
        <w:rPr>
          <w:rFonts w:ascii="Times New Roman" w:hAnsi="Times New Roman"/>
        </w:rPr>
        <w:t xml:space="preserve"> καπνού.</w:t>
      </w:r>
    </w:p>
  </w:footnote>
  <w:footnote w:id="33">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Ο πλήρης κατάλογος των συντελεστών ειδικού φόρου κατανάλωσης σε κάθε κράτος μέλος παρατίθεται </w:t>
      </w:r>
      <w:hyperlink r:id="rId22">
        <w:r>
          <w:rPr>
            <w:rStyle w:val="Hyperlink"/>
            <w:rFonts w:ascii="Times New Roman" w:hAnsi="Times New Roman"/>
          </w:rPr>
          <w:t>στους πίνα</w:t>
        </w:r>
        <w:r>
          <w:rPr>
            <w:rStyle w:val="Hyperlink"/>
            <w:rFonts w:ascii="Times New Roman" w:hAnsi="Times New Roman"/>
          </w:rPr>
          <w:t>κες ειδικού φόρου κατανάλωσης στα βιομηχανοποιημένα καπνά</w:t>
        </w:r>
      </w:hyperlink>
      <w:r>
        <w:rPr>
          <w:rFonts w:ascii="Times New Roman" w:hAnsi="Times New Roman"/>
        </w:rPr>
        <w:t>·</w:t>
      </w:r>
    </w:p>
  </w:footnote>
  <w:footnote w:id="34">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Η ανάλυση από την Europe Economics του ποσού του φόρου στα τσιγάρα (συμπεριλαμβανομένου του ΦΠΑ) απεικονίζεται στο γράφημα 23 της </w:t>
      </w:r>
      <w:hyperlink r:id="rId23">
        <w:r>
          <w:rPr>
            <w:rStyle w:val="Hyperlink"/>
            <w:rFonts w:ascii="Times New Roman" w:hAnsi="Times New Roman"/>
          </w:rPr>
          <w:t>αξιολόγησης</w:t>
        </w:r>
      </w:hyperlink>
      <w:r>
        <w:rPr>
          <w:rFonts w:ascii="Times New Roman" w:hAnsi="Times New Roman"/>
        </w:rPr>
        <w:t xml:space="preserve"> της φορολογίας καπνού.</w:t>
      </w:r>
    </w:p>
  </w:footnote>
  <w:footnote w:id="35">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Βλ. παραρτήματα I.III και I.V</w:t>
      </w:r>
    </w:p>
  </w:footnote>
  <w:footnote w:id="36">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Ο ειδικός φόρος κατανάλωσης οφείλεται μόνο στο κράτος μέλος αγοράς, εάν πληρούνται οι απαιτήσε</w:t>
      </w:r>
      <w:r>
        <w:rPr>
          <w:rFonts w:ascii="Times New Roman" w:hAnsi="Times New Roman"/>
        </w:rPr>
        <w:t>ις του άρθρου 32 της οδηγία 2008/118/ΕΚ.</w:t>
      </w:r>
    </w:p>
  </w:footnote>
  <w:footnote w:id="37">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Βλέπε παράρτημα I.VII</w:t>
      </w:r>
    </w:p>
  </w:footnote>
  <w:footnote w:id="38">
    <w:p w:rsidR="00EA67B3" w:rsidRDefault="00BD58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Η Europe Economics ανέλυσε τα δεδομένα που δημοσίευσε η ΓΔ TAXUD σχετικά με τα έσοδα από φόρους κατανάλωσης στα βιομηχανοποιημένα καπνά από το 2008 έως το 2012. Τα αποτελέσματα της εν λόγω </w:t>
      </w:r>
      <w:r>
        <w:rPr>
          <w:rFonts w:ascii="Times New Roman" w:hAnsi="Times New Roman"/>
        </w:rPr>
        <w:t xml:space="preserve">ανάλυσης παρατίθενται στα γραφήματα 3 έως 11 </w:t>
      </w:r>
      <w:hyperlink r:id="rId24">
        <w:r>
          <w:rPr>
            <w:rStyle w:val="Hyperlink"/>
            <w:rFonts w:ascii="Times New Roman" w:hAnsi="Times New Roman"/>
          </w:rPr>
          <w:t xml:space="preserve"> της αξιολόγησης</w:t>
        </w:r>
      </w:hyperlink>
      <w:r>
        <w:rPr>
          <w:rFonts w:ascii="Times New Roman" w:hAnsi="Times New Roman"/>
        </w:rPr>
        <w:t xml:space="preserve"> της φορολογίας καπνού.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B3" w:rsidRDefault="00EA67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3">
    <w:nsid w:val="16A73991"/>
    <w:multiLevelType w:val="hybridMultilevel"/>
    <w:tmpl w:val="531261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C5E7441"/>
    <w:multiLevelType w:val="hybridMultilevel"/>
    <w:tmpl w:val="3D567CA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5">
    <w:nsid w:val="67493BAE"/>
    <w:multiLevelType w:val="hybridMultilevel"/>
    <w:tmpl w:val="8526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8">
    <w:nsid w:val="6EB4326B"/>
    <w:multiLevelType w:val="hybridMultilevel"/>
    <w:tmpl w:val="D83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5"/>
  </w:num>
  <w:num w:numId="4">
    <w:abstractNumId w:val="12"/>
    <w:lvlOverride w:ilvl="0">
      <w:startOverride w:val="1"/>
    </w:lvlOverride>
  </w:num>
  <w:num w:numId="5">
    <w:abstractNumId w:val="12"/>
    <w:lvlOverride w:ilvl="0">
      <w:startOverride w:val="1"/>
    </w:lvlOverride>
  </w:num>
  <w:num w:numId="6">
    <w:abstractNumId w:val="3"/>
  </w:num>
  <w:num w:numId="7">
    <w:abstractNumId w:val="12"/>
  </w:num>
  <w:num w:numId="8">
    <w:abstractNumId w:val="12"/>
  </w:num>
  <w:num w:numId="9">
    <w:abstractNumId w:val="7"/>
  </w:num>
  <w:num w:numId="10">
    <w:abstractNumId w:val="6"/>
  </w:num>
  <w:num w:numId="11">
    <w:abstractNumId w:val="2"/>
  </w:num>
  <w:num w:numId="12">
    <w:abstractNumId w:val="1"/>
  </w:num>
  <w:num w:numId="13">
    <w:abstractNumId w:val="13"/>
  </w:num>
  <w:num w:numId="14">
    <w:abstractNumId w:val="16"/>
  </w:num>
  <w:num w:numId="15">
    <w:abstractNumId w:val="14"/>
  </w:num>
  <w:num w:numId="16">
    <w:abstractNumId w:val="17"/>
  </w:num>
  <w:num w:numId="17">
    <w:abstractNumId w:val="5"/>
  </w:num>
  <w:num w:numId="18">
    <w:abstractNumId w:val="8"/>
  </w:num>
  <w:num w:numId="19">
    <w:abstractNumId w:val="10"/>
  </w:num>
  <w:num w:numId="20">
    <w:abstractNumId w:val="9"/>
  </w:num>
  <w:num w:numId="21">
    <w:abstractNumId w:val="0"/>
  </w:num>
  <w:num w:numId="22">
    <w:abstractNumId w:val="11"/>
  </w:num>
  <w:num w:numId="23">
    <w:abstractNumId w:val="12"/>
  </w:num>
  <w:num w:numId="24">
    <w:abstractNumId w:val="7"/>
  </w:num>
  <w:num w:numId="25">
    <w:abstractNumId w:val="6"/>
  </w:num>
  <w:num w:numId="26">
    <w:abstractNumId w:val="2"/>
  </w:num>
  <w:num w:numId="27">
    <w:abstractNumId w:val="1"/>
  </w:num>
  <w:num w:numId="28">
    <w:abstractNumId w:val="13"/>
  </w:num>
  <w:num w:numId="29">
    <w:abstractNumId w:val="16"/>
  </w:num>
  <w:num w:numId="30">
    <w:abstractNumId w:val="14"/>
  </w:num>
  <w:num w:numId="31">
    <w:abstractNumId w:val="17"/>
  </w:num>
  <w:num w:numId="32">
    <w:abstractNumId w:val="5"/>
  </w:num>
  <w:num w:numId="33">
    <w:abstractNumId w:val="8"/>
  </w:num>
  <w:num w:numId="34">
    <w:abstractNumId w:val="10"/>
  </w:num>
  <w:num w:numId="35">
    <w:abstractNumId w:val="9"/>
  </w:num>
  <w:num w:numId="36">
    <w:abstractNumId w:val="0"/>
  </w:num>
  <w:num w:numId="37">
    <w:abstractNumId w:val="11"/>
  </w:num>
  <w:num w:numId="38">
    <w:abstractNumId w:val="8"/>
  </w:num>
  <w:num w:numId="39">
    <w:abstractNumId w:val="10"/>
  </w:num>
  <w:num w:numId="40">
    <w:abstractNumId w:val="9"/>
  </w:num>
  <w:num w:numId="41">
    <w:abstractNumId w:val="0"/>
  </w:num>
  <w:num w:numId="42">
    <w:abstractNumId w:val="11"/>
  </w:num>
  <w:num w:numId="43">
    <w:abstractNumId w:val="8"/>
  </w:num>
  <w:num w:numId="44">
    <w:abstractNumId w:val="10"/>
  </w:num>
  <w:num w:numId="45">
    <w:abstractNumId w:val="9"/>
  </w:num>
  <w:num w:numId="46">
    <w:abstractNumId w:val="0"/>
  </w:num>
  <w:num w:numId="47">
    <w:abstractNumId w:val="11"/>
  </w:num>
  <w:num w:numId="48">
    <w:abstractNumId w:val="8"/>
  </w:num>
  <w:num w:numId="49">
    <w:abstractNumId w:val="10"/>
  </w:num>
  <w:num w:numId="50">
    <w:abstractNumId w:val="9"/>
  </w:num>
  <w:num w:numId="51">
    <w:abstractNumId w:val="0"/>
  </w:num>
  <w:num w:numId="52">
    <w:abstractNumId w:val="11"/>
  </w:num>
  <w:num w:numId="53">
    <w:abstractNumId w:val="12"/>
  </w:num>
  <w:num w:numId="54">
    <w:abstractNumId w:val="7"/>
  </w:num>
  <w:num w:numId="55">
    <w:abstractNumId w:val="6"/>
  </w:num>
  <w:num w:numId="56">
    <w:abstractNumId w:val="2"/>
  </w:num>
  <w:num w:numId="57">
    <w:abstractNumId w:val="1"/>
  </w:num>
  <w:num w:numId="58">
    <w:abstractNumId w:val="13"/>
  </w:num>
  <w:num w:numId="59">
    <w:abstractNumId w:val="16"/>
  </w:num>
  <w:num w:numId="60">
    <w:abstractNumId w:val="14"/>
  </w:num>
  <w:num w:numId="61">
    <w:abstractNumId w:val="17"/>
  </w:num>
  <w:num w:numId="62">
    <w:abstractNumId w:val="5"/>
  </w:num>
  <w:num w:numId="63">
    <w:abstractNumId w:val="8"/>
  </w:num>
  <w:num w:numId="64">
    <w:abstractNumId w:val="10"/>
  </w:num>
  <w:num w:numId="65">
    <w:abstractNumId w:val="9"/>
  </w:num>
  <w:num w:numId="66">
    <w:abstractNumId w:val="0"/>
  </w:num>
  <w:num w:numId="67">
    <w:abstractNumId w:val="11"/>
  </w:num>
  <w:num w:numId="68">
    <w:abstractNumId w:val="8"/>
  </w:num>
  <w:num w:numId="69">
    <w:abstractNumId w:val="10"/>
  </w:num>
  <w:num w:numId="70">
    <w:abstractNumId w:val="9"/>
  </w:num>
  <w:num w:numId="71">
    <w:abstractNumId w:val="0"/>
  </w:num>
  <w:num w:numId="72">
    <w:abstractNumId w:val="11"/>
  </w:num>
  <w:num w:numId="73">
    <w:abstractNumId w:val="8"/>
  </w:num>
  <w:num w:numId="74">
    <w:abstractNumId w:val="10"/>
  </w:num>
  <w:num w:numId="75">
    <w:abstractNumId w:val="9"/>
  </w:num>
  <w:num w:numId="76">
    <w:abstractNumId w:val="0"/>
  </w:num>
  <w:num w:numId="77">
    <w:abstractNumId w:val="11"/>
  </w:num>
  <w:num w:numId="78">
    <w:abstractNumId w:val="8"/>
  </w:num>
  <w:num w:numId="79">
    <w:abstractNumId w:val="10"/>
  </w:num>
  <w:num w:numId="80">
    <w:abstractNumId w:val="9"/>
  </w:num>
  <w:num w:numId="81">
    <w:abstractNumId w:val="0"/>
  </w:num>
  <w:num w:numId="82">
    <w:abstractNumId w:val="11"/>
  </w:num>
  <w:num w:numId="83">
    <w:abstractNumId w:val="12"/>
  </w:num>
  <w:num w:numId="84">
    <w:abstractNumId w:val="7"/>
  </w:num>
  <w:num w:numId="85">
    <w:abstractNumId w:val="6"/>
  </w:num>
  <w:num w:numId="86">
    <w:abstractNumId w:val="2"/>
  </w:num>
  <w:num w:numId="87">
    <w:abstractNumId w:val="1"/>
  </w:num>
  <w:num w:numId="88">
    <w:abstractNumId w:val="13"/>
  </w:num>
  <w:num w:numId="89">
    <w:abstractNumId w:val="16"/>
  </w:num>
  <w:num w:numId="90">
    <w:abstractNumId w:val="14"/>
  </w:num>
  <w:num w:numId="91">
    <w:abstractNumId w:val="17"/>
  </w:num>
  <w:num w:numId="92">
    <w:abstractNumId w:val="5"/>
  </w:num>
  <w:num w:numId="93">
    <w:abstractNumId w:val="8"/>
  </w:num>
  <w:num w:numId="94">
    <w:abstractNumId w:val="10"/>
  </w:num>
  <w:num w:numId="95">
    <w:abstractNumId w:val="9"/>
  </w:num>
  <w:num w:numId="96">
    <w:abstractNumId w:val="0"/>
  </w:num>
  <w:num w:numId="97">
    <w:abstractNumId w:val="11"/>
  </w:num>
  <w:num w:numId="98">
    <w:abstractNumId w:val="8"/>
  </w:num>
  <w:num w:numId="99">
    <w:abstractNumId w:val="10"/>
  </w:num>
  <w:num w:numId="100">
    <w:abstractNumId w:val="9"/>
  </w:num>
  <w:num w:numId="101">
    <w:abstractNumId w:val="0"/>
  </w:num>
  <w:num w:numId="102">
    <w:abstractNumId w:val="11"/>
  </w:num>
  <w:num w:numId="103">
    <w:abstractNumId w:val="8"/>
  </w:num>
  <w:num w:numId="104">
    <w:abstractNumId w:val="10"/>
  </w:num>
  <w:num w:numId="105">
    <w:abstractNumId w:val="9"/>
  </w:num>
  <w:num w:numId="106">
    <w:abstractNumId w:val="0"/>
  </w:num>
  <w:num w:numId="107">
    <w:abstractNumId w:val="11"/>
  </w:num>
  <w:num w:numId="108">
    <w:abstractNumId w:val="8"/>
  </w:num>
  <w:num w:numId="109">
    <w:abstractNumId w:val="10"/>
  </w:num>
  <w:num w:numId="110">
    <w:abstractNumId w:val="9"/>
  </w:num>
  <w:num w:numId="111">
    <w:abstractNumId w:val="0"/>
  </w:num>
  <w:num w:numId="112">
    <w:abstractNumId w:val="11"/>
  </w:num>
  <w:num w:numId="113">
    <w:abstractNumId w:val="12"/>
  </w:num>
  <w:num w:numId="114">
    <w:abstractNumId w:val="7"/>
  </w:num>
  <w:num w:numId="115">
    <w:abstractNumId w:val="6"/>
  </w:num>
  <w:num w:numId="116">
    <w:abstractNumId w:val="2"/>
  </w:num>
  <w:num w:numId="117">
    <w:abstractNumId w:val="1"/>
  </w:num>
  <w:num w:numId="118">
    <w:abstractNumId w:val="13"/>
  </w:num>
  <w:num w:numId="119">
    <w:abstractNumId w:val="16"/>
  </w:num>
  <w:num w:numId="120">
    <w:abstractNumId w:val="14"/>
  </w:num>
  <w:num w:numId="121">
    <w:abstractNumId w:val="17"/>
  </w:num>
  <w:num w:numId="122">
    <w:abstractNumId w:val="5"/>
  </w:num>
  <w:num w:numId="123">
    <w:abstractNumId w:val="8"/>
  </w:num>
  <w:num w:numId="124">
    <w:abstractNumId w:val="10"/>
  </w:num>
  <w:num w:numId="125">
    <w:abstractNumId w:val="9"/>
  </w:num>
  <w:num w:numId="126">
    <w:abstractNumId w:val="0"/>
  </w:num>
  <w:num w:numId="127">
    <w:abstractNumId w:val="11"/>
  </w:num>
  <w:num w:numId="128">
    <w:abstractNumId w:val="8"/>
  </w:num>
  <w:num w:numId="129">
    <w:abstractNumId w:val="10"/>
  </w:num>
  <w:num w:numId="130">
    <w:abstractNumId w:val="9"/>
  </w:num>
  <w:num w:numId="131">
    <w:abstractNumId w:val="0"/>
  </w:num>
  <w:num w:numId="132">
    <w:abstractNumId w:val="11"/>
  </w:num>
  <w:num w:numId="133">
    <w:abstractNumId w:val="8"/>
  </w:num>
  <w:num w:numId="134">
    <w:abstractNumId w:val="10"/>
  </w:num>
  <w:num w:numId="135">
    <w:abstractNumId w:val="9"/>
  </w:num>
  <w:num w:numId="136">
    <w:abstractNumId w:val="0"/>
  </w:num>
  <w:num w:numId="137">
    <w:abstractNumId w:val="11"/>
  </w:num>
  <w:num w:numId="138">
    <w:abstractNumId w:val="8"/>
  </w:num>
  <w:num w:numId="139">
    <w:abstractNumId w:val="10"/>
  </w:num>
  <w:num w:numId="140">
    <w:abstractNumId w:val="9"/>
  </w:num>
  <w:num w:numId="141">
    <w:abstractNumId w:val="0"/>
  </w:num>
  <w:num w:numId="142">
    <w:abstractNumId w:val="11"/>
  </w:num>
  <w:num w:numId="143">
    <w:abstractNumId w:val="12"/>
  </w:num>
  <w:num w:numId="144">
    <w:abstractNumId w:val="7"/>
  </w:num>
  <w:num w:numId="145">
    <w:abstractNumId w:val="6"/>
  </w:num>
  <w:num w:numId="146">
    <w:abstractNumId w:val="2"/>
  </w:num>
  <w:num w:numId="147">
    <w:abstractNumId w:val="1"/>
  </w:num>
  <w:num w:numId="148">
    <w:abstractNumId w:val="13"/>
  </w:num>
  <w:num w:numId="149">
    <w:abstractNumId w:val="16"/>
  </w:num>
  <w:num w:numId="150">
    <w:abstractNumId w:val="14"/>
  </w:num>
  <w:num w:numId="151">
    <w:abstractNumId w:val="17"/>
  </w:num>
  <w:num w:numId="152">
    <w:abstractNumId w:val="5"/>
  </w:num>
  <w:num w:numId="153">
    <w:abstractNumId w:val="8"/>
  </w:num>
  <w:num w:numId="154">
    <w:abstractNumId w:val="10"/>
  </w:num>
  <w:num w:numId="155">
    <w:abstractNumId w:val="9"/>
  </w:num>
  <w:num w:numId="156">
    <w:abstractNumId w:val="0"/>
  </w:num>
  <w:num w:numId="157">
    <w:abstractNumId w:val="11"/>
  </w:num>
  <w:num w:numId="158">
    <w:abstractNumId w:val="8"/>
  </w:num>
  <w:num w:numId="159">
    <w:abstractNumId w:val="10"/>
  </w:num>
  <w:num w:numId="160">
    <w:abstractNumId w:val="9"/>
  </w:num>
  <w:num w:numId="161">
    <w:abstractNumId w:val="0"/>
  </w:num>
  <w:num w:numId="162">
    <w:abstractNumId w:val="11"/>
  </w:num>
  <w:num w:numId="163">
    <w:abstractNumId w:val="8"/>
  </w:num>
  <w:num w:numId="164">
    <w:abstractNumId w:val="10"/>
  </w:num>
  <w:num w:numId="165">
    <w:abstractNumId w:val="9"/>
  </w:num>
  <w:num w:numId="166">
    <w:abstractNumId w:val="0"/>
  </w:num>
  <w:num w:numId="167">
    <w:abstractNumId w:val="11"/>
  </w:num>
  <w:num w:numId="168">
    <w:abstractNumId w:val="8"/>
  </w:num>
  <w:num w:numId="169">
    <w:abstractNumId w:val="10"/>
  </w:num>
  <w:num w:numId="170">
    <w:abstractNumId w:val="9"/>
  </w:num>
  <w:num w:numId="171">
    <w:abstractNumId w:val="0"/>
  </w:num>
  <w:num w:numId="172">
    <w:abstractNumId w:val="11"/>
  </w:num>
  <w:num w:numId="173">
    <w:abstractNumId w:val="12"/>
  </w:num>
  <w:num w:numId="174">
    <w:abstractNumId w:val="7"/>
  </w:num>
  <w:num w:numId="175">
    <w:abstractNumId w:val="6"/>
  </w:num>
  <w:num w:numId="176">
    <w:abstractNumId w:val="2"/>
  </w:num>
  <w:num w:numId="177">
    <w:abstractNumId w:val="1"/>
  </w:num>
  <w:num w:numId="178">
    <w:abstractNumId w:val="13"/>
  </w:num>
  <w:num w:numId="179">
    <w:abstractNumId w:val="16"/>
  </w:num>
  <w:num w:numId="180">
    <w:abstractNumId w:val="14"/>
  </w:num>
  <w:num w:numId="181">
    <w:abstractNumId w:val="17"/>
  </w:num>
  <w:num w:numId="182">
    <w:abstractNumId w:val="5"/>
  </w:num>
  <w:num w:numId="183">
    <w:abstractNumId w:val="8"/>
  </w:num>
  <w:num w:numId="184">
    <w:abstractNumId w:val="10"/>
  </w:num>
  <w:num w:numId="185">
    <w:abstractNumId w:val="9"/>
  </w:num>
  <w:num w:numId="186">
    <w:abstractNumId w:val="0"/>
  </w:num>
  <w:num w:numId="187">
    <w:abstractNumId w:val="11"/>
  </w:num>
  <w:num w:numId="188">
    <w:abstractNumId w:val="8"/>
  </w:num>
  <w:num w:numId="189">
    <w:abstractNumId w:val="10"/>
  </w:num>
  <w:num w:numId="190">
    <w:abstractNumId w:val="9"/>
  </w:num>
  <w:num w:numId="191">
    <w:abstractNumId w:val="0"/>
  </w:num>
  <w:num w:numId="192">
    <w:abstractNumId w:val="11"/>
  </w:num>
  <w:num w:numId="193">
    <w:abstractNumId w:val="8"/>
  </w:num>
  <w:num w:numId="194">
    <w:abstractNumId w:val="10"/>
  </w:num>
  <w:num w:numId="195">
    <w:abstractNumId w:val="9"/>
  </w:num>
  <w:num w:numId="196">
    <w:abstractNumId w:val="0"/>
  </w:num>
  <w:num w:numId="197">
    <w:abstractNumId w:val="11"/>
  </w:num>
  <w:num w:numId="198">
    <w:abstractNumId w:val="8"/>
  </w:num>
  <w:num w:numId="199">
    <w:abstractNumId w:val="10"/>
  </w:num>
  <w:num w:numId="200">
    <w:abstractNumId w:val="9"/>
  </w:num>
  <w:num w:numId="201">
    <w:abstractNumId w:val="0"/>
  </w:num>
  <w:num w:numId="202">
    <w:abstractNumId w:val="11"/>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oNotTrackMoves/>
  <w:defaultTabStop w:val="720"/>
  <w:hyphenationZone w:val="425"/>
  <w:characterSpacingControl w:val="doNotCompress"/>
  <w:hdrShapeDefaults>
    <o:shapedefaults v:ext="edit" spidmax="6145" style="mso-position-vertical-relative:line" fill="f" fillcolor="white" stroke="f">
      <v:fill color="white" on="f"/>
      <v:stroke on="f"/>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0C7C674E9B1A4746A9F0DA4DF08FAED6"/>
    <w:docVar w:name="LW_CROSSREFERENCE" w:val="&lt;UNUSED&gt;"/>
    <w:docVar w:name="LW_DocType" w:val="NORMAL"/>
    <w:docVar w:name="LW_EMISSION" w:val="21.12.2015"/>
    <w:docVar w:name="LW_EMISSION_ISODATE" w:val="2015-12-21"/>
    <w:docVar w:name="LW_EMISSION_LOCATION" w:val="BRX"/>
    <w:docVar w:name="LW_EMISSION_PREFIX" w:val="Βρυξέλλες, "/>
    <w:docVar w:name="LW_EMISSION_SUFFIX" w:val=" "/>
    <w:docVar w:name="LW_ID_DOCTYPE_NONLW" w:val="CP-004"/>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5) 621"/>
    <w:docVar w:name="LW_REF.INTERNE" w:val="&lt;UNUSED&gt;"/>
    <w:docVar w:name="LW_SOUS.TITRE.OBJ.CP" w:val="&lt;UNUSED&gt;"/>
    <w:docVar w:name="LW_SUPERTITRE" w:val="&lt;UNUSED&gt;"/>
    <w:docVar w:name="LW_TITRE.OBJ.CP" w:val="\u963?\u967?\u949?\u964?\u953?\u954?\u940? \u956?\u949? \u964?\u951?\u957? \u945?\u958?\u953?\u959?\u955?\u972?\u947?\u951?\u963?\u951?, \u963?\u964?\u959? \u960?\u955?\u945?\u943?\u963?\u953?\u959? \u964?\u959?\u965? \u960?\u961?\u959?\u947?\u961?\u940?\u956?\u956?\u945?\u964?\u959?\u962? REFIT, \u964?\u951?\u962? \u959?\u948?\u951?\u947?\u943?\u945?\u962? 2011/64/\u917?\u917? \u947?\u953?\u945? \u964?\u951? \u948?\u953?\u940?\u961?\u952?\u961?\u969?\u963?\u951? \u954?\u945?\u953? \u964?\u959?\u965?\u962? \u963?\u965?\u957?\u964?\u949?\u955?\u949?\u963?\u964?\u941?\u962? \u964?\u959?\u965? \u949?\u953?\u948?\u953?\u954?\u959?\u973? \u966?\u972?\u961?\u959?\u965? \u954?\u945?\u964?\u945?\u957?\u940?\u955?\u969?\u963?\u951?\u962? \u960?\u959?\u965? \u949?\u966?\u945?\u961?\u956?\u972?\u950?\u959?\u957?\u964?\u945?\u953? \u963?\u964?\u945? \u946?\u953?\u959?\u956?\u951?\u967?\u945?\u957?\u959?\u960?\u959?\u953?\u951?\u956?\u941?\u957?\u945? \u954?\u945?\u960?\u957?\u940?"/>
    <w:docVar w:name="LW_TYPE.DOC.CP" w:val="\u917?\u922?\u920?\u917?\u931?\u919? \u932?\u919?\u931? \u917?\u928?\u921?\u932?\u929?\u927?\u928?\u919?\u931? \u928?\u929?\u927?\u931? \u932?\u927? \u931?\u933?\u924?\u914?\u927?\u933?\u923?\u921?\u927?"/>
  </w:docVars>
  <w:rsids>
    <w:rsidRoot w:val="00EA67B3"/>
    <w:rsid w:val="00BD5885"/>
    <w:rsid w:val="00EA67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Times New Roman Bold" w:eastAsia="Times New Roman" w:hAnsi="Times New Roman Bold"/>
      <w:b/>
      <w:bCs/>
      <w:smallCaps/>
      <w:kern w:val="32"/>
      <w:sz w:val="24"/>
      <w:szCs w:val="24"/>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l-G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l-G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l-GR"/>
    </w:rPr>
  </w:style>
  <w:style w:type="paragraph" w:styleId="CommentText">
    <w:name w:val="annotation text"/>
    <w:basedOn w:val="Normal"/>
    <w:link w:val="CommentTextChar"/>
    <w:semiHidden/>
    <w:pPr>
      <w:spacing w:after="240" w:line="240" w:lineRule="auto"/>
      <w:jc w:val="both"/>
    </w:pPr>
    <w:rPr>
      <w:rFonts w:ascii="Times New Roman" w:eastAsia="Times New Roman" w:hAnsi="Times New Roman"/>
      <w:sz w:val="20"/>
      <w:szCs w:val="20"/>
    </w:rPr>
  </w:style>
  <w:style w:type="character" w:customStyle="1" w:styleId="CommentTextChar">
    <w:name w:val="Comment Text Char"/>
    <w:link w:val="CommentText"/>
    <w:semiHidden/>
    <w:rPr>
      <w:rFonts w:ascii="Times New Roman" w:eastAsia="Times New Roman" w:hAnsi="Times New Roman"/>
      <w:lang w:eastAsia="el-GR"/>
    </w:rPr>
  </w:style>
  <w:style w:type="character" w:styleId="FootnoteReference">
    <w:name w:val="footnote reference"/>
    <w:aliases w:val="Footnote symbol,Voetnootverwijzing,Times 10 Point,Exposant 3 Point,Footnote reference number,note TESI,SUPERS,EN Footnote Reference,Ref,de nota al pie,Ref1,de nota al pie1,Ref2,de nota al pie2,Ref11,de nota al pie11, BVI fnr,BVI fnr,f"/>
    <w:rPr>
      <w:vertAlign w:val="superscript"/>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l-GR"/>
    </w:rPr>
  </w:style>
  <w:style w:type="paragraph" w:styleId="CommentSubject">
    <w:name w:val="annotation subject"/>
    <w:basedOn w:val="CommentText"/>
    <w:next w:val="CommentText"/>
    <w:link w:val="CommentSubjectChar"/>
    <w:uiPriority w:val="99"/>
    <w:semiHidden/>
    <w:unhideWhenUsed/>
    <w:pPr>
      <w:spacing w:after="200" w:line="276" w:lineRule="auto"/>
      <w:jc w:val="left"/>
    </w:pPr>
    <w:rPr>
      <w:rFonts w:ascii="Calibri" w:eastAsia="Calibri" w:hAnsi="Calibri"/>
      <w:b/>
      <w:bCs/>
    </w:rPr>
  </w:style>
  <w:style w:type="character" w:customStyle="1" w:styleId="CommentSubjectChar">
    <w:name w:val="Comment Subject Char"/>
    <w:link w:val="CommentSubject"/>
    <w:uiPriority w:val="99"/>
    <w:semiHidden/>
    <w:rPr>
      <w:rFonts w:ascii="Times New Roman" w:eastAsia="Times New Roman" w:hAnsi="Times New Roman"/>
      <w:b/>
      <w:bCs/>
      <w:lang w:eastAsia="el-GR"/>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Pr>
      <w:color w:val="800080"/>
      <w:u w:val="single"/>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character" w:customStyle="1" w:styleId="Heading1Char">
    <w:name w:val="Heading 1 Char"/>
    <w:link w:val="Heading1"/>
    <w:uiPriority w:val="9"/>
    <w:rPr>
      <w:rFonts w:ascii="Times New Roman Bold" w:eastAsia="Times New Roman" w:hAnsi="Times New Roman Bold"/>
      <w:b/>
      <w:bCs/>
      <w:smallCaps/>
      <w:kern w:val="32"/>
      <w:sz w:val="24"/>
      <w:szCs w:val="24"/>
      <w:lang w:eastAsia="el-GR"/>
    </w:rPr>
  </w:style>
  <w:style w:type="character" w:customStyle="1" w:styleId="Heading2Char">
    <w:name w:val="Heading 2 Char"/>
    <w:link w:val="Heading2"/>
    <w:uiPriority w:val="9"/>
    <w:rPr>
      <w:rFonts w:ascii="Cambria" w:eastAsia="Times New Roman" w:hAnsi="Cambria"/>
      <w:b/>
      <w:bCs/>
      <w:i/>
      <w:iCs/>
      <w:sz w:val="28"/>
      <w:szCs w:val="28"/>
      <w:lang w:eastAsia="el-GR"/>
    </w:rPr>
  </w:style>
  <w:style w:type="character" w:customStyle="1" w:styleId="Heading3Char">
    <w:name w:val="Heading 3 Char"/>
    <w:link w:val="Heading3"/>
    <w:uiPriority w:val="9"/>
    <w:rPr>
      <w:rFonts w:ascii="Cambria" w:eastAsia="Times New Roman" w:hAnsi="Cambria" w:cs="Times New Roman"/>
      <w:b/>
      <w:bCs/>
      <w:sz w:val="26"/>
      <w:szCs w:val="26"/>
      <w:lang w:eastAsia="el-GR"/>
    </w:rPr>
  </w:style>
  <w:style w:type="paragraph" w:customStyle="1" w:styleId="Heaidng1">
    <w:name w:val="Heaidng 1"/>
    <w:basedOn w:val="Normal"/>
    <w:pPr>
      <w:keepNext/>
      <w:tabs>
        <w:tab w:val="num" w:pos="480"/>
      </w:tabs>
      <w:spacing w:before="240" w:after="240" w:line="240" w:lineRule="auto"/>
      <w:ind w:left="480" w:hanging="480"/>
      <w:jc w:val="both"/>
      <w:outlineLvl w:val="0"/>
    </w:pPr>
    <w:rPr>
      <w:rFonts w:ascii="Times New Roman" w:eastAsia="Times New Roman" w:hAnsi="Times New Roman"/>
      <w:b/>
      <w:smallCaps/>
      <w:sz w:val="24"/>
      <w:szCs w:val="24"/>
    </w:rPr>
  </w:style>
  <w:style w:type="paragraph" w:customStyle="1" w:styleId="Kopvaninhoudsopgave1">
    <w:name w:val="Kop van inhoudsopgave1"/>
    <w:basedOn w:val="Normal"/>
    <w:next w:val="Normal"/>
    <w:qFormat/>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aps/>
      <w:sz w:val="24"/>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sz w:val="24"/>
      <w:szCs w:val="20"/>
    </w:rPr>
  </w:style>
  <w:style w:type="paragraph" w:styleId="TOC3">
    <w:name w:val="toc 3"/>
    <w:basedOn w:val="Normal"/>
    <w:next w:val="Normal"/>
    <w:uiPriority w:val="39"/>
    <w:pPr>
      <w:tabs>
        <w:tab w:val="right" w:leader="dot" w:pos="8640"/>
      </w:tabs>
      <w:spacing w:before="60" w:after="60" w:line="240" w:lineRule="auto"/>
      <w:ind w:left="1916" w:right="720" w:hanging="839"/>
      <w:jc w:val="both"/>
    </w:pPr>
    <w:rPr>
      <w:rFonts w:ascii="Times New Roman" w:eastAsia="Times New Roman" w:hAnsi="Times New Roman"/>
      <w:sz w:val="24"/>
      <w:szCs w:val="20"/>
    </w:rPr>
  </w:style>
  <w:style w:type="paragraph" w:customStyle="1" w:styleId="ColorfulList-Accent11">
    <w:name w:val="Colorful List - Accent 11"/>
    <w:basedOn w:val="Normal"/>
    <w:uiPriority w:val="34"/>
    <w:qFormat/>
    <w:pPr>
      <w:spacing w:after="0" w:line="240" w:lineRule="auto"/>
      <w:ind w:left="720"/>
      <w:contextualSpacing/>
    </w:pPr>
    <w:rPr>
      <w:rFonts w:ascii="Times New Roman" w:eastAsia="Times New Roman" w:hAnsi="Times New Roman"/>
      <w:sz w:val="24"/>
      <w:szCs w:val="24"/>
    </w:rPr>
  </w:style>
  <w:style w:type="paragraph" w:customStyle="1" w:styleId="ColorfulShading-Accent11">
    <w:name w:val="Colorful Shading - Accent 11"/>
    <w:hidden/>
    <w:uiPriority w:val="99"/>
    <w:semiHidden/>
    <w:rPr>
      <w:sz w:val="22"/>
      <w:szCs w:val="22"/>
    </w:rPr>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sz w:val="24"/>
      <w:szCs w:val="20"/>
    </w:rPr>
  </w:style>
  <w:style w:type="paragraph" w:styleId="ListBullet">
    <w:name w:val="List Bullet"/>
    <w:basedOn w:val="Normal"/>
    <w:pPr>
      <w:numPr>
        <w:numId w:val="173"/>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pPr>
      <w:numPr>
        <w:numId w:val="174"/>
      </w:numPr>
      <w:spacing w:after="240" w:line="240" w:lineRule="auto"/>
      <w:jc w:val="both"/>
    </w:pPr>
    <w:rPr>
      <w:rFonts w:ascii="Times New Roman" w:eastAsia="Times New Roman" w:hAnsi="Times New Roman"/>
      <w:sz w:val="24"/>
      <w:szCs w:val="20"/>
    </w:rPr>
  </w:style>
  <w:style w:type="paragraph" w:styleId="ListBullet2">
    <w:name w:val="List Bullet 2"/>
    <w:basedOn w:val="Normal"/>
    <w:pPr>
      <w:numPr>
        <w:numId w:val="175"/>
      </w:numPr>
      <w:spacing w:after="240" w:line="240" w:lineRule="auto"/>
      <w:jc w:val="both"/>
    </w:pPr>
    <w:rPr>
      <w:rFonts w:ascii="Times New Roman" w:eastAsia="Times New Roman" w:hAnsi="Times New Roman"/>
      <w:sz w:val="24"/>
      <w:szCs w:val="20"/>
    </w:rPr>
  </w:style>
  <w:style w:type="paragraph" w:styleId="ListBullet3">
    <w:name w:val="List Bullet 3"/>
    <w:basedOn w:val="Normal"/>
    <w:pPr>
      <w:numPr>
        <w:numId w:val="176"/>
      </w:numPr>
      <w:spacing w:after="240" w:line="240" w:lineRule="auto"/>
      <w:jc w:val="both"/>
    </w:pPr>
    <w:rPr>
      <w:rFonts w:ascii="Times New Roman" w:eastAsia="Times New Roman" w:hAnsi="Times New Roman"/>
      <w:sz w:val="24"/>
      <w:szCs w:val="20"/>
    </w:rPr>
  </w:style>
  <w:style w:type="paragraph" w:styleId="ListBullet4">
    <w:name w:val="List Bullet 4"/>
    <w:basedOn w:val="Normal"/>
    <w:pPr>
      <w:numPr>
        <w:numId w:val="177"/>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pPr>
      <w:numPr>
        <w:numId w:val="178"/>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pPr>
      <w:numPr>
        <w:numId w:val="179"/>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pPr>
      <w:numPr>
        <w:numId w:val="180"/>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pPr>
      <w:numPr>
        <w:numId w:val="181"/>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pPr>
      <w:numPr>
        <w:numId w:val="182"/>
      </w:numPr>
      <w:spacing w:after="240" w:line="240" w:lineRule="auto"/>
      <w:jc w:val="both"/>
    </w:pPr>
    <w:rPr>
      <w:rFonts w:ascii="Times New Roman" w:eastAsia="Times New Roman" w:hAnsi="Times New Roman"/>
      <w:sz w:val="24"/>
      <w:szCs w:val="20"/>
    </w:rPr>
  </w:style>
  <w:style w:type="paragraph" w:styleId="ListNumber">
    <w:name w:val="List Number"/>
    <w:basedOn w:val="Normal"/>
    <w:pPr>
      <w:numPr>
        <w:numId w:val="198"/>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pPr>
      <w:numPr>
        <w:numId w:val="199"/>
      </w:numPr>
      <w:spacing w:after="240" w:line="240" w:lineRule="auto"/>
      <w:jc w:val="both"/>
    </w:pPr>
    <w:rPr>
      <w:rFonts w:ascii="Times New Roman" w:eastAsia="Times New Roman" w:hAnsi="Times New Roman"/>
      <w:sz w:val="24"/>
      <w:szCs w:val="20"/>
    </w:rPr>
  </w:style>
  <w:style w:type="paragraph" w:styleId="ListNumber2">
    <w:name w:val="List Number 2"/>
    <w:basedOn w:val="Normal"/>
    <w:pPr>
      <w:numPr>
        <w:numId w:val="200"/>
      </w:numPr>
      <w:spacing w:after="240" w:line="240" w:lineRule="auto"/>
      <w:jc w:val="both"/>
    </w:pPr>
    <w:rPr>
      <w:rFonts w:ascii="Times New Roman" w:eastAsia="Times New Roman" w:hAnsi="Times New Roman"/>
      <w:sz w:val="24"/>
      <w:szCs w:val="20"/>
    </w:rPr>
  </w:style>
  <w:style w:type="paragraph" w:styleId="ListNumber3">
    <w:name w:val="List Number 3"/>
    <w:basedOn w:val="Normal"/>
    <w:pPr>
      <w:numPr>
        <w:numId w:val="201"/>
      </w:numPr>
      <w:spacing w:after="240" w:line="240" w:lineRule="auto"/>
      <w:jc w:val="both"/>
    </w:pPr>
    <w:rPr>
      <w:rFonts w:ascii="Times New Roman" w:eastAsia="Times New Roman" w:hAnsi="Times New Roman"/>
      <w:sz w:val="24"/>
      <w:szCs w:val="20"/>
    </w:rPr>
  </w:style>
  <w:style w:type="paragraph" w:styleId="ListNumber4">
    <w:name w:val="List Number 4"/>
    <w:basedOn w:val="Normal"/>
    <w:pPr>
      <w:numPr>
        <w:numId w:val="202"/>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pPr>
      <w:numPr>
        <w:ilvl w:val="1"/>
        <w:numId w:val="198"/>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pPr>
      <w:numPr>
        <w:ilvl w:val="1"/>
        <w:numId w:val="199"/>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pPr>
      <w:numPr>
        <w:ilvl w:val="1"/>
        <w:numId w:val="200"/>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pPr>
      <w:numPr>
        <w:ilvl w:val="1"/>
        <w:numId w:val="201"/>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pPr>
      <w:numPr>
        <w:ilvl w:val="1"/>
        <w:numId w:val="202"/>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pPr>
      <w:numPr>
        <w:ilvl w:val="2"/>
        <w:numId w:val="198"/>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pPr>
      <w:numPr>
        <w:ilvl w:val="2"/>
        <w:numId w:val="199"/>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pPr>
      <w:numPr>
        <w:ilvl w:val="2"/>
        <w:numId w:val="200"/>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pPr>
      <w:numPr>
        <w:ilvl w:val="2"/>
        <w:numId w:val="201"/>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pPr>
      <w:numPr>
        <w:ilvl w:val="2"/>
        <w:numId w:val="202"/>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pPr>
      <w:numPr>
        <w:ilvl w:val="3"/>
        <w:numId w:val="198"/>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pPr>
      <w:numPr>
        <w:ilvl w:val="3"/>
        <w:numId w:val="199"/>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pPr>
      <w:numPr>
        <w:ilvl w:val="3"/>
        <w:numId w:val="200"/>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pPr>
      <w:numPr>
        <w:ilvl w:val="3"/>
        <w:numId w:val="201"/>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pPr>
      <w:numPr>
        <w:ilvl w:val="3"/>
        <w:numId w:val="202"/>
      </w:numPr>
      <w:spacing w:after="240" w:line="240" w:lineRule="auto"/>
      <w:jc w:val="both"/>
    </w:pPr>
    <w:rPr>
      <w:rFonts w:ascii="Times New Roman" w:eastAsia="Times New Roman" w:hAnsi="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r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Times New Roman Bold" w:eastAsia="Times New Roman" w:hAnsi="Times New Roman Bold"/>
      <w:b/>
      <w:bCs/>
      <w:smallCaps/>
      <w:kern w:val="32"/>
      <w:sz w:val="24"/>
      <w:szCs w:val="24"/>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l-G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l-G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l-GR"/>
    </w:rPr>
  </w:style>
  <w:style w:type="paragraph" w:styleId="CommentText">
    <w:name w:val="annotation text"/>
    <w:basedOn w:val="Normal"/>
    <w:link w:val="CommentTextChar"/>
    <w:semiHidden/>
    <w:pPr>
      <w:spacing w:after="240" w:line="240" w:lineRule="auto"/>
      <w:jc w:val="both"/>
    </w:pPr>
    <w:rPr>
      <w:rFonts w:ascii="Times New Roman" w:eastAsia="Times New Roman" w:hAnsi="Times New Roman"/>
      <w:sz w:val="20"/>
      <w:szCs w:val="20"/>
    </w:rPr>
  </w:style>
  <w:style w:type="character" w:customStyle="1" w:styleId="CommentTextChar">
    <w:name w:val="Comment Text Char"/>
    <w:link w:val="CommentText"/>
    <w:semiHidden/>
    <w:rPr>
      <w:rFonts w:ascii="Times New Roman" w:eastAsia="Times New Roman" w:hAnsi="Times New Roman"/>
      <w:lang w:eastAsia="el-GR"/>
    </w:rPr>
  </w:style>
  <w:style w:type="character" w:styleId="FootnoteReference">
    <w:name w:val="footnote reference"/>
    <w:aliases w:val="Footnote symbol,Voetnootverwijzing,Times 10 Point,Exposant 3 Point,Footnote reference number,note TESI,SUPERS,EN Footnote Reference,Ref,de nota al pie,Ref1,de nota al pie1,Ref2,de nota al pie2,Ref11,de nota al pie11, BVI fnr,BVI fnr,f"/>
    <w:rPr>
      <w:vertAlign w:val="superscript"/>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l-GR"/>
    </w:rPr>
  </w:style>
  <w:style w:type="paragraph" w:styleId="CommentSubject">
    <w:name w:val="annotation subject"/>
    <w:basedOn w:val="CommentText"/>
    <w:next w:val="CommentText"/>
    <w:link w:val="CommentSubjectChar"/>
    <w:uiPriority w:val="99"/>
    <w:semiHidden/>
    <w:unhideWhenUsed/>
    <w:pPr>
      <w:spacing w:after="200" w:line="276" w:lineRule="auto"/>
      <w:jc w:val="left"/>
    </w:pPr>
    <w:rPr>
      <w:rFonts w:ascii="Calibri" w:eastAsia="Calibri" w:hAnsi="Calibri"/>
      <w:b/>
      <w:bCs/>
    </w:rPr>
  </w:style>
  <w:style w:type="character" w:customStyle="1" w:styleId="CommentSubjectChar">
    <w:name w:val="Comment Subject Char"/>
    <w:link w:val="CommentSubject"/>
    <w:uiPriority w:val="99"/>
    <w:semiHidden/>
    <w:rPr>
      <w:rFonts w:ascii="Times New Roman" w:eastAsia="Times New Roman" w:hAnsi="Times New Roman"/>
      <w:b/>
      <w:bCs/>
      <w:lang w:eastAsia="el-GR"/>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Pr>
      <w:color w:val="800080"/>
      <w:u w:val="single"/>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character" w:customStyle="1" w:styleId="Heading1Char">
    <w:name w:val="Heading 1 Char"/>
    <w:link w:val="Heading1"/>
    <w:uiPriority w:val="9"/>
    <w:rPr>
      <w:rFonts w:ascii="Times New Roman Bold" w:eastAsia="Times New Roman" w:hAnsi="Times New Roman Bold"/>
      <w:b/>
      <w:bCs/>
      <w:smallCaps/>
      <w:kern w:val="32"/>
      <w:sz w:val="24"/>
      <w:szCs w:val="24"/>
      <w:lang w:eastAsia="el-GR"/>
    </w:rPr>
  </w:style>
  <w:style w:type="character" w:customStyle="1" w:styleId="Heading2Char">
    <w:name w:val="Heading 2 Char"/>
    <w:link w:val="Heading2"/>
    <w:uiPriority w:val="9"/>
    <w:rPr>
      <w:rFonts w:ascii="Cambria" w:eastAsia="Times New Roman" w:hAnsi="Cambria"/>
      <w:b/>
      <w:bCs/>
      <w:i/>
      <w:iCs/>
      <w:sz w:val="28"/>
      <w:szCs w:val="28"/>
      <w:lang w:eastAsia="el-GR"/>
    </w:rPr>
  </w:style>
  <w:style w:type="character" w:customStyle="1" w:styleId="Heading3Char">
    <w:name w:val="Heading 3 Char"/>
    <w:link w:val="Heading3"/>
    <w:uiPriority w:val="9"/>
    <w:rPr>
      <w:rFonts w:ascii="Cambria" w:eastAsia="Times New Roman" w:hAnsi="Cambria" w:cs="Times New Roman"/>
      <w:b/>
      <w:bCs/>
      <w:sz w:val="26"/>
      <w:szCs w:val="26"/>
      <w:lang w:eastAsia="el-GR"/>
    </w:rPr>
  </w:style>
  <w:style w:type="paragraph" w:customStyle="1" w:styleId="Heaidng1">
    <w:name w:val="Heaidng 1"/>
    <w:basedOn w:val="Normal"/>
    <w:pPr>
      <w:keepNext/>
      <w:tabs>
        <w:tab w:val="num" w:pos="480"/>
      </w:tabs>
      <w:spacing w:before="240" w:after="240" w:line="240" w:lineRule="auto"/>
      <w:ind w:left="480" w:hanging="480"/>
      <w:jc w:val="both"/>
      <w:outlineLvl w:val="0"/>
    </w:pPr>
    <w:rPr>
      <w:rFonts w:ascii="Times New Roman" w:eastAsia="Times New Roman" w:hAnsi="Times New Roman"/>
      <w:b/>
      <w:smallCaps/>
      <w:sz w:val="24"/>
      <w:szCs w:val="24"/>
    </w:rPr>
  </w:style>
  <w:style w:type="paragraph" w:customStyle="1" w:styleId="Kopvaninhoudsopgave1">
    <w:name w:val="Kop van inhoudsopgave1"/>
    <w:basedOn w:val="Normal"/>
    <w:next w:val="Normal"/>
    <w:qFormat/>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aps/>
      <w:sz w:val="24"/>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sz w:val="24"/>
      <w:szCs w:val="20"/>
    </w:rPr>
  </w:style>
  <w:style w:type="paragraph" w:styleId="TOC3">
    <w:name w:val="toc 3"/>
    <w:basedOn w:val="Normal"/>
    <w:next w:val="Normal"/>
    <w:uiPriority w:val="39"/>
    <w:pPr>
      <w:tabs>
        <w:tab w:val="right" w:leader="dot" w:pos="8640"/>
      </w:tabs>
      <w:spacing w:before="60" w:after="60" w:line="240" w:lineRule="auto"/>
      <w:ind w:left="1916" w:right="720" w:hanging="839"/>
      <w:jc w:val="both"/>
    </w:pPr>
    <w:rPr>
      <w:rFonts w:ascii="Times New Roman" w:eastAsia="Times New Roman" w:hAnsi="Times New Roman"/>
      <w:sz w:val="24"/>
      <w:szCs w:val="20"/>
    </w:rPr>
  </w:style>
  <w:style w:type="paragraph" w:customStyle="1" w:styleId="ColorfulList-Accent11">
    <w:name w:val="Colorful List - Accent 11"/>
    <w:basedOn w:val="Normal"/>
    <w:uiPriority w:val="34"/>
    <w:qFormat/>
    <w:pPr>
      <w:spacing w:after="0" w:line="240" w:lineRule="auto"/>
      <w:ind w:left="720"/>
      <w:contextualSpacing/>
    </w:pPr>
    <w:rPr>
      <w:rFonts w:ascii="Times New Roman" w:eastAsia="Times New Roman" w:hAnsi="Times New Roman"/>
      <w:sz w:val="24"/>
      <w:szCs w:val="24"/>
    </w:rPr>
  </w:style>
  <w:style w:type="paragraph" w:customStyle="1" w:styleId="ColorfulShading-Accent11">
    <w:name w:val="Colorful Shading - Accent 11"/>
    <w:hidden/>
    <w:uiPriority w:val="99"/>
    <w:semiHidden/>
    <w:rPr>
      <w:sz w:val="22"/>
      <w:szCs w:val="22"/>
    </w:rPr>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sz w:val="24"/>
      <w:szCs w:val="20"/>
    </w:rPr>
  </w:style>
  <w:style w:type="paragraph" w:styleId="ListBullet">
    <w:name w:val="List Bullet"/>
    <w:basedOn w:val="Normal"/>
    <w:pPr>
      <w:numPr>
        <w:numId w:val="173"/>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pPr>
      <w:numPr>
        <w:numId w:val="174"/>
      </w:numPr>
      <w:spacing w:after="240" w:line="240" w:lineRule="auto"/>
      <w:jc w:val="both"/>
    </w:pPr>
    <w:rPr>
      <w:rFonts w:ascii="Times New Roman" w:eastAsia="Times New Roman" w:hAnsi="Times New Roman"/>
      <w:sz w:val="24"/>
      <w:szCs w:val="20"/>
    </w:rPr>
  </w:style>
  <w:style w:type="paragraph" w:styleId="ListBullet2">
    <w:name w:val="List Bullet 2"/>
    <w:basedOn w:val="Normal"/>
    <w:pPr>
      <w:numPr>
        <w:numId w:val="175"/>
      </w:numPr>
      <w:spacing w:after="240" w:line="240" w:lineRule="auto"/>
      <w:jc w:val="both"/>
    </w:pPr>
    <w:rPr>
      <w:rFonts w:ascii="Times New Roman" w:eastAsia="Times New Roman" w:hAnsi="Times New Roman"/>
      <w:sz w:val="24"/>
      <w:szCs w:val="20"/>
    </w:rPr>
  </w:style>
  <w:style w:type="paragraph" w:styleId="ListBullet3">
    <w:name w:val="List Bullet 3"/>
    <w:basedOn w:val="Normal"/>
    <w:pPr>
      <w:numPr>
        <w:numId w:val="176"/>
      </w:numPr>
      <w:spacing w:after="240" w:line="240" w:lineRule="auto"/>
      <w:jc w:val="both"/>
    </w:pPr>
    <w:rPr>
      <w:rFonts w:ascii="Times New Roman" w:eastAsia="Times New Roman" w:hAnsi="Times New Roman"/>
      <w:sz w:val="24"/>
      <w:szCs w:val="20"/>
    </w:rPr>
  </w:style>
  <w:style w:type="paragraph" w:styleId="ListBullet4">
    <w:name w:val="List Bullet 4"/>
    <w:basedOn w:val="Normal"/>
    <w:pPr>
      <w:numPr>
        <w:numId w:val="177"/>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pPr>
      <w:numPr>
        <w:numId w:val="178"/>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pPr>
      <w:numPr>
        <w:numId w:val="179"/>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pPr>
      <w:numPr>
        <w:numId w:val="180"/>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pPr>
      <w:numPr>
        <w:numId w:val="181"/>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pPr>
      <w:numPr>
        <w:numId w:val="182"/>
      </w:numPr>
      <w:spacing w:after="240" w:line="240" w:lineRule="auto"/>
      <w:jc w:val="both"/>
    </w:pPr>
    <w:rPr>
      <w:rFonts w:ascii="Times New Roman" w:eastAsia="Times New Roman" w:hAnsi="Times New Roman"/>
      <w:sz w:val="24"/>
      <w:szCs w:val="20"/>
    </w:rPr>
  </w:style>
  <w:style w:type="paragraph" w:styleId="ListNumber">
    <w:name w:val="List Number"/>
    <w:basedOn w:val="Normal"/>
    <w:pPr>
      <w:numPr>
        <w:numId w:val="198"/>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pPr>
      <w:numPr>
        <w:numId w:val="199"/>
      </w:numPr>
      <w:spacing w:after="240" w:line="240" w:lineRule="auto"/>
      <w:jc w:val="both"/>
    </w:pPr>
    <w:rPr>
      <w:rFonts w:ascii="Times New Roman" w:eastAsia="Times New Roman" w:hAnsi="Times New Roman"/>
      <w:sz w:val="24"/>
      <w:szCs w:val="20"/>
    </w:rPr>
  </w:style>
  <w:style w:type="paragraph" w:styleId="ListNumber2">
    <w:name w:val="List Number 2"/>
    <w:basedOn w:val="Normal"/>
    <w:pPr>
      <w:numPr>
        <w:numId w:val="200"/>
      </w:numPr>
      <w:spacing w:after="240" w:line="240" w:lineRule="auto"/>
      <w:jc w:val="both"/>
    </w:pPr>
    <w:rPr>
      <w:rFonts w:ascii="Times New Roman" w:eastAsia="Times New Roman" w:hAnsi="Times New Roman"/>
      <w:sz w:val="24"/>
      <w:szCs w:val="20"/>
    </w:rPr>
  </w:style>
  <w:style w:type="paragraph" w:styleId="ListNumber3">
    <w:name w:val="List Number 3"/>
    <w:basedOn w:val="Normal"/>
    <w:pPr>
      <w:numPr>
        <w:numId w:val="201"/>
      </w:numPr>
      <w:spacing w:after="240" w:line="240" w:lineRule="auto"/>
      <w:jc w:val="both"/>
    </w:pPr>
    <w:rPr>
      <w:rFonts w:ascii="Times New Roman" w:eastAsia="Times New Roman" w:hAnsi="Times New Roman"/>
      <w:sz w:val="24"/>
      <w:szCs w:val="20"/>
    </w:rPr>
  </w:style>
  <w:style w:type="paragraph" w:styleId="ListNumber4">
    <w:name w:val="List Number 4"/>
    <w:basedOn w:val="Normal"/>
    <w:pPr>
      <w:numPr>
        <w:numId w:val="202"/>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pPr>
      <w:numPr>
        <w:ilvl w:val="1"/>
        <w:numId w:val="198"/>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pPr>
      <w:numPr>
        <w:ilvl w:val="1"/>
        <w:numId w:val="199"/>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pPr>
      <w:numPr>
        <w:ilvl w:val="1"/>
        <w:numId w:val="200"/>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pPr>
      <w:numPr>
        <w:ilvl w:val="1"/>
        <w:numId w:val="201"/>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pPr>
      <w:numPr>
        <w:ilvl w:val="1"/>
        <w:numId w:val="202"/>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pPr>
      <w:numPr>
        <w:ilvl w:val="2"/>
        <w:numId w:val="198"/>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pPr>
      <w:numPr>
        <w:ilvl w:val="2"/>
        <w:numId w:val="199"/>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pPr>
      <w:numPr>
        <w:ilvl w:val="2"/>
        <w:numId w:val="200"/>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pPr>
      <w:numPr>
        <w:ilvl w:val="2"/>
        <w:numId w:val="201"/>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pPr>
      <w:numPr>
        <w:ilvl w:val="2"/>
        <w:numId w:val="202"/>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pPr>
      <w:numPr>
        <w:ilvl w:val="3"/>
        <w:numId w:val="198"/>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pPr>
      <w:numPr>
        <w:ilvl w:val="3"/>
        <w:numId w:val="199"/>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pPr>
      <w:numPr>
        <w:ilvl w:val="3"/>
        <w:numId w:val="200"/>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pPr>
      <w:numPr>
        <w:ilvl w:val="3"/>
        <w:numId w:val="201"/>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pPr>
      <w:numPr>
        <w:ilvl w:val="3"/>
        <w:numId w:val="202"/>
      </w:numPr>
      <w:spacing w:after="240" w:line="240" w:lineRule="auto"/>
      <w:jc w:val="both"/>
    </w:pPr>
    <w:rPr>
      <w:rFonts w:ascii="Times New Roman" w:eastAsia="Times New Roman" w:hAnsi="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r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416968">
      <w:bodyDiv w:val="1"/>
      <w:marLeft w:val="0"/>
      <w:marRight w:val="0"/>
      <w:marTop w:val="0"/>
      <w:marBottom w:val="0"/>
      <w:divBdr>
        <w:top w:val="none" w:sz="0" w:space="0" w:color="auto"/>
        <w:left w:val="none" w:sz="0" w:space="0" w:color="auto"/>
        <w:bottom w:val="none" w:sz="0" w:space="0" w:color="auto"/>
        <w:right w:val="none" w:sz="0" w:space="0" w:color="auto"/>
      </w:divBdr>
    </w:div>
    <w:div w:id="1029142626">
      <w:bodyDiv w:val="1"/>
      <w:marLeft w:val="0"/>
      <w:marRight w:val="0"/>
      <w:marTop w:val="0"/>
      <w:marBottom w:val="0"/>
      <w:divBdr>
        <w:top w:val="none" w:sz="0" w:space="0" w:color="auto"/>
        <w:left w:val="none" w:sz="0" w:space="0" w:color="auto"/>
        <w:bottom w:val="none" w:sz="0" w:space="0" w:color="auto"/>
        <w:right w:val="none" w:sz="0" w:space="0" w:color="auto"/>
      </w:divBdr>
    </w:div>
    <w:div w:id="1085111313">
      <w:bodyDiv w:val="1"/>
      <w:marLeft w:val="0"/>
      <w:marRight w:val="0"/>
      <w:marTop w:val="0"/>
      <w:marBottom w:val="0"/>
      <w:divBdr>
        <w:top w:val="none" w:sz="0" w:space="0" w:color="auto"/>
        <w:left w:val="none" w:sz="0" w:space="0" w:color="auto"/>
        <w:bottom w:val="none" w:sz="0" w:space="0" w:color="auto"/>
        <w:right w:val="none" w:sz="0" w:space="0" w:color="auto"/>
      </w:divBdr>
    </w:div>
    <w:div w:id="1461417378">
      <w:bodyDiv w:val="1"/>
      <w:marLeft w:val="0"/>
      <w:marRight w:val="0"/>
      <w:marTop w:val="0"/>
      <w:marBottom w:val="0"/>
      <w:divBdr>
        <w:top w:val="none" w:sz="0" w:space="0" w:color="auto"/>
        <w:left w:val="none" w:sz="0" w:space="0" w:color="auto"/>
        <w:bottom w:val="none" w:sz="0" w:space="0" w:color="auto"/>
        <w:right w:val="none" w:sz="0" w:space="0" w:color="auto"/>
      </w:divBdr>
    </w:div>
    <w:div w:id="1517425768">
      <w:bodyDiv w:val="1"/>
      <w:marLeft w:val="0"/>
      <w:marRight w:val="0"/>
      <w:marTop w:val="0"/>
      <w:marBottom w:val="0"/>
      <w:divBdr>
        <w:top w:val="none" w:sz="0" w:space="0" w:color="auto"/>
        <w:left w:val="none" w:sz="0" w:space="0" w:color="auto"/>
        <w:bottom w:val="none" w:sz="0" w:space="0" w:color="auto"/>
        <w:right w:val="none" w:sz="0" w:space="0" w:color="auto"/>
      </w:divBdr>
    </w:div>
    <w:div w:id="1727871621">
      <w:bodyDiv w:val="1"/>
      <w:marLeft w:val="0"/>
      <w:marRight w:val="0"/>
      <w:marTop w:val="0"/>
      <w:marBottom w:val="0"/>
      <w:divBdr>
        <w:top w:val="none" w:sz="0" w:space="0" w:color="auto"/>
        <w:left w:val="none" w:sz="0" w:space="0" w:color="auto"/>
        <w:bottom w:val="none" w:sz="0" w:space="0" w:color="auto"/>
        <w:right w:val="none" w:sz="0" w:space="0" w:color="auto"/>
      </w:divBdr>
    </w:div>
    <w:div w:id="1869945758">
      <w:bodyDiv w:val="1"/>
      <w:marLeft w:val="0"/>
      <w:marRight w:val="0"/>
      <w:marTop w:val="0"/>
      <w:marBottom w:val="0"/>
      <w:divBdr>
        <w:top w:val="none" w:sz="0" w:space="0" w:color="auto"/>
        <w:left w:val="none" w:sz="0" w:space="0" w:color="auto"/>
        <w:bottom w:val="none" w:sz="0" w:space="0" w:color="auto"/>
        <w:right w:val="none" w:sz="0" w:space="0" w:color="auto"/>
      </w:divBdr>
    </w:div>
    <w:div w:id="19834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who.int/fctc/protocol/Protocol_summary_en.pdf?ua=1" TargetMode="External"/><Relationship Id="rId26" Type="http://schemas.openxmlformats.org/officeDocument/2006/relationships/footer" Target="footer6.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image" Target="media/image9.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c.europa.eu/health/tobacco/docs/dir_201440_el.pdf" TargetMode="External"/><Relationship Id="rId25" Type="http://schemas.openxmlformats.org/officeDocument/2006/relationships/header" Target="header6.xml"/><Relationship Id="rId33" Type="http://schemas.openxmlformats.org/officeDocument/2006/relationships/image" Target="media/image8.emf"/><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eur-lex.europa.eu/LexUriServ/LexUriServ.do?uri=OJ:L:2011:176:0024:0036:EL:PDF" TargetMode="External"/><Relationship Id="rId20" Type="http://schemas.openxmlformats.org/officeDocument/2006/relationships/hyperlink" Target="http://eur-lex.europa.eu/LexUriServ/LexUriServ.do?uri=CELEX:31992L0012:el:HTML" TargetMode="External"/><Relationship Id="rId29" Type="http://schemas.openxmlformats.org/officeDocument/2006/relationships/image" Target="media/image4.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image" Target="media/image7.emf"/><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image" Target="media/image3.emf"/><Relationship Id="rId36"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eur-lex.europa.eu/LexUriServ/LexUriServ.do?uri=OJ:L:2009:009:0012:0030:EL:PDF" TargetMode="External"/><Relationship Id="rId31"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axation_customs/resources/documents/taxation/excise_duties/tobacco_products/studies_reports/ramboll-tobacco-study.pdf" TargetMode="External"/><Relationship Id="rId13" Type="http://schemas.openxmlformats.org/officeDocument/2006/relationships/hyperlink" Target="http://ec.europa.eu/taxation_customs/resources/documents/taxation/excise_duties/tobacco_products/studies_reports/ramboll-tobacco-study.pdf" TargetMode="External"/><Relationship Id="rId18" Type="http://schemas.openxmlformats.org/officeDocument/2006/relationships/hyperlink" Target="http://ec.europa.eu/smart-regulation/evaluation/docs/standards_c_2002_5267_final_en.pdf" TargetMode="External"/><Relationship Id="rId3" Type="http://schemas.openxmlformats.org/officeDocument/2006/relationships/hyperlink" Target="http://eur-lex.europa.eu/LexUriServ/LexUriServ.do?uri=OJ:L:2011:176:0024:0036:EL:PDF" TargetMode="External"/><Relationship Id="rId21" Type="http://schemas.openxmlformats.org/officeDocument/2006/relationships/hyperlink" Target="http://ec.europa.eu/taxation_customs/resources/documents/taxation/excise_duties/tobacco_products/studies_reports/ramboll-tobacco-study.pdf" TargetMode="External"/><Relationship Id="rId7" Type="http://schemas.openxmlformats.org/officeDocument/2006/relationships/hyperlink" Target="http://eur-lex.europa.eu/resource.html?uri=cellar:248aee57-abdf-4df2-929e-30c2fa7f22e0.0003.02/DOC_1&amp;format=PDF" TargetMode="External"/><Relationship Id="rId12" Type="http://schemas.openxmlformats.org/officeDocument/2006/relationships/hyperlink" Target="http://ec.europa.eu/taxation_customs/resources/documents/taxation/excise_duties/tobacco_products/studies_reports/ramboll-tobacco-study.pdf" TargetMode="External"/><Relationship Id="rId17" Type="http://schemas.openxmlformats.org/officeDocument/2006/relationships/hyperlink" Target="http://ec.europa.eu/taxation_customs/resources/documents/taxation/excise_duties/tobacco_products/studies_reports/ramboll-tobacco-study.pdf" TargetMode="External"/><Relationship Id="rId2" Type="http://schemas.openxmlformats.org/officeDocument/2006/relationships/hyperlink" Target="http://eur-lex.europa.eu/legal-content/EL/TXT/PDF/?uri=CELEX:12012E/TXT&amp;from=EL" TargetMode="External"/><Relationship Id="rId16" Type="http://schemas.openxmlformats.org/officeDocument/2006/relationships/hyperlink" Target="http://ec.europa.eu/anti_fraud/documents/2013-cigarette-communication/communication_el.pdf" TargetMode="External"/><Relationship Id="rId20" Type="http://schemas.openxmlformats.org/officeDocument/2006/relationships/hyperlink" Target="http://ec.europa.eu/transparency/regexpert/index.cfm?do=groupDetail.groupDetail&amp;groupID=3296&amp;Lang=EL" TargetMode="External"/><Relationship Id="rId1" Type="http://schemas.openxmlformats.org/officeDocument/2006/relationships/hyperlink" Target="http://eur-lex.europa.eu/LexUriServ/LexUriServ.do?uri=OJ:L:2011:176:0024:0036:EL:PDF" TargetMode="External"/><Relationship Id="rId6" Type="http://schemas.openxmlformats.org/officeDocument/2006/relationships/hyperlink" Target="http://ec.europa.eu/health/tobacco/docs/dir_201440_el.pdf" TargetMode="External"/><Relationship Id="rId11" Type="http://schemas.openxmlformats.org/officeDocument/2006/relationships/hyperlink" Target="http://ec.europa.eu/taxation_customs/resources/documents/taxation/excise_duties/tobacco_products/studies_reports/ramboll-tobacco-study.pdf" TargetMode="External"/><Relationship Id="rId24" Type="http://schemas.openxmlformats.org/officeDocument/2006/relationships/hyperlink" Target="http://ec.europa.eu/taxation_customs/resources/documents/taxation/excise_duties/tobacco_products/studies_reports/ramboll-tobacco-study.pdf" TargetMode="External"/><Relationship Id="rId5" Type="http://schemas.openxmlformats.org/officeDocument/2006/relationships/hyperlink" Target="http://eur-lex.europa.eu/LexUriServ/LexUriServ.do?uri=CELEX:31992L0012:el:HTML" TargetMode="External"/><Relationship Id="rId15" Type="http://schemas.openxmlformats.org/officeDocument/2006/relationships/hyperlink" Target="http://ec.europa.eu/transparency/regexpert/index.cfm?do=groupDetail.groupDetail&amp;groupID=956&amp;Lang=EL" TargetMode="External"/><Relationship Id="rId23" Type="http://schemas.openxmlformats.org/officeDocument/2006/relationships/hyperlink" Target="http://ec.europa.eu/taxation_customs/resources/documents/taxation/excise_duties/tobacco_products/studies_reports/ramboll-tobacco-study.pdf" TargetMode="External"/><Relationship Id="rId10" Type="http://schemas.openxmlformats.org/officeDocument/2006/relationships/hyperlink" Target="http://ec.europa.eu/taxation_customs/resources/documents/taxation/excise_duties/tobacco_products/studies_reports/ramboll-tobacco-study.pdf" TargetMode="External"/><Relationship Id="rId19" Type="http://schemas.openxmlformats.org/officeDocument/2006/relationships/hyperlink" Target="http://ec.europa.eu/taxation_customs/resources/documents/taxation/excise_duties/tobacco_products/studies_reports/ramboll-tobacco-study.pdf" TargetMode="External"/><Relationship Id="rId4" Type="http://schemas.openxmlformats.org/officeDocument/2006/relationships/hyperlink" Target="http://eur-lex.europa.eu/LexUriServ/LexUriServ.do?uri=OJ:L:2009:009:0012:0030:EL:PDF" TargetMode="External"/><Relationship Id="rId9" Type="http://schemas.openxmlformats.org/officeDocument/2006/relationships/hyperlink" Target="http://ec.europa.eu/taxation_customs/resources/documents/taxation/excise_duties/tobacco_products/studies_reports/ramboll-tobacco-study.pdf" TargetMode="External"/><Relationship Id="rId14" Type="http://schemas.openxmlformats.org/officeDocument/2006/relationships/hyperlink" Target="http://ec.europa.eu/transparency/regexpert/index.cfm?do=groupDetail.groupDetail&amp;groupID=3296&amp;news=1&amp;Lang=EL" TargetMode="External"/><Relationship Id="rId22" Type="http://schemas.openxmlformats.org/officeDocument/2006/relationships/hyperlink" Target="http://ec.europa.eu/taxation_customs/resources/documents/taxation/excise_duties/tobacco_products/rates/excise_duties_tobacco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C489A-3343-420C-BE4B-F7035692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6443</Words>
  <Characters>36728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43085</CharactersWithSpaces>
  <SharedDoc>false</SharedDoc>
  <HLinks>
    <vt:vector size="126" baseType="variant">
      <vt:variant>
        <vt:i4>5242891</vt:i4>
      </vt:variant>
      <vt:variant>
        <vt:i4>105</vt:i4>
      </vt:variant>
      <vt:variant>
        <vt:i4>0</vt:i4>
      </vt:variant>
      <vt:variant>
        <vt:i4>5</vt:i4>
      </vt:variant>
      <vt:variant>
        <vt:lpwstr>http://ec.europa.eu/taxation_customs/common/publications/studies/index_en.htm</vt:lpwstr>
      </vt:variant>
      <vt:variant>
        <vt:lpwstr/>
      </vt:variant>
      <vt:variant>
        <vt:i4>8192096</vt:i4>
      </vt:variant>
      <vt:variant>
        <vt:i4>96</vt:i4>
      </vt:variant>
      <vt:variant>
        <vt:i4>0</vt:i4>
      </vt:variant>
      <vt:variant>
        <vt:i4>5</vt:i4>
      </vt:variant>
      <vt:variant>
        <vt:lpwstr>http://ec.europa.eu/transparency/regexpert/index.cfm?do=groupDetail.groupDetail&amp;groupID=3296&amp;news=1</vt:lpwstr>
      </vt:variant>
      <vt:variant>
        <vt:lpwstr/>
      </vt:variant>
      <vt:variant>
        <vt:i4>7340053</vt:i4>
      </vt:variant>
      <vt:variant>
        <vt:i4>93</vt:i4>
      </vt:variant>
      <vt:variant>
        <vt:i4>0</vt:i4>
      </vt:variant>
      <vt:variant>
        <vt:i4>5</vt:i4>
      </vt:variant>
      <vt:variant>
        <vt:lpwstr/>
      </vt:variant>
      <vt:variant>
        <vt:lpwstr>_4.2_Absence_of</vt:lpwstr>
      </vt:variant>
      <vt:variant>
        <vt:i4>1310832</vt:i4>
      </vt:variant>
      <vt:variant>
        <vt:i4>90</vt:i4>
      </vt:variant>
      <vt:variant>
        <vt:i4>0</vt:i4>
      </vt:variant>
      <vt:variant>
        <vt:i4>5</vt:i4>
      </vt:variant>
      <vt:variant>
        <vt:lpwstr/>
      </vt:variant>
      <vt:variant>
        <vt:lpwstr>_5.1_Recommendations_and</vt:lpwstr>
      </vt:variant>
      <vt:variant>
        <vt:i4>3080250</vt:i4>
      </vt:variant>
      <vt:variant>
        <vt:i4>87</vt:i4>
      </vt:variant>
      <vt:variant>
        <vt:i4>0</vt:i4>
      </vt:variant>
      <vt:variant>
        <vt:i4>5</vt:i4>
      </vt:variant>
      <vt:variant>
        <vt:lpwstr>http://ec.europa.eu/health/tobacco/docs/dir_201440_en.pdf</vt:lpwstr>
      </vt:variant>
      <vt:variant>
        <vt:lpwstr/>
      </vt:variant>
      <vt:variant>
        <vt:i4>6815850</vt:i4>
      </vt:variant>
      <vt:variant>
        <vt:i4>84</vt:i4>
      </vt:variant>
      <vt:variant>
        <vt:i4>0</vt:i4>
      </vt:variant>
      <vt:variant>
        <vt:i4>5</vt:i4>
      </vt:variant>
      <vt:variant>
        <vt:lpwstr>http://ec.europa.eu/taxation_customs/resources/documents/taxation/excise_duties/tobacco_products/studies_reports/ramboll-tobacco-study.pdfKS</vt:lpwstr>
      </vt:variant>
      <vt:variant>
        <vt:lpwstr/>
      </vt:variant>
      <vt:variant>
        <vt:i4>3801141</vt:i4>
      </vt:variant>
      <vt:variant>
        <vt:i4>42</vt:i4>
      </vt:variant>
      <vt:variant>
        <vt:i4>0</vt:i4>
      </vt:variant>
      <vt:variant>
        <vt:i4>5</vt:i4>
      </vt:variant>
      <vt:variant>
        <vt:lpwstr>http://eur-lex.europa.eu/legal-content/EN/TXT/PDF/?uri=CELEX:32011L0064&amp;from=EN</vt:lpwstr>
      </vt:variant>
      <vt:variant>
        <vt:lpwstr/>
      </vt:variant>
      <vt:variant>
        <vt:i4>8192110</vt:i4>
      </vt:variant>
      <vt:variant>
        <vt:i4>39</vt:i4>
      </vt:variant>
      <vt:variant>
        <vt:i4>0</vt:i4>
      </vt:variant>
      <vt:variant>
        <vt:i4>5</vt:i4>
      </vt:variant>
      <vt:variant>
        <vt:lpwstr>http://eur-lex.europa.eu/legal-content/EN/TXT/?uri=CELEX:12012E/TXT</vt:lpwstr>
      </vt:variant>
      <vt:variant>
        <vt:lpwstr/>
      </vt:variant>
      <vt:variant>
        <vt:i4>1769473</vt:i4>
      </vt:variant>
      <vt:variant>
        <vt:i4>36</vt:i4>
      </vt:variant>
      <vt:variant>
        <vt:i4>0</vt:i4>
      </vt:variant>
      <vt:variant>
        <vt:i4>5</vt:i4>
      </vt:variant>
      <vt:variant>
        <vt:lpwstr>http://ec.europa.eu/taxation_customs/resources/documents/taxation/excise_duties/tobacco_products/studies_reports/ramboll-tobacco-study.pdf1</vt:lpwstr>
      </vt:variant>
      <vt:variant>
        <vt:lpwstr/>
      </vt:variant>
      <vt:variant>
        <vt:i4>1769473</vt:i4>
      </vt:variant>
      <vt:variant>
        <vt:i4>33</vt:i4>
      </vt:variant>
      <vt:variant>
        <vt:i4>0</vt:i4>
      </vt:variant>
      <vt:variant>
        <vt:i4>5</vt:i4>
      </vt:variant>
      <vt:variant>
        <vt:lpwstr>http://ec.europa.eu/taxation_customs/resources/documents/taxation/excise_duties/tobacco_products/studies_reports/ramboll-tobacco-study.pdf1</vt:lpwstr>
      </vt:variant>
      <vt:variant>
        <vt:lpwstr/>
      </vt:variant>
      <vt:variant>
        <vt:i4>1769473</vt:i4>
      </vt:variant>
      <vt:variant>
        <vt:i4>30</vt:i4>
      </vt:variant>
      <vt:variant>
        <vt:i4>0</vt:i4>
      </vt:variant>
      <vt:variant>
        <vt:i4>5</vt:i4>
      </vt:variant>
      <vt:variant>
        <vt:lpwstr>http://ec.europa.eu/taxation_customs/resources/documents/taxation/excise_duties/tobacco_products/studies_reports/ramboll-tobacco-study.pdf1</vt:lpwstr>
      </vt:variant>
      <vt:variant>
        <vt:lpwstr/>
      </vt:variant>
      <vt:variant>
        <vt:i4>1769473</vt:i4>
      </vt:variant>
      <vt:variant>
        <vt:i4>27</vt:i4>
      </vt:variant>
      <vt:variant>
        <vt:i4>0</vt:i4>
      </vt:variant>
      <vt:variant>
        <vt:i4>5</vt:i4>
      </vt:variant>
      <vt:variant>
        <vt:lpwstr>http://ec.europa.eu/taxation_customs/resources/documents/taxation/excise_duties/tobacco_products/studies_reports/ramboll-tobacco-study.pdf1</vt:lpwstr>
      </vt:variant>
      <vt:variant>
        <vt:lpwstr/>
      </vt:variant>
      <vt:variant>
        <vt:i4>1769473</vt:i4>
      </vt:variant>
      <vt:variant>
        <vt:i4>24</vt:i4>
      </vt:variant>
      <vt:variant>
        <vt:i4>0</vt:i4>
      </vt:variant>
      <vt:variant>
        <vt:i4>5</vt:i4>
      </vt:variant>
      <vt:variant>
        <vt:lpwstr>http://ec.europa.eu/taxation_customs/resources/documents/taxation/excise_duties/tobacco_products/studies_reports/ramboll-tobacco-study.pdf1</vt:lpwstr>
      </vt:variant>
      <vt:variant>
        <vt:lpwstr/>
      </vt:variant>
      <vt:variant>
        <vt:i4>1769473</vt:i4>
      </vt:variant>
      <vt:variant>
        <vt:i4>21</vt:i4>
      </vt:variant>
      <vt:variant>
        <vt:i4>0</vt:i4>
      </vt:variant>
      <vt:variant>
        <vt:i4>5</vt:i4>
      </vt:variant>
      <vt:variant>
        <vt:lpwstr>http://ec.europa.eu/taxation_customs/resources/documents/taxation/excise_duties/tobacco_products/studies_reports/ramboll-tobacco-study.pdf1</vt:lpwstr>
      </vt:variant>
      <vt:variant>
        <vt:lpwstr/>
      </vt:variant>
      <vt:variant>
        <vt:i4>1769473</vt:i4>
      </vt:variant>
      <vt:variant>
        <vt:i4>18</vt:i4>
      </vt:variant>
      <vt:variant>
        <vt:i4>0</vt:i4>
      </vt:variant>
      <vt:variant>
        <vt:i4>5</vt:i4>
      </vt:variant>
      <vt:variant>
        <vt:lpwstr>http://ec.europa.eu/taxation_customs/resources/documents/taxation/excise_duties/tobacco_products/studies_reports/ramboll-tobacco-study.pdf1</vt:lpwstr>
      </vt:variant>
      <vt:variant>
        <vt:lpwstr/>
      </vt:variant>
      <vt:variant>
        <vt:i4>1769473</vt:i4>
      </vt:variant>
      <vt:variant>
        <vt:i4>15</vt:i4>
      </vt:variant>
      <vt:variant>
        <vt:i4>0</vt:i4>
      </vt:variant>
      <vt:variant>
        <vt:i4>5</vt:i4>
      </vt:variant>
      <vt:variant>
        <vt:lpwstr>http://ec.europa.eu/taxation_customs/resources/documents/taxation/excise_duties/tobacco_products/studies_reports/ramboll-tobacco-study.pdf1</vt:lpwstr>
      </vt:variant>
      <vt:variant>
        <vt:lpwstr/>
      </vt:variant>
      <vt:variant>
        <vt:i4>4915233</vt:i4>
      </vt:variant>
      <vt:variant>
        <vt:i4>12</vt:i4>
      </vt:variant>
      <vt:variant>
        <vt:i4>0</vt:i4>
      </vt:variant>
      <vt:variant>
        <vt:i4>5</vt:i4>
      </vt:variant>
      <vt:variant>
        <vt:lpwstr>http://ec.europa.eu/smart-regulation/evaluation/docs/standards_c_2002_5267_final_en.pdf</vt:lpwstr>
      </vt:variant>
      <vt:variant>
        <vt:lpwstr/>
      </vt:variant>
      <vt:variant>
        <vt:i4>1769473</vt:i4>
      </vt:variant>
      <vt:variant>
        <vt:i4>9</vt:i4>
      </vt:variant>
      <vt:variant>
        <vt:i4>0</vt:i4>
      </vt:variant>
      <vt:variant>
        <vt:i4>5</vt:i4>
      </vt:variant>
      <vt:variant>
        <vt:lpwstr>http://ec.europa.eu/taxation_customs/resources/documents/taxation/excise_duties/tobacco_products/studies_reports/ramboll-tobacco-study.pdf1</vt:lpwstr>
      </vt:variant>
      <vt:variant>
        <vt:lpwstr/>
      </vt:variant>
      <vt:variant>
        <vt:i4>3735652</vt:i4>
      </vt:variant>
      <vt:variant>
        <vt:i4>6</vt:i4>
      </vt:variant>
      <vt:variant>
        <vt:i4>0</vt:i4>
      </vt:variant>
      <vt:variant>
        <vt:i4>5</vt:i4>
      </vt:variant>
      <vt:variant>
        <vt:lpwstr>http://eur-lex.europa.eu/LexUriServ/LexUriServ.do?uri=CELEX:31992L0012:en:HTML</vt:lpwstr>
      </vt:variant>
      <vt:variant>
        <vt:lpwstr/>
      </vt:variant>
      <vt:variant>
        <vt:i4>5570580</vt:i4>
      </vt:variant>
      <vt:variant>
        <vt:i4>3</vt:i4>
      </vt:variant>
      <vt:variant>
        <vt:i4>0</vt:i4>
      </vt:variant>
      <vt:variant>
        <vt:i4>5</vt:i4>
      </vt:variant>
      <vt:variant>
        <vt:lpwstr>http://eur-lex.europa.eu/LexUriServ/LexUriServ.do?uri=OJ:L:2009:009:0012:0030:EN:PDF</vt:lpwstr>
      </vt:variant>
      <vt:variant>
        <vt:lpwstr/>
      </vt:variant>
      <vt:variant>
        <vt:i4>5570583</vt:i4>
      </vt:variant>
      <vt:variant>
        <vt:i4>0</vt:i4>
      </vt:variant>
      <vt:variant>
        <vt:i4>0</vt:i4>
      </vt:variant>
      <vt:variant>
        <vt:i4>5</vt:i4>
      </vt:variant>
      <vt:variant>
        <vt:lpwstr>http://eur-lex.europa.eu/LexUriServ/LexUriServ.do?uri=OJ:L:2011:176:0024:0036:EN:PDF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2015-12-18T11:07:00Z</dcterms:created>
  <dcterms:modified xsi:type="dcterms:W3CDTF">2015-12-18T12:00:00Z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fmtid="{D5CDD505-2E9C-101B-9397-08002B2CF9AE}" pid="6" name="_AdHocReviewCycleID">
    <vt:i4>-1245989741</vt:i4>
  </property>
  <property fmtid="{D5CDD505-2E9C-101B-9397-08002B2CF9AE}" pid="7" name="_NewReviewCycle">
    <vt:lpwstr/>
  </property>
  <property fmtid="{D5CDD505-2E9C-101B-9397-08002B2CF9AE}" pid="8" name="_ReviewingToolsShownOnce">
    <vt:lpwstr/>
  </property>
</Properties>
</file>