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DC472039A4E740D8B9F3163AA0DB6EE9" style="width:450.35pt;height:442.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HAnsi" w:hAnsi="Times New Roman" w:cstheme="minorBidi"/>
          <w:b w:val="0"/>
          <w:noProof/>
          <w:sz w:val="24"/>
          <w:szCs w:val="22"/>
        </w:rPr>
        <w:id w:val="-61488984"/>
        <w:docPartObj>
          <w:docPartGallery w:val="Table of Contents"/>
          <w:docPartUnique/>
        </w:docPartObj>
      </w:sdtPr>
      <w:sdtEndPr>
        <w:rPr>
          <w:bCs/>
        </w:rPr>
      </w:sdtEndPr>
      <w:sdtContent>
        <w:p>
          <w:pPr>
            <w:pStyle w:val="TOCHeading"/>
            <w:rPr>
              <w:rFonts w:ascii="Times New Roman" w:hAnsi="Times New Roman"/>
              <w:noProof/>
            </w:rPr>
          </w:pPr>
          <w:r>
            <w:rPr>
              <w:rFonts w:ascii="Times New Roman" w:hAnsi="Times New Roman"/>
              <w:noProof/>
            </w:rPr>
            <w:t>Tartalomjegyzék</w:t>
          </w:r>
        </w:p>
        <w:p>
          <w:pPr>
            <w:pStyle w:val="TOC1"/>
            <w:rPr>
              <w:rFonts w:asciiTheme="minorHAnsi" w:eastAsiaTheme="minorEastAsia" w:hAnsiTheme="minorHAnsi"/>
              <w:noProof/>
              <w:sz w:val="22"/>
              <w:lang w:val="en-GB" w:eastAsia="en-GB" w:bidi="ar-SA"/>
            </w:rPr>
          </w:pPr>
          <w:r>
            <w:rPr>
              <w:rFonts w:asciiTheme="minorHAnsi" w:eastAsiaTheme="minorEastAsia" w:hAnsiTheme="minorHAnsi"/>
              <w:noProof/>
              <w:sz w:val="22"/>
            </w:rPr>
            <w:fldChar w:fldCharType="begin"/>
          </w:r>
          <w:r>
            <w:rPr>
              <w:rFonts w:asciiTheme="minorHAnsi" w:eastAsiaTheme="minorEastAsia" w:hAnsiTheme="minorHAnsi"/>
              <w:noProof/>
              <w:sz w:val="22"/>
            </w:rPr>
            <w:instrText xml:space="preserve"> TOC \o "1-3" \h \z \u </w:instrText>
          </w:r>
          <w:r>
            <w:rPr>
              <w:rFonts w:asciiTheme="minorHAnsi" w:eastAsiaTheme="minorEastAsia" w:hAnsiTheme="minorHAnsi"/>
              <w:noProof/>
              <w:sz w:val="22"/>
            </w:rPr>
            <w:fldChar w:fldCharType="separate"/>
          </w:r>
          <w:hyperlink w:anchor="_Toc440462596" w:history="1">
            <w:r>
              <w:rPr>
                <w:rStyle w:val="Hyperlink"/>
                <w:noProof/>
              </w:rPr>
              <w:t>1.</w:t>
            </w:r>
            <w:r>
              <w:rPr>
                <w:rFonts w:asciiTheme="minorHAnsi" w:eastAsiaTheme="minorEastAsia" w:hAnsiTheme="minorHAnsi"/>
                <w:noProof/>
                <w:sz w:val="22"/>
                <w:lang w:val="en-GB" w:eastAsia="en-GB" w:bidi="ar-SA"/>
              </w:rPr>
              <w:tab/>
            </w:r>
            <w:r>
              <w:rPr>
                <w:rStyle w:val="Hyperlink"/>
                <w:noProof/>
              </w:rPr>
              <w:t>EURÓPAI REPÜLÉSBIZTONSÁGI POLITIKÁK ÉS CÉLOK</w:t>
            </w:r>
            <w:r>
              <w:rPr>
                <w:noProof/>
                <w:webHidden/>
              </w:rPr>
              <w:tab/>
            </w:r>
            <w:r>
              <w:rPr>
                <w:noProof/>
                <w:webHidden/>
              </w:rPr>
              <w:fldChar w:fldCharType="begin"/>
            </w:r>
            <w:r>
              <w:rPr>
                <w:noProof/>
                <w:webHidden/>
              </w:rPr>
              <w:instrText xml:space="preserve"> PAGEREF _Toc440462596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597" w:history="1">
            <w:r>
              <w:rPr>
                <w:rStyle w:val="Hyperlink"/>
                <w:rFonts w:cs="Times New Roman"/>
                <w:noProof/>
              </w:rPr>
              <w:t>1.1.</w:t>
            </w:r>
            <w:r>
              <w:rPr>
                <w:rFonts w:asciiTheme="minorHAnsi" w:eastAsiaTheme="minorEastAsia" w:hAnsiTheme="minorHAnsi"/>
                <w:noProof/>
                <w:sz w:val="22"/>
                <w:lang w:val="en-GB" w:eastAsia="en-GB" w:bidi="ar-SA"/>
              </w:rPr>
              <w:tab/>
            </w:r>
            <w:r>
              <w:rPr>
                <w:rStyle w:val="Hyperlink"/>
                <w:noProof/>
              </w:rPr>
              <w:t>Az európai repülésbiztonsági politika</w:t>
            </w:r>
            <w:r>
              <w:rPr>
                <w:noProof/>
                <w:webHidden/>
              </w:rPr>
              <w:tab/>
            </w:r>
            <w:r>
              <w:rPr>
                <w:noProof/>
                <w:webHidden/>
              </w:rPr>
              <w:fldChar w:fldCharType="begin"/>
            </w:r>
            <w:r>
              <w:rPr>
                <w:noProof/>
                <w:webHidden/>
              </w:rPr>
              <w:instrText xml:space="preserve"> PAGEREF _Toc440462597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598" w:history="1">
            <w:r>
              <w:rPr>
                <w:rStyle w:val="Hyperlink"/>
                <w:rFonts w:cs="Times New Roman"/>
                <w:noProof/>
              </w:rPr>
              <w:t>1.2.</w:t>
            </w:r>
            <w:r>
              <w:rPr>
                <w:rFonts w:asciiTheme="minorHAnsi" w:eastAsiaTheme="minorEastAsia" w:hAnsiTheme="minorHAnsi"/>
                <w:noProof/>
                <w:sz w:val="22"/>
                <w:lang w:val="en-GB" w:eastAsia="en-GB" w:bidi="ar-SA"/>
              </w:rPr>
              <w:tab/>
            </w:r>
            <w:r>
              <w:rPr>
                <w:rStyle w:val="Hyperlink"/>
                <w:noProof/>
              </w:rPr>
              <w:t>Az európai repülésbiztonsági jogszabályi keret</w:t>
            </w:r>
            <w:r>
              <w:rPr>
                <w:noProof/>
                <w:webHidden/>
              </w:rPr>
              <w:tab/>
            </w:r>
            <w:r>
              <w:rPr>
                <w:noProof/>
                <w:webHidden/>
              </w:rPr>
              <w:fldChar w:fldCharType="begin"/>
            </w:r>
            <w:r>
              <w:rPr>
                <w:noProof/>
                <w:webHidden/>
              </w:rPr>
              <w:instrText xml:space="preserve"> PAGEREF _Toc440462598 \h </w:instrText>
            </w:r>
            <w:r>
              <w:rPr>
                <w:noProof/>
                <w:webHidden/>
              </w:rPr>
            </w:r>
            <w:r>
              <w:rPr>
                <w:noProof/>
                <w:webHidden/>
              </w:rPr>
              <w:fldChar w:fldCharType="separate"/>
            </w:r>
            <w:r>
              <w:rPr>
                <w:noProof/>
                <w:webHidden/>
              </w:rPr>
              <w:t>5</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599" w:history="1">
            <w:r>
              <w:rPr>
                <w:rStyle w:val="Hyperlink"/>
                <w:rFonts w:cs="Times New Roman"/>
                <w:noProof/>
              </w:rPr>
              <w:t>1.2.1.</w:t>
            </w:r>
            <w:r>
              <w:rPr>
                <w:rFonts w:asciiTheme="minorHAnsi" w:eastAsiaTheme="minorEastAsia" w:hAnsiTheme="minorHAnsi"/>
                <w:noProof/>
                <w:sz w:val="22"/>
                <w:lang w:val="en-GB" w:eastAsia="en-GB" w:bidi="ar-SA"/>
              </w:rPr>
              <w:tab/>
            </w:r>
            <w:r>
              <w:rPr>
                <w:rStyle w:val="Hyperlink"/>
                <w:noProof/>
              </w:rPr>
              <w:t>Az európai repülésbiztonsági jogszabályi keret szerkezete</w:t>
            </w:r>
            <w:r>
              <w:rPr>
                <w:noProof/>
                <w:webHidden/>
              </w:rPr>
              <w:tab/>
            </w:r>
            <w:r>
              <w:rPr>
                <w:noProof/>
                <w:webHidden/>
              </w:rPr>
              <w:fldChar w:fldCharType="begin"/>
            </w:r>
            <w:r>
              <w:rPr>
                <w:noProof/>
                <w:webHidden/>
              </w:rPr>
              <w:instrText xml:space="preserve"> PAGEREF _Toc440462599 \h </w:instrText>
            </w:r>
            <w:r>
              <w:rPr>
                <w:noProof/>
                <w:webHidden/>
              </w:rPr>
            </w:r>
            <w:r>
              <w:rPr>
                <w:noProof/>
                <w:webHidden/>
              </w:rPr>
              <w:fldChar w:fldCharType="separate"/>
            </w:r>
            <w:r>
              <w:rPr>
                <w:noProof/>
                <w:webHidden/>
              </w:rPr>
              <w:t>5</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00" w:history="1">
            <w:r>
              <w:rPr>
                <w:rStyle w:val="Hyperlink"/>
                <w:rFonts w:cs="Times New Roman"/>
                <w:noProof/>
              </w:rPr>
              <w:t>1.2.2.</w:t>
            </w:r>
            <w:r>
              <w:rPr>
                <w:rFonts w:asciiTheme="minorHAnsi" w:eastAsiaTheme="minorEastAsia" w:hAnsiTheme="minorHAnsi"/>
                <w:noProof/>
                <w:sz w:val="22"/>
                <w:lang w:val="en-GB" w:eastAsia="en-GB" w:bidi="ar-SA"/>
              </w:rPr>
              <w:tab/>
            </w:r>
            <w:r>
              <w:rPr>
                <w:rStyle w:val="Hyperlink"/>
                <w:noProof/>
              </w:rPr>
              <w:t>A 216/2008/EK rendelet és a kapcsolódó szabályok</w:t>
            </w:r>
            <w:r>
              <w:rPr>
                <w:noProof/>
                <w:webHidden/>
              </w:rPr>
              <w:tab/>
            </w:r>
            <w:r>
              <w:rPr>
                <w:noProof/>
                <w:webHidden/>
              </w:rPr>
              <w:fldChar w:fldCharType="begin"/>
            </w:r>
            <w:r>
              <w:rPr>
                <w:noProof/>
                <w:webHidden/>
              </w:rPr>
              <w:instrText xml:space="preserve"> PAGEREF _Toc440462600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01" w:history="1">
            <w:r>
              <w:rPr>
                <w:rStyle w:val="Hyperlink"/>
                <w:rFonts w:cs="Times New Roman"/>
                <w:noProof/>
              </w:rPr>
              <w:t>1.2.3.</w:t>
            </w:r>
            <w:r>
              <w:rPr>
                <w:rFonts w:asciiTheme="minorHAnsi" w:eastAsiaTheme="minorEastAsia" w:hAnsiTheme="minorHAnsi"/>
                <w:noProof/>
                <w:sz w:val="22"/>
                <w:lang w:val="en-GB" w:eastAsia="en-GB" w:bidi="ar-SA"/>
              </w:rPr>
              <w:tab/>
            </w:r>
            <w:r>
              <w:rPr>
                <w:rStyle w:val="Hyperlink"/>
                <w:noProof/>
              </w:rPr>
              <w:t>Polgári repülési balesetek és repülőesemények vizsgálata</w:t>
            </w:r>
            <w:r>
              <w:rPr>
                <w:noProof/>
                <w:webHidden/>
              </w:rPr>
              <w:tab/>
            </w:r>
            <w:r>
              <w:rPr>
                <w:noProof/>
                <w:webHidden/>
              </w:rPr>
              <w:fldChar w:fldCharType="begin"/>
            </w:r>
            <w:r>
              <w:rPr>
                <w:noProof/>
                <w:webHidden/>
              </w:rPr>
              <w:instrText xml:space="preserve"> PAGEREF _Toc440462601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02" w:history="1">
            <w:r>
              <w:rPr>
                <w:rStyle w:val="Hyperlink"/>
                <w:rFonts w:cs="Times New Roman"/>
                <w:noProof/>
              </w:rPr>
              <w:t>1.2.4.</w:t>
            </w:r>
            <w:r>
              <w:rPr>
                <w:rFonts w:asciiTheme="minorHAnsi" w:eastAsiaTheme="minorEastAsia" w:hAnsiTheme="minorHAnsi"/>
                <w:noProof/>
                <w:sz w:val="22"/>
                <w:lang w:val="en-GB" w:eastAsia="en-GB" w:bidi="ar-SA"/>
              </w:rPr>
              <w:tab/>
            </w:r>
            <w:r>
              <w:rPr>
                <w:rStyle w:val="Hyperlink"/>
                <w:noProof/>
              </w:rPr>
              <w:t>Események jelentése, elemzése és nyomon követése a polgári repülésben</w:t>
            </w:r>
            <w:r>
              <w:rPr>
                <w:noProof/>
                <w:webHidden/>
              </w:rPr>
              <w:tab/>
            </w:r>
            <w:r>
              <w:rPr>
                <w:noProof/>
                <w:webHidden/>
              </w:rPr>
              <w:fldChar w:fldCharType="begin"/>
            </w:r>
            <w:r>
              <w:rPr>
                <w:noProof/>
                <w:webHidden/>
              </w:rPr>
              <w:instrText xml:space="preserve"> PAGEREF _Toc440462602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03" w:history="1">
            <w:r>
              <w:rPr>
                <w:rStyle w:val="Hyperlink"/>
                <w:rFonts w:cs="Times New Roman"/>
                <w:noProof/>
              </w:rPr>
              <w:t>1.2.5.</w:t>
            </w:r>
            <w:r>
              <w:rPr>
                <w:rFonts w:asciiTheme="minorHAnsi" w:eastAsiaTheme="minorEastAsia" w:hAnsiTheme="minorHAnsi"/>
                <w:noProof/>
                <w:sz w:val="22"/>
                <w:lang w:val="en-GB" w:eastAsia="en-GB" w:bidi="ar-SA"/>
              </w:rPr>
              <w:tab/>
            </w:r>
            <w:r>
              <w:rPr>
                <w:rStyle w:val="Hyperlink"/>
                <w:noProof/>
              </w:rPr>
              <w:t>Az Európai Unión belül működési tilalom alá tartozó légi fuvarozók uniós listája</w:t>
            </w:r>
            <w:r>
              <w:rPr>
                <w:noProof/>
                <w:webHidden/>
              </w:rPr>
              <w:tab/>
            </w:r>
            <w:r>
              <w:rPr>
                <w:noProof/>
                <w:webHidden/>
              </w:rPr>
              <w:fldChar w:fldCharType="begin"/>
            </w:r>
            <w:r>
              <w:rPr>
                <w:noProof/>
                <w:webHidden/>
              </w:rPr>
              <w:instrText xml:space="preserve"> PAGEREF _Toc440462603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04" w:history="1">
            <w:r>
              <w:rPr>
                <w:rStyle w:val="Hyperlink"/>
                <w:rFonts w:cs="Times New Roman"/>
                <w:noProof/>
              </w:rPr>
              <w:t>1.3.</w:t>
            </w:r>
            <w:r>
              <w:rPr>
                <w:rFonts w:asciiTheme="minorHAnsi" w:eastAsiaTheme="minorEastAsia" w:hAnsiTheme="minorHAnsi"/>
                <w:noProof/>
                <w:sz w:val="22"/>
                <w:lang w:val="en-GB" w:eastAsia="en-GB" w:bidi="ar-SA"/>
              </w:rPr>
              <w:tab/>
            </w:r>
            <w:r>
              <w:rPr>
                <w:rStyle w:val="Hyperlink"/>
                <w:noProof/>
              </w:rPr>
              <w:t>Repülésbiztonsági felelősség és elszámoltathatóság az Európai Unióban</w:t>
            </w:r>
            <w:r>
              <w:rPr>
                <w:noProof/>
                <w:webHidden/>
              </w:rPr>
              <w:tab/>
            </w:r>
            <w:r>
              <w:rPr>
                <w:noProof/>
                <w:webHidden/>
              </w:rPr>
              <w:fldChar w:fldCharType="begin"/>
            </w:r>
            <w:r>
              <w:rPr>
                <w:noProof/>
                <w:webHidden/>
              </w:rPr>
              <w:instrText xml:space="preserve"> PAGEREF _Toc440462604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05" w:history="1">
            <w:r>
              <w:rPr>
                <w:rStyle w:val="Hyperlink"/>
                <w:rFonts w:cs="Times New Roman"/>
                <w:noProof/>
              </w:rPr>
              <w:t>1.3.1.</w:t>
            </w:r>
            <w:r>
              <w:rPr>
                <w:rFonts w:asciiTheme="minorHAnsi" w:eastAsiaTheme="minorEastAsia" w:hAnsiTheme="minorHAnsi"/>
                <w:noProof/>
                <w:sz w:val="22"/>
                <w:lang w:val="en-GB" w:eastAsia="en-GB" w:bidi="ar-SA"/>
              </w:rPr>
              <w:tab/>
            </w:r>
            <w:r>
              <w:rPr>
                <w:rStyle w:val="Hyperlink"/>
                <w:noProof/>
              </w:rPr>
              <w:t>Döntéshozatali folyamat az Európai Unióban</w:t>
            </w:r>
            <w:r>
              <w:rPr>
                <w:noProof/>
                <w:webHidden/>
              </w:rPr>
              <w:tab/>
            </w:r>
            <w:r>
              <w:rPr>
                <w:noProof/>
                <w:webHidden/>
              </w:rPr>
              <w:fldChar w:fldCharType="begin"/>
            </w:r>
            <w:r>
              <w:rPr>
                <w:noProof/>
                <w:webHidden/>
              </w:rPr>
              <w:instrText xml:space="preserve"> PAGEREF _Toc440462605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06" w:history="1">
            <w:r>
              <w:rPr>
                <w:rStyle w:val="Hyperlink"/>
                <w:rFonts w:cs="Times New Roman"/>
                <w:noProof/>
              </w:rPr>
              <w:t>1.3.2.</w:t>
            </w:r>
            <w:r>
              <w:rPr>
                <w:rFonts w:asciiTheme="minorHAnsi" w:eastAsiaTheme="minorEastAsia" w:hAnsiTheme="minorHAnsi"/>
                <w:noProof/>
                <w:sz w:val="22"/>
                <w:lang w:val="en-GB" w:eastAsia="en-GB" w:bidi="ar-SA"/>
              </w:rPr>
              <w:tab/>
            </w:r>
            <w:r>
              <w:rPr>
                <w:rStyle w:val="Hyperlink"/>
                <w:noProof/>
              </w:rPr>
              <w:t>Repülésbiztonsági hatáskörök és felelősségi körök az európai repülésbiztonsági rendszerben</w:t>
            </w:r>
            <w:r>
              <w:rPr>
                <w:noProof/>
                <w:webHidden/>
              </w:rPr>
              <w:tab/>
            </w:r>
            <w:r>
              <w:rPr>
                <w:noProof/>
                <w:webHidden/>
              </w:rPr>
              <w:fldChar w:fldCharType="begin"/>
            </w:r>
            <w:r>
              <w:rPr>
                <w:noProof/>
                <w:webHidden/>
              </w:rPr>
              <w:instrText xml:space="preserve"> PAGEREF _Toc440462606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07" w:history="1">
            <w:r>
              <w:rPr>
                <w:rStyle w:val="Hyperlink"/>
                <w:rFonts w:cs="Times New Roman"/>
                <w:noProof/>
              </w:rPr>
              <w:t>1.4.</w:t>
            </w:r>
            <w:r>
              <w:rPr>
                <w:rFonts w:asciiTheme="minorHAnsi" w:eastAsiaTheme="minorEastAsia" w:hAnsiTheme="minorHAnsi"/>
                <w:noProof/>
                <w:sz w:val="22"/>
                <w:lang w:val="en-GB" w:eastAsia="en-GB" w:bidi="ar-SA"/>
              </w:rPr>
              <w:tab/>
            </w:r>
            <w:r>
              <w:rPr>
                <w:rStyle w:val="Hyperlink"/>
                <w:noProof/>
              </w:rPr>
              <w:t>Balesetek és repülőesemények vizsgálata</w:t>
            </w:r>
            <w:r>
              <w:rPr>
                <w:noProof/>
                <w:webHidden/>
              </w:rPr>
              <w:tab/>
            </w:r>
            <w:r>
              <w:rPr>
                <w:noProof/>
                <w:webHidden/>
              </w:rPr>
              <w:fldChar w:fldCharType="begin"/>
            </w:r>
            <w:r>
              <w:rPr>
                <w:noProof/>
                <w:webHidden/>
              </w:rPr>
              <w:instrText xml:space="preserve"> PAGEREF _Toc440462607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08" w:history="1">
            <w:r>
              <w:rPr>
                <w:rStyle w:val="Hyperlink"/>
                <w:rFonts w:cs="Times New Roman"/>
                <w:noProof/>
              </w:rPr>
              <w:t>1.4.1.</w:t>
            </w:r>
            <w:r>
              <w:rPr>
                <w:rFonts w:asciiTheme="minorHAnsi" w:eastAsiaTheme="minorEastAsia" w:hAnsiTheme="minorHAnsi"/>
                <w:noProof/>
                <w:sz w:val="22"/>
                <w:lang w:val="en-GB" w:eastAsia="en-GB" w:bidi="ar-SA"/>
              </w:rPr>
              <w:tab/>
            </w:r>
            <w:r>
              <w:rPr>
                <w:rStyle w:val="Hyperlink"/>
                <w:noProof/>
              </w:rPr>
              <w:t>Az alkalmazandó szabályok</w:t>
            </w:r>
            <w:r>
              <w:rPr>
                <w:noProof/>
                <w:webHidden/>
              </w:rPr>
              <w:tab/>
            </w:r>
            <w:r>
              <w:rPr>
                <w:noProof/>
                <w:webHidden/>
              </w:rPr>
              <w:fldChar w:fldCharType="begin"/>
            </w:r>
            <w:r>
              <w:rPr>
                <w:noProof/>
                <w:webHidden/>
              </w:rPr>
              <w:instrText xml:space="preserve"> PAGEREF _Toc440462608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09" w:history="1">
            <w:r>
              <w:rPr>
                <w:rStyle w:val="Hyperlink"/>
                <w:rFonts w:cs="Times New Roman"/>
                <w:noProof/>
              </w:rPr>
              <w:t>1.4.2.</w:t>
            </w:r>
            <w:r>
              <w:rPr>
                <w:rFonts w:asciiTheme="minorHAnsi" w:eastAsiaTheme="minorEastAsia" w:hAnsiTheme="minorHAnsi"/>
                <w:noProof/>
                <w:sz w:val="22"/>
                <w:lang w:val="en-GB" w:eastAsia="en-GB" w:bidi="ar-SA"/>
              </w:rPr>
              <w:tab/>
            </w:r>
            <w:r>
              <w:rPr>
                <w:rStyle w:val="Hyperlink"/>
                <w:noProof/>
              </w:rPr>
              <w:t>Biztonsági ajánlások</w:t>
            </w:r>
            <w:r>
              <w:rPr>
                <w:noProof/>
                <w:webHidden/>
              </w:rPr>
              <w:tab/>
            </w:r>
            <w:r>
              <w:rPr>
                <w:noProof/>
                <w:webHidden/>
              </w:rPr>
              <w:fldChar w:fldCharType="begin"/>
            </w:r>
            <w:r>
              <w:rPr>
                <w:noProof/>
                <w:webHidden/>
              </w:rPr>
              <w:instrText xml:space="preserve"> PAGEREF _Toc440462609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10" w:history="1">
            <w:r>
              <w:rPr>
                <w:rStyle w:val="Hyperlink"/>
                <w:rFonts w:cs="Times New Roman"/>
                <w:noProof/>
              </w:rPr>
              <w:t>1.4.3.</w:t>
            </w:r>
            <w:r>
              <w:rPr>
                <w:rFonts w:asciiTheme="minorHAnsi" w:eastAsiaTheme="minorEastAsia" w:hAnsiTheme="minorHAnsi"/>
                <w:noProof/>
                <w:sz w:val="22"/>
                <w:lang w:val="en-GB" w:eastAsia="en-GB" w:bidi="ar-SA"/>
              </w:rPr>
              <w:tab/>
            </w:r>
            <w:r>
              <w:rPr>
                <w:rStyle w:val="Hyperlink"/>
                <w:noProof/>
              </w:rPr>
              <w:t>Együttműködés egyéb szervekkel</w:t>
            </w:r>
            <w:r>
              <w:rPr>
                <w:noProof/>
                <w:webHidden/>
              </w:rPr>
              <w:tab/>
            </w:r>
            <w:r>
              <w:rPr>
                <w:noProof/>
                <w:webHidden/>
              </w:rPr>
              <w:fldChar w:fldCharType="begin"/>
            </w:r>
            <w:r>
              <w:rPr>
                <w:noProof/>
                <w:webHidden/>
              </w:rPr>
              <w:instrText xml:space="preserve"> PAGEREF _Toc440462610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11" w:history="1">
            <w:r>
              <w:rPr>
                <w:rStyle w:val="Hyperlink"/>
                <w:rFonts w:cs="Times New Roman"/>
                <w:noProof/>
              </w:rPr>
              <w:t>1.5.</w:t>
            </w:r>
            <w:r>
              <w:rPr>
                <w:rFonts w:asciiTheme="minorHAnsi" w:eastAsiaTheme="minorEastAsia" w:hAnsiTheme="minorHAnsi"/>
                <w:noProof/>
                <w:sz w:val="22"/>
                <w:lang w:val="en-GB" w:eastAsia="en-GB" w:bidi="ar-SA"/>
              </w:rPr>
              <w:tab/>
            </w:r>
            <w:r>
              <w:rPr>
                <w:rStyle w:val="Hyperlink"/>
                <w:noProof/>
              </w:rPr>
              <w:t>A szabályok betartatása</w:t>
            </w:r>
            <w:r>
              <w:rPr>
                <w:noProof/>
                <w:webHidden/>
              </w:rPr>
              <w:tab/>
            </w:r>
            <w:r>
              <w:rPr>
                <w:noProof/>
                <w:webHidden/>
              </w:rPr>
              <w:fldChar w:fldCharType="begin"/>
            </w:r>
            <w:r>
              <w:rPr>
                <w:noProof/>
                <w:webHidden/>
              </w:rPr>
              <w:instrText xml:space="preserve"> PAGEREF _Toc440462611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12" w:history="1">
            <w:r>
              <w:rPr>
                <w:rStyle w:val="Hyperlink"/>
                <w:rFonts w:cs="Times New Roman"/>
                <w:noProof/>
              </w:rPr>
              <w:t>1.5.1.</w:t>
            </w:r>
            <w:r>
              <w:rPr>
                <w:rFonts w:asciiTheme="minorHAnsi" w:eastAsiaTheme="minorEastAsia" w:hAnsiTheme="minorHAnsi"/>
                <w:noProof/>
                <w:sz w:val="22"/>
                <w:lang w:val="en-GB" w:eastAsia="en-GB" w:bidi="ar-SA"/>
              </w:rPr>
              <w:tab/>
            </w:r>
            <w:r>
              <w:rPr>
                <w:rStyle w:val="Hyperlink"/>
                <w:noProof/>
              </w:rPr>
              <w:t>A szabályok betartatása a tagállamokkal</w:t>
            </w:r>
            <w:r>
              <w:rPr>
                <w:noProof/>
                <w:webHidden/>
              </w:rPr>
              <w:tab/>
            </w:r>
            <w:r>
              <w:rPr>
                <w:noProof/>
                <w:webHidden/>
              </w:rPr>
              <w:fldChar w:fldCharType="begin"/>
            </w:r>
            <w:r>
              <w:rPr>
                <w:noProof/>
                <w:webHidden/>
              </w:rPr>
              <w:instrText xml:space="preserve"> PAGEREF _Toc440462612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13" w:history="1">
            <w:r>
              <w:rPr>
                <w:rStyle w:val="Hyperlink"/>
                <w:rFonts w:cs="Times New Roman"/>
                <w:noProof/>
              </w:rPr>
              <w:t>1.5.2.</w:t>
            </w:r>
            <w:r>
              <w:rPr>
                <w:rFonts w:asciiTheme="minorHAnsi" w:eastAsiaTheme="minorEastAsia" w:hAnsiTheme="minorHAnsi"/>
                <w:noProof/>
                <w:sz w:val="22"/>
                <w:lang w:val="en-GB" w:eastAsia="en-GB" w:bidi="ar-SA"/>
              </w:rPr>
              <w:tab/>
            </w:r>
            <w:r>
              <w:rPr>
                <w:rStyle w:val="Hyperlink"/>
                <w:noProof/>
              </w:rPr>
              <w:t>A szabályok betartatása a szabályozott ágazati szervezetekkel</w:t>
            </w:r>
            <w:r>
              <w:rPr>
                <w:noProof/>
                <w:webHidden/>
              </w:rPr>
              <w:tab/>
            </w:r>
            <w:r>
              <w:rPr>
                <w:noProof/>
                <w:webHidden/>
              </w:rPr>
              <w:fldChar w:fldCharType="begin"/>
            </w:r>
            <w:r>
              <w:rPr>
                <w:noProof/>
                <w:webHidden/>
              </w:rPr>
              <w:instrText xml:space="preserve"> PAGEREF _Toc440462613 \h </w:instrText>
            </w:r>
            <w:r>
              <w:rPr>
                <w:noProof/>
                <w:webHidden/>
              </w:rPr>
            </w:r>
            <w:r>
              <w:rPr>
                <w:noProof/>
                <w:webHidden/>
              </w:rPr>
              <w:fldChar w:fldCharType="separate"/>
            </w:r>
            <w:r>
              <w:rPr>
                <w:noProof/>
                <w:webHidden/>
              </w:rPr>
              <w:t>18</w:t>
            </w:r>
            <w:r>
              <w:rPr>
                <w:noProof/>
                <w:webHidden/>
              </w:rPr>
              <w:fldChar w:fldCharType="end"/>
            </w:r>
          </w:hyperlink>
        </w:p>
        <w:p>
          <w:pPr>
            <w:pStyle w:val="TOC1"/>
            <w:rPr>
              <w:rFonts w:asciiTheme="minorHAnsi" w:eastAsiaTheme="minorEastAsia" w:hAnsiTheme="minorHAnsi"/>
              <w:noProof/>
              <w:sz w:val="22"/>
              <w:lang w:val="en-GB" w:eastAsia="en-GB" w:bidi="ar-SA"/>
            </w:rPr>
          </w:pPr>
          <w:hyperlink w:anchor="_Toc440462614" w:history="1">
            <w:r>
              <w:rPr>
                <w:rStyle w:val="Hyperlink"/>
                <w:noProof/>
              </w:rPr>
              <w:t>2.</w:t>
            </w:r>
            <w:r>
              <w:rPr>
                <w:rFonts w:asciiTheme="minorHAnsi" w:eastAsiaTheme="minorEastAsia" w:hAnsiTheme="minorHAnsi"/>
                <w:noProof/>
                <w:sz w:val="22"/>
                <w:lang w:val="en-GB" w:eastAsia="en-GB" w:bidi="ar-SA"/>
              </w:rPr>
              <w:tab/>
            </w:r>
            <w:r>
              <w:rPr>
                <w:rStyle w:val="Hyperlink"/>
                <w:noProof/>
              </w:rPr>
              <w:t>EURÓPAI REPÜLÉSBIZTONSÁGI KOCKÁZATKEZELÉS</w:t>
            </w:r>
            <w:r>
              <w:rPr>
                <w:noProof/>
                <w:webHidden/>
              </w:rPr>
              <w:tab/>
            </w:r>
            <w:r>
              <w:rPr>
                <w:noProof/>
                <w:webHidden/>
              </w:rPr>
              <w:fldChar w:fldCharType="begin"/>
            </w:r>
            <w:r>
              <w:rPr>
                <w:noProof/>
                <w:webHidden/>
              </w:rPr>
              <w:instrText xml:space="preserve"> PAGEREF _Toc440462614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15" w:history="1">
            <w:r>
              <w:rPr>
                <w:rStyle w:val="Hyperlink"/>
                <w:noProof/>
              </w:rPr>
              <w:t>2.1.</w:t>
            </w:r>
            <w:r>
              <w:rPr>
                <w:rFonts w:asciiTheme="minorHAnsi" w:eastAsiaTheme="minorEastAsia" w:hAnsiTheme="minorHAnsi"/>
                <w:noProof/>
                <w:sz w:val="22"/>
                <w:lang w:val="en-GB" w:eastAsia="en-GB" w:bidi="ar-SA"/>
              </w:rPr>
              <w:tab/>
            </w:r>
            <w:r>
              <w:rPr>
                <w:rStyle w:val="Hyperlink"/>
                <w:noProof/>
              </w:rPr>
              <w:t>Szervezetekre és hatóságokra vonatkozó repülésbiztonsági követelmények</w:t>
            </w:r>
            <w:r>
              <w:rPr>
                <w:noProof/>
                <w:webHidden/>
              </w:rPr>
              <w:tab/>
            </w:r>
            <w:r>
              <w:rPr>
                <w:noProof/>
                <w:webHidden/>
              </w:rPr>
              <w:fldChar w:fldCharType="begin"/>
            </w:r>
            <w:r>
              <w:rPr>
                <w:noProof/>
                <w:webHidden/>
              </w:rPr>
              <w:instrText xml:space="preserve"> PAGEREF _Toc440462615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16" w:history="1">
            <w:r>
              <w:rPr>
                <w:rStyle w:val="Hyperlink"/>
                <w:noProof/>
              </w:rPr>
              <w:t>2.2.</w:t>
            </w:r>
            <w:r>
              <w:rPr>
                <w:rFonts w:asciiTheme="minorHAnsi" w:eastAsiaTheme="minorEastAsia" w:hAnsiTheme="minorHAnsi"/>
                <w:noProof/>
                <w:sz w:val="22"/>
                <w:lang w:val="en-GB" w:eastAsia="en-GB" w:bidi="ar-SA"/>
              </w:rPr>
              <w:tab/>
            </w:r>
            <w:r>
              <w:rPr>
                <w:rStyle w:val="Hyperlink"/>
                <w:noProof/>
              </w:rPr>
              <w:t>Repülésbiztonsági kockázatkezelés az EU szintjén: az európai repülésbiztonsági terv kialakításának és frissítésének folyamata</w:t>
            </w:r>
            <w:r>
              <w:rPr>
                <w:noProof/>
                <w:webHidden/>
              </w:rPr>
              <w:tab/>
            </w:r>
            <w:r>
              <w:rPr>
                <w:noProof/>
                <w:webHidden/>
              </w:rPr>
              <w:fldChar w:fldCharType="begin"/>
            </w:r>
            <w:r>
              <w:rPr>
                <w:noProof/>
                <w:webHidden/>
              </w:rPr>
              <w:instrText xml:space="preserve"> PAGEREF _Toc440462616 \h </w:instrText>
            </w:r>
            <w:r>
              <w:rPr>
                <w:noProof/>
                <w:webHidden/>
              </w:rPr>
            </w:r>
            <w:r>
              <w:rPr>
                <w:noProof/>
                <w:webHidden/>
              </w:rPr>
              <w:fldChar w:fldCharType="separate"/>
            </w:r>
            <w:r>
              <w:rPr>
                <w:noProof/>
                <w:webHidden/>
              </w:rPr>
              <w:t>21</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17" w:history="1">
            <w:r>
              <w:rPr>
                <w:rStyle w:val="Hyperlink"/>
                <w:noProof/>
              </w:rPr>
              <w:t>2.2.1</w:t>
            </w:r>
            <w:r>
              <w:rPr>
                <w:rFonts w:asciiTheme="minorHAnsi" w:eastAsiaTheme="minorEastAsia" w:hAnsiTheme="minorHAnsi"/>
                <w:noProof/>
                <w:sz w:val="22"/>
                <w:lang w:val="en-GB" w:eastAsia="en-GB" w:bidi="ar-SA"/>
              </w:rPr>
              <w:tab/>
            </w:r>
            <w:r>
              <w:rPr>
                <w:rStyle w:val="Hyperlink"/>
                <w:noProof/>
              </w:rPr>
              <w:t>Repülésbiztonsági problémák azonosítása</w:t>
            </w:r>
            <w:r>
              <w:rPr>
                <w:noProof/>
                <w:webHidden/>
              </w:rPr>
              <w:tab/>
            </w:r>
            <w:r>
              <w:rPr>
                <w:noProof/>
                <w:webHidden/>
              </w:rPr>
              <w:fldChar w:fldCharType="begin"/>
            </w:r>
            <w:r>
              <w:rPr>
                <w:noProof/>
                <w:webHidden/>
              </w:rPr>
              <w:instrText xml:space="preserve"> PAGEREF _Toc440462617 \h </w:instrText>
            </w:r>
            <w:r>
              <w:rPr>
                <w:noProof/>
                <w:webHidden/>
              </w:rPr>
            </w:r>
            <w:r>
              <w:rPr>
                <w:noProof/>
                <w:webHidden/>
              </w:rPr>
              <w:fldChar w:fldCharType="separate"/>
            </w:r>
            <w:r>
              <w:rPr>
                <w:noProof/>
                <w:webHidden/>
              </w:rPr>
              <w:t>22</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18" w:history="1">
            <w:r>
              <w:rPr>
                <w:rStyle w:val="Hyperlink"/>
                <w:noProof/>
              </w:rPr>
              <w:t>2.2.2</w:t>
            </w:r>
            <w:r>
              <w:rPr>
                <w:rFonts w:asciiTheme="minorHAnsi" w:eastAsiaTheme="minorEastAsia" w:hAnsiTheme="minorHAnsi"/>
                <w:noProof/>
                <w:sz w:val="22"/>
                <w:lang w:val="en-GB" w:eastAsia="en-GB" w:bidi="ar-SA"/>
              </w:rPr>
              <w:tab/>
            </w:r>
            <w:r>
              <w:rPr>
                <w:rStyle w:val="Hyperlink"/>
                <w:noProof/>
              </w:rPr>
              <w:t>Repülésbiztonsági problémák értékelése</w:t>
            </w:r>
            <w:r>
              <w:rPr>
                <w:noProof/>
                <w:webHidden/>
              </w:rPr>
              <w:tab/>
            </w:r>
            <w:r>
              <w:rPr>
                <w:noProof/>
                <w:webHidden/>
              </w:rPr>
              <w:fldChar w:fldCharType="begin"/>
            </w:r>
            <w:r>
              <w:rPr>
                <w:noProof/>
                <w:webHidden/>
              </w:rPr>
              <w:instrText xml:space="preserve"> PAGEREF _Toc440462618 \h </w:instrText>
            </w:r>
            <w:r>
              <w:rPr>
                <w:noProof/>
                <w:webHidden/>
              </w:rPr>
            </w:r>
            <w:r>
              <w:rPr>
                <w:noProof/>
                <w:webHidden/>
              </w:rPr>
              <w:fldChar w:fldCharType="separate"/>
            </w:r>
            <w:r>
              <w:rPr>
                <w:noProof/>
                <w:webHidden/>
              </w:rPr>
              <w:t>22</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19" w:history="1">
            <w:r>
              <w:rPr>
                <w:rStyle w:val="Hyperlink"/>
                <w:noProof/>
              </w:rPr>
              <w:t>2.2.3</w:t>
            </w:r>
            <w:r>
              <w:rPr>
                <w:rFonts w:asciiTheme="minorHAnsi" w:eastAsiaTheme="minorEastAsia" w:hAnsiTheme="minorHAnsi"/>
                <w:noProof/>
                <w:sz w:val="22"/>
                <w:lang w:val="en-GB" w:eastAsia="en-GB" w:bidi="ar-SA"/>
              </w:rPr>
              <w:tab/>
            </w:r>
            <w:r>
              <w:rPr>
                <w:rStyle w:val="Hyperlink"/>
                <w:noProof/>
              </w:rPr>
              <w:t>Repülésbiztonsági intézkedések meghatározása és programozása</w:t>
            </w:r>
            <w:r>
              <w:rPr>
                <w:noProof/>
                <w:webHidden/>
              </w:rPr>
              <w:tab/>
            </w:r>
            <w:r>
              <w:rPr>
                <w:noProof/>
                <w:webHidden/>
              </w:rPr>
              <w:fldChar w:fldCharType="begin"/>
            </w:r>
            <w:r>
              <w:rPr>
                <w:noProof/>
                <w:webHidden/>
              </w:rPr>
              <w:instrText xml:space="preserve"> PAGEREF _Toc440462619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20" w:history="1">
            <w:r>
              <w:rPr>
                <w:rStyle w:val="Hyperlink"/>
                <w:noProof/>
              </w:rPr>
              <w:t>2.2.4</w:t>
            </w:r>
            <w:r>
              <w:rPr>
                <w:rFonts w:asciiTheme="minorHAnsi" w:eastAsiaTheme="minorEastAsia" w:hAnsiTheme="minorHAnsi"/>
                <w:noProof/>
                <w:sz w:val="22"/>
                <w:lang w:val="en-GB" w:eastAsia="en-GB" w:bidi="ar-SA"/>
              </w:rPr>
              <w:tab/>
            </w:r>
            <w:r>
              <w:rPr>
                <w:rStyle w:val="Hyperlink"/>
                <w:noProof/>
              </w:rPr>
              <w:t>Végrehajtás és nyomon követés</w:t>
            </w:r>
            <w:r>
              <w:rPr>
                <w:noProof/>
                <w:webHidden/>
              </w:rPr>
              <w:tab/>
            </w:r>
            <w:r>
              <w:rPr>
                <w:noProof/>
                <w:webHidden/>
              </w:rPr>
              <w:fldChar w:fldCharType="begin"/>
            </w:r>
            <w:r>
              <w:rPr>
                <w:noProof/>
                <w:webHidden/>
              </w:rPr>
              <w:instrText xml:space="preserve"> PAGEREF _Toc440462620 \h </w:instrText>
            </w:r>
            <w:r>
              <w:rPr>
                <w:noProof/>
                <w:webHidden/>
              </w:rPr>
            </w:r>
            <w:r>
              <w:rPr>
                <w:noProof/>
                <w:webHidden/>
              </w:rPr>
              <w:fldChar w:fldCharType="separate"/>
            </w:r>
            <w:r>
              <w:rPr>
                <w:noProof/>
                <w:webHidden/>
              </w:rPr>
              <w:t>24</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21" w:history="1">
            <w:r>
              <w:rPr>
                <w:rStyle w:val="Hyperlink"/>
                <w:noProof/>
              </w:rPr>
              <w:t>2.2.5</w:t>
            </w:r>
            <w:r>
              <w:rPr>
                <w:rFonts w:asciiTheme="minorHAnsi" w:eastAsiaTheme="minorEastAsia" w:hAnsiTheme="minorHAnsi"/>
                <w:noProof/>
                <w:sz w:val="22"/>
                <w:lang w:val="en-GB" w:eastAsia="en-GB" w:bidi="ar-SA"/>
              </w:rPr>
              <w:tab/>
            </w:r>
            <w:r>
              <w:rPr>
                <w:rStyle w:val="Hyperlink"/>
                <w:noProof/>
              </w:rPr>
              <w:t>Repülésbiztonsági teljesítmény</w:t>
            </w:r>
            <w:r>
              <w:rPr>
                <w:noProof/>
                <w:webHidden/>
              </w:rPr>
              <w:tab/>
            </w:r>
            <w:r>
              <w:rPr>
                <w:noProof/>
                <w:webHidden/>
              </w:rPr>
              <w:fldChar w:fldCharType="begin"/>
            </w:r>
            <w:r>
              <w:rPr>
                <w:noProof/>
                <w:webHidden/>
              </w:rPr>
              <w:instrText xml:space="preserve"> PAGEREF _Toc440462621 \h </w:instrText>
            </w:r>
            <w:r>
              <w:rPr>
                <w:noProof/>
                <w:webHidden/>
              </w:rPr>
            </w:r>
            <w:r>
              <w:rPr>
                <w:noProof/>
                <w:webHidden/>
              </w:rPr>
              <w:fldChar w:fldCharType="separate"/>
            </w:r>
            <w:r>
              <w:rPr>
                <w:noProof/>
                <w:webHidden/>
              </w:rPr>
              <w:t>24</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22" w:history="1">
            <w:r>
              <w:rPr>
                <w:rStyle w:val="Hyperlink"/>
                <w:noProof/>
              </w:rPr>
              <w:t>2.3.</w:t>
            </w:r>
            <w:r>
              <w:rPr>
                <w:rFonts w:asciiTheme="minorHAnsi" w:eastAsiaTheme="minorEastAsia" w:hAnsiTheme="minorHAnsi"/>
                <w:noProof/>
                <w:sz w:val="22"/>
                <w:lang w:val="en-GB" w:eastAsia="en-GB" w:bidi="ar-SA"/>
              </w:rPr>
              <w:tab/>
            </w:r>
            <w:r>
              <w:rPr>
                <w:rStyle w:val="Hyperlink"/>
                <w:noProof/>
              </w:rPr>
              <w:t>Megállapodás a repülésbiztonsági teljesítményről</w:t>
            </w:r>
            <w:r>
              <w:rPr>
                <w:noProof/>
                <w:webHidden/>
              </w:rPr>
              <w:tab/>
            </w:r>
            <w:r>
              <w:rPr>
                <w:noProof/>
                <w:webHidden/>
              </w:rPr>
              <w:fldChar w:fldCharType="begin"/>
            </w:r>
            <w:r>
              <w:rPr>
                <w:noProof/>
                <w:webHidden/>
              </w:rPr>
              <w:instrText xml:space="preserve"> PAGEREF _Toc440462622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23" w:history="1">
            <w:r>
              <w:rPr>
                <w:rStyle w:val="Hyperlink"/>
                <w:noProof/>
              </w:rPr>
              <w:t>2.3.1</w:t>
            </w:r>
            <w:r>
              <w:rPr>
                <w:rFonts w:asciiTheme="minorHAnsi" w:eastAsiaTheme="minorEastAsia" w:hAnsiTheme="minorHAnsi"/>
                <w:noProof/>
                <w:sz w:val="22"/>
                <w:lang w:val="en-GB" w:eastAsia="en-GB" w:bidi="ar-SA"/>
              </w:rPr>
              <w:tab/>
            </w:r>
            <w:r>
              <w:rPr>
                <w:rStyle w:val="Hyperlink"/>
                <w:noProof/>
              </w:rPr>
              <w:t>Megállapodás a szervezetek repülésbiztonsági teljesítményéről</w:t>
            </w:r>
            <w:r>
              <w:rPr>
                <w:noProof/>
                <w:webHidden/>
              </w:rPr>
              <w:tab/>
            </w:r>
            <w:r>
              <w:rPr>
                <w:noProof/>
                <w:webHidden/>
              </w:rPr>
              <w:fldChar w:fldCharType="begin"/>
            </w:r>
            <w:r>
              <w:rPr>
                <w:noProof/>
                <w:webHidden/>
              </w:rPr>
              <w:instrText xml:space="preserve"> PAGEREF _Toc440462623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24" w:history="1">
            <w:r>
              <w:rPr>
                <w:rStyle w:val="Hyperlink"/>
                <w:noProof/>
              </w:rPr>
              <w:t>2.3.2</w:t>
            </w:r>
            <w:r>
              <w:rPr>
                <w:rFonts w:asciiTheme="minorHAnsi" w:eastAsiaTheme="minorEastAsia" w:hAnsiTheme="minorHAnsi"/>
                <w:noProof/>
                <w:sz w:val="22"/>
                <w:lang w:val="en-GB" w:eastAsia="en-GB" w:bidi="ar-SA"/>
              </w:rPr>
              <w:tab/>
            </w:r>
            <w:r>
              <w:rPr>
                <w:rStyle w:val="Hyperlink"/>
                <w:noProof/>
              </w:rPr>
              <w:t>Uniós szintű megállapodás a tagállamok repülésbiztonsági teljesítményéről</w:t>
            </w:r>
            <w:r>
              <w:rPr>
                <w:noProof/>
                <w:webHidden/>
              </w:rPr>
              <w:tab/>
            </w:r>
            <w:r>
              <w:rPr>
                <w:noProof/>
                <w:webHidden/>
              </w:rPr>
              <w:fldChar w:fldCharType="begin"/>
            </w:r>
            <w:r>
              <w:rPr>
                <w:noProof/>
                <w:webHidden/>
              </w:rPr>
              <w:instrText xml:space="preserve"> PAGEREF _Toc440462624 \h </w:instrText>
            </w:r>
            <w:r>
              <w:rPr>
                <w:noProof/>
                <w:webHidden/>
              </w:rPr>
            </w:r>
            <w:r>
              <w:rPr>
                <w:noProof/>
                <w:webHidden/>
              </w:rPr>
              <w:fldChar w:fldCharType="separate"/>
            </w:r>
            <w:r>
              <w:rPr>
                <w:noProof/>
                <w:webHidden/>
              </w:rPr>
              <w:t>25</w:t>
            </w:r>
            <w:r>
              <w:rPr>
                <w:noProof/>
                <w:webHidden/>
              </w:rPr>
              <w:fldChar w:fldCharType="end"/>
            </w:r>
          </w:hyperlink>
        </w:p>
        <w:p>
          <w:pPr>
            <w:pStyle w:val="TOC1"/>
            <w:rPr>
              <w:rFonts w:asciiTheme="minorHAnsi" w:eastAsiaTheme="minorEastAsia" w:hAnsiTheme="minorHAnsi"/>
              <w:noProof/>
              <w:sz w:val="22"/>
              <w:lang w:val="en-GB" w:eastAsia="en-GB" w:bidi="ar-SA"/>
            </w:rPr>
          </w:pPr>
          <w:hyperlink w:anchor="_Toc440462625" w:history="1">
            <w:r>
              <w:rPr>
                <w:rStyle w:val="Hyperlink"/>
                <w:noProof/>
              </w:rPr>
              <w:t>3.</w:t>
            </w:r>
            <w:r>
              <w:rPr>
                <w:rFonts w:asciiTheme="minorHAnsi" w:eastAsiaTheme="minorEastAsia" w:hAnsiTheme="minorHAnsi"/>
                <w:noProof/>
                <w:sz w:val="22"/>
                <w:lang w:val="en-GB" w:eastAsia="en-GB" w:bidi="ar-SA"/>
              </w:rPr>
              <w:tab/>
            </w:r>
            <w:r>
              <w:rPr>
                <w:rStyle w:val="Hyperlink"/>
                <w:noProof/>
              </w:rPr>
              <w:t>AZ EURÓPAI REPÜLÉSBIZTONSÁGI GARANCIA</w:t>
            </w:r>
            <w:r>
              <w:rPr>
                <w:noProof/>
                <w:webHidden/>
              </w:rPr>
              <w:tab/>
            </w:r>
            <w:r>
              <w:rPr>
                <w:noProof/>
                <w:webHidden/>
              </w:rPr>
              <w:fldChar w:fldCharType="begin"/>
            </w:r>
            <w:r>
              <w:rPr>
                <w:noProof/>
                <w:webHidden/>
              </w:rPr>
              <w:instrText xml:space="preserve"> PAGEREF _Toc440462625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26" w:history="1">
            <w:r>
              <w:rPr>
                <w:rStyle w:val="Hyperlink"/>
                <w:noProof/>
              </w:rPr>
              <w:t>3.1</w:t>
            </w:r>
            <w:r>
              <w:rPr>
                <w:rFonts w:asciiTheme="minorHAnsi" w:eastAsiaTheme="minorEastAsia" w:hAnsiTheme="minorHAnsi"/>
                <w:noProof/>
                <w:sz w:val="22"/>
                <w:lang w:val="en-GB" w:eastAsia="en-GB" w:bidi="ar-SA"/>
              </w:rPr>
              <w:tab/>
            </w:r>
            <w:r>
              <w:rPr>
                <w:rStyle w:val="Hyperlink"/>
                <w:noProof/>
              </w:rPr>
              <w:t>Repülésbiztonsági felügyelet</w:t>
            </w:r>
            <w:r>
              <w:rPr>
                <w:noProof/>
                <w:webHidden/>
              </w:rPr>
              <w:tab/>
            </w:r>
            <w:r>
              <w:rPr>
                <w:noProof/>
                <w:webHidden/>
              </w:rPr>
              <w:fldChar w:fldCharType="begin"/>
            </w:r>
            <w:r>
              <w:rPr>
                <w:noProof/>
                <w:webHidden/>
              </w:rPr>
              <w:instrText xml:space="preserve"> PAGEREF _Toc440462626 \h </w:instrText>
            </w:r>
            <w:r>
              <w:rPr>
                <w:noProof/>
                <w:webHidden/>
              </w:rPr>
            </w:r>
            <w:r>
              <w:rPr>
                <w:noProof/>
                <w:webHidden/>
              </w:rPr>
              <w:fldChar w:fldCharType="separate"/>
            </w:r>
            <w:r>
              <w:rPr>
                <w:noProof/>
                <w:webHidden/>
              </w:rPr>
              <w:t>27</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27" w:history="1">
            <w:r>
              <w:rPr>
                <w:rStyle w:val="Hyperlink"/>
                <w:noProof/>
              </w:rPr>
              <w:t>3.1.1</w:t>
            </w:r>
            <w:r>
              <w:rPr>
                <w:rFonts w:asciiTheme="minorHAnsi" w:eastAsiaTheme="minorEastAsia" w:hAnsiTheme="minorHAnsi"/>
                <w:noProof/>
                <w:sz w:val="22"/>
                <w:lang w:val="en-GB" w:eastAsia="en-GB" w:bidi="ar-SA"/>
              </w:rPr>
              <w:tab/>
            </w:r>
            <w:r>
              <w:rPr>
                <w:rStyle w:val="Hyperlink"/>
                <w:noProof/>
              </w:rPr>
              <w:t>A szabályok alkalmazásának figyelemmel kísérése a tagállamokban</w:t>
            </w:r>
            <w:r>
              <w:rPr>
                <w:noProof/>
                <w:webHidden/>
              </w:rPr>
              <w:tab/>
            </w:r>
            <w:r>
              <w:rPr>
                <w:noProof/>
                <w:webHidden/>
              </w:rPr>
              <w:fldChar w:fldCharType="begin"/>
            </w:r>
            <w:r>
              <w:rPr>
                <w:noProof/>
                <w:webHidden/>
              </w:rPr>
              <w:instrText xml:space="preserve"> PAGEREF _Toc440462627 \h </w:instrText>
            </w:r>
            <w:r>
              <w:rPr>
                <w:noProof/>
                <w:webHidden/>
              </w:rPr>
            </w:r>
            <w:r>
              <w:rPr>
                <w:noProof/>
                <w:webHidden/>
              </w:rPr>
              <w:fldChar w:fldCharType="separate"/>
            </w:r>
            <w:r>
              <w:rPr>
                <w:noProof/>
                <w:webHidden/>
              </w:rPr>
              <w:t>27</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28" w:history="1">
            <w:r>
              <w:rPr>
                <w:rStyle w:val="Hyperlink"/>
                <w:noProof/>
              </w:rPr>
              <w:t>3.1.2</w:t>
            </w:r>
            <w:r>
              <w:rPr>
                <w:rFonts w:asciiTheme="minorHAnsi" w:eastAsiaTheme="minorEastAsia" w:hAnsiTheme="minorHAnsi"/>
                <w:noProof/>
                <w:sz w:val="22"/>
                <w:lang w:val="en-GB" w:eastAsia="en-GB" w:bidi="ar-SA"/>
              </w:rPr>
              <w:tab/>
            </w:r>
            <w:r>
              <w:rPr>
                <w:rStyle w:val="Hyperlink"/>
                <w:noProof/>
              </w:rPr>
              <w:t>Tanúsított szervezetek felügyelete</w:t>
            </w:r>
            <w:r>
              <w:rPr>
                <w:noProof/>
                <w:webHidden/>
              </w:rPr>
              <w:tab/>
            </w:r>
            <w:r>
              <w:rPr>
                <w:noProof/>
                <w:webHidden/>
              </w:rPr>
              <w:fldChar w:fldCharType="begin"/>
            </w:r>
            <w:r>
              <w:rPr>
                <w:noProof/>
                <w:webHidden/>
              </w:rPr>
              <w:instrText xml:space="preserve"> PAGEREF _Toc440462628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29" w:history="1">
            <w:r>
              <w:rPr>
                <w:rStyle w:val="Hyperlink"/>
                <w:noProof/>
              </w:rPr>
              <w:t>3.2</w:t>
            </w:r>
            <w:r>
              <w:rPr>
                <w:rFonts w:asciiTheme="minorHAnsi" w:eastAsiaTheme="minorEastAsia" w:hAnsiTheme="minorHAnsi"/>
                <w:noProof/>
                <w:sz w:val="22"/>
                <w:lang w:val="en-GB" w:eastAsia="en-GB" w:bidi="ar-SA"/>
              </w:rPr>
              <w:tab/>
            </w:r>
            <w:r>
              <w:rPr>
                <w:rStyle w:val="Hyperlink"/>
                <w:noProof/>
              </w:rPr>
              <w:t>Repülésbiztonsági adatok gyűjtése, elemzése és cseréje</w:t>
            </w:r>
            <w:r>
              <w:rPr>
                <w:noProof/>
                <w:webHidden/>
              </w:rPr>
              <w:tab/>
            </w:r>
            <w:r>
              <w:rPr>
                <w:noProof/>
                <w:webHidden/>
              </w:rPr>
              <w:fldChar w:fldCharType="begin"/>
            </w:r>
            <w:r>
              <w:rPr>
                <w:noProof/>
                <w:webHidden/>
              </w:rPr>
              <w:instrText xml:space="preserve"> PAGEREF _Toc440462629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30" w:history="1">
            <w:r>
              <w:rPr>
                <w:rStyle w:val="Hyperlink"/>
                <w:noProof/>
              </w:rPr>
              <w:t>3.3</w:t>
            </w:r>
            <w:r>
              <w:rPr>
                <w:rFonts w:asciiTheme="minorHAnsi" w:eastAsiaTheme="minorEastAsia" w:hAnsiTheme="minorHAnsi"/>
                <w:noProof/>
                <w:sz w:val="22"/>
                <w:lang w:val="en-GB" w:eastAsia="en-GB" w:bidi="ar-SA"/>
              </w:rPr>
              <w:tab/>
            </w:r>
            <w:r>
              <w:rPr>
                <w:rStyle w:val="Hyperlink"/>
                <w:noProof/>
              </w:rPr>
              <w:t>A jelentős aggályt vagy szükségletet jelentő területeken a felügyelet célpontjainak repülésbiztonsági adatokon alapuló kiválasztása</w:t>
            </w:r>
            <w:r>
              <w:rPr>
                <w:noProof/>
                <w:webHidden/>
              </w:rPr>
              <w:tab/>
            </w:r>
            <w:r>
              <w:rPr>
                <w:noProof/>
                <w:webHidden/>
              </w:rPr>
              <w:fldChar w:fldCharType="begin"/>
            </w:r>
            <w:r>
              <w:rPr>
                <w:noProof/>
                <w:webHidden/>
              </w:rPr>
              <w:instrText xml:space="preserve"> PAGEREF _Toc440462630 \h </w:instrText>
            </w:r>
            <w:r>
              <w:rPr>
                <w:noProof/>
                <w:webHidden/>
              </w:rPr>
            </w:r>
            <w:r>
              <w:rPr>
                <w:noProof/>
                <w:webHidden/>
              </w:rPr>
              <w:fldChar w:fldCharType="separate"/>
            </w:r>
            <w:r>
              <w:rPr>
                <w:noProof/>
                <w:webHidden/>
              </w:rPr>
              <w:t>28</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31" w:history="1">
            <w:r>
              <w:rPr>
                <w:rStyle w:val="Hyperlink"/>
                <w:noProof/>
              </w:rPr>
              <w:t>3.3.1</w:t>
            </w:r>
            <w:r>
              <w:rPr>
                <w:rFonts w:asciiTheme="minorHAnsi" w:eastAsiaTheme="minorEastAsia" w:hAnsiTheme="minorHAnsi"/>
                <w:noProof/>
                <w:sz w:val="22"/>
                <w:lang w:val="en-GB" w:eastAsia="en-GB" w:bidi="ar-SA"/>
              </w:rPr>
              <w:tab/>
            </w:r>
            <w:r>
              <w:rPr>
                <w:rStyle w:val="Hyperlink"/>
                <w:noProof/>
              </w:rPr>
              <w:t>A célpontok repülésbiztonsági adatokon alapuló kiválasztása a tagállamok figyelemmel kísérésénél</w:t>
            </w:r>
            <w:r>
              <w:rPr>
                <w:noProof/>
                <w:webHidden/>
              </w:rPr>
              <w:tab/>
            </w:r>
            <w:r>
              <w:rPr>
                <w:noProof/>
                <w:webHidden/>
              </w:rPr>
              <w:fldChar w:fldCharType="begin"/>
            </w:r>
            <w:r>
              <w:rPr>
                <w:noProof/>
                <w:webHidden/>
              </w:rPr>
              <w:instrText xml:space="preserve"> PAGEREF _Toc440462631 \h </w:instrText>
            </w:r>
            <w:r>
              <w:rPr>
                <w:noProof/>
                <w:webHidden/>
              </w:rPr>
            </w:r>
            <w:r>
              <w:rPr>
                <w:noProof/>
                <w:webHidden/>
              </w:rPr>
              <w:fldChar w:fldCharType="separate"/>
            </w:r>
            <w:r>
              <w:rPr>
                <w:noProof/>
                <w:webHidden/>
              </w:rPr>
              <w:t>28</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32" w:history="1">
            <w:r>
              <w:rPr>
                <w:rStyle w:val="Hyperlink"/>
                <w:noProof/>
              </w:rPr>
              <w:t>3.3.2</w:t>
            </w:r>
            <w:r>
              <w:rPr>
                <w:rFonts w:asciiTheme="minorHAnsi" w:eastAsiaTheme="minorEastAsia" w:hAnsiTheme="minorHAnsi"/>
                <w:noProof/>
                <w:sz w:val="22"/>
                <w:lang w:val="en-GB" w:eastAsia="en-GB" w:bidi="ar-SA"/>
              </w:rPr>
              <w:tab/>
            </w:r>
            <w:r>
              <w:rPr>
                <w:rStyle w:val="Hyperlink"/>
                <w:noProof/>
              </w:rPr>
              <w:t>A célpontok repülésbiztonsági adatokon alapuló kiválasztása az ágazat felügyeleténél</w:t>
            </w:r>
            <w:r>
              <w:rPr>
                <w:noProof/>
                <w:webHidden/>
              </w:rPr>
              <w:tab/>
            </w:r>
            <w:r>
              <w:rPr>
                <w:noProof/>
                <w:webHidden/>
              </w:rPr>
              <w:fldChar w:fldCharType="begin"/>
            </w:r>
            <w:r>
              <w:rPr>
                <w:noProof/>
                <w:webHidden/>
              </w:rPr>
              <w:instrText xml:space="preserve"> PAGEREF _Toc440462632 \h </w:instrText>
            </w:r>
            <w:r>
              <w:rPr>
                <w:noProof/>
                <w:webHidden/>
              </w:rPr>
            </w:r>
            <w:r>
              <w:rPr>
                <w:noProof/>
                <w:webHidden/>
              </w:rPr>
              <w:fldChar w:fldCharType="separate"/>
            </w:r>
            <w:r>
              <w:rPr>
                <w:noProof/>
                <w:webHidden/>
              </w:rPr>
              <w:t>29</w:t>
            </w:r>
            <w:r>
              <w:rPr>
                <w:noProof/>
                <w:webHidden/>
              </w:rPr>
              <w:fldChar w:fldCharType="end"/>
            </w:r>
          </w:hyperlink>
        </w:p>
        <w:p>
          <w:pPr>
            <w:pStyle w:val="TOC1"/>
            <w:rPr>
              <w:rFonts w:asciiTheme="minorHAnsi" w:eastAsiaTheme="minorEastAsia" w:hAnsiTheme="minorHAnsi"/>
              <w:noProof/>
              <w:sz w:val="22"/>
              <w:lang w:val="en-GB" w:eastAsia="en-GB" w:bidi="ar-SA"/>
            </w:rPr>
          </w:pPr>
          <w:hyperlink w:anchor="_Toc440462633" w:history="1">
            <w:r>
              <w:rPr>
                <w:rStyle w:val="Hyperlink"/>
                <w:noProof/>
              </w:rPr>
              <w:t>4.</w:t>
            </w:r>
            <w:r>
              <w:rPr>
                <w:rFonts w:asciiTheme="minorHAnsi" w:eastAsiaTheme="minorEastAsia" w:hAnsiTheme="minorHAnsi"/>
                <w:noProof/>
                <w:sz w:val="22"/>
                <w:lang w:val="en-GB" w:eastAsia="en-GB" w:bidi="ar-SA"/>
              </w:rPr>
              <w:tab/>
            </w:r>
            <w:r>
              <w:rPr>
                <w:rStyle w:val="Hyperlink"/>
                <w:noProof/>
              </w:rPr>
              <w:t>A REPÜLÉSBIZTONSÁG EURÓPAI NÉPSZERŰSÍTÉSE</w:t>
            </w:r>
            <w:r>
              <w:rPr>
                <w:noProof/>
                <w:webHidden/>
              </w:rPr>
              <w:tab/>
            </w:r>
            <w:r>
              <w:rPr>
                <w:noProof/>
                <w:webHidden/>
              </w:rPr>
              <w:fldChar w:fldCharType="begin"/>
            </w:r>
            <w:r>
              <w:rPr>
                <w:noProof/>
                <w:webHidden/>
              </w:rPr>
              <w:instrText xml:space="preserve"> PAGEREF _Toc440462633 \h </w:instrText>
            </w:r>
            <w:r>
              <w:rPr>
                <w:noProof/>
                <w:webHidden/>
              </w:rPr>
            </w:r>
            <w:r>
              <w:rPr>
                <w:noProof/>
                <w:webHidden/>
              </w:rPr>
              <w:fldChar w:fldCharType="separate"/>
            </w:r>
            <w:r>
              <w:rPr>
                <w:noProof/>
                <w:webHidden/>
              </w:rPr>
              <w:t>30</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34" w:history="1">
            <w:r>
              <w:rPr>
                <w:rStyle w:val="Hyperlink"/>
                <w:noProof/>
              </w:rPr>
              <w:t>4.1</w:t>
            </w:r>
            <w:r>
              <w:rPr>
                <w:rFonts w:asciiTheme="minorHAnsi" w:eastAsiaTheme="minorEastAsia" w:hAnsiTheme="minorHAnsi"/>
                <w:noProof/>
                <w:sz w:val="22"/>
                <w:lang w:val="en-GB" w:eastAsia="en-GB" w:bidi="ar-SA"/>
              </w:rPr>
              <w:tab/>
            </w:r>
            <w:r>
              <w:rPr>
                <w:rStyle w:val="Hyperlink"/>
                <w:noProof/>
              </w:rPr>
              <w:t>Uniós szintű tevékenységek</w:t>
            </w:r>
            <w:r>
              <w:rPr>
                <w:noProof/>
                <w:webHidden/>
              </w:rPr>
              <w:tab/>
            </w:r>
            <w:r>
              <w:rPr>
                <w:noProof/>
                <w:webHidden/>
              </w:rPr>
              <w:fldChar w:fldCharType="begin"/>
            </w:r>
            <w:r>
              <w:rPr>
                <w:noProof/>
                <w:webHidden/>
              </w:rPr>
              <w:instrText xml:space="preserve"> PAGEREF _Toc440462634 \h </w:instrText>
            </w:r>
            <w:r>
              <w:rPr>
                <w:noProof/>
                <w:webHidden/>
              </w:rPr>
            </w:r>
            <w:r>
              <w:rPr>
                <w:noProof/>
                <w:webHidden/>
              </w:rPr>
              <w:fldChar w:fldCharType="separate"/>
            </w:r>
            <w:r>
              <w:rPr>
                <w:noProof/>
                <w:webHidden/>
              </w:rPr>
              <w:t>30</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35" w:history="1">
            <w:r>
              <w:rPr>
                <w:rStyle w:val="Hyperlink"/>
                <w:noProof/>
              </w:rPr>
              <w:t>4.1.1</w:t>
            </w:r>
            <w:r>
              <w:rPr>
                <w:rFonts w:asciiTheme="minorHAnsi" w:eastAsiaTheme="minorEastAsia" w:hAnsiTheme="minorHAnsi"/>
                <w:noProof/>
                <w:sz w:val="22"/>
                <w:lang w:val="en-GB" w:eastAsia="en-GB" w:bidi="ar-SA"/>
              </w:rPr>
              <w:tab/>
            </w:r>
            <w:r>
              <w:rPr>
                <w:rStyle w:val="Hyperlink"/>
                <w:noProof/>
              </w:rPr>
              <w:t>Repülésbiztonsági kommunikáció</w:t>
            </w:r>
            <w:r>
              <w:rPr>
                <w:noProof/>
                <w:webHidden/>
              </w:rPr>
              <w:tab/>
            </w:r>
            <w:r>
              <w:rPr>
                <w:noProof/>
                <w:webHidden/>
              </w:rPr>
              <w:fldChar w:fldCharType="begin"/>
            </w:r>
            <w:r>
              <w:rPr>
                <w:noProof/>
                <w:webHidden/>
              </w:rPr>
              <w:instrText xml:space="preserve"> PAGEREF _Toc440462635 \h </w:instrText>
            </w:r>
            <w:r>
              <w:rPr>
                <w:noProof/>
                <w:webHidden/>
              </w:rPr>
            </w:r>
            <w:r>
              <w:rPr>
                <w:noProof/>
                <w:webHidden/>
              </w:rPr>
              <w:fldChar w:fldCharType="separate"/>
            </w:r>
            <w:r>
              <w:rPr>
                <w:noProof/>
                <w:webHidden/>
              </w:rPr>
              <w:t>30</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36" w:history="1">
            <w:r>
              <w:rPr>
                <w:rStyle w:val="Hyperlink"/>
                <w:noProof/>
              </w:rPr>
              <w:t>4.1.2</w:t>
            </w:r>
            <w:r>
              <w:rPr>
                <w:rFonts w:asciiTheme="minorHAnsi" w:eastAsiaTheme="minorEastAsia" w:hAnsiTheme="minorHAnsi"/>
                <w:noProof/>
                <w:sz w:val="22"/>
                <w:lang w:val="en-GB" w:eastAsia="en-GB" w:bidi="ar-SA"/>
              </w:rPr>
              <w:tab/>
            </w:r>
            <w:r>
              <w:rPr>
                <w:rStyle w:val="Hyperlink"/>
                <w:noProof/>
              </w:rPr>
              <w:t>Az európai stratégiai repülésbiztonsági kezdeményezés (ESSI)</w:t>
            </w:r>
            <w:r>
              <w:rPr>
                <w:noProof/>
                <w:webHidden/>
              </w:rPr>
              <w:tab/>
            </w:r>
            <w:r>
              <w:rPr>
                <w:noProof/>
                <w:webHidden/>
              </w:rPr>
              <w:fldChar w:fldCharType="begin"/>
            </w:r>
            <w:r>
              <w:rPr>
                <w:noProof/>
                <w:webHidden/>
              </w:rPr>
              <w:instrText xml:space="preserve"> PAGEREF _Toc440462636 \h </w:instrText>
            </w:r>
            <w:r>
              <w:rPr>
                <w:noProof/>
                <w:webHidden/>
              </w:rPr>
            </w:r>
            <w:r>
              <w:rPr>
                <w:noProof/>
                <w:webHidden/>
              </w:rPr>
              <w:fldChar w:fldCharType="separate"/>
            </w:r>
            <w:r>
              <w:rPr>
                <w:noProof/>
                <w:webHidden/>
              </w:rPr>
              <w:t>31</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37" w:history="1">
            <w:r>
              <w:rPr>
                <w:rStyle w:val="Hyperlink"/>
                <w:noProof/>
              </w:rPr>
              <w:t>4.2</w:t>
            </w:r>
            <w:r>
              <w:rPr>
                <w:rFonts w:asciiTheme="minorHAnsi" w:eastAsiaTheme="minorEastAsia" w:hAnsiTheme="minorHAnsi"/>
                <w:noProof/>
                <w:sz w:val="22"/>
                <w:lang w:val="en-GB" w:eastAsia="en-GB" w:bidi="ar-SA"/>
              </w:rPr>
              <w:tab/>
            </w:r>
            <w:r>
              <w:rPr>
                <w:rStyle w:val="Hyperlink"/>
                <w:noProof/>
              </w:rPr>
              <w:t>Uniós szintű nemzetközi együttműködés</w:t>
            </w:r>
            <w:r>
              <w:rPr>
                <w:noProof/>
                <w:webHidden/>
              </w:rPr>
              <w:tab/>
            </w:r>
            <w:r>
              <w:rPr>
                <w:noProof/>
                <w:webHidden/>
              </w:rPr>
              <w:fldChar w:fldCharType="begin"/>
            </w:r>
            <w:r>
              <w:rPr>
                <w:noProof/>
                <w:webHidden/>
              </w:rPr>
              <w:instrText xml:space="preserve"> PAGEREF _Toc440462637 \h </w:instrText>
            </w:r>
            <w:r>
              <w:rPr>
                <w:noProof/>
                <w:webHidden/>
              </w:rPr>
            </w:r>
            <w:r>
              <w:rPr>
                <w:noProof/>
                <w:webHidden/>
              </w:rPr>
              <w:fldChar w:fldCharType="separate"/>
            </w:r>
            <w:r>
              <w:rPr>
                <w:noProof/>
                <w:webHidden/>
              </w:rPr>
              <w:t>32</w:t>
            </w:r>
            <w:r>
              <w:rPr>
                <w:noProof/>
                <w:webHidden/>
              </w:rPr>
              <w:fldChar w:fldCharType="end"/>
            </w:r>
          </w:hyperlink>
        </w:p>
        <w:p>
          <w:pPr>
            <w:pStyle w:val="TOC2"/>
            <w:rPr>
              <w:rFonts w:asciiTheme="minorHAnsi" w:eastAsiaTheme="minorEastAsia" w:hAnsiTheme="minorHAnsi"/>
              <w:noProof/>
              <w:sz w:val="22"/>
              <w:lang w:val="en-GB" w:eastAsia="en-GB" w:bidi="ar-SA"/>
            </w:rPr>
          </w:pPr>
          <w:hyperlink w:anchor="_Toc440462638" w:history="1">
            <w:r>
              <w:rPr>
                <w:rStyle w:val="Hyperlink"/>
                <w:noProof/>
              </w:rPr>
              <w:t>4.3</w:t>
            </w:r>
            <w:r>
              <w:rPr>
                <w:rFonts w:asciiTheme="minorHAnsi" w:eastAsiaTheme="minorEastAsia" w:hAnsiTheme="minorHAnsi"/>
                <w:noProof/>
                <w:sz w:val="22"/>
                <w:lang w:val="en-GB" w:eastAsia="en-GB" w:bidi="ar-SA"/>
              </w:rPr>
              <w:tab/>
            </w:r>
            <w:r>
              <w:rPr>
                <w:rStyle w:val="Hyperlink"/>
                <w:noProof/>
              </w:rPr>
              <w:t>Uniós szintű képzés</w:t>
            </w:r>
            <w:r>
              <w:rPr>
                <w:noProof/>
                <w:webHidden/>
              </w:rPr>
              <w:tab/>
            </w:r>
            <w:r>
              <w:rPr>
                <w:noProof/>
                <w:webHidden/>
              </w:rPr>
              <w:fldChar w:fldCharType="begin"/>
            </w:r>
            <w:r>
              <w:rPr>
                <w:noProof/>
                <w:webHidden/>
              </w:rPr>
              <w:instrText xml:space="preserve"> PAGEREF _Toc440462638 \h </w:instrText>
            </w:r>
            <w:r>
              <w:rPr>
                <w:noProof/>
                <w:webHidden/>
              </w:rPr>
            </w:r>
            <w:r>
              <w:rPr>
                <w:noProof/>
                <w:webHidden/>
              </w:rPr>
              <w:fldChar w:fldCharType="separate"/>
            </w:r>
            <w:r>
              <w:rPr>
                <w:noProof/>
                <w:webHidden/>
              </w:rPr>
              <w:t>32</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39" w:history="1">
            <w:r>
              <w:rPr>
                <w:rStyle w:val="Hyperlink"/>
                <w:noProof/>
              </w:rPr>
              <w:t>4.3.1</w:t>
            </w:r>
            <w:r>
              <w:rPr>
                <w:rFonts w:asciiTheme="minorHAnsi" w:eastAsiaTheme="minorEastAsia" w:hAnsiTheme="minorHAnsi"/>
                <w:noProof/>
                <w:sz w:val="22"/>
                <w:lang w:val="en-GB" w:eastAsia="en-GB" w:bidi="ar-SA"/>
              </w:rPr>
              <w:tab/>
            </w:r>
            <w:r>
              <w:rPr>
                <w:rStyle w:val="Hyperlink"/>
                <w:noProof/>
              </w:rPr>
              <w:t>Közös képzési kezdeményezés csoport</w:t>
            </w:r>
            <w:r>
              <w:rPr>
                <w:noProof/>
                <w:webHidden/>
              </w:rPr>
              <w:tab/>
            </w:r>
            <w:r>
              <w:rPr>
                <w:noProof/>
                <w:webHidden/>
              </w:rPr>
              <w:fldChar w:fldCharType="begin"/>
            </w:r>
            <w:r>
              <w:rPr>
                <w:noProof/>
                <w:webHidden/>
              </w:rPr>
              <w:instrText xml:space="preserve"> PAGEREF _Toc440462639 \h </w:instrText>
            </w:r>
            <w:r>
              <w:rPr>
                <w:noProof/>
                <w:webHidden/>
              </w:rPr>
            </w:r>
            <w:r>
              <w:rPr>
                <w:noProof/>
                <w:webHidden/>
              </w:rPr>
              <w:fldChar w:fldCharType="separate"/>
            </w:r>
            <w:r>
              <w:rPr>
                <w:noProof/>
                <w:webHidden/>
              </w:rPr>
              <w:t>33</w:t>
            </w:r>
            <w:r>
              <w:rPr>
                <w:noProof/>
                <w:webHidden/>
              </w:rPr>
              <w:fldChar w:fldCharType="end"/>
            </w:r>
          </w:hyperlink>
        </w:p>
        <w:p>
          <w:pPr>
            <w:pStyle w:val="TOC3"/>
            <w:rPr>
              <w:rFonts w:asciiTheme="minorHAnsi" w:eastAsiaTheme="minorEastAsia" w:hAnsiTheme="minorHAnsi"/>
              <w:noProof/>
              <w:sz w:val="22"/>
              <w:lang w:val="en-GB" w:eastAsia="en-GB" w:bidi="ar-SA"/>
            </w:rPr>
          </w:pPr>
          <w:hyperlink w:anchor="_Toc440462640" w:history="1">
            <w:r>
              <w:rPr>
                <w:rStyle w:val="Hyperlink"/>
                <w:noProof/>
              </w:rPr>
              <w:t>4.3.2</w:t>
            </w:r>
            <w:r>
              <w:rPr>
                <w:rFonts w:asciiTheme="minorHAnsi" w:eastAsiaTheme="minorEastAsia" w:hAnsiTheme="minorHAnsi"/>
                <w:noProof/>
                <w:sz w:val="22"/>
                <w:lang w:val="en-GB" w:eastAsia="en-GB" w:bidi="ar-SA"/>
              </w:rPr>
              <w:tab/>
            </w:r>
            <w:r>
              <w:rPr>
                <w:rStyle w:val="Hyperlink"/>
                <w:noProof/>
              </w:rPr>
              <w:t>Képzési koncepció</w:t>
            </w:r>
            <w:r>
              <w:rPr>
                <w:noProof/>
                <w:webHidden/>
              </w:rPr>
              <w:tab/>
            </w:r>
            <w:r>
              <w:rPr>
                <w:noProof/>
                <w:webHidden/>
              </w:rPr>
              <w:fldChar w:fldCharType="begin"/>
            </w:r>
            <w:r>
              <w:rPr>
                <w:noProof/>
                <w:webHidden/>
              </w:rPr>
              <w:instrText xml:space="preserve"> PAGEREF _Toc440462640 \h </w:instrText>
            </w:r>
            <w:r>
              <w:rPr>
                <w:noProof/>
                <w:webHidden/>
              </w:rPr>
            </w:r>
            <w:r>
              <w:rPr>
                <w:noProof/>
                <w:webHidden/>
              </w:rPr>
              <w:fldChar w:fldCharType="separate"/>
            </w:r>
            <w:r>
              <w:rPr>
                <w:noProof/>
                <w:webHidden/>
              </w:rPr>
              <w:t>33</w:t>
            </w:r>
            <w:r>
              <w:rPr>
                <w:noProof/>
                <w:webHidden/>
              </w:rPr>
              <w:fldChar w:fldCharType="end"/>
            </w:r>
          </w:hyperlink>
        </w:p>
        <w:p>
          <w:pPr>
            <w:pStyle w:val="TOC1"/>
            <w:rPr>
              <w:rFonts w:asciiTheme="minorHAnsi" w:eastAsiaTheme="minorEastAsia" w:hAnsiTheme="minorHAnsi"/>
              <w:noProof/>
              <w:sz w:val="22"/>
              <w:lang w:val="en-GB" w:eastAsia="en-GB" w:bidi="ar-SA"/>
            </w:rPr>
          </w:pPr>
          <w:hyperlink w:anchor="_Toc440462641" w:history="1">
            <w:r>
              <w:rPr>
                <w:rStyle w:val="Hyperlink"/>
                <w:noProof/>
              </w:rPr>
              <w:t>Rövidítések felsorolása</w:t>
            </w:r>
            <w:r>
              <w:rPr>
                <w:noProof/>
                <w:webHidden/>
              </w:rPr>
              <w:tab/>
            </w:r>
            <w:r>
              <w:rPr>
                <w:noProof/>
                <w:webHidden/>
              </w:rPr>
              <w:fldChar w:fldCharType="begin"/>
            </w:r>
            <w:r>
              <w:rPr>
                <w:noProof/>
                <w:webHidden/>
              </w:rPr>
              <w:instrText xml:space="preserve"> PAGEREF _Toc440462641 \h </w:instrText>
            </w:r>
            <w:r>
              <w:rPr>
                <w:noProof/>
                <w:webHidden/>
              </w:rPr>
            </w:r>
            <w:r>
              <w:rPr>
                <w:noProof/>
                <w:webHidden/>
              </w:rPr>
              <w:fldChar w:fldCharType="separate"/>
            </w:r>
            <w:r>
              <w:rPr>
                <w:noProof/>
                <w:webHidden/>
              </w:rPr>
              <w:t>34</w:t>
            </w:r>
            <w:r>
              <w:rPr>
                <w:noProof/>
                <w:webHidden/>
              </w:rPr>
              <w:fldChar w:fldCharType="end"/>
            </w:r>
          </w:hyperlink>
        </w:p>
        <w:p>
          <w:pPr>
            <w:pStyle w:val="TOC1"/>
            <w:rPr>
              <w:rFonts w:asciiTheme="minorHAnsi" w:eastAsiaTheme="minorEastAsia" w:hAnsiTheme="minorHAnsi"/>
              <w:noProof/>
              <w:sz w:val="22"/>
            </w:rPr>
          </w:pPr>
          <w:r>
            <w:rPr>
              <w:rFonts w:asciiTheme="minorHAnsi" w:eastAsiaTheme="minorEastAsia" w:hAnsiTheme="minorHAnsi"/>
              <w:noProof/>
              <w:sz w:val="22"/>
            </w:rPr>
            <w:fldChar w:fldCharType="end"/>
          </w:r>
        </w:p>
      </w:sdtContent>
    </w:sdt>
    <w:p>
      <w:pPr>
        <w:spacing w:before="360" w:after="360"/>
        <w:jc w:val="center"/>
        <w:rPr>
          <w:rFonts w:ascii="Times New Roman Bold" w:hAnsi="Times New Roman Bold"/>
          <w:b/>
          <w:smallCaps/>
          <w:noProof/>
        </w:rPr>
      </w:pPr>
      <w:r>
        <w:rPr>
          <w:noProof/>
        </w:rPr>
        <w:br w:type="page"/>
      </w:r>
      <w:bookmarkStart w:id="2" w:name="DQCErrorScope7456D4F7C7A7441589DC58C97E1"/>
      <w:r>
        <w:rPr>
          <w:rFonts w:ascii="Times New Roman Bold" w:hAnsi="Times New Roman Bold"/>
          <w:b/>
          <w:smallCaps/>
          <w:noProof/>
        </w:rPr>
        <w:t>Bevezetés</w:t>
      </w:r>
    </w:p>
    <w:bookmarkEnd w:id="2"/>
    <w:p>
      <w:pPr>
        <w:rPr>
          <w:noProof/>
        </w:rPr>
      </w:pPr>
      <w:r>
        <w:rPr>
          <w:noProof/>
        </w:rPr>
        <w:t>Ez a dokumentum az európai légiközlekedés-biztonsági program leírása, amely részletezi az uniós szintű rendeletek integrált rendszerét, valamint a polgári légi közlekedés biztonságának közös menedzseléséhez uniós szinten használt tevékenységeket és folyamatokat.</w:t>
      </w:r>
    </w:p>
    <w:p>
      <w:pPr>
        <w:rPr>
          <w:noProof/>
        </w:rPr>
      </w:pPr>
      <w:r>
        <w:rPr>
          <w:noProof/>
        </w:rPr>
        <w:t>Az európai légiközlekedés-biztonsági program a Chicagói Egyezmény 19. mellékletében (annex) leírt állami légiközlekedés-biztonsági program uniós szintű funkcionális megfelelője.</w:t>
      </w:r>
    </w:p>
    <w:p>
      <w:pPr>
        <w:rPr>
          <w:noProof/>
        </w:rPr>
      </w:pPr>
      <w:r>
        <w:rPr>
          <w:noProof/>
        </w:rPr>
        <w:t>Az európai légiközlekedés-biztonsági programról szóló dokumentum nem kívánja helyettesíteni a tagállamok légiközlekedés-biztonsági programról szóló dokumentumait, hanem inkább kiegészíti azokat.</w:t>
      </w:r>
    </w:p>
    <w:p>
      <w:pPr>
        <w:rPr>
          <w:rFonts w:eastAsia="Times New Roman" w:cs="Times New Roman"/>
          <w:noProof/>
          <w:szCs w:val="24"/>
        </w:rPr>
      </w:pPr>
      <w:r>
        <w:rPr>
          <w:noProof/>
        </w:rPr>
        <w:t>Az európai légiközlekedés-biztonsági programról szóló dokumentum kifejti, európai nézőpontból hogyan történik a repülésbiztonság menedzselése. Mivel manapság sok repülésbiztonsággal kapcsolatos szabályt és tevékenységet uniós szinten fogadnak el és hangolnak össze, a tagállamoknak a saját állami légiközlekedés-biztonsági programjukról szóló dokumentumukban hivatkozniuk kell az európai légiközlekedés-biztonsági program című dokumentumra, és részletesen ki kell fejteniük, hogyan menedzselik nemzeti területükön a repülésbiztonságot. Sőt mivel az EU a repülésbiztonság számos területén alkotott jogszabályt, a tagállamoknak nem is tudnák az uniós dimenzió megemlítése nélkül leírni, hogy területükön belül hogyan menedzselik a repülésbiztonságot. Ezenkívül egyes területeken az államok Chicagói Egyezmény szerinti felelősségi köre átkerült uniós szintre. Az európai légiközlekedés-biztonsági programról szóló dokumentum részletesen bemutatja, hogy az EU hogyan teljesíti az ezekből a hatáskör-átruházásokból eredő nemzetközi kötelezettségeit.</w:t>
      </w:r>
    </w:p>
    <w:p>
      <w:pPr>
        <w:rPr>
          <w:rFonts w:eastAsia="Times New Roman" w:cs="Times New Roman"/>
          <w:noProof/>
          <w:szCs w:val="24"/>
        </w:rPr>
      </w:pPr>
      <w:r>
        <w:rPr>
          <w:noProof/>
        </w:rPr>
        <w:t>Az európai légiközlekedés-biztonsági programról szóló dokumentum a Chicagói Egyezmény 19. mellékletében bemutatott állami légiközlekedés-biztonsági program leírásának formáját és szerkezetét követi.</w:t>
      </w:r>
    </w:p>
    <w:p>
      <w:pPr>
        <w:rPr>
          <w:rFonts w:eastAsia="Times New Roman" w:cs="Times New Roman"/>
          <w:noProof/>
          <w:szCs w:val="24"/>
        </w:rPr>
      </w:pPr>
      <w:r>
        <w:rPr>
          <w:noProof/>
        </w:rPr>
        <w:t>Az európai légiközlekedés-biztonsági program célja annak szavatolása, hogy az Európai Unióban a repülésbiztonság menedzselésének rendszere a teljes Unióban egységesen élvezhető, a lehető legmagasabb szintű, folyamatosan javuló repülésbiztonsági teljesítményt nyújtson, miközben más releváns (például környezetvédelmi) célkitűzéseket is figyelembe vesz.</w:t>
      </w:r>
    </w:p>
    <w:p>
      <w:pPr>
        <w:rPr>
          <w:noProof/>
        </w:rPr>
      </w:pPr>
      <w:r>
        <w:rPr>
          <w:noProof/>
        </w:rPr>
        <w:t>Az európai légiközlekedés-biztonsági programról szóló dokumentum azzal járul hozzá az uniós szinten meghatározott, Unió szerte érvényes magas szintű repülésbiztonsági célok eléréséhez, hogy leírja a repülésbiztonság európai szintű közös menedzselésének folyamatait, és különösen azt, ahogyan az Európai Bizottság, a tagállamok és az Európai Repülésbiztonsági Ügynökség együttműködnek a nem biztonságos körülmények észlelésében és fellépnek a repülésbiztonsági kockázatok csökkentése érdekében. A program tehát biztosítja, hogy minden résztvevő tisztában legyen feladataival, valamint hogy a repülésbiztonság javításához szükséges összes szabály és folyamat megfelelően működjön, miáltal a program az európai térségben és azon túl is hozzájárul a balesetek megelőzéséhez.</w:t>
      </w:r>
    </w:p>
    <w:p>
      <w:pPr>
        <w:pStyle w:val="Heading1"/>
        <w:rPr>
          <w:rFonts w:hint="eastAsia"/>
          <w:noProof/>
        </w:rPr>
      </w:pPr>
      <w:bookmarkStart w:id="3" w:name="_Toc419795479"/>
      <w:bookmarkStart w:id="4" w:name="_Toc419795494"/>
      <w:bookmarkStart w:id="5" w:name="_Toc419993087"/>
      <w:bookmarkStart w:id="6" w:name="_Toc419993243"/>
      <w:bookmarkStart w:id="7" w:name="_Toc419995265"/>
      <w:bookmarkStart w:id="8" w:name="_Toc420049134"/>
      <w:bookmarkStart w:id="9" w:name="DQCErrorScope6AAA2B56FB0E494FB4FE76E30DC"/>
      <w:bookmarkEnd w:id="3"/>
      <w:bookmarkEnd w:id="4"/>
      <w:bookmarkEnd w:id="5"/>
      <w:bookmarkEnd w:id="6"/>
      <w:bookmarkEnd w:id="7"/>
      <w:bookmarkEnd w:id="8"/>
      <w:r>
        <w:rPr>
          <w:noProof/>
        </w:rPr>
        <w:br w:type="page"/>
      </w:r>
      <w:bookmarkStart w:id="10" w:name="_Toc434321933"/>
      <w:bookmarkStart w:id="11" w:name="_Toc440462596"/>
      <w:bookmarkStart w:id="12" w:name="DQCErrorScope24C22A1B7BB04458A5043DFF861"/>
      <w:bookmarkEnd w:id="9"/>
      <w:r>
        <w:rPr>
          <w:rFonts w:hint="eastAsia"/>
          <w:noProof/>
        </w:rPr>
        <w:t xml:space="preserve">EURÓPAI </w:t>
      </w:r>
      <w:r>
        <w:rPr>
          <w:noProof/>
        </w:rPr>
        <w:t>REPÜLÉS</w:t>
      </w:r>
      <w:r>
        <w:rPr>
          <w:rFonts w:hint="eastAsia"/>
          <w:noProof/>
        </w:rPr>
        <w:t xml:space="preserve">BIZTONSÁGI POLITIKÁK </w:t>
      </w:r>
      <w:r>
        <w:rPr>
          <w:noProof/>
        </w:rPr>
        <w:t>ÉS CÉLOK</w:t>
      </w:r>
      <w:bookmarkEnd w:id="10"/>
      <w:bookmarkEnd w:id="11"/>
    </w:p>
    <w:p>
      <w:pPr>
        <w:pStyle w:val="Heading2"/>
        <w:keepLines w:val="0"/>
        <w:numPr>
          <w:ilvl w:val="1"/>
          <w:numId w:val="11"/>
        </w:numPr>
        <w:rPr>
          <w:rFonts w:hint="eastAsia"/>
          <w:noProof/>
        </w:rPr>
      </w:pPr>
      <w:bookmarkStart w:id="13" w:name="_Toc419993089"/>
      <w:bookmarkStart w:id="14" w:name="_Toc419993245"/>
      <w:bookmarkStart w:id="15" w:name="_Toc419995267"/>
      <w:bookmarkStart w:id="16" w:name="_Toc420049136"/>
      <w:bookmarkStart w:id="17" w:name="_Toc434321934"/>
      <w:bookmarkStart w:id="18" w:name="_Toc440462597"/>
      <w:bookmarkEnd w:id="12"/>
      <w:bookmarkEnd w:id="13"/>
      <w:bookmarkEnd w:id="14"/>
      <w:bookmarkEnd w:id="15"/>
      <w:bookmarkEnd w:id="16"/>
      <w:r>
        <w:rPr>
          <w:noProof/>
        </w:rPr>
        <w:t>Az európai repülésbiztonsági politika</w:t>
      </w:r>
      <w:bookmarkEnd w:id="17"/>
      <w:bookmarkEnd w:id="18"/>
    </w:p>
    <w:p>
      <w:pPr>
        <w:rPr>
          <w:noProof/>
        </w:rPr>
      </w:pPr>
      <w:r>
        <w:rPr>
          <w:noProof/>
        </w:rPr>
        <w:t>Az európai repülésbiztonsági politika egy olyan jogszabály- és folyamatcsoport, amelyek az Európai Unióban a repülésbiztonság magas szintjét szavatolják. A szakpolitika olyan harmonizált szabályokat mozdít elő, amelyek megkönnyítik a polgári repülésben részt vevő termékek, szolgáltatások és személyek szabad mozgását.</w:t>
      </w:r>
    </w:p>
    <w:p>
      <w:pPr>
        <w:rPr>
          <w:noProof/>
        </w:rPr>
      </w:pPr>
      <w:r>
        <w:rPr>
          <w:noProof/>
        </w:rPr>
        <w:t>Az európai repülésbiztonsági politika célja annak szavatolása, hogy az Európai Unióban a repülésbiztonság menedzselését alkotó szabályok és folyamatok a teljes Unióban egységesen élvezhető, a lehető legmagasabb szintű, folyamatosan javuló repülésbiztonsági teljesítményt nyújtsanak, miközben más releváns (például környezetvédelmi) célkitűzéseket is figyelembe vesz. Az ilyen magas szintű repülésbiztonsági teljesítmény elérésében az Európai Uniót a tagállamok támogatják, amelyek nemzeti repülésbiztonsági politikái az európai repülésbiztonsági politika átfogó céljainak eléréséhez is hozzájárulnak.</w:t>
      </w:r>
    </w:p>
    <w:p>
      <w:pPr>
        <w:rPr>
          <w:noProof/>
        </w:rPr>
      </w:pPr>
      <w:r>
        <w:rPr>
          <w:noProof/>
        </w:rPr>
        <w:t>A repülésbiztonsági rendszer alapja az Európai Bizottság, az Európai Repülésbiztonsági Ügynökség (a továbbiakban: EASA vagy ügynökség), a tagállamok, valamint az európai repülési piacon működő ágazat szoros együttműködése.</w:t>
      </w:r>
    </w:p>
    <w:p>
      <w:pPr>
        <w:rPr>
          <w:noProof/>
        </w:rPr>
      </w:pPr>
      <w:r>
        <w:rPr>
          <w:noProof/>
        </w:rPr>
        <w:t>Az európai polgárok és az utazóközönség magas és egységes szintű védelme jórészt közös repülésbiztonsági szabályok elfogadásán és olyan intézkedéseken múlik, amelyek arról gondoskodnak, hogy az EU-ban a termékek, a személyek és a szervezetek</w:t>
      </w:r>
      <w:r>
        <w:rPr>
          <w:rStyle w:val="FootnoteReference"/>
          <w:noProof/>
        </w:rPr>
        <w:footnoteReference w:id="2"/>
      </w:r>
      <w:r>
        <w:rPr>
          <w:noProof/>
        </w:rPr>
        <w:t xml:space="preserve"> teljesítsék ezeket a szabályokat.</w:t>
      </w:r>
    </w:p>
    <w:p>
      <w:pPr>
        <w:rPr>
          <w:noProof/>
        </w:rPr>
      </w:pPr>
      <w:r>
        <w:rPr>
          <w:noProof/>
        </w:rPr>
        <w:t>A rendszert kiegészíti a balesetek és a repülőesemények alapos kivizsgálása, amivel azonosíthatók a biztonsági rések, és a rések megszüntetése érdekében lépésekre kerül sor. Az európai repülésbiztonsági politika olyan proaktívabb és tényeken alapuló elemek alkalmazását is tartalmazza, amelyek célja a biztonságra legnagyobb veszélyt jelentő kockázatok feltárása, és a csökkentésükre irányuló intézkedések megtétele.</w:t>
      </w:r>
    </w:p>
    <w:p>
      <w:pPr>
        <w:pStyle w:val="Heading2"/>
        <w:keepLines w:val="0"/>
        <w:numPr>
          <w:ilvl w:val="1"/>
          <w:numId w:val="11"/>
        </w:numPr>
        <w:rPr>
          <w:rFonts w:hint="eastAsia"/>
          <w:noProof/>
        </w:rPr>
      </w:pPr>
      <w:bookmarkStart w:id="19" w:name="_Toc434321935"/>
      <w:bookmarkStart w:id="20" w:name="_Toc440462598"/>
      <w:r>
        <w:rPr>
          <w:noProof/>
        </w:rPr>
        <w:t>Az európai repülésbiztonsági jogszabályi keret</w:t>
      </w:r>
      <w:bookmarkEnd w:id="19"/>
      <w:bookmarkEnd w:id="20"/>
    </w:p>
    <w:p>
      <w:pPr>
        <w:pStyle w:val="Heading3"/>
        <w:keepLines w:val="0"/>
        <w:numPr>
          <w:ilvl w:val="2"/>
          <w:numId w:val="11"/>
        </w:numPr>
        <w:spacing w:before="240" w:after="240"/>
        <w:rPr>
          <w:noProof/>
        </w:rPr>
      </w:pPr>
      <w:bookmarkStart w:id="21" w:name="_Toc419993092"/>
      <w:bookmarkStart w:id="22" w:name="_Toc419993248"/>
      <w:bookmarkStart w:id="23" w:name="_Toc419995270"/>
      <w:bookmarkStart w:id="24" w:name="_Toc420049139"/>
      <w:bookmarkStart w:id="25" w:name="_Toc419993093"/>
      <w:bookmarkStart w:id="26" w:name="_Toc419993249"/>
      <w:bookmarkStart w:id="27" w:name="_Toc419995271"/>
      <w:bookmarkStart w:id="28" w:name="_Toc420049140"/>
      <w:bookmarkStart w:id="29" w:name="_Toc419993094"/>
      <w:bookmarkStart w:id="30" w:name="_Toc419993250"/>
      <w:bookmarkStart w:id="31" w:name="_Toc419995272"/>
      <w:bookmarkStart w:id="32" w:name="_Toc420049141"/>
      <w:bookmarkStart w:id="33" w:name="_Toc419993095"/>
      <w:bookmarkStart w:id="34" w:name="_Toc419993251"/>
      <w:bookmarkStart w:id="35" w:name="_Toc419995273"/>
      <w:bookmarkStart w:id="36" w:name="_Toc420049142"/>
      <w:bookmarkStart w:id="37" w:name="_Toc419993096"/>
      <w:bookmarkStart w:id="38" w:name="_Toc419993252"/>
      <w:bookmarkStart w:id="39" w:name="_Toc419995274"/>
      <w:bookmarkStart w:id="40" w:name="_Toc420049143"/>
      <w:bookmarkStart w:id="41" w:name="_Toc419993097"/>
      <w:bookmarkStart w:id="42" w:name="_Toc419993253"/>
      <w:bookmarkStart w:id="43" w:name="_Toc419995275"/>
      <w:bookmarkStart w:id="44" w:name="_Toc420049144"/>
      <w:bookmarkStart w:id="45" w:name="_Toc419993098"/>
      <w:bookmarkStart w:id="46" w:name="_Toc419993254"/>
      <w:bookmarkStart w:id="47" w:name="_Toc419995276"/>
      <w:bookmarkStart w:id="48" w:name="_Toc420049145"/>
      <w:bookmarkStart w:id="49" w:name="_Toc434321936"/>
      <w:bookmarkStart w:id="50" w:name="_Toc44046259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noProof/>
        </w:rPr>
        <w:t>Az európai repülésbiztonsági jogszabályi keret szerkezete</w:t>
      </w:r>
      <w:bookmarkEnd w:id="49"/>
      <w:bookmarkEnd w:id="50"/>
    </w:p>
    <w:p>
      <w:pPr>
        <w:rPr>
          <w:noProof/>
        </w:rPr>
      </w:pPr>
      <w:r>
        <w:rPr>
          <w:noProof/>
        </w:rPr>
        <w:t>Az Európai Unió működéséről szóló szerződés 4. cikke (2) bekezdésének g) pontja kimondja, hogy a közlekedésre az Európai Unió és a tagállamok közötti megosztott hatáskör alkalmazandó. A Szerződés 100. cikkének (2) bekezdése továbbá lehetővé teszi, hogy a Bizottság javaslatára az Európai Parlament és a Tanács megfelelő rendelkezéseket állapítson meg a légi közlekedésre vonatkozóan.</w:t>
      </w:r>
    </w:p>
    <w:p>
      <w:pPr>
        <w:rPr>
          <w:noProof/>
        </w:rPr>
      </w:pPr>
      <w:r>
        <w:rPr>
          <w:noProof/>
        </w:rPr>
        <w:t>Ezért a repülésbiztonság területén meglévő jogszabályi követelmények – európai jogszabályok elfogadásával – európai szinten is meghatározhatók.</w:t>
      </w:r>
    </w:p>
    <w:p>
      <w:pPr>
        <w:rPr>
          <w:noProof/>
        </w:rPr>
      </w:pPr>
      <w:r>
        <w:rPr>
          <w:noProof/>
        </w:rPr>
        <w:t>Az európai polgári repülésbiztonsági jogszabályi keret európai parlamenti és tanácsi rendeletekből áll, amelyeket adott esetben bizottsági végrehajtási rendeletek egészítenek ki. A jogszabályok végrehajtásuk és eredményességük értékelésére szolgáló – esetlegesen felülvizsgálatukat eredményező – mechanizmusokat is tartalmaznak.</w:t>
      </w:r>
    </w:p>
    <w:p>
      <w:pPr>
        <w:rPr>
          <w:noProof/>
        </w:rPr>
      </w:pPr>
      <w:r>
        <w:rPr>
          <w:noProof/>
        </w:rPr>
        <w:t>Az alábbi ábra összefoglalja az Európai Unió szintjén elfogadott, alkalmazandó repülésbiztonsági jogszabályokat.</w:t>
      </w:r>
    </w:p>
    <w:p>
      <w:pPr>
        <w:spacing w:after="240"/>
        <w:rPr>
          <w:i/>
          <w:noProof/>
        </w:rPr>
      </w:pPr>
      <w:r>
        <w:rPr>
          <w:i/>
          <w:noProof/>
        </w:rPr>
        <w:t>1. ábra Alkalmazandó európai uniós repülésbiztonsági jogszabályok</w:t>
      </w:r>
    </w:p>
    <w:p>
      <w:pPr>
        <w:rPr>
          <w:noProof/>
        </w:rPr>
      </w:pPr>
      <w:r>
        <w:rPr>
          <w:noProof/>
          <w:lang w:val="en-US" w:eastAsia="en-US" w:bidi="ar-SA"/>
        </w:rPr>
        <w:drawing>
          <wp:inline distT="0" distB="0" distL="0" distR="0">
            <wp:extent cx="5460521" cy="7289321"/>
            <wp:effectExtent l="0" t="38100" r="0" b="450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pPr>
        <w:ind w:left="720"/>
        <w:rPr>
          <w:noProof/>
        </w:rPr>
      </w:pPr>
      <w:r>
        <w:rPr>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523240</wp:posOffset>
                </wp:positionH>
                <wp:positionV relativeFrom="paragraph">
                  <wp:posOffset>23799</wp:posOffset>
                </wp:positionV>
                <wp:extent cx="284672" cy="155275"/>
                <wp:effectExtent l="0" t="0" r="20320" b="16510"/>
                <wp:wrapNone/>
                <wp:docPr id="2" name="Rectangle 2"/>
                <wp:cNvGraphicFramePr/>
                <a:graphic xmlns:a="http://schemas.openxmlformats.org/drawingml/2006/main">
                  <a:graphicData uri="http://schemas.microsoft.com/office/word/2010/wordprocessingShape">
                    <wps:wsp>
                      <wps:cNvSpPr/>
                      <wps:spPr>
                        <a:xfrm>
                          <a:off x="0" y="0"/>
                          <a:ext cx="284672" cy="15527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xmlns:o="urn:schemas-microsoft-com:office:office" xmlns:v="urn:schemas-microsoft-com:vml" id="Rectangle 2" o:spid="_x0000_s1026" style="position:absolute;margin-left:41.2pt;margin-top:1.85pt;width:22.4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" fillcolor="#c0504d [3205]" strokecolor="#622423 [1605]" strokeweight="2pt"/>
            </w:pict>
          </mc:Fallback>
        </mc:AlternateContent>
      </w:r>
      <w:r>
        <w:rPr>
          <w:noProof/>
        </w:rPr>
        <w:tab/>
        <w:t>európai parlamenti és tanácsi rendelet</w:t>
      </w:r>
    </w:p>
    <w:p>
      <w:pPr>
        <w:ind w:left="720"/>
        <w:rPr>
          <w:noProof/>
        </w:rPr>
      </w:pPr>
      <w:r>
        <w:rPr>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524510</wp:posOffset>
                </wp:positionH>
                <wp:positionV relativeFrom="paragraph">
                  <wp:posOffset>17449</wp:posOffset>
                </wp:positionV>
                <wp:extent cx="284480" cy="154940"/>
                <wp:effectExtent l="0" t="0" r="20320" b="16510"/>
                <wp:wrapNone/>
                <wp:docPr id="3" name="Rectangle 3"/>
                <wp:cNvGraphicFramePr/>
                <a:graphic xmlns:a="http://schemas.openxmlformats.org/drawingml/2006/main">
                  <a:graphicData uri="http://schemas.microsoft.com/office/word/2010/wordprocessingShape">
                    <wps:wsp>
                      <wps:cNvSpPr/>
                      <wps:spPr>
                        <a:xfrm>
                          <a:off x="0" y="0"/>
                          <a:ext cx="284480" cy="154940"/>
                        </a:xfrm>
                        <a:prstGeom prst="rect">
                          <a:avLst/>
                        </a:prstGeom>
                        <a:solidFill>
                          <a:schemeClr val="accent4">
                            <a:lumMod val="75000"/>
                          </a:schemeClr>
                        </a:solidFill>
                        <a:ln w="25400" cap="flat" cmpd="sng" algn="ctr">
                          <a:solidFill>
                            <a:schemeClr val="accent4">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xmlns:o="urn:schemas-microsoft-com:office:office" xmlns:v="urn:schemas-microsoft-com:vml" id="Rectangle 3" o:spid="_x0000_s1026" style="position:absolute;margin-left:41.3pt;margin-top:1.35pt;width:22.4pt;height:1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" fillcolor="#5f497a [2407]" strokecolor="#5f497a [2407]" strokeweight="2pt"/>
            </w:pict>
          </mc:Fallback>
        </mc:AlternateContent>
      </w:r>
      <w:r>
        <w:rPr>
          <w:noProof/>
        </w:rPr>
        <w:tab/>
        <w:t>bizottsági rendelet</w:t>
      </w:r>
    </w:p>
    <w:p>
      <w:pPr>
        <w:rPr>
          <w:noProof/>
        </w:rPr>
      </w:pPr>
      <w:r>
        <w:rPr>
          <w:noProof/>
        </w:rPr>
        <w:t xml:space="preserve">Az alkalmazandó európai repülésbiztonsági jogszabályok részletesen az EUR-Lex weboldalon vannak felsorolva, az uniós jogszabályok jegyzékénél a </w:t>
      </w:r>
      <w:hyperlink r:id="rId21">
        <w:r>
          <w:rPr>
            <w:rStyle w:val="Hyperlink"/>
            <w:noProof/>
          </w:rPr>
          <w:t>07.40.30 fejezetben</w:t>
        </w:r>
      </w:hyperlink>
      <w:r>
        <w:rPr>
          <w:rStyle w:val="FootnoteReference"/>
          <w:noProof/>
          <w:color w:val="0000FF"/>
          <w:u w:val="single"/>
        </w:rPr>
        <w:footnoteReference w:id="3"/>
      </w:r>
      <w:r>
        <w:rPr>
          <w:noProof/>
        </w:rPr>
        <w:t>.</w:t>
      </w:r>
    </w:p>
    <w:p>
      <w:pPr>
        <w:pStyle w:val="Heading3"/>
        <w:keepLines w:val="0"/>
        <w:numPr>
          <w:ilvl w:val="2"/>
          <w:numId w:val="11"/>
        </w:numPr>
        <w:spacing w:before="240" w:after="240"/>
        <w:rPr>
          <w:noProof/>
        </w:rPr>
      </w:pPr>
      <w:bookmarkStart w:id="51" w:name="_Toc434321937"/>
      <w:bookmarkStart w:id="52" w:name="_Toc440462600"/>
      <w:r>
        <w:rPr>
          <w:noProof/>
        </w:rPr>
        <w:t>A 216/2008/EK rendelet és a kapcsolódó szabályok</w:t>
      </w:r>
      <w:bookmarkEnd w:id="51"/>
      <w:bookmarkEnd w:id="52"/>
    </w:p>
    <w:p>
      <w:pPr>
        <w:pStyle w:val="Heading4"/>
        <w:keepLines w:val="0"/>
        <w:numPr>
          <w:ilvl w:val="3"/>
          <w:numId w:val="11"/>
        </w:numPr>
        <w:spacing w:before="240" w:after="240"/>
        <w:rPr>
          <w:noProof/>
        </w:rPr>
      </w:pPr>
      <w:r>
        <w:rPr>
          <w:noProof/>
        </w:rPr>
        <w:t>A jogi követelmények:</w:t>
      </w:r>
    </w:p>
    <w:p>
      <w:pPr>
        <w:rPr>
          <w:noProof/>
        </w:rPr>
      </w:pPr>
      <w:r>
        <w:rPr>
          <w:noProof/>
        </w:rPr>
        <w:t>Az európai uniós repülésbiztonsági rendszer alapköve a 216/2008/EK rendelet</w:t>
      </w:r>
      <w:r>
        <w:rPr>
          <w:rStyle w:val="FootnoteReference"/>
          <w:noProof/>
        </w:rPr>
        <w:footnoteReference w:id="4"/>
      </w:r>
      <w:r>
        <w:rPr>
          <w:noProof/>
        </w:rPr>
        <w:t>. Célja a polgári repülés területén közös szabályok létrehozásával a polgári repülésbiztonság egységesen magas szintjének létrehozása és fenntartása Európában. Lehetővé teszi a bizonyítványok kölcsönös elismerését, bevezet egy szabványosítási vizsgálati folyamatot a szabályok tagállamok általi alkalmazásának figyelemmel kísérésére és létrehozza az Európai Repülésbiztonsági Ügynökséget.</w:t>
      </w:r>
    </w:p>
    <w:p>
      <w:pPr>
        <w:rPr>
          <w:noProof/>
        </w:rPr>
      </w:pPr>
      <w:r>
        <w:rPr>
          <w:noProof/>
        </w:rPr>
        <w:t>A 216/2008/EK rendelet olyan „alapvető követelményeket” határoz meg, amelyek a rendelet céljának elérése érdekében magas szintű célokat és kötelezettségeket szabnak a hatóságok, a személyek és a szervezetek tekintetében. Az alapvető követelmények a Chicagói Egyezmény mellékleteiben meghatározott szabványokat és ajánlott gyakorlatokat hajtják végre. Ezek a következőkre vonatkoznak: repüléstechnikai termékek, alkatrészek és berendezések, légi közlekedésben részt vevő üzemben tartók, pilóták és az képzésükben és egészségügyi értékelésükben részt vevő személyek, termékek és szervezetek, továbbá repülőterek, valamint az EU szerződés hatálya alá eső területen biztosított légiforgalmi szolgáltatások és léginavigációs szolgálatok (ATM/ANS).</w:t>
      </w:r>
    </w:p>
    <w:p>
      <w:pPr>
        <w:rPr>
          <w:noProof/>
        </w:rPr>
      </w:pPr>
      <w:r>
        <w:rPr>
          <w:noProof/>
        </w:rPr>
        <w:t>A 216/2008/EK rendelet alkalmazásában az Európai Bizottság végrehajtási rendeleteket fogadott el, amelyek részben megtalálhatók az 1.2.1. szakaszban lévő ábrán.</w:t>
      </w:r>
    </w:p>
    <w:p>
      <w:pPr>
        <w:autoSpaceDE w:val="0"/>
        <w:autoSpaceDN w:val="0"/>
        <w:adjustRightInd w:val="0"/>
        <w:rPr>
          <w:noProof/>
        </w:rPr>
      </w:pPr>
      <w:r>
        <w:rPr>
          <w:noProof/>
        </w:rPr>
        <w:t>Mindezek a szabályok közvetlenül alkalmazandók a tagállamokban, és nem igényelnek nemzeti átültetési intézkedéseket.</w:t>
      </w:r>
    </w:p>
    <w:p>
      <w:pPr>
        <w:rPr>
          <w:noProof/>
        </w:rPr>
      </w:pPr>
      <w:r>
        <w:rPr>
          <w:noProof/>
        </w:rPr>
        <w:t>Az Európai Unióban az európai jogszabályok alkalmazása elsődlegesen a tagállamok feladata. Így a 216/2008/EK rendelet és végrehajtási szabályai által előírt tanúsítási és felügyeleti feladatok többségét nemzeti szinten az illetékes nemzeti hatóságoknak kell elvégezniük. Egyes jól meghatározott esetekben azonban az EASA az illetékes hatóság, és fel van hatalmazva tanúsítványok kiállítására és a kapcsolódó végrehajtási intézkedések megtételére.</w:t>
      </w:r>
    </w:p>
    <w:p>
      <w:pPr>
        <w:pStyle w:val="Heading4"/>
        <w:keepLines w:val="0"/>
        <w:numPr>
          <w:ilvl w:val="3"/>
          <w:numId w:val="11"/>
        </w:numPr>
        <w:spacing w:before="240" w:after="240"/>
        <w:rPr>
          <w:noProof/>
        </w:rPr>
      </w:pPr>
      <w:r>
        <w:rPr>
          <w:noProof/>
        </w:rPr>
        <w:t>Az ügynökség intézkedései</w:t>
      </w:r>
    </w:p>
    <w:p>
      <w:pPr>
        <w:autoSpaceDE w:val="0"/>
        <w:autoSpaceDN w:val="0"/>
        <w:adjustRightInd w:val="0"/>
        <w:rPr>
          <w:noProof/>
        </w:rPr>
      </w:pPr>
      <w:r>
        <w:rPr>
          <w:noProof/>
        </w:rPr>
        <w:t>A 216/2008/EK rendelet és végrehajtási rendeleteinek végrehajtását adott esetben légi alkalmassági alapkövetelmények (Certification Specifications, CS), a megfelelés elfogadható módozatai (Acceptable Means of Compliance, AMC) és útmutató dokumentumok (Guidance Material, GM) támogatják.</w:t>
      </w:r>
    </w:p>
    <w:p>
      <w:pPr>
        <w:autoSpaceDE w:val="0"/>
        <w:autoSpaceDN w:val="0"/>
        <w:adjustRightInd w:val="0"/>
        <w:rPr>
          <w:noProof/>
        </w:rPr>
      </w:pPr>
      <w:r>
        <w:rPr>
          <w:noProof/>
        </w:rPr>
        <w:t>A légi alkalmassági alapkövetelmények (CS) az ügynökség által elfogadott olyan nem kötelező műszaki előírások, amelyek a 216/2008/EK rendeletnek és végrehajtási szabályainak való megfelelés igazolására szolgálnak, és amelyeket a szervezetek tanúsítási célra használhatnak.</w:t>
      </w:r>
    </w:p>
    <w:p>
      <w:pPr>
        <w:autoSpaceDE w:val="0"/>
        <w:autoSpaceDN w:val="0"/>
        <w:adjustRightInd w:val="0"/>
        <w:rPr>
          <w:noProof/>
        </w:rPr>
      </w:pPr>
      <w:r>
        <w:rPr>
          <w:noProof/>
        </w:rPr>
        <w:t>A megfelelés elfogadható módozatai (AMC) az ügynökség által elfogadott olyan nem kötelező előírások, amelyeket személyek vagy szervezetek a 216/2008/EK rendeletnek és végrehajtási szabályainak vagy a légi alkalmassági alapkövetelményeknek való megfelelés igazolására használhatnak. Ha az AMC-k teljesülnek, akkor úgy tekinthető, hogy a végrehajtási szabályok vagy a légi alkalmassági alapkövetelmények is teljesülnek.</w:t>
      </w:r>
    </w:p>
    <w:p>
      <w:pPr>
        <w:autoSpaceDE w:val="0"/>
        <w:autoSpaceDN w:val="0"/>
        <w:adjustRightInd w:val="0"/>
        <w:rPr>
          <w:noProof/>
        </w:rPr>
      </w:pPr>
      <w:r>
        <w:rPr>
          <w:noProof/>
        </w:rPr>
        <w:t>Az útmutató dokumentum az ügynökség által kifejlesztett olyan anyag, amely egy követelmény vagy egy előírás jelentésének szemléltetését segíti, és a 216/2008/EK rendelet és végrehajtási szabályai, a CS-ek és az AMC-k gyakorlati végrehajtásának támogatására használható.</w:t>
      </w:r>
    </w:p>
    <w:p>
      <w:pPr>
        <w:pStyle w:val="Heading4"/>
        <w:keepLines w:val="0"/>
        <w:numPr>
          <w:ilvl w:val="3"/>
          <w:numId w:val="11"/>
        </w:numPr>
        <w:spacing w:before="240" w:after="240"/>
        <w:rPr>
          <w:noProof/>
        </w:rPr>
      </w:pPr>
      <w:r>
        <w:rPr>
          <w:noProof/>
        </w:rPr>
        <w:t>Rugalmassági rendelkezések</w:t>
      </w:r>
    </w:p>
    <w:p>
      <w:pPr>
        <w:rPr>
          <w:noProof/>
        </w:rPr>
      </w:pPr>
      <w:r>
        <w:rPr>
          <w:noProof/>
        </w:rPr>
        <w:t>Mivel a repülés összetett tevékenység, a szabályok nem terjedhetnek ki minden helyzetre, ezért – a megfelelő repülésbiztonsági szint fenntartása mellett – a tevékenységek elvégzéséhez szükség van bizonyos mértékű rugalmasságra.</w:t>
      </w:r>
    </w:p>
    <w:p>
      <w:pPr>
        <w:rPr>
          <w:noProof/>
        </w:rPr>
      </w:pPr>
      <w:r>
        <w:rPr>
          <w:noProof/>
        </w:rPr>
        <w:t>Ebből a célból a 216/2008/EK rendelet rugalmassági előírásokat tartalmaz, amelyeket lehetővé teszik a tagállamoknak, hogy</w:t>
      </w:r>
    </w:p>
    <w:p>
      <w:pPr>
        <w:numPr>
          <w:ilvl w:val="0"/>
          <w:numId w:val="32"/>
        </w:numPr>
        <w:rPr>
          <w:noProof/>
        </w:rPr>
      </w:pPr>
      <w:r>
        <w:rPr>
          <w:noProof/>
        </w:rPr>
        <w:t>egy biztonsági probléma kezelése érdekében azonnali intézkedéseket tegyenek,</w:t>
      </w:r>
    </w:p>
    <w:p>
      <w:pPr>
        <w:numPr>
          <w:ilvl w:val="0"/>
          <w:numId w:val="32"/>
        </w:numPr>
        <w:rPr>
          <w:noProof/>
        </w:rPr>
      </w:pPr>
      <w:r>
        <w:rPr>
          <w:noProof/>
        </w:rPr>
        <w:t>előre nem látható sürgős üzemelési körülmény vagy korlátozott időtartamú üzemeltetési szükséglet esetére mentességeket adjanak,</w:t>
      </w:r>
    </w:p>
    <w:p>
      <w:pPr>
        <w:numPr>
          <w:ilvl w:val="0"/>
          <w:numId w:val="32"/>
        </w:numPr>
        <w:rPr>
          <w:noProof/>
        </w:rPr>
      </w:pPr>
      <w:r>
        <w:rPr>
          <w:noProof/>
        </w:rPr>
        <w:t>a 216/2008/EK rendelet végrehajtási szabályaiban meghatározott rendelkezésektől eltérést engedélyezzenek, ha azonos szintű repülésbiztonság elérhető.</w:t>
      </w:r>
    </w:p>
    <w:p>
      <w:pPr>
        <w:rPr>
          <w:noProof/>
        </w:rPr>
      </w:pPr>
      <w:r>
        <w:rPr>
          <w:noProof/>
        </w:rPr>
        <w:t>A meghozott intézkedések típusától függően ezeket be kell jelenteni az EASA-nak, az Európai Bizottságnak és a többi tagállamnak. A legtöbb esetben az EASA feladata, hogy elbírálja a bejelentéseket és azok alapján ajánlást fogalmazzon meg a Bizottságnak, amely – a repülésbiztonság egységes és magas szintjének és a belső piac helyes működésének biztosítása érdekében – elfogadja a végső határozatot.</w:t>
      </w:r>
    </w:p>
    <w:p>
      <w:pPr>
        <w:autoSpaceDE w:val="0"/>
        <w:autoSpaceDN w:val="0"/>
        <w:adjustRightInd w:val="0"/>
        <w:rPr>
          <w:noProof/>
        </w:rPr>
      </w:pPr>
      <w:r>
        <w:rPr>
          <w:noProof/>
        </w:rPr>
        <w:t>A tagállamok által a rugalmassági előírások alapján meghozott vagy javasolt rugalmassági intézkedések vizsgálatakor nem csupán azt kell értékelni, hogy azok vagy a hozzájuk kapcsolódó feltételek repülésbiztonsági szempontból egyenértékűek-e azzal az intézkedéssel, amelytől eltérést jelentenek, hanem az eltérést alátámasztó indokokat is.</w:t>
      </w:r>
    </w:p>
    <w:p>
      <w:pPr>
        <w:pStyle w:val="Heading4"/>
        <w:keepLines w:val="0"/>
        <w:numPr>
          <w:ilvl w:val="3"/>
          <w:numId w:val="11"/>
        </w:numPr>
        <w:spacing w:before="240" w:after="240"/>
        <w:rPr>
          <w:noProof/>
        </w:rPr>
      </w:pPr>
      <w:r>
        <w:rPr>
          <w:noProof/>
        </w:rPr>
        <w:t>A 216/2008/EK rendelet és a kapcsolódó szabályok jellege</w:t>
      </w:r>
    </w:p>
    <w:p>
      <w:pPr>
        <w:autoSpaceDE w:val="0"/>
        <w:autoSpaceDN w:val="0"/>
        <w:adjustRightInd w:val="0"/>
        <w:rPr>
          <w:noProof/>
        </w:rPr>
      </w:pPr>
      <w:r>
        <w:rPr>
          <w:noProof/>
        </w:rPr>
        <w:t>A 216/2008/EK rendeletben és végrehajtási rendeleteiben a legtöbb jogi követelmény formája előíró jellegű – vagyis egy adott cél eléréséhez bizonyos eszközökre összpontosító – szabály. Ez az előíró megközelítés, amely máig is nemzetközi norma, tette lehetővé az EU számára, hogy elérje napjaink jó repülésbiztonsági teljesítményét. Ezenkívül az előíró szabályok jogbiztonságot teremtenek, és közvetlen megfelelőség-ellenőrzést tesznek lehetővé.</w:t>
      </w:r>
    </w:p>
    <w:p>
      <w:pPr>
        <w:autoSpaceDE w:val="0"/>
        <w:autoSpaceDN w:val="0"/>
        <w:adjustRightInd w:val="0"/>
        <w:rPr>
          <w:noProof/>
        </w:rPr>
      </w:pPr>
      <w:r>
        <w:rPr>
          <w:noProof/>
        </w:rPr>
        <w:t>A tapasztalat azonban mégis azt mutatja, hogy az előíró rendeleteknek való egyszerű megfelelés önmagában nem mindig garantálja a biztonságot, és talán nem tér ki kellő mértékben a repülés különböző területei közötti kockázatok kezelésére. Ráadásul a részletes előíró szabályok nem feltétlenül illeszkednek megfelelőn bizonyos ágazatok – például a kis- és középvállalkozások (kkv-k) vagy az általános célú repülés – szükségleteihez, mivel aránytalannak és túlzottan bonyolultnak tűnhetnek. A repülési ágazat bizonyos szegmenseiben az előíró szabályok lassíthatják a repülésbiztonság technológiai fejlesztését és a hatékonysági javítások bevezetését, mert nem az eredményre összpontosítanak, hanem konkrét módszereket és megoldásokat írnak elő, és nem hagynak túl sok teret a rugalmasságnak.</w:t>
      </w:r>
    </w:p>
    <w:p>
      <w:pPr>
        <w:autoSpaceDE w:val="0"/>
        <w:autoSpaceDN w:val="0"/>
        <w:adjustRightInd w:val="0"/>
        <w:rPr>
          <w:noProof/>
        </w:rPr>
      </w:pPr>
      <w:r>
        <w:rPr>
          <w:noProof/>
        </w:rPr>
        <w:t>Az Európai Unió ezért bizonyos konkrét esetekben elkezdett olyan jogi követelményeket elfogadni, amelyek az elvárt eredményre fókuszálnak, ennek elérési módjaihoz azonban rugalmasságot biztosítanak. Ilyen „teljesítményalapú szabályokat” fogadtak el a fáradtság kockázatának kezelése és a légi alkalmassági tervezési szabványok terén.</w:t>
      </w:r>
    </w:p>
    <w:p>
      <w:pPr>
        <w:autoSpaceDE w:val="0"/>
        <w:autoSpaceDN w:val="0"/>
        <w:adjustRightInd w:val="0"/>
        <w:rPr>
          <w:noProof/>
        </w:rPr>
      </w:pPr>
      <w:r>
        <w:rPr>
          <w:noProof/>
        </w:rPr>
        <w:t>Ezen túlmenően a hatóságok és a szervezetek javasolhatnak – a 216/2008/EK rendelethez és végrehajtási szabályaihoz képest – „alternatív megfelelési módozatokat” is. Ezek olyan módozatok, amelyek a meglévő AMC-khez képest alternatívát kínálnak, vagy – az ügynökség által elfogadott kapcsolódó AMC híján – új megfelelési módozatokat javasolnak. Rugalmasságot hagynak a szabályozott szervezeteknek, hogy a rendelet céljainak eléréséhez más módokat találjanak. Mindezt be kell mutatni és jóvá kell hagyatni.</w:t>
      </w:r>
    </w:p>
    <w:p>
      <w:pPr>
        <w:autoSpaceDE w:val="0"/>
        <w:autoSpaceDN w:val="0"/>
        <w:adjustRightInd w:val="0"/>
        <w:rPr>
          <w:noProof/>
        </w:rPr>
      </w:pPr>
      <w:r>
        <w:rPr>
          <w:noProof/>
        </w:rPr>
        <w:t>Az Európai Unió a jövőben várhatóan nagyobb mértékben fog használni teljesítményalapú jogi követelményeket, adott esetben vagy új jogszabályok elfogadásával vagy már meglévők módosításával.</w:t>
      </w:r>
    </w:p>
    <w:p>
      <w:pPr>
        <w:pStyle w:val="Heading3"/>
        <w:keepLines w:val="0"/>
        <w:numPr>
          <w:ilvl w:val="2"/>
          <w:numId w:val="11"/>
        </w:numPr>
        <w:spacing w:before="240" w:after="240"/>
        <w:rPr>
          <w:noProof/>
        </w:rPr>
      </w:pPr>
      <w:bookmarkStart w:id="53" w:name="_Toc434321938"/>
      <w:bookmarkStart w:id="54" w:name="_Toc440462601"/>
      <w:r>
        <w:rPr>
          <w:noProof/>
        </w:rPr>
        <w:t>Polgári repülési balesetek és repülőesemények vizsgálata</w:t>
      </w:r>
      <w:bookmarkEnd w:id="53"/>
      <w:bookmarkEnd w:id="54"/>
    </w:p>
    <w:p>
      <w:pPr>
        <w:rPr>
          <w:noProof/>
        </w:rPr>
      </w:pPr>
      <w:r>
        <w:rPr>
          <w:noProof/>
        </w:rPr>
        <w:t>A balesetek és repülőesemények vizsgálatára irányadó szabályok európai szinten, a 996/2010/EU rendeletben</w:t>
      </w:r>
      <w:r>
        <w:rPr>
          <w:rStyle w:val="FootnoteReference"/>
          <w:noProof/>
        </w:rPr>
        <w:footnoteReference w:id="5"/>
      </w:r>
      <w:r>
        <w:rPr>
          <w:noProof/>
        </w:rPr>
        <w:t xml:space="preserve"> vannak meghatározva. Ez biztosítja az európai polgári repülésbiztonsági eseményvizsgálatok magas szintű hatékonyságát, célszerűségét és minőségét, aminek kizárólagos célja a jövőbeni balesetek és repülőesemények megelőzése a vétkesség vagy a felelősség kérdésének tisztázása nélkül. A polgári eseményvizsgálatokat végző hatóságok európai hálózatának (ENCASIA) felállításával megerősíti továbbá az eseményvizsgálatokat végző hatóságok közötti együttműködést, és rendelkezéseket vezet be a biztonsági ajánlásoknak és a hozzájuk kapcsolódó válaszoknak egy uniós adatbázisban való tárolására.</w:t>
      </w:r>
    </w:p>
    <w:p>
      <w:pPr>
        <w:rPr>
          <w:i/>
          <w:noProof/>
        </w:rPr>
      </w:pPr>
      <w:r>
        <w:rPr>
          <w:noProof/>
        </w:rPr>
        <w:t xml:space="preserve">A baleset- és repülőesemény-vizsgálat európai uniós folyamatairól további információ található az </w:t>
      </w:r>
      <w:hyperlink w:anchor="_Accident_and_incident" w:history="1">
        <w:r>
          <w:rPr>
            <w:rStyle w:val="Hyperlink"/>
            <w:noProof/>
          </w:rPr>
          <w:t>1.4. szakaszban</w:t>
        </w:r>
      </w:hyperlink>
      <w:r>
        <w:rPr>
          <w:noProof/>
        </w:rPr>
        <w:t>.</w:t>
      </w:r>
    </w:p>
    <w:p>
      <w:pPr>
        <w:pStyle w:val="Heading3"/>
        <w:keepLines w:val="0"/>
        <w:numPr>
          <w:ilvl w:val="2"/>
          <w:numId w:val="11"/>
        </w:numPr>
        <w:spacing w:before="240" w:after="240"/>
        <w:rPr>
          <w:noProof/>
        </w:rPr>
      </w:pPr>
      <w:bookmarkStart w:id="55" w:name="_Toc434321939"/>
      <w:bookmarkStart w:id="56" w:name="_Toc440462602"/>
      <w:r>
        <w:rPr>
          <w:noProof/>
        </w:rPr>
        <w:t>Események jelentése, elemzése és nyomon követése a polgári repülésben</w:t>
      </w:r>
      <w:bookmarkEnd w:id="55"/>
      <w:bookmarkEnd w:id="56"/>
    </w:p>
    <w:p>
      <w:pPr>
        <w:rPr>
          <w:noProof/>
        </w:rPr>
      </w:pPr>
      <w:r>
        <w:rPr>
          <w:noProof/>
        </w:rPr>
        <w:t>Az események jelentésére, elemzésére és nyomon követésére vonatkozó szabályokat a 376/2014/EU rendelet</w:t>
      </w:r>
      <w:r>
        <w:rPr>
          <w:rStyle w:val="FootnoteReference"/>
          <w:noProof/>
        </w:rPr>
        <w:footnoteReference w:id="6"/>
      </w:r>
      <w:r>
        <w:rPr>
          <w:noProof/>
        </w:rPr>
        <w:t xml:space="preserve"> tartalmazza. A jogszabály által megállapított követelmények célja egy erős jelentéstételi kultúra létrehozása. Kötelezi az ágazatot, a tagállamokat és az EASA-t, hogy – repülésbiztonság-menedzselési folyamataik alátámasztására – gyűjtsék és elemezzék az eseményeket. Végül szavatolja, hogy az információk megfelelő védettségben részesüljenek, és a tagállamok és az EASA azokat megosszák egymással.</w:t>
      </w:r>
    </w:p>
    <w:p>
      <w:pPr>
        <w:rPr>
          <w:noProof/>
        </w:rPr>
      </w:pPr>
      <w:r>
        <w:rPr>
          <w:noProof/>
        </w:rPr>
        <w:t xml:space="preserve">Ezekről a szabályokról további információ található a </w:t>
      </w:r>
      <w:hyperlink w:anchor="_Safety_Data_collection," w:history="1">
        <w:r>
          <w:rPr>
            <w:rStyle w:val="Hyperlink"/>
            <w:noProof/>
          </w:rPr>
          <w:t>3.2. szakaszban</w:t>
        </w:r>
      </w:hyperlink>
      <w:r>
        <w:rPr>
          <w:noProof/>
        </w:rPr>
        <w:t>.</w:t>
      </w:r>
    </w:p>
    <w:p>
      <w:pPr>
        <w:pStyle w:val="Heading3"/>
        <w:keepLines w:val="0"/>
        <w:numPr>
          <w:ilvl w:val="2"/>
          <w:numId w:val="11"/>
        </w:numPr>
        <w:spacing w:before="240" w:after="240"/>
        <w:rPr>
          <w:noProof/>
        </w:rPr>
      </w:pPr>
      <w:bookmarkStart w:id="57" w:name="_Toc434321940"/>
      <w:bookmarkStart w:id="58" w:name="_Toc440462603"/>
      <w:r>
        <w:rPr>
          <w:noProof/>
        </w:rPr>
        <w:t>Az Európai Unión belül működési tilalom alá tartozó légi fuvarozók uniós listája</w:t>
      </w:r>
      <w:bookmarkEnd w:id="57"/>
      <w:bookmarkEnd w:id="58"/>
    </w:p>
    <w:p>
      <w:pPr>
        <w:rPr>
          <w:noProof/>
        </w:rPr>
      </w:pPr>
      <w:r>
        <w:rPr>
          <w:noProof/>
        </w:rPr>
        <w:t>A 2011/2005/EK rendelet</w:t>
      </w:r>
      <w:r>
        <w:rPr>
          <w:rStyle w:val="FootnoteReference"/>
          <w:noProof/>
        </w:rPr>
        <w:footnoteReference w:id="7"/>
      </w:r>
      <w:r>
        <w:rPr>
          <w:noProof/>
        </w:rPr>
        <w:t xml:space="preserve"> szabályokat állapít meg azon légi fuvarozók közös szempontokon alapuló uniós listájának megállapítására és közzétételére, amelyekkel szemben biztonsági okokból működési tilalom van érvényben az Unióban. E rendelet alapján fogadják el </w:t>
      </w:r>
      <w:hyperlink r:id="rId22">
        <w:r>
          <w:rPr>
            <w:rStyle w:val="Hyperlink"/>
            <w:noProof/>
          </w:rPr>
          <w:t>a működési tilalom alá tartozó légi fuvarozók listáját</w:t>
        </w:r>
      </w:hyperlink>
      <w:r>
        <w:rPr>
          <w:rStyle w:val="FootnoteReference"/>
          <w:noProof/>
        </w:rPr>
        <w:footnoteReference w:id="8"/>
      </w:r>
      <w:r>
        <w:rPr>
          <w:noProof/>
        </w:rPr>
        <w:t>, amely maga is egy rendelet, és az EU tagállamaiban így jogszabályértéke van. A betiltott légi fuvarozók listáját a 474/2006/EK bizottsági rendelet</w:t>
      </w:r>
      <w:r>
        <w:rPr>
          <w:rStyle w:val="FootnoteReference"/>
          <w:noProof/>
        </w:rPr>
        <w:footnoteReference w:id="9"/>
      </w:r>
      <w:r>
        <w:rPr>
          <w:noProof/>
        </w:rPr>
        <w:t xml:space="preserve"> hozta létre, és a lista rendszeresen frissül.</w:t>
      </w:r>
    </w:p>
    <w:p>
      <w:pPr>
        <w:rPr>
          <w:noProof/>
        </w:rPr>
      </w:pPr>
      <w:r>
        <w:rPr>
          <w:noProof/>
        </w:rPr>
        <w:t>A lista frissítésénél a Bizottságot a repülésbiztonsági bizottság segíti, amely az összes tagállam (továbbá Izland, Norvégia és Svájc) által küldött repülésbiztonsági technikai szakértőkből áll; elnökét a Bizottság adja. A Bizottság javaslata nyomán a repülésbiztonsági bizottság minősített többséggel fogadja el véleményét</w:t>
      </w:r>
      <w:r>
        <w:rPr>
          <w:rStyle w:val="FootnoteReference"/>
          <w:noProof/>
        </w:rPr>
        <w:footnoteReference w:id="10"/>
      </w:r>
      <w:r>
        <w:rPr>
          <w:noProof/>
        </w:rPr>
        <w:t>.</w:t>
      </w:r>
    </w:p>
    <w:p>
      <w:pPr>
        <w:rPr>
          <w:noProof/>
        </w:rPr>
      </w:pPr>
      <w:r>
        <w:rPr>
          <w:noProof/>
        </w:rPr>
        <w:t>A valamely fuvarozó (vagy egy adott országban tanúsítvánnyal rendelkező fuvarozócsoport) listára való felvételéről vagy onnan történő levételéről szóló határozatot a 2111/2005/EK rendeletben található repülésbiztonsági szempontok alapján fogadják el. Ezek a szempontok figyelembe veszik például a légi fuvarozónál fennálló biztonsági hiányosságokat, a biztonsági hiányosságok orvoslásához szükséges képesség és/vagy szándék légi fuvarozónál vagy a felügyeletéért felelős hatóságnál fennálló hiányát, a harmadik országok által bevezetett működési tilalmakat, a harmadik országok vagy nemzetközi szervezetek (ICAO) által készített ellenőrzési jelentéseket és a balesetekkel kapcsolatos, megfelelően alátámasztott információkat. Minden szempont nemzetközi repülésbiztonsági szabványokon alapul.</w:t>
      </w:r>
    </w:p>
    <w:p>
      <w:pPr>
        <w:pStyle w:val="Heading2"/>
        <w:keepLines w:val="0"/>
        <w:numPr>
          <w:ilvl w:val="1"/>
          <w:numId w:val="11"/>
        </w:numPr>
        <w:rPr>
          <w:rFonts w:hint="eastAsia"/>
          <w:noProof/>
        </w:rPr>
      </w:pPr>
      <w:bookmarkStart w:id="59" w:name="_Toc434321941"/>
      <w:bookmarkStart w:id="60" w:name="_Toc440462604"/>
      <w:r>
        <w:rPr>
          <w:noProof/>
        </w:rPr>
        <w:t>Repülésbiztonsági felelősség és elszámoltathatóság az Európai Unióban</w:t>
      </w:r>
      <w:bookmarkEnd w:id="59"/>
      <w:bookmarkEnd w:id="60"/>
    </w:p>
    <w:p>
      <w:pPr>
        <w:pStyle w:val="Heading3"/>
        <w:keepLines w:val="0"/>
        <w:numPr>
          <w:ilvl w:val="2"/>
          <w:numId w:val="11"/>
        </w:numPr>
        <w:spacing w:before="240" w:after="240"/>
        <w:rPr>
          <w:noProof/>
        </w:rPr>
      </w:pPr>
      <w:bookmarkStart w:id="61" w:name="_Decision_making_process"/>
      <w:bookmarkStart w:id="62" w:name="_Toc434321942"/>
      <w:bookmarkStart w:id="63" w:name="_Toc440462605"/>
      <w:bookmarkEnd w:id="61"/>
      <w:r>
        <w:rPr>
          <w:noProof/>
        </w:rPr>
        <w:t>Döntéshozatali folyamat az Európai Unióban</w:t>
      </w:r>
      <w:bookmarkEnd w:id="62"/>
      <w:bookmarkEnd w:id="63"/>
    </w:p>
    <w:p>
      <w:pPr>
        <w:rPr>
          <w:noProof/>
        </w:rPr>
      </w:pPr>
      <w:r>
        <w:rPr>
          <w:noProof/>
        </w:rPr>
        <w:t>Az Európai Unió működéséről szóló szerződés 100. cikkének (2) bekezdése lehetővé tesz egyebek mellett a légi közlekedés biztonságának javítására irányuló intézkedéseket, amelyeket az Európai Parlament és a Tanács fogadhat el rendes jogalkotási eljárás keretében, a Gazdasági és Szociális Bizottsággal és a Régiók Bizottságával folytatott konzultációt követően.</w:t>
      </w:r>
    </w:p>
    <w:p>
      <w:pPr>
        <w:rPr>
          <w:noProof/>
        </w:rPr>
      </w:pPr>
      <w:r>
        <w:rPr>
          <w:noProof/>
        </w:rPr>
        <w:t>Az ilyen jogszabályokra a kezdeményezési jogot birtokló Európai Bizottság tesz javaslatot, amelyet bemutat az Európai Parlamentnek és a Tanácsnak, amelyeket gyakran „társjogalkotóknak” is neveznek. Az európai polgárok által választott Európai Parlament és a tagállamok kormányainak képviselőiből álló Tanács – a Szerződések követelményeinek betartásával – módosíthat a Bizottság által javasolt szövegen. Az elfogadás végeredményben azt feltételezi, hogy a társjogalkotók megállapodtak az adott szövegben.</w:t>
      </w:r>
    </w:p>
    <w:p>
      <w:pPr>
        <w:rPr>
          <w:noProof/>
        </w:rPr>
      </w:pPr>
      <w:r>
        <w:rPr>
          <w:noProof/>
        </w:rPr>
        <w:t>Miután az Európai Parlament és a Tanács egyaránt jóváhagyta a végleges szöveget, azt a két intézmény elnöke és főtitkára közösen aláírja. Az aláírást követően a szövegeket kihirdetik a Hivatalos Lapban.</w:t>
      </w:r>
    </w:p>
    <w:p>
      <w:pPr>
        <w:rPr>
          <w:noProof/>
        </w:rPr>
      </w:pPr>
      <w:r>
        <w:rPr>
          <w:noProof/>
        </w:rPr>
        <w:t>A rendelet Hivatalos Lapban megjelent változatban meghatározott időponttól kezdve kötelező és közvetlenül alkalmazandó az egész EU-ban.</w:t>
      </w:r>
    </w:p>
    <w:p>
      <w:pPr>
        <w:rPr>
          <w:noProof/>
        </w:rPr>
      </w:pPr>
      <w:r>
        <w:rPr>
          <w:noProof/>
        </w:rPr>
        <w:t>A fenti eljárással elfogadott jogi aktusok felhatalmazáson alapuló és végrehajtási hatásköröket is ruházhatnak a Bizottságra. A Bizottságnak csak akkor van ilyen hatásköre, ha az alap-jogiaktus erről rendelkezik.</w:t>
      </w:r>
    </w:p>
    <w:p>
      <w:pPr>
        <w:rPr>
          <w:noProof/>
        </w:rPr>
      </w:pPr>
      <w:r>
        <w:rPr>
          <w:noProof/>
        </w:rPr>
        <w:t>A végrehajtási hatásköröknek általában feltétele, hogy a szabálytervezetet a Bizottság benyújtsa egy a tagállamok képviselőiből álló bizottságnak. Ez a bizottság véleményezi a Bizottság által javasolt intézkedéseket. Ezeknek a véleményeknek a hatása változó, a kérdéses jogi aktusban meghatározott konkrét eljárástól függ. A tagállamok által a bizottságok révén gyakorolt ellenőrzésen túlmenően a Bizottság végrehajtási hatáskörét az Európai Parlament és a Tanács is ellenőrizheti.</w:t>
      </w:r>
    </w:p>
    <w:p>
      <w:pPr>
        <w:rPr>
          <w:noProof/>
        </w:rPr>
      </w:pPr>
      <w:r>
        <w:rPr>
          <w:noProof/>
        </w:rPr>
        <w:t>A polgári repülésbiztonság terén három bizottság lehet érintett:</w:t>
      </w:r>
    </w:p>
    <w:p>
      <w:pPr>
        <w:numPr>
          <w:ilvl w:val="0"/>
          <w:numId w:val="4"/>
        </w:numPr>
        <w:rPr>
          <w:noProof/>
        </w:rPr>
      </w:pPr>
      <w:r>
        <w:rPr>
          <w:noProof/>
        </w:rPr>
        <w:t>az EASA-bizottság hatásköre, hogy a 216/2008/EK és a 376/2014/EK rendelethez kapcsolódó végrehajtási rendeletek tervezeteiről adjon véleményt,</w:t>
      </w:r>
    </w:p>
    <w:p>
      <w:pPr>
        <w:numPr>
          <w:ilvl w:val="0"/>
          <w:numId w:val="4"/>
        </w:numPr>
        <w:rPr>
          <w:noProof/>
        </w:rPr>
      </w:pPr>
      <w:r>
        <w:rPr>
          <w:noProof/>
        </w:rPr>
        <w:t>a repülésbiztonsági bizottság a 2111/2005/EK rendelet szerint tilalom alá tartozó légi fuvarozók listájának frissítésében vesz részt,</w:t>
      </w:r>
    </w:p>
    <w:p>
      <w:pPr>
        <w:numPr>
          <w:ilvl w:val="0"/>
          <w:numId w:val="4"/>
        </w:numPr>
        <w:rPr>
          <w:noProof/>
        </w:rPr>
      </w:pPr>
      <w:r>
        <w:rPr>
          <w:noProof/>
        </w:rPr>
        <w:t>az Egységes Égbolt Bizottság a légiforgalmi szolgáltatások (ATM) és a léginavigációs szolgálatok (ANS) terén rendelkezik hatáskörrel.</w:t>
      </w:r>
    </w:p>
    <w:p>
      <w:pPr>
        <w:rPr>
          <w:noProof/>
        </w:rPr>
      </w:pPr>
      <w:r>
        <w:rPr>
          <w:noProof/>
        </w:rPr>
        <w:t>Az Európai Unió működéséről szóló szerződés (290. cikk) arról is rendelkezik, hogy bizonyos esetekben felhatalmazás adható a Bizottság részére. Számos friss rendelet tartalmaz ilyen felhatalmazásokat, ezekkel azonban a Bizottság eddig nem élt.</w:t>
      </w:r>
    </w:p>
    <w:p>
      <w:pPr>
        <w:pStyle w:val="Heading3"/>
        <w:keepLines w:val="0"/>
        <w:numPr>
          <w:ilvl w:val="2"/>
          <w:numId w:val="11"/>
        </w:numPr>
        <w:spacing w:before="240" w:after="240"/>
        <w:rPr>
          <w:noProof/>
        </w:rPr>
      </w:pPr>
      <w:bookmarkStart w:id="64" w:name="_Toc434321943"/>
      <w:bookmarkStart w:id="65" w:name="_Toc440462606"/>
      <w:r>
        <w:rPr>
          <w:noProof/>
        </w:rPr>
        <w:t>Repülésbiztonsági hatáskörök és felelősségi körök az európai repülésbiztonsági rendszerben</w:t>
      </w:r>
      <w:bookmarkEnd w:id="64"/>
      <w:bookmarkEnd w:id="65"/>
    </w:p>
    <w:p>
      <w:pPr>
        <w:pStyle w:val="Heading4"/>
        <w:keepLines w:val="0"/>
        <w:numPr>
          <w:ilvl w:val="3"/>
          <w:numId w:val="11"/>
        </w:numPr>
        <w:spacing w:before="240" w:after="240"/>
        <w:rPr>
          <w:noProof/>
        </w:rPr>
      </w:pPr>
      <w:r>
        <w:rPr>
          <w:noProof/>
        </w:rPr>
        <w:t>Az európai repülésbiztonsági rendszer hatás- és felelősségi köreinek összefoglalása</w:t>
      </w:r>
    </w:p>
    <w:p>
      <w:pPr>
        <w:pStyle w:val="Heading4"/>
        <w:spacing w:before="100" w:after="240"/>
        <w:rPr>
          <w:i/>
          <w:noProof/>
        </w:rPr>
      </w:pPr>
      <w:r>
        <w:rPr>
          <w:i/>
          <w:noProof/>
        </w:rPr>
        <w:t>2. ábra Az uniós szabályok szerint illetékes hatóságok</w:t>
      </w:r>
    </w:p>
    <w:tbl>
      <w:tblPr>
        <w:tblW w:w="10195" w:type="dxa"/>
        <w:tblCellMar>
          <w:left w:w="0" w:type="dxa"/>
          <w:right w:w="0" w:type="dxa"/>
        </w:tblCellMar>
        <w:tblLook w:val="04A0" w:firstRow="1" w:lastRow="0" w:firstColumn="1" w:lastColumn="0" w:noHBand="0" w:noVBand="1"/>
      </w:tblPr>
      <w:tblGrid>
        <w:gridCol w:w="2355"/>
        <w:gridCol w:w="3920"/>
        <w:gridCol w:w="3920"/>
      </w:tblGrid>
      <w:tr>
        <w:tc>
          <w:tcPr>
            <w:tcW w:w="2355" w:type="dxa"/>
            <w:tcBorders>
              <w:top w:val="single" w:sz="18" w:space="0" w:color="auto"/>
              <w:left w:val="single" w:sz="18" w:space="0" w:color="auto"/>
              <w:bottom w:val="single" w:sz="18" w:space="0" w:color="auto"/>
            </w:tcBorders>
            <w:shd w:val="clear" w:color="auto" w:fill="4F81BD"/>
            <w:tcMar>
              <w:top w:w="0" w:type="dxa"/>
              <w:left w:w="108" w:type="dxa"/>
              <w:bottom w:w="0" w:type="dxa"/>
              <w:right w:w="108" w:type="dxa"/>
            </w:tcMar>
            <w:hideMark/>
          </w:tcPr>
          <w:p>
            <w:pPr>
              <w:spacing w:line="276" w:lineRule="auto"/>
              <w:jc w:val="center"/>
              <w:rPr>
                <w:rFonts w:ascii="Calibri" w:eastAsia="Calibri" w:hAnsi="Calibri" w:cs="Times New Roman"/>
                <w:b/>
                <w:bCs/>
                <w:noProof/>
                <w:color w:val="FFFFFF"/>
                <w:sz w:val="20"/>
                <w:szCs w:val="20"/>
              </w:rPr>
            </w:pPr>
            <w:r>
              <w:rPr>
                <w:rFonts w:ascii="Calibri" w:hAnsi="Calibri"/>
                <w:b/>
                <w:noProof/>
                <w:color w:val="FFFFFF"/>
                <w:sz w:val="20"/>
              </w:rPr>
              <w:t>ILLETÉKESSÉGI TERÜLET</w:t>
            </w:r>
          </w:p>
        </w:tc>
        <w:tc>
          <w:tcPr>
            <w:tcW w:w="3920" w:type="dxa"/>
            <w:tcBorders>
              <w:top w:val="single" w:sz="18" w:space="0" w:color="auto"/>
              <w:bottom w:val="single" w:sz="18" w:space="0" w:color="auto"/>
            </w:tcBorders>
            <w:shd w:val="clear" w:color="auto" w:fill="4F81BD"/>
            <w:tcMar>
              <w:top w:w="0" w:type="dxa"/>
              <w:left w:w="108" w:type="dxa"/>
              <w:bottom w:w="0" w:type="dxa"/>
              <w:right w:w="108" w:type="dxa"/>
            </w:tcMar>
            <w:hideMark/>
          </w:tcPr>
          <w:p>
            <w:pPr>
              <w:spacing w:line="276" w:lineRule="auto"/>
              <w:jc w:val="center"/>
              <w:rPr>
                <w:rFonts w:ascii="Calibri" w:eastAsia="Calibri" w:hAnsi="Calibri" w:cs="Times New Roman"/>
                <w:b/>
                <w:bCs/>
                <w:noProof/>
                <w:color w:val="FFFFFF"/>
                <w:sz w:val="20"/>
                <w:szCs w:val="20"/>
              </w:rPr>
            </w:pPr>
            <w:r>
              <w:rPr>
                <w:rFonts w:ascii="Calibri" w:hAnsi="Calibri"/>
                <w:b/>
                <w:noProof/>
                <w:color w:val="FFFFFF"/>
                <w:sz w:val="20"/>
              </w:rPr>
              <w:t>TAGÁLLAMOK</w:t>
            </w:r>
          </w:p>
        </w:tc>
        <w:tc>
          <w:tcPr>
            <w:tcW w:w="3920" w:type="dxa"/>
            <w:tcBorders>
              <w:top w:val="single" w:sz="18" w:space="0" w:color="auto"/>
              <w:bottom w:val="single" w:sz="18" w:space="0" w:color="auto"/>
              <w:right w:val="single" w:sz="18" w:space="0" w:color="auto"/>
            </w:tcBorders>
            <w:shd w:val="clear" w:color="auto" w:fill="4F81BD"/>
            <w:tcMar>
              <w:top w:w="0" w:type="dxa"/>
              <w:left w:w="108" w:type="dxa"/>
              <w:bottom w:w="0" w:type="dxa"/>
              <w:right w:w="108" w:type="dxa"/>
            </w:tcMar>
            <w:hideMark/>
          </w:tcPr>
          <w:p>
            <w:pPr>
              <w:spacing w:line="276" w:lineRule="auto"/>
              <w:jc w:val="center"/>
              <w:rPr>
                <w:rFonts w:ascii="Calibri" w:eastAsia="Calibri" w:hAnsi="Calibri" w:cs="Times New Roman"/>
                <w:b/>
                <w:bCs/>
                <w:noProof/>
                <w:color w:val="FFFFFF"/>
                <w:sz w:val="20"/>
                <w:szCs w:val="20"/>
              </w:rPr>
            </w:pPr>
            <w:r>
              <w:rPr>
                <w:rFonts w:ascii="Calibri" w:hAnsi="Calibri"/>
                <w:b/>
                <w:noProof/>
                <w:color w:val="FFFFFF"/>
                <w:sz w:val="20"/>
              </w:rPr>
              <w:t>Európai Repülésbiztonsági Ügynökség</w:t>
            </w:r>
          </w:p>
        </w:tc>
      </w:tr>
      <w:tr>
        <w:trPr>
          <w:trHeight w:val="371"/>
        </w:trPr>
        <w:tc>
          <w:tcPr>
            <w:tcW w:w="2355" w:type="dxa"/>
            <w:vMerge w:val="restart"/>
            <w:tcBorders>
              <w:top w:val="single" w:sz="18" w:space="0" w:color="auto"/>
              <w:left w:val="single" w:sz="18" w:space="0" w:color="auto"/>
            </w:tcBorders>
            <w:shd w:val="clear" w:color="auto" w:fill="4F81BD"/>
            <w:tcMar>
              <w:top w:w="0" w:type="dxa"/>
              <w:left w:w="108" w:type="dxa"/>
              <w:bottom w:w="0" w:type="dxa"/>
              <w:right w:w="108" w:type="dxa"/>
            </w:tcMar>
            <w:hideMark/>
          </w:tcPr>
          <w:p>
            <w:pPr>
              <w:spacing w:line="276" w:lineRule="auto"/>
              <w:jc w:val="left"/>
              <w:rPr>
                <w:rFonts w:ascii="Calibri" w:eastAsia="Calibri" w:hAnsi="Calibri" w:cs="Times New Roman"/>
                <w:b/>
                <w:bCs/>
                <w:noProof/>
                <w:color w:val="FFFFFF"/>
                <w:sz w:val="20"/>
                <w:szCs w:val="20"/>
              </w:rPr>
            </w:pPr>
            <w:r>
              <w:rPr>
                <w:rFonts w:ascii="Calibri" w:hAnsi="Calibri"/>
                <w:b/>
                <w:noProof/>
                <w:color w:val="FFFFFF"/>
                <w:sz w:val="20"/>
              </w:rPr>
              <w:t>Légi alkalmasság és környezetvédelem</w:t>
            </w:r>
          </w:p>
        </w:tc>
        <w:tc>
          <w:tcPr>
            <w:tcW w:w="3920" w:type="dxa"/>
            <w:tcBorders>
              <w:top w:val="single" w:sz="18" w:space="0" w:color="auto"/>
            </w:tcBorders>
            <w:shd w:val="clear" w:color="auto" w:fill="FFFFFF" w:themeFill="background1"/>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(Egyes) légi járművek légi alkalmassági bizonyítványa</w:t>
            </w:r>
          </w:p>
        </w:tc>
        <w:tc>
          <w:tcPr>
            <w:tcW w:w="3920" w:type="dxa"/>
            <w:tcBorders>
              <w:top w:val="single" w:sz="18" w:space="0" w:color="auto"/>
              <w:right w:val="single" w:sz="18" w:space="0" w:color="auto"/>
            </w:tcBorders>
            <w:shd w:val="clear" w:color="auto" w:fill="D8D8D8"/>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Légi járművek, motorok és propellerek típusalkalmassági tanúsítása</w:t>
            </w:r>
          </w:p>
        </w:tc>
      </w:tr>
      <w:tr>
        <w:trPr>
          <w:trHeight w:val="371"/>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D8D8D8"/>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 Légi járművek zajtanúsítása</w:t>
            </w:r>
          </w:p>
        </w:tc>
        <w:tc>
          <w:tcPr>
            <w:tcW w:w="3920" w:type="dxa"/>
            <w:tcBorders>
              <w:right w:val="single" w:sz="18" w:space="0" w:color="auto"/>
            </w:tcBorders>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Alkatrészek és berendezések tanúsítása </w:t>
            </w:r>
          </w:p>
        </w:tc>
      </w:tr>
      <w:tr>
        <w:trPr>
          <w:trHeight w:val="371"/>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FFFFFF" w:themeFill="background1"/>
            <w:vAlign w:val="center"/>
          </w:tcPr>
          <w:p>
            <w:pPr>
              <w:spacing w:line="276" w:lineRule="auto"/>
              <w:jc w:val="left"/>
              <w:rPr>
                <w:rFonts w:ascii="Calibri" w:eastAsia="Calibri" w:hAnsi="Calibri" w:cs="Times New Roman"/>
                <w:noProof/>
                <w:color w:val="1F497D" w:themeColor="text2"/>
                <w:sz w:val="20"/>
                <w:szCs w:val="20"/>
              </w:rPr>
            </w:pPr>
          </w:p>
        </w:tc>
        <w:tc>
          <w:tcPr>
            <w:tcW w:w="3920" w:type="dxa"/>
            <w:tcBorders>
              <w:right w:val="single" w:sz="18" w:space="0" w:color="auto"/>
            </w:tcBorders>
            <w:shd w:val="clear" w:color="auto" w:fill="D8D8D8"/>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Tervező szervezetek jóváhagyása</w:t>
            </w:r>
          </w:p>
        </w:tc>
      </w:tr>
      <w:tr>
        <w:trPr>
          <w:trHeight w:val="371"/>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D8D8D8"/>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 Gyártó szervezetek jóváhagyása</w:t>
            </w:r>
          </w:p>
        </w:tc>
        <w:tc>
          <w:tcPr>
            <w:tcW w:w="3920" w:type="dxa"/>
            <w:tcBorders>
              <w:right w:val="single" w:sz="18" w:space="0" w:color="auto"/>
            </w:tcBorders>
            <w:shd w:val="clear" w:color="auto" w:fill="FFFFFF" w:themeFill="background1"/>
            <w:tcMar>
              <w:top w:w="0" w:type="dxa"/>
              <w:left w:w="108" w:type="dxa"/>
              <w:bottom w:w="0" w:type="dxa"/>
              <w:right w:w="108" w:type="dxa"/>
            </w:tcMar>
            <w:hideMark/>
          </w:tcPr>
          <w:p>
            <w:pPr>
              <w:spacing w:line="276" w:lineRule="auto"/>
              <w:jc w:val="left"/>
              <w:rPr>
                <w:rFonts w:ascii="Calibri" w:hAnsi="Calibri"/>
                <w:noProof/>
                <w:color w:val="1F497D" w:themeColor="text2"/>
                <w:sz w:val="20"/>
              </w:rPr>
            </w:pPr>
            <w:r>
              <w:rPr>
                <w:rFonts w:ascii="Calibri" w:hAnsi="Calibri"/>
                <w:noProof/>
                <w:color w:val="1F497D" w:themeColor="text2"/>
                <w:sz w:val="20"/>
              </w:rPr>
              <w:t>Harmadik országbeli gyártó szervezetek jóváhagyása</w:t>
            </w:r>
          </w:p>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A tagállam kérésére a tagállamon belüli gyártó szervezetek jóváhagyása</w:t>
            </w:r>
          </w:p>
        </w:tc>
      </w:tr>
      <w:tr>
        <w:trPr>
          <w:trHeight w:val="371"/>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FFFFFF" w:themeFill="background1"/>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 Karbantartó szervezetek jóváhagyása</w:t>
            </w:r>
          </w:p>
        </w:tc>
        <w:tc>
          <w:tcPr>
            <w:tcW w:w="3920" w:type="dxa"/>
            <w:tcBorders>
              <w:right w:val="single" w:sz="18" w:space="0" w:color="auto"/>
            </w:tcBorders>
            <w:shd w:val="clear" w:color="auto" w:fill="D8D8D8"/>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Harmadik országbeli karbantartó szervezetek jóváhagyása </w:t>
            </w:r>
          </w:p>
        </w:tc>
      </w:tr>
      <w:tr>
        <w:trPr>
          <w:trHeight w:val="371"/>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D8D8D8"/>
            <w:vAlign w:val="center"/>
            <w:hideMark/>
          </w:tcPr>
          <w:p>
            <w:pPr>
              <w:spacing w:after="0" w:line="276" w:lineRule="auto"/>
              <w:jc w:val="left"/>
              <w:rPr>
                <w:rFonts w:ascii="Calibri" w:hAnsi="Calibri"/>
                <w:noProof/>
                <w:color w:val="1F497D" w:themeColor="text2"/>
                <w:sz w:val="20"/>
              </w:rPr>
            </w:pPr>
            <w:r>
              <w:rPr>
                <w:rFonts w:ascii="Calibri" w:hAnsi="Calibri"/>
                <w:noProof/>
                <w:color w:val="1F497D" w:themeColor="text2"/>
                <w:sz w:val="20"/>
              </w:rPr>
              <w:t xml:space="preserve"> Folyamatos légi alkalmasságot biztosító szervezetek jóváhagyása</w:t>
            </w:r>
          </w:p>
          <w:p>
            <w:pPr>
              <w:spacing w:before="0"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 </w:t>
            </w:r>
          </w:p>
        </w:tc>
        <w:tc>
          <w:tcPr>
            <w:tcW w:w="3920" w:type="dxa"/>
            <w:tcBorders>
              <w:right w:val="single" w:sz="18" w:space="0" w:color="auto"/>
            </w:tcBorders>
            <w:shd w:val="clear" w:color="auto" w:fill="FFFFFF" w:themeFill="background1"/>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Harmadik országbeli folyamatos légi alkalmasságot biztosító szervezetek jóváhagyása</w:t>
            </w:r>
          </w:p>
        </w:tc>
      </w:tr>
      <w:tr>
        <w:trPr>
          <w:trHeight w:val="371"/>
        </w:trPr>
        <w:tc>
          <w:tcPr>
            <w:tcW w:w="0" w:type="auto"/>
            <w:vMerge/>
            <w:tcBorders>
              <w:left w:val="single" w:sz="18" w:space="0" w:color="auto"/>
              <w:bottom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FFFFFF" w:themeFill="background1"/>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 Tanúsító személyek engedélyezése</w:t>
            </w:r>
          </w:p>
        </w:tc>
        <w:tc>
          <w:tcPr>
            <w:tcW w:w="3920" w:type="dxa"/>
            <w:tcBorders>
              <w:right w:val="single" w:sz="18" w:space="0" w:color="auto"/>
            </w:tcBorders>
            <w:shd w:val="clear" w:color="auto" w:fill="D8D8D8"/>
            <w:tcMar>
              <w:top w:w="0" w:type="dxa"/>
              <w:left w:w="108" w:type="dxa"/>
              <w:bottom w:w="0" w:type="dxa"/>
              <w:right w:w="108" w:type="dxa"/>
            </w:tcMar>
          </w:tcPr>
          <w:p>
            <w:pPr>
              <w:spacing w:line="276" w:lineRule="auto"/>
              <w:jc w:val="left"/>
              <w:rPr>
                <w:rFonts w:ascii="Calibri" w:eastAsia="Calibri" w:hAnsi="Calibri" w:cs="Times New Roman"/>
                <w:noProof/>
                <w:color w:val="1F497D" w:themeColor="text2"/>
                <w:sz w:val="20"/>
                <w:szCs w:val="20"/>
              </w:rPr>
            </w:pPr>
          </w:p>
        </w:tc>
      </w:tr>
      <w:tr>
        <w:trPr>
          <w:trHeight w:val="908"/>
        </w:trPr>
        <w:tc>
          <w:tcPr>
            <w:tcW w:w="0" w:type="auto"/>
            <w:vMerge/>
            <w:tcBorders>
              <w:top w:val="single" w:sz="18" w:space="0" w:color="auto"/>
              <w:left w:val="single" w:sz="18" w:space="0" w:color="auto"/>
              <w:bottom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tcBorders>
              <w:bottom w:val="single" w:sz="18" w:space="0" w:color="auto"/>
            </w:tcBorders>
            <w:shd w:val="clear" w:color="auto" w:fill="D8D8D8"/>
            <w:vAlign w:val="center"/>
            <w:hideMark/>
          </w:tcPr>
          <w:p>
            <w:pPr>
              <w:spacing w:after="0" w:line="276" w:lineRule="auto"/>
              <w:jc w:val="left"/>
              <w:rPr>
                <w:rFonts w:ascii="Calibri" w:hAnsi="Calibri"/>
                <w:noProof/>
                <w:color w:val="1F497D" w:themeColor="text2"/>
                <w:sz w:val="20"/>
              </w:rPr>
            </w:pPr>
            <w:r>
              <w:rPr>
                <w:rFonts w:ascii="Calibri" w:hAnsi="Calibri"/>
                <w:noProof/>
                <w:color w:val="1F497D" w:themeColor="text2"/>
                <w:sz w:val="20"/>
              </w:rPr>
              <w:t xml:space="preserve"> Tanúsító személyeket képző szervezet jóváhagyása</w:t>
            </w:r>
          </w:p>
          <w:p>
            <w:pPr>
              <w:spacing w:before="0"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 </w:t>
            </w:r>
          </w:p>
        </w:tc>
        <w:tc>
          <w:tcPr>
            <w:tcW w:w="3920" w:type="dxa"/>
            <w:tcBorders>
              <w:bottom w:val="single" w:sz="18" w:space="0" w:color="auto"/>
              <w:right w:val="single" w:sz="18" w:space="0" w:color="auto"/>
            </w:tcBorders>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Harmadik országbeli, tanúsító személyeket képző szervezetek jóváhagyása</w:t>
            </w:r>
          </w:p>
        </w:tc>
      </w:tr>
      <w:tr>
        <w:tc>
          <w:tcPr>
            <w:tcW w:w="2355" w:type="dxa"/>
            <w:tcBorders>
              <w:top w:val="single" w:sz="18" w:space="0" w:color="auto"/>
              <w:left w:val="single" w:sz="18" w:space="0" w:color="auto"/>
              <w:bottom w:val="single" w:sz="18" w:space="0" w:color="auto"/>
            </w:tcBorders>
            <w:shd w:val="clear" w:color="auto" w:fill="4F81BD"/>
            <w:tcMar>
              <w:top w:w="0" w:type="dxa"/>
              <w:left w:w="108" w:type="dxa"/>
              <w:bottom w:w="0" w:type="dxa"/>
              <w:right w:w="108" w:type="dxa"/>
            </w:tcMar>
            <w:hideMark/>
          </w:tcPr>
          <w:p>
            <w:pPr>
              <w:spacing w:before="240" w:after="240" w:line="276" w:lineRule="auto"/>
              <w:jc w:val="left"/>
              <w:rPr>
                <w:rFonts w:ascii="Calibri" w:eastAsia="Calibri" w:hAnsi="Calibri" w:cs="Times New Roman"/>
                <w:b/>
                <w:bCs/>
                <w:noProof/>
                <w:color w:val="FFFFFF"/>
                <w:sz w:val="20"/>
                <w:szCs w:val="20"/>
              </w:rPr>
            </w:pPr>
            <w:r>
              <w:rPr>
                <w:rFonts w:ascii="Calibri" w:hAnsi="Calibri"/>
                <w:b/>
                <w:noProof/>
                <w:color w:val="FFFFFF"/>
                <w:sz w:val="20"/>
              </w:rPr>
              <w:t>Légi üzemeltetés</w:t>
            </w:r>
          </w:p>
        </w:tc>
        <w:tc>
          <w:tcPr>
            <w:tcW w:w="3920" w:type="dxa"/>
            <w:tcBorders>
              <w:top w:val="single" w:sz="18" w:space="0" w:color="auto"/>
              <w:bottom w:val="single" w:sz="18" w:space="0" w:color="auto"/>
            </w:tcBorders>
            <w:shd w:val="clear" w:color="auto" w:fill="FFFFFF" w:themeFill="background1"/>
            <w:tcMar>
              <w:top w:w="0" w:type="dxa"/>
              <w:left w:w="108" w:type="dxa"/>
              <w:bottom w:w="0" w:type="dxa"/>
              <w:right w:w="108" w:type="dxa"/>
            </w:tcMar>
            <w:hideMark/>
          </w:tcPr>
          <w:p>
            <w:pPr>
              <w:spacing w:before="240" w:after="240"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Kereskedelmi légi fuvarozók tanúsítása</w:t>
            </w:r>
          </w:p>
        </w:tc>
        <w:tc>
          <w:tcPr>
            <w:tcW w:w="3920" w:type="dxa"/>
            <w:tcBorders>
              <w:top w:val="single" w:sz="18" w:space="0" w:color="auto"/>
              <w:bottom w:val="single" w:sz="18" w:space="0" w:color="auto"/>
              <w:right w:val="single" w:sz="18" w:space="0" w:color="auto"/>
            </w:tcBorders>
            <w:shd w:val="clear" w:color="auto" w:fill="D8D8D8"/>
            <w:tcMar>
              <w:top w:w="0" w:type="dxa"/>
              <w:left w:w="108" w:type="dxa"/>
              <w:bottom w:w="0" w:type="dxa"/>
              <w:right w:w="108" w:type="dxa"/>
            </w:tcMar>
            <w:hideMark/>
          </w:tcPr>
          <w:p>
            <w:pPr>
              <w:spacing w:before="240" w:after="240"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A harmadik országbeli üzemeltetők engedélyezése</w:t>
            </w:r>
          </w:p>
        </w:tc>
      </w:tr>
      <w:tr>
        <w:trPr>
          <w:trHeight w:val="519"/>
        </w:trPr>
        <w:tc>
          <w:tcPr>
            <w:tcW w:w="2355" w:type="dxa"/>
            <w:vMerge w:val="restart"/>
            <w:tcBorders>
              <w:top w:val="single" w:sz="18" w:space="0" w:color="auto"/>
              <w:left w:val="single" w:sz="18" w:space="0" w:color="auto"/>
            </w:tcBorders>
            <w:shd w:val="clear" w:color="auto" w:fill="4F81BD"/>
            <w:tcMar>
              <w:top w:w="0" w:type="dxa"/>
              <w:left w:w="108" w:type="dxa"/>
              <w:bottom w:w="0" w:type="dxa"/>
              <w:right w:w="108" w:type="dxa"/>
            </w:tcMar>
            <w:hideMark/>
          </w:tcPr>
          <w:p>
            <w:pPr>
              <w:spacing w:line="276" w:lineRule="auto"/>
              <w:jc w:val="left"/>
              <w:rPr>
                <w:rFonts w:ascii="Calibri" w:eastAsia="Calibri" w:hAnsi="Calibri" w:cs="Times New Roman"/>
                <w:b/>
                <w:bCs/>
                <w:noProof/>
                <w:color w:val="FFFFFF"/>
                <w:sz w:val="20"/>
                <w:szCs w:val="20"/>
              </w:rPr>
            </w:pPr>
            <w:r>
              <w:rPr>
                <w:rFonts w:ascii="Calibri" w:hAnsi="Calibri"/>
                <w:b/>
                <w:noProof/>
                <w:color w:val="FFFFFF"/>
                <w:sz w:val="20"/>
              </w:rPr>
              <w:t>Repülőszemélyzet és egészségügy</w:t>
            </w:r>
          </w:p>
        </w:tc>
        <w:tc>
          <w:tcPr>
            <w:tcW w:w="3920" w:type="dxa"/>
            <w:tcBorders>
              <w:top w:val="single" w:sz="18" w:space="0" w:color="auto"/>
            </w:tcBorders>
            <w:shd w:val="clear" w:color="auto" w:fill="D8D8D8"/>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Pilóták engedélyezése és orvosi minősítése </w:t>
            </w:r>
          </w:p>
        </w:tc>
        <w:tc>
          <w:tcPr>
            <w:tcW w:w="3920" w:type="dxa"/>
            <w:tcBorders>
              <w:top w:val="single" w:sz="18" w:space="0" w:color="auto"/>
              <w:right w:val="single" w:sz="18" w:space="0" w:color="auto"/>
            </w:tcBorders>
            <w:shd w:val="clear" w:color="auto" w:fill="FFFFFF" w:themeFill="background1"/>
            <w:tcMar>
              <w:top w:w="0" w:type="dxa"/>
              <w:left w:w="108" w:type="dxa"/>
              <w:bottom w:w="0" w:type="dxa"/>
              <w:right w:w="108" w:type="dxa"/>
            </w:tcMar>
            <w:hideMark/>
          </w:tcPr>
          <w:p>
            <w:pPr>
              <w:spacing w:before="0" w:after="0" w:line="276" w:lineRule="auto"/>
              <w:jc w:val="left"/>
              <w:rPr>
                <w:rFonts w:ascii="Calibri" w:eastAsia="Calibri" w:hAnsi="Calibri" w:cs="Times New Roman"/>
                <w:noProof/>
                <w:sz w:val="22"/>
              </w:rPr>
            </w:pPr>
          </w:p>
        </w:tc>
      </w:tr>
      <w:tr>
        <w:trPr>
          <w:trHeight w:val="517"/>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Légiutas-kísérők tanúsítása</w:t>
            </w:r>
          </w:p>
        </w:tc>
        <w:tc>
          <w:tcPr>
            <w:tcW w:w="3920" w:type="dxa"/>
            <w:tcBorders>
              <w:right w:val="single" w:sz="18" w:space="0" w:color="auto"/>
            </w:tcBorders>
            <w:shd w:val="clear" w:color="auto" w:fill="D8D8D8"/>
            <w:tcMar>
              <w:top w:w="0" w:type="dxa"/>
              <w:left w:w="108" w:type="dxa"/>
              <w:bottom w:w="0" w:type="dxa"/>
              <w:right w:w="108" w:type="dxa"/>
            </w:tcMar>
          </w:tcPr>
          <w:p>
            <w:pPr>
              <w:spacing w:line="276" w:lineRule="auto"/>
              <w:jc w:val="left"/>
              <w:rPr>
                <w:rFonts w:ascii="Calibri" w:eastAsia="Calibri" w:hAnsi="Calibri" w:cs="Times New Roman"/>
                <w:noProof/>
                <w:color w:val="1F497D" w:themeColor="text2"/>
                <w:sz w:val="20"/>
                <w:szCs w:val="20"/>
              </w:rPr>
            </w:pPr>
          </w:p>
        </w:tc>
      </w:tr>
      <w:tr>
        <w:trPr>
          <w:trHeight w:val="517"/>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D8D8D8"/>
            <w:tcMar>
              <w:top w:w="0" w:type="dxa"/>
              <w:left w:w="108" w:type="dxa"/>
              <w:bottom w:w="0" w:type="dxa"/>
              <w:right w:w="108" w:type="dxa"/>
            </w:tcMar>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Pilótaképző szervezetek jóváhagyása</w:t>
            </w:r>
          </w:p>
        </w:tc>
        <w:tc>
          <w:tcPr>
            <w:tcW w:w="3920" w:type="dxa"/>
            <w:tcBorders>
              <w:right w:val="single" w:sz="18" w:space="0" w:color="auto"/>
            </w:tcBorders>
            <w:shd w:val="clear" w:color="auto" w:fill="FFFFFF" w:themeFill="background1"/>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Harmadik országbeli pilótaképző szervezetek jóváhagyása </w:t>
            </w:r>
          </w:p>
        </w:tc>
      </w:tr>
      <w:tr>
        <w:trPr>
          <w:trHeight w:val="517"/>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Repülőorvosi központok jóváhagyása</w:t>
            </w:r>
          </w:p>
        </w:tc>
        <w:tc>
          <w:tcPr>
            <w:tcW w:w="3920" w:type="dxa"/>
            <w:tcBorders>
              <w:right w:val="single" w:sz="18" w:space="0" w:color="auto"/>
            </w:tcBorders>
            <w:shd w:val="clear" w:color="auto" w:fill="D8D8D8"/>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Harmadik országbeli repülőorvosi központok jóváhagyása </w:t>
            </w:r>
          </w:p>
        </w:tc>
      </w:tr>
      <w:tr>
        <w:trPr>
          <w:trHeight w:val="618"/>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D8D8D8"/>
            <w:tcMar>
              <w:top w:w="0" w:type="dxa"/>
              <w:left w:w="108" w:type="dxa"/>
              <w:bottom w:w="0" w:type="dxa"/>
              <w:right w:w="108" w:type="dxa"/>
            </w:tcMar>
            <w:vAlign w:val="center"/>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Repülésszimulációs oktatóeszközök tanúsítása </w:t>
            </w:r>
          </w:p>
        </w:tc>
        <w:tc>
          <w:tcPr>
            <w:tcW w:w="3920" w:type="dxa"/>
            <w:tcBorders>
              <w:right w:val="single" w:sz="18" w:space="0" w:color="auto"/>
            </w:tcBorders>
            <w:shd w:val="clear" w:color="auto" w:fill="FFFFFF" w:themeFill="background1"/>
            <w:tcMar>
              <w:top w:w="0" w:type="dxa"/>
              <w:left w:w="108" w:type="dxa"/>
              <w:bottom w:w="0" w:type="dxa"/>
              <w:right w:w="108" w:type="dxa"/>
            </w:tcMar>
            <w:hideMark/>
          </w:tcPr>
          <w:p>
            <w:pPr>
              <w:spacing w:after="0"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Olyan repülésszimulációs oktatóeszközök tanúsítása, amely</w:t>
            </w:r>
          </w:p>
          <w:p>
            <w:pPr>
              <w:spacing w:line="276" w:lineRule="auto"/>
              <w:ind w:left="205" w:hanging="205"/>
              <w:contextualSpacing/>
              <w:jc w:val="left"/>
              <w:rPr>
                <w:rFonts w:ascii="Calibri" w:eastAsia="Calibri" w:hAnsi="Calibri" w:cs="Times New Roman"/>
                <w:noProof/>
                <w:color w:val="1F497D" w:themeColor="text2"/>
                <w:sz w:val="20"/>
                <w:szCs w:val="20"/>
              </w:rPr>
            </w:pPr>
            <w:r>
              <w:rPr>
                <w:rFonts w:ascii="Calibri" w:hAnsi="Calibri"/>
                <w:noProof/>
                <w:color w:val="1F497D" w:themeColor="text2"/>
                <w:sz w:val="20"/>
              </w:rPr>
              <w:t>- EASA által tanúsított képző szervezetnél van használatban,</w:t>
            </w:r>
          </w:p>
          <w:p>
            <w:pPr>
              <w:spacing w:line="276" w:lineRule="auto"/>
              <w:ind w:left="205" w:hanging="205"/>
              <w:contextualSpacing/>
              <w:jc w:val="left"/>
              <w:rPr>
                <w:rFonts w:ascii="Calibri" w:hAnsi="Calibri"/>
                <w:noProof/>
                <w:color w:val="1F497D" w:themeColor="text2"/>
                <w:sz w:val="20"/>
              </w:rPr>
            </w:pPr>
            <w:r>
              <w:rPr>
                <w:rFonts w:ascii="Calibri" w:hAnsi="Calibri"/>
                <w:noProof/>
                <w:color w:val="1F497D" w:themeColor="text2"/>
                <w:sz w:val="20"/>
              </w:rPr>
              <w:t>- harmadik országban található,</w:t>
            </w:r>
          </w:p>
          <w:p>
            <w:pPr>
              <w:spacing w:before="0" w:line="276" w:lineRule="auto"/>
              <w:ind w:left="205" w:hanging="205"/>
              <w:jc w:val="left"/>
              <w:rPr>
                <w:rFonts w:ascii="Calibri" w:eastAsia="Calibri" w:hAnsi="Calibri" w:cs="Times New Roman"/>
                <w:noProof/>
                <w:color w:val="1F497D" w:themeColor="text2"/>
                <w:sz w:val="20"/>
                <w:szCs w:val="20"/>
              </w:rPr>
            </w:pPr>
            <w:r>
              <w:rPr>
                <w:rFonts w:ascii="Calibri" w:hAnsi="Calibri"/>
                <w:noProof/>
                <w:color w:val="1F497D" w:themeColor="text2"/>
                <w:sz w:val="20"/>
              </w:rPr>
              <w:t>- egy tagállamban található (tanúsítás a tagállam kérésére)</w:t>
            </w:r>
          </w:p>
        </w:tc>
      </w:tr>
      <w:tr>
        <w:trPr>
          <w:trHeight w:val="419"/>
        </w:trPr>
        <w:tc>
          <w:tcPr>
            <w:tcW w:w="0" w:type="auto"/>
            <w:vMerge/>
            <w:tcBorders>
              <w:left w:val="single" w:sz="18" w:space="0" w:color="auto"/>
              <w:bottom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tcBorders>
              <w:bottom w:val="single" w:sz="8" w:space="0" w:color="auto"/>
            </w:tcBorders>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Oktatók, vizsgáztatók és repülőorvos-szakértők tanúsítása</w:t>
            </w:r>
          </w:p>
        </w:tc>
        <w:tc>
          <w:tcPr>
            <w:tcW w:w="3920" w:type="dxa"/>
            <w:tcBorders>
              <w:bottom w:val="single" w:sz="18" w:space="0" w:color="auto"/>
              <w:right w:val="single" w:sz="18" w:space="0" w:color="auto"/>
            </w:tcBorders>
            <w:shd w:val="clear" w:color="auto" w:fill="D8D8D8"/>
            <w:tcMar>
              <w:top w:w="0" w:type="dxa"/>
              <w:left w:w="108" w:type="dxa"/>
              <w:bottom w:w="0" w:type="dxa"/>
              <w:right w:w="108" w:type="dxa"/>
            </w:tcMar>
          </w:tcPr>
          <w:p>
            <w:pPr>
              <w:spacing w:line="276" w:lineRule="auto"/>
              <w:jc w:val="left"/>
              <w:rPr>
                <w:rFonts w:ascii="Calibri" w:eastAsia="Calibri" w:hAnsi="Calibri" w:cs="Times New Roman"/>
                <w:noProof/>
                <w:color w:val="1F497D" w:themeColor="text2"/>
                <w:sz w:val="20"/>
                <w:szCs w:val="20"/>
              </w:rPr>
            </w:pPr>
          </w:p>
        </w:tc>
      </w:tr>
      <w:tr>
        <w:trPr>
          <w:trHeight w:val="700"/>
        </w:trPr>
        <w:tc>
          <w:tcPr>
            <w:tcW w:w="2355" w:type="dxa"/>
            <w:vMerge w:val="restart"/>
            <w:tcBorders>
              <w:top w:val="single" w:sz="18" w:space="0" w:color="auto"/>
              <w:left w:val="single" w:sz="18" w:space="0" w:color="auto"/>
            </w:tcBorders>
            <w:shd w:val="clear" w:color="auto" w:fill="4F81BD"/>
            <w:tcMar>
              <w:top w:w="0" w:type="dxa"/>
              <w:left w:w="108" w:type="dxa"/>
              <w:bottom w:w="0" w:type="dxa"/>
              <w:right w:w="108" w:type="dxa"/>
            </w:tcMar>
          </w:tcPr>
          <w:p>
            <w:pPr>
              <w:spacing w:line="276" w:lineRule="auto"/>
              <w:jc w:val="left"/>
              <w:rPr>
                <w:rFonts w:ascii="Calibri" w:eastAsia="Calibri" w:hAnsi="Calibri" w:cs="Times New Roman"/>
                <w:b/>
                <w:bCs/>
                <w:noProof/>
                <w:color w:val="FFFFFF"/>
                <w:sz w:val="20"/>
                <w:szCs w:val="20"/>
              </w:rPr>
            </w:pPr>
            <w:r>
              <w:rPr>
                <w:rFonts w:ascii="Calibri" w:hAnsi="Calibri"/>
                <w:b/>
                <w:noProof/>
                <w:color w:val="FFFFFF"/>
                <w:sz w:val="20"/>
              </w:rPr>
              <w:t>légiforgalmi szolgáltatások / léginavigációs szolgálatok (ATM/ANS)</w:t>
            </w:r>
          </w:p>
          <w:p>
            <w:pPr>
              <w:spacing w:line="276" w:lineRule="auto"/>
              <w:jc w:val="left"/>
              <w:rPr>
                <w:rFonts w:ascii="Calibri" w:eastAsia="Calibri" w:hAnsi="Calibri" w:cs="Times New Roman"/>
                <w:b/>
                <w:bCs/>
                <w:noProof/>
                <w:color w:val="FFFFFF"/>
                <w:sz w:val="20"/>
                <w:szCs w:val="20"/>
              </w:rPr>
            </w:pPr>
          </w:p>
        </w:tc>
        <w:tc>
          <w:tcPr>
            <w:tcW w:w="3920" w:type="dxa"/>
            <w:tcBorders>
              <w:top w:val="single" w:sz="18" w:space="0" w:color="auto"/>
            </w:tcBorders>
            <w:shd w:val="clear" w:color="auto" w:fill="D8D8D8"/>
            <w:tcMar>
              <w:top w:w="0" w:type="dxa"/>
              <w:left w:w="108" w:type="dxa"/>
              <w:bottom w:w="0" w:type="dxa"/>
              <w:right w:w="108" w:type="dxa"/>
            </w:tcMar>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ATM/ANS-szolgáltatók tanúsítása</w:t>
            </w:r>
          </w:p>
        </w:tc>
        <w:tc>
          <w:tcPr>
            <w:tcW w:w="3920" w:type="dxa"/>
            <w:tcBorders>
              <w:top w:val="single" w:sz="18" w:space="0" w:color="auto"/>
              <w:right w:val="single" w:sz="18" w:space="0" w:color="auto"/>
            </w:tcBorders>
            <w:shd w:val="clear" w:color="auto" w:fill="FFFFFF" w:themeFill="background1"/>
            <w:tcMar>
              <w:top w:w="0" w:type="dxa"/>
              <w:left w:w="108" w:type="dxa"/>
              <w:bottom w:w="0" w:type="dxa"/>
              <w:right w:w="108" w:type="dxa"/>
            </w:tcMar>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Harmadik országbeli ATM/ANS-szolgáltatók tanúsítása </w:t>
            </w:r>
          </w:p>
        </w:tc>
      </w:tr>
      <w:tr>
        <w:trPr>
          <w:trHeight w:val="757"/>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FFFFFF" w:themeFill="background1"/>
            <w:tcMar>
              <w:top w:w="0" w:type="dxa"/>
              <w:left w:w="108" w:type="dxa"/>
              <w:bottom w:w="0" w:type="dxa"/>
              <w:right w:w="108" w:type="dxa"/>
            </w:tcMar>
            <w:hideMark/>
          </w:tcPr>
          <w:p>
            <w:pPr>
              <w:spacing w:before="0" w:after="0" w:line="276" w:lineRule="auto"/>
              <w:jc w:val="left"/>
              <w:rPr>
                <w:rFonts w:ascii="Calibri" w:eastAsia="Calibri" w:hAnsi="Calibri" w:cs="Times New Roman"/>
                <w:noProof/>
                <w:sz w:val="22"/>
              </w:rPr>
            </w:pPr>
          </w:p>
        </w:tc>
        <w:tc>
          <w:tcPr>
            <w:tcW w:w="3920" w:type="dxa"/>
            <w:tcBorders>
              <w:right w:val="single" w:sz="18" w:space="0" w:color="auto"/>
            </w:tcBorders>
            <w:shd w:val="clear" w:color="auto" w:fill="D8D8D8"/>
            <w:tcMar>
              <w:top w:w="0" w:type="dxa"/>
              <w:left w:w="108" w:type="dxa"/>
              <w:bottom w:w="0" w:type="dxa"/>
              <w:right w:w="108" w:type="dxa"/>
            </w:tcMar>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Páneurópai ATM/ANS-szolgáltatók tanúsítása</w:t>
            </w:r>
          </w:p>
        </w:tc>
      </w:tr>
      <w:tr>
        <w:trPr>
          <w:trHeight w:val="805"/>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D8D8D8"/>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Légiforgalom-irányítók engedélyezése és orvosi minősítése</w:t>
            </w:r>
          </w:p>
        </w:tc>
        <w:tc>
          <w:tcPr>
            <w:tcW w:w="3920" w:type="dxa"/>
            <w:tcBorders>
              <w:right w:val="single" w:sz="18" w:space="0" w:color="auto"/>
            </w:tcBorders>
            <w:shd w:val="clear" w:color="auto" w:fill="FFFFFF" w:themeFill="background1"/>
            <w:tcMar>
              <w:top w:w="0" w:type="dxa"/>
              <w:left w:w="108" w:type="dxa"/>
              <w:bottom w:w="0" w:type="dxa"/>
              <w:right w:w="108" w:type="dxa"/>
            </w:tcMar>
          </w:tcPr>
          <w:p>
            <w:pPr>
              <w:spacing w:line="276" w:lineRule="auto"/>
              <w:jc w:val="left"/>
              <w:rPr>
                <w:rFonts w:ascii="Calibri" w:eastAsia="Calibri" w:hAnsi="Calibri" w:cs="Times New Roman"/>
                <w:noProof/>
                <w:color w:val="1F497D" w:themeColor="text2"/>
                <w:sz w:val="20"/>
                <w:szCs w:val="20"/>
              </w:rPr>
            </w:pPr>
          </w:p>
        </w:tc>
      </w:tr>
      <w:tr>
        <w:trPr>
          <w:trHeight w:val="757"/>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FFFFFF" w:themeFill="background1"/>
            <w:tcMar>
              <w:top w:w="0" w:type="dxa"/>
              <w:left w:w="108" w:type="dxa"/>
              <w:bottom w:w="0" w:type="dxa"/>
              <w:right w:w="108" w:type="dxa"/>
            </w:tcMar>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Légiforgalomirányító-képző szervezetek tanúsítása </w:t>
            </w:r>
          </w:p>
        </w:tc>
        <w:tc>
          <w:tcPr>
            <w:tcW w:w="3920" w:type="dxa"/>
            <w:tcBorders>
              <w:right w:val="single" w:sz="18" w:space="0" w:color="auto"/>
            </w:tcBorders>
            <w:shd w:val="clear" w:color="auto" w:fill="D8D8D8"/>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Harmadik országbeli légiforgalomirányító-képző szervezetek tanúsítása </w:t>
            </w:r>
          </w:p>
        </w:tc>
      </w:tr>
      <w:tr>
        <w:trPr>
          <w:trHeight w:val="697"/>
        </w:trPr>
        <w:tc>
          <w:tcPr>
            <w:tcW w:w="0" w:type="auto"/>
            <w:vMerge/>
            <w:tcBorders>
              <w:left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shd w:val="clear" w:color="auto" w:fill="D8D8D8"/>
            <w:tcMar>
              <w:top w:w="0" w:type="dxa"/>
              <w:left w:w="108" w:type="dxa"/>
              <w:bottom w:w="0" w:type="dxa"/>
              <w:right w:w="108" w:type="dxa"/>
            </w:tcMar>
            <w:vAlign w:val="cente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Repülőorvos szakértők és repülőorvosi központok tanúsítása</w:t>
            </w:r>
          </w:p>
        </w:tc>
        <w:tc>
          <w:tcPr>
            <w:tcW w:w="3920" w:type="dxa"/>
            <w:tcBorders>
              <w:right w:val="single" w:sz="18" w:space="0" w:color="auto"/>
            </w:tcBorders>
            <w:shd w:val="clear" w:color="auto" w:fill="FFFFFF" w:themeFill="background1"/>
            <w:tcMar>
              <w:top w:w="0" w:type="dxa"/>
              <w:left w:w="108" w:type="dxa"/>
              <w:bottom w:w="0" w:type="dxa"/>
              <w:right w:w="108" w:type="dxa"/>
            </w:tcMar>
          </w:tcPr>
          <w:p>
            <w:pPr>
              <w:spacing w:line="276" w:lineRule="auto"/>
              <w:jc w:val="left"/>
              <w:rPr>
                <w:rFonts w:ascii="Calibri" w:eastAsia="Calibri" w:hAnsi="Calibri" w:cs="Times New Roman"/>
                <w:noProof/>
                <w:color w:val="1F497D" w:themeColor="text2"/>
                <w:sz w:val="20"/>
                <w:szCs w:val="20"/>
              </w:rPr>
            </w:pPr>
          </w:p>
        </w:tc>
      </w:tr>
      <w:tr>
        <w:trPr>
          <w:trHeight w:val="540"/>
        </w:trPr>
        <w:tc>
          <w:tcPr>
            <w:tcW w:w="0" w:type="auto"/>
            <w:vMerge/>
            <w:tcBorders>
              <w:left w:val="single" w:sz="18" w:space="0" w:color="auto"/>
              <w:bottom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tcBorders>
              <w:bottom w:val="single" w:sz="18" w:space="0" w:color="auto"/>
            </w:tcBorders>
            <w:shd w:val="clear" w:color="auto" w:fill="FFFFFF" w:themeFill="background1"/>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Oktatók tanúsítása</w:t>
            </w:r>
          </w:p>
        </w:tc>
        <w:tc>
          <w:tcPr>
            <w:tcW w:w="3920" w:type="dxa"/>
            <w:tcBorders>
              <w:bottom w:val="single" w:sz="18" w:space="0" w:color="auto"/>
              <w:right w:val="single" w:sz="18" w:space="0" w:color="auto"/>
            </w:tcBorders>
            <w:shd w:val="clear" w:color="auto" w:fill="D8D8D8"/>
            <w:tcMar>
              <w:top w:w="0" w:type="dxa"/>
              <w:left w:w="108" w:type="dxa"/>
              <w:bottom w:w="0" w:type="dxa"/>
              <w:right w:w="108" w:type="dxa"/>
            </w:tcMar>
          </w:tcPr>
          <w:p>
            <w:pPr>
              <w:spacing w:line="276" w:lineRule="auto"/>
              <w:jc w:val="left"/>
              <w:rPr>
                <w:rFonts w:ascii="Calibri" w:eastAsia="Calibri" w:hAnsi="Calibri" w:cs="Times New Roman"/>
                <w:noProof/>
                <w:color w:val="1F497D" w:themeColor="text2"/>
                <w:sz w:val="20"/>
                <w:szCs w:val="20"/>
              </w:rPr>
            </w:pPr>
          </w:p>
        </w:tc>
      </w:tr>
      <w:tr>
        <w:trPr>
          <w:trHeight w:val="349"/>
        </w:trPr>
        <w:tc>
          <w:tcPr>
            <w:tcW w:w="2355" w:type="dxa"/>
            <w:vMerge w:val="restart"/>
            <w:tcBorders>
              <w:top w:val="single" w:sz="18" w:space="0" w:color="auto"/>
              <w:left w:val="single" w:sz="18" w:space="0" w:color="auto"/>
            </w:tcBorders>
            <w:shd w:val="clear" w:color="auto" w:fill="4F81BD"/>
            <w:tcMar>
              <w:top w:w="0" w:type="dxa"/>
              <w:left w:w="108" w:type="dxa"/>
              <w:bottom w:w="0" w:type="dxa"/>
              <w:right w:w="108" w:type="dxa"/>
            </w:tcMar>
            <w:hideMark/>
          </w:tcPr>
          <w:p>
            <w:pPr>
              <w:spacing w:line="276" w:lineRule="auto"/>
              <w:jc w:val="left"/>
              <w:rPr>
                <w:rFonts w:ascii="Calibri" w:eastAsia="Calibri" w:hAnsi="Calibri" w:cs="Times New Roman"/>
                <w:b/>
                <w:bCs/>
                <w:noProof/>
                <w:color w:val="FFFFFF"/>
                <w:sz w:val="20"/>
                <w:szCs w:val="20"/>
              </w:rPr>
            </w:pPr>
            <w:r>
              <w:rPr>
                <w:rFonts w:ascii="Calibri" w:hAnsi="Calibri"/>
                <w:b/>
                <w:noProof/>
                <w:color w:val="FFFFFF"/>
                <w:sz w:val="20"/>
              </w:rPr>
              <w:t>Repülőterek</w:t>
            </w:r>
          </w:p>
        </w:tc>
        <w:tc>
          <w:tcPr>
            <w:tcW w:w="3920" w:type="dxa"/>
            <w:tcBorders>
              <w:top w:val="single" w:sz="18" w:space="0" w:color="auto"/>
            </w:tcBorders>
            <w:shd w:val="clear" w:color="auto" w:fill="D8D8D8"/>
            <w:tcMar>
              <w:top w:w="0" w:type="dxa"/>
              <w:left w:w="108" w:type="dxa"/>
              <w:bottom w:w="0" w:type="dxa"/>
              <w:right w:w="108" w:type="dxa"/>
            </w:tcMar>
            <w:hideMark/>
          </w:tcPr>
          <w:p>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 xml:space="preserve">Repülőterek, üzemeltetésük és biztonsággal kapcsolatos felszerelésük tanúsítása </w:t>
            </w:r>
          </w:p>
        </w:tc>
        <w:tc>
          <w:tcPr>
            <w:tcW w:w="3920" w:type="dxa"/>
            <w:tcBorders>
              <w:top w:val="single" w:sz="18" w:space="0" w:color="auto"/>
              <w:right w:val="single" w:sz="18" w:space="0" w:color="auto"/>
            </w:tcBorders>
            <w:shd w:val="clear" w:color="auto" w:fill="FFFFFF" w:themeFill="background1"/>
            <w:tcMar>
              <w:top w:w="0" w:type="dxa"/>
              <w:left w:w="108" w:type="dxa"/>
              <w:bottom w:w="0" w:type="dxa"/>
              <w:right w:w="108" w:type="dxa"/>
            </w:tcMar>
          </w:tcPr>
          <w:p>
            <w:pPr>
              <w:spacing w:line="276" w:lineRule="auto"/>
              <w:jc w:val="left"/>
              <w:rPr>
                <w:rFonts w:ascii="Calibri" w:eastAsia="Calibri" w:hAnsi="Calibri" w:cs="Times New Roman"/>
                <w:noProof/>
                <w:color w:val="1F497D" w:themeColor="text2"/>
                <w:sz w:val="20"/>
                <w:szCs w:val="20"/>
              </w:rPr>
            </w:pPr>
          </w:p>
        </w:tc>
      </w:tr>
      <w:tr>
        <w:trPr>
          <w:trHeight w:val="448"/>
        </w:trPr>
        <w:tc>
          <w:tcPr>
            <w:tcW w:w="0" w:type="auto"/>
            <w:vMerge/>
            <w:tcBorders>
              <w:left w:val="single" w:sz="18" w:space="0" w:color="auto"/>
              <w:bottom w:val="single" w:sz="18" w:space="0" w:color="auto"/>
            </w:tcBorders>
            <w:vAlign w:val="center"/>
            <w:hideMark/>
          </w:tcPr>
          <w:p>
            <w:pPr>
              <w:spacing w:before="0" w:after="0"/>
              <w:jc w:val="left"/>
              <w:rPr>
                <w:rFonts w:ascii="Calibri" w:eastAsia="Calibri" w:hAnsi="Calibri" w:cs="Times New Roman"/>
                <w:b/>
                <w:bCs/>
                <w:noProof/>
                <w:color w:val="FFFFFF"/>
                <w:sz w:val="20"/>
                <w:szCs w:val="20"/>
              </w:rPr>
            </w:pPr>
          </w:p>
        </w:tc>
        <w:tc>
          <w:tcPr>
            <w:tcW w:w="3920" w:type="dxa"/>
            <w:tcBorders>
              <w:bottom w:val="single" w:sz="18" w:space="0" w:color="auto"/>
            </w:tcBorders>
            <w:shd w:val="clear" w:color="auto" w:fill="FFFFFF" w:themeFill="background1"/>
            <w:tcMar>
              <w:top w:w="0" w:type="dxa"/>
              <w:left w:w="108" w:type="dxa"/>
              <w:bottom w:w="0" w:type="dxa"/>
              <w:right w:w="108" w:type="dxa"/>
            </w:tcMar>
            <w:hideMark/>
          </w:tcPr>
          <w:p>
            <w:pPr>
              <w:spacing w:line="276" w:lineRule="auto"/>
              <w:jc w:val="left"/>
              <w:rPr>
                <w:rFonts w:ascii="Calibri" w:eastAsia="Calibri" w:hAnsi="Calibri" w:cs="Times New Roman"/>
                <w:noProof/>
                <w:sz w:val="20"/>
                <w:szCs w:val="20"/>
              </w:rPr>
            </w:pPr>
            <w:r>
              <w:rPr>
                <w:rFonts w:ascii="Calibri" w:hAnsi="Calibri"/>
                <w:noProof/>
                <w:color w:val="1F497D" w:themeColor="text2"/>
                <w:sz w:val="20"/>
              </w:rPr>
              <w:t>Repülőtér-üzemeltetők tanúsítása</w:t>
            </w:r>
          </w:p>
        </w:tc>
        <w:tc>
          <w:tcPr>
            <w:tcW w:w="3920" w:type="dxa"/>
            <w:tcBorders>
              <w:bottom w:val="single" w:sz="18" w:space="0" w:color="auto"/>
              <w:right w:val="single" w:sz="18" w:space="0" w:color="auto"/>
            </w:tcBorders>
            <w:shd w:val="clear" w:color="auto" w:fill="D8D8D8"/>
            <w:vAlign w:val="center"/>
            <w:hideMark/>
          </w:tcPr>
          <w:p>
            <w:pPr>
              <w:spacing w:before="0" w:after="0" w:line="276" w:lineRule="auto"/>
              <w:jc w:val="left"/>
              <w:rPr>
                <w:rFonts w:ascii="Calibri" w:eastAsia="Calibri" w:hAnsi="Calibri" w:cs="Times New Roman"/>
                <w:noProof/>
                <w:sz w:val="22"/>
              </w:rPr>
            </w:pPr>
          </w:p>
        </w:tc>
      </w:tr>
    </w:tbl>
    <w:p>
      <w:pPr>
        <w:pStyle w:val="Text1"/>
        <w:ind w:left="0"/>
        <w:rPr>
          <w:noProof/>
        </w:rPr>
      </w:pPr>
    </w:p>
    <w:p>
      <w:pPr>
        <w:pStyle w:val="Heading4"/>
        <w:spacing w:before="100" w:after="240"/>
        <w:rPr>
          <w:i/>
          <w:noProof/>
        </w:rPr>
      </w:pPr>
      <w:r>
        <w:rPr>
          <w:i/>
          <w:noProof/>
        </w:rPr>
        <w:t>3. ábra Az európai repülésbiztonsági rendszer érdekelt felei közötti kölcsönös kapcsolat</w:t>
      </w:r>
    </w:p>
    <w:p>
      <w:pPr>
        <w:jc w:val="center"/>
        <w:rPr>
          <w:noProof/>
        </w:rPr>
      </w:pPr>
      <w:r>
        <w:rPr>
          <w:noProof/>
          <w:lang w:val="en-US" w:eastAsia="en-US" w:bidi="ar-SA"/>
        </w:rPr>
        <w:drawing>
          <wp:inline distT="0" distB="0" distL="0" distR="0">
            <wp:extent cx="5761355" cy="4061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61355" cy="4061002"/>
                    </a:xfrm>
                    <a:prstGeom prst="rect">
                      <a:avLst/>
                    </a:prstGeom>
                  </pic:spPr>
                </pic:pic>
              </a:graphicData>
            </a:graphic>
          </wp:inline>
        </w:drawing>
      </w:r>
    </w:p>
    <w:p>
      <w:pPr>
        <w:pStyle w:val="Heading4"/>
        <w:keepLines w:val="0"/>
        <w:numPr>
          <w:ilvl w:val="3"/>
          <w:numId w:val="11"/>
        </w:numPr>
        <w:spacing w:before="240" w:after="240"/>
        <w:rPr>
          <w:noProof/>
        </w:rPr>
      </w:pPr>
      <w:r>
        <w:rPr>
          <w:noProof/>
        </w:rPr>
        <w:t>A tagállamok</w:t>
      </w:r>
    </w:p>
    <w:p>
      <w:pPr>
        <w:rPr>
          <w:noProof/>
        </w:rPr>
      </w:pPr>
      <w:r>
        <w:rPr>
          <w:noProof/>
        </w:rPr>
        <w:t xml:space="preserve">A tagállamok mint olyanok nem vesznek részt az uniós jogszabályok elfogadásában. Azonban a rendes jogalkotási eljárás keretében a tagállamok kormányainak képviselőiből álló Tanács társjogalkotó az Európai Parlament mellett (lásd az </w:t>
      </w:r>
      <w:hyperlink w:anchor="_Decision_making_process" w:history="1">
        <w:r>
          <w:rPr>
            <w:rStyle w:val="Hyperlink"/>
            <w:noProof/>
          </w:rPr>
          <w:t>1.3.1. szakaszt</w:t>
        </w:r>
      </w:hyperlink>
      <w:r>
        <w:rPr>
          <w:noProof/>
        </w:rPr>
        <w:t xml:space="preserve">). A tagállamok (ám nem a Tanács) a végrehajtási aktusok esetében is részesei a döntéshozatali folyamatnak (lásd az </w:t>
      </w:r>
      <w:hyperlink w:anchor="_Decision_making_process" w:history="1">
        <w:r>
          <w:rPr>
            <w:rStyle w:val="Hyperlink"/>
            <w:noProof/>
          </w:rPr>
          <w:t>1.3.1. szakaszt</w:t>
        </w:r>
      </w:hyperlink>
      <w:r>
        <w:rPr>
          <w:noProof/>
        </w:rPr>
        <w:t>).</w:t>
      </w:r>
    </w:p>
    <w:p>
      <w:pPr>
        <w:autoSpaceDE w:val="0"/>
        <w:autoSpaceDN w:val="0"/>
        <w:adjustRightInd w:val="0"/>
        <w:rPr>
          <w:noProof/>
        </w:rPr>
      </w:pPr>
      <w:r>
        <w:rPr>
          <w:noProof/>
        </w:rPr>
        <w:t>Az uniós jog mai állapota szerint továbbra is a tagállamok felelőssége a következők szabályozása:</w:t>
      </w:r>
    </w:p>
    <w:p>
      <w:pPr>
        <w:ind w:left="960" w:hanging="600"/>
        <w:rPr>
          <w:noProof/>
        </w:rPr>
      </w:pPr>
      <w:r>
        <w:rPr>
          <w:noProof/>
        </w:rPr>
        <w:t>a)</w:t>
      </w:r>
      <w:r>
        <w:rPr>
          <w:noProof/>
        </w:rPr>
        <w:tab/>
        <w:t>a 216/2008/EK rendelet II. melléklete szerinti (például történelmi jelentőségű, kísérleti, könnyű stb.) légi járművek légi alkalmassága;</w:t>
      </w:r>
    </w:p>
    <w:p>
      <w:pPr>
        <w:ind w:left="960" w:hanging="600"/>
        <w:rPr>
          <w:noProof/>
        </w:rPr>
      </w:pPr>
      <w:r>
        <w:rPr>
          <w:noProof/>
        </w:rPr>
        <w:t>b)</w:t>
      </w:r>
      <w:r>
        <w:rPr>
          <w:noProof/>
        </w:rPr>
        <w:tab/>
        <w:t>katonai, vámügyi, rendőrségi, kutató-mentő, tűzoltó, partiőr- vagy hasonló tevékenységben vagy szolgáltatásban részt vevő légi jármű üzemben tartása;</w:t>
      </w:r>
    </w:p>
    <w:p>
      <w:pPr>
        <w:ind w:left="960" w:hanging="600"/>
        <w:rPr>
          <w:noProof/>
        </w:rPr>
      </w:pPr>
      <w:r>
        <w:rPr>
          <w:noProof/>
        </w:rPr>
        <w:t>c)</w:t>
      </w:r>
      <w:r>
        <w:rPr>
          <w:noProof/>
        </w:rPr>
        <w:tab/>
        <w:t>a katonaság által biztosított vagy rendelkezésre bocsátott ATM/ANS (ideértve a rendszereket és a rendszerelemeket is);</w:t>
      </w:r>
    </w:p>
    <w:p>
      <w:pPr>
        <w:ind w:left="960" w:hanging="600"/>
        <w:rPr>
          <w:noProof/>
        </w:rPr>
      </w:pPr>
      <w:r>
        <w:rPr>
          <w:noProof/>
        </w:rPr>
        <w:t>d)</w:t>
      </w:r>
      <w:r>
        <w:rPr>
          <w:noProof/>
        </w:rPr>
        <w:tab/>
        <w:t>a katonaság által irányított és üzemeltetett repülőterek;</w:t>
      </w:r>
    </w:p>
    <w:p>
      <w:pPr>
        <w:ind w:left="960" w:hanging="600"/>
        <w:rPr>
          <w:noProof/>
        </w:rPr>
      </w:pPr>
      <w:r>
        <w:rPr>
          <w:noProof/>
        </w:rPr>
        <w:t>e)</w:t>
      </w:r>
      <w:r>
        <w:rPr>
          <w:noProof/>
        </w:rPr>
        <w:tab/>
        <w:t>azok a repülőterek, amelyek az alábbi szempontok közül legalább egynek nem felelnek meg:</w:t>
      </w:r>
    </w:p>
    <w:p>
      <w:pPr>
        <w:ind w:left="1440" w:hanging="480"/>
        <w:rPr>
          <w:noProof/>
        </w:rPr>
      </w:pPr>
      <w:r>
        <w:rPr>
          <w:noProof/>
        </w:rPr>
        <w:t>i.</w:t>
      </w:r>
      <w:r>
        <w:rPr>
          <w:noProof/>
        </w:rPr>
        <w:tab/>
        <w:t>nyilvánosak;</w:t>
      </w:r>
    </w:p>
    <w:p>
      <w:pPr>
        <w:ind w:left="1440" w:hanging="480"/>
        <w:rPr>
          <w:noProof/>
        </w:rPr>
      </w:pPr>
      <w:r>
        <w:rPr>
          <w:noProof/>
        </w:rPr>
        <w:t>ii.</w:t>
      </w:r>
      <w:r>
        <w:rPr>
          <w:noProof/>
        </w:rPr>
        <w:tab/>
        <w:t>a kereskedelmi célú légi fuvarozást szolgálják;</w:t>
      </w:r>
    </w:p>
    <w:p>
      <w:pPr>
        <w:ind w:left="1440" w:hanging="480"/>
        <w:rPr>
          <w:noProof/>
        </w:rPr>
      </w:pPr>
      <w:r>
        <w:rPr>
          <w:noProof/>
        </w:rPr>
        <w:t>iii.</w:t>
      </w:r>
      <w:r>
        <w:rPr>
          <w:noProof/>
        </w:rPr>
        <w:tab/>
        <w:t>műszeres megközelítési és indulási eljárásokat alkalmaznak; és</w:t>
      </w:r>
    </w:p>
    <w:p>
      <w:pPr>
        <w:ind w:left="1920" w:hanging="480"/>
        <w:rPr>
          <w:noProof/>
        </w:rPr>
      </w:pPr>
      <w:r>
        <w:rPr>
          <w:noProof/>
        </w:rPr>
        <w:t>a)</w:t>
      </w:r>
      <w:r>
        <w:rPr>
          <w:noProof/>
        </w:rPr>
        <w:tab/>
        <w:t>legalább 800 méter hosszú, szilárd burkolatú futópályával rendelkeznek; vagy</w:t>
      </w:r>
    </w:p>
    <w:p>
      <w:pPr>
        <w:ind w:left="1920" w:hanging="480"/>
        <w:rPr>
          <w:noProof/>
        </w:rPr>
      </w:pPr>
      <w:r>
        <w:rPr>
          <w:noProof/>
        </w:rPr>
        <w:t>b)</w:t>
      </w:r>
      <w:r>
        <w:rPr>
          <w:noProof/>
        </w:rPr>
        <w:tab/>
        <w:t>kizárólag helikoptereket szolgálnak ki;</w:t>
      </w:r>
    </w:p>
    <w:p>
      <w:pPr>
        <w:ind w:left="960" w:hanging="600"/>
        <w:rPr>
          <w:noProof/>
        </w:rPr>
      </w:pPr>
      <w:r>
        <w:rPr>
          <w:noProof/>
        </w:rPr>
        <w:t>f)</w:t>
      </w:r>
      <w:r>
        <w:rPr>
          <w:noProof/>
        </w:rPr>
        <w:tab/>
        <w:t>a tagállam döntése alapján azok a repülőterek, amelyek ugyan az e) pont összes szempontjának megfelelnek, de bizonyos méretnél kisebbek.</w:t>
      </w:r>
    </w:p>
    <w:p>
      <w:pPr>
        <w:rPr>
          <w:noProof/>
        </w:rPr>
      </w:pPr>
      <w:r>
        <w:rPr>
          <w:noProof/>
        </w:rPr>
        <w:t>A repülésbiztonsági jogszabályok túlnyomó részét európai szinten fogadják el, ám területükön és légterükben továbbra is a tagállamok felelőssége a repülésbiztonságról való gondoskodás. A 216/2008/EK rendelet és végrehajtási szabályai által előírt legtöbb tanúsítási feladatot (például a nemzeti szervezetek jóváhagyását és a személyzet engedélyezését) nemzeti szinten kell elvégezni. Ezeket a személyeket és szervezeteket a tagállamok felügyelik: ellenőrzéseket, értékeléseket és vizsgálatokat végeznek, és a meg nem felelés megelőzése érdekben intézkedéseket hoznak.</w:t>
      </w:r>
    </w:p>
    <w:p>
      <w:pPr>
        <w:rPr>
          <w:noProof/>
        </w:rPr>
      </w:pPr>
      <w:r>
        <w:rPr>
          <w:noProof/>
        </w:rPr>
        <w:t>Bizonyos területeken azonban európai szinten állítják ki a tanúsítványokat. Ezeken a területeken a tagállamok a Chicagói Egyezmény szerinti felelősségi köreiket átruházták az EU-ra (a részleteket lásd a 2. ábrán).</w:t>
      </w:r>
    </w:p>
    <w:p>
      <w:pPr>
        <w:rPr>
          <w:noProof/>
        </w:rPr>
      </w:pPr>
      <w:r>
        <w:rPr>
          <w:noProof/>
        </w:rPr>
        <w:t>Az ICAO-előírásokkal összhangban a tagállamok feladata továbbá az állami légiközlekedés-biztonsági program kialakítása, amely illeszkedik az európai légiközlekedés-biztonsági programhoz, és támogatja az európai repülésbiztonsági politika céljainak elérését.</w:t>
      </w:r>
    </w:p>
    <w:p>
      <w:pPr>
        <w:pStyle w:val="Heading4"/>
        <w:keepLines w:val="0"/>
        <w:numPr>
          <w:ilvl w:val="3"/>
          <w:numId w:val="11"/>
        </w:numPr>
        <w:spacing w:before="240" w:after="240"/>
        <w:rPr>
          <w:noProof/>
        </w:rPr>
      </w:pPr>
      <w:r>
        <w:rPr>
          <w:noProof/>
        </w:rPr>
        <w:t>Az Európai Repülésbiztonsági Ügynökség (EASA)</w:t>
      </w:r>
    </w:p>
    <w:p>
      <w:pPr>
        <w:autoSpaceDE w:val="0"/>
        <w:autoSpaceDN w:val="0"/>
        <w:adjustRightInd w:val="0"/>
        <w:rPr>
          <w:noProof/>
        </w:rPr>
      </w:pPr>
      <w:r>
        <w:rPr>
          <w:noProof/>
        </w:rPr>
        <w:t>Az Európai Repülésbiztonsági Ügynökség 2002-ben jött létre azért, hogy jobb kereteket biztosítson a 216/2008/EK rendelet hatálya alá tartozó ügyeknek oly módon, hogy egyes uniós szinten elvégzett feladatokat egyetlen szakosodott szakértői szerv hajt végre. Az EASA-nál több mint 700 repülési szakértő és ügyintéző dolgozik az EU összes tagállamából. Székhelye Kölnben van egy brüsszeli irodával, és van 3 további irodája Washingtonban (USA), Montrealban (Kanada) és Pekingben (Kína).</w:t>
      </w:r>
    </w:p>
    <w:p>
      <w:pPr>
        <w:autoSpaceDE w:val="0"/>
        <w:autoSpaceDN w:val="0"/>
        <w:adjustRightInd w:val="0"/>
        <w:rPr>
          <w:noProof/>
        </w:rPr>
      </w:pPr>
      <w:r>
        <w:rPr>
          <w:noProof/>
        </w:rPr>
        <w:t>Az ügynökség technikai ügyekben független, és jogi, igazgatási és pénzügyi autonómiával is rendelkezik. Jogi személy, és a 216/2008/EK rendeletben ráruházott feladatokat és felelősségi köröket hajtja végre.</w:t>
      </w:r>
    </w:p>
    <w:p>
      <w:pPr>
        <w:autoSpaceDE w:val="0"/>
        <w:autoSpaceDN w:val="0"/>
        <w:adjustRightInd w:val="0"/>
        <w:rPr>
          <w:noProof/>
        </w:rPr>
      </w:pPr>
      <w:r>
        <w:rPr>
          <w:noProof/>
        </w:rPr>
        <w:t>Az EASA igazgatótanácsa a tagállamok és az Európai Bizottság képviselőiből áll, és meghatározza az ügynökség munkaprogramját, megállapítja a költségvetését és figyelemmel kíséri a tevékenységét.</w:t>
      </w:r>
    </w:p>
    <w:p>
      <w:pPr>
        <w:autoSpaceDE w:val="0"/>
        <w:autoSpaceDN w:val="0"/>
        <w:adjustRightInd w:val="0"/>
        <w:rPr>
          <w:noProof/>
        </w:rPr>
      </w:pPr>
      <w:r>
        <w:rPr>
          <w:noProof/>
        </w:rPr>
        <w:t>A fenti 2. ábrán részletezett repülési területeken az ügynökség lép fel illetékes hatóságként. Ebben az összefüggésben 2003 óta az EU-ban az ügynökség feladata a légi járművek típusalkalmassági tanúsítása. Az EASA által kiállított bizonyítványok tanúsítják, hogy a légi jármű típusa megfelel az európai jogszabályokban meghatározott biztonsági követelményeknek. Az ügynökség a típusterv alapján gyártott légi járművek teljes életciklusán át figyelemmel kíséri az üzemben tartott légijármű-típusok teljesítményét. Ebben az összefüggésben intézkedéseket írhat elő, amennyiben a biztonságot veszélyeztető körülményeket tár fel. Ebből a célból a típusalkalmassági bizonyítvány jogosultjainak címzett „légi alkalmassági utasításokat” állít ki, amelyeket az üzemben tartóknak követniük kell saját egyéni légi járműveik karbantartásának keretében.</w:t>
      </w:r>
    </w:p>
    <w:p>
      <w:pPr>
        <w:rPr>
          <w:noProof/>
        </w:rPr>
      </w:pPr>
      <w:r>
        <w:rPr>
          <w:noProof/>
        </w:rPr>
        <w:t>Az EASA a fenti 3. ábrán látható különféle feladatokat és felelősségi köröket is ellátja. Ezek közé tartozik a Bizottságot a végrehajtási rendeletek technikai részleteinek elkészítésében támogató vélemények kidolgozása és elfogadása.</w:t>
      </w:r>
    </w:p>
    <w:p>
      <w:pPr>
        <w:rPr>
          <w:noProof/>
        </w:rPr>
      </w:pPr>
      <w:r>
        <w:rPr>
          <w:noProof/>
        </w:rPr>
        <w:t>Az ilyen ügynökségi vélemények összeállítását tanácsadó testületek segítik, amelyek az EASA szabályozási programjának tartalmáról, prioritásairól és végrehajtásáról adnak tanácsot. Az ügynökség készíti el és fogadja el azokat az intézkedéseket is (CS, AMC és GM), amelyek e közös műszaki szabályok végrehajtását segítik.</w:t>
      </w:r>
    </w:p>
    <w:p>
      <w:pPr>
        <w:rPr>
          <w:noProof/>
        </w:rPr>
      </w:pPr>
      <w:r>
        <w:rPr>
          <w:noProof/>
        </w:rPr>
        <w:t xml:space="preserve">Ezen túlmenően az EASA a tagállamoknál szabványosítási vizsgálatokat végez, hogy így kísérje figyelemmel, hogy a tagállamok hogyan hajtják végre a 216/2008/EK rendeletet és végrehajtási szabályait (lásd még a </w:t>
      </w:r>
      <w:hyperlink w:anchor="_Monitoring_the_application" w:history="1">
        <w:r>
          <w:rPr>
            <w:rStyle w:val="Hyperlink"/>
            <w:noProof/>
          </w:rPr>
          <w:t>3.1.1. szakaszt</w:t>
        </w:r>
      </w:hyperlink>
      <w:r>
        <w:rPr>
          <w:noProof/>
        </w:rPr>
        <w:t>). Az ügynökség a Bizottságnak számol be.</w:t>
      </w:r>
    </w:p>
    <w:p>
      <w:pPr>
        <w:rPr>
          <w:noProof/>
        </w:rPr>
      </w:pPr>
      <w:r>
        <w:rPr>
          <w:noProof/>
        </w:rPr>
        <w:t>A Bizottság nevében gondoskodik az egységes európai égbolt európai légiforgalmi szolgáltatási (ATM) hálózati funkcióiért felelős hálózatkezelő felügyeletéről is. Ezen túlmenően vizsgálatokat is végezhet egyes szervezeteknél.</w:t>
      </w:r>
    </w:p>
    <w:p>
      <w:pPr>
        <w:rPr>
          <w:noProof/>
        </w:rPr>
      </w:pPr>
      <w:r>
        <w:rPr>
          <w:noProof/>
        </w:rPr>
        <w:t>Az EASA arra is fel van hatalmazva, hogy harmadik országok kereskedelmi célú légi fuvarozóinak engedélyezze a 28 EU-tagállamon és az EFTA-államokon (Izland, Norvégia, Liechtenstein és Svájc) belüli, oda befelé vagy onnan kifelé irányuló repülést. Az EASA a külföldi üzemeltetők értékelésének csak a repülésbiztonsággal kapcsolatos részét végzi el, a működési engedélyt továbbra is a nemzeti hatóságok állítják ki. Ezenkívül az uniós repülőtereket használó külföldi légi járművek biztonsága tekintetében az ügynökség hangolja össze az európai SAFA (külföldi légi járművek biztonsági értékelése) földi ellenőrzési programot.</w:t>
      </w:r>
    </w:p>
    <w:p>
      <w:pPr>
        <w:rPr>
          <w:noProof/>
        </w:rPr>
      </w:pPr>
      <w:r>
        <w:rPr>
          <w:noProof/>
        </w:rPr>
        <w:t>Általánosabban az EASA adott esetben technikai tanácsot is ad az Európai Bizottságnak és a tagállamoknak.</w:t>
      </w:r>
    </w:p>
    <w:p>
      <w:pPr>
        <w:rPr>
          <w:noProof/>
        </w:rPr>
      </w:pPr>
      <w:r>
        <w:rPr>
          <w:noProof/>
        </w:rPr>
        <w:t>A repülésbiztonság javítása érdekében adatgyűjtési, elemzési és kutatási feladatokat is vállal. Ebben az összefüggésben az ügynökséget támogatja a repülésbiztonsági elemzői hálózat (NoA), az európai kereskedelmi repülésbiztonsági csoport (ECAST), az európai helikopterbiztonsági csoport (EHEST) és az általános célú repülés európai repülésbiztonsági csoportja (EGAST).</w:t>
      </w:r>
    </w:p>
    <w:p>
      <w:pPr>
        <w:rPr>
          <w:noProof/>
        </w:rPr>
      </w:pPr>
      <w:r>
        <w:rPr>
          <w:noProof/>
        </w:rPr>
        <w:t>Az EASA tagja az Európai Légiközlekedési Válságkoordinációs Egységnek (EACCC) is, amelynek feladata, hogy a repülés terén a hálózati válságokra adott válaszok kezelését összehangolja.</w:t>
      </w:r>
    </w:p>
    <w:p>
      <w:pPr>
        <w:rPr>
          <w:noProof/>
        </w:rPr>
      </w:pPr>
      <w:r>
        <w:rPr>
          <w:noProof/>
        </w:rPr>
        <w:t>Végül az ügynökség feladata az európai légiközlekedés-biztonsági terv</w:t>
      </w:r>
      <w:r>
        <w:rPr>
          <w:rStyle w:val="FootnoteReference"/>
          <w:noProof/>
        </w:rPr>
        <w:footnoteReference w:id="11"/>
      </w:r>
      <w:r>
        <w:rPr>
          <w:noProof/>
        </w:rPr>
        <w:t xml:space="preserve"> elkészítése és elfogadása (a tervről és elfogadásának folyamatáról lásd a </w:t>
      </w:r>
      <w:hyperlink w:anchor="_Safety_Risk_Management" w:history="1">
        <w:r>
          <w:rPr>
            <w:rStyle w:val="Hyperlink"/>
            <w:noProof/>
          </w:rPr>
          <w:t>2.2. szakaszt</w:t>
        </w:r>
      </w:hyperlink>
      <w:r>
        <w:rPr>
          <w:noProof/>
        </w:rPr>
        <w:t>).</w:t>
      </w:r>
    </w:p>
    <w:p>
      <w:pPr>
        <w:pStyle w:val="Heading4"/>
        <w:keepLines w:val="0"/>
        <w:numPr>
          <w:ilvl w:val="3"/>
          <w:numId w:val="11"/>
        </w:numPr>
        <w:spacing w:before="240" w:after="240"/>
        <w:rPr>
          <w:noProof/>
        </w:rPr>
      </w:pPr>
      <w:r>
        <w:rPr>
          <w:noProof/>
        </w:rPr>
        <w:t>Az Európai Bizottság</w:t>
      </w:r>
    </w:p>
    <w:p>
      <w:pPr>
        <w:rPr>
          <w:noProof/>
        </w:rPr>
      </w:pPr>
      <w:r>
        <w:rPr>
          <w:noProof/>
        </w:rPr>
        <w:t xml:space="preserve">Az Európai Bizottság feladata a rendes jogalkotási eljárásban az európai jogalkotási javaslatok elkészítése (lásd még az </w:t>
      </w:r>
      <w:hyperlink w:anchor="_Decision_making_process" w:history="1">
        <w:r>
          <w:rPr>
            <w:rStyle w:val="Hyperlink"/>
            <w:noProof/>
          </w:rPr>
          <w:t>1.3.1. szakaszt</w:t>
        </w:r>
      </w:hyperlink>
      <w:r>
        <w:rPr>
          <w:noProof/>
        </w:rPr>
        <w:t>), továbbá ha az alap-jogiaktus úgy rendelkezik, akkor a végrehajtási és felhatalmazáson alapuló jogi aktusok előkészítése és elfogadása.</w:t>
      </w:r>
    </w:p>
    <w:p>
      <w:pPr>
        <w:rPr>
          <w:noProof/>
        </w:rPr>
      </w:pPr>
      <w:r>
        <w:rPr>
          <w:noProof/>
        </w:rPr>
        <w:t xml:space="preserve">Az uniós jogszabályok elfogadását követően elsősorban a tagállamok felelősége azok helyes és időben történő alkalmazása. A Bizottság kíséri figyelemmel a tagállamok általi helyes alkalmazást (lásd még a </w:t>
      </w:r>
      <w:hyperlink w:anchor="_Monitoring_the_application" w:history="1">
        <w:r>
          <w:rPr>
            <w:rStyle w:val="Hyperlink"/>
            <w:noProof/>
          </w:rPr>
          <w:t>3.1.1. szakaszt</w:t>
        </w:r>
      </w:hyperlink>
      <w:r>
        <w:rPr>
          <w:noProof/>
        </w:rPr>
        <w:t>).</w:t>
      </w:r>
    </w:p>
    <w:p>
      <w:pPr>
        <w:rPr>
          <w:noProof/>
        </w:rPr>
      </w:pPr>
      <w:r>
        <w:rPr>
          <w:noProof/>
        </w:rPr>
        <w:t>Ebben az összefüggésben a Bizottság lépéseket is tehet, ha egy tagállam vélhetően megsérti az uniós jogot. Ha a korai szakaszban nem sikerül megoldást találni, a Bizottság hivatalos kötelezettségszegési eljárást indíthat, és a tagállamot végül akár az Európai Uniós Bírósága elég is utalhatja.</w:t>
      </w:r>
    </w:p>
    <w:p>
      <w:pPr>
        <w:rPr>
          <w:noProof/>
        </w:rPr>
      </w:pPr>
      <w:r>
        <w:rPr>
          <w:noProof/>
        </w:rPr>
        <w:t>A Bizottság feladata az EU éves költségvetésének végrehajtása, amelyről az Európai Parlament és a Tanács dönt. Ebben az összefüggésben a Bizottság biztosítja, hogy elegendő forrás legyen elkülönítve az EASA azon tevékenységeire, amelyek az uniós finanszírozástól függnek.</w:t>
      </w:r>
    </w:p>
    <w:p>
      <w:pPr>
        <w:rPr>
          <w:noProof/>
        </w:rPr>
      </w:pPr>
      <w:r>
        <w:rPr>
          <w:noProof/>
        </w:rPr>
        <w:t>Végül az Európai Bizottság felelős az európai légiközlekedés-biztonsági programról szóló dokumentum elkészítéséért, frissítéséért és elfogadásáért. Az európai légiközlekedés-biztonsági programról szóló dokumentum elkészítésében a Bizottságot egy a tagállamok és az EASA képviselőiből álló munkacsoport támogatja. Szükség esetén a munkacsoport támogatásával a Bizottság frissíti az európai légiközlekedés-biztonsági programról szóló dokumentumot, hogy az tükrözze az európai légiközlekedés-biztonsági program változásait. A Bizottság konzultál a tagállamokkal és az EASA igazgatótanácsával is. Az európai légiközlekedés-biztonsági programról szóló dokumentum első kiadása 2011-ben látott napvilágot. Ez a második kiadás. A harmadik kiadás 2019 körül várható, és tükrözni fogja azokat az esetleges változásokat, amelyeket az ICAO-egyezmény 19. mellékletének (annex) felülvizsgálata vezet be az állami légiközlekedés-biztonsági programok keretének szerkezetében, továbbá azokat, amelyek a 216/2008/EK rendelet Bizottság által 2015-ben javasolt felülvizsgálatából fognak eredni.</w:t>
      </w:r>
    </w:p>
    <w:p>
      <w:pPr>
        <w:pStyle w:val="Heading4"/>
        <w:keepLines w:val="0"/>
        <w:numPr>
          <w:ilvl w:val="3"/>
          <w:numId w:val="11"/>
        </w:numPr>
        <w:spacing w:before="240" w:after="240"/>
        <w:rPr>
          <w:noProof/>
        </w:rPr>
      </w:pPr>
      <w:r>
        <w:rPr>
          <w:noProof/>
        </w:rPr>
        <w:t>Eurocontrol</w:t>
      </w:r>
    </w:p>
    <w:p>
      <w:pPr>
        <w:rPr>
          <w:noProof/>
        </w:rPr>
      </w:pPr>
      <w:r>
        <w:rPr>
          <w:noProof/>
        </w:rPr>
        <w:t xml:space="preserve">Az Eurocontrol nem EU-s szerv, hanem egy többoldalú megállapodás alapján létrejött szervezet, amelynek számos harmadik ország is részese. Az európai régió biztonságos légi forgalmi üzemeltetéséhez technikai szakértelmet biztosít az EASA-nak és a </w:t>
      </w:r>
      <w:hyperlink r:id="rId24">
        <w:r>
          <w:rPr>
            <w:noProof/>
          </w:rPr>
          <w:t>tagállamoknak</w:t>
        </w:r>
      </w:hyperlink>
      <w:r>
        <w:rPr>
          <w:noProof/>
        </w:rPr>
        <w:t>. Az Eurocontrol az egységes európai égbolt (SES) megvalósításának elősegítése érdekében együttműködik a légi közlekedési ágazatbeli partnerekkel.</w:t>
      </w:r>
    </w:p>
    <w:p>
      <w:pPr>
        <w:rPr>
          <w:noProof/>
        </w:rPr>
      </w:pPr>
      <w:r>
        <w:rPr>
          <w:noProof/>
        </w:rPr>
        <w:t>Az Unió aláírt és megkötött egy jegyzőkönyvet, amely az Eurocontrolhoz való csatlakozásáról rendelkezik, ez azonban még nem lépett hatályba. Az EU és az Eurocontrol 2012 decemberében megállapodást kötött, amely általános keretet biztosít a megerősített együttműködéshez. A felek megállapodnak abban, hogy megerősítik és konszolidálják az Unió és az Eurocontrol közötti együttműködést, hogy ezáltal lehetővé tegyék, hogy az Eurocontrol az Unió számára támogatást nyújtson az egységes európai égbolt megvalósításában és a kapcsolódó uniós szakpolitikák végrehajtásában az Unión belül, valamint az Unión kívüli azon államokban, amelyek e szabályokat magukra nézve kötelezőnek ismerik el.</w:t>
      </w:r>
    </w:p>
    <w:p>
      <w:pPr>
        <w:pStyle w:val="Heading2"/>
        <w:keepLines w:val="0"/>
        <w:numPr>
          <w:ilvl w:val="1"/>
          <w:numId w:val="11"/>
        </w:numPr>
        <w:rPr>
          <w:rFonts w:hint="eastAsia"/>
          <w:noProof/>
        </w:rPr>
      </w:pPr>
      <w:bookmarkStart w:id="66" w:name="_Toc419993107"/>
      <w:bookmarkStart w:id="67" w:name="_Toc419993263"/>
      <w:bookmarkStart w:id="68" w:name="_Toc419995285"/>
      <w:bookmarkStart w:id="69" w:name="_Toc420049154"/>
      <w:bookmarkStart w:id="70" w:name="_Accident_and_incident"/>
      <w:bookmarkStart w:id="71" w:name="_Toc434321944"/>
      <w:bookmarkStart w:id="72" w:name="_Toc440462607"/>
      <w:bookmarkEnd w:id="66"/>
      <w:bookmarkEnd w:id="67"/>
      <w:bookmarkEnd w:id="68"/>
      <w:bookmarkEnd w:id="69"/>
      <w:bookmarkEnd w:id="70"/>
      <w:r>
        <w:rPr>
          <w:noProof/>
        </w:rPr>
        <w:t>Balesetek és repülőesemények vizsgálata</w:t>
      </w:r>
      <w:bookmarkEnd w:id="71"/>
      <w:bookmarkEnd w:id="72"/>
    </w:p>
    <w:p>
      <w:pPr>
        <w:pStyle w:val="Heading3"/>
        <w:keepLines w:val="0"/>
        <w:numPr>
          <w:ilvl w:val="2"/>
          <w:numId w:val="11"/>
        </w:numPr>
        <w:spacing w:before="240" w:after="240"/>
        <w:rPr>
          <w:noProof/>
        </w:rPr>
      </w:pPr>
      <w:bookmarkStart w:id="73" w:name="_Toc434321945"/>
      <w:bookmarkStart w:id="74" w:name="_Toc440462608"/>
      <w:r>
        <w:rPr>
          <w:noProof/>
        </w:rPr>
        <w:t>Az alkalmazandó szabályok</w:t>
      </w:r>
      <w:bookmarkEnd w:id="73"/>
      <w:bookmarkEnd w:id="74"/>
    </w:p>
    <w:p>
      <w:pPr>
        <w:rPr>
          <w:rStyle w:val="welcomebodytext"/>
          <w:noProof/>
        </w:rPr>
      </w:pPr>
      <w:r>
        <w:rPr>
          <w:noProof/>
        </w:rPr>
        <w:t>Továbbra is a tagállamok feladata a balesetek és repülőesemények vizsgálata és okainak feltárása, valamint az újbóli előfordulásuk megakadályozására irányuló biztonsági ajánlások megtétele, ezáltal pedig a repülésbiztonság javítása.</w:t>
      </w:r>
    </w:p>
    <w:p>
      <w:pPr>
        <w:rPr>
          <w:rStyle w:val="welcomebodytext"/>
          <w:iCs/>
          <w:noProof/>
        </w:rPr>
      </w:pPr>
      <w:r>
        <w:rPr>
          <w:noProof/>
        </w:rPr>
        <w:t>A balesetek és repülőesemények vizsgálatának és megelőzésének uniós szintű jogalapja a 996/2010/EK rendelet. Biztosítja az európai polgári eseményvizsgálatok magas szintű hatékonyságát, célszerűségét és minőségét, és kizárólagos célja a jövőbeni balesetek és repülőesemények megelőzése, a vétkesség vagy a felelősség kérdésének tisztázása nélkül.</w:t>
      </w:r>
      <w:r>
        <w:rPr>
          <w:noProof/>
          <w:color w:val="000000"/>
        </w:rPr>
        <w:t xml:space="preserve"> </w:t>
      </w:r>
      <w:r>
        <w:rPr>
          <w:noProof/>
        </w:rPr>
        <w:t>Ezek a szabályok biztosítják, hogy a balesetek és repülőesemények vizsgálatáért felelős hatóság (eseményvizsgálatokat végző hatóság) független legyen a többi állami repülési hatóságtól, valamint általában minden olyan féltől vagy szervezettől, amelynek az érdekei vagy feladatai az eseményvizsgálatokat végző hatóság feladataival ütközhetnek vagy objektivitását befolyásolhatják.</w:t>
      </w:r>
      <w:r>
        <w:rPr>
          <w:rStyle w:val="welcomebodytext"/>
          <w:noProof/>
        </w:rPr>
        <w:t xml:space="preserve"> </w:t>
      </w:r>
      <w:r>
        <w:rPr>
          <w:noProof/>
        </w:rPr>
        <w:t>A szabályok szerint az eseményvizsgálatokat végző hatóságot meg lehet bízni a légi közlekedés biztonságára vonatkozó információk gyűjtésével és elemzésével is, különösen baleset-megelőzési célokból.</w:t>
      </w:r>
      <w:r>
        <w:rPr>
          <w:rStyle w:val="welcomebodytext"/>
          <w:noProof/>
        </w:rPr>
        <w:t xml:space="preserve"> Az ilyen tevékenységek, tanulmányok vagy több eseményvizsgálat eredménye nyomán a hatóság biztonsági ajánlásokat fogalmazhat meg, amelyeket az adott címzettnek meg kell fontolnia, és annak megfelelően kell cselekednie a polgári repülési balesetek és repülőesemények megelőzése érdekében.</w:t>
      </w:r>
    </w:p>
    <w:p>
      <w:pPr>
        <w:pStyle w:val="Heading3"/>
        <w:keepLines w:val="0"/>
        <w:numPr>
          <w:ilvl w:val="2"/>
          <w:numId w:val="11"/>
        </w:numPr>
        <w:spacing w:before="240" w:after="240"/>
        <w:rPr>
          <w:noProof/>
        </w:rPr>
      </w:pPr>
      <w:bookmarkStart w:id="75" w:name="_Toc434321946"/>
      <w:bookmarkStart w:id="76" w:name="_Toc440462609"/>
      <w:r>
        <w:rPr>
          <w:noProof/>
        </w:rPr>
        <w:t>Biztonsági ajánlások</w:t>
      </w:r>
      <w:bookmarkEnd w:id="75"/>
      <w:bookmarkEnd w:id="76"/>
    </w:p>
    <w:p>
      <w:pPr>
        <w:rPr>
          <w:rStyle w:val="welcomebodytext"/>
          <w:rFonts w:eastAsiaTheme="majorEastAsia" w:cstheme="majorBidi"/>
          <w:bCs/>
          <w:i/>
          <w:noProof/>
        </w:rPr>
      </w:pPr>
      <w:r>
        <w:rPr>
          <w:rStyle w:val="welcomebodytext"/>
          <w:noProof/>
        </w:rPr>
        <w:t>A 996/2010/EK rendelet értelmében a biztonsági ajánlás címzettjének a kísérőlevél kézhezvételétől számított 90 napon belül értesítenie kell az ajánlást kibocsátó eseményvizsgálatokat végző hatóságot a meghozott vagy tervezett intézkedésekről, és adott esetben az azok végrehajtásához szükséges időről, továbbá amennyiben nem történt intézkedés, annak indoklásáról. A válasz kézhezvételétől számított 60 napon belül az eseményvizsgálatokat végző hatóság tájékoztatja a címzettet a válasz kielégítő vagy nem kielégítő voltáról, és indokolást mellékel, amennyiben nem ért egyet azzal, hogy nem került sor intézkedésre.</w:t>
      </w:r>
    </w:p>
    <w:p>
      <w:pPr>
        <w:rPr>
          <w:rStyle w:val="welcomebodytext"/>
          <w:noProof/>
        </w:rPr>
      </w:pPr>
      <w:r>
        <w:rPr>
          <w:rStyle w:val="welcomebodytext"/>
          <w:noProof/>
        </w:rPr>
        <w:t>Az eseményvizsgálatokat végző hatóságok eljárásokkal rendelkeznek a kibocsátott biztonsági ajánlásokra beérkezett válaszok nyilvántartására, a biztonsági ajánlások címzettjei pedig figyelemmel kísérik a beérkezett biztonsági ajánlásokra válaszul végrehajtott intézkedések előrehaladását. Az EASA egy eljárást is kialakított a neki címzett biztonsági ajánlások feldolgozására, és minderről előrehaladási jelentéseket és statisztikát is készít.</w:t>
      </w:r>
    </w:p>
    <w:p>
      <w:pPr>
        <w:rPr>
          <w:noProof/>
          <w:color w:val="000000"/>
        </w:rPr>
      </w:pPr>
      <w:r>
        <w:rPr>
          <w:noProof/>
        </w:rPr>
        <w:t>A jogszabály azt is előírja, hogy a biztonsági ajánlásokat és a hozzájuk kapcsolódó válaszokat egy európai adatbázisban kell nyilvántartani (biztonsági ajánlások információs rendszere, Safety Recommendations Information System, SRIS).</w:t>
      </w:r>
      <w:r>
        <w:rPr>
          <w:noProof/>
          <w:color w:val="000000"/>
        </w:rPr>
        <w:t xml:space="preserve"> A közös európai adatbázisban az eseményvizsgálatokat végző hatóságok ugyanígy nyilvántartják a harmadik országokból kapott biztonsági ajánlásokat is.</w:t>
      </w:r>
    </w:p>
    <w:p>
      <w:pPr>
        <w:pStyle w:val="Heading3"/>
        <w:keepLines w:val="0"/>
        <w:numPr>
          <w:ilvl w:val="2"/>
          <w:numId w:val="11"/>
        </w:numPr>
        <w:spacing w:before="240" w:after="240"/>
        <w:rPr>
          <w:noProof/>
        </w:rPr>
      </w:pPr>
      <w:bookmarkStart w:id="77" w:name="_Toc434321947"/>
      <w:bookmarkStart w:id="78" w:name="_Toc440462610"/>
      <w:r>
        <w:rPr>
          <w:noProof/>
        </w:rPr>
        <w:t>Együttműködés egyéb szervekkel</w:t>
      </w:r>
      <w:bookmarkEnd w:id="77"/>
      <w:bookmarkEnd w:id="78"/>
    </w:p>
    <w:p>
      <w:pPr>
        <w:rPr>
          <w:noProof/>
        </w:rPr>
      </w:pPr>
      <w:r>
        <w:rPr>
          <w:noProof/>
        </w:rPr>
        <w:t>A 996/2010/EK rendelet tovább erősíti az eseményvizsgálatokat végző hatóságok közötti együttműködést a polgári eseményvizsgálatokat végző hatóságok európai hálózatának (European Network of Civil Aviation Safety Investigation Authorities, ENCASIA) felállításával, amely az egyes tagállamok eseményvizsgálatokat végző hatóságainak vezetőiből és/vagy multimodális hatóságaik repülési ágának vezetőiből vagy képviselőikből áll. Az ENCASIA tovább kívánja javítani az eseményvizsgálatokat végző hatóságok által elvégzett vizsgálatok minőségét és erősíteni szeretné függetlenségüket azáltal, hogy szigorú szabványok létrehozását ösztönzi a vizsgálati módszerek és a vizsgálatokat végző szakemberek képzése terén. Az ENCASIA az eseményvizsgálatok minden vonatkozásában tanácsot ad az európai uniós intézményeknek, előmozdítja a repülésbiztonság javításához hasznos információk megosztását, kölcsönös felülvizsgálati (peer review) és képzési tevékenységeket koordinál és szervez, és népszerűsíti a legjobb eseményvizsgálati gyakorlatokat. Végül az ENCASIA feladata, hogy elemezze az uniós tagállamok által kibocsátott vagy kapott biztonsági ajánlásokat azzal a céllal, hogy azonosítsa az egész Unió szempontjából releváns, fontos biztonsági ajánlásokat.</w:t>
      </w:r>
    </w:p>
    <w:p>
      <w:pPr>
        <w:rPr>
          <w:noProof/>
        </w:rPr>
      </w:pPr>
      <w:r>
        <w:rPr>
          <w:noProof/>
        </w:rPr>
        <w:t>A 996/2010/EK rendelet az EU-ban arra kötelezi az eseményvizsgálatokat végző hatóságokat, hogy a Chicagói Egyezmény 13. mellékletével összhangban az EASA és az érintett tagállam(ok) nemzeti polgári légügyi hatóságai is meghívást kapjanak az eseményvizsgálaton való részvételre. Az EASA szerepe a tanácsadás: a vizsgálatot végző vagy abban részt vevő vizsgálatvezetőt, illetve eseményvizsgáló meghatalmazott képviselőjét támogatja, de oly módon, hogy az ne érintse a vizsgálat függetlenségét. Hasonlóképen tanácsadóként az EU-tagállamok nemzeti polgári légügyi hatóságai részt vehetnek az eseményvizsgálatokban. Az EASA és a nemzeti polgári légügyi hatóságok azzal is támogatják azt a vizsgálatot, amelyben részt vesznek, hogy vizsgálatvezető eseményvizsgáló hatóságnak megadják az általa kért tájékoztatást, tanácsadókat és felszerelést.</w:t>
      </w:r>
    </w:p>
    <w:p>
      <w:pPr>
        <w:rPr>
          <w:noProof/>
          <w:color w:val="000000"/>
        </w:rPr>
      </w:pPr>
      <w:r>
        <w:rPr>
          <w:noProof/>
          <w:color w:val="000000"/>
        </w:rPr>
        <w:t>A rendelet arra is törekszik, hogy javuljon a vizsgálatok koordinációja az eseményvizsgálatokat végző hatóságok és az eseményvizsgálattal kapcsolatos tevékenységekben valószínűleg részt vevő egyéb hatóságok – például az igazságszolgáltatási, polgári légiközlekedési és a kutató-mentő szolgálatok – között.</w:t>
      </w:r>
    </w:p>
    <w:p>
      <w:pPr>
        <w:pStyle w:val="Heading2"/>
        <w:keepLines w:val="0"/>
        <w:numPr>
          <w:ilvl w:val="1"/>
          <w:numId w:val="11"/>
        </w:numPr>
        <w:rPr>
          <w:rFonts w:hint="eastAsia"/>
          <w:noProof/>
        </w:rPr>
      </w:pPr>
      <w:bookmarkStart w:id="79" w:name="_Toc419995287"/>
      <w:bookmarkStart w:id="80" w:name="_Toc420049159"/>
      <w:bookmarkStart w:id="81" w:name="_Toc434321948"/>
      <w:bookmarkStart w:id="82" w:name="_Toc440462611"/>
      <w:bookmarkEnd w:id="79"/>
      <w:bookmarkEnd w:id="80"/>
      <w:r>
        <w:rPr>
          <w:noProof/>
        </w:rPr>
        <w:t>A szabályok betartatása</w:t>
      </w:r>
      <w:bookmarkEnd w:id="81"/>
      <w:bookmarkEnd w:id="82"/>
    </w:p>
    <w:p>
      <w:pPr>
        <w:pStyle w:val="Heading3"/>
        <w:keepLines w:val="0"/>
        <w:numPr>
          <w:ilvl w:val="2"/>
          <w:numId w:val="11"/>
        </w:numPr>
        <w:spacing w:before="240" w:after="240"/>
        <w:rPr>
          <w:noProof/>
        </w:rPr>
      </w:pPr>
      <w:bookmarkStart w:id="83" w:name="_Enforcement_towards_the"/>
      <w:bookmarkStart w:id="84" w:name="_Toc434321949"/>
      <w:bookmarkStart w:id="85" w:name="_Toc440462612"/>
      <w:bookmarkEnd w:id="83"/>
      <w:r>
        <w:rPr>
          <w:noProof/>
        </w:rPr>
        <w:t>A szabályok betartatása a tagállamokkal</w:t>
      </w:r>
      <w:bookmarkEnd w:id="84"/>
      <w:bookmarkEnd w:id="85"/>
    </w:p>
    <w:p>
      <w:pPr>
        <w:shd w:val="clear" w:color="auto" w:fill="FFFFFF"/>
        <w:rPr>
          <w:noProof/>
        </w:rPr>
      </w:pPr>
      <w:r>
        <w:rPr>
          <w:noProof/>
        </w:rPr>
        <w:t>A lehetséges kötelezettségszegések számos módon feltárhatók, többek között az EASA által végzett szabványosítási vizsgálatok eredményei alapján; e vizsgálatok végzésével az EASA segítséget nyújt a Bizottságnak a repülésbiztonsági jogszabályok végrehajtásának nyomon követéséhez. Az ügynökség minden egyes szabványosítási vizsgálat esetében összeállít egy vizsgálati jelentést, amely a vizsgálat megállapításaival foglalkozik, és amelyet megkap az érintett tagállam és a Bizottság. Ha a meg nem felelésre utaló megállapításokra a tagállam nem ad megfelelő választ, akkor arról tájékoztatást kap a Bizottság, amely kötelezettségszegési eljárást indíthat.</w:t>
      </w:r>
    </w:p>
    <w:p>
      <w:pPr>
        <w:shd w:val="clear" w:color="auto" w:fill="FFFFFF"/>
        <w:rPr>
          <w:noProof/>
        </w:rPr>
      </w:pPr>
      <w:r>
        <w:rPr>
          <w:noProof/>
        </w:rPr>
        <w:t>Ha az uniós jog egy tagállam általi lehetséges megsértése a Bizottság tudomására jut, akkor a Bizottság strukturált párbeszéd (EU Pilot eljárás) segítségével megkísérli mihamarabb megoldani a problémát az érintett tagállammal. A tagállamok további ténybeli vagy jogi tájékoztatást adhatnak az uniós jogot potenciálisan sértő esetről. A cél az uniós joggal összeegyeztethető megoldást találni, és így elkerülni a hivatalos kötelezettségszegési eljárást.</w:t>
      </w:r>
    </w:p>
    <w:p>
      <w:pPr>
        <w:shd w:val="clear" w:color="auto" w:fill="FFFFFF"/>
        <w:rPr>
          <w:noProof/>
        </w:rPr>
      </w:pPr>
      <w:r>
        <w:rPr>
          <w:noProof/>
        </w:rPr>
        <w:t>Ha a Bizottság úgy véli, hogy az uniós jognak való megfelelés problémája továbbra is fennáll, az Európai Unió működéséről szóló szerződés 258. cikke szerint hivatalos kötelezettségszegési eljárást indíthat.</w:t>
      </w:r>
    </w:p>
    <w:p>
      <w:pPr>
        <w:pStyle w:val="Heading3"/>
        <w:keepLines w:val="0"/>
        <w:numPr>
          <w:ilvl w:val="2"/>
          <w:numId w:val="11"/>
        </w:numPr>
        <w:spacing w:before="240" w:after="240"/>
        <w:rPr>
          <w:noProof/>
        </w:rPr>
      </w:pPr>
      <w:bookmarkStart w:id="86" w:name="_Toc434321950"/>
      <w:bookmarkStart w:id="87" w:name="_Toc440462613"/>
      <w:r>
        <w:rPr>
          <w:noProof/>
        </w:rPr>
        <w:t>A szabályok betartatása a szabályozott ágazati szervezetekkel</w:t>
      </w:r>
      <w:bookmarkEnd w:id="86"/>
      <w:bookmarkEnd w:id="87"/>
    </w:p>
    <w:p>
      <w:pPr>
        <w:pStyle w:val="Heading4"/>
        <w:keepLines w:val="0"/>
        <w:numPr>
          <w:ilvl w:val="3"/>
          <w:numId w:val="11"/>
        </w:numPr>
        <w:spacing w:before="240" w:after="240"/>
        <w:rPr>
          <w:noProof/>
        </w:rPr>
      </w:pPr>
      <w:r>
        <w:rPr>
          <w:noProof/>
        </w:rPr>
        <w:t>Szankciók</w:t>
      </w:r>
    </w:p>
    <w:p>
      <w:pPr>
        <w:shd w:val="clear" w:color="auto" w:fill="FFFFFF"/>
        <w:rPr>
          <w:noProof/>
        </w:rPr>
      </w:pPr>
      <w:r>
        <w:rPr>
          <w:noProof/>
        </w:rPr>
        <w:t>Az alkalmazandó repülésbiztonsági rendeletek értelmében a tagállamoknak szankciókat kell megállapítaniuk a rendeletek és esetleges végrehajtási szabályaik megsértésének esetére. A szankcióknak hatékonynak, arányosnak és visszatartó erejűnek kell lenniük.</w:t>
      </w:r>
    </w:p>
    <w:p>
      <w:pPr>
        <w:shd w:val="clear" w:color="auto" w:fill="FFFFFF"/>
        <w:rPr>
          <w:noProof/>
        </w:rPr>
      </w:pPr>
      <w:r>
        <w:rPr>
          <w:noProof/>
        </w:rPr>
        <w:t>Ezenkívül a 216/2008/EK rendelet és végrehajtási szabályai megsértése esetén, ha az ügynökség az illetékes hatóság és látja el egy szervezet felügyeletét, a Bizottság az ügynökség kérésére pénzbírságot vagy időszakos kényszerítő bírságot szabhat ki azokra a személyekre és vállalkozásokra, akik/amelyek részére az EASA bizonyítványt állított ki. A pénzbírságnak és az időszakos kényszerítő bírságnak visszatartó erejűnek és arányosnak kell lennie mind az eset súlyosságához, mind a bizonyítvány birtokosának gazdasági lehetőségeihez mérten, különösen figyelembe véve azt, hogy a repülésbiztonság milyen mértékben került veszélybe.</w:t>
      </w:r>
    </w:p>
    <w:p>
      <w:pPr>
        <w:pStyle w:val="Heading4"/>
        <w:keepLines w:val="0"/>
        <w:numPr>
          <w:ilvl w:val="3"/>
          <w:numId w:val="11"/>
        </w:numPr>
        <w:spacing w:before="240" w:after="240"/>
        <w:rPr>
          <w:noProof/>
        </w:rPr>
      </w:pPr>
      <w:r>
        <w:rPr>
          <w:noProof/>
        </w:rPr>
        <w:t>Bizonyítványokra és más intézkedésekre vonatkozó lépések</w:t>
      </w:r>
    </w:p>
    <w:p>
      <w:pPr>
        <w:autoSpaceDE w:val="0"/>
        <w:autoSpaceDN w:val="0"/>
        <w:adjustRightInd w:val="0"/>
        <w:rPr>
          <w:noProof/>
        </w:rPr>
      </w:pPr>
      <w:r>
        <w:rPr>
          <w:noProof/>
        </w:rPr>
        <w:t>A 216/2008/EK rendelet szerint a tagállamok, a Bizottság és az EASA együttműködnek egymással annak érdekében, hogy biztosítsák az e rendeletnek és végrehajtási szabályainak való megfelelést. Az előírás szerint a tagállamok az általuk kiállított bizonyítványok felügyeletén túlmenően vizsgálatokat, többek között földi ellenőrzéseket folytatnak, és minden szükséges intézkedést meghoznak, beleértve a felszállási tilalom kiadását is. Ha az illetékes hatóság (nemzeti hatóság vagy az EASA) megállapította a bizonyítvány birtokosának meg nem felelését, vagy erről tájékoztatást kapott, akkor a 216/2008/EK rendelet és végrehajtási szabályainak alkalmazandó rendelkezései szerint lehetősége vagy kötelessége a bizonyítvány módosítása (korlátozása), felfüggesztése vagy visszavonása.</w:t>
      </w:r>
    </w:p>
    <w:p>
      <w:pPr>
        <w:shd w:val="clear" w:color="auto" w:fill="FFFFFF"/>
        <w:rPr>
          <w:noProof/>
        </w:rPr>
      </w:pPr>
      <w:r>
        <w:rPr>
          <w:noProof/>
        </w:rPr>
        <w:t>Ezenkívül – saját kezdeményezésére, vagy egy tagállam vagy az EASA kérésére – a Bizottság eljárást indíthat azt eldöntendő, hogy egy a 216/2008/EK rendelet és végrehajtási rendeletei szerint kiállított bizonyítvány ténylegesen megfelel-e ezeknek. Amennyiben a bizonyítvány nem felel meg a követelményeknek, a Bizottság felszólítja az illetékes hatóságot, hogy hozzon megfelelő korrekciós intézkedést, például az érintett bizonyítvány érvényességének korlátozásával vagy felfüggesztésével. Miután a Bizottság egy ilyen határozatot kiadott, a bizonyítványok kölcsönös elismerésének kötelessége nem vonatkozik a többi tagállamra. Miután a Bizottságnak elegendő bizonyíték áll rendelkezésre arról, hogy a megfelelő korrekciós intézkedés megtörtént, dönt a kölcsönös elismerés visszaállításáról.</w:t>
      </w:r>
    </w:p>
    <w:p>
      <w:pPr>
        <w:shd w:val="clear" w:color="auto" w:fill="FFFFFF"/>
        <w:rPr>
          <w:noProof/>
        </w:rPr>
      </w:pPr>
      <w:r>
        <w:rPr>
          <w:noProof/>
        </w:rPr>
        <w:t>Ezen intézkedéseken túlmenően a tagállamok nemzeti végrehajtási intézkedéseket is bevezettek, hogy nemzeti szinten is biztosítsák a jogszabályok helyes alkalmazását.</w:t>
      </w:r>
      <w:r>
        <w:rPr>
          <w:noProof/>
        </w:rPr>
        <w:br w:type="page"/>
      </w:r>
    </w:p>
    <w:p>
      <w:pPr>
        <w:pStyle w:val="Heading1"/>
        <w:rPr>
          <w:rFonts w:hint="eastAsia"/>
          <w:noProof/>
        </w:rPr>
      </w:pPr>
      <w:bookmarkStart w:id="88" w:name="_Toc434321951"/>
      <w:bookmarkStart w:id="89" w:name="_Toc440462614"/>
      <w:bookmarkStart w:id="90" w:name="_Toc277253702"/>
      <w:r>
        <w:rPr>
          <w:noProof/>
        </w:rPr>
        <w:t>EURÓPAI REPÜLÉSBIZTONSÁGI KOCKÁZATKEZELÉS</w:t>
      </w:r>
      <w:bookmarkEnd w:id="88"/>
      <w:bookmarkEnd w:id="89"/>
    </w:p>
    <w:p>
      <w:pPr>
        <w:shd w:val="clear" w:color="auto" w:fill="FFFFFF"/>
        <w:rPr>
          <w:noProof/>
        </w:rPr>
      </w:pPr>
      <w:r>
        <w:rPr>
          <w:noProof/>
        </w:rPr>
        <w:t>Az Európai Unió egy proaktívabb és adatközpontúbb repülésbiztonsági rendszer felé halad. Ez nem működhet elszigetelten uniós szinten, hanem a rendszer minden szintjén alkalmazni kell. A 19. melléklet (annex) 4. fejezetében található ICAO-előírások állapítják meg a repülésbiztonsági menedzsmentrendszer szolgáltatókra vonatkozó követelményeit: ezek értelmében minden repülésbiztonsági menedzsmentrendszernek elfogadhatónak kell lennie azon állam számára, amely a kapcsolódó tanúsításért felelős. Az ICAO 19. melléklete ezen túlmenően megköveteli az államoktól, hogy repülésbiztonság-menedzselési programokat alakítsanak ki. Ez az állami légiközlekedés-biztonsági program, amelyben szerepelniük kell világos irányvonalaknak és céloknak, a repülésbiztonsági kockázatokat kezelő és a repülésbiztonságot szavatoló eszközöknek és végül a repülésbiztonságot népszerűsítő tevékenységeknek.</w:t>
      </w:r>
    </w:p>
    <w:p>
      <w:pPr>
        <w:shd w:val="clear" w:color="auto" w:fill="FFFFFF"/>
        <w:rPr>
          <w:noProof/>
        </w:rPr>
      </w:pPr>
      <w:r>
        <w:rPr>
          <w:noProof/>
        </w:rPr>
        <w:t>Jelenleg az EU nem írja elő a tagállamoknak, hogy ténylegesen állami légiközlekedés-biztonsági programot fogadjanak el. A megfelelő ICAO-előírások szelleme azonban számos európai rendeletben – különösen a 216/2008/EK rendelet végrehajtási szabályaiban – tükröződik.</w:t>
      </w:r>
    </w:p>
    <w:p>
      <w:pPr>
        <w:pStyle w:val="Heading2"/>
        <w:ind w:hanging="720"/>
        <w:rPr>
          <w:rFonts w:hint="eastAsia"/>
          <w:noProof/>
        </w:rPr>
      </w:pPr>
      <w:bookmarkStart w:id="91" w:name="_Toc434321952"/>
      <w:bookmarkStart w:id="92" w:name="_Toc440462615"/>
      <w:r>
        <w:rPr>
          <w:noProof/>
        </w:rPr>
        <w:t>Szervezetekre és hatóságokra vonatkozó repülésbiztonsági követelmények</w:t>
      </w:r>
      <w:bookmarkEnd w:id="91"/>
      <w:bookmarkEnd w:id="92"/>
    </w:p>
    <w:p>
      <w:pPr>
        <w:shd w:val="clear" w:color="auto" w:fill="FFFFFF"/>
        <w:rPr>
          <w:noProof/>
        </w:rPr>
      </w:pPr>
      <w:r>
        <w:rPr>
          <w:noProof/>
        </w:rPr>
        <w:t>A 216/2008/EK rendelet végrehajtási szabályai között két különálló – a hatóságokra, illetve a szervezetekre vonatkozó – követelménycsoport került elfogadásra.</w:t>
      </w:r>
    </w:p>
    <w:p>
      <w:pPr>
        <w:numPr>
          <w:ilvl w:val="0"/>
          <w:numId w:val="28"/>
        </w:numPr>
        <w:shd w:val="clear" w:color="auto" w:fill="FFFFFF"/>
        <w:rPr>
          <w:noProof/>
        </w:rPr>
      </w:pPr>
      <w:r>
        <w:rPr>
          <w:noProof/>
        </w:rPr>
        <w:t>A hatóságra vonatkozó követelmények megfelelően figyelembe veszik a repülésbiztonság-felügyeleti rendszer ICAO által meghatározott nyolc kritikus elemét, így támogatják az állami légiközlekedés-biztonsági programok végrehajtását, miközben a 216/2008/EK rendelet szabványosítási céljainak is megfelelnek. Tartalmaznak továbbá olyan elemeket is, amelyek alapvetőek az uniós szintű átfogó repülésbiztonsági menedzsmentrendszer létrehozásához, amely egyaránt felöleli az EU és a tagállamok repülésbiztonság-menedzsmenttel kapcsolatos feladatait.</w:t>
      </w:r>
    </w:p>
    <w:p>
      <w:pPr>
        <w:numPr>
          <w:ilvl w:val="0"/>
          <w:numId w:val="28"/>
        </w:numPr>
        <w:shd w:val="clear" w:color="auto" w:fill="FFFFFF"/>
        <w:rPr>
          <w:noProof/>
        </w:rPr>
      </w:pPr>
      <w:r>
        <w:rPr>
          <w:noProof/>
        </w:rPr>
        <w:t>A szervezetekre vonatkozó követelmények a repülés legtöbb területén a repülésbiztonsági menedzsmentrendszerek egységes szerkezetbe foglalt általános követelményeit tartalmazzák. Az első és a folyamatos légi alkalmasság területén érvényes menedzsmentrendszereket előíró szabályok elfogadása folyamatban van. A szervezetekre vonatkozó követelmények úgy vannak kialakítva, hogy az ICAO-előírásokat a meglévő menedzsmentrendszerekkel összeegyeztethetően tartalmazzák és ösztönözzék az integrált menedzsmentet. A menedzsmentrendszerek követelményei igazodnak a repülési szervezetek méretéhez, jellegéhez és tevékenységeinek összetettségéhez, és illeszkednek a szervezet által alkalmazott üzleti modellhez, így arányosan alkalmazhatók.</w:t>
      </w:r>
    </w:p>
    <w:p>
      <w:pPr>
        <w:shd w:val="clear" w:color="auto" w:fill="FFFFFF"/>
        <w:rPr>
          <w:noProof/>
        </w:rPr>
      </w:pPr>
      <w:r>
        <w:rPr>
          <w:noProof/>
        </w:rPr>
        <w:t>A különféle technikai területeken ezeket az általános hatósági és szervezeti követelményeket további konkrét követelmények egészítik ki (például repülési adatok figyelemmel kísérési követelményei légi fuvarozóknak).</w:t>
      </w:r>
    </w:p>
    <w:p>
      <w:pPr>
        <w:shd w:val="clear" w:color="auto" w:fill="FFFFFF"/>
        <w:rPr>
          <w:noProof/>
        </w:rPr>
      </w:pPr>
      <w:r>
        <w:rPr>
          <w:noProof/>
        </w:rPr>
        <w:t>A hatóságokra és a szervezetekre vonatkozó követelmények úgy vannak kialakítva, hogy a 216/2008/EK rendelet hatálya alá tartozó összes területen hasonló repülésbiztonsági szintet tükrözzenek. Konkrétan a közös menedzsmentrendszer-követelmények a 216/2008/EK rendelet hatálya alá tartozó valamennyi jóváhagyott szervezet számára egységes repülésbiztonságmenedzsment-keretet alkotnak.</w:t>
      </w:r>
    </w:p>
    <w:p>
      <w:pPr>
        <w:shd w:val="clear" w:color="auto" w:fill="FFFFFF"/>
        <w:rPr>
          <w:noProof/>
        </w:rPr>
      </w:pPr>
      <w:r>
        <w:rPr>
          <w:noProof/>
        </w:rPr>
        <w:t>Ezeken a követelményeken túlmenően a 376/2014/EU rendelet biztosítja, hogy a szervezetek és az illetékes hatóságok a polgári repülés terén az események jelentésével, elemzésével és nyomon követésével azonosítsák a veszélyeket és kezeljék a repülésbiztonsági kockázatokat.</w:t>
      </w:r>
    </w:p>
    <w:p>
      <w:pPr>
        <w:pStyle w:val="Heading2"/>
        <w:ind w:hanging="720"/>
        <w:rPr>
          <w:rFonts w:hint="eastAsia"/>
          <w:noProof/>
        </w:rPr>
      </w:pPr>
      <w:bookmarkStart w:id="93" w:name="_Safety_Risk_Management"/>
      <w:bookmarkStart w:id="94" w:name="_Toc434321953"/>
      <w:bookmarkStart w:id="95" w:name="_Toc440462616"/>
      <w:bookmarkEnd w:id="93"/>
      <w:r>
        <w:rPr>
          <w:noProof/>
        </w:rPr>
        <w:t>Repülésbiztonsági kockázatkezelés az EU szintjén: az európai repülésbiztonsági terv kialakításának és frissítésének folyamata</w:t>
      </w:r>
      <w:bookmarkEnd w:id="94"/>
      <w:bookmarkEnd w:id="95"/>
    </w:p>
    <w:bookmarkEnd w:id="90"/>
    <w:p>
      <w:pPr>
        <w:shd w:val="clear" w:color="auto" w:fill="FFFFFF"/>
        <w:rPr>
          <w:noProof/>
        </w:rPr>
      </w:pPr>
      <w:r>
        <w:rPr>
          <w:noProof/>
        </w:rPr>
        <w:t>Európai szinten a repülésbiztonsági kockázatkezelési folyamat központi eleme az európai repülésbiztonsági terv, amely bevonja a tagállamokat, az ágazatot és az EASA-t is.</w:t>
      </w:r>
    </w:p>
    <w:p>
      <w:pPr>
        <w:shd w:val="clear" w:color="auto" w:fill="FFFFFF"/>
        <w:rPr>
          <w:noProof/>
        </w:rPr>
      </w:pPr>
      <w:r>
        <w:rPr>
          <w:noProof/>
        </w:rPr>
        <w:t>Ez a folyamat az alábbi ábrán látható feladatokból áll:</w:t>
      </w:r>
    </w:p>
    <w:p>
      <w:pPr>
        <w:shd w:val="clear" w:color="auto" w:fill="FFFFFF"/>
        <w:spacing w:after="240"/>
        <w:rPr>
          <w:i/>
          <w:noProof/>
        </w:rPr>
      </w:pPr>
      <w:r>
        <w:rPr>
          <w:i/>
          <w:noProof/>
        </w:rPr>
        <w:t>4. ábra Repülésbiztonsági kockázatkezelési folyamat az EU szintjén</w:t>
      </w:r>
    </w:p>
    <w:p>
      <w:pPr>
        <w:spacing w:before="240" w:after="240"/>
        <w:jc w:val="center"/>
        <w:rPr>
          <w:noProof/>
        </w:rPr>
      </w:pPr>
      <w:r>
        <w:rPr>
          <w:noProof/>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1628113</wp:posOffset>
                </wp:positionH>
                <wp:positionV relativeFrom="paragraph">
                  <wp:posOffset>1810330</wp:posOffset>
                </wp:positionV>
                <wp:extent cx="2615980" cy="1248355"/>
                <wp:effectExtent l="0" t="0" r="0" b="9525"/>
                <wp:wrapNone/>
                <wp:docPr id="20"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15980" cy="124835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pPr>
                              <w:pStyle w:val="NormalWeb"/>
                              <w:spacing w:before="115" w:after="0"/>
                              <w:jc w:val="center"/>
                              <w:textAlignment w:val="baseline"/>
                              <w:rPr>
                                <w:b/>
                                <w:sz w:val="16"/>
                              </w:rPr>
                            </w:pPr>
                            <w:r>
                              <w:rPr>
                                <w:rFonts w:ascii="Calibri" w:hAnsi="Calibri" w:cstheme="minorBidi"/>
                                <w:b/>
                                <w:color w:val="055685"/>
                                <w:sz w:val="32"/>
                              </w:rPr>
                              <w:t>Repülésbiztonságikockázat-portfólió</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le 1" o:spid="_x0000_s1026" type="#_x0000_t202" style="position:absolute;left:0;text-align:left;margin-left:128.2pt;margin-top:142.55pt;width:206pt;height:9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" filled="f" fillcolor="#4f81bd [3204]" stroked="f" strokecolor="black [3213]">
                <v:shadow color="#eeece1 [3214]"/>
                <v:path arrowok="t"/>
                <v:textbox>
                  <w:txbxContent>
                    <w:p>
                      <w:pPr>
                        <w:pStyle w:val="NormalWeb"/>
                        <w:spacing w:before="115" w:after="0"/>
                        <w:jc w:val="center"/>
                        <w:textAlignment w:val="baseline"/>
                        <w:rPr>
                          <w:b/>
                          <w:sz w:val="16"/>
                        </w:rPr>
                      </w:pPr>
                      <w:r>
                        <w:rPr>
                          <w:rFonts w:ascii="Calibri" w:hAnsi="Calibri" w:cstheme="minorBidi"/>
                          <w:b/>
                          <w:color w:val="055685"/>
                          <w:sz w:val="32"/>
                        </w:rPr>
                        <w:t>Repülésbiztonságikockázat-portfólió</w:t>
                      </w:r>
                    </w:p>
                  </w:txbxContent>
                </v:textbox>
              </v:shape>
            </w:pict>
          </mc:Fallback>
        </mc:AlternateContent>
      </w:r>
      <w:r>
        <w:rPr>
          <w:noProof/>
          <w:lang w:val="en-US" w:eastAsia="en-US" w:bidi="ar-SA"/>
        </w:rPr>
        <w:drawing>
          <wp:inline distT="0" distB="0" distL="0" distR="0">
            <wp:extent cx="5263764" cy="4047214"/>
            <wp:effectExtent l="0" t="19050" r="0" b="29845"/>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pPr>
        <w:numPr>
          <w:ilvl w:val="0"/>
          <w:numId w:val="27"/>
        </w:numPr>
        <w:rPr>
          <w:noProof/>
        </w:rPr>
      </w:pPr>
      <w:r>
        <w:rPr>
          <w:noProof/>
        </w:rPr>
        <w:t xml:space="preserve">az európai repülési rendszert érintő </w:t>
      </w:r>
      <w:r>
        <w:rPr>
          <w:b/>
          <w:noProof/>
        </w:rPr>
        <w:t>repülésbiztonsági problémák (vagy veszélyek) azonosítása;</w:t>
      </w:r>
    </w:p>
    <w:p>
      <w:pPr>
        <w:numPr>
          <w:ilvl w:val="0"/>
          <w:numId w:val="27"/>
        </w:numPr>
        <w:rPr>
          <w:noProof/>
        </w:rPr>
      </w:pPr>
      <w:r>
        <w:rPr>
          <w:b/>
          <w:noProof/>
        </w:rPr>
        <w:t>repülésbiztonsági problémák (vagy veszélyek) értékelése</w:t>
      </w:r>
      <w:r>
        <w:rPr>
          <w:noProof/>
        </w:rPr>
        <w:t>, ami az előző szakaszban azonosított repülésbiztonsági problémák (vagy veszélyek) következményeihez kapcsolódó kockázatok értékelésére irányul;</w:t>
      </w:r>
    </w:p>
    <w:p>
      <w:pPr>
        <w:numPr>
          <w:ilvl w:val="0"/>
          <w:numId w:val="27"/>
        </w:numPr>
        <w:rPr>
          <w:noProof/>
        </w:rPr>
      </w:pPr>
      <w:r>
        <w:rPr>
          <w:b/>
          <w:noProof/>
        </w:rPr>
        <w:t>repülésbiztonsági intézkedések meghatározása és programozása</w:t>
      </w:r>
      <w:r>
        <w:rPr>
          <w:noProof/>
        </w:rPr>
        <w:t>, az értékelés alapján elfogadhatatlan szintű kockázatot jelentő problémák (vagy veszélyek) kezelésére irányuló stratégiák (vagy enyhítő intézkedések) azonosítása céljából;</w:t>
      </w:r>
    </w:p>
    <w:p>
      <w:pPr>
        <w:numPr>
          <w:ilvl w:val="0"/>
          <w:numId w:val="27"/>
        </w:numPr>
        <w:rPr>
          <w:noProof/>
        </w:rPr>
      </w:pPr>
      <w:r>
        <w:rPr>
          <w:b/>
          <w:noProof/>
        </w:rPr>
        <w:t>végrehajtás és nyomon követés</w:t>
      </w:r>
      <w:r>
        <w:rPr>
          <w:noProof/>
        </w:rPr>
        <w:t>: a közösen elfogadott stratégiák végrehajtásának nyomon követése és beszámolás róluk; valamint</w:t>
      </w:r>
    </w:p>
    <w:p>
      <w:pPr>
        <w:numPr>
          <w:ilvl w:val="0"/>
          <w:numId w:val="27"/>
        </w:numPr>
        <w:rPr>
          <w:noProof/>
        </w:rPr>
      </w:pPr>
      <w:r>
        <w:rPr>
          <w:b/>
          <w:noProof/>
        </w:rPr>
        <w:t>repülésbiztonsági teljesítmény</w:t>
      </w:r>
      <w:r>
        <w:rPr>
          <w:noProof/>
        </w:rPr>
        <w:t>, amely az azonosított kockázatterületek áttekintésére irányul, és értékeli, hogy csökkentek-e a korábban azonosított kockázatok, valamint összeveti ezeket a repülésbiztonsági teljesítménymutatókkal.</w:t>
      </w:r>
    </w:p>
    <w:p>
      <w:pPr>
        <w:pStyle w:val="Heading3"/>
        <w:numPr>
          <w:ilvl w:val="0"/>
          <w:numId w:val="35"/>
        </w:numPr>
        <w:spacing w:before="240" w:after="240"/>
        <w:ind w:hanging="720"/>
        <w:rPr>
          <w:noProof/>
        </w:rPr>
      </w:pPr>
      <w:bookmarkStart w:id="96" w:name="_Toc434321954"/>
      <w:bookmarkStart w:id="97" w:name="_Toc440462617"/>
      <w:r>
        <w:rPr>
          <w:noProof/>
        </w:rPr>
        <w:t>Repülésbiztonsági problémák azonosítása</w:t>
      </w:r>
      <w:bookmarkEnd w:id="96"/>
      <w:bookmarkEnd w:id="97"/>
    </w:p>
    <w:p>
      <w:pPr>
        <w:shd w:val="clear" w:color="auto" w:fill="FFFFFF"/>
        <w:rPr>
          <w:noProof/>
        </w:rPr>
      </w:pPr>
      <w:r>
        <w:rPr>
          <w:noProof/>
        </w:rPr>
        <w:t>A repülésbiztonsági problémák azonosítása során az európai repülési rendszert folyamatosan és proaktívan átvizsgálják repülésbiztonsági problémák után kutatva azzal a céllal, hogy azonosítsák az uniós és/vagy tagállami szinten enyhítő intézkedéseket igénylő problémákat.</w:t>
      </w:r>
    </w:p>
    <w:p>
      <w:pPr>
        <w:shd w:val="clear" w:color="auto" w:fill="FFFFFF"/>
        <w:rPr>
          <w:noProof/>
        </w:rPr>
      </w:pPr>
      <w:r>
        <w:rPr>
          <w:noProof/>
        </w:rPr>
        <w:t>A repülésbiztonsági problémák azonosítása történhet az ügynökség számára hozzáférhető információkból, de tagállami hatóságok vagy ágazati szervezetek által működtetett menedzsmentrendszerekből is. A folyamat indulhat alulról (az érintettek által közvetlenül tapasztalt konkrét repülésbiztonsági probléma azonosításával) vagy felülről (a repülési rendszer fő kockázatterületeinek elemzésével).</w:t>
      </w:r>
    </w:p>
    <w:p>
      <w:pPr>
        <w:shd w:val="clear" w:color="auto" w:fill="FFFFFF"/>
        <w:rPr>
          <w:noProof/>
        </w:rPr>
      </w:pPr>
      <w:r>
        <w:rPr>
          <w:noProof/>
        </w:rPr>
        <w:t>A repülésbiztonsági problémák azonosításának további módja az eseményadatok szisztematikus elemzése különösen balesetkategóriánként (például ellenőrzés elvesztése repülés közben, ütközés repülés közben stb.) vagy repülésterületenként (például kereskedelmi légi fuvarozás, üzleti repülés, általános célú repülés).</w:t>
      </w:r>
    </w:p>
    <w:p>
      <w:pPr>
        <w:shd w:val="clear" w:color="auto" w:fill="FFFFFF"/>
        <w:rPr>
          <w:noProof/>
        </w:rPr>
      </w:pPr>
      <w:r>
        <w:rPr>
          <w:noProof/>
        </w:rPr>
        <w:t>Az eseményadatok elemzésével azonban csak a vizsgált események alapján láthatóvá vált repülésbiztonsági problémákat lehet feltárni. Ezért az ilyen problémák szélesebb körének azonosítása végett más információforrásokat is figyelembe kell venni, például: biztonsági ajánlások, meglévő repülésbiztonsági tanulmányok, már működő fórumokon (repülésbiztonsági elemzői hálózat (NoA), az európai stratégiai repülésbiztonsági kezdeményezés (ESSI) munkacsoportjai és a kapcsolódó együttműködési és elemző csoportok (CAG-ok), emberitényező-hálózat, ENCASIA stb.) gyűjtött információk, szakértői tanácsok, tevékenységek felügyelete és figyelemmel kísérésre során keletkezett információk és előrejelzési technikák.</w:t>
      </w:r>
    </w:p>
    <w:p>
      <w:pPr>
        <w:shd w:val="clear" w:color="auto" w:fill="FFFFFF"/>
        <w:rPr>
          <w:noProof/>
        </w:rPr>
      </w:pPr>
      <w:r>
        <w:rPr>
          <w:noProof/>
        </w:rPr>
        <w:t xml:space="preserve">A repülésbiztonsági problémák azonosításához és értékeléséhez a tagállamokkal való kapcsolattartás a NoA-n keresztül zajlik. A kockázatértékelési folyamatban a NoA szerepe kulcsfontosságú egyrészt az európai központi adattárban található események elemzése (lásd még a </w:t>
      </w:r>
      <w:hyperlink w:anchor="_Safety_Data_collection," w:history="1">
        <w:r>
          <w:rPr>
            <w:rStyle w:val="Hyperlink"/>
            <w:noProof/>
          </w:rPr>
          <w:t>3.2. szakaszt</w:t>
        </w:r>
      </w:hyperlink>
      <w:r>
        <w:rPr>
          <w:noProof/>
        </w:rPr>
        <w:t>), másrészt a tagállamokból származó adatok biztosítása terén. Ez pedig lehetővé teszi, hogy szükség esetén az eredmények érvényesítésre kerüljenek, és erősödjék az európai és a nemzeti szint közötti kapcsolat.</w:t>
      </w:r>
    </w:p>
    <w:p>
      <w:pPr>
        <w:shd w:val="clear" w:color="auto" w:fill="FFFFFF"/>
        <w:rPr>
          <w:noProof/>
        </w:rPr>
      </w:pPr>
      <w:r>
        <w:rPr>
          <w:noProof/>
        </w:rPr>
        <w:t xml:space="preserve">Az ESSI-munkacsoportok (lásd még a </w:t>
      </w:r>
      <w:hyperlink w:anchor="_European_Strategic_Safety" w:history="1">
        <w:r>
          <w:rPr>
            <w:rStyle w:val="Hyperlink"/>
            <w:noProof/>
          </w:rPr>
          <w:t>4.1.2. szakaszt</w:t>
        </w:r>
      </w:hyperlink>
      <w:r>
        <w:rPr>
          <w:noProof/>
        </w:rPr>
        <w:t>) operatív információk szolgáltatásával támogatják a kockázatértékelési folyamatot. Végül a CAG-ok saját területükön támogatják az adatok és a kockázatértékelés érvényesítését és az esetleges enyhítő intézkedések kialakítását.</w:t>
      </w:r>
    </w:p>
    <w:p>
      <w:pPr>
        <w:shd w:val="clear" w:color="auto" w:fill="FFFFFF"/>
        <w:rPr>
          <w:noProof/>
        </w:rPr>
      </w:pPr>
      <w:r>
        <w:rPr>
          <w:noProof/>
        </w:rPr>
        <w:t>A repülésbiztonsági problémákkal kapcsolatban személyektől, szervezetektől vagy hatóságoktól az ügynökség részére érkező bejelentések elősegítésére rendelkezésre áll egy biztonsági problémák azonosítására szolgáló űrlap.</w:t>
      </w:r>
    </w:p>
    <w:p>
      <w:pPr>
        <w:pStyle w:val="Heading3"/>
        <w:numPr>
          <w:ilvl w:val="0"/>
          <w:numId w:val="35"/>
        </w:numPr>
        <w:spacing w:before="240" w:after="240"/>
        <w:ind w:hanging="720"/>
        <w:rPr>
          <w:noProof/>
        </w:rPr>
      </w:pPr>
      <w:bookmarkStart w:id="98" w:name="_Toc434321955"/>
      <w:bookmarkStart w:id="99" w:name="_Toc440462618"/>
      <w:r>
        <w:rPr>
          <w:noProof/>
        </w:rPr>
        <w:t>Repülésbiztonsági problémák értékelése</w:t>
      </w:r>
      <w:bookmarkEnd w:id="98"/>
      <w:bookmarkEnd w:id="99"/>
    </w:p>
    <w:p>
      <w:pPr>
        <w:shd w:val="clear" w:color="auto" w:fill="FFFFFF"/>
        <w:rPr>
          <w:noProof/>
        </w:rPr>
      </w:pPr>
      <w:r>
        <w:rPr>
          <w:noProof/>
        </w:rPr>
        <w:t>Az érdekelt felek megfelelő csoportjainak támogatásával az EASA értékeli a bejelentett repülésbiztonsági problémák következményeihez kapcsolódó kockázatot.</w:t>
      </w:r>
    </w:p>
    <w:p>
      <w:pPr>
        <w:shd w:val="clear" w:color="auto" w:fill="FFFFFF"/>
        <w:rPr>
          <w:noProof/>
        </w:rPr>
      </w:pPr>
      <w:r>
        <w:rPr>
          <w:noProof/>
        </w:rPr>
        <w:t>Az ügynökség működtet egy repülésbiztonságikockázat-portfóliót (SRP), amely a következőket tartalmazza: az ügynökség vagy külső érdekelt felek által azonosított repülésbiztonsági problémák nyilvántartása, a kockázatok szintjének értékelése, a megtett intézkedések nyilvántartása, valamint a végrehajtott intézkedéseket követően fennmaradó kockázat szintjének értékelése.</w:t>
      </w:r>
    </w:p>
    <w:p>
      <w:pPr>
        <w:shd w:val="clear" w:color="auto" w:fill="FFFFFF"/>
        <w:rPr>
          <w:noProof/>
        </w:rPr>
      </w:pPr>
      <w:r>
        <w:rPr>
          <w:noProof/>
        </w:rPr>
        <w:t>A kockázatértékelés egy adott repülésbiztonsági probléma egy vagy több következményének – előrelátható gyakoriság és súlyosság szempontjából történő – elemzése, figyelembe véve az összes lehetséges forgatókönyvet, és összevetve azzal, hogy a kockázat elfogadható, eltűrhető vagy elfogadhatatlan.</w:t>
      </w:r>
    </w:p>
    <w:p>
      <w:pPr>
        <w:shd w:val="clear" w:color="auto" w:fill="FFFFFF"/>
        <w:rPr>
          <w:noProof/>
        </w:rPr>
      </w:pPr>
      <w:r>
        <w:rPr>
          <w:noProof/>
        </w:rPr>
        <w:t>Az SRP olyan „élő dokumentum”, amely rendszeres időközönként, új információk elérhetővé válásakor frissül. A repülésbiztonságikockázat-portfólió fejlesztése érdekében az ügynökség:</w:t>
      </w:r>
    </w:p>
    <w:p>
      <w:pPr>
        <w:numPr>
          <w:ilvl w:val="0"/>
          <w:numId w:val="29"/>
        </w:numPr>
        <w:shd w:val="clear" w:color="auto" w:fill="FFFFFF"/>
        <w:rPr>
          <w:noProof/>
        </w:rPr>
      </w:pPr>
      <w:r>
        <w:rPr>
          <w:noProof/>
        </w:rPr>
        <w:t>áttekinti a rendelkezésre álló új repülésbiztonsági adatokat vagy más információkat annak meghatározásához, hogy kell-e új repülésbiztonsági problémákat azonosítani és értékelni, vagy már meglévő repülésbiztonsági problémák értékelését felülvizsgálni,</w:t>
      </w:r>
    </w:p>
    <w:p>
      <w:pPr>
        <w:numPr>
          <w:ilvl w:val="0"/>
          <w:numId w:val="29"/>
        </w:numPr>
        <w:shd w:val="clear" w:color="auto" w:fill="FFFFFF"/>
        <w:rPr>
          <w:noProof/>
        </w:rPr>
      </w:pPr>
      <w:r>
        <w:rPr>
          <w:noProof/>
        </w:rPr>
        <w:t>áttekinti és érvényesíti a repülésbiztonsági problémák értékelését,</w:t>
      </w:r>
    </w:p>
    <w:p>
      <w:pPr>
        <w:numPr>
          <w:ilvl w:val="0"/>
          <w:numId w:val="29"/>
        </w:numPr>
        <w:shd w:val="clear" w:color="auto" w:fill="FFFFFF"/>
        <w:rPr>
          <w:noProof/>
        </w:rPr>
      </w:pPr>
      <w:r>
        <w:rPr>
          <w:noProof/>
        </w:rPr>
        <w:t>javaslatot tesz a repülésbiztonsági problémákhoz kapcsolódó kockázat elfogadható szintjének meghatározására,</w:t>
      </w:r>
    </w:p>
    <w:p>
      <w:pPr>
        <w:numPr>
          <w:ilvl w:val="0"/>
          <w:numId w:val="29"/>
        </w:numPr>
        <w:shd w:val="clear" w:color="auto" w:fill="FFFFFF"/>
        <w:rPr>
          <w:noProof/>
        </w:rPr>
      </w:pPr>
      <w:r>
        <w:rPr>
          <w:noProof/>
        </w:rPr>
        <w:t>repülésbiztonsági intézkedéseket javasol,</w:t>
      </w:r>
    </w:p>
    <w:p>
      <w:pPr>
        <w:numPr>
          <w:ilvl w:val="0"/>
          <w:numId w:val="29"/>
        </w:numPr>
        <w:shd w:val="clear" w:color="auto" w:fill="FFFFFF"/>
        <w:rPr>
          <w:noProof/>
        </w:rPr>
      </w:pPr>
      <w:r>
        <w:rPr>
          <w:noProof/>
        </w:rPr>
        <w:t>figyelemmel kíséri a folyamatban lévő repülésbiztonsági intézkedések alakulását,</w:t>
      </w:r>
    </w:p>
    <w:p>
      <w:pPr>
        <w:numPr>
          <w:ilvl w:val="0"/>
          <w:numId w:val="29"/>
        </w:numPr>
        <w:shd w:val="clear" w:color="auto" w:fill="FFFFFF"/>
        <w:rPr>
          <w:noProof/>
        </w:rPr>
      </w:pPr>
      <w:r>
        <w:rPr>
          <w:noProof/>
        </w:rPr>
        <w:t>repülésbiztonsági teljesítménymutatókat javasol,</w:t>
      </w:r>
    </w:p>
    <w:p>
      <w:pPr>
        <w:numPr>
          <w:ilvl w:val="0"/>
          <w:numId w:val="29"/>
        </w:numPr>
        <w:shd w:val="clear" w:color="auto" w:fill="FFFFFF"/>
        <w:rPr>
          <w:noProof/>
        </w:rPr>
      </w:pPr>
      <w:r>
        <w:rPr>
          <w:noProof/>
        </w:rPr>
        <w:t>figyelemmel kíséri a repülésbiztonsági teljesítményt valamint</w:t>
      </w:r>
    </w:p>
    <w:p>
      <w:pPr>
        <w:numPr>
          <w:ilvl w:val="0"/>
          <w:numId w:val="29"/>
        </w:numPr>
        <w:shd w:val="clear" w:color="auto" w:fill="FFFFFF"/>
        <w:rPr>
          <w:noProof/>
        </w:rPr>
      </w:pPr>
      <w:r>
        <w:rPr>
          <w:noProof/>
        </w:rPr>
        <w:t>érvényesíti a repülésbiztonsági elemzések eredményeit és az EASA repülésbiztonságot népszerűsítő anyagait.</w:t>
      </w:r>
    </w:p>
    <w:p>
      <w:pPr>
        <w:shd w:val="clear" w:color="auto" w:fill="FFFFFF"/>
        <w:rPr>
          <w:noProof/>
        </w:rPr>
      </w:pPr>
      <w:r>
        <w:rPr>
          <w:noProof/>
        </w:rPr>
        <w:t>Frissítését követően a repülésbiztonságikockázat-portfóliót konzultációs céllal köröztetik a tanácsadó testületek között. A tanácsadó testületek a folyamatnak ebben a szakaszában tanácsot adnak arról, hogy mely repülésbiztonsági kockázatok tűrhetők el, és melyek igényelnek intézkedést.</w:t>
      </w:r>
    </w:p>
    <w:p>
      <w:pPr>
        <w:pStyle w:val="Heading3"/>
        <w:numPr>
          <w:ilvl w:val="0"/>
          <w:numId w:val="35"/>
        </w:numPr>
        <w:spacing w:before="240" w:after="240"/>
        <w:ind w:hanging="720"/>
        <w:rPr>
          <w:noProof/>
        </w:rPr>
      </w:pPr>
      <w:bookmarkStart w:id="100" w:name="_Definition_and_Programming"/>
      <w:bookmarkStart w:id="101" w:name="_Toc434321956"/>
      <w:bookmarkStart w:id="102" w:name="_Toc440462619"/>
      <w:bookmarkEnd w:id="100"/>
      <w:r>
        <w:rPr>
          <w:noProof/>
        </w:rPr>
        <w:t>Repülésbiztonsági intézkedések meghatározása és programozása</w:t>
      </w:r>
      <w:bookmarkEnd w:id="101"/>
      <w:bookmarkEnd w:id="102"/>
    </w:p>
    <w:p>
      <w:pPr>
        <w:shd w:val="clear" w:color="auto" w:fill="FFFFFF"/>
        <w:rPr>
          <w:noProof/>
        </w:rPr>
      </w:pPr>
      <w:r>
        <w:rPr>
          <w:noProof/>
        </w:rPr>
        <w:t>Az előző szakaszban elfogadhatatlannak minősített kockázatok cselekvést követelnek. A valamely kockázat csökkentését szolgáló intézkedésekről szóló első ajánlást az ügynökség teszi meg. Az ajánlás megkísérli azonosítani azokat az opciókat, amelyek – egy előzetes hatásvizsgálat alapján – a lehető legkisebb költség mellett a legnagyobb repülésbiztonsági hozadékkal járnak</w:t>
      </w:r>
    </w:p>
    <w:p>
      <w:pPr>
        <w:shd w:val="clear" w:color="auto" w:fill="FFFFFF"/>
        <w:rPr>
          <w:noProof/>
        </w:rPr>
      </w:pPr>
      <w:r>
        <w:rPr>
          <w:noProof/>
        </w:rPr>
        <w:t>Az előzetes hatásvizsgálat a kockázatcsökkentési stratégiák mérlegelésének idején készül. Ebben elemzésre kerül, hogy az egyes intézkedések a kockázatcsökkentés tekintetében milyen potenciális hatással és előnnyel járnak, lehetséges megoldásként figyelembe véve a szabályozást, a felügyeletet és a repülésbiztonság népszerűsítését.</w:t>
      </w:r>
    </w:p>
    <w:p>
      <w:pPr>
        <w:shd w:val="clear" w:color="auto" w:fill="FFFFFF"/>
        <w:rPr>
          <w:noProof/>
        </w:rPr>
      </w:pPr>
      <w:r>
        <w:rPr>
          <w:noProof/>
        </w:rPr>
        <w:t>A stratégiák végrehajtása előtt elengedhetetlen, hogy már előzetesen egyértelmű legyen a kívánt eredmény és az a mód, ahogyan annak hatékonysága értékelésre kerül. Ily módon egy későbbi szakaszban majd értékelni lehet, hogy a tervezett stratégiák mennyire voltak hatásosak.</w:t>
      </w:r>
    </w:p>
    <w:p>
      <w:pPr>
        <w:shd w:val="clear" w:color="auto" w:fill="FFFFFF"/>
        <w:rPr>
          <w:noProof/>
        </w:rPr>
      </w:pPr>
      <w:r>
        <w:rPr>
          <w:noProof/>
        </w:rPr>
        <w:t>Miután sikerült megtalálni a lehető legjobb alternatívákat, az ügynökség azonosítja azokat az érdekelt feleket, amelyek a legalkalmasabbak a kezdeményezés vezetésére, és elindít egy olyan konzultációs szakaszt, amelynek célja az érintett érdekelt felek támogatásának elnyerése.</w:t>
      </w:r>
    </w:p>
    <w:p>
      <w:pPr>
        <w:shd w:val="clear" w:color="auto" w:fill="FFFFFF"/>
        <w:rPr>
          <w:noProof/>
        </w:rPr>
      </w:pPr>
      <w:r>
        <w:rPr>
          <w:noProof/>
        </w:rPr>
        <w:t>A kockázatcsökkentési javaslat lehet szabályozási intézkedés, fókuszáltabb repülésbiztonsági felügyeleti tevékenység vagy repülésbiztonsági népszerűsítő projekt (például szórólap, videó, kutatási projekt, képzés vagy nemzetközi együttműködési kampány).</w:t>
      </w:r>
    </w:p>
    <w:p>
      <w:pPr>
        <w:shd w:val="clear" w:color="auto" w:fill="FFFFFF"/>
        <w:rPr>
          <w:noProof/>
        </w:rPr>
      </w:pPr>
      <w:r>
        <w:rPr>
          <w:noProof/>
        </w:rPr>
        <w:t>A kívánatos intézkedést az EASA és a megfelelő tanácsadó testület határozza meg (a tagállamok és az ágazat számára).</w:t>
      </w:r>
    </w:p>
    <w:p>
      <w:pPr>
        <w:shd w:val="clear" w:color="auto" w:fill="FFFFFF"/>
        <w:rPr>
          <w:noProof/>
        </w:rPr>
      </w:pPr>
      <w:r>
        <w:rPr>
          <w:noProof/>
        </w:rPr>
        <w:t>A konzultációs szakasz az azonosított kockázatok kezelésére irányuló projektek közös elfogadásával zárul, amelyek megfelelően bekerülnek a repülésbiztonságikockázat-portfólióba, és hivatalosan is bekerülnek az európai légiközlekedés-biztonsági tervbe. Ezt követően, ha az EASA a vezető, akkor beépülnek a különféle EASA-programokba, ha pedig a tagállamok az illetékesek, akkor a megfelelő tagállami programokba és tervekbe.</w:t>
      </w:r>
    </w:p>
    <w:p>
      <w:pPr>
        <w:shd w:val="clear" w:color="auto" w:fill="FFFFFF"/>
        <w:rPr>
          <w:noProof/>
        </w:rPr>
      </w:pPr>
      <w:r>
        <w:rPr>
          <w:noProof/>
        </w:rPr>
        <w:t>Elvárás, hogy az államok ezeket az intézkedéseket nemzeti szinten megvalósítsák, a szabványosítási vizsgálatok során pedig figyelemmel kell kísérni azok végrehajtását, vagy meg kell indokolni, hogy az adott konkrét környezetben a repülésbiztonság szempontjából miért nem hatékonyak.</w:t>
      </w:r>
    </w:p>
    <w:p>
      <w:pPr>
        <w:shd w:val="clear" w:color="auto" w:fill="FFFFFF"/>
        <w:rPr>
          <w:noProof/>
        </w:rPr>
      </w:pPr>
      <w:r>
        <w:rPr>
          <w:noProof/>
        </w:rPr>
        <w:t>Az európai repülésbiztonsági politikában meghatározott cél figyelembevételével az európai légiközlekedés-biztonsági terv tartalmazhatja a repülésbiztonsági teljesítmény Unióban elérendő elfogadható szintjét.</w:t>
      </w:r>
    </w:p>
    <w:p>
      <w:pPr>
        <w:shd w:val="clear" w:color="auto" w:fill="FFFFFF"/>
        <w:rPr>
          <w:noProof/>
        </w:rPr>
      </w:pPr>
      <w:r>
        <w:rPr>
          <w:noProof/>
        </w:rPr>
        <w:t>Az európai légiközlekedés-biztonsági terv végső jóváhagyását az EASA igazgatótanácsa adja meg.</w:t>
      </w:r>
    </w:p>
    <w:p>
      <w:pPr>
        <w:pStyle w:val="Heading3"/>
        <w:numPr>
          <w:ilvl w:val="0"/>
          <w:numId w:val="35"/>
        </w:numPr>
        <w:spacing w:before="240" w:after="240"/>
        <w:ind w:hanging="720"/>
        <w:rPr>
          <w:noProof/>
        </w:rPr>
      </w:pPr>
      <w:bookmarkStart w:id="103" w:name="_Toc434321957"/>
      <w:bookmarkStart w:id="104" w:name="_Toc440462620"/>
      <w:r>
        <w:rPr>
          <w:noProof/>
        </w:rPr>
        <w:t>Végrehajtás és nyomon követés</w:t>
      </w:r>
      <w:bookmarkEnd w:id="103"/>
      <w:bookmarkEnd w:id="104"/>
    </w:p>
    <w:p>
      <w:pPr>
        <w:shd w:val="clear" w:color="auto" w:fill="FFFFFF"/>
        <w:rPr>
          <w:noProof/>
        </w:rPr>
      </w:pPr>
      <w:r>
        <w:rPr>
          <w:noProof/>
        </w:rPr>
        <w:t>Miután a kockázatcsökkentő intézkedést megfelelő nyilvántartásba vették, elfogadták és beillesztették a megfelelő programokba és tervekbe, elindul a végrehajtási és nyomon követési szakasz.</w:t>
      </w:r>
    </w:p>
    <w:p>
      <w:pPr>
        <w:shd w:val="clear" w:color="auto" w:fill="FFFFFF"/>
        <w:rPr>
          <w:noProof/>
        </w:rPr>
      </w:pPr>
      <w:r>
        <w:rPr>
          <w:noProof/>
        </w:rPr>
        <w:t>Ez a szakasz az európai légiközlekedés-biztonsági tervben szereplő stratégiák végrehajtásának nyomon követésére irányul. Azzal kezdődik, hogy az európai légiközlekedés-biztonsági terv minden egyes intézkedéséhez projektvezetőt rendelnek. Projektvezető nem csupán az EASA munkatársa lehet, hanem állami szerveknél vagy az ágazatban dolgozó olyan szakember is, aki az európai légiközlekedés-biztonsági terv révén elkötelezett egy intézkedés iránt.</w:t>
      </w:r>
    </w:p>
    <w:p>
      <w:pPr>
        <w:shd w:val="clear" w:color="auto" w:fill="FFFFFF"/>
        <w:rPr>
          <w:noProof/>
        </w:rPr>
      </w:pPr>
      <w:r>
        <w:rPr>
          <w:noProof/>
        </w:rPr>
        <w:t>Az ügynökség programjainak és terveinek részét képező intézkedések esetében az EASA stratégia és program részlege által meghatározott átfogó nyomon követési mechanizmust alkalmazzák.</w:t>
      </w:r>
    </w:p>
    <w:p>
      <w:pPr>
        <w:shd w:val="clear" w:color="auto" w:fill="FFFFFF"/>
        <w:rPr>
          <w:noProof/>
        </w:rPr>
      </w:pPr>
      <w:r>
        <w:rPr>
          <w:noProof/>
        </w:rPr>
        <w:t>Ha az intézkedéseket a tagállamok vezetik, akkor a beszámolás a kijelölt kapcsolattartó pontok hálózatán keresztül történik. Ilyenkor minden év első negyedében kiosztanak egy kifejezetten e célra szolgáló beszámoló űrlapot, amelyet a harmadik negyedévben gyűjtenek össze, amikor minden bejövő adatot összesítenek a végső jelentés elkészítéséhez.</w:t>
      </w:r>
    </w:p>
    <w:p>
      <w:pPr>
        <w:shd w:val="clear" w:color="auto" w:fill="FFFFFF"/>
        <w:rPr>
          <w:noProof/>
        </w:rPr>
      </w:pPr>
      <w:r>
        <w:rPr>
          <w:noProof/>
        </w:rPr>
        <w:t>Az európai légiközlekedés-biztonsági tervhez kapcsolódó végrehajtási kérdéseket – az állami programokhoz kapcsolódó kérdésekkel együtt – az állami légiközlekedés-biztonsági programok fórumán vitatják meg.</w:t>
      </w:r>
    </w:p>
    <w:p>
      <w:pPr>
        <w:shd w:val="clear" w:color="auto" w:fill="FFFFFF"/>
        <w:rPr>
          <w:noProof/>
        </w:rPr>
      </w:pPr>
      <w:r>
        <w:rPr>
          <w:noProof/>
        </w:rPr>
        <w:t>Az összes érdekelt féllel való konzultációt követően a valamennyi vállalt intézkedés állapotát összegző végső jelentést benyújtják az EASA igazgatótanácsának jóváhagyásra. A jelentés azonosítja az adott évben felmerült főbb kihívásokat, valamint azokat a területeket is, ahol a célok felé jelentős haladást sikerült elérni.</w:t>
      </w:r>
    </w:p>
    <w:p>
      <w:pPr>
        <w:pStyle w:val="Heading3"/>
        <w:numPr>
          <w:ilvl w:val="0"/>
          <w:numId w:val="35"/>
        </w:numPr>
        <w:spacing w:before="240" w:after="240"/>
        <w:ind w:hanging="720"/>
        <w:rPr>
          <w:noProof/>
        </w:rPr>
      </w:pPr>
      <w:bookmarkStart w:id="105" w:name="_Toc434321958"/>
      <w:bookmarkStart w:id="106" w:name="_Toc440462621"/>
      <w:r>
        <w:rPr>
          <w:noProof/>
        </w:rPr>
        <w:t>Repülésbiztonsági teljesítmény</w:t>
      </w:r>
      <w:bookmarkEnd w:id="105"/>
      <w:bookmarkEnd w:id="106"/>
    </w:p>
    <w:p>
      <w:pPr>
        <w:shd w:val="clear" w:color="auto" w:fill="FFFFFF"/>
        <w:rPr>
          <w:noProof/>
        </w:rPr>
      </w:pPr>
      <w:r>
        <w:rPr>
          <w:noProof/>
        </w:rPr>
        <w:t>E szakasz során azt értékelik, hogy a korábban azonosított, a repülésbiztonságikockázat-portfólióban nyilvántartott kockázatok valóban csökkentek-e a közösen elfogadott intézkedések végrehajtását követően. A kockázatcsökkentő stratégiák végrehajtását követően fennmaradó kockázatot előre meghatározott időközönként a portfólió áttekintésével értékelik.</w:t>
      </w:r>
    </w:p>
    <w:p>
      <w:pPr>
        <w:shd w:val="clear" w:color="auto" w:fill="FFFFFF"/>
        <w:rPr>
          <w:noProof/>
        </w:rPr>
      </w:pPr>
      <w:r>
        <w:rPr>
          <w:noProof/>
        </w:rPr>
        <w:t>A kockázatportfólió alapján áll össze a repülésbiztonsági teljesítménymutatók segítségével rendszeresen figyelemmel kísérendő kockázatterületek csoportja is. A kockázatterületek teljesítménymutatókkal történő figyelemmel kísérése az adatok rendelkezésre állásán és a repülésbiztonsági elemzői hálózat (NoA) által nyújtott támogatáson alapul.</w:t>
      </w:r>
    </w:p>
    <w:p>
      <w:pPr>
        <w:shd w:val="clear" w:color="auto" w:fill="FFFFFF"/>
        <w:rPr>
          <w:noProof/>
        </w:rPr>
      </w:pPr>
      <w:r>
        <w:rPr>
          <w:noProof/>
        </w:rPr>
        <w:t>Ha az értékelés arra jut, hogy a kockázatok nem csökkentek kellőképpen, újra kell gondolni a kockázatcsökkentő stratégiákat vagy további értékelésre lehet szükség.</w:t>
      </w:r>
    </w:p>
    <w:p>
      <w:pPr>
        <w:pStyle w:val="Heading2"/>
        <w:ind w:hanging="720"/>
        <w:rPr>
          <w:rFonts w:hint="eastAsia"/>
          <w:noProof/>
        </w:rPr>
      </w:pPr>
      <w:bookmarkStart w:id="107" w:name="_Toc434321959"/>
      <w:bookmarkStart w:id="108" w:name="_Toc440462622"/>
      <w:r>
        <w:rPr>
          <w:noProof/>
        </w:rPr>
        <w:t>Megállapodás a repülésbiztonsági teljesítményről</w:t>
      </w:r>
      <w:bookmarkEnd w:id="107"/>
      <w:bookmarkEnd w:id="108"/>
    </w:p>
    <w:p>
      <w:pPr>
        <w:pStyle w:val="Heading3"/>
        <w:numPr>
          <w:ilvl w:val="0"/>
          <w:numId w:val="38"/>
        </w:numPr>
        <w:spacing w:before="240" w:after="240"/>
        <w:ind w:hanging="720"/>
        <w:rPr>
          <w:noProof/>
        </w:rPr>
      </w:pPr>
      <w:bookmarkStart w:id="109" w:name="_Toc434321960"/>
      <w:bookmarkStart w:id="110" w:name="_Toc440462623"/>
      <w:r>
        <w:rPr>
          <w:noProof/>
        </w:rPr>
        <w:t>Megállapodás a szervezetek repülésbiztonsági teljesítményéről</w:t>
      </w:r>
      <w:bookmarkEnd w:id="109"/>
      <w:bookmarkEnd w:id="110"/>
    </w:p>
    <w:p>
      <w:pPr>
        <w:shd w:val="clear" w:color="auto" w:fill="FFFFFF"/>
        <w:rPr>
          <w:noProof/>
        </w:rPr>
      </w:pPr>
      <w:r>
        <w:rPr>
          <w:noProof/>
        </w:rPr>
        <w:t>Az EASA az európai légiközlekedés-biztonsági terv összefüggésében foglalkozik a szervezetek teljesítményével. Azonban egyelőre nem állapodott meg repülésbiztonsági teljesítménycélokról azokkal a szervezetekkel, amelyekért felelős.</w:t>
      </w:r>
    </w:p>
    <w:p>
      <w:pPr>
        <w:shd w:val="clear" w:color="auto" w:fill="FFFFFF"/>
        <w:rPr>
          <w:rFonts w:eastAsia="Times New Roman" w:cs="Times New Roman"/>
          <w:noProof/>
          <w:szCs w:val="24"/>
        </w:rPr>
      </w:pPr>
      <w:r>
        <w:rPr>
          <w:noProof/>
        </w:rPr>
        <w:t>A tagállamok szintjén már elindultak az arra irányuló megbeszélések, hogy saját szervezeteikkel a repülésbiztonsági teljesítményről megállapodjanak. A jelenlegi szakaszban azonban a legtöbb tagállamban még csak az ATM/ANS területén sikerült megállapodásra jutni a repülésbiztonsági teljesítménycélokról.</w:t>
      </w:r>
    </w:p>
    <w:p>
      <w:pPr>
        <w:shd w:val="clear" w:color="auto" w:fill="FFFFFF"/>
        <w:rPr>
          <w:rFonts w:eastAsia="Times New Roman" w:cs="Times New Roman"/>
          <w:noProof/>
          <w:szCs w:val="24"/>
        </w:rPr>
      </w:pPr>
      <w:r>
        <w:rPr>
          <w:noProof/>
        </w:rPr>
        <w:t>Az ATM/ANS területén azzal a céllal jött létre egy uniós szintű teljesítményrendszer</w:t>
      </w:r>
      <w:r>
        <w:rPr>
          <w:noProof/>
          <w:vertAlign w:val="superscript"/>
        </w:rPr>
        <w:footnoteReference w:id="12"/>
      </w:r>
      <w:r>
        <w:rPr>
          <w:noProof/>
        </w:rPr>
        <w:t>, hogy hozzájáruljon a légi közlekedési rendszer fenntartható fejlődéséhez azáltal, hogy négy kulcsfontosságú teljesítményterületen – a biztonság, a környezetvédelem, a kapacitás (késések) és a költséghatékonyság terén – növeli a léginavigációs szolgálatok (ANS) általános hatékonyságát.</w:t>
      </w:r>
    </w:p>
    <w:p>
      <w:pPr>
        <w:shd w:val="clear" w:color="auto" w:fill="FFFFFF"/>
        <w:rPr>
          <w:rFonts w:eastAsia="Times New Roman" w:cs="Times New Roman"/>
          <w:noProof/>
          <w:color w:val="000000"/>
          <w:szCs w:val="24"/>
        </w:rPr>
      </w:pPr>
      <w:r>
        <w:rPr>
          <w:noProof/>
          <w:color w:val="000000"/>
        </w:rPr>
        <w:t>A teljesítményrendszert először 2009-ben vezették be az egységes európai égbolt összefüggésében. Az egész Unióra érvényes teljesítménycélokat irányoz elő a négy kulcsfontosságú teljesítményterületen egy rögzített 3–5 éves referencia-időszakra. A tagállamoknak a funkcionális légtérblokkok (FAB) szintjén kell teljesítményterveket – többek között nemzeti vagy FAB-szintű kötelező célokat – kialakítaniuk, amelyek összhangban állnak az egész Unióra érvényes teljesítménycélokkal.</w:t>
      </w:r>
    </w:p>
    <w:p>
      <w:pPr>
        <w:shd w:val="clear" w:color="auto" w:fill="FFFFFF"/>
        <w:rPr>
          <w:rFonts w:eastAsia="Times New Roman" w:cs="Times New Roman"/>
          <w:noProof/>
          <w:color w:val="000000"/>
          <w:szCs w:val="24"/>
        </w:rPr>
      </w:pPr>
      <w:r>
        <w:rPr>
          <w:noProof/>
          <w:color w:val="000000"/>
        </w:rPr>
        <w:t>A második referencia-időszakra (2015–2019) szóló, az egész Unióra érvényes célokat 2014-ben tűzték ki. A repülésbiztonság tekintetében az uniós célokat a repülésbiztonság-menedzsment eredményességének szintjén tűzték ki, a súlyossági besorolás alkalmazásának alapja pedig a kockázatelemző eszköz módszertana volt.</w:t>
      </w:r>
    </w:p>
    <w:p>
      <w:pPr>
        <w:shd w:val="clear" w:color="auto" w:fill="FFFFFF"/>
        <w:rPr>
          <w:rFonts w:eastAsia="Times New Roman" w:cs="Times New Roman"/>
          <w:noProof/>
          <w:szCs w:val="24"/>
        </w:rPr>
      </w:pPr>
      <w:r>
        <w:rPr>
          <w:noProof/>
          <w:color w:val="000000"/>
        </w:rPr>
        <w:t>Az egységes európai égbolt teljesítményprogramjainak végrehajtásában a Bizottságot a 2014/672/EU bizottsági végrehajtási határozattal</w:t>
      </w:r>
      <w:r>
        <w:rPr>
          <w:noProof/>
          <w:color w:val="000000"/>
          <w:vertAlign w:val="superscript"/>
        </w:rPr>
        <w:footnoteReference w:id="13"/>
      </w:r>
      <w:r>
        <w:rPr>
          <w:noProof/>
          <w:color w:val="000000"/>
        </w:rPr>
        <w:t xml:space="preserve"> kijelölt független teljesítmény-felülvizsgálati szerv segíti.</w:t>
      </w:r>
    </w:p>
    <w:p>
      <w:pPr>
        <w:pStyle w:val="Heading3"/>
        <w:numPr>
          <w:ilvl w:val="0"/>
          <w:numId w:val="38"/>
        </w:numPr>
        <w:spacing w:before="240" w:after="240"/>
        <w:ind w:hanging="720"/>
        <w:rPr>
          <w:noProof/>
        </w:rPr>
      </w:pPr>
      <w:bookmarkStart w:id="111" w:name="_Toc434321961"/>
      <w:bookmarkStart w:id="112" w:name="_Toc440462624"/>
      <w:r>
        <w:rPr>
          <w:noProof/>
        </w:rPr>
        <w:t>Uniós szintű megállapodás a tagállamok repülésbiztonsági teljesítményéről</w:t>
      </w:r>
      <w:bookmarkEnd w:id="111"/>
      <w:bookmarkEnd w:id="112"/>
    </w:p>
    <w:p>
      <w:pPr>
        <w:shd w:val="clear" w:color="auto" w:fill="FFFFFF"/>
        <w:rPr>
          <w:noProof/>
        </w:rPr>
      </w:pPr>
      <w:r>
        <w:rPr>
          <w:noProof/>
        </w:rPr>
        <w:t>Az egységes európai égbolt összefüggésében korábban már említetteken kívül jelenleg nincsenek olyan konkrét repülésbiztonsági teljesítménymutatók, amelyeket az EU tűzött volna ki a tagállamoknak.</w:t>
      </w:r>
    </w:p>
    <w:p>
      <w:pPr>
        <w:shd w:val="clear" w:color="auto" w:fill="FFFFFF"/>
        <w:rPr>
          <w:noProof/>
        </w:rPr>
      </w:pPr>
      <w:r>
        <w:rPr>
          <w:noProof/>
        </w:rPr>
        <w:t xml:space="preserve">Az európai légiközlekedés-biztonsági terv összefüggésében azonban a teljesítmény megfelelő mérésére irányuló munka is folyamatban van. Amint azt a </w:t>
      </w:r>
      <w:hyperlink w:anchor="_Definition_and_Programming" w:history="1">
        <w:r>
          <w:rPr>
            <w:rStyle w:val="Hyperlink"/>
            <w:noProof/>
          </w:rPr>
          <w:t>2.2.3. szakasz</w:t>
        </w:r>
      </w:hyperlink>
      <w:r>
        <w:rPr>
          <w:noProof/>
        </w:rPr>
        <w:t xml:space="preserve"> kiemeli, a terv tartalmazhatja a repülésbiztonsági teljesítmény Unióban elérendő elfogadható szintjét.</w:t>
      </w:r>
    </w:p>
    <w:p>
      <w:pPr>
        <w:spacing w:before="0" w:after="200" w:line="276" w:lineRule="auto"/>
        <w:rPr>
          <w:noProof/>
        </w:rPr>
      </w:pPr>
      <w:r>
        <w:rPr>
          <w:noProof/>
        </w:rPr>
        <w:t>Ezenkívül egyes tagállamok elfogadtak önmagukra nézve kötelező nemzeti teljesítménycélokat.</w:t>
      </w:r>
      <w:r>
        <w:rPr>
          <w:noProof/>
        </w:rPr>
        <w:br w:type="page"/>
      </w:r>
    </w:p>
    <w:p>
      <w:pPr>
        <w:pStyle w:val="Heading1"/>
        <w:rPr>
          <w:rFonts w:hint="eastAsia"/>
          <w:noProof/>
        </w:rPr>
      </w:pPr>
      <w:bookmarkStart w:id="113" w:name="_Toc434321962"/>
      <w:bookmarkStart w:id="114" w:name="_Toc440462625"/>
      <w:r>
        <w:rPr>
          <w:noProof/>
        </w:rPr>
        <w:t>AZ EURÓPAI REPÜLÉSBIZTONSÁGI GARANCIA</w:t>
      </w:r>
      <w:bookmarkEnd w:id="113"/>
      <w:bookmarkEnd w:id="114"/>
    </w:p>
    <w:p>
      <w:pPr>
        <w:pStyle w:val="Heading2"/>
        <w:keepLines w:val="0"/>
        <w:numPr>
          <w:ilvl w:val="1"/>
          <w:numId w:val="33"/>
        </w:numPr>
        <w:rPr>
          <w:rFonts w:hint="eastAsia"/>
          <w:noProof/>
        </w:rPr>
      </w:pPr>
      <w:bookmarkStart w:id="115" w:name="_Toc434321963"/>
      <w:bookmarkStart w:id="116" w:name="_Toc440462626"/>
      <w:r>
        <w:rPr>
          <w:noProof/>
        </w:rPr>
        <w:t>Repülésbiztonsági felügyelet</w:t>
      </w:r>
      <w:r>
        <w:rPr>
          <w:rStyle w:val="FootnoteReference"/>
          <w:noProof/>
        </w:rPr>
        <w:footnoteReference w:id="14"/>
      </w:r>
      <w:bookmarkEnd w:id="115"/>
      <w:bookmarkEnd w:id="116"/>
    </w:p>
    <w:p>
      <w:pPr>
        <w:shd w:val="clear" w:color="auto" w:fill="FFFFFF"/>
        <w:rPr>
          <w:noProof/>
        </w:rPr>
      </w:pPr>
      <w:r>
        <w:rPr>
          <w:noProof/>
        </w:rPr>
        <w:t>Az Európai Unióban a repülésbiztonsági felügyelet az EASA vagy a tagállamok által jóváhagyott szervezeteket felügyelő és megfigyelő tevékenységeket is magában foglalja. Ide tartozik továbbá annak figyelemmel kísérése, hogy a tagállamok megfelelően hajtják-e végre az európai repülésbiztonsági jogszabályokat.</w:t>
      </w:r>
    </w:p>
    <w:p>
      <w:pPr>
        <w:pStyle w:val="Heading3"/>
        <w:keepLines w:val="0"/>
        <w:numPr>
          <w:ilvl w:val="2"/>
          <w:numId w:val="33"/>
        </w:numPr>
        <w:spacing w:before="240" w:after="240"/>
        <w:rPr>
          <w:noProof/>
        </w:rPr>
      </w:pPr>
      <w:bookmarkStart w:id="117" w:name="_Monitoring_the_application"/>
      <w:bookmarkStart w:id="118" w:name="_Toc434321964"/>
      <w:bookmarkStart w:id="119" w:name="_Toc440462627"/>
      <w:bookmarkEnd w:id="117"/>
      <w:r>
        <w:rPr>
          <w:noProof/>
        </w:rPr>
        <w:t>A szabályok alkalmazásának figyelemmel kísérése a tagállamokban</w:t>
      </w:r>
      <w:bookmarkEnd w:id="118"/>
      <w:bookmarkEnd w:id="119"/>
    </w:p>
    <w:p>
      <w:pPr>
        <w:shd w:val="clear" w:color="auto" w:fill="FFFFFF"/>
        <w:rPr>
          <w:noProof/>
        </w:rPr>
      </w:pPr>
      <w:r>
        <w:rPr>
          <w:noProof/>
        </w:rPr>
        <w:t>A 628/2013/EU bizottsági végrehajtási rendelet</w:t>
      </w:r>
      <w:r>
        <w:rPr>
          <w:rStyle w:val="FootnoteReference"/>
          <w:noProof/>
        </w:rPr>
        <w:footnoteReference w:id="15"/>
      </w:r>
      <w:r>
        <w:rPr>
          <w:noProof/>
        </w:rPr>
        <w:t xml:space="preserve"> meghatározza a szabványosítási vizsgálatok végzésével és a megfelelő repülésbiztonsági jogszabályok tagállami illetékes hatóságok általi alkalmazásának figyelemmel kísérésével kapcsolatos munkamódszereket. Ezeket a szabványosítási vizsgálatokat és nyomon követésüket az EASA végzi (lásd még a </w:t>
      </w:r>
      <w:hyperlink w:anchor="_Monitoring_the_application" w:history="1">
        <w:r>
          <w:rPr>
            <w:rStyle w:val="Hyperlink"/>
            <w:noProof/>
          </w:rPr>
          <w:t>3.3.1. szakaszt</w:t>
        </w:r>
      </w:hyperlink>
      <w:r>
        <w:rPr>
          <w:noProof/>
        </w:rPr>
        <w:t xml:space="preserve"> és az </w:t>
      </w:r>
      <w:hyperlink w:anchor="_Enforcement_towards_the" w:history="1">
        <w:r>
          <w:rPr>
            <w:rStyle w:val="Hyperlink"/>
            <w:noProof/>
          </w:rPr>
          <w:t>1.5.1. szakaszt</w:t>
        </w:r>
      </w:hyperlink>
      <w:r>
        <w:rPr>
          <w:noProof/>
        </w:rPr>
        <w:t>).</w:t>
      </w:r>
    </w:p>
    <w:p>
      <w:pPr>
        <w:pStyle w:val="Heading3"/>
        <w:keepLines w:val="0"/>
        <w:numPr>
          <w:ilvl w:val="2"/>
          <w:numId w:val="33"/>
        </w:numPr>
        <w:spacing w:before="240" w:after="240"/>
        <w:rPr>
          <w:noProof/>
        </w:rPr>
      </w:pPr>
      <w:bookmarkStart w:id="120" w:name="_Toc434321965"/>
      <w:bookmarkStart w:id="121" w:name="_Toc440462628"/>
      <w:r>
        <w:rPr>
          <w:noProof/>
        </w:rPr>
        <w:t>Tanúsított szervezetek felügyelete</w:t>
      </w:r>
      <w:bookmarkEnd w:id="120"/>
      <w:bookmarkEnd w:id="121"/>
    </w:p>
    <w:p>
      <w:pPr>
        <w:shd w:val="clear" w:color="auto" w:fill="FFFFFF"/>
        <w:rPr>
          <w:noProof/>
        </w:rPr>
      </w:pPr>
      <w:bookmarkStart w:id="122" w:name="DQCErrorScope7F909C57172A409CB94FA7FCB57"/>
      <w:r>
        <w:rPr>
          <w:noProof/>
        </w:rPr>
        <w:t>A repülésbiztonsági szabályozási folyamat egyik része a repülésbiztonsági felügyelet, amely arra szolgál, hogy biztosítsa az európai jogszabályokban található biztonsági követelményeknek és a kapcsolódó eljárásoknak történő eredményes megfelelést.</w:t>
      </w:r>
    </w:p>
    <w:p>
      <w:pPr>
        <w:shd w:val="clear" w:color="auto" w:fill="FFFFFF"/>
        <w:rPr>
          <w:noProof/>
        </w:rPr>
      </w:pPr>
      <w:r>
        <w:rPr>
          <w:noProof/>
        </w:rPr>
        <w:t>A repülésbiztonsági felügyelet szavatolja, hogy az európai repülési ágazat olyan biztonsági szinten álljon, amely összhangban van az európai szabályok által meghatározottal. Az egyes tagállamok és az EASA repülésbiztonság-felügyeleti felelősségi köre tehát az az alap, amelyre a biztonságos légijármű-üzemeltetés épül, és amelyen az Európai Unióban az engedélyek és tanúsítványok kölcsönös elismerése nyugszik.</w:t>
      </w:r>
    </w:p>
    <w:p>
      <w:pPr>
        <w:shd w:val="clear" w:color="auto" w:fill="FFFFFF"/>
        <w:rPr>
          <w:noProof/>
        </w:rPr>
      </w:pPr>
      <w:r>
        <w:rPr>
          <w:noProof/>
        </w:rPr>
        <w:t xml:space="preserve">A hatósági követelmények bevezetésével ez a felügyelet azon szervezetek repülésbiztonsági teljesítményének folyamatos figyelemmel kísérését is magában foglalja, amelyek tevékenységeik alapján konkrét kockázatot jelentenek (lásd még a </w:t>
      </w:r>
      <w:hyperlink w:anchor="_Safety-data-driven_targeting_of" w:history="1">
        <w:r>
          <w:rPr>
            <w:rStyle w:val="Hyperlink"/>
            <w:noProof/>
          </w:rPr>
          <w:t>3.3.2. szakaszt</w:t>
        </w:r>
      </w:hyperlink>
      <w:r>
        <w:rPr>
          <w:noProof/>
        </w:rPr>
        <w:t>).</w:t>
      </w:r>
    </w:p>
    <w:p>
      <w:pPr>
        <w:pStyle w:val="Heading2"/>
        <w:keepLines w:val="0"/>
        <w:numPr>
          <w:ilvl w:val="1"/>
          <w:numId w:val="33"/>
        </w:numPr>
        <w:rPr>
          <w:rFonts w:hint="eastAsia"/>
          <w:noProof/>
        </w:rPr>
      </w:pPr>
      <w:bookmarkStart w:id="123" w:name="_Safety_Data_collection,"/>
      <w:bookmarkStart w:id="124" w:name="_Toc434321966"/>
      <w:bookmarkStart w:id="125" w:name="_Toc440462629"/>
      <w:bookmarkEnd w:id="122"/>
      <w:bookmarkEnd w:id="123"/>
      <w:r>
        <w:rPr>
          <w:noProof/>
        </w:rPr>
        <w:t>Repülésbiztonsági adatok gyűjtése, elemzése és cseréje</w:t>
      </w:r>
      <w:bookmarkEnd w:id="124"/>
      <w:bookmarkEnd w:id="125"/>
    </w:p>
    <w:p>
      <w:pPr>
        <w:shd w:val="clear" w:color="auto" w:fill="FFFFFF"/>
        <w:rPr>
          <w:noProof/>
        </w:rPr>
      </w:pPr>
      <w:r>
        <w:rPr>
          <w:noProof/>
        </w:rPr>
        <w:t>A biztonsággal összefüggő információk jelentősen hozzájárulnak a biztonságot fenyegető meglévő vagy lehetséges veszélyek azonosításához. Több uniós rendelet biztosítja, hogy a megfelelő adatokat és információkat az érintettek gyűjtsék, elemezzék és adott esetben egymással megosszák. Ide tartoznak többek között a polgári légi közlekedési eseményekre vonatkozó információk (2015-ben az európai központi adattárban több mint 1 000 000 esemény), a SAFA-rendszer keretében gyűjtött, a külföldi légi fuvarozókra vonatkozó információk (2015-ben a SAFA-adatbázisban több mint 130 000 jelentés), a biztonsági ajánlások információs rendszerének keretében a biztonsági ajánlásokra vonatkozó információk (2015-ben a SRIS-adatbázisban több mint 1200 ajánlás) valamint a harmadik országbeli üzemeltetői engedélyek összefüggésében gyűjtött, elemzett és megosztott információk és a működési tilalom alatti légi járművek európai biztonsági listája.</w:t>
      </w:r>
    </w:p>
    <w:p>
      <w:pPr>
        <w:shd w:val="clear" w:color="auto" w:fill="FFFFFF"/>
        <w:rPr>
          <w:noProof/>
        </w:rPr>
      </w:pPr>
      <w:r>
        <w:rPr>
          <w:noProof/>
        </w:rPr>
        <w:t>Az EU-ban az események gyűjtésére, elemzésére és cseréjére a 376/2014/EU rendelet az irányadó. Ez a jogszabály előírja minden szervezet, minden tagállam és az EASA számára, hogy hozzanak létre egy a releváns eseményekre vonatkozó adatok gyűjtését és tárolását lehetővé tevő rendszert. Az összegyűjtött eseményeket elemzik, és adott esetben kockázatcsökkentő intézkedéseket hajtanak végre. Az összes eseményt, továbbá az elemzésükre és nyomon követésükre vonatkozó releváns információkat továbbítani kell az európai központi adattárba.</w:t>
      </w:r>
    </w:p>
    <w:p>
      <w:pPr>
        <w:shd w:val="clear" w:color="auto" w:fill="FFFFFF"/>
        <w:rPr>
          <w:noProof/>
        </w:rPr>
      </w:pPr>
      <w:r>
        <w:rPr>
          <w:noProof/>
        </w:rPr>
        <w:t>Az európai központi adattárba beküldött eseményekre vonatkozó információk egyaránt rendelkezésére állnak a tagállamoknak (nemzeti légügyi hatóságaiknak és eseményvizsgálatokat végző hatóságaiknak), az EASA-nak és a Bizottságnak. Az európai repülésbiztonsági terv alátámasztása érdekében a 376/2014/EU rendelettel létrehozott repülésbiztonsági elemzői hálózatnak (NoA) elemeznie kell az európai központi adattárat.</w:t>
      </w:r>
    </w:p>
    <w:p>
      <w:pPr>
        <w:shd w:val="clear" w:color="auto" w:fill="FFFFFF"/>
        <w:rPr>
          <w:noProof/>
        </w:rPr>
      </w:pPr>
      <w:r>
        <w:rPr>
          <w:noProof/>
        </w:rPr>
        <w:t>A 376/2014/EU rendelettel létrehozott rendszer alapvető része a méltányossági alapú repülésbiztonsági kultúra („Just Culture”) meghatározása, amelynek célja egy olyan bizalmon alapuló környezet létrehozása, amelyben az emberek bátran beszámolhatnak az eseményekről, és így biztosított a repülésbiztonsági információk folyamatos rendelkezésre állása. Ez a méltányossági alapú kultúra a rendeletben meghatározott azon alapelvek révén jön létre, mint például a vétkesség vagy a büntetés megállapításától való védelem (kivéve szándékos kötelezettségszegés vagy elfogadhatatlan viselkedés esetén).</w:t>
      </w:r>
    </w:p>
    <w:p>
      <w:pPr>
        <w:pStyle w:val="Heading2"/>
        <w:keepLines w:val="0"/>
        <w:numPr>
          <w:ilvl w:val="1"/>
          <w:numId w:val="33"/>
        </w:numPr>
        <w:rPr>
          <w:rFonts w:hint="eastAsia"/>
          <w:noProof/>
        </w:rPr>
      </w:pPr>
      <w:r>
        <w:rPr>
          <w:noProof/>
        </w:rPr>
        <w:t xml:space="preserve"> </w:t>
      </w:r>
      <w:bookmarkStart w:id="126" w:name="_Toc434321967"/>
      <w:bookmarkStart w:id="127" w:name="_Toc440462630"/>
      <w:r>
        <w:rPr>
          <w:noProof/>
        </w:rPr>
        <w:t>A jelentős aggályt vagy szükségletet jelentő területeken a felügyelet célpontjainak repülésbiztonsági adatokon alapuló kiválasztása</w:t>
      </w:r>
      <w:bookmarkEnd w:id="126"/>
      <w:bookmarkEnd w:id="127"/>
    </w:p>
    <w:p>
      <w:pPr>
        <w:pStyle w:val="Heading3"/>
        <w:keepLines w:val="0"/>
        <w:numPr>
          <w:ilvl w:val="0"/>
          <w:numId w:val="39"/>
        </w:numPr>
        <w:spacing w:before="240" w:after="240"/>
        <w:rPr>
          <w:noProof/>
        </w:rPr>
      </w:pPr>
      <w:bookmarkStart w:id="128" w:name="_Toc429657465"/>
      <w:bookmarkStart w:id="129" w:name="_Toc434321968"/>
      <w:bookmarkStart w:id="130" w:name="_Toc440462631"/>
      <w:r>
        <w:rPr>
          <w:noProof/>
        </w:rPr>
        <w:t>A célpontok repülésbiztonsági adatokon alapuló kiválasztása a tagállamok figyelemmel kísérésénél</w:t>
      </w:r>
      <w:bookmarkEnd w:id="128"/>
      <w:bookmarkEnd w:id="129"/>
      <w:bookmarkEnd w:id="130"/>
    </w:p>
    <w:p>
      <w:pPr>
        <w:shd w:val="clear" w:color="auto" w:fill="FFFFFF"/>
        <w:rPr>
          <w:rFonts w:eastAsia="Times New Roman" w:cs="Times New Roman"/>
          <w:noProof/>
          <w:szCs w:val="24"/>
        </w:rPr>
      </w:pPr>
      <w:r>
        <w:rPr>
          <w:noProof/>
        </w:rPr>
        <w:t>Az EU-ban az ügynökség kockázatalapú megközelítéssel végzi a tagállamok szabványosítási vizsgálatait. A vizsgálatok gyakorisága, hatálya és mélysége, valamint a vizsgálatot végző csoport mérete és összetétele az adott állam és ágazat konkrét helyzetéhez igazodik.</w:t>
      </w:r>
    </w:p>
    <w:p>
      <w:pPr>
        <w:shd w:val="clear" w:color="auto" w:fill="FFFFFF"/>
        <w:rPr>
          <w:rFonts w:eastAsia="Times New Roman" w:cs="Times New Roman"/>
          <w:noProof/>
          <w:szCs w:val="24"/>
        </w:rPr>
      </w:pPr>
      <w:r>
        <w:rPr>
          <w:noProof/>
        </w:rPr>
        <w:t>Ez a figyelemmel kísérés folyamatosan zajlik, a teljes repülési rendszerre irányul és kockázatalapú, vagyis az EASA rendelkezésére álló összes információt figyelembe veszi. Ehhez az EASA értékeli, hogy az illetékes hatóságok milyen mértékben tudják gyakorolni a repülésbiztonsági felügyelethez kapcsolódó hatásköreiket. Ez szükség szerint adatgyűjtéssel és -elemzéssel, vizsgálatokkal és a megállapítások nyomon követésével jár annak érdekében, hogy időben sor kerüljön a megfelelő korrekciókra és korrekciós intézkedésekre.</w:t>
      </w:r>
    </w:p>
    <w:p>
      <w:pPr>
        <w:shd w:val="clear" w:color="auto" w:fill="FFFFFF"/>
        <w:rPr>
          <w:rFonts w:eastAsia="Times New Roman" w:cs="Times New Roman"/>
          <w:noProof/>
          <w:szCs w:val="24"/>
        </w:rPr>
      </w:pPr>
      <w:r>
        <w:rPr>
          <w:noProof/>
        </w:rPr>
        <w:t>Az EU szintjén a szabványosítás is része a repülésbiztonsági adatok gyűjtésének, amire a veszélyek azonosításához és a jelentős aggályt vagy szükségletet jelentő területeken a felügyelet célpontjainak repülésbiztonsági adatokon alapuló kiválasztásához van szükség.</w:t>
      </w:r>
    </w:p>
    <w:p>
      <w:pPr>
        <w:shd w:val="clear" w:color="auto" w:fill="FFFFFF"/>
        <w:rPr>
          <w:rFonts w:eastAsia="Times New Roman" w:cs="Times New Roman"/>
          <w:noProof/>
          <w:szCs w:val="24"/>
        </w:rPr>
      </w:pPr>
      <w:r>
        <w:rPr>
          <w:noProof/>
        </w:rPr>
        <w:t>A szabványosítási stratégia a következő fő területekre összpontosul:</w:t>
      </w:r>
    </w:p>
    <w:p>
      <w:pPr>
        <w:numPr>
          <w:ilvl w:val="0"/>
          <w:numId w:val="30"/>
        </w:numPr>
        <w:shd w:val="clear" w:color="auto" w:fill="FFFFFF"/>
        <w:rPr>
          <w:rFonts w:eastAsia="Times New Roman" w:cs="Times New Roman"/>
          <w:noProof/>
          <w:szCs w:val="24"/>
        </w:rPr>
      </w:pPr>
      <w:r>
        <w:rPr>
          <w:b/>
          <w:noProof/>
        </w:rPr>
        <w:t>Egy folyamatos figyelemmel kísérésen alapuló megközelítés megvalósítása</w:t>
      </w:r>
      <w:r>
        <w:rPr>
          <w:noProof/>
        </w:rPr>
        <w:t>: A 628/2013/EU rendelet bevezeti az európai repülésbiztonsági szabályok egységes alkalmazásának figyelemmel kísérési rendszerét, amelyet a repülés valamennyi területére ki kellene terjeszteni.</w:t>
      </w:r>
    </w:p>
    <w:p>
      <w:pPr>
        <w:numPr>
          <w:ilvl w:val="0"/>
          <w:numId w:val="30"/>
        </w:numPr>
        <w:shd w:val="clear" w:color="auto" w:fill="FFFFFF"/>
        <w:rPr>
          <w:rFonts w:eastAsia="Times New Roman" w:cs="Times New Roman"/>
          <w:noProof/>
          <w:szCs w:val="24"/>
        </w:rPr>
      </w:pPr>
      <w:r>
        <w:rPr>
          <w:b/>
          <w:noProof/>
        </w:rPr>
        <w:t>A szabványosítási vizsgálatok kockázatalapú tervezése</w:t>
      </w:r>
      <w:r>
        <w:rPr>
          <w:noProof/>
        </w:rPr>
        <w:t>: a folyamatos figyelemmel kísérési megközelítés során a vizsgálatok gyakorisága, hatálya és mélysége, valamint a vizsgálatot végző csoport mérete és összetétele az adott állam és ágazat konkrét helyzetéhez igazodik. Ez az erőforrások rugalmasabb és hatékonyabb felhasználását eredményezi, valamint azon államok terheinek csökkentését, amelyek jól teljesítenek, és ezért ritkábban kell őket vizsgálni. A szabályozásnak való megfelelés ellenőrzése egyre inkább összeolvad a rendszerek, illetve a folyamatok teljesítményének figyelemmel kísérésével, így az ellenőrzés az illetékes hatóságok irányítási rendszereinek és az állami légiközlekedés-biztonsági programoknak a rendszerszintű eredményességére irányul.</w:t>
      </w:r>
    </w:p>
    <w:p>
      <w:pPr>
        <w:numPr>
          <w:ilvl w:val="0"/>
          <w:numId w:val="30"/>
        </w:numPr>
        <w:shd w:val="clear" w:color="auto" w:fill="FFFFFF"/>
        <w:rPr>
          <w:rFonts w:eastAsia="Times New Roman" w:cs="Times New Roman"/>
          <w:noProof/>
          <w:szCs w:val="24"/>
        </w:rPr>
      </w:pPr>
      <w:r>
        <w:rPr>
          <w:b/>
          <w:noProof/>
        </w:rPr>
        <w:t>Az EASA szabványosítási tevékenységeinek és az ICAO USOAP programnak az integrálása</w:t>
      </w:r>
      <w:r>
        <w:rPr>
          <w:noProof/>
        </w:rPr>
        <w:t>: a jelenlegi munkamegállapodás serkenti az EASA és az ICAO között az együttműködést és a tevékenységek integrációját. A folyamatos párbeszéd, az információ- és adatcsere, a vizsgálatokban és ellenőrzésekben való kölcsönös részvétel mind elősegítik ezt, és hozzájárulnak annak a célnak az eléréséhez, hogy az EU és az ICAO követelményei és szabványai egyetlen integrált folyamat keretében teljesíthetők legyenek.</w:t>
      </w:r>
    </w:p>
    <w:p>
      <w:pPr>
        <w:numPr>
          <w:ilvl w:val="0"/>
          <w:numId w:val="30"/>
        </w:numPr>
        <w:shd w:val="clear" w:color="auto" w:fill="FFFFFF"/>
        <w:rPr>
          <w:rFonts w:eastAsia="Times New Roman" w:cs="Times New Roman"/>
          <w:noProof/>
          <w:szCs w:val="24"/>
        </w:rPr>
      </w:pPr>
      <w:r>
        <w:rPr>
          <w:b/>
          <w:noProof/>
        </w:rPr>
        <w:t>Az illetékes hatóságok személyzetének részvétele a szabványosítási tevékenységekben</w:t>
      </w:r>
      <w:r>
        <w:rPr>
          <w:noProof/>
        </w:rPr>
        <w:t>: a cél Európa-szerte a proaktív szabványosítás és a személyzet megfelelő szintű képesítése. Ezen túlmenően a szabványosítási találkozók fórumot biztosítanak az érintettek számára, hogy megállapodjanak a követelmények egységes értelmezésében, illetve megosszák egymással az értelmezéseket és a bevált gyakorlatokat, és így segítik a szabályok egységes végrehajtását.</w:t>
      </w:r>
    </w:p>
    <w:p>
      <w:pPr>
        <w:numPr>
          <w:ilvl w:val="0"/>
          <w:numId w:val="30"/>
        </w:numPr>
        <w:shd w:val="clear" w:color="auto" w:fill="FFFFFF"/>
        <w:rPr>
          <w:rFonts w:eastAsia="Times New Roman" w:cs="Times New Roman"/>
          <w:noProof/>
          <w:szCs w:val="24"/>
        </w:rPr>
      </w:pPr>
      <w:r>
        <w:rPr>
          <w:b/>
          <w:noProof/>
        </w:rPr>
        <w:t>Megerősített szabályozási visszacsatolási mechanizmus</w:t>
      </w:r>
      <w:r>
        <w:rPr>
          <w:noProof/>
        </w:rPr>
        <w:t>: a meglévő visszacsatolási mechanizmus karcsúsodik és erősödik, hogy szisztematikusan lehessen értékelni a szabályok eredményességét, a szabványosítási tevékenységek eredményét pedig be lehessen csatornázni a repülésbiztonság-menedzsmentbe, a szabályalkotásba és a repülésbiztonság-népszerűsítő tevékenységekbe.</w:t>
      </w:r>
    </w:p>
    <w:p>
      <w:pPr>
        <w:pStyle w:val="Heading3"/>
        <w:keepLines w:val="0"/>
        <w:numPr>
          <w:ilvl w:val="0"/>
          <w:numId w:val="39"/>
        </w:numPr>
        <w:spacing w:before="240" w:after="240"/>
        <w:rPr>
          <w:noProof/>
        </w:rPr>
      </w:pPr>
      <w:bookmarkStart w:id="131" w:name="_Safety-data-driven_targeting_of"/>
      <w:bookmarkStart w:id="132" w:name="_Toc429657469"/>
      <w:bookmarkStart w:id="133" w:name="_Toc434321969"/>
      <w:bookmarkStart w:id="134" w:name="_Toc440462632"/>
      <w:bookmarkEnd w:id="131"/>
      <w:r>
        <w:rPr>
          <w:noProof/>
        </w:rPr>
        <w:t>A célpontok repülésbiztonsági adatokon alapuló kiválasztása az ágazat felügyeleténél</w:t>
      </w:r>
      <w:bookmarkEnd w:id="132"/>
      <w:bookmarkEnd w:id="133"/>
      <w:bookmarkEnd w:id="134"/>
    </w:p>
    <w:p>
      <w:pPr>
        <w:shd w:val="clear" w:color="auto" w:fill="FFFFFF"/>
        <w:rPr>
          <w:rFonts w:eastAsia="Times New Roman" w:cs="Times New Roman"/>
          <w:noProof/>
          <w:szCs w:val="24"/>
        </w:rPr>
      </w:pPr>
      <w:r>
        <w:rPr>
          <w:noProof/>
        </w:rPr>
        <w:t>A hatóságokra vonatkozó uniós jogszabályi követelmények szerint folyamatosan figyelemmel kell kísérni a szervezetek repülésbiztonsági teljesítményét. Ennek támogatására különféle anyagok – többek között a teljesítmény- és kockázatalapú felügyelet elvégzéséhez szükséges definíciók és fogalmak – kerültek kidolgozásra. Az anyagok nem csupán az alkalmazandó követelményeknek való megfelelés ellenőrzésére fókuszálnak, hanem a repülési kockázatok azonosítására és csökkentésük eredményességére.</w:t>
      </w:r>
    </w:p>
    <w:p>
      <w:pPr>
        <w:shd w:val="clear" w:color="auto" w:fill="FFFFFF"/>
        <w:rPr>
          <w:rFonts w:eastAsia="Times New Roman" w:cs="Times New Roman"/>
          <w:noProof/>
          <w:szCs w:val="24"/>
        </w:rPr>
      </w:pPr>
      <w:r>
        <w:rPr>
          <w:noProof/>
        </w:rPr>
        <w:t>A felügyelet céljainak ilyen adatokon alapuló kiválasztása a szabályozott szervezetek egyre növekvő számából, méretéből és bonyolultságából, valamint a tagállamokban rendelkezésre álló erőforrások szűkösségéből adódó problémákat is enyhíti.</w:t>
      </w:r>
    </w:p>
    <w:p>
      <w:pPr>
        <w:shd w:val="clear" w:color="auto" w:fill="FFFFFF"/>
        <w:rPr>
          <w:rFonts w:eastAsia="Times New Roman" w:cs="Times New Roman"/>
          <w:noProof/>
          <w:szCs w:val="24"/>
        </w:rPr>
      </w:pPr>
      <w:r>
        <w:rPr>
          <w:noProof/>
        </w:rPr>
        <w:t>Egy ilyen, repülésbiztonságmenedzsment-központú gondolkodást és viselkedést ösztönző felügyeleti rendszer felelősségvállalásra bátorítja a szervezeteket, hogy azokat a kockázatokat is kezeljék, amelyekkel a rendeletek nem foglalkoznak; a felügyeleti teher lehetséges csökkenése pedig ösztönzést jelent a repülésbiztonság-menedzsment megvalósításához. A felügyeleti rendszer az irányítási rendszerekről szóló rendelkezéseknek a szervezetek végrehajtási szabályaiban történő eredményes végrehajtását is támogatja.</w:t>
      </w:r>
    </w:p>
    <w:p>
      <w:pPr>
        <w:shd w:val="clear" w:color="auto" w:fill="FFFFFF"/>
        <w:rPr>
          <w:noProof/>
        </w:rPr>
      </w:pPr>
      <w:r>
        <w:rPr>
          <w:noProof/>
        </w:rPr>
        <w:br w:type="page"/>
      </w:r>
    </w:p>
    <w:p>
      <w:pPr>
        <w:pStyle w:val="Heading1"/>
        <w:rPr>
          <w:rFonts w:hint="eastAsia"/>
          <w:noProof/>
        </w:rPr>
      </w:pPr>
      <w:bookmarkStart w:id="135" w:name="_Toc434321970"/>
      <w:bookmarkStart w:id="136" w:name="_Toc440462633"/>
      <w:r>
        <w:rPr>
          <w:noProof/>
        </w:rPr>
        <w:t>A REPÜLÉSBIZTONSÁG EURÓPAI NÉPSZERŰSÍTÉSE</w:t>
      </w:r>
      <w:bookmarkEnd w:id="135"/>
      <w:bookmarkEnd w:id="136"/>
    </w:p>
    <w:p>
      <w:pPr>
        <w:shd w:val="clear" w:color="auto" w:fill="FFFFFF"/>
        <w:rPr>
          <w:noProof/>
        </w:rPr>
      </w:pPr>
      <w:r>
        <w:rPr>
          <w:noProof/>
        </w:rPr>
        <w:t>A légiközlekedés-biztonsági programnak és az eredményes repülésbiztonság-menedzsmentnek szerves része a repülésbiztonság népszerűsítése. A repülésbiztonsági tanulságok tudatosításával, a bevált gyakorlatok közvetítésével és a repülésbiztonsági eljárások és rendeletek elmagyarázásával csökkenhetők a repülésbiztonsági kockázatok. Az európai repülési rendszerben mindez a jó repülésbiztonsági kultúra fenntartásának része.</w:t>
      </w:r>
    </w:p>
    <w:p>
      <w:pPr>
        <w:shd w:val="clear" w:color="auto" w:fill="FFFFFF"/>
        <w:rPr>
          <w:noProof/>
        </w:rPr>
      </w:pPr>
      <w:r>
        <w:rPr>
          <w:noProof/>
        </w:rPr>
        <w:t xml:space="preserve">A repülésbiztonság népszerűsítése általános vagy célzott munkát jelent, amelynek célja a repülésben érdekelt felek repülésbiztonsági információkkal való ellátása. A tevékenység hajtóerői a repülésbiztonsági hírszerzési folyamatok, amelyek adatokat elemeznek és repülésbiztonsági kockázatcsökkentő intézkedéseket generálnak a </w:t>
      </w:r>
      <w:hyperlink w:anchor="_Safety_Data_collection," w:history="1">
        <w:r>
          <w:rPr>
            <w:rStyle w:val="Hyperlink"/>
            <w:noProof/>
          </w:rPr>
          <w:t>3.2. szakaszban</w:t>
        </w:r>
      </w:hyperlink>
      <w:r>
        <w:rPr>
          <w:noProof/>
        </w:rPr>
        <w:t xml:space="preserve"> leírtak szerint.</w:t>
      </w:r>
    </w:p>
    <w:p>
      <w:pPr>
        <w:shd w:val="clear" w:color="auto" w:fill="FFFFFF"/>
        <w:rPr>
          <w:noProof/>
        </w:rPr>
      </w:pPr>
      <w:r>
        <w:rPr>
          <w:noProof/>
        </w:rPr>
        <w:t>A tagállamok számos repülésbiztonság-népszerűsítő tevékenységet végeznek nemzeti szinten, amelyeket a tagállamok légiközlekedés-biztonsági programjai részleteznek.</w:t>
      </w:r>
    </w:p>
    <w:p>
      <w:pPr>
        <w:shd w:val="clear" w:color="auto" w:fill="FFFFFF"/>
        <w:rPr>
          <w:noProof/>
        </w:rPr>
      </w:pPr>
      <w:r>
        <w:rPr>
          <w:noProof/>
        </w:rPr>
        <w:t>Európai szinten a legtöbb biztonságnépszerűsítő tevékenységet az EASA hangolja össze. Az EASA ebben az összefüggésben egy olyan integrált programozási tevékenységre építhet, amelynek segítségével a biztonságnépszerűsítés és a szabályozási tevékenységek – bizonyos területeken egymást kiegészítve – a lehető leghatékonyabban képesek kezelni a repülésbiztonsági kockázatokat. Az EASA itt kifejezetten európai repülésbiztonság-népszerűsítő csomagokat alkot, hogy így növelje a biztonságnépszerűsítő termékek hatókörét. Ezzel párhuzamosan megerősödnek a repülésbiztonsági partnerségi tevékenységek.</w:t>
      </w:r>
    </w:p>
    <w:p>
      <w:pPr>
        <w:pStyle w:val="Heading2"/>
        <w:keepLines w:val="0"/>
        <w:numPr>
          <w:ilvl w:val="1"/>
          <w:numId w:val="36"/>
        </w:numPr>
        <w:rPr>
          <w:rFonts w:hint="eastAsia"/>
          <w:noProof/>
        </w:rPr>
      </w:pPr>
      <w:bookmarkStart w:id="137" w:name="_Toc434321971"/>
      <w:bookmarkStart w:id="138" w:name="_Toc440462634"/>
      <w:r>
        <w:rPr>
          <w:noProof/>
        </w:rPr>
        <w:t>Uniós szintű tevékenységek</w:t>
      </w:r>
      <w:bookmarkEnd w:id="137"/>
      <w:bookmarkEnd w:id="138"/>
    </w:p>
    <w:p>
      <w:pPr>
        <w:pStyle w:val="Heading3"/>
        <w:keepLines w:val="0"/>
        <w:numPr>
          <w:ilvl w:val="0"/>
          <w:numId w:val="40"/>
        </w:numPr>
        <w:spacing w:before="240" w:after="240"/>
        <w:rPr>
          <w:noProof/>
        </w:rPr>
      </w:pPr>
      <w:bookmarkStart w:id="139" w:name="_Toc434321972"/>
      <w:bookmarkStart w:id="140" w:name="_Toc440462635"/>
      <w:r>
        <w:rPr>
          <w:noProof/>
        </w:rPr>
        <w:t>Repülésbiztonsági kommunikáció</w:t>
      </w:r>
      <w:bookmarkEnd w:id="139"/>
      <w:bookmarkEnd w:id="140"/>
    </w:p>
    <w:p>
      <w:pPr>
        <w:shd w:val="clear" w:color="auto" w:fill="FFFFFF"/>
        <w:rPr>
          <w:noProof/>
        </w:rPr>
      </w:pPr>
      <w:r>
        <w:rPr>
          <w:noProof/>
        </w:rPr>
        <w:t>A repülésbiztonsági információk közvetítésének segítségével robusztus repülésbiztonsági kultúra épülhet. Az EU-ban a repülésbiztonsági kommunikáció eszközei közé tartoznak a repülésbiztonsági elemző jelentések; a hírlevelek, a szórólapok és poszterek; az audiovizuális anyagok; az eszköztárak, a kézikönyvek és útmutatók; a tervek és programok; a műhelytalálkozók és más repülésbiztonsági rendezvények.</w:t>
      </w:r>
    </w:p>
    <w:p>
      <w:pPr>
        <w:pStyle w:val="Heading4"/>
        <w:keepLines w:val="0"/>
        <w:numPr>
          <w:ilvl w:val="3"/>
          <w:numId w:val="36"/>
        </w:numPr>
        <w:spacing w:before="240" w:after="240"/>
        <w:rPr>
          <w:noProof/>
        </w:rPr>
      </w:pPr>
      <w:r>
        <w:rPr>
          <w:noProof/>
        </w:rPr>
        <w:t>Kötelező repülésbiztonsági kommunikáció</w:t>
      </w:r>
    </w:p>
    <w:p>
      <w:pPr>
        <w:shd w:val="clear" w:color="auto" w:fill="FFFFFF"/>
        <w:rPr>
          <w:noProof/>
        </w:rPr>
      </w:pPr>
      <w:r>
        <w:rPr>
          <w:noProof/>
        </w:rPr>
        <w:t xml:space="preserve">A 216/2008/EK rendelet előírja, hogy az EASA tegyen közzé </w:t>
      </w:r>
      <w:hyperlink r:id="rId30">
        <w:r>
          <w:rPr>
            <w:rStyle w:val="Hyperlink"/>
            <w:noProof/>
          </w:rPr>
          <w:t>éves repülésbiztonsági áttekintést</w:t>
        </w:r>
      </w:hyperlink>
      <w:r>
        <w:rPr>
          <w:rStyle w:val="FootnoteReference"/>
          <w:noProof/>
        </w:rPr>
        <w:footnoteReference w:id="16"/>
      </w:r>
      <w:r>
        <w:rPr>
          <w:noProof/>
        </w:rPr>
        <w:t>, amelyben tájékoztatja nyilvánosságot a polgári repülés általános biztonságszintjéről. Az éves repülésbiztonsági áttekintés az európai és a globális polgári repülésbiztonságról tájékoztat.</w:t>
      </w:r>
    </w:p>
    <w:p>
      <w:pPr>
        <w:shd w:val="clear" w:color="auto" w:fill="FFFFFF"/>
        <w:rPr>
          <w:noProof/>
        </w:rPr>
      </w:pPr>
      <w:r>
        <w:rPr>
          <w:noProof/>
        </w:rPr>
        <w:t xml:space="preserve">A 996/2010/EU rendelet előírja egy biztonsági ajánlásokat tartalmazó adatbázis felállítását. Ez az adatbázis </w:t>
      </w:r>
      <w:hyperlink r:id="rId31">
        <w:r>
          <w:rPr>
            <w:rStyle w:val="Hyperlink"/>
            <w:noProof/>
          </w:rPr>
          <w:t>interneten elérhető</w:t>
        </w:r>
      </w:hyperlink>
      <w:r>
        <w:rPr>
          <w:rStyle w:val="FootnoteReference"/>
          <w:noProof/>
        </w:rPr>
        <w:footnoteReference w:id="17"/>
      </w:r>
      <w:r>
        <w:rPr>
          <w:noProof/>
        </w:rPr>
        <w:t>.</w:t>
      </w:r>
    </w:p>
    <w:p>
      <w:pPr>
        <w:pStyle w:val="Heading4"/>
        <w:keepLines w:val="0"/>
        <w:numPr>
          <w:ilvl w:val="3"/>
          <w:numId w:val="36"/>
        </w:numPr>
        <w:spacing w:before="240" w:after="240"/>
        <w:rPr>
          <w:noProof/>
        </w:rPr>
      </w:pPr>
      <w:r>
        <w:rPr>
          <w:noProof/>
        </w:rPr>
        <w:t>Nem kötelező repülésbiztonsági kommunikáció</w:t>
      </w:r>
    </w:p>
    <w:p>
      <w:pPr>
        <w:shd w:val="clear" w:color="auto" w:fill="FFFFFF"/>
        <w:rPr>
          <w:noProof/>
        </w:rPr>
      </w:pPr>
      <w:r>
        <w:rPr>
          <w:noProof/>
        </w:rPr>
        <w:t xml:space="preserve">Az EASA az érdekelt felek tájékoztatására </w:t>
      </w:r>
      <w:hyperlink r:id="rId32">
        <w:r>
          <w:rPr>
            <w:rStyle w:val="Hyperlink"/>
            <w:noProof/>
          </w:rPr>
          <w:t>biztonsági tájékoztató hírleveleket</w:t>
        </w:r>
      </w:hyperlink>
      <w:r>
        <w:rPr>
          <w:rStyle w:val="FootnoteReference"/>
          <w:noProof/>
        </w:rPr>
        <w:footnoteReference w:id="18"/>
      </w:r>
      <w:r>
        <w:rPr>
          <w:noProof/>
        </w:rPr>
        <w:t xml:space="preserve"> is kiad. Ezek a közlemények nyilvánosan elérhetők, és rendszeresen áttekintik és frissítik őket. A </w:t>
      </w:r>
      <w:hyperlink r:id="rId33">
        <w:r>
          <w:rPr>
            <w:rStyle w:val="Hyperlink"/>
            <w:noProof/>
          </w:rPr>
          <w:t>biztonsági ajánlások</w:t>
        </w:r>
      </w:hyperlink>
      <w:r>
        <w:rPr>
          <w:rStyle w:val="FootnoteReference"/>
          <w:noProof/>
        </w:rPr>
        <w:footnoteReference w:id="19"/>
      </w:r>
      <w:r>
        <w:rPr>
          <w:noProof/>
        </w:rPr>
        <w:t xml:space="preserve"> nyomon követésének alakulásáról az ügynökség szintén kiad egy áttekintést.</w:t>
      </w:r>
    </w:p>
    <w:p>
      <w:pPr>
        <w:pStyle w:val="Heading4"/>
        <w:keepLines w:val="0"/>
        <w:numPr>
          <w:ilvl w:val="3"/>
          <w:numId w:val="36"/>
        </w:numPr>
        <w:spacing w:before="240" w:after="240"/>
        <w:rPr>
          <w:noProof/>
        </w:rPr>
      </w:pPr>
      <w:r>
        <w:rPr>
          <w:noProof/>
        </w:rPr>
        <w:t>Repülésbiztonsági műhelytalálkozók és konferenciák</w:t>
      </w:r>
    </w:p>
    <w:p>
      <w:pPr>
        <w:shd w:val="clear" w:color="auto" w:fill="FFFFFF"/>
        <w:rPr>
          <w:noProof/>
        </w:rPr>
      </w:pPr>
      <w:r>
        <w:rPr>
          <w:noProof/>
        </w:rPr>
        <w:t>Az események, az azonosított repülésbiztonsági kockázatok, a felmerülő kérdések vagy a repülésbiztonsági ellenőrzések során megjelenő konkrét repülésbiztonsági problémák kezelésére az EASA repülésbiztonsági kampányokat folytat.</w:t>
      </w:r>
    </w:p>
    <w:p>
      <w:pPr>
        <w:shd w:val="clear" w:color="auto" w:fill="FFFFFF"/>
        <w:rPr>
          <w:noProof/>
        </w:rPr>
      </w:pPr>
      <w:r>
        <w:rPr>
          <w:noProof/>
        </w:rPr>
        <w:t>Az ügynökség rendszeresen szervez műhelytalálkozókat és konferenciákat is, amelyeket arra használ, hogy az európai érdekelt felek részére repülésbiztonsági információkat terjesszen, és lehetőséget adjon a repülésbiztonsággal kapcsolatos témáknak – többek között a vizsgálatok eredményeinek – a megvitatására. Ezen túlmenően az ügynökség évente repülésbiztonsági konferenciát szervez.</w:t>
      </w:r>
    </w:p>
    <w:p>
      <w:pPr>
        <w:shd w:val="clear" w:color="auto" w:fill="FFFFFF"/>
        <w:rPr>
          <w:noProof/>
        </w:rPr>
      </w:pPr>
      <w:r>
        <w:rPr>
          <w:noProof/>
        </w:rPr>
        <w:t>A repülésbiztonsághoz kapcsolódó kérdésekről az Európai Bizottság is rendszeresen szervez konferenciákat. Ezenkívül bizonyos repülésbiztonsági szabályok – különösen a 376/2014/EU és a 996/2010/EU rendeletek – megfelelő terjesztésének és megértésének támogatására műhelytalálkozókat és más tevékenységeket szervez.</w:t>
      </w:r>
    </w:p>
    <w:p>
      <w:pPr>
        <w:pStyle w:val="Heading4"/>
        <w:keepLines w:val="0"/>
        <w:numPr>
          <w:ilvl w:val="3"/>
          <w:numId w:val="36"/>
        </w:numPr>
        <w:spacing w:before="240" w:after="240"/>
        <w:rPr>
          <w:noProof/>
        </w:rPr>
      </w:pPr>
      <w:bookmarkStart w:id="141" w:name="_Toc429657484"/>
      <w:r>
        <w:rPr>
          <w:noProof/>
        </w:rPr>
        <w:t>Online tájékoztatás</w:t>
      </w:r>
      <w:bookmarkEnd w:id="141"/>
    </w:p>
    <w:p>
      <w:pPr>
        <w:shd w:val="clear" w:color="auto" w:fill="FFFFFF"/>
        <w:rPr>
          <w:noProof/>
        </w:rPr>
      </w:pPr>
      <w:r>
        <w:rPr>
          <w:noProof/>
        </w:rPr>
        <w:t xml:space="preserve">Az </w:t>
      </w:r>
      <w:hyperlink r:id="rId34">
        <w:r>
          <w:rPr>
            <w:rStyle w:val="Hyperlink"/>
            <w:noProof/>
          </w:rPr>
          <w:t>EASA</w:t>
        </w:r>
      </w:hyperlink>
      <w:r>
        <w:rPr>
          <w:rStyle w:val="FootnoteReference"/>
          <w:noProof/>
        </w:rPr>
        <w:footnoteReference w:id="20"/>
      </w:r>
      <w:r>
        <w:rPr>
          <w:noProof/>
        </w:rPr>
        <w:t xml:space="preserve"> és az Európai Bizottság </w:t>
      </w:r>
      <w:hyperlink r:id="rId35">
        <w:r>
          <w:rPr>
            <w:rStyle w:val="Hyperlink"/>
            <w:noProof/>
          </w:rPr>
          <w:t>európai repülésbiztonsági politikáról szóló</w:t>
        </w:r>
      </w:hyperlink>
      <w:r>
        <w:rPr>
          <w:rStyle w:val="FootnoteReference"/>
          <w:noProof/>
        </w:rPr>
        <w:footnoteReference w:id="21"/>
      </w:r>
      <w:r>
        <w:rPr>
          <w:noProof/>
        </w:rPr>
        <w:t xml:space="preserve"> weboldalán információk és dokumentumok széles skálája érhető el nyilvánosan.</w:t>
      </w:r>
    </w:p>
    <w:p>
      <w:pPr>
        <w:rPr>
          <w:noProof/>
        </w:rPr>
      </w:pPr>
      <w:r>
        <w:rPr>
          <w:noProof/>
        </w:rPr>
        <w:t>Ezenkívül az EASA, a Bizottság és a tagállamok, valamint az ágazat gyakran használnak korlátozott hozzáférésű hálózatokat repülésbiztonsági információk cseréjére.</w:t>
      </w:r>
    </w:p>
    <w:p>
      <w:pPr>
        <w:pStyle w:val="Heading3"/>
        <w:keepLines w:val="0"/>
        <w:numPr>
          <w:ilvl w:val="0"/>
          <w:numId w:val="40"/>
        </w:numPr>
        <w:spacing w:before="240" w:after="240"/>
        <w:rPr>
          <w:noProof/>
        </w:rPr>
      </w:pPr>
      <w:bookmarkStart w:id="142" w:name="_European_Strategic_Safety"/>
      <w:bookmarkStart w:id="143" w:name="_Toc434321973"/>
      <w:bookmarkStart w:id="144" w:name="_Toc440462636"/>
      <w:bookmarkEnd w:id="142"/>
      <w:r>
        <w:rPr>
          <w:noProof/>
        </w:rPr>
        <w:t>Az európai stratégiai repülésbiztonsági kezdeményezés (ESSI)</w:t>
      </w:r>
      <w:bookmarkEnd w:id="143"/>
      <w:bookmarkEnd w:id="144"/>
    </w:p>
    <w:p>
      <w:pPr>
        <w:shd w:val="clear" w:color="auto" w:fill="FFFFFF"/>
        <w:rPr>
          <w:noProof/>
        </w:rPr>
      </w:pPr>
      <w:r>
        <w:rPr>
          <w:noProof/>
        </w:rPr>
        <w:t>Az európai stratégiai repülésbiztonsági kezdeményezés (European Strategic Safety Initiative) az állami hatóságok és az ágazat képviselőit tömörítő repülésbiztonsági csoport. Fő célja, hogy a repülésbiztonságot költséghatékony módon erősítő önkéntes munkával javítsa a repülés biztonságát. Az ESSI három munkacsoportból áll: az európai kereskedelmi repülésbiztonsági csoport (ECAST), az európai helikopterbiztonsági csoport (EHEST) és az általános célú repülés európai repülésbiztonsági csoportja (EGAST). A repülésbiztonsági csoportok plenáris üléseiken irányt szabnak, kiosztják a továbbfejlesztendő munkát a csoportoknak és áttekintik az elvárt repülésbiztonsági eredményeket. A repülésbiztonsági csoportokat társelnökök vezetik: a repülési közösség és az EASA egy-egy tagja.</w:t>
      </w:r>
    </w:p>
    <w:p>
      <w:pPr>
        <w:pStyle w:val="Heading4"/>
        <w:keepLines w:val="0"/>
        <w:numPr>
          <w:ilvl w:val="3"/>
          <w:numId w:val="41"/>
        </w:numPr>
        <w:spacing w:before="240" w:after="240"/>
        <w:rPr>
          <w:noProof/>
        </w:rPr>
      </w:pPr>
      <w:r>
        <w:rPr>
          <w:noProof/>
        </w:rPr>
        <w:t>Kereskedelmi repülés</w:t>
      </w:r>
    </w:p>
    <w:p>
      <w:pPr>
        <w:shd w:val="clear" w:color="auto" w:fill="FFFFFF"/>
        <w:rPr>
          <w:noProof/>
        </w:rPr>
      </w:pPr>
      <w:r>
        <w:rPr>
          <w:noProof/>
        </w:rPr>
        <w:t>Az ECAST nagy, merev szárnyú légi járművek üzemben tartásával foglalkozik, célja a kereskedelmi repülés biztonságának további javítása Európában, és az európai polgárok számára világszerte. Az ECAST az EASA és más európai hatóságok, valamint a repülési ágazat közötti partnerség. Az ECAST együttműködik az US CAST-tal és világszerte a többi jelentős repülésbiztonsági kezdeményezéssel, különösen az ICAO regionális repülésbiztonsági csoportjaival.</w:t>
      </w:r>
    </w:p>
    <w:p>
      <w:pPr>
        <w:pStyle w:val="Heading4"/>
        <w:keepLines w:val="0"/>
        <w:numPr>
          <w:ilvl w:val="3"/>
          <w:numId w:val="41"/>
        </w:numPr>
        <w:spacing w:before="240" w:after="240"/>
        <w:rPr>
          <w:noProof/>
        </w:rPr>
      </w:pPr>
      <w:r>
        <w:rPr>
          <w:noProof/>
        </w:rPr>
        <w:t>Helikopterek</w:t>
      </w:r>
    </w:p>
    <w:p>
      <w:pPr>
        <w:shd w:val="clear" w:color="auto" w:fill="FFFFFF"/>
        <w:rPr>
          <w:noProof/>
        </w:rPr>
      </w:pPr>
      <w:r>
        <w:rPr>
          <w:noProof/>
        </w:rPr>
        <w:t>Az EHEST az európai helikoptergyártókat, üzemben tartókat, kutatószervezeteket, hatóságokat és balesetvizsgálókat tömöríti, és szorosan együttműködik a nemzetközi helikopterbiztonsági csoporttal (IHST).</w:t>
      </w:r>
    </w:p>
    <w:p>
      <w:pPr>
        <w:pStyle w:val="Heading4"/>
        <w:keepLines w:val="0"/>
        <w:numPr>
          <w:ilvl w:val="3"/>
          <w:numId w:val="41"/>
        </w:numPr>
        <w:spacing w:before="240" w:after="240"/>
        <w:rPr>
          <w:noProof/>
        </w:rPr>
      </w:pPr>
      <w:r>
        <w:rPr>
          <w:noProof/>
        </w:rPr>
        <w:t>Általános célú repülés</w:t>
      </w:r>
    </w:p>
    <w:p>
      <w:pPr>
        <w:shd w:val="clear" w:color="auto" w:fill="FFFFFF"/>
        <w:rPr>
          <w:noProof/>
        </w:rPr>
      </w:pPr>
      <w:r>
        <w:rPr>
          <w:noProof/>
        </w:rPr>
        <w:t>Az EGAST az általános célú repülési közösség, egyesületek és klubok, az ágazat, az EASA és más hatóságok képviselőit gyűjti egybe Európából. A csoport a bevált gyakorlatok megosztásának, az adatgyűjtésnek és a repülésbiztonság népszerűsítésének a fóruma. A tagjai által vállalt munkára építve felerősíti az erőfeszítéseik eredményét. Az EGAST együttműködik az általános célú repülés közös irányítóbizottságával (GA JSC), amelynek társelnökeit az USA Szövetségi Légiközlekedési Hivatala (FAA) és a légijármű-tulajdonosok és pilóták szövetségének (AOPA) repülésbiztonsági alapítványa adják.</w:t>
      </w:r>
    </w:p>
    <w:p>
      <w:pPr>
        <w:pStyle w:val="Heading2"/>
        <w:keepLines w:val="0"/>
        <w:numPr>
          <w:ilvl w:val="1"/>
          <w:numId w:val="41"/>
        </w:numPr>
        <w:rPr>
          <w:rFonts w:hint="eastAsia"/>
          <w:noProof/>
        </w:rPr>
      </w:pPr>
      <w:bookmarkStart w:id="145" w:name="_Toc434321974"/>
      <w:bookmarkStart w:id="146" w:name="_Toc440462637"/>
      <w:r>
        <w:rPr>
          <w:noProof/>
        </w:rPr>
        <w:t>Uniós szintű nemzetközi együttműködés</w:t>
      </w:r>
      <w:bookmarkEnd w:id="145"/>
      <w:bookmarkEnd w:id="146"/>
    </w:p>
    <w:p>
      <w:pPr>
        <w:shd w:val="clear" w:color="auto" w:fill="FFFFFF"/>
        <w:rPr>
          <w:noProof/>
        </w:rPr>
      </w:pPr>
      <w:r>
        <w:rPr>
          <w:noProof/>
        </w:rPr>
        <w:t>A repülésbiztonság egyre inkább együttműködésen alapuló, globális erőfeszítés. Ebben az összefüggésben az EU repülésbiztonsági politikájának egyre erősebb a nemzetközi dimenziója.</w:t>
      </w:r>
    </w:p>
    <w:p>
      <w:pPr>
        <w:shd w:val="clear" w:color="auto" w:fill="FFFFFF"/>
        <w:rPr>
          <w:noProof/>
        </w:rPr>
      </w:pPr>
      <w:r>
        <w:rPr>
          <w:noProof/>
        </w:rPr>
        <w:t>A Bizottság, az EASA és a tagállamok a repülésbiztonság terén számos nemzetközi tevékenységüket szorosan összehangolják. A cél a globális repülésbiztonság és környezetvédelem erősödése, a termékek és szolgáltatások szabad mozgásának támogatása, valamint az európai és a globális repülésbiztonsági szabványok népszerűsítése.</w:t>
      </w:r>
    </w:p>
    <w:p>
      <w:pPr>
        <w:shd w:val="clear" w:color="auto" w:fill="FFFFFF"/>
        <w:rPr>
          <w:noProof/>
        </w:rPr>
      </w:pPr>
      <w:r>
        <w:rPr>
          <w:noProof/>
        </w:rPr>
        <w:t>E célok elérése érdekében az EU szabályozási és operatív szinten egyaránt együttműködik a partnerországokkal és a regionális szervezetekkel. Ez nemzetközi és munkamegállapodások végrehajtásával, valamint technikai segítségnyújtással és együttműködési tevékenységekkel zajlik. A technikai segítségnyújtás a fejlődő országok és régiók repülésbiztonságának javítására irányul, technikai együttműködés és partnerségek pedig feltörekvő és fejlett országokkal kerülnek kialakításra.</w:t>
      </w:r>
    </w:p>
    <w:p>
      <w:pPr>
        <w:pStyle w:val="Heading2"/>
        <w:keepLines w:val="0"/>
        <w:numPr>
          <w:ilvl w:val="1"/>
          <w:numId w:val="41"/>
        </w:numPr>
        <w:rPr>
          <w:rFonts w:hint="eastAsia"/>
          <w:noProof/>
        </w:rPr>
      </w:pPr>
      <w:bookmarkStart w:id="147" w:name="_Toc434321975"/>
      <w:bookmarkStart w:id="148" w:name="_Toc440462638"/>
      <w:r>
        <w:rPr>
          <w:noProof/>
        </w:rPr>
        <w:t>Uniós szintű képzés</w:t>
      </w:r>
      <w:bookmarkEnd w:id="147"/>
      <w:bookmarkEnd w:id="148"/>
    </w:p>
    <w:p>
      <w:pPr>
        <w:shd w:val="clear" w:color="auto" w:fill="FFFFFF"/>
        <w:rPr>
          <w:rFonts w:eastAsia="Times New Roman" w:cs="Times New Roman"/>
          <w:noProof/>
          <w:szCs w:val="24"/>
        </w:rPr>
      </w:pPr>
      <w:r>
        <w:rPr>
          <w:noProof/>
        </w:rPr>
        <w:t>Az EU-ban képzési tevékenységekkel az európai légiközlekedés-biztonsági program végrehajtásában részt vevő repülési szervezetek foglalkoznak: a tagállamok, a polgári légiközlekedési hatóságok, az eseményvizsgálatokat végző hatóságok és az ágazat.</w:t>
      </w:r>
    </w:p>
    <w:p>
      <w:pPr>
        <w:shd w:val="clear" w:color="auto" w:fill="FFFFFF"/>
        <w:rPr>
          <w:rFonts w:eastAsia="Times New Roman" w:cs="Times New Roman"/>
          <w:noProof/>
          <w:szCs w:val="24"/>
        </w:rPr>
      </w:pPr>
      <w:r>
        <w:rPr>
          <w:noProof/>
        </w:rPr>
        <w:t>A 376/2014/EU rendelet szerint a Bizottságnak és az ügynökségnek megfelelő képzéssel kell támogatnia a tagállamokat. Erre a képzésre a repülésbiztonsági elemzői hálózat (NoA) és a baleset- és repülőesemény-jelentő rendszerek európai koordinációs központja (ECCAIRS) irányítóbizottságának keretében kerül sor.</w:t>
      </w:r>
    </w:p>
    <w:p>
      <w:pPr>
        <w:shd w:val="clear" w:color="auto" w:fill="FFFFFF"/>
        <w:rPr>
          <w:noProof/>
        </w:rPr>
      </w:pPr>
      <w:r>
        <w:rPr>
          <w:noProof/>
        </w:rPr>
        <w:t>A 216/2008/EK rendelet szerint a szervezetek és az illetékes hatóságok feladata személyzetük képzettségének olyan szinten történő fenntartása, hogy a kompetenciaszintjük biztosítsa a feladataik megfelelő teljesítését. Ezen túlmenően az illetékes hatóságoknak – ahol megvalósítható és célszerű – megfelelő oktatással és képzéssel kötelességük elősegíteni a szervezetek azon kötelezettségeinek teljesítését, hogy létrehozzanak egy menedzsmentrendszert.</w:t>
      </w:r>
    </w:p>
    <w:p>
      <w:pPr>
        <w:shd w:val="clear" w:color="auto" w:fill="FFFFFF"/>
        <w:rPr>
          <w:rFonts w:eastAsia="Times New Roman" w:cs="Times New Roman"/>
          <w:noProof/>
          <w:szCs w:val="24"/>
        </w:rPr>
      </w:pPr>
      <w:r>
        <w:rPr>
          <w:noProof/>
        </w:rPr>
        <w:t>Ezenkívül új képzési képességeket alakítanak ki, hogy a teljesítményalapú megközelítés sikeres megvalósításának biztosítása érdekében minden résztvevő rendelkezzék a megfelelő készségekkel.</w:t>
      </w:r>
    </w:p>
    <w:p>
      <w:pPr>
        <w:shd w:val="clear" w:color="auto" w:fill="FFFFFF"/>
        <w:rPr>
          <w:rFonts w:eastAsia="Times New Roman" w:cs="Times New Roman"/>
          <w:noProof/>
          <w:szCs w:val="24"/>
        </w:rPr>
      </w:pPr>
      <w:r>
        <w:rPr>
          <w:noProof/>
        </w:rPr>
        <w:t>Hasonlóképpen alkalmazottainak, illetve a (többek között a tagállamokban és az ágazatban tevékenykedő) érdekelt feleknek az igényeire szabott képzések kifejlesztésével és nyújtásával az EASA is törekszik arra, hogy fenntartsa a tudás és kompetencia magas szintjét, és eközben tevékenységi körén belül naprakész maradjon a repülést érintő legfrissebb fejlemények terén.</w:t>
      </w:r>
    </w:p>
    <w:p>
      <w:pPr>
        <w:shd w:val="clear" w:color="auto" w:fill="FFFFFF"/>
        <w:rPr>
          <w:rFonts w:eastAsia="Times New Roman" w:cs="Times New Roman"/>
          <w:noProof/>
          <w:szCs w:val="24"/>
        </w:rPr>
      </w:pPr>
      <w:r>
        <w:rPr>
          <w:noProof/>
        </w:rPr>
        <w:t>Az ügynökség egy kérdésadatbázison alapuló e-vizsgáztatási rendszert is kifejlesztett és működtet weboldalán. Ezt egy már működő vizsgáztató központokból álló rendszeren keresztül a képző szervezetek diákjai vagy autodidakta diákok önkéntes alapon igénybe vehetik, és tanúsítványt is szerezhetnek.</w:t>
      </w:r>
    </w:p>
    <w:p>
      <w:pPr>
        <w:shd w:val="clear" w:color="auto" w:fill="FFFFFF"/>
        <w:rPr>
          <w:rFonts w:eastAsia="Times New Roman" w:cs="Times New Roman"/>
          <w:noProof/>
          <w:szCs w:val="24"/>
        </w:rPr>
      </w:pPr>
      <w:r>
        <w:rPr>
          <w:noProof/>
        </w:rPr>
        <w:t>Az EASA ezenkívül a partnerhatóságoknak is segít a nemzetközi kötelezettségeiknek (pl. ICAO- és EU-szabályozás) való megfelelésben, és a világ számos térségében – köztük a szomszédos országokban, az ázsiai-csendes-óceáni térségben és Afrikában – uniós polgári repülési együttműködési projekteket valósít meg.</w:t>
      </w:r>
    </w:p>
    <w:p>
      <w:pPr>
        <w:pStyle w:val="Heading3"/>
        <w:keepLines w:val="0"/>
        <w:numPr>
          <w:ilvl w:val="2"/>
          <w:numId w:val="41"/>
        </w:numPr>
        <w:spacing w:before="240" w:after="240"/>
        <w:rPr>
          <w:noProof/>
        </w:rPr>
      </w:pPr>
      <w:bookmarkStart w:id="149" w:name="_Toc429657487"/>
      <w:bookmarkStart w:id="150" w:name="_Toc434321976"/>
      <w:bookmarkStart w:id="151" w:name="_Toc440462639"/>
      <w:r>
        <w:rPr>
          <w:noProof/>
        </w:rPr>
        <w:t>Közös képzési kezdeményezés csoport</w:t>
      </w:r>
      <w:bookmarkEnd w:id="149"/>
      <w:bookmarkEnd w:id="150"/>
      <w:bookmarkEnd w:id="151"/>
    </w:p>
    <w:p>
      <w:pPr>
        <w:shd w:val="clear" w:color="auto" w:fill="FFFFFF"/>
        <w:rPr>
          <w:rFonts w:eastAsia="Times New Roman" w:cs="Times New Roman"/>
          <w:noProof/>
          <w:szCs w:val="24"/>
        </w:rPr>
      </w:pPr>
      <w:r>
        <w:rPr>
          <w:noProof/>
        </w:rPr>
        <w:t>A közös képzési kezdeményezés csoport (CTIG) olyan horizontális csoport, amely a szabályozással foglalkozó személyzet képesítésére irányuló képzési tevékenységek megosztása és összehangolása érdekében gyűjti össze a hatóságok képviselőit. A csoport által összeállított anyagok csupán útmutató dokumentumként szolgálnak a közösen elfogadott bevált gyakorlatokról.</w:t>
      </w:r>
    </w:p>
    <w:p>
      <w:pPr>
        <w:shd w:val="clear" w:color="auto" w:fill="FFFFFF"/>
        <w:rPr>
          <w:rFonts w:eastAsia="Times New Roman" w:cs="Times New Roman"/>
          <w:noProof/>
          <w:szCs w:val="24"/>
        </w:rPr>
      </w:pPr>
      <w:r>
        <w:rPr>
          <w:noProof/>
        </w:rPr>
        <w:t>A CTIG tevékenységei a következőkre összpontosulnak:</w:t>
      </w:r>
    </w:p>
    <w:p>
      <w:pPr>
        <w:numPr>
          <w:ilvl w:val="0"/>
          <w:numId w:val="31"/>
        </w:numPr>
        <w:shd w:val="clear" w:color="auto" w:fill="FFFFFF"/>
        <w:rPr>
          <w:rFonts w:eastAsia="Times New Roman" w:cs="Times New Roman"/>
          <w:noProof/>
          <w:szCs w:val="24"/>
        </w:rPr>
      </w:pPr>
      <w:r>
        <w:rPr>
          <w:noProof/>
        </w:rPr>
        <w:t>egységes álláspont kialakítása arról, hogy mi a hatósági vizsgálatot végzők, mérnökök és más szakértők szerepe, és a képesítés(ek) és a tapasztalatok szempontjából milyen háttérrel kell rendelkezniük;</w:t>
      </w:r>
    </w:p>
    <w:p>
      <w:pPr>
        <w:numPr>
          <w:ilvl w:val="0"/>
          <w:numId w:val="31"/>
        </w:numPr>
        <w:shd w:val="clear" w:color="auto" w:fill="FFFFFF"/>
        <w:rPr>
          <w:rFonts w:eastAsia="Times New Roman" w:cs="Times New Roman"/>
          <w:noProof/>
          <w:szCs w:val="24"/>
        </w:rPr>
      </w:pPr>
      <w:r>
        <w:rPr>
          <w:noProof/>
        </w:rPr>
        <w:t>közös bevált gyakorlatok és új trendek azonosítása a hatósági személyzet képzése, tudásának és kompetenciaértékelés és a képesítések terén;</w:t>
      </w:r>
    </w:p>
    <w:p>
      <w:pPr>
        <w:numPr>
          <w:ilvl w:val="0"/>
          <w:numId w:val="31"/>
        </w:numPr>
        <w:shd w:val="clear" w:color="auto" w:fill="FFFFFF"/>
        <w:rPr>
          <w:rFonts w:eastAsia="Times New Roman" w:cs="Times New Roman"/>
          <w:noProof/>
          <w:szCs w:val="24"/>
        </w:rPr>
      </w:pPr>
      <w:r>
        <w:rPr>
          <w:noProof/>
        </w:rPr>
        <w:t>közös képzési tevékenységek azonosítása, kifejlesztése, megvalósítása és összehangolása (például az igények, a tanfolyamok és programok azonosítása);</w:t>
      </w:r>
    </w:p>
    <w:p>
      <w:pPr>
        <w:numPr>
          <w:ilvl w:val="0"/>
          <w:numId w:val="31"/>
        </w:numPr>
        <w:shd w:val="clear" w:color="auto" w:fill="FFFFFF"/>
        <w:rPr>
          <w:rFonts w:eastAsia="Times New Roman" w:cs="Times New Roman"/>
          <w:noProof/>
          <w:szCs w:val="24"/>
        </w:rPr>
      </w:pPr>
      <w:r>
        <w:rPr>
          <w:noProof/>
        </w:rPr>
        <w:t>az EASA, a nemzeti légügyi hatóságok és más érdekelt felek közös érdeklődésére számot tartó tanfolyamokkal kapcsolatos információk megosztása.</w:t>
      </w:r>
    </w:p>
    <w:p>
      <w:pPr>
        <w:pStyle w:val="Heading3"/>
        <w:keepLines w:val="0"/>
        <w:numPr>
          <w:ilvl w:val="2"/>
          <w:numId w:val="41"/>
        </w:numPr>
        <w:spacing w:before="240" w:after="240"/>
        <w:rPr>
          <w:noProof/>
        </w:rPr>
      </w:pPr>
      <w:bookmarkStart w:id="152" w:name="_Toc429657489"/>
      <w:bookmarkStart w:id="153" w:name="_Toc434321977"/>
      <w:bookmarkStart w:id="154" w:name="_Toc440462640"/>
      <w:r>
        <w:rPr>
          <w:noProof/>
        </w:rPr>
        <w:t>Képzési koncepció</w:t>
      </w:r>
      <w:bookmarkEnd w:id="152"/>
      <w:bookmarkEnd w:id="153"/>
      <w:bookmarkEnd w:id="154"/>
    </w:p>
    <w:p>
      <w:pPr>
        <w:shd w:val="clear" w:color="auto" w:fill="FFFFFF"/>
        <w:rPr>
          <w:rFonts w:eastAsia="Times New Roman" w:cs="Times New Roman"/>
          <w:noProof/>
          <w:szCs w:val="24"/>
        </w:rPr>
      </w:pPr>
      <w:r>
        <w:rPr>
          <w:noProof/>
        </w:rPr>
        <w:t>Az ügynökség elindította az EASA virtuális akadémiáját, biztosítandó, hogy különösen a nemzeti légügyi hatóságok személyzetének kiváló minőségű és harmonizált képzés álljon rendelkezésére. Ennél a (nyelvi és földrajzi értelemben egyaránt) széles körű és rugalmas képzési kínálatnál az ügynökség megfelelő jóváhagyási eljárással gondosan kiválasztott, képesített külső képzési szolgáltatókra támaszkodik. A képzés a jóváhagyási és felügyeleti tevékenységben részt vevő tagállami személyzet képesítésének támogatására és javítására összpontosul.</w:t>
      </w:r>
    </w:p>
    <w:p>
      <w:pPr>
        <w:spacing w:before="0" w:after="200" w:line="276" w:lineRule="auto"/>
        <w:jc w:val="left"/>
        <w:rPr>
          <w:rFonts w:eastAsia="Times New Roman" w:cs="Times New Roman"/>
          <w:noProof/>
          <w:szCs w:val="24"/>
        </w:rPr>
      </w:pPr>
      <w:r>
        <w:rPr>
          <w:noProof/>
        </w:rPr>
        <w:br w:type="page"/>
      </w:r>
    </w:p>
    <w:p>
      <w:pPr>
        <w:pStyle w:val="Heading1"/>
        <w:numPr>
          <w:ilvl w:val="0"/>
          <w:numId w:val="0"/>
        </w:numPr>
        <w:ind w:left="720"/>
        <w:rPr>
          <w:rFonts w:hint="eastAsia"/>
          <w:noProof/>
        </w:rPr>
      </w:pPr>
      <w:bookmarkStart w:id="155" w:name="_Toc434321978"/>
      <w:bookmarkStart w:id="156" w:name="_Toc440462641"/>
      <w:r>
        <w:rPr>
          <w:noProof/>
        </w:rPr>
        <w:t>Rövidítések felsorolása</w:t>
      </w:r>
      <w:bookmarkEnd w:id="155"/>
      <w:bookmarkEnd w:id="156"/>
    </w:p>
    <w:tbl>
      <w:tblPr>
        <w:tblStyle w:val="TableGrid"/>
        <w:tblW w:w="0" w:type="auto"/>
        <w:jc w:val="center"/>
        <w:tblLook w:val="04A0" w:firstRow="1" w:lastRow="0" w:firstColumn="1" w:lastColumn="0" w:noHBand="0" w:noVBand="1"/>
      </w:tblPr>
      <w:tblGrid>
        <w:gridCol w:w="1257"/>
        <w:gridCol w:w="8032"/>
      </w:tblGrid>
      <w:tr>
        <w:trPr>
          <w:jc w:val="center"/>
        </w:trPr>
        <w:tc>
          <w:tcPr>
            <w:tcW w:w="0" w:type="auto"/>
            <w:shd w:val="clear" w:color="auto" w:fill="auto"/>
          </w:tcPr>
          <w:p>
            <w:pPr>
              <w:rPr>
                <w:noProof/>
              </w:rPr>
            </w:pPr>
            <w:r>
              <w:rPr>
                <w:noProof/>
              </w:rPr>
              <w:t>AMC</w:t>
            </w:r>
          </w:p>
        </w:tc>
        <w:tc>
          <w:tcPr>
            <w:tcW w:w="0" w:type="auto"/>
            <w:shd w:val="clear" w:color="auto" w:fill="auto"/>
          </w:tcPr>
          <w:p>
            <w:pPr>
              <w:jc w:val="left"/>
              <w:rPr>
                <w:noProof/>
              </w:rPr>
            </w:pPr>
            <w:r>
              <w:rPr>
                <w:noProof/>
              </w:rPr>
              <w:t>Acceptable Means of Compliance – a megfelelés elfogadható módozatai</w:t>
            </w:r>
          </w:p>
        </w:tc>
      </w:tr>
      <w:tr>
        <w:trPr>
          <w:jc w:val="center"/>
        </w:trPr>
        <w:tc>
          <w:tcPr>
            <w:tcW w:w="0" w:type="auto"/>
            <w:shd w:val="clear" w:color="auto" w:fill="auto"/>
          </w:tcPr>
          <w:p>
            <w:pPr>
              <w:rPr>
                <w:noProof/>
              </w:rPr>
            </w:pPr>
            <w:r>
              <w:rPr>
                <w:noProof/>
              </w:rPr>
              <w:t>ANS</w:t>
            </w:r>
          </w:p>
        </w:tc>
        <w:tc>
          <w:tcPr>
            <w:tcW w:w="0" w:type="auto"/>
            <w:shd w:val="clear" w:color="auto" w:fill="auto"/>
          </w:tcPr>
          <w:p>
            <w:pPr>
              <w:jc w:val="left"/>
              <w:rPr>
                <w:noProof/>
              </w:rPr>
            </w:pPr>
            <w:r>
              <w:rPr>
                <w:noProof/>
              </w:rPr>
              <w:t>Air Navigation Services – léginavigációs szolgálatok</w:t>
            </w:r>
          </w:p>
        </w:tc>
      </w:tr>
      <w:tr>
        <w:trPr>
          <w:jc w:val="center"/>
        </w:trPr>
        <w:tc>
          <w:tcPr>
            <w:tcW w:w="0" w:type="auto"/>
            <w:shd w:val="clear" w:color="auto" w:fill="auto"/>
          </w:tcPr>
          <w:p>
            <w:pPr>
              <w:rPr>
                <w:noProof/>
              </w:rPr>
            </w:pPr>
            <w:r>
              <w:rPr>
                <w:noProof/>
              </w:rPr>
              <w:t>ATM</w:t>
            </w:r>
          </w:p>
        </w:tc>
        <w:tc>
          <w:tcPr>
            <w:tcW w:w="0" w:type="auto"/>
            <w:shd w:val="clear" w:color="auto" w:fill="auto"/>
          </w:tcPr>
          <w:p>
            <w:pPr>
              <w:jc w:val="left"/>
              <w:rPr>
                <w:noProof/>
              </w:rPr>
            </w:pPr>
            <w:r>
              <w:rPr>
                <w:noProof/>
              </w:rPr>
              <w:t>Air Traffic Management – légiforgalmi szolgáltatás</w:t>
            </w:r>
          </w:p>
        </w:tc>
      </w:tr>
      <w:tr>
        <w:trPr>
          <w:jc w:val="center"/>
        </w:trPr>
        <w:tc>
          <w:tcPr>
            <w:tcW w:w="0" w:type="auto"/>
            <w:shd w:val="clear" w:color="auto" w:fill="auto"/>
          </w:tcPr>
          <w:p>
            <w:pPr>
              <w:rPr>
                <w:noProof/>
              </w:rPr>
            </w:pPr>
            <w:r>
              <w:rPr>
                <w:noProof/>
              </w:rPr>
              <w:t>CAA</w:t>
            </w:r>
          </w:p>
        </w:tc>
        <w:tc>
          <w:tcPr>
            <w:tcW w:w="0" w:type="auto"/>
            <w:shd w:val="clear" w:color="auto" w:fill="auto"/>
          </w:tcPr>
          <w:p>
            <w:pPr>
              <w:jc w:val="left"/>
              <w:rPr>
                <w:noProof/>
              </w:rPr>
            </w:pPr>
            <w:r>
              <w:rPr>
                <w:noProof/>
              </w:rPr>
              <w:t>Civil Aviation Authority – polgári légügyi hatóság</w:t>
            </w:r>
          </w:p>
        </w:tc>
      </w:tr>
      <w:tr>
        <w:trPr>
          <w:jc w:val="center"/>
        </w:trPr>
        <w:tc>
          <w:tcPr>
            <w:tcW w:w="0" w:type="auto"/>
            <w:shd w:val="clear" w:color="auto" w:fill="auto"/>
          </w:tcPr>
          <w:p>
            <w:pPr>
              <w:rPr>
                <w:noProof/>
              </w:rPr>
            </w:pPr>
            <w:r>
              <w:rPr>
                <w:noProof/>
              </w:rPr>
              <w:t>CAGs</w:t>
            </w:r>
          </w:p>
        </w:tc>
        <w:tc>
          <w:tcPr>
            <w:tcW w:w="0" w:type="auto"/>
            <w:shd w:val="clear" w:color="auto" w:fill="auto"/>
          </w:tcPr>
          <w:p>
            <w:pPr>
              <w:jc w:val="left"/>
              <w:rPr>
                <w:noProof/>
              </w:rPr>
            </w:pPr>
            <w:r>
              <w:rPr>
                <w:noProof/>
              </w:rPr>
              <w:t>Collaboration and analysis groups – együttműködési és elemző csoportok</w:t>
            </w:r>
          </w:p>
        </w:tc>
      </w:tr>
      <w:tr>
        <w:trPr>
          <w:jc w:val="center"/>
        </w:trPr>
        <w:tc>
          <w:tcPr>
            <w:tcW w:w="0" w:type="auto"/>
            <w:shd w:val="clear" w:color="auto" w:fill="auto"/>
          </w:tcPr>
          <w:p>
            <w:pPr>
              <w:rPr>
                <w:noProof/>
              </w:rPr>
            </w:pPr>
            <w:r>
              <w:rPr>
                <w:noProof/>
              </w:rPr>
              <w:t>CS</w:t>
            </w:r>
          </w:p>
        </w:tc>
        <w:tc>
          <w:tcPr>
            <w:tcW w:w="0" w:type="auto"/>
            <w:shd w:val="clear" w:color="auto" w:fill="auto"/>
          </w:tcPr>
          <w:p>
            <w:pPr>
              <w:jc w:val="left"/>
              <w:rPr>
                <w:noProof/>
              </w:rPr>
            </w:pPr>
            <w:r>
              <w:rPr>
                <w:noProof/>
              </w:rPr>
              <w:t>Certification Specification – légi alkalmassági alapkövetelmények</w:t>
            </w:r>
          </w:p>
        </w:tc>
      </w:tr>
      <w:tr>
        <w:trPr>
          <w:jc w:val="center"/>
        </w:trPr>
        <w:tc>
          <w:tcPr>
            <w:tcW w:w="0" w:type="auto"/>
            <w:shd w:val="clear" w:color="auto" w:fill="auto"/>
          </w:tcPr>
          <w:p>
            <w:pPr>
              <w:rPr>
                <w:noProof/>
              </w:rPr>
            </w:pPr>
            <w:r>
              <w:rPr>
                <w:noProof/>
              </w:rPr>
              <w:t>CTIG</w:t>
            </w:r>
          </w:p>
        </w:tc>
        <w:tc>
          <w:tcPr>
            <w:tcW w:w="0" w:type="auto"/>
            <w:shd w:val="clear" w:color="auto" w:fill="auto"/>
          </w:tcPr>
          <w:p>
            <w:pPr>
              <w:jc w:val="left"/>
              <w:rPr>
                <w:noProof/>
              </w:rPr>
            </w:pPr>
            <w:r>
              <w:rPr>
                <w:noProof/>
              </w:rPr>
              <w:t>Common Training Initiative Group – közös képzési kezdeményezés csoport</w:t>
            </w:r>
          </w:p>
        </w:tc>
      </w:tr>
      <w:tr>
        <w:trPr>
          <w:jc w:val="center"/>
        </w:trPr>
        <w:tc>
          <w:tcPr>
            <w:tcW w:w="0" w:type="auto"/>
            <w:shd w:val="clear" w:color="auto" w:fill="auto"/>
          </w:tcPr>
          <w:p>
            <w:pPr>
              <w:rPr>
                <w:noProof/>
              </w:rPr>
            </w:pPr>
            <w:r>
              <w:rPr>
                <w:noProof/>
              </w:rPr>
              <w:t>EASA</w:t>
            </w:r>
            <w:r>
              <w:rPr>
                <w:noProof/>
              </w:rPr>
              <w:tab/>
            </w:r>
          </w:p>
        </w:tc>
        <w:tc>
          <w:tcPr>
            <w:tcW w:w="0" w:type="auto"/>
            <w:shd w:val="clear" w:color="auto" w:fill="auto"/>
          </w:tcPr>
          <w:p>
            <w:pPr>
              <w:jc w:val="left"/>
              <w:rPr>
                <w:noProof/>
              </w:rPr>
            </w:pPr>
            <w:r>
              <w:rPr>
                <w:noProof/>
              </w:rPr>
              <w:t>European Aviation Safety Agency – Európai Repülésbiztonsági Ügynökség</w:t>
            </w:r>
          </w:p>
        </w:tc>
      </w:tr>
      <w:tr>
        <w:trPr>
          <w:jc w:val="center"/>
        </w:trPr>
        <w:tc>
          <w:tcPr>
            <w:tcW w:w="0" w:type="auto"/>
            <w:shd w:val="clear" w:color="auto" w:fill="auto"/>
          </w:tcPr>
          <w:p>
            <w:pPr>
              <w:rPr>
                <w:noProof/>
              </w:rPr>
            </w:pPr>
            <w:r>
              <w:rPr>
                <w:noProof/>
              </w:rPr>
              <w:t>ECAST</w:t>
            </w:r>
          </w:p>
        </w:tc>
        <w:tc>
          <w:tcPr>
            <w:tcW w:w="0" w:type="auto"/>
            <w:shd w:val="clear" w:color="auto" w:fill="auto"/>
          </w:tcPr>
          <w:p>
            <w:pPr>
              <w:jc w:val="left"/>
              <w:rPr>
                <w:noProof/>
              </w:rPr>
            </w:pPr>
            <w:r>
              <w:rPr>
                <w:noProof/>
              </w:rPr>
              <w:t>European Commercial Aviation Safety Team – európai kereskedelmi repülésbiztonsági csoport</w:t>
            </w:r>
          </w:p>
        </w:tc>
      </w:tr>
      <w:tr>
        <w:trPr>
          <w:jc w:val="center"/>
        </w:trPr>
        <w:tc>
          <w:tcPr>
            <w:tcW w:w="0" w:type="auto"/>
            <w:shd w:val="clear" w:color="auto" w:fill="auto"/>
          </w:tcPr>
          <w:p>
            <w:pPr>
              <w:rPr>
                <w:noProof/>
              </w:rPr>
            </w:pPr>
            <w:r>
              <w:rPr>
                <w:noProof/>
              </w:rPr>
              <w:t>ECCAIRS</w:t>
            </w:r>
          </w:p>
        </w:tc>
        <w:tc>
          <w:tcPr>
            <w:tcW w:w="0" w:type="auto"/>
            <w:shd w:val="clear" w:color="auto" w:fill="auto"/>
          </w:tcPr>
          <w:p>
            <w:pPr>
              <w:jc w:val="left"/>
              <w:rPr>
                <w:noProof/>
              </w:rPr>
            </w:pPr>
            <w:r>
              <w:rPr>
                <w:noProof/>
              </w:rPr>
              <w:t>European Co-ordination Centre for Accident and Incident Reporting Systems – baleset- és repülőesemény-jelentő rendszerek európai koordinációs központja</w:t>
            </w:r>
          </w:p>
        </w:tc>
      </w:tr>
      <w:tr>
        <w:trPr>
          <w:jc w:val="center"/>
        </w:trPr>
        <w:tc>
          <w:tcPr>
            <w:tcW w:w="0" w:type="auto"/>
            <w:shd w:val="clear" w:color="auto" w:fill="auto"/>
          </w:tcPr>
          <w:p>
            <w:pPr>
              <w:rPr>
                <w:noProof/>
              </w:rPr>
            </w:pPr>
            <w:r>
              <w:rPr>
                <w:noProof/>
              </w:rPr>
              <w:t>ECR</w:t>
            </w:r>
          </w:p>
        </w:tc>
        <w:tc>
          <w:tcPr>
            <w:tcW w:w="0" w:type="auto"/>
            <w:shd w:val="clear" w:color="auto" w:fill="auto"/>
          </w:tcPr>
          <w:p>
            <w:pPr>
              <w:jc w:val="left"/>
              <w:rPr>
                <w:noProof/>
              </w:rPr>
            </w:pPr>
            <w:r>
              <w:rPr>
                <w:noProof/>
              </w:rPr>
              <w:t>European Central Repository – európai központi adattár</w:t>
            </w:r>
          </w:p>
        </w:tc>
      </w:tr>
      <w:tr>
        <w:trPr>
          <w:jc w:val="center"/>
        </w:trPr>
        <w:tc>
          <w:tcPr>
            <w:tcW w:w="0" w:type="auto"/>
            <w:shd w:val="clear" w:color="auto" w:fill="auto"/>
          </w:tcPr>
          <w:p>
            <w:pPr>
              <w:rPr>
                <w:noProof/>
              </w:rPr>
            </w:pPr>
            <w:r>
              <w:rPr>
                <w:noProof/>
              </w:rPr>
              <w:t>EFTA</w:t>
            </w:r>
          </w:p>
        </w:tc>
        <w:tc>
          <w:tcPr>
            <w:tcW w:w="0" w:type="auto"/>
            <w:shd w:val="clear" w:color="auto" w:fill="auto"/>
          </w:tcPr>
          <w:p>
            <w:pPr>
              <w:jc w:val="left"/>
              <w:rPr>
                <w:noProof/>
              </w:rPr>
            </w:pPr>
            <w:r>
              <w:rPr>
                <w:noProof/>
              </w:rPr>
              <w:t>European Free Trade Association – Európai Szabadkereskedelmi Társulás</w:t>
            </w:r>
          </w:p>
        </w:tc>
      </w:tr>
      <w:tr>
        <w:trPr>
          <w:jc w:val="center"/>
        </w:trPr>
        <w:tc>
          <w:tcPr>
            <w:tcW w:w="0" w:type="auto"/>
            <w:shd w:val="clear" w:color="auto" w:fill="auto"/>
          </w:tcPr>
          <w:p>
            <w:pPr>
              <w:rPr>
                <w:noProof/>
              </w:rPr>
            </w:pPr>
            <w:r>
              <w:rPr>
                <w:noProof/>
              </w:rPr>
              <w:t>EGAST</w:t>
            </w:r>
          </w:p>
        </w:tc>
        <w:tc>
          <w:tcPr>
            <w:tcW w:w="0" w:type="auto"/>
            <w:shd w:val="clear" w:color="auto" w:fill="auto"/>
          </w:tcPr>
          <w:p>
            <w:pPr>
              <w:jc w:val="left"/>
              <w:rPr>
                <w:noProof/>
              </w:rPr>
            </w:pPr>
            <w:r>
              <w:rPr>
                <w:noProof/>
              </w:rPr>
              <w:t>European General Aviation Safety Team – általános célú repülés európai repülésbiztonsági csoportja</w:t>
            </w:r>
          </w:p>
        </w:tc>
      </w:tr>
      <w:tr>
        <w:trPr>
          <w:jc w:val="center"/>
        </w:trPr>
        <w:tc>
          <w:tcPr>
            <w:tcW w:w="0" w:type="auto"/>
            <w:shd w:val="clear" w:color="auto" w:fill="auto"/>
          </w:tcPr>
          <w:p>
            <w:pPr>
              <w:shd w:val="clear" w:color="auto" w:fill="FFFFFF"/>
              <w:rPr>
                <w:noProof/>
              </w:rPr>
            </w:pPr>
            <w:r>
              <w:rPr>
                <w:noProof/>
              </w:rPr>
              <w:t>EHEST</w:t>
            </w:r>
          </w:p>
        </w:tc>
        <w:tc>
          <w:tcPr>
            <w:tcW w:w="0" w:type="auto"/>
            <w:shd w:val="clear" w:color="auto" w:fill="auto"/>
          </w:tcPr>
          <w:p>
            <w:pPr>
              <w:jc w:val="left"/>
              <w:rPr>
                <w:noProof/>
              </w:rPr>
            </w:pPr>
            <w:r>
              <w:rPr>
                <w:noProof/>
              </w:rPr>
              <w:t>European Helicopter Safety Team – európai helikopterbiztonsági csoport</w:t>
            </w:r>
          </w:p>
        </w:tc>
      </w:tr>
      <w:tr>
        <w:trPr>
          <w:jc w:val="center"/>
        </w:trPr>
        <w:tc>
          <w:tcPr>
            <w:tcW w:w="0" w:type="auto"/>
            <w:shd w:val="clear" w:color="auto" w:fill="auto"/>
          </w:tcPr>
          <w:p>
            <w:pPr>
              <w:rPr>
                <w:noProof/>
              </w:rPr>
            </w:pPr>
            <w:r>
              <w:rPr>
                <w:noProof/>
              </w:rPr>
              <w:t>ENCASIA</w:t>
            </w:r>
          </w:p>
        </w:tc>
        <w:tc>
          <w:tcPr>
            <w:tcW w:w="0" w:type="auto"/>
            <w:shd w:val="clear" w:color="auto" w:fill="auto"/>
          </w:tcPr>
          <w:p>
            <w:pPr>
              <w:jc w:val="left"/>
              <w:rPr>
                <w:noProof/>
              </w:rPr>
            </w:pPr>
            <w:r>
              <w:rPr>
                <w:noProof/>
              </w:rPr>
              <w:t>European Network of Civil Aviation Safety Investigation Authorities – polgári eseményvizsgálatokat végző hatóságok európai hálózata</w:t>
            </w:r>
          </w:p>
        </w:tc>
      </w:tr>
      <w:tr>
        <w:trPr>
          <w:jc w:val="center"/>
        </w:trPr>
        <w:tc>
          <w:tcPr>
            <w:tcW w:w="0" w:type="auto"/>
            <w:shd w:val="clear" w:color="auto" w:fill="auto"/>
          </w:tcPr>
          <w:p>
            <w:pPr>
              <w:rPr>
                <w:noProof/>
              </w:rPr>
            </w:pPr>
            <w:r>
              <w:rPr>
                <w:noProof/>
              </w:rPr>
              <w:t>EPAS</w:t>
            </w:r>
          </w:p>
        </w:tc>
        <w:tc>
          <w:tcPr>
            <w:tcW w:w="0" w:type="auto"/>
            <w:shd w:val="clear" w:color="auto" w:fill="auto"/>
          </w:tcPr>
          <w:p>
            <w:pPr>
              <w:jc w:val="left"/>
              <w:rPr>
                <w:noProof/>
              </w:rPr>
            </w:pPr>
            <w:r>
              <w:rPr>
                <w:noProof/>
              </w:rPr>
              <w:t>European Plan for Aviation Safety – európai légiközlekedés-biztonsági terv</w:t>
            </w:r>
          </w:p>
        </w:tc>
      </w:tr>
      <w:tr>
        <w:trPr>
          <w:jc w:val="center"/>
        </w:trPr>
        <w:tc>
          <w:tcPr>
            <w:tcW w:w="0" w:type="auto"/>
            <w:shd w:val="clear" w:color="auto" w:fill="auto"/>
          </w:tcPr>
          <w:p>
            <w:pPr>
              <w:shd w:val="clear" w:color="auto" w:fill="FFFFFF"/>
              <w:rPr>
                <w:noProof/>
              </w:rPr>
            </w:pPr>
            <w:r>
              <w:rPr>
                <w:noProof/>
              </w:rPr>
              <w:t>ESSI</w:t>
            </w:r>
            <w:r>
              <w:rPr>
                <w:noProof/>
              </w:rPr>
              <w:tab/>
            </w:r>
          </w:p>
        </w:tc>
        <w:tc>
          <w:tcPr>
            <w:tcW w:w="0" w:type="auto"/>
            <w:shd w:val="clear" w:color="auto" w:fill="auto"/>
          </w:tcPr>
          <w:p>
            <w:pPr>
              <w:jc w:val="left"/>
              <w:rPr>
                <w:noProof/>
              </w:rPr>
            </w:pPr>
            <w:r>
              <w:rPr>
                <w:noProof/>
              </w:rPr>
              <w:t>European Strategic Safety Initiative – európai stratégiai repülésbiztonsági kezdeményezés</w:t>
            </w:r>
          </w:p>
        </w:tc>
      </w:tr>
      <w:tr>
        <w:trPr>
          <w:jc w:val="center"/>
        </w:trPr>
        <w:tc>
          <w:tcPr>
            <w:tcW w:w="0" w:type="auto"/>
            <w:shd w:val="clear" w:color="auto" w:fill="auto"/>
          </w:tcPr>
          <w:p>
            <w:pPr>
              <w:rPr>
                <w:noProof/>
              </w:rPr>
            </w:pPr>
            <w:r>
              <w:rPr>
                <w:noProof/>
              </w:rPr>
              <w:t>EU</w:t>
            </w:r>
          </w:p>
        </w:tc>
        <w:tc>
          <w:tcPr>
            <w:tcW w:w="0" w:type="auto"/>
            <w:shd w:val="clear" w:color="auto" w:fill="auto"/>
          </w:tcPr>
          <w:p>
            <w:pPr>
              <w:jc w:val="left"/>
              <w:rPr>
                <w:noProof/>
              </w:rPr>
            </w:pPr>
            <w:r>
              <w:rPr>
                <w:noProof/>
              </w:rPr>
              <w:t>European Union – Európai Unió</w:t>
            </w:r>
          </w:p>
        </w:tc>
      </w:tr>
      <w:tr>
        <w:trPr>
          <w:jc w:val="center"/>
        </w:trPr>
        <w:tc>
          <w:tcPr>
            <w:tcW w:w="0" w:type="auto"/>
            <w:shd w:val="clear" w:color="auto" w:fill="auto"/>
          </w:tcPr>
          <w:p>
            <w:pPr>
              <w:rPr>
                <w:noProof/>
              </w:rPr>
            </w:pPr>
            <w:r>
              <w:rPr>
                <w:noProof/>
              </w:rPr>
              <w:t>FABs</w:t>
            </w:r>
          </w:p>
        </w:tc>
        <w:tc>
          <w:tcPr>
            <w:tcW w:w="0" w:type="auto"/>
            <w:shd w:val="clear" w:color="auto" w:fill="auto"/>
          </w:tcPr>
          <w:p>
            <w:pPr>
              <w:jc w:val="left"/>
              <w:rPr>
                <w:noProof/>
              </w:rPr>
            </w:pPr>
            <w:r>
              <w:rPr>
                <w:noProof/>
              </w:rPr>
              <w:t>Functional Airspace Blocks – funkcionális légtérblokkok</w:t>
            </w:r>
          </w:p>
        </w:tc>
      </w:tr>
      <w:tr>
        <w:trPr>
          <w:jc w:val="center"/>
        </w:trPr>
        <w:tc>
          <w:tcPr>
            <w:tcW w:w="0" w:type="auto"/>
            <w:shd w:val="clear" w:color="auto" w:fill="auto"/>
          </w:tcPr>
          <w:p>
            <w:pPr>
              <w:rPr>
                <w:noProof/>
              </w:rPr>
            </w:pPr>
            <w:r>
              <w:rPr>
                <w:noProof/>
              </w:rPr>
              <w:t>GM</w:t>
            </w:r>
          </w:p>
        </w:tc>
        <w:tc>
          <w:tcPr>
            <w:tcW w:w="0" w:type="auto"/>
            <w:shd w:val="clear" w:color="auto" w:fill="auto"/>
          </w:tcPr>
          <w:p>
            <w:pPr>
              <w:jc w:val="left"/>
              <w:rPr>
                <w:noProof/>
              </w:rPr>
            </w:pPr>
            <w:r>
              <w:rPr>
                <w:noProof/>
              </w:rPr>
              <w:t>Guidance Material – útmutató dokumentum</w:t>
            </w:r>
          </w:p>
        </w:tc>
      </w:tr>
      <w:tr>
        <w:trPr>
          <w:jc w:val="center"/>
        </w:trPr>
        <w:tc>
          <w:tcPr>
            <w:tcW w:w="0" w:type="auto"/>
            <w:shd w:val="clear" w:color="auto" w:fill="auto"/>
          </w:tcPr>
          <w:p>
            <w:pPr>
              <w:rPr>
                <w:noProof/>
              </w:rPr>
            </w:pPr>
            <w:r>
              <w:rPr>
                <w:noProof/>
              </w:rPr>
              <w:t>ICAO</w:t>
            </w:r>
          </w:p>
        </w:tc>
        <w:tc>
          <w:tcPr>
            <w:tcW w:w="0" w:type="auto"/>
            <w:shd w:val="clear" w:color="auto" w:fill="auto"/>
          </w:tcPr>
          <w:p>
            <w:pPr>
              <w:jc w:val="left"/>
              <w:rPr>
                <w:noProof/>
              </w:rPr>
            </w:pPr>
            <w:r>
              <w:rPr>
                <w:noProof/>
              </w:rPr>
              <w:t>International Civil Aviation Organization – Nemzetközi Polgári Repülési Szervezet</w:t>
            </w:r>
          </w:p>
        </w:tc>
      </w:tr>
      <w:tr>
        <w:trPr>
          <w:jc w:val="center"/>
        </w:trPr>
        <w:tc>
          <w:tcPr>
            <w:tcW w:w="0" w:type="auto"/>
            <w:shd w:val="clear" w:color="auto" w:fill="auto"/>
          </w:tcPr>
          <w:p>
            <w:pPr>
              <w:rPr>
                <w:noProof/>
              </w:rPr>
            </w:pPr>
            <w:r>
              <w:rPr>
                <w:noProof/>
              </w:rPr>
              <w:t>NoA</w:t>
            </w:r>
          </w:p>
        </w:tc>
        <w:tc>
          <w:tcPr>
            <w:tcW w:w="0" w:type="auto"/>
            <w:shd w:val="clear" w:color="auto" w:fill="auto"/>
          </w:tcPr>
          <w:p>
            <w:pPr>
              <w:jc w:val="left"/>
              <w:rPr>
                <w:noProof/>
              </w:rPr>
            </w:pPr>
            <w:r>
              <w:rPr>
                <w:noProof/>
              </w:rPr>
              <w:t>Network of aviation safety analysts – repülésbiztonsági elemzői hálózat</w:t>
            </w:r>
          </w:p>
        </w:tc>
      </w:tr>
      <w:tr>
        <w:trPr>
          <w:jc w:val="center"/>
        </w:trPr>
        <w:tc>
          <w:tcPr>
            <w:tcW w:w="0" w:type="auto"/>
            <w:shd w:val="clear" w:color="auto" w:fill="auto"/>
          </w:tcPr>
          <w:p>
            <w:pPr>
              <w:rPr>
                <w:noProof/>
              </w:rPr>
            </w:pPr>
            <w:r>
              <w:rPr>
                <w:noProof/>
              </w:rPr>
              <w:t>SAFA</w:t>
            </w:r>
          </w:p>
        </w:tc>
        <w:tc>
          <w:tcPr>
            <w:tcW w:w="0" w:type="auto"/>
            <w:shd w:val="clear" w:color="auto" w:fill="auto"/>
          </w:tcPr>
          <w:p>
            <w:pPr>
              <w:jc w:val="left"/>
              <w:rPr>
                <w:noProof/>
              </w:rPr>
            </w:pPr>
            <w:r>
              <w:rPr>
                <w:noProof/>
              </w:rPr>
              <w:t xml:space="preserve">Safety Assessment of Foreign Aircraft – külföldi légi járművek biztonsági értékelése </w:t>
            </w:r>
          </w:p>
        </w:tc>
      </w:tr>
      <w:tr>
        <w:trPr>
          <w:jc w:val="center"/>
        </w:trPr>
        <w:tc>
          <w:tcPr>
            <w:tcW w:w="0" w:type="auto"/>
            <w:shd w:val="clear" w:color="auto" w:fill="auto"/>
          </w:tcPr>
          <w:p>
            <w:pPr>
              <w:rPr>
                <w:noProof/>
              </w:rPr>
            </w:pPr>
            <w:r>
              <w:rPr>
                <w:noProof/>
              </w:rPr>
              <w:t>SES</w:t>
            </w:r>
          </w:p>
        </w:tc>
        <w:tc>
          <w:tcPr>
            <w:tcW w:w="0" w:type="auto"/>
            <w:shd w:val="clear" w:color="auto" w:fill="auto"/>
          </w:tcPr>
          <w:p>
            <w:pPr>
              <w:jc w:val="left"/>
              <w:rPr>
                <w:noProof/>
              </w:rPr>
            </w:pPr>
            <w:r>
              <w:rPr>
                <w:noProof/>
              </w:rPr>
              <w:t>Single European Sky – egységes európai égbolt</w:t>
            </w:r>
          </w:p>
        </w:tc>
      </w:tr>
      <w:tr>
        <w:trPr>
          <w:jc w:val="center"/>
        </w:trPr>
        <w:tc>
          <w:tcPr>
            <w:tcW w:w="0" w:type="auto"/>
            <w:shd w:val="clear" w:color="auto" w:fill="auto"/>
          </w:tcPr>
          <w:p>
            <w:pPr>
              <w:rPr>
                <w:noProof/>
              </w:rPr>
            </w:pPr>
            <w:r>
              <w:rPr>
                <w:noProof/>
              </w:rPr>
              <w:t>SIA</w:t>
            </w:r>
          </w:p>
        </w:tc>
        <w:tc>
          <w:tcPr>
            <w:tcW w:w="0" w:type="auto"/>
            <w:shd w:val="clear" w:color="auto" w:fill="auto"/>
          </w:tcPr>
          <w:p>
            <w:pPr>
              <w:jc w:val="left"/>
              <w:rPr>
                <w:noProof/>
              </w:rPr>
            </w:pPr>
            <w:r>
              <w:rPr>
                <w:noProof/>
              </w:rPr>
              <w:t>Safety Investigation Authority – eseményvizsgálatokat végző hatóság</w:t>
            </w:r>
          </w:p>
        </w:tc>
      </w:tr>
      <w:tr>
        <w:trPr>
          <w:jc w:val="center"/>
        </w:trPr>
        <w:tc>
          <w:tcPr>
            <w:tcW w:w="0" w:type="auto"/>
            <w:shd w:val="clear" w:color="auto" w:fill="auto"/>
          </w:tcPr>
          <w:p>
            <w:pPr>
              <w:rPr>
                <w:noProof/>
              </w:rPr>
            </w:pPr>
            <w:r>
              <w:rPr>
                <w:noProof/>
              </w:rPr>
              <w:t>SIB</w:t>
            </w:r>
          </w:p>
        </w:tc>
        <w:tc>
          <w:tcPr>
            <w:tcW w:w="0" w:type="auto"/>
            <w:shd w:val="clear" w:color="auto" w:fill="auto"/>
          </w:tcPr>
          <w:p>
            <w:pPr>
              <w:jc w:val="left"/>
              <w:rPr>
                <w:noProof/>
              </w:rPr>
            </w:pPr>
            <w:r>
              <w:rPr>
                <w:noProof/>
              </w:rPr>
              <w:t>Safety Information Bulletins – biztonsági tájékoztató hírlevél</w:t>
            </w:r>
          </w:p>
        </w:tc>
      </w:tr>
      <w:tr>
        <w:trPr>
          <w:jc w:val="center"/>
        </w:trPr>
        <w:tc>
          <w:tcPr>
            <w:tcW w:w="0" w:type="auto"/>
            <w:shd w:val="clear" w:color="auto" w:fill="auto"/>
          </w:tcPr>
          <w:p>
            <w:pPr>
              <w:rPr>
                <w:noProof/>
              </w:rPr>
            </w:pPr>
            <w:r>
              <w:rPr>
                <w:noProof/>
              </w:rPr>
              <w:t>SPI</w:t>
            </w:r>
          </w:p>
        </w:tc>
        <w:tc>
          <w:tcPr>
            <w:tcW w:w="0" w:type="auto"/>
            <w:shd w:val="clear" w:color="auto" w:fill="auto"/>
          </w:tcPr>
          <w:p>
            <w:pPr>
              <w:jc w:val="left"/>
              <w:rPr>
                <w:noProof/>
              </w:rPr>
            </w:pPr>
            <w:r>
              <w:rPr>
                <w:noProof/>
              </w:rPr>
              <w:t>Safety Performance Indicator – repülésbiztonsági teljesítménymutató</w:t>
            </w:r>
          </w:p>
        </w:tc>
      </w:tr>
      <w:tr>
        <w:trPr>
          <w:jc w:val="center"/>
        </w:trPr>
        <w:tc>
          <w:tcPr>
            <w:tcW w:w="0" w:type="auto"/>
            <w:shd w:val="clear" w:color="auto" w:fill="auto"/>
          </w:tcPr>
          <w:p>
            <w:pPr>
              <w:rPr>
                <w:noProof/>
              </w:rPr>
            </w:pPr>
            <w:r>
              <w:rPr>
                <w:noProof/>
              </w:rPr>
              <w:t>SRP</w:t>
            </w:r>
          </w:p>
        </w:tc>
        <w:tc>
          <w:tcPr>
            <w:tcW w:w="0" w:type="auto"/>
            <w:shd w:val="clear" w:color="auto" w:fill="auto"/>
          </w:tcPr>
          <w:p>
            <w:pPr>
              <w:jc w:val="left"/>
              <w:rPr>
                <w:noProof/>
              </w:rPr>
            </w:pPr>
            <w:r>
              <w:rPr>
                <w:noProof/>
              </w:rPr>
              <w:t>Safety Risk Portfolio – repülésbiztonságikockázat-portfólió</w:t>
            </w:r>
          </w:p>
        </w:tc>
      </w:tr>
      <w:tr>
        <w:trPr>
          <w:jc w:val="center"/>
        </w:trPr>
        <w:tc>
          <w:tcPr>
            <w:tcW w:w="0" w:type="auto"/>
            <w:shd w:val="clear" w:color="auto" w:fill="auto"/>
          </w:tcPr>
          <w:p>
            <w:pPr>
              <w:rPr>
                <w:noProof/>
              </w:rPr>
            </w:pPr>
            <w:r>
              <w:rPr>
                <w:noProof/>
              </w:rPr>
              <w:t>SSP</w:t>
            </w:r>
          </w:p>
        </w:tc>
        <w:tc>
          <w:tcPr>
            <w:tcW w:w="0" w:type="auto"/>
            <w:shd w:val="clear" w:color="auto" w:fill="auto"/>
          </w:tcPr>
          <w:p>
            <w:pPr>
              <w:jc w:val="left"/>
              <w:rPr>
                <w:noProof/>
              </w:rPr>
            </w:pPr>
            <w:r>
              <w:rPr>
                <w:noProof/>
              </w:rPr>
              <w:t>State Safety Programme – állami légiközlekedés-biztonsági program</w:t>
            </w:r>
          </w:p>
        </w:tc>
      </w:tr>
      <w:tr>
        <w:trPr>
          <w:jc w:val="center"/>
        </w:trPr>
        <w:tc>
          <w:tcPr>
            <w:tcW w:w="0" w:type="auto"/>
            <w:shd w:val="clear" w:color="auto" w:fill="auto"/>
          </w:tcPr>
          <w:p>
            <w:pPr>
              <w:rPr>
                <w:noProof/>
              </w:rPr>
            </w:pPr>
            <w:r>
              <w:rPr>
                <w:noProof/>
              </w:rPr>
              <w:t>TCO</w:t>
            </w:r>
          </w:p>
        </w:tc>
        <w:tc>
          <w:tcPr>
            <w:tcW w:w="0" w:type="auto"/>
            <w:shd w:val="clear" w:color="auto" w:fill="auto"/>
          </w:tcPr>
          <w:p>
            <w:pPr>
              <w:jc w:val="left"/>
              <w:rPr>
                <w:noProof/>
              </w:rPr>
            </w:pPr>
            <w:r>
              <w:rPr>
                <w:noProof/>
              </w:rPr>
              <w:t>Third Country Operator – harmadik országbeli üzemeltető</w:t>
            </w:r>
          </w:p>
        </w:tc>
      </w:tr>
      <w:tr>
        <w:trPr>
          <w:jc w:val="center"/>
        </w:trPr>
        <w:tc>
          <w:tcPr>
            <w:tcW w:w="0" w:type="auto"/>
            <w:shd w:val="clear" w:color="auto" w:fill="auto"/>
          </w:tcPr>
          <w:p>
            <w:pPr>
              <w:rPr>
                <w:noProof/>
              </w:rPr>
            </w:pPr>
            <w:r>
              <w:rPr>
                <w:noProof/>
              </w:rPr>
              <w:t>USOAP</w:t>
            </w:r>
          </w:p>
        </w:tc>
        <w:tc>
          <w:tcPr>
            <w:tcW w:w="0" w:type="auto"/>
            <w:shd w:val="clear" w:color="auto" w:fill="auto"/>
          </w:tcPr>
          <w:p>
            <w:pPr>
              <w:jc w:val="left"/>
              <w:rPr>
                <w:noProof/>
              </w:rPr>
            </w:pPr>
            <w:r>
              <w:rPr>
                <w:noProof/>
              </w:rPr>
              <w:t>Universal Safety Oversight Audit Programme (ICAO) – egyetemes biztonságfelügyelet-ellenőrzési program (ICAO)</w:t>
            </w:r>
          </w:p>
        </w:tc>
      </w:tr>
    </w:tbl>
    <w:p>
      <w:pPr>
        <w:shd w:val="clear" w:color="auto" w:fill="FFFFFF"/>
        <w:rPr>
          <w:noProof/>
        </w:rPr>
      </w:pPr>
    </w:p>
    <w:sectPr>
      <w:headerReference w:type="even" r:id="rId36"/>
      <w:headerReference w:type="default" r:id="rId37"/>
      <w:footerReference w:type="even" r:id="rId38"/>
      <w:footerReference w:type="default" r:id="rId39"/>
      <w:headerReference w:type="first" r:id="rId40"/>
      <w:footerReference w:type="first" r:id="rId41"/>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4461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ind w:left="720" w:hanging="720"/>
      </w:pPr>
      <w:r>
        <w:rPr>
          <w:rStyle w:val="FootnoteReference"/>
        </w:rPr>
        <w:footnoteRef/>
      </w:r>
      <w:r>
        <w:tab/>
        <w:t>E dokumentum alkalmazásában „szervezet” alatt az olyan ágazati szervezetek értendők, amelyek repüléssel kapcsolatos termékeket vagy szolgáltatásokat nyújtanak.</w:t>
      </w:r>
    </w:p>
  </w:footnote>
  <w:footnote w:id="3">
    <w:p>
      <w:pPr>
        <w:pStyle w:val="FootnoteText"/>
        <w:spacing w:beforeLines="60" w:before="144" w:afterLines="60" w:after="144"/>
      </w:pPr>
      <w:r>
        <w:rPr>
          <w:rStyle w:val="FootnoteReference"/>
        </w:rPr>
        <w:footnoteRef/>
      </w:r>
      <w:r>
        <w:tab/>
      </w:r>
      <w:hyperlink r:id="rId1">
        <w:r>
          <w:rPr>
            <w:rStyle w:val="Hyperlink"/>
          </w:rPr>
          <w:t>http://eur-lex.europa.eu/browse/directories/legislation.html</w:t>
        </w:r>
      </w:hyperlink>
      <w:r>
        <w:t xml:space="preserve"> – Közlekedéspolitika &gt; Légi közlekedés &gt; A légi közlekedés biztonsága.</w:t>
      </w:r>
    </w:p>
  </w:footnote>
  <w:footnote w:id="4">
    <w:p>
      <w:pPr>
        <w:pStyle w:val="FootnoteText"/>
        <w:spacing w:beforeLines="60" w:before="144" w:afterLines="60" w:after="144"/>
        <w:ind w:left="720" w:hanging="720"/>
      </w:pPr>
      <w:r>
        <w:rPr>
          <w:rStyle w:val="FootnoteReference"/>
        </w:rPr>
        <w:footnoteRef/>
      </w:r>
      <w:r>
        <w:tab/>
        <w:t>Az Európai Parlament és a Tanács 2008. február 20-i 216/2008/EK rendelete a polgári repülés területén közös szabályokról és az Európai Repülésbiztonsági Ügynökség létrehozásáról, valamint a 91/670/EK tanácsi irányelv, az 1592/2002/EK rendelet és a 2004/36/EK irányelv hatályon kívül helyezéséről (EGT-vonatkozású szöveg); HL L 79., 2008.3.19., 1. o.</w:t>
      </w:r>
    </w:p>
  </w:footnote>
  <w:footnote w:id="5">
    <w:p>
      <w:pPr>
        <w:pStyle w:val="FootnoteText"/>
        <w:spacing w:before="60" w:after="60"/>
        <w:ind w:left="720" w:hanging="720"/>
      </w:pPr>
      <w:r>
        <w:rPr>
          <w:rStyle w:val="FootnoteReference"/>
        </w:rPr>
        <w:footnoteRef/>
      </w:r>
      <w:r>
        <w:tab/>
        <w:t>Az Európai Parlament és a Tanács 2010. október 20-i 996/2010/EU rendelete a polgári légiközlekedési balesetek és repülőesemények vizsgálatáról és megelőzéséről és a 94/56/EK irányelv hatályon kívül helyezéséről (EGT-vonatkozású szöveg); HL L 295., 2010.11.12., 35. o.</w:t>
      </w:r>
    </w:p>
  </w:footnote>
  <w:footnote w:id="6">
    <w:p>
      <w:pPr>
        <w:pStyle w:val="FootnoteText"/>
        <w:spacing w:before="60" w:after="60"/>
        <w:ind w:left="720" w:hanging="720"/>
      </w:pPr>
      <w:r>
        <w:rPr>
          <w:rStyle w:val="FootnoteReference"/>
        </w:rPr>
        <w:footnoteRef/>
      </w:r>
      <w:r>
        <w:tab/>
        <w:t>Az Európai Parlament és a Tanács 2014. április 3-i 376/2014/EU rendelete a polgári légi közlekedési események jelentéséről, elemzéséről és nyomon követéséről, valamint a 996/2010/EU európai parlamenti és tanácsi rendelet módosításáról és a 2003/42/EK európai parlamenti és tanácsi irányelv, valamint az 1321/2007/EK bizottsági rendelet és az 1330/2007/EK bizottsági rendelet hatályon kívül helyezéséről (EGT-vonatkozású szöveg); HL L 122., 2014.4.24., 18. o.</w:t>
      </w:r>
    </w:p>
  </w:footnote>
  <w:footnote w:id="7">
    <w:p>
      <w:pPr>
        <w:pStyle w:val="FootnoteText"/>
        <w:spacing w:before="60" w:after="60"/>
        <w:ind w:left="720" w:hanging="720"/>
      </w:pPr>
      <w:r>
        <w:rPr>
          <w:rStyle w:val="FootnoteReference"/>
        </w:rPr>
        <w:footnoteRef/>
      </w:r>
      <w:r>
        <w:tab/>
        <w:t>Az Európai Parlament és a Tanács 2005. december 14-i 2111/2005/EK rendelete a Közösségen belül működési tilalom alá tartozó légi fuvarozók közösségi listájának elfogadásáról és az üzemeltető fuvarozó kiléte tekintetében a légi közlekedés utasainak tájékoztatásáról, valamint a 2004/36/EK irányelv 9. cikkének hatályon kívül helyezéséről (EGT-vonatkozású szöveg); HL L 344., 2005.12.27., 15. o.</w:t>
      </w:r>
    </w:p>
  </w:footnote>
  <w:footnote w:id="8">
    <w:p>
      <w:pPr>
        <w:pStyle w:val="FootnoteText"/>
      </w:pPr>
      <w:r>
        <w:rPr>
          <w:rStyle w:val="FootnoteReference"/>
        </w:rPr>
        <w:footnoteRef/>
      </w:r>
      <w:r>
        <w:tab/>
        <w:t xml:space="preserve">További tájékoztatás található a következő weboldalon: </w:t>
      </w:r>
      <w:hyperlink r:id="rId2">
        <w:r>
          <w:rPr>
            <w:rStyle w:val="Hyperlink"/>
          </w:rPr>
          <w:t>http://ec.europa.eu/transport/modes/air/safety/air-ban/index_hu.htm</w:t>
        </w:r>
      </w:hyperlink>
      <w:r>
        <w:t>.</w:t>
      </w:r>
    </w:p>
  </w:footnote>
  <w:footnote w:id="9">
    <w:p>
      <w:pPr>
        <w:pStyle w:val="FootnoteText"/>
        <w:ind w:left="720" w:hanging="720"/>
      </w:pPr>
      <w:r>
        <w:rPr>
          <w:rStyle w:val="FootnoteReference"/>
        </w:rPr>
        <w:footnoteRef/>
      </w:r>
      <w:r>
        <w:tab/>
        <w:t>A Bizottság 2006. március 22-i 474/2006/EK rendelete a Közösségen belül működési tilalom alá tartozó légi fuvarozóknak a 2111/2005/EK európai parlamenti és tanácsi rendelet II. fejezetében említett közösségi listájának létrehozásáról (EGT-vonatkozású szöveg); HL L 84., 2006.3.23., 14. o.</w:t>
      </w:r>
    </w:p>
  </w:footnote>
  <w:footnote w:id="10">
    <w:p>
      <w:pPr>
        <w:pStyle w:val="FootnoteText"/>
        <w:ind w:left="720" w:hanging="720"/>
      </w:pPr>
      <w:r>
        <w:rPr>
          <w:rStyle w:val="FootnoteReference"/>
        </w:rPr>
        <w:footnoteRef/>
      </w:r>
      <w:r>
        <w:tab/>
        <w:t>Az eljárás részleteit a Bizottság végrehajtási hatásköreinek gyakorlására vonatkozó tagállami ellenőrzési mechanizmusok szabályainak és általános elveinek megállapításáról szóló, 2011. február 16-i 182/2011/EU európai parlamenti és tanácsi rendelet határozza meg (HL L 55., 2011.2.28., 13. o.).</w:t>
      </w:r>
    </w:p>
  </w:footnote>
  <w:footnote w:id="11">
    <w:p>
      <w:pPr>
        <w:pStyle w:val="FootnoteText"/>
        <w:ind w:left="480" w:hanging="480"/>
      </w:pPr>
      <w:r>
        <w:rPr>
          <w:rStyle w:val="FootnoteReference"/>
        </w:rPr>
        <w:footnoteRef/>
      </w:r>
      <w:r>
        <w:tab/>
        <w:t>Angolul „European Plan for Aviation Safety“, korábbi nevén „European Aviation Safety Plan“. A név azért módosult, hogy el lehessen kerülni a „European Aviation Safety Programme“ (EASP) és a „European Aviation Safety Plan“ (EASp) összetévesztését.</w:t>
      </w:r>
    </w:p>
  </w:footnote>
  <w:footnote w:id="12">
    <w:p>
      <w:pPr>
        <w:pStyle w:val="FootnoteText"/>
        <w:spacing w:before="60" w:after="60"/>
        <w:ind w:left="720" w:hanging="720"/>
      </w:pPr>
      <w:r>
        <w:rPr>
          <w:rStyle w:val="FootnoteReference"/>
        </w:rPr>
        <w:footnoteRef/>
      </w:r>
      <w:r>
        <w:tab/>
        <w:t>Az Európai Parlament és a Tanács 2004. március 10-i 549/2004/EK rendelete az egységes európai égbolt létrehozására vonatkozó keret megállapításáról (keretrendelet), 11. cikk; HL L 96., 2004.3.31., 1. o., valamint a Bizottság 2013. május 3-i 390/2013/EU végrehajtási rendelete a léginavigációs szolgálatok és a hálózati funkciók teljesítményrendszerének létrehozásáról (EGT-vonatkozású szöveg); HL L 128., 2013.5.9., 1. o.</w:t>
      </w:r>
    </w:p>
  </w:footnote>
  <w:footnote w:id="13">
    <w:p>
      <w:pPr>
        <w:pStyle w:val="FootnoteText"/>
        <w:spacing w:before="60" w:after="60"/>
        <w:ind w:left="720" w:hanging="720"/>
      </w:pPr>
      <w:r>
        <w:rPr>
          <w:rStyle w:val="FootnoteReference"/>
        </w:rPr>
        <w:footnoteRef/>
      </w:r>
      <w:r>
        <w:tab/>
        <w:t>A Bizottság 2014. szeptember 24-i 2014/672/EU végrehajtási határozata az egységes európai égbolt teljesítmény-felülvizsgálati szerve kijelölésének meghosszabbításáról; HL L 281., 2014.9.25., 5. o.</w:t>
      </w:r>
    </w:p>
  </w:footnote>
  <w:footnote w:id="14">
    <w:p>
      <w:pPr>
        <w:pStyle w:val="FootnoteText"/>
        <w:ind w:left="720" w:hanging="720"/>
      </w:pPr>
      <w:r>
        <w:rPr>
          <w:rStyle w:val="FootnoteReference"/>
        </w:rPr>
        <w:footnoteRef/>
      </w:r>
      <w:r>
        <w:tab/>
        <w:t>E dokumentum alkalmazásában „felügyelet” alatt mind az illetékes hatóságuk által a tanúsított szervezetek felett gyakorolt felügyelet, mind pedig az EASA által a szabványosítási vizsgálatok során a szabályalkalmazás uniós tagállamokban történő figyelemmel kísérése értendő.</w:t>
      </w:r>
    </w:p>
    <w:p>
      <w:pPr>
        <w:pStyle w:val="FootnoteText"/>
        <w:ind w:left="720" w:hanging="720"/>
      </w:pPr>
      <w:r>
        <w:tab/>
        <w:t>A repülésbiztonsági felügyeletre az EU-ban jórészt a 216/2008/EK rendelet és végrehajtási szabályai az irányadók (az alkalmazandó jogszabályokról lásd az 1. ábrát).</w:t>
      </w:r>
    </w:p>
  </w:footnote>
  <w:footnote w:id="15">
    <w:p>
      <w:pPr>
        <w:pStyle w:val="FootnoteText"/>
        <w:spacing w:before="60" w:after="60"/>
        <w:ind w:left="720" w:hanging="720"/>
      </w:pPr>
      <w:r>
        <w:rPr>
          <w:rStyle w:val="FootnoteReference"/>
        </w:rPr>
        <w:footnoteRef/>
      </w:r>
      <w:r>
        <w:tab/>
        <w:t>A Bizottság 2013. június 28-i 628/2013/EU végrehajtási rendelete az Európai Repülésbiztonsági Ügynökség szabványosítási vizsgálatok végzésével és a 216/2008/EK európai parlamenti és tanácsi rendelet szabályai alkalmazásának nyomon követésével kapcsolatos munkamódszereiről, valamint a 736/2006/EK bizottsági rendelet hatályon kívül helyezéséről (EGT-vonatkozású szöveg); HL L 179., 2013.6.29., 46. o.</w:t>
      </w:r>
    </w:p>
  </w:footnote>
  <w:footnote w:id="16">
    <w:p>
      <w:pPr>
        <w:pStyle w:val="FootnoteText"/>
        <w:spacing w:before="60" w:after="60"/>
      </w:pPr>
      <w:r>
        <w:rPr>
          <w:rStyle w:val="FootnoteReference"/>
        </w:rPr>
        <w:footnoteRef/>
      </w:r>
      <w:r>
        <w:tab/>
      </w:r>
      <w:hyperlink r:id="rId3">
        <w:r>
          <w:rPr>
            <w:rStyle w:val="Hyperlink"/>
          </w:rPr>
          <w:t>http://easa.europa.eu/newsroom-and-events/general-publications</w:t>
        </w:r>
      </w:hyperlink>
    </w:p>
  </w:footnote>
  <w:footnote w:id="17">
    <w:p>
      <w:pPr>
        <w:pStyle w:val="FootnoteText"/>
        <w:spacing w:before="60" w:after="60"/>
      </w:pPr>
      <w:r>
        <w:rPr>
          <w:rStyle w:val="FootnoteReference"/>
        </w:rPr>
        <w:footnoteRef/>
      </w:r>
      <w:r>
        <w:tab/>
      </w:r>
      <w:hyperlink r:id="rId4">
        <w:r>
          <w:rPr>
            <w:rStyle w:val="Hyperlink"/>
          </w:rPr>
          <w:t>http://eccairs-dds.jrc.ec.europa.eu/pubsris/default.asp</w:t>
        </w:r>
      </w:hyperlink>
    </w:p>
  </w:footnote>
  <w:footnote w:id="18">
    <w:p>
      <w:pPr>
        <w:pStyle w:val="FootnoteText"/>
        <w:spacing w:before="60" w:after="60"/>
      </w:pPr>
      <w:r>
        <w:rPr>
          <w:rStyle w:val="FootnoteReference"/>
        </w:rPr>
        <w:footnoteRef/>
      </w:r>
      <w:r>
        <w:tab/>
      </w:r>
      <w:hyperlink r:id="rId5">
        <w:r>
          <w:rPr>
            <w:rStyle w:val="Hyperlink"/>
          </w:rPr>
          <w:t>http://ad.easa.europa.eu/sib-docs/page-1</w:t>
        </w:r>
      </w:hyperlink>
    </w:p>
  </w:footnote>
  <w:footnote w:id="19">
    <w:p>
      <w:pPr>
        <w:pStyle w:val="FootnoteText"/>
        <w:spacing w:before="60" w:after="60"/>
        <w:ind w:left="720" w:hanging="720"/>
      </w:pPr>
      <w:r>
        <w:rPr>
          <w:rStyle w:val="FootnoteReference"/>
        </w:rPr>
        <w:footnoteRef/>
      </w:r>
      <w:r>
        <w:tab/>
      </w:r>
      <w:hyperlink r:id="rId6">
        <w:r>
          <w:rPr>
            <w:rStyle w:val="Hyperlink"/>
          </w:rPr>
          <w:t>http://easa.europa.eu/easa-and-you/safety-management/accident-and-incident-investigation-support/safety-recommendations</w:t>
        </w:r>
      </w:hyperlink>
    </w:p>
  </w:footnote>
  <w:footnote w:id="20">
    <w:p>
      <w:pPr>
        <w:pStyle w:val="FootnoteText"/>
        <w:spacing w:before="60" w:after="60"/>
      </w:pPr>
      <w:r>
        <w:rPr>
          <w:rStyle w:val="FootnoteReference"/>
        </w:rPr>
        <w:footnoteRef/>
      </w:r>
      <w:r>
        <w:tab/>
      </w:r>
      <w:hyperlink r:id="rId7">
        <w:r>
          <w:rPr>
            <w:rStyle w:val="Hyperlink"/>
          </w:rPr>
          <w:t>http://easa.europa.eu/</w:t>
        </w:r>
      </w:hyperlink>
    </w:p>
  </w:footnote>
  <w:footnote w:id="21">
    <w:p>
      <w:pPr>
        <w:pStyle w:val="FootnoteText"/>
        <w:spacing w:before="60" w:after="60"/>
      </w:pPr>
      <w:r>
        <w:rPr>
          <w:rStyle w:val="FootnoteReference"/>
        </w:rPr>
        <w:footnoteRef/>
      </w:r>
      <w:r>
        <w:tab/>
      </w:r>
      <w:hyperlink r:id="rId8">
        <w:r>
          <w:rPr>
            <w:rStyle w:val="Hyperlink"/>
          </w:rPr>
          <w:t>http://ec.europa.eu/transport/modes/air/safety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3ACEB88"/>
    <w:lvl w:ilvl="0">
      <w:start w:val="1"/>
      <w:numFmt w:val="decimal"/>
      <w:pStyle w:val="ListNumber4"/>
      <w:lvlText w:val="%1."/>
      <w:lvlJc w:val="left"/>
      <w:pPr>
        <w:tabs>
          <w:tab w:val="num" w:pos="1209"/>
        </w:tabs>
        <w:ind w:left="1209" w:hanging="360"/>
      </w:pPr>
      <w:rPr>
        <w:rFonts w:cs="Times New Roman"/>
      </w:rPr>
    </w:lvl>
  </w:abstractNum>
  <w:abstractNum w:abstractNumId="1">
    <w:nsid w:val="FFFFFF7F"/>
    <w:multiLevelType w:val="singleLevel"/>
    <w:tmpl w:val="815C191C"/>
    <w:lvl w:ilvl="0">
      <w:start w:val="1"/>
      <w:numFmt w:val="decimal"/>
      <w:pStyle w:val="ListNumber2"/>
      <w:lvlText w:val="%1."/>
      <w:lvlJc w:val="left"/>
      <w:pPr>
        <w:tabs>
          <w:tab w:val="num" w:pos="643"/>
        </w:tabs>
        <w:ind w:left="643" w:hanging="360"/>
      </w:pPr>
    </w:lvl>
  </w:abstractNum>
  <w:abstractNum w:abstractNumId="2">
    <w:nsid w:val="FFFFFF81"/>
    <w:multiLevelType w:val="singleLevel"/>
    <w:tmpl w:val="72942E5E"/>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3"/>
    <w:multiLevelType w:val="singleLevel"/>
    <w:tmpl w:val="7BE2EC14"/>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EF563C02"/>
    <w:lvl w:ilvl="0">
      <w:start w:val="1"/>
      <w:numFmt w:val="decimal"/>
      <w:pStyle w:val="ListNumber"/>
      <w:lvlText w:val="%1."/>
      <w:lvlJc w:val="left"/>
      <w:pPr>
        <w:tabs>
          <w:tab w:val="num" w:pos="360"/>
        </w:tabs>
        <w:ind w:left="360" w:hanging="360"/>
      </w:pPr>
    </w:lvl>
  </w:abstractNum>
  <w:abstractNum w:abstractNumId="5">
    <w:nsid w:val="FFFFFF89"/>
    <w:multiLevelType w:val="singleLevel"/>
    <w:tmpl w:val="0D70CFD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3B43866"/>
    <w:multiLevelType w:val="hybridMultilevel"/>
    <w:tmpl w:val="D9D4331C"/>
    <w:lvl w:ilvl="0" w:tplc="B01EF3F8">
      <w:start w:val="1"/>
      <w:numFmt w:val="decimal"/>
      <w:lvlText w:val="4.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6051C69"/>
    <w:multiLevelType w:val="hybridMultilevel"/>
    <w:tmpl w:val="11DA575E"/>
    <w:lvl w:ilvl="0" w:tplc="1E48FAA2">
      <w:start w:val="1"/>
      <w:numFmt w:val="decimal"/>
      <w:pStyle w:val="HEADERCHAPTER1"/>
      <w:lvlText w:val="1.%1."/>
      <w:lvlJc w:val="left"/>
      <w:pPr>
        <w:tabs>
          <w:tab w:val="num" w:pos="454"/>
        </w:tabs>
        <w:ind w:left="454" w:hanging="454"/>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0CCF1A7C"/>
    <w:multiLevelType w:val="multilevel"/>
    <w:tmpl w:val="EB7A708C"/>
    <w:lvl w:ilvl="0">
      <w:start w:val="1"/>
      <w:numFmt w:val="decimal"/>
      <w:lvlRestart w:val="0"/>
      <w:lvlText w:val="%1."/>
      <w:lvlJc w:val="left"/>
      <w:pPr>
        <w:tabs>
          <w:tab w:val="num" w:pos="850"/>
        </w:tabs>
        <w:ind w:left="850" w:hanging="850"/>
      </w:pPr>
      <w:rPr>
        <w:rFonts w:cs="Times New Roman"/>
      </w:rPr>
    </w:lvl>
    <w:lvl w:ilvl="1">
      <w:start w:val="1"/>
      <w:numFmt w:val="decimal"/>
      <w:lvlText w:val="4.%2"/>
      <w:lvlJc w:val="left"/>
      <w:pPr>
        <w:tabs>
          <w:tab w:val="num" w:pos="850"/>
        </w:tabs>
        <w:ind w:left="850" w:hanging="850"/>
      </w:pPr>
      <w:rPr>
        <w:rFonts w:hint="default"/>
        <w:b/>
        <w:sz w:val="24"/>
        <w:szCs w:val="24"/>
      </w:rPr>
    </w:lvl>
    <w:lvl w:ilvl="2">
      <w:start w:val="1"/>
      <w:numFmt w:val="decimal"/>
      <w:lvlText w:val="4.3.%3"/>
      <w:lvlJc w:val="left"/>
      <w:pPr>
        <w:tabs>
          <w:tab w:val="num" w:pos="850"/>
        </w:tabs>
        <w:ind w:left="850" w:hanging="850"/>
      </w:pPr>
      <w:rPr>
        <w:rFonts w:hint="default"/>
      </w:rPr>
    </w:lvl>
    <w:lvl w:ilvl="3">
      <w:start w:val="1"/>
      <w:numFmt w:val="decimal"/>
      <w:lvlText w:val="4.1.1.%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4621BA7"/>
    <w:multiLevelType w:val="multilevel"/>
    <w:tmpl w:val="24AAE4E6"/>
    <w:lvl w:ilvl="0">
      <w:start w:val="1"/>
      <w:numFmt w:val="decimal"/>
      <w:lvlRestart w:val="0"/>
      <w:lvlText w:val="%1."/>
      <w:lvlJc w:val="left"/>
      <w:pPr>
        <w:tabs>
          <w:tab w:val="num" w:pos="850"/>
        </w:tabs>
        <w:ind w:left="850" w:hanging="850"/>
      </w:pPr>
      <w:rPr>
        <w:rFonts w:cs="Times New Roman"/>
      </w:rPr>
    </w:lvl>
    <w:lvl w:ilvl="1">
      <w:start w:val="1"/>
      <w:numFmt w:val="decimal"/>
      <w:lvlText w:val="3.%2"/>
      <w:lvlJc w:val="left"/>
      <w:pPr>
        <w:tabs>
          <w:tab w:val="num" w:pos="850"/>
        </w:tabs>
        <w:ind w:left="850" w:hanging="850"/>
      </w:pPr>
      <w:rPr>
        <w:rFonts w:hint="default"/>
        <w:b/>
        <w:sz w:val="24"/>
        <w:szCs w:val="24"/>
      </w:rPr>
    </w:lvl>
    <w:lvl w:ilvl="2">
      <w:start w:val="1"/>
      <w:numFmt w:val="decimal"/>
      <w:lvlText w:val="3.1.%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6BD0672"/>
    <w:multiLevelType w:val="hybridMultilevel"/>
    <w:tmpl w:val="E83039D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11">
    <w:nsid w:val="1B6E76EA"/>
    <w:multiLevelType w:val="hybridMultilevel"/>
    <w:tmpl w:val="782EE13A"/>
    <w:lvl w:ilvl="0" w:tplc="5F0606B6">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C0161D"/>
    <w:multiLevelType w:val="hybridMultilevel"/>
    <w:tmpl w:val="0B6A659A"/>
    <w:lvl w:ilvl="0" w:tplc="D3227CC6">
      <w:start w:val="1"/>
      <w:numFmt w:val="decimal"/>
      <w:pStyle w:val="Heading3"/>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2C301F"/>
    <w:multiLevelType w:val="multilevel"/>
    <w:tmpl w:val="F3443492"/>
    <w:lvl w:ilvl="0">
      <w:start w:val="1"/>
      <w:numFmt w:val="decimal"/>
      <w:lvlRestart w:val="0"/>
      <w:lvlText w:val="%1."/>
      <w:lvlJc w:val="left"/>
      <w:pPr>
        <w:tabs>
          <w:tab w:val="num" w:pos="850"/>
        </w:tabs>
        <w:ind w:left="850" w:hanging="850"/>
      </w:pPr>
      <w:rPr>
        <w:rFonts w:cs="Times New Roman"/>
      </w:rPr>
    </w:lvl>
    <w:lvl w:ilvl="1">
      <w:start w:val="1"/>
      <w:numFmt w:val="decimal"/>
      <w:lvlText w:val="4.%2"/>
      <w:lvlJc w:val="left"/>
      <w:pPr>
        <w:tabs>
          <w:tab w:val="num" w:pos="850"/>
        </w:tabs>
        <w:ind w:left="850" w:hanging="850"/>
      </w:pPr>
      <w:rPr>
        <w:rFonts w:hint="default"/>
        <w:b/>
        <w:sz w:val="24"/>
        <w:szCs w:val="24"/>
      </w:rPr>
    </w:lvl>
    <w:lvl w:ilvl="2">
      <w:start w:val="1"/>
      <w:numFmt w:val="decimal"/>
      <w:lvlText w:val="4.3.%3"/>
      <w:lvlJc w:val="left"/>
      <w:pPr>
        <w:tabs>
          <w:tab w:val="num" w:pos="850"/>
        </w:tabs>
        <w:ind w:left="850" w:hanging="850"/>
      </w:pPr>
      <w:rPr>
        <w:rFonts w:hint="default"/>
      </w:rPr>
    </w:lvl>
    <w:lvl w:ilvl="3">
      <w:start w:val="1"/>
      <w:numFmt w:val="decimal"/>
      <w:lvlText w:val="4.1.2.%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nsid w:val="32080D3D"/>
    <w:multiLevelType w:val="hybridMultilevel"/>
    <w:tmpl w:val="283876D4"/>
    <w:lvl w:ilvl="0" w:tplc="A366054A">
      <w:start w:val="1"/>
      <w:numFmt w:val="decimal"/>
      <w:pStyle w:val="Heading2"/>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902211"/>
    <w:multiLevelType w:val="hybridMultilevel"/>
    <w:tmpl w:val="2E9EAA04"/>
    <w:lvl w:ilvl="0" w:tplc="E684FD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8">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9">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20">
    <w:nsid w:val="41EB03DB"/>
    <w:multiLevelType w:val="hybridMultilevel"/>
    <w:tmpl w:val="04E2BA6A"/>
    <w:lvl w:ilvl="0" w:tplc="1D768DFC">
      <w:start w:val="1"/>
      <w:numFmt w:val="decimal"/>
      <w:pStyle w:val="Heading1"/>
      <w:lvlText w:val="%1."/>
      <w:lvlJc w:val="left"/>
      <w:pPr>
        <w:ind w:left="720" w:hanging="360"/>
      </w:pPr>
      <w:rPr>
        <w:rFonts w:hint="default"/>
        <w:b/>
        <w:i w:val="0"/>
        <w:caps w:val="0"/>
        <w:strike w:val="0"/>
        <w:dstrike w:val="0"/>
        <w:outline w:val="0"/>
        <w:shadow w:val="0"/>
        <w:emboss w:val="0"/>
        <w:imprint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3157D2"/>
    <w:multiLevelType w:val="hybridMultilevel"/>
    <w:tmpl w:val="CDD8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D877AE2"/>
    <w:multiLevelType w:val="hybridMultilevel"/>
    <w:tmpl w:val="E542D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236C7B"/>
    <w:multiLevelType w:val="hybridMultilevel"/>
    <w:tmpl w:val="FB92D1D2"/>
    <w:lvl w:ilvl="0" w:tplc="91DE57CC">
      <w:start w:val="1"/>
      <w:numFmt w:val="decimal"/>
      <w:lvlText w:val="3.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8">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3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nsid w:val="69995580"/>
    <w:multiLevelType w:val="singleLevel"/>
    <w:tmpl w:val="75CC7CBA"/>
    <w:lvl w:ilvl="0">
      <w:start w:val="1"/>
      <w:numFmt w:val="decimal"/>
      <w:lvlRestart w:val="0"/>
      <w:pStyle w:val="Considrant"/>
      <w:lvlText w:val="(%1)"/>
      <w:lvlJc w:val="left"/>
      <w:pPr>
        <w:tabs>
          <w:tab w:val="num" w:pos="709"/>
        </w:tabs>
        <w:ind w:left="709" w:hanging="709"/>
      </w:pPr>
      <w:rPr>
        <w:rFonts w:cs="Times New Roman"/>
      </w:rPr>
    </w:lvl>
  </w:abstractNum>
  <w:abstractNum w:abstractNumId="33">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nsid w:val="70ED083E"/>
    <w:multiLevelType w:val="hybridMultilevel"/>
    <w:tmpl w:val="EAAEA40A"/>
    <w:lvl w:ilvl="0" w:tplc="4260A7C6">
      <w:start w:val="1"/>
      <w:numFmt w:val="decimal"/>
      <w:lvlText w:val="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11167E2"/>
    <w:multiLevelType w:val="multilevel"/>
    <w:tmpl w:val="C3843A7A"/>
    <w:name w:val="Considérant"/>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4F24C34"/>
    <w:multiLevelType w:val="hybridMultilevel"/>
    <w:tmpl w:val="6C1E273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C26F71"/>
    <w:multiLevelType w:val="multilevel"/>
    <w:tmpl w:val="C92A0C28"/>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b/>
        <w:sz w:val="24"/>
        <w:szCs w:val="24"/>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BE95D7F"/>
    <w:multiLevelType w:val="multilevel"/>
    <w:tmpl w:val="F126F780"/>
    <w:name w:val="Heading"/>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nsid w:val="7FBD57B2"/>
    <w:multiLevelType w:val="hybridMultilevel"/>
    <w:tmpl w:val="2010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0"/>
  </w:num>
  <w:num w:numId="4">
    <w:abstractNumId w:val="24"/>
  </w:num>
  <w:num w:numId="5">
    <w:abstractNumId w:val="18"/>
  </w:num>
  <w:num w:numId="6">
    <w:abstractNumId w:val="17"/>
  </w:num>
  <w:num w:numId="7">
    <w:abstractNumId w:val="30"/>
  </w:num>
  <w:num w:numId="8">
    <w:abstractNumId w:val="19"/>
  </w:num>
  <w:num w:numId="9">
    <w:abstractNumId w:val="27"/>
  </w:num>
  <w:num w:numId="10">
    <w:abstractNumId w:val="35"/>
  </w:num>
  <w:num w:numId="11">
    <w:abstractNumId w:val="37"/>
  </w:num>
  <w:num w:numId="12">
    <w:abstractNumId w:val="38"/>
  </w:num>
  <w:num w:numId="13">
    <w:abstractNumId w:val="26"/>
  </w:num>
  <w:num w:numId="14">
    <w:abstractNumId w:val="14"/>
  </w:num>
  <w:num w:numId="15">
    <w:abstractNumId w:val="29"/>
  </w:num>
  <w:num w:numId="16">
    <w:abstractNumId w:val="28"/>
  </w:num>
  <w:num w:numId="17">
    <w:abstractNumId w:val="23"/>
  </w:num>
  <w:num w:numId="18">
    <w:abstractNumId w:val="32"/>
  </w:num>
  <w:num w:numId="19">
    <w:abstractNumId w:val="22"/>
  </w:num>
  <w:num w:numId="20">
    <w:abstractNumId w:val="7"/>
  </w:num>
  <w:num w:numId="21">
    <w:abstractNumId w:val="33"/>
  </w:num>
  <w:num w:numId="22">
    <w:abstractNumId w:val="31"/>
  </w:num>
  <w:num w:numId="23">
    <w:abstractNumId w:val="5"/>
  </w:num>
  <w:num w:numId="24">
    <w:abstractNumId w:val="3"/>
  </w:num>
  <w:num w:numId="25">
    <w:abstractNumId w:val="2"/>
  </w:num>
  <w:num w:numId="26">
    <w:abstractNumId w:val="0"/>
  </w:num>
  <w:num w:numId="27">
    <w:abstractNumId w:val="36"/>
  </w:num>
  <w:num w:numId="28">
    <w:abstractNumId w:val="11"/>
  </w:num>
  <w:num w:numId="29">
    <w:abstractNumId w:val="21"/>
  </w:num>
  <w:num w:numId="30">
    <w:abstractNumId w:val="16"/>
  </w:num>
  <w:num w:numId="31">
    <w:abstractNumId w:val="39"/>
  </w:num>
  <w:num w:numId="32">
    <w:abstractNumId w:val="10"/>
  </w:num>
  <w:num w:numId="33">
    <w:abstractNumId w:val="9"/>
  </w:num>
  <w:num w:numId="34">
    <w:abstractNumId w:val="15"/>
  </w:num>
  <w:num w:numId="35">
    <w:abstractNumId w:val="34"/>
  </w:num>
  <w:num w:numId="36">
    <w:abstractNumId w:val="8"/>
  </w:num>
  <w:num w:numId="37">
    <w:abstractNumId w:val="12"/>
  </w:num>
  <w:num w:numId="38">
    <w:abstractNumId w:val="12"/>
    <w:lvlOverride w:ilvl="0">
      <w:startOverride w:val="1"/>
    </w:lvlOverride>
  </w:num>
  <w:num w:numId="39">
    <w:abstractNumId w:val="25"/>
  </w:num>
  <w:num w:numId="40">
    <w:abstractNumId w:val="6"/>
  </w:num>
  <w:num w:numId="41">
    <w:abstractNumId w:val="13"/>
  </w:num>
  <w:num w:numId="42">
    <w:abstractNumId w:val="12"/>
  </w:num>
  <w:num w:numId="43">
    <w:abstractNumId w:val="12"/>
  </w:num>
  <w:num w:numId="44">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 következ\u337?höz:"/>
    <w:docVar w:name="LW_ANNEX_NBR_FIRST" w:val="1"/>
    <w:docVar w:name="LW_ANNEX_NBR_LAST" w:val="1"/>
    <w:docVar w:name="LW_CONFIDENCE" w:val=" "/>
    <w:docVar w:name="LW_CONST_RESTREINT_UE" w:val="RESTREINT UE"/>
    <w:docVar w:name="LW_CORRIGENDUM" w:val="&lt;UNUSED&gt;"/>
    <w:docVar w:name="LW_COVERPAGE_GUID" w:val="DC472039A4E740D8B9F3163AA0DB6EE9"/>
    <w:docVar w:name="LW_CROSSREFERENCE" w:val="&lt;UNUSED&gt;"/>
    <w:docVar w:name="LW_DocType" w:val="NORMAL"/>
    <w:docVar w:name="LW_EMISSION" w:val="2015.12.7."/>
    <w:docVar w:name="LW_EMISSION_ISODATE" w:val="2015-12-07"/>
    <w:docVar w:name="LW_EMISSION_LOCATION" w:val="BRX"/>
    <w:docVar w:name="LW_EMISSION_PREFIX" w:val="Brüsszel, "/>
    <w:docVar w:name="LW_EMISSION_SUFFIX" w:val=" "/>
    <w:docVar w:name="LW_ID_DOCTYPE_NONLW" w:val="CP-039"/>
    <w:docVar w:name="LW_LANGUE" w:val="HU"/>
    <w:docVar w:name="LW_MARKING" w:val="&lt;UNUSED&gt;"/>
    <w:docVar w:name="LW_NOM.INST" w:val="EURÓPAI BIZOTTSÁG"/>
    <w:docVar w:name="LW_NOM.INST_JOINTDOC" w:val="&lt;EMPTY&gt;"/>
    <w:docVar w:name="LW_OBJETACTEPRINCIPAL.CP" w:val="Az európai légiközlekedés-biztonsági program_x000b_"/>
    <w:docVar w:name="LW_PART_NBR" w:val="1"/>
    <w:docVar w:name="LW_PART_NBR_TOTAL" w:val="1"/>
    <w:docVar w:name="LW_REF.INST.NEW" w:val="COM"/>
    <w:docVar w:name="LW_REF.INST.NEW_ADOPTED" w:val="final"/>
    <w:docVar w:name="LW_REF.INST.NEW_TEXT" w:val="(2015) 599"/>
    <w:docVar w:name="LW_REF.INTERNE" w:val="&lt;UNUSED&gt;"/>
    <w:docVar w:name="LW_SUPERTITRE" w:val="&lt;UNUSED&gt;"/>
    <w:docVar w:name="LW_TITRE.OBJ.CP" w:val="Az európai légiközlekedés-biztonsági programról szóló dokumentum_x000b_2. kiadás"/>
    <w:docVar w:name="LW_TYPE.DOC.CP" w:val="MELLÉKLET_x000b_"/>
    <w:docVar w:name="LW_TYPEACTEPRINCIPAL.CP" w:val="JELENTÉS AZ EURÓPAI PARLAMENTNEK ÉS A TANÁCSNAK"/>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qFormat/>
    <w:pPr>
      <w:keepNext/>
      <w:keepLines/>
      <w:numPr>
        <w:numId w:val="3"/>
      </w:numPr>
      <w:spacing w:before="240" w:after="360"/>
      <w:jc w:val="center"/>
      <w:outlineLvl w:val="0"/>
    </w:pPr>
    <w:rPr>
      <w:rFonts w:ascii="Times New Roman Bold" w:eastAsiaTheme="majorEastAsia" w:hAnsi="Times New Roman Bold" w:cstheme="majorBidi"/>
      <w:b/>
      <w:bCs/>
      <w:smallCaps/>
      <w:szCs w:val="28"/>
    </w:rPr>
  </w:style>
  <w:style w:type="paragraph" w:styleId="Heading2">
    <w:name w:val="heading 2"/>
    <w:basedOn w:val="Normal"/>
    <w:next w:val="Text1"/>
    <w:link w:val="Heading2Char"/>
    <w:qFormat/>
    <w:pPr>
      <w:keepNext/>
      <w:keepLines/>
      <w:numPr>
        <w:numId w:val="34"/>
      </w:numPr>
      <w:spacing w:before="240" w:after="240"/>
      <w:jc w:val="left"/>
      <w:outlineLvl w:val="1"/>
    </w:pPr>
    <w:rPr>
      <w:rFonts w:ascii="Times New Roman Bold" w:eastAsiaTheme="majorEastAsia" w:hAnsi="Times New Roman Bold" w:cstheme="majorBidi"/>
      <w:b/>
      <w:bCs/>
      <w:szCs w:val="26"/>
    </w:rPr>
  </w:style>
  <w:style w:type="paragraph" w:styleId="Heading3">
    <w:name w:val="heading 3"/>
    <w:basedOn w:val="Normal"/>
    <w:next w:val="Text1"/>
    <w:link w:val="Heading3Char"/>
    <w:qFormat/>
    <w:pPr>
      <w:keepNext/>
      <w:keepLines/>
      <w:numPr>
        <w:numId w:val="37"/>
      </w:numPr>
      <w:outlineLvl w:val="2"/>
    </w:pPr>
    <w:rPr>
      <w:rFonts w:eastAsiaTheme="majorEastAsia" w:cstheme="majorBidi"/>
      <w:bCs/>
      <w:i/>
    </w:rPr>
  </w:style>
  <w:style w:type="paragraph" w:styleId="Heading4">
    <w:name w:val="heading 4"/>
    <w:basedOn w:val="Normal"/>
    <w:next w:val="Text1"/>
    <w:link w:val="Heading4Char"/>
    <w:qFormat/>
    <w:pPr>
      <w:keepNext/>
      <w:keepLines/>
      <w:spacing w:before="200" w:after="0"/>
      <w:outlineLvl w:val="3"/>
    </w:pPr>
    <w:rPr>
      <w:rFonts w:eastAsiaTheme="majorEastAsia" w:cstheme="majorBidi"/>
      <w:bCs/>
      <w:iCs/>
    </w:rPr>
  </w:style>
  <w:style w:type="paragraph" w:styleId="Heading5">
    <w:name w:val="heading 5"/>
    <w:basedOn w:val="Normal"/>
    <w:next w:val="Normal"/>
    <w:link w:val="Heading5Char"/>
    <w:qFormat/>
    <w:pPr>
      <w:tabs>
        <w:tab w:val="num" w:pos="1008"/>
      </w:tabs>
      <w:spacing w:before="240" w:after="60"/>
      <w:ind w:left="1008" w:hanging="1008"/>
      <w:outlineLvl w:val="4"/>
    </w:pPr>
    <w:rPr>
      <w:rFonts w:ascii="Verdana" w:hAnsi="Verdana"/>
      <w:b/>
      <w:bCs/>
      <w:i/>
      <w:iCs/>
      <w:sz w:val="26"/>
      <w:szCs w:val="26"/>
    </w:rPr>
  </w:style>
  <w:style w:type="paragraph" w:styleId="Heading6">
    <w:name w:val="heading 6"/>
    <w:basedOn w:val="Normal"/>
    <w:next w:val="Normal"/>
    <w:link w:val="Heading6Char"/>
    <w:qFormat/>
    <w:pPr>
      <w:tabs>
        <w:tab w:val="num" w:pos="1152"/>
      </w:tabs>
      <w:spacing w:before="240" w:after="60"/>
      <w:ind w:left="1152" w:hanging="1152"/>
      <w:outlineLvl w:val="5"/>
    </w:pPr>
    <w:rPr>
      <w:b/>
      <w:bCs/>
      <w:sz w:val="22"/>
    </w:rPr>
  </w:style>
  <w:style w:type="paragraph" w:styleId="Heading7">
    <w:name w:val="heading 7"/>
    <w:basedOn w:val="Normal"/>
    <w:next w:val="Normal"/>
    <w:link w:val="Heading7Char"/>
    <w:qFormat/>
    <w:pPr>
      <w:tabs>
        <w:tab w:val="num" w:pos="1296"/>
      </w:tabs>
      <w:spacing w:before="240" w:after="60"/>
      <w:ind w:left="1296" w:hanging="1296"/>
      <w:outlineLvl w:val="6"/>
    </w:pPr>
    <w:rPr>
      <w:rFonts w:ascii="Arial" w:eastAsia="Times New Roman" w:hAnsi="Arial" w:cs="Times New Roman"/>
      <w:szCs w:val="24"/>
    </w:rPr>
  </w:style>
  <w:style w:type="paragraph" w:styleId="Heading8">
    <w:name w:val="heading 8"/>
    <w:basedOn w:val="Normal"/>
    <w:next w:val="Normal"/>
    <w:link w:val="Heading8Char"/>
    <w:qFormat/>
    <w:pPr>
      <w:tabs>
        <w:tab w:val="num" w:pos="1440"/>
      </w:tabs>
      <w:spacing w:before="240" w:after="60"/>
      <w:ind w:left="1440" w:hanging="1440"/>
      <w:outlineLvl w:val="7"/>
    </w:pPr>
    <w:rPr>
      <w:rFonts w:ascii="Arial" w:eastAsia="Times New Roman" w:hAnsi="Arial" w:cs="Times New Roman"/>
      <w:i/>
      <w:iCs/>
      <w:szCs w:val="24"/>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eastAsia="Times New Roman" w:hAnsi="Arial" w:cs="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rFonts w:ascii="Arial" w:eastAsia="Times New Roman" w:hAnsi="Arial" w:cs="Times New Roman"/>
      <w:sz w:val="24"/>
      <w:szCs w:val="24"/>
    </w:rPr>
  </w:style>
  <w:style w:type="paragraph" w:styleId="Footer">
    <w:name w:val="footer"/>
    <w:basedOn w:val="Normal"/>
    <w:link w:val="FooterChar"/>
    <w:uiPriority w:val="99"/>
    <w:pPr>
      <w:tabs>
        <w:tab w:val="center" w:pos="4536"/>
        <w:tab w:val="right" w:pos="9072"/>
      </w:tabs>
      <w:spacing w:after="0"/>
    </w:pPr>
  </w:style>
  <w:style w:type="character" w:customStyle="1" w:styleId="FooterChar">
    <w:name w:val="Footer Char"/>
    <w:basedOn w:val="DefaultParagraphFont"/>
    <w:link w:val="Footer"/>
    <w:uiPriority w:val="99"/>
    <w:rPr>
      <w:rFonts w:ascii="Arial" w:eastAsia="Times New Roman" w:hAnsi="Arial" w:cs="Times New Roman"/>
      <w:sz w:val="24"/>
      <w:szCs w:val="24"/>
    </w:rPr>
  </w:style>
  <w:style w:type="paragraph" w:customStyle="1" w:styleId="Typedudocument">
    <w:name w:val="Type du document"/>
    <w:basedOn w:val="Normal"/>
    <w:next w:val="Normal"/>
    <w:link w:val="TypedudocumentChar"/>
    <w:pPr>
      <w:spacing w:before="360" w:after="0"/>
      <w:jc w:val="center"/>
    </w:pPr>
    <w:rPr>
      <w:rFonts w:cs="Times New Roman"/>
      <w:b/>
    </w:rPr>
  </w:style>
  <w:style w:type="paragraph" w:customStyle="1" w:styleId="Titreobjet">
    <w:name w:val="Titre objet"/>
    <w:basedOn w:val="Normal"/>
    <w:next w:val="Normal"/>
    <w:pPr>
      <w:spacing w:before="360" w:after="360"/>
      <w:jc w:val="center"/>
    </w:pPr>
    <w:rPr>
      <w:rFonts w:cs="Times New Roman"/>
      <w: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cs="Times New Roman"/>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before="0"/>
    </w:pPr>
    <w:rPr>
      <w:rFonts w:cs="Times New Roman"/>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Times New Roman"/>
      <w:b/>
      <w:bCs/>
      <w:sz w:val="20"/>
      <w:szCs w:val="20"/>
    </w:rPr>
  </w:style>
  <w:style w:type="paragraph" w:styleId="BalloonText">
    <w:name w:val="Balloon Text"/>
    <w:basedOn w:val="Normal"/>
    <w:link w:val="BalloonTextChar"/>
    <w:semiHidden/>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FootnoteText">
    <w:name w:val="footnote text"/>
    <w:basedOn w:val="Normal"/>
    <w:link w:val="FootnoteTextChar"/>
    <w:semiHidden/>
    <w:pPr>
      <w:spacing w:after="0"/>
    </w:pPr>
    <w:rPr>
      <w:sz w:val="20"/>
      <w:szCs w:val="20"/>
    </w:rPr>
  </w:style>
  <w:style w:type="character" w:customStyle="1" w:styleId="Heading1Char">
    <w:name w:val="Heading 1 Char"/>
    <w:basedOn w:val="DefaultParagraphFont"/>
    <w:link w:val="Heading1"/>
    <w:rPr>
      <w:rFonts w:ascii="Times New Roman Bold" w:eastAsiaTheme="majorEastAsia" w:hAnsi="Times New Roman Bold" w:cstheme="majorBidi"/>
      <w:b/>
      <w:bCs/>
      <w:smallCaps/>
      <w:sz w:val="24"/>
      <w:szCs w:val="28"/>
    </w:rPr>
  </w:style>
  <w:style w:type="paragraph" w:styleId="ListNumber">
    <w:name w:val="List Number"/>
    <w:basedOn w:val="Normal"/>
    <w:pPr>
      <w:numPr>
        <w:numId w:val="1"/>
      </w:numPr>
      <w:contextualSpacing/>
    </w:pPr>
    <w:rPr>
      <w:rFonts w:ascii="Times New Roman Bold" w:hAnsi="Times New Roman Bold"/>
      <w:b/>
      <w:smallCaps/>
    </w:rPr>
  </w:style>
  <w:style w:type="character" w:customStyle="1" w:styleId="FootnoteTextChar">
    <w:name w:val="Footnote Text Char"/>
    <w:basedOn w:val="DefaultParagraphFont"/>
    <w:link w:val="FootnoteText"/>
    <w:semiHidden/>
    <w:rPr>
      <w:rFonts w:ascii="Arial" w:eastAsia="Times New Roman" w:hAnsi="Arial" w:cs="Times New Roman"/>
      <w:sz w:val="20"/>
      <w:szCs w:val="20"/>
    </w:rPr>
  </w:style>
  <w:style w:type="character" w:styleId="FootnoteReference">
    <w:name w:val="footnote reference"/>
    <w:semiHidden/>
    <w:rPr>
      <w:vertAlign w:val="superscript"/>
    </w:rPr>
  </w:style>
  <w:style w:type="paragraph" w:styleId="ListParagraph">
    <w:name w:val="List Paragraph"/>
    <w:basedOn w:val="Normal"/>
    <w:uiPriority w:val="34"/>
    <w:qFormat/>
    <w:pPr>
      <w:ind w:left="720"/>
      <w:contextualSpacing/>
    </w:pPr>
  </w:style>
  <w:style w:type="paragraph" w:styleId="ListNumber2">
    <w:name w:val="List Number 2"/>
    <w:basedOn w:val="Normal"/>
    <w:pPr>
      <w:numPr>
        <w:numId w:val="2"/>
      </w:numPr>
      <w:contextualSpacing/>
    </w:pPr>
  </w:style>
  <w:style w:type="character" w:customStyle="1" w:styleId="Heading2Char">
    <w:name w:val="Heading 2 Char"/>
    <w:basedOn w:val="DefaultParagraphFont"/>
    <w:link w:val="Heading2"/>
    <w:rPr>
      <w:rFonts w:ascii="Times New Roman Bold" w:eastAsiaTheme="majorEastAsia" w:hAnsi="Times New Roman Bold" w:cstheme="majorBidi"/>
      <w:b/>
      <w:bCs/>
      <w:sz w:val="24"/>
      <w:szCs w:val="26"/>
    </w:rPr>
  </w:style>
  <w:style w:type="character" w:customStyle="1" w:styleId="Heading3Char">
    <w:name w:val="Heading 3 Char"/>
    <w:basedOn w:val="DefaultParagraphFont"/>
    <w:link w:val="Heading3"/>
    <w:rPr>
      <w:rFonts w:ascii="Times New Roman" w:eastAsiaTheme="majorEastAsia" w:hAnsi="Times New Roman" w:cstheme="majorBidi"/>
      <w:bCs/>
      <w:i/>
      <w:sz w:val="24"/>
    </w:rPr>
  </w:style>
  <w:style w:type="character" w:customStyle="1" w:styleId="Heading4Char">
    <w:name w:val="Heading 4 Char"/>
    <w:basedOn w:val="DefaultParagraphFont"/>
    <w:link w:val="Heading4"/>
    <w:rPr>
      <w:rFonts w:ascii="Times New Roman" w:eastAsiaTheme="majorEastAsia" w:hAnsi="Times New Roman" w:cstheme="majorBidi"/>
      <w:bCs/>
      <w:iCs/>
      <w:sz w:val="24"/>
    </w:rPr>
  </w:style>
  <w:style w:type="paragraph" w:styleId="List3">
    <w:name w:val="List 3"/>
    <w:basedOn w:val="Normal"/>
    <w:uiPriority w:val="99"/>
    <w:semiHidden/>
    <w:unhideWhenUsed/>
    <w:pPr>
      <w:ind w:left="849" w:hanging="283"/>
      <w:contextualSpacing/>
    </w:pPr>
  </w:style>
  <w:style w:type="paragraph" w:customStyle="1" w:styleId="Typeacteprincipal">
    <w:name w:val="Type acte principal"/>
    <w:basedOn w:val="Normal"/>
    <w:next w:val="Normal"/>
    <w:pPr>
      <w:spacing w:before="0" w:after="240"/>
      <w:jc w:val="center"/>
    </w:pPr>
    <w:rPr>
      <w:rFonts w:cs="Times New Roman"/>
      <w:b/>
    </w:rPr>
  </w:style>
  <w:style w:type="paragraph" w:customStyle="1" w:styleId="Objetacteprincipal">
    <w:name w:val="Objet acte principal"/>
    <w:basedOn w:val="Normal"/>
    <w:next w:val="Normal"/>
    <w:pPr>
      <w:spacing w:before="0" w:after="360"/>
      <w:jc w:val="center"/>
    </w:pPr>
    <w:rPr>
      <w:rFonts w:cs="Times New Roman"/>
      <w:b/>
    </w:rPr>
  </w:style>
  <w:style w:type="paragraph" w:customStyle="1" w:styleId="Accompagnant">
    <w:name w:val="Accompagnant"/>
    <w:basedOn w:val="Normal"/>
    <w:next w:val="Typeacteprincipal"/>
    <w:pPr>
      <w:spacing w:before="0" w:after="240"/>
      <w:jc w:val="center"/>
    </w:pPr>
    <w:rPr>
      <w:rFonts w:cs="Times New Roman"/>
      <w:b/>
      <w:i/>
    </w:rPr>
  </w:style>
  <w:style w:type="character" w:customStyle="1" w:styleId="Heading5Char">
    <w:name w:val="Heading 5 Char"/>
    <w:basedOn w:val="DefaultParagraphFont"/>
    <w:link w:val="Heading5"/>
    <w:rPr>
      <w:rFonts w:ascii="Verdana" w:eastAsia="Times New Roman" w:hAnsi="Verdana" w:cs="Times New Roman"/>
      <w:b/>
      <w:bCs/>
      <w:i/>
      <w:iCs/>
      <w:sz w:val="26"/>
      <w:szCs w:val="26"/>
      <w:lang w:eastAsia="hu-HU"/>
    </w:rPr>
  </w:style>
  <w:style w:type="character" w:customStyle="1" w:styleId="Heading6Char">
    <w:name w:val="Heading 6 Char"/>
    <w:basedOn w:val="DefaultParagraphFont"/>
    <w:link w:val="Heading6"/>
    <w:rPr>
      <w:rFonts w:ascii="Arial" w:eastAsia="Times New Roman" w:hAnsi="Arial" w:cs="Times New Roman"/>
      <w:b/>
      <w:bCs/>
      <w:szCs w:val="24"/>
      <w:lang w:eastAsia="hu-HU"/>
    </w:rPr>
  </w:style>
  <w:style w:type="character" w:customStyle="1" w:styleId="Heading7Char">
    <w:name w:val="Heading 7 Char"/>
    <w:basedOn w:val="DefaultParagraphFont"/>
    <w:link w:val="Heading7"/>
    <w:rPr>
      <w:rFonts w:ascii="Arial" w:eastAsia="Times New Roman" w:hAnsi="Arial" w:cs="Times New Roman"/>
      <w:sz w:val="24"/>
      <w:szCs w:val="24"/>
      <w:lang w:eastAsia="hu-HU"/>
    </w:rPr>
  </w:style>
  <w:style w:type="character" w:customStyle="1" w:styleId="Heading8Char">
    <w:name w:val="Heading 8 Char"/>
    <w:basedOn w:val="DefaultParagraphFont"/>
    <w:link w:val="Heading8"/>
    <w:rPr>
      <w:rFonts w:ascii="Arial" w:eastAsia="Times New Roman" w:hAnsi="Arial" w:cs="Times New Roman"/>
      <w:i/>
      <w:iCs/>
      <w:sz w:val="24"/>
      <w:szCs w:val="24"/>
      <w:lang w:eastAsia="hu-HU"/>
    </w:rPr>
  </w:style>
  <w:style w:type="character" w:customStyle="1" w:styleId="Heading9Char">
    <w:name w:val="Heading 9 Char"/>
    <w:basedOn w:val="DefaultParagraphFont"/>
    <w:link w:val="Heading9"/>
    <w:rPr>
      <w:rFonts w:ascii="Arial" w:eastAsia="Times New Roman" w:hAnsi="Arial" w:cs="Arial"/>
      <w:szCs w:val="24"/>
      <w:lang w:eastAsia="hu-HU"/>
    </w:rPr>
  </w:style>
  <w:style w:type="paragraph" w:styleId="TOC1">
    <w:name w:val="toc 1"/>
    <w:basedOn w:val="Normal"/>
    <w:next w:val="Normal"/>
    <w:uiPriority w:val="39"/>
    <w:pPr>
      <w:tabs>
        <w:tab w:val="right" w:leader="dot" w:pos="9071"/>
      </w:tabs>
      <w:spacing w:before="60"/>
      <w:ind w:left="850" w:hanging="850"/>
    </w:pPr>
  </w:style>
  <w:style w:type="paragraph" w:styleId="TOC2">
    <w:name w:val="toc 2"/>
    <w:basedOn w:val="Normal"/>
    <w:next w:val="Normal"/>
    <w:uiPriority w:val="39"/>
    <w:pPr>
      <w:tabs>
        <w:tab w:val="right" w:leader="dot" w:pos="9071"/>
      </w:tabs>
      <w:spacing w:before="60"/>
      <w:ind w:left="850" w:hanging="850"/>
    </w:pPr>
  </w:style>
  <w:style w:type="paragraph" w:styleId="TOC3">
    <w:name w:val="toc 3"/>
    <w:basedOn w:val="Normal"/>
    <w:next w:val="Normal"/>
    <w:uiPriority w:val="39"/>
    <w:pPr>
      <w:tabs>
        <w:tab w:val="right" w:leader="dot" w:pos="9071"/>
      </w:tabs>
      <w:spacing w:before="60"/>
      <w:ind w:left="850" w:hanging="850"/>
    </w:pPr>
  </w:style>
  <w:style w:type="paragraph" w:styleId="TOC4">
    <w:name w:val="toc 4"/>
    <w:basedOn w:val="Normal"/>
    <w:next w:val="Normal"/>
    <w:semiHidden/>
    <w:pPr>
      <w:tabs>
        <w:tab w:val="right" w:leader="dot" w:pos="9071"/>
      </w:tabs>
      <w:spacing w:before="60"/>
      <w:ind w:left="850" w:hanging="850"/>
    </w:pPr>
    <w:rPr>
      <w:rFonts w:ascii="Arial" w:eastAsia="Times New Roman" w:hAnsi="Arial" w:cs="Times New Roman"/>
      <w:szCs w:val="24"/>
    </w:rPr>
  </w:style>
  <w:style w:type="paragraph" w:styleId="TOC5">
    <w:name w:val="toc 5"/>
    <w:basedOn w:val="Normal"/>
    <w:next w:val="Normal"/>
    <w:semiHidden/>
    <w:pPr>
      <w:tabs>
        <w:tab w:val="right" w:leader="dot" w:pos="9071"/>
      </w:tabs>
      <w:spacing w:before="300"/>
    </w:pPr>
    <w:rPr>
      <w:rFonts w:ascii="Arial" w:eastAsia="Times New Roman" w:hAnsi="Arial" w:cs="Times New Roman"/>
      <w:szCs w:val="24"/>
    </w:rPr>
  </w:style>
  <w:style w:type="paragraph" w:styleId="TOC6">
    <w:name w:val="toc 6"/>
    <w:basedOn w:val="Normal"/>
    <w:next w:val="Normal"/>
    <w:semiHidden/>
    <w:pPr>
      <w:tabs>
        <w:tab w:val="right" w:leader="dot" w:pos="9071"/>
      </w:tabs>
      <w:spacing w:before="240"/>
    </w:pPr>
  </w:style>
  <w:style w:type="paragraph" w:styleId="TOC7">
    <w:name w:val="toc 7"/>
    <w:basedOn w:val="Normal"/>
    <w:next w:val="Normal"/>
    <w:semiHidden/>
    <w:pPr>
      <w:tabs>
        <w:tab w:val="right" w:leader="dot" w:pos="9071"/>
      </w:tabs>
      <w:spacing w:before="180"/>
    </w:pPr>
    <w:rPr>
      <w:rFonts w:ascii="Arial" w:eastAsia="Times New Roman" w:hAnsi="Arial" w:cs="Times New Roman"/>
      <w:szCs w:val="24"/>
    </w:rPr>
  </w:style>
  <w:style w:type="paragraph" w:styleId="TOC8">
    <w:name w:val="toc 8"/>
    <w:basedOn w:val="Normal"/>
    <w:next w:val="Normal"/>
    <w:semiHidden/>
    <w:pPr>
      <w:tabs>
        <w:tab w:val="right" w:leader="dot" w:pos="9071"/>
      </w:tabs>
    </w:pPr>
    <w:rPr>
      <w:rFonts w:ascii="Arial" w:eastAsia="Times New Roman" w:hAnsi="Arial" w:cs="Times New Roman"/>
      <w:szCs w:val="24"/>
    </w:rPr>
  </w:style>
  <w:style w:type="paragraph" w:styleId="TOC9">
    <w:name w:val="toc 9"/>
    <w:basedOn w:val="Normal"/>
    <w:next w:val="Normal"/>
    <w:semiHidden/>
    <w:pPr>
      <w:tabs>
        <w:tab w:val="right" w:leader="dot" w:pos="9071"/>
      </w:tabs>
    </w:pPr>
    <w:rPr>
      <w:rFonts w:ascii="Arial" w:eastAsia="Times New Roman" w:hAnsi="Arial" w:cs="Times New Roman"/>
      <w:szCs w:val="24"/>
    </w:rPr>
  </w:style>
  <w:style w:type="paragraph" w:customStyle="1" w:styleId="HeaderLandscape">
    <w:name w:val="HeaderLandscape"/>
    <w:basedOn w:val="Normal"/>
    <w:pPr>
      <w:tabs>
        <w:tab w:val="center" w:pos="7285"/>
        <w:tab w:val="right" w:pos="14003"/>
      </w:tabs>
      <w:spacing w:before="0"/>
    </w:pPr>
    <w:rPr>
      <w:rFonts w:ascii="Arial" w:eastAsia="Times New Roman" w:hAnsi="Arial" w:cs="Times New Roman"/>
      <w:szCs w:val="24"/>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ascii="Arial" w:eastAsia="Times New Roman" w:hAnsi="Arial" w:cs="Times New Roman"/>
      <w:szCs w:val="24"/>
    </w:rPr>
  </w:style>
  <w:style w:type="paragraph" w:customStyle="1" w:styleId="Text1">
    <w:name w:val="Text 1"/>
    <w:basedOn w:val="Normal"/>
    <w:pPr>
      <w:ind w:left="850"/>
    </w:pPr>
    <w:rPr>
      <w:rFonts w:ascii="Arial" w:eastAsia="Times New Roman" w:hAnsi="Arial" w:cs="Times New Roman"/>
      <w:szCs w:val="24"/>
    </w:rPr>
  </w:style>
  <w:style w:type="paragraph" w:customStyle="1" w:styleId="Text2">
    <w:name w:val="Text 2"/>
    <w:basedOn w:val="Normal"/>
    <w:pPr>
      <w:ind w:left="1417"/>
    </w:pPr>
    <w:rPr>
      <w:rFonts w:ascii="Arial" w:eastAsia="Times New Roman" w:hAnsi="Arial" w:cs="Times New Roman"/>
      <w:szCs w:val="24"/>
    </w:rPr>
  </w:style>
  <w:style w:type="paragraph" w:customStyle="1" w:styleId="Text3">
    <w:name w:val="Text 3"/>
    <w:basedOn w:val="Normal"/>
    <w:pPr>
      <w:ind w:left="1984"/>
    </w:pPr>
    <w:rPr>
      <w:rFonts w:ascii="Arial" w:eastAsia="Times New Roman" w:hAnsi="Arial" w:cs="Times New Roman"/>
      <w:szCs w:val="24"/>
    </w:rPr>
  </w:style>
  <w:style w:type="paragraph" w:customStyle="1" w:styleId="Text4">
    <w:name w:val="Text 4"/>
    <w:basedOn w:val="Normal"/>
    <w:pPr>
      <w:ind w:left="2551"/>
    </w:pPr>
    <w:rPr>
      <w:rFonts w:ascii="Arial" w:eastAsia="Times New Roman" w:hAnsi="Arial" w:cs="Times New Roman"/>
      <w:szCs w:val="24"/>
    </w:rPr>
  </w:style>
  <w:style w:type="paragraph" w:customStyle="1" w:styleId="NormalCentered">
    <w:name w:val="Normal Centered"/>
    <w:basedOn w:val="Normal"/>
    <w:pPr>
      <w:jc w:val="center"/>
    </w:pPr>
    <w:rPr>
      <w:rFonts w:ascii="Arial" w:eastAsia="Times New Roman" w:hAnsi="Arial" w:cs="Times New Roman"/>
      <w:szCs w:val="24"/>
    </w:rPr>
  </w:style>
  <w:style w:type="paragraph" w:customStyle="1" w:styleId="NormalLeft">
    <w:name w:val="Normal Left"/>
    <w:basedOn w:val="Normal"/>
    <w:rPr>
      <w:rFonts w:ascii="Arial" w:eastAsia="Times New Roman" w:hAnsi="Arial" w:cs="Times New Roman"/>
      <w:szCs w:val="24"/>
    </w:rPr>
  </w:style>
  <w:style w:type="paragraph" w:customStyle="1" w:styleId="NormalRight">
    <w:name w:val="Normal Right"/>
    <w:basedOn w:val="Normal"/>
    <w:pPr>
      <w:jc w:val="right"/>
    </w:pPr>
    <w:rPr>
      <w:rFonts w:ascii="Arial" w:eastAsia="Times New Roman" w:hAnsi="Arial" w:cs="Times New Roman"/>
      <w:szCs w:val="24"/>
    </w:rPr>
  </w:style>
  <w:style w:type="paragraph" w:customStyle="1" w:styleId="QuotedText">
    <w:name w:val="Quoted Text"/>
    <w:basedOn w:val="Normal"/>
    <w:pPr>
      <w:ind w:left="1417"/>
    </w:pPr>
    <w:rPr>
      <w:rFonts w:ascii="Arial" w:eastAsia="Times New Roman" w:hAnsi="Arial" w:cs="Times New Roman"/>
      <w:szCs w:val="24"/>
    </w:rPr>
  </w:style>
  <w:style w:type="paragraph" w:customStyle="1" w:styleId="Point0">
    <w:name w:val="Point 0"/>
    <w:basedOn w:val="Normal"/>
    <w:pPr>
      <w:ind w:left="850" w:hanging="850"/>
    </w:pPr>
    <w:rPr>
      <w:rFonts w:ascii="Arial" w:eastAsia="Times New Roman" w:hAnsi="Arial" w:cs="Times New Roman"/>
      <w:szCs w:val="24"/>
    </w:rPr>
  </w:style>
  <w:style w:type="paragraph" w:customStyle="1" w:styleId="Point1">
    <w:name w:val="Point 1"/>
    <w:basedOn w:val="Normal"/>
    <w:pPr>
      <w:ind w:left="1417" w:hanging="567"/>
    </w:pPr>
    <w:rPr>
      <w:rFonts w:ascii="Arial" w:eastAsia="Times New Roman" w:hAnsi="Arial" w:cs="Times New Roman"/>
      <w:szCs w:val="24"/>
    </w:rPr>
  </w:style>
  <w:style w:type="paragraph" w:customStyle="1" w:styleId="Point2">
    <w:name w:val="Point 2"/>
    <w:basedOn w:val="Normal"/>
    <w:pPr>
      <w:ind w:left="1984" w:hanging="567"/>
    </w:pPr>
    <w:rPr>
      <w:rFonts w:ascii="Arial" w:eastAsia="Times New Roman" w:hAnsi="Arial" w:cs="Times New Roman"/>
      <w:szCs w:val="24"/>
    </w:rPr>
  </w:style>
  <w:style w:type="paragraph" w:customStyle="1" w:styleId="Point3">
    <w:name w:val="Point 3"/>
    <w:basedOn w:val="Normal"/>
    <w:pPr>
      <w:ind w:left="2551" w:hanging="567"/>
    </w:pPr>
    <w:rPr>
      <w:rFonts w:ascii="Arial" w:eastAsia="Times New Roman" w:hAnsi="Arial" w:cs="Times New Roman"/>
      <w:szCs w:val="24"/>
    </w:rPr>
  </w:style>
  <w:style w:type="paragraph" w:customStyle="1" w:styleId="Point4">
    <w:name w:val="Point 4"/>
    <w:basedOn w:val="Normal"/>
    <w:pPr>
      <w:ind w:left="3118" w:hanging="567"/>
    </w:pPr>
    <w:rPr>
      <w:rFonts w:ascii="Arial" w:eastAsia="Times New Roman" w:hAnsi="Arial" w:cs="Times New Roman"/>
      <w:szCs w:val="24"/>
    </w:rPr>
  </w:style>
  <w:style w:type="paragraph" w:customStyle="1" w:styleId="Tiret0">
    <w:name w:val="Tiret 0"/>
    <w:basedOn w:val="Point0"/>
    <w:pPr>
      <w:numPr>
        <w:numId w:val="5"/>
      </w:numPr>
    </w:pPr>
  </w:style>
  <w:style w:type="paragraph" w:customStyle="1" w:styleId="Tiret1">
    <w:name w:val="Tiret 1"/>
    <w:basedOn w:val="Point1"/>
    <w:pPr>
      <w:numPr>
        <w:numId w:val="6"/>
      </w:numPr>
    </w:pPr>
  </w:style>
  <w:style w:type="paragraph" w:customStyle="1" w:styleId="Tiret2">
    <w:name w:val="Tiret 2"/>
    <w:basedOn w:val="Point2"/>
    <w:pPr>
      <w:numPr>
        <w:numId w:val="7"/>
      </w:numPr>
    </w:pPr>
  </w:style>
  <w:style w:type="paragraph" w:customStyle="1" w:styleId="Tiret3">
    <w:name w:val="Tiret 3"/>
    <w:basedOn w:val="Point3"/>
    <w:pPr>
      <w:numPr>
        <w:numId w:val="8"/>
      </w:numPr>
    </w:pPr>
  </w:style>
  <w:style w:type="paragraph" w:customStyle="1" w:styleId="Tiret4">
    <w:name w:val="Tiret 4"/>
    <w:basedOn w:val="Point4"/>
    <w:pPr>
      <w:numPr>
        <w:numId w:val="9"/>
      </w:numPr>
    </w:pPr>
  </w:style>
  <w:style w:type="paragraph" w:customStyle="1" w:styleId="PointDouble0">
    <w:name w:val="PointDouble 0"/>
    <w:basedOn w:val="Normal"/>
    <w:pPr>
      <w:tabs>
        <w:tab w:val="left" w:pos="850"/>
      </w:tabs>
      <w:ind w:left="1417" w:hanging="1417"/>
    </w:pPr>
    <w:rPr>
      <w:rFonts w:ascii="Arial" w:eastAsia="Times New Roman" w:hAnsi="Arial" w:cs="Times New Roman"/>
      <w:szCs w:val="24"/>
    </w:rPr>
  </w:style>
  <w:style w:type="paragraph" w:customStyle="1" w:styleId="PointDouble1">
    <w:name w:val="PointDouble 1"/>
    <w:basedOn w:val="Normal"/>
    <w:pPr>
      <w:tabs>
        <w:tab w:val="left" w:pos="1417"/>
      </w:tabs>
      <w:ind w:left="1984" w:hanging="1134"/>
    </w:pPr>
    <w:rPr>
      <w:rFonts w:ascii="Arial" w:eastAsia="Times New Roman" w:hAnsi="Arial" w:cs="Times New Roman"/>
      <w:szCs w:val="24"/>
    </w:rPr>
  </w:style>
  <w:style w:type="paragraph" w:customStyle="1" w:styleId="PointDouble2">
    <w:name w:val="PointDouble 2"/>
    <w:basedOn w:val="Normal"/>
    <w:pPr>
      <w:tabs>
        <w:tab w:val="left" w:pos="1984"/>
      </w:tabs>
      <w:ind w:left="2551" w:hanging="1134"/>
    </w:pPr>
    <w:rPr>
      <w:rFonts w:ascii="Arial" w:eastAsia="Times New Roman" w:hAnsi="Arial" w:cs="Times New Roman"/>
      <w:szCs w:val="24"/>
    </w:rPr>
  </w:style>
  <w:style w:type="paragraph" w:customStyle="1" w:styleId="PointDouble3">
    <w:name w:val="PointDouble 3"/>
    <w:basedOn w:val="Normal"/>
    <w:pPr>
      <w:tabs>
        <w:tab w:val="left" w:pos="2551"/>
      </w:tabs>
      <w:ind w:left="3118" w:hanging="1134"/>
    </w:pPr>
    <w:rPr>
      <w:rFonts w:ascii="Arial" w:eastAsia="Times New Roman" w:hAnsi="Arial" w:cs="Times New Roman"/>
      <w:szCs w:val="24"/>
    </w:rPr>
  </w:style>
  <w:style w:type="paragraph" w:customStyle="1" w:styleId="PointDouble4">
    <w:name w:val="PointDouble 4"/>
    <w:basedOn w:val="Normal"/>
    <w:pPr>
      <w:tabs>
        <w:tab w:val="left" w:pos="3118"/>
      </w:tabs>
      <w:ind w:left="3685" w:hanging="1134"/>
    </w:pPr>
    <w:rPr>
      <w:rFonts w:ascii="Arial" w:eastAsia="Times New Roman" w:hAnsi="Arial" w:cs="Times New Roman"/>
      <w:szCs w:val="24"/>
    </w:rPr>
  </w:style>
  <w:style w:type="paragraph" w:customStyle="1" w:styleId="PointTriple0">
    <w:name w:val="PointTriple 0"/>
    <w:basedOn w:val="Normal"/>
    <w:pPr>
      <w:tabs>
        <w:tab w:val="left" w:pos="850"/>
        <w:tab w:val="left" w:pos="1417"/>
      </w:tabs>
      <w:ind w:left="1984" w:hanging="1984"/>
    </w:pPr>
    <w:rPr>
      <w:rFonts w:ascii="Arial" w:eastAsia="Times New Roman" w:hAnsi="Arial" w:cs="Times New Roman"/>
      <w:szCs w:val="24"/>
    </w:rPr>
  </w:style>
  <w:style w:type="paragraph" w:customStyle="1" w:styleId="PointTriple1">
    <w:name w:val="PointTriple 1"/>
    <w:basedOn w:val="Normal"/>
    <w:pPr>
      <w:tabs>
        <w:tab w:val="left" w:pos="1417"/>
        <w:tab w:val="left" w:pos="1984"/>
      </w:tabs>
      <w:ind w:left="2551" w:hanging="1701"/>
    </w:pPr>
    <w:rPr>
      <w:rFonts w:ascii="Arial" w:eastAsia="Times New Roman" w:hAnsi="Arial" w:cs="Times New Roman"/>
      <w:szCs w:val="24"/>
    </w:rPr>
  </w:style>
  <w:style w:type="paragraph" w:customStyle="1" w:styleId="PointTriple2">
    <w:name w:val="PointTriple 2"/>
    <w:basedOn w:val="Normal"/>
    <w:pPr>
      <w:tabs>
        <w:tab w:val="left" w:pos="1984"/>
        <w:tab w:val="left" w:pos="2551"/>
      </w:tabs>
      <w:ind w:left="3118" w:hanging="1701"/>
    </w:pPr>
    <w:rPr>
      <w:rFonts w:ascii="Arial" w:eastAsia="Times New Roman" w:hAnsi="Arial" w:cs="Times New Roman"/>
      <w:szCs w:val="24"/>
    </w:rPr>
  </w:style>
  <w:style w:type="paragraph" w:customStyle="1" w:styleId="PointTriple3">
    <w:name w:val="PointTriple 3"/>
    <w:basedOn w:val="Normal"/>
    <w:pPr>
      <w:tabs>
        <w:tab w:val="left" w:pos="2551"/>
        <w:tab w:val="left" w:pos="3118"/>
      </w:tabs>
      <w:ind w:left="3685" w:hanging="1701"/>
    </w:pPr>
    <w:rPr>
      <w:rFonts w:ascii="Arial" w:eastAsia="Times New Roman" w:hAnsi="Arial" w:cs="Times New Roman"/>
      <w:szCs w:val="24"/>
    </w:rPr>
  </w:style>
  <w:style w:type="paragraph" w:customStyle="1" w:styleId="PointTriple4">
    <w:name w:val="PointTriple 4"/>
    <w:basedOn w:val="Normal"/>
    <w:pPr>
      <w:tabs>
        <w:tab w:val="left" w:pos="3118"/>
        <w:tab w:val="left" w:pos="3685"/>
      </w:tabs>
      <w:ind w:left="4252" w:hanging="1701"/>
    </w:pPr>
    <w:rPr>
      <w:rFonts w:ascii="Arial" w:eastAsia="Times New Roman" w:hAnsi="Arial" w:cs="Times New Roman"/>
      <w:szCs w:val="24"/>
    </w:rPr>
  </w:style>
  <w:style w:type="paragraph" w:customStyle="1" w:styleId="NumPar1">
    <w:name w:val="NumPar 1"/>
    <w:basedOn w:val="Normal"/>
    <w:next w:val="Text1"/>
    <w:pPr>
      <w:numPr>
        <w:numId w:val="10"/>
      </w:numPr>
    </w:pPr>
    <w:rPr>
      <w:rFonts w:ascii="Arial" w:eastAsia="Times New Roman" w:hAnsi="Arial" w:cs="Times New Roman"/>
      <w:szCs w:val="24"/>
    </w:rPr>
  </w:style>
  <w:style w:type="paragraph" w:customStyle="1" w:styleId="NumPar2">
    <w:name w:val="NumPar 2"/>
    <w:basedOn w:val="Normal"/>
    <w:next w:val="Text1"/>
    <w:pPr>
      <w:numPr>
        <w:ilvl w:val="1"/>
        <w:numId w:val="10"/>
      </w:numPr>
    </w:pPr>
    <w:rPr>
      <w:rFonts w:ascii="Arial" w:eastAsia="Times New Roman" w:hAnsi="Arial" w:cs="Times New Roman"/>
      <w:szCs w:val="24"/>
    </w:rPr>
  </w:style>
  <w:style w:type="paragraph" w:customStyle="1" w:styleId="NumPar3">
    <w:name w:val="NumPar 3"/>
    <w:basedOn w:val="Normal"/>
    <w:next w:val="Text1"/>
    <w:pPr>
      <w:numPr>
        <w:ilvl w:val="2"/>
        <w:numId w:val="10"/>
      </w:numPr>
    </w:pPr>
    <w:rPr>
      <w:rFonts w:ascii="Arial" w:eastAsia="Times New Roman" w:hAnsi="Arial" w:cs="Times New Roman"/>
      <w:szCs w:val="24"/>
    </w:rPr>
  </w:style>
  <w:style w:type="paragraph" w:customStyle="1" w:styleId="NumPar4">
    <w:name w:val="NumPar 4"/>
    <w:basedOn w:val="Normal"/>
    <w:next w:val="Text1"/>
    <w:pPr>
      <w:numPr>
        <w:ilvl w:val="3"/>
        <w:numId w:val="10"/>
      </w:numPr>
    </w:pPr>
    <w:rPr>
      <w:rFonts w:ascii="Arial" w:eastAsia="Times New Roman" w:hAnsi="Arial" w:cs="Times New Roman"/>
      <w:szCs w:val="24"/>
    </w:rPr>
  </w:style>
  <w:style w:type="paragraph" w:customStyle="1" w:styleId="ManualNumPar1">
    <w:name w:val="Manual NumPar 1"/>
    <w:basedOn w:val="Normal"/>
    <w:next w:val="Text1"/>
    <w:pPr>
      <w:ind w:left="850" w:hanging="850"/>
    </w:pPr>
    <w:rPr>
      <w:rFonts w:ascii="Arial" w:eastAsia="Times New Roman" w:hAnsi="Arial" w:cs="Times New Roman"/>
      <w:szCs w:val="24"/>
    </w:rPr>
  </w:style>
  <w:style w:type="paragraph" w:customStyle="1" w:styleId="ManualNumPar2">
    <w:name w:val="Manual NumPar 2"/>
    <w:basedOn w:val="Normal"/>
    <w:next w:val="Text1"/>
    <w:pPr>
      <w:ind w:left="850" w:hanging="850"/>
    </w:pPr>
    <w:rPr>
      <w:rFonts w:ascii="Arial" w:eastAsia="Times New Roman" w:hAnsi="Arial" w:cs="Times New Roman"/>
      <w:szCs w:val="24"/>
    </w:rPr>
  </w:style>
  <w:style w:type="paragraph" w:customStyle="1" w:styleId="ManualNumPar3">
    <w:name w:val="Manual NumPar 3"/>
    <w:basedOn w:val="Normal"/>
    <w:next w:val="Text1"/>
    <w:pPr>
      <w:ind w:left="850" w:hanging="850"/>
    </w:pPr>
    <w:rPr>
      <w:rFonts w:ascii="Arial" w:eastAsia="Times New Roman" w:hAnsi="Arial" w:cs="Times New Roman"/>
      <w:szCs w:val="24"/>
    </w:rPr>
  </w:style>
  <w:style w:type="paragraph" w:customStyle="1" w:styleId="ManualNumPar4">
    <w:name w:val="Manual NumPar 4"/>
    <w:basedOn w:val="Normal"/>
    <w:next w:val="Text1"/>
    <w:pPr>
      <w:ind w:left="850" w:hanging="850"/>
    </w:pPr>
    <w:rPr>
      <w:rFonts w:ascii="Arial" w:eastAsia="Times New Roman" w:hAnsi="Arial" w:cs="Times New Roman"/>
      <w:szCs w:val="24"/>
    </w:rPr>
  </w:style>
  <w:style w:type="paragraph" w:customStyle="1" w:styleId="QuotedNumPar">
    <w:name w:val="Quoted NumPar"/>
    <w:basedOn w:val="Normal"/>
    <w:pPr>
      <w:ind w:left="1417" w:hanging="567"/>
    </w:pPr>
    <w:rPr>
      <w:rFonts w:ascii="Arial" w:eastAsia="Times New Roman" w:hAnsi="Arial" w:cs="Times New Roman"/>
      <w:szCs w:val="24"/>
    </w:rPr>
  </w:style>
  <w:style w:type="paragraph" w:customStyle="1" w:styleId="ManualHeading1">
    <w:name w:val="Manual Heading 1"/>
    <w:basedOn w:val="Normal"/>
    <w:next w:val="Text1"/>
    <w:pPr>
      <w:keepNext/>
      <w:tabs>
        <w:tab w:val="left" w:pos="850"/>
      </w:tabs>
      <w:spacing w:before="360"/>
      <w:ind w:left="850" w:hanging="850"/>
      <w:outlineLvl w:val="0"/>
    </w:pPr>
    <w:rPr>
      <w:rFonts w:ascii="Arial" w:eastAsia="Times New Roman" w:hAnsi="Arial" w:cs="Times New Roman"/>
      <w:b/>
      <w:smallCaps/>
      <w:szCs w:val="24"/>
    </w:rPr>
  </w:style>
  <w:style w:type="paragraph" w:customStyle="1" w:styleId="ManualHeading2">
    <w:name w:val="Manual Heading 2"/>
    <w:basedOn w:val="Normal"/>
    <w:next w:val="Text1"/>
    <w:pPr>
      <w:keepNext/>
      <w:tabs>
        <w:tab w:val="left" w:pos="850"/>
      </w:tabs>
      <w:ind w:left="850" w:hanging="850"/>
      <w:outlineLvl w:val="1"/>
    </w:pPr>
    <w:rPr>
      <w:rFonts w:ascii="Arial" w:eastAsia="Times New Roman" w:hAnsi="Arial" w:cs="Times New Roman"/>
      <w:b/>
      <w:szCs w:val="24"/>
    </w:rPr>
  </w:style>
  <w:style w:type="paragraph" w:customStyle="1" w:styleId="ManualHeading3">
    <w:name w:val="Manual Heading 3"/>
    <w:basedOn w:val="Normal"/>
    <w:next w:val="Text1"/>
    <w:pPr>
      <w:keepNext/>
      <w:tabs>
        <w:tab w:val="left" w:pos="850"/>
      </w:tabs>
      <w:ind w:left="850" w:hanging="850"/>
      <w:outlineLvl w:val="2"/>
    </w:pPr>
    <w:rPr>
      <w:rFonts w:ascii="Arial" w:eastAsia="Times New Roman" w:hAnsi="Arial" w:cs="Times New Roman"/>
      <w:i/>
      <w:szCs w:val="24"/>
    </w:rPr>
  </w:style>
  <w:style w:type="paragraph" w:customStyle="1" w:styleId="ManualHeading4">
    <w:name w:val="Manual Heading 4"/>
    <w:basedOn w:val="Normal"/>
    <w:next w:val="Text1"/>
    <w:pPr>
      <w:keepNext/>
      <w:tabs>
        <w:tab w:val="left" w:pos="850"/>
      </w:tabs>
      <w:ind w:left="850" w:hanging="850"/>
      <w:outlineLvl w:val="3"/>
    </w:pPr>
    <w:rPr>
      <w:rFonts w:ascii="Arial" w:eastAsia="Times New Roman" w:hAnsi="Arial" w:cs="Times New Roman"/>
      <w:szCs w:val="24"/>
    </w:rPr>
  </w:style>
  <w:style w:type="paragraph" w:customStyle="1" w:styleId="ChapterTitle">
    <w:name w:val="ChapterTitle"/>
    <w:basedOn w:val="Normal"/>
    <w:next w:val="Normal"/>
    <w:pPr>
      <w:keepNext/>
      <w:spacing w:after="360"/>
      <w:jc w:val="center"/>
    </w:pPr>
    <w:rPr>
      <w:rFonts w:ascii="Arial" w:eastAsia="Times New Roman" w:hAnsi="Arial" w:cs="Times New Roman"/>
      <w:b/>
      <w:sz w:val="32"/>
      <w:szCs w:val="24"/>
    </w:rPr>
  </w:style>
  <w:style w:type="paragraph" w:customStyle="1" w:styleId="PartTitle">
    <w:name w:val="PartTitle"/>
    <w:basedOn w:val="Normal"/>
    <w:next w:val="ChapterTitle"/>
    <w:pPr>
      <w:keepNext/>
      <w:pageBreakBefore/>
      <w:spacing w:after="360"/>
      <w:jc w:val="center"/>
    </w:pPr>
    <w:rPr>
      <w:rFonts w:ascii="Arial" w:eastAsia="Times New Roman" w:hAnsi="Arial" w:cs="Times New Roman"/>
      <w:b/>
      <w:sz w:val="36"/>
      <w:szCs w:val="24"/>
    </w:rPr>
  </w:style>
  <w:style w:type="paragraph" w:customStyle="1" w:styleId="SectionTitle">
    <w:name w:val="SectionTitle"/>
    <w:basedOn w:val="Normal"/>
    <w:next w:val="Heading1"/>
    <w:pPr>
      <w:keepNext/>
      <w:spacing w:after="360"/>
      <w:jc w:val="center"/>
    </w:pPr>
    <w:rPr>
      <w:rFonts w:ascii="Arial" w:eastAsia="Times New Roman" w:hAnsi="Arial" w:cs="Times New Roman"/>
      <w:b/>
      <w:smallCaps/>
      <w:sz w:val="28"/>
      <w:szCs w:val="24"/>
    </w:rPr>
  </w:style>
  <w:style w:type="paragraph" w:customStyle="1" w:styleId="TableTitle">
    <w:name w:val="Table Title"/>
    <w:basedOn w:val="Normal"/>
    <w:next w:val="Normal"/>
    <w:pPr>
      <w:jc w:val="center"/>
    </w:pPr>
    <w:rPr>
      <w:rFonts w:ascii="Arial" w:eastAsia="Times New Roman" w:hAnsi="Arial" w:cs="Times New Roman"/>
      <w:b/>
      <w:szCs w:val="24"/>
    </w:rPr>
  </w:style>
  <w:style w:type="character" w:customStyle="1" w:styleId="Marker1">
    <w:name w:val="Marker1"/>
    <w:rPr>
      <w:rFonts w:cs="Times New Roman"/>
      <w:color w:val="008000"/>
      <w:shd w:val="clear" w:color="auto" w:fill="auto"/>
    </w:rPr>
  </w:style>
  <w:style w:type="character" w:customStyle="1" w:styleId="Marker2">
    <w:name w:val="Marker2"/>
    <w:rPr>
      <w:rFonts w:cs="Times New Roman"/>
      <w:color w:val="FF0000"/>
      <w:shd w:val="clear" w:color="auto" w:fill="auto"/>
    </w:rPr>
  </w:style>
  <w:style w:type="paragraph" w:styleId="TOCHeading">
    <w:name w:val="TOC Heading"/>
    <w:basedOn w:val="Normal"/>
    <w:next w:val="Normal"/>
    <w:uiPriority w:val="39"/>
    <w:qFormat/>
    <w:pPr>
      <w:spacing w:after="240"/>
      <w:jc w:val="center"/>
    </w:pPr>
    <w:rPr>
      <w:rFonts w:ascii="Arial" w:eastAsia="Times New Roman" w:hAnsi="Arial" w:cs="Times New Roman"/>
      <w:b/>
      <w:sz w:val="28"/>
      <w:szCs w:val="24"/>
    </w:rPr>
  </w:style>
  <w:style w:type="paragraph" w:customStyle="1" w:styleId="Point0number">
    <w:name w:val="Point 0 (number)"/>
    <w:basedOn w:val="Normal"/>
    <w:pPr>
      <w:numPr>
        <w:numId w:val="12"/>
      </w:numPr>
    </w:pPr>
    <w:rPr>
      <w:rFonts w:ascii="Arial" w:eastAsia="Times New Roman" w:hAnsi="Arial" w:cs="Times New Roman"/>
      <w:szCs w:val="24"/>
    </w:rPr>
  </w:style>
  <w:style w:type="paragraph" w:customStyle="1" w:styleId="Point1number">
    <w:name w:val="Point 1 (number)"/>
    <w:basedOn w:val="Normal"/>
    <w:pPr>
      <w:numPr>
        <w:ilvl w:val="2"/>
        <w:numId w:val="12"/>
      </w:numPr>
    </w:pPr>
    <w:rPr>
      <w:rFonts w:ascii="Arial" w:eastAsia="Times New Roman" w:hAnsi="Arial" w:cs="Times New Roman"/>
      <w:szCs w:val="24"/>
    </w:rPr>
  </w:style>
  <w:style w:type="paragraph" w:customStyle="1" w:styleId="Point2number">
    <w:name w:val="Point 2 (number)"/>
    <w:basedOn w:val="Normal"/>
    <w:pPr>
      <w:numPr>
        <w:ilvl w:val="4"/>
        <w:numId w:val="12"/>
      </w:numPr>
    </w:pPr>
    <w:rPr>
      <w:rFonts w:ascii="Arial" w:eastAsia="Times New Roman" w:hAnsi="Arial" w:cs="Times New Roman"/>
      <w:szCs w:val="24"/>
    </w:rPr>
  </w:style>
  <w:style w:type="paragraph" w:customStyle="1" w:styleId="Point3number">
    <w:name w:val="Point 3 (number)"/>
    <w:basedOn w:val="Normal"/>
    <w:pPr>
      <w:numPr>
        <w:ilvl w:val="6"/>
        <w:numId w:val="12"/>
      </w:numPr>
    </w:pPr>
    <w:rPr>
      <w:rFonts w:ascii="Arial" w:eastAsia="Times New Roman" w:hAnsi="Arial" w:cs="Times New Roman"/>
      <w:szCs w:val="24"/>
    </w:rPr>
  </w:style>
  <w:style w:type="paragraph" w:customStyle="1" w:styleId="Point0letter">
    <w:name w:val="Point 0 (letter)"/>
    <w:basedOn w:val="Normal"/>
    <w:pPr>
      <w:numPr>
        <w:ilvl w:val="1"/>
        <w:numId w:val="12"/>
      </w:numPr>
    </w:pPr>
    <w:rPr>
      <w:rFonts w:ascii="Arial" w:eastAsia="Times New Roman" w:hAnsi="Arial" w:cs="Times New Roman"/>
      <w:szCs w:val="24"/>
    </w:rPr>
  </w:style>
  <w:style w:type="paragraph" w:customStyle="1" w:styleId="Point1letter">
    <w:name w:val="Point 1 (letter)"/>
    <w:basedOn w:val="Normal"/>
    <w:pPr>
      <w:numPr>
        <w:ilvl w:val="3"/>
        <w:numId w:val="12"/>
      </w:numPr>
    </w:pPr>
    <w:rPr>
      <w:rFonts w:ascii="Arial" w:eastAsia="Times New Roman" w:hAnsi="Arial" w:cs="Times New Roman"/>
      <w:szCs w:val="24"/>
    </w:rPr>
  </w:style>
  <w:style w:type="paragraph" w:customStyle="1" w:styleId="Point2letter">
    <w:name w:val="Point 2 (letter)"/>
    <w:basedOn w:val="Normal"/>
    <w:pPr>
      <w:numPr>
        <w:ilvl w:val="5"/>
        <w:numId w:val="12"/>
      </w:numPr>
    </w:pPr>
    <w:rPr>
      <w:rFonts w:ascii="Arial" w:eastAsia="Times New Roman" w:hAnsi="Arial" w:cs="Times New Roman"/>
      <w:szCs w:val="24"/>
    </w:rPr>
  </w:style>
  <w:style w:type="paragraph" w:customStyle="1" w:styleId="Point3letter">
    <w:name w:val="Point 3 (letter)"/>
    <w:basedOn w:val="Normal"/>
    <w:pPr>
      <w:numPr>
        <w:ilvl w:val="7"/>
        <w:numId w:val="12"/>
      </w:numPr>
    </w:pPr>
    <w:rPr>
      <w:rFonts w:ascii="Arial" w:eastAsia="Times New Roman" w:hAnsi="Arial" w:cs="Times New Roman"/>
      <w:szCs w:val="24"/>
    </w:rPr>
  </w:style>
  <w:style w:type="paragraph" w:customStyle="1" w:styleId="Point4letter">
    <w:name w:val="Point 4 (letter)"/>
    <w:basedOn w:val="Normal"/>
    <w:pPr>
      <w:numPr>
        <w:ilvl w:val="8"/>
        <w:numId w:val="12"/>
      </w:numPr>
    </w:pPr>
    <w:rPr>
      <w:rFonts w:ascii="Arial" w:eastAsia="Times New Roman" w:hAnsi="Arial" w:cs="Times New Roman"/>
      <w:szCs w:val="24"/>
    </w:rPr>
  </w:style>
  <w:style w:type="paragraph" w:customStyle="1" w:styleId="Bullet0">
    <w:name w:val="Bullet 0"/>
    <w:basedOn w:val="Normal"/>
    <w:pPr>
      <w:numPr>
        <w:numId w:val="13"/>
      </w:numPr>
    </w:pPr>
    <w:rPr>
      <w:rFonts w:ascii="Arial" w:eastAsia="Times New Roman" w:hAnsi="Arial" w:cs="Times New Roman"/>
      <w:szCs w:val="24"/>
    </w:rPr>
  </w:style>
  <w:style w:type="paragraph" w:customStyle="1" w:styleId="Bullet1">
    <w:name w:val="Bullet 1"/>
    <w:basedOn w:val="Normal"/>
    <w:pPr>
      <w:numPr>
        <w:numId w:val="14"/>
      </w:numPr>
    </w:pPr>
    <w:rPr>
      <w:rFonts w:ascii="Arial" w:eastAsia="Times New Roman" w:hAnsi="Arial" w:cs="Times New Roman"/>
      <w:szCs w:val="24"/>
    </w:rPr>
  </w:style>
  <w:style w:type="paragraph" w:customStyle="1" w:styleId="Bullet2">
    <w:name w:val="Bullet 2"/>
    <w:basedOn w:val="Normal"/>
    <w:pPr>
      <w:numPr>
        <w:numId w:val="15"/>
      </w:numPr>
    </w:pPr>
    <w:rPr>
      <w:rFonts w:ascii="Arial" w:eastAsia="Times New Roman" w:hAnsi="Arial" w:cs="Times New Roman"/>
      <w:szCs w:val="24"/>
    </w:rPr>
  </w:style>
  <w:style w:type="paragraph" w:customStyle="1" w:styleId="Bullet3">
    <w:name w:val="Bullet 3"/>
    <w:basedOn w:val="Normal"/>
    <w:pPr>
      <w:numPr>
        <w:numId w:val="16"/>
      </w:numPr>
    </w:pPr>
    <w:rPr>
      <w:rFonts w:ascii="Arial" w:eastAsia="Times New Roman" w:hAnsi="Arial" w:cs="Times New Roman"/>
      <w:szCs w:val="24"/>
    </w:rPr>
  </w:style>
  <w:style w:type="paragraph" w:customStyle="1" w:styleId="Bullet4">
    <w:name w:val="Bullet 4"/>
    <w:basedOn w:val="Normal"/>
    <w:pPr>
      <w:numPr>
        <w:numId w:val="17"/>
      </w:numPr>
    </w:pPr>
    <w:rPr>
      <w:rFonts w:ascii="Arial" w:eastAsia="Times New Roman" w:hAnsi="Arial" w:cs="Times New Roman"/>
      <w:szCs w:val="24"/>
    </w:rPr>
  </w:style>
  <w:style w:type="paragraph" w:customStyle="1" w:styleId="Annexetitreexpos">
    <w:name w:val="Annexe titre (exposé)"/>
    <w:basedOn w:val="Normal"/>
    <w:next w:val="Normal"/>
    <w:pPr>
      <w:jc w:val="center"/>
    </w:pPr>
    <w:rPr>
      <w:rFonts w:ascii="Arial" w:eastAsia="Times New Roman" w:hAnsi="Arial" w:cs="Times New Roman"/>
      <w:b/>
      <w:szCs w:val="24"/>
      <w:u w:val="single"/>
    </w:rPr>
  </w:style>
  <w:style w:type="paragraph" w:customStyle="1" w:styleId="Annexetitre">
    <w:name w:val="Annexe titre"/>
    <w:basedOn w:val="Normal"/>
    <w:next w:val="Normal"/>
    <w:pPr>
      <w:jc w:val="center"/>
    </w:pPr>
    <w:rPr>
      <w:rFonts w:ascii="Arial" w:eastAsia="Times New Roman" w:hAnsi="Arial" w:cs="Times New Roman"/>
      <w:b/>
      <w:szCs w:val="24"/>
      <w:u w:val="single"/>
    </w:rPr>
  </w:style>
  <w:style w:type="paragraph" w:customStyle="1" w:styleId="Annexetitrefichefinancire">
    <w:name w:val="Annexe titre (fiche financière)"/>
    <w:basedOn w:val="Normal"/>
    <w:next w:val="Normal"/>
    <w:pPr>
      <w:jc w:val="center"/>
    </w:pPr>
    <w:rPr>
      <w:rFonts w:ascii="Arial" w:eastAsia="Times New Roman" w:hAnsi="Arial" w:cs="Times New Roman"/>
      <w:b/>
      <w:szCs w:val="24"/>
      <w:u w:val="single"/>
    </w:rPr>
  </w:style>
  <w:style w:type="paragraph" w:customStyle="1" w:styleId="Applicationdirecte">
    <w:name w:val="Application directe"/>
    <w:basedOn w:val="Normal"/>
    <w:next w:val="Fait"/>
    <w:pPr>
      <w:spacing w:before="480"/>
    </w:pPr>
    <w:rPr>
      <w:rFonts w:ascii="Arial" w:eastAsia="Times New Roman" w:hAnsi="Arial" w:cs="Times New Roman"/>
      <w:szCs w:val="24"/>
    </w:rPr>
  </w:style>
  <w:style w:type="paragraph" w:customStyle="1" w:styleId="Avertissementtitre">
    <w:name w:val="Avertissement titre"/>
    <w:basedOn w:val="Normal"/>
    <w:next w:val="Normal"/>
    <w:pPr>
      <w:keepNext/>
      <w:spacing w:before="480"/>
    </w:pPr>
    <w:rPr>
      <w:rFonts w:ascii="Arial" w:eastAsia="Times New Roman" w:hAnsi="Arial" w:cs="Times New Roman"/>
      <w:szCs w:val="24"/>
      <w:u w:val="single"/>
    </w:rPr>
  </w:style>
  <w:style w:type="paragraph" w:customStyle="1" w:styleId="Confidence">
    <w:name w:val="Confidence"/>
    <w:basedOn w:val="Normal"/>
    <w:next w:val="Normal"/>
    <w:pPr>
      <w:spacing w:before="360"/>
      <w:jc w:val="center"/>
    </w:pPr>
    <w:rPr>
      <w:rFonts w:ascii="Arial" w:eastAsia="Times New Roman" w:hAnsi="Arial" w:cs="Times New Roman"/>
      <w:szCs w:val="24"/>
    </w:rPr>
  </w:style>
  <w:style w:type="paragraph" w:customStyle="1" w:styleId="Confidentialit">
    <w:name w:val="Confidentialité"/>
    <w:basedOn w:val="Normal"/>
    <w:next w:val="TypedudocumentPagedecouverture"/>
    <w:pPr>
      <w:spacing w:before="240" w:after="240"/>
      <w:ind w:left="5103"/>
    </w:pPr>
    <w:rPr>
      <w:rFonts w:ascii="Arial" w:eastAsia="Times New Roman" w:hAnsi="Arial" w:cs="Times New Roman"/>
      <w:i/>
      <w:sz w:val="32"/>
      <w:szCs w:val="24"/>
    </w:rPr>
  </w:style>
  <w:style w:type="paragraph" w:customStyle="1" w:styleId="Considrant">
    <w:name w:val="Considérant"/>
    <w:basedOn w:val="Normal"/>
    <w:pPr>
      <w:numPr>
        <w:numId w:val="18"/>
      </w:numPr>
    </w:pPr>
    <w:rPr>
      <w:rFonts w:ascii="Arial" w:eastAsia="Times New Roman" w:hAnsi="Arial" w:cs="Times New Roman"/>
      <w:szCs w:val="24"/>
    </w:rPr>
  </w:style>
  <w:style w:type="paragraph" w:customStyle="1" w:styleId="Corrigendum">
    <w:name w:val="Corrigendum"/>
    <w:basedOn w:val="Normal"/>
    <w:next w:val="Normal"/>
    <w:pPr>
      <w:spacing w:before="0" w:after="240"/>
    </w:pPr>
    <w:rPr>
      <w:rFonts w:ascii="Arial" w:eastAsia="Times New Roman" w:hAnsi="Arial" w:cs="Times New Roman"/>
      <w:szCs w:val="24"/>
    </w:rPr>
  </w:style>
  <w:style w:type="paragraph" w:customStyle="1" w:styleId="Datedadoption">
    <w:name w:val="Date d'adoption"/>
    <w:basedOn w:val="Normal"/>
    <w:next w:val="Titreobjet"/>
    <w:pPr>
      <w:spacing w:before="360" w:after="0"/>
      <w:jc w:val="center"/>
    </w:pPr>
    <w:rPr>
      <w:rFonts w:ascii="Arial" w:eastAsia="Times New Roman" w:hAnsi="Arial" w:cs="Times New Roman"/>
      <w:b/>
      <w:szCs w:val="24"/>
    </w:rPr>
  </w:style>
  <w:style w:type="paragraph" w:customStyle="1" w:styleId="Emission">
    <w:name w:val="Emission"/>
    <w:basedOn w:val="Normal"/>
    <w:next w:val="Rfrenceinstitutionnelle"/>
    <w:pPr>
      <w:spacing w:before="0" w:after="0"/>
      <w:ind w:left="5103"/>
    </w:pPr>
    <w:rPr>
      <w:rFonts w:ascii="Arial" w:eastAsia="Times New Roman" w:hAnsi="Arial" w:cs="Times New Roman"/>
      <w:szCs w:val="24"/>
    </w:rPr>
  </w:style>
  <w:style w:type="paragraph" w:customStyle="1" w:styleId="Exposdesmotifstitre">
    <w:name w:val="Exposé des motifs titre"/>
    <w:basedOn w:val="Normal"/>
    <w:next w:val="Normal"/>
    <w:pPr>
      <w:jc w:val="center"/>
    </w:pPr>
    <w:rPr>
      <w:rFonts w:ascii="Arial" w:eastAsia="Times New Roman" w:hAnsi="Arial" w:cs="Times New Roman"/>
      <w:b/>
      <w:szCs w:val="24"/>
      <w:u w:val="single"/>
    </w:rPr>
  </w:style>
  <w:style w:type="paragraph" w:customStyle="1" w:styleId="Fait">
    <w:name w:val="Fait à"/>
    <w:basedOn w:val="Normal"/>
    <w:next w:val="Institutionquisigne"/>
    <w:pPr>
      <w:keepNext/>
      <w:spacing w:after="0"/>
    </w:pPr>
    <w:rPr>
      <w:rFonts w:ascii="Arial" w:eastAsia="Times New Roman" w:hAnsi="Arial" w:cs="Times New Roman"/>
      <w:szCs w:val="24"/>
    </w:rPr>
  </w:style>
  <w:style w:type="paragraph" w:customStyle="1" w:styleId="Formuledadoption">
    <w:name w:val="Formule d'adoption"/>
    <w:basedOn w:val="Normal"/>
    <w:next w:val="Titrearticle"/>
    <w:pPr>
      <w:keepNext/>
    </w:pPr>
    <w:rPr>
      <w:rFonts w:ascii="Arial" w:eastAsia="Times New Roman" w:hAnsi="Arial" w:cs="Times New Roman"/>
      <w:szCs w:val="24"/>
    </w:rPr>
  </w:style>
  <w:style w:type="paragraph" w:customStyle="1" w:styleId="Institutionquiagit">
    <w:name w:val="Institution qui agit"/>
    <w:basedOn w:val="Normal"/>
    <w:next w:val="Normal"/>
    <w:pPr>
      <w:keepNext/>
      <w:spacing w:before="600"/>
    </w:pPr>
    <w:rPr>
      <w:rFonts w:ascii="Arial" w:eastAsia="Times New Roman" w:hAnsi="Arial" w:cs="Times New Roman"/>
      <w:szCs w:val="24"/>
    </w:rPr>
  </w:style>
  <w:style w:type="paragraph" w:customStyle="1" w:styleId="Institutionquisigne">
    <w:name w:val="Institution qui signe"/>
    <w:basedOn w:val="Normal"/>
    <w:next w:val="Personnequisigne"/>
    <w:pPr>
      <w:keepNext/>
      <w:tabs>
        <w:tab w:val="left" w:pos="4252"/>
      </w:tabs>
      <w:spacing w:before="720" w:after="0"/>
    </w:pPr>
    <w:rPr>
      <w:rFonts w:ascii="Arial" w:eastAsia="Times New Roman" w:hAnsi="Arial" w:cs="Times New Roman"/>
      <w:i/>
      <w:szCs w:val="24"/>
    </w:rPr>
  </w:style>
  <w:style w:type="paragraph" w:customStyle="1" w:styleId="Langue">
    <w:name w:val="Langue"/>
    <w:basedOn w:val="Normal"/>
    <w:next w:val="Rfrenceinterne"/>
    <w:pPr>
      <w:framePr w:wrap="around" w:vAnchor="page" w:hAnchor="text" w:xAlign="center" w:y="14741"/>
      <w:spacing w:before="0" w:after="600"/>
      <w:jc w:val="center"/>
    </w:pPr>
    <w:rPr>
      <w:rFonts w:ascii="Arial" w:eastAsia="Times New Roman" w:hAnsi="Arial" w:cs="Times New Roman"/>
      <w:b/>
      <w:caps/>
      <w:szCs w:val="24"/>
    </w:rPr>
  </w:style>
  <w:style w:type="paragraph" w:customStyle="1" w:styleId="ManualConsidrant">
    <w:name w:val="Manual Considérant"/>
    <w:basedOn w:val="Normal"/>
    <w:pPr>
      <w:ind w:left="709" w:hanging="709"/>
    </w:pPr>
    <w:rPr>
      <w:rFonts w:ascii="Arial" w:eastAsia="Times New Roman" w:hAnsi="Arial" w:cs="Times New Roman"/>
      <w:szCs w:val="24"/>
    </w:rPr>
  </w:style>
  <w:style w:type="paragraph" w:customStyle="1" w:styleId="Nomdelinstitution">
    <w:name w:val="Nom de l'institution"/>
    <w:basedOn w:val="Normal"/>
    <w:next w:val="Emission"/>
    <w:pPr>
      <w:spacing w:before="0" w:after="0"/>
    </w:pPr>
    <w:rPr>
      <w:rFonts w:ascii="Arial" w:eastAsia="Times New Roman" w:hAnsi="Arial" w:cs="Arial"/>
      <w:szCs w:val="24"/>
    </w:rPr>
  </w:style>
  <w:style w:type="paragraph" w:customStyle="1" w:styleId="Personnequisigne">
    <w:name w:val="Personne qui signe"/>
    <w:basedOn w:val="Normal"/>
    <w:next w:val="Institutionquisigne"/>
    <w:pPr>
      <w:tabs>
        <w:tab w:val="left" w:pos="4252"/>
      </w:tabs>
      <w:spacing w:before="0" w:after="0"/>
    </w:pPr>
    <w:rPr>
      <w:rFonts w:ascii="Arial" w:eastAsia="Times New Roman" w:hAnsi="Arial" w:cs="Times New Roman"/>
      <w:i/>
      <w:szCs w:val="24"/>
    </w:rPr>
  </w:style>
  <w:style w:type="paragraph" w:customStyle="1" w:styleId="Rfrenceinstitutionnelle">
    <w:name w:val="Référence institutionnelle"/>
    <w:basedOn w:val="Normal"/>
    <w:next w:val="Confidentialit"/>
    <w:pPr>
      <w:spacing w:before="0" w:after="240"/>
      <w:ind w:left="5103"/>
    </w:pPr>
    <w:rPr>
      <w:rFonts w:ascii="Arial" w:eastAsia="Times New Roman" w:hAnsi="Arial" w:cs="Times New Roman"/>
      <w:szCs w:val="24"/>
    </w:rPr>
  </w:style>
  <w:style w:type="paragraph" w:customStyle="1" w:styleId="Rfrenceinterinstitutionnelle">
    <w:name w:val="Référence interinstitutionnelle"/>
    <w:basedOn w:val="Normal"/>
    <w:next w:val="Statut"/>
    <w:pPr>
      <w:spacing w:before="0" w:after="0"/>
      <w:ind w:left="5103"/>
    </w:pPr>
    <w:rPr>
      <w:rFonts w:ascii="Arial" w:eastAsia="Times New Roman" w:hAnsi="Arial" w:cs="Times New Roman"/>
      <w:szCs w:val="24"/>
    </w:rPr>
  </w:style>
  <w:style w:type="paragraph" w:customStyle="1" w:styleId="Rfrenceinterne">
    <w:name w:val="Référence interne"/>
    <w:basedOn w:val="Normal"/>
    <w:next w:val="Rfrenceinterinstitutionnelle"/>
    <w:pPr>
      <w:spacing w:before="0" w:after="0"/>
      <w:ind w:left="5103"/>
    </w:pPr>
    <w:rPr>
      <w:rFonts w:ascii="Arial" w:eastAsia="Times New Roman" w:hAnsi="Arial" w:cs="Times New Roman"/>
      <w:szCs w:val="24"/>
    </w:rPr>
  </w:style>
  <w:style w:type="paragraph" w:customStyle="1" w:styleId="Sous-titreobjet">
    <w:name w:val="Sous-titre objet"/>
    <w:basedOn w:val="Normal"/>
    <w:pPr>
      <w:spacing w:before="0" w:after="0"/>
      <w:jc w:val="center"/>
    </w:pPr>
    <w:rPr>
      <w:rFonts w:ascii="Arial" w:eastAsia="Times New Roman" w:hAnsi="Arial" w:cs="Times New Roman"/>
      <w:b/>
      <w:szCs w:val="24"/>
    </w:rPr>
  </w:style>
  <w:style w:type="paragraph" w:customStyle="1" w:styleId="Statut">
    <w:name w:val="Statut"/>
    <w:basedOn w:val="Normal"/>
    <w:next w:val="Typedudocument"/>
    <w:pPr>
      <w:spacing w:before="360" w:after="0"/>
      <w:jc w:val="center"/>
    </w:pPr>
    <w:rPr>
      <w:rFonts w:ascii="Arial" w:eastAsia="Times New Roman" w:hAnsi="Arial" w:cs="Times New Roman"/>
      <w:szCs w:val="24"/>
    </w:rPr>
  </w:style>
  <w:style w:type="paragraph" w:customStyle="1" w:styleId="Titrearticle">
    <w:name w:val="Titre article"/>
    <w:basedOn w:val="Normal"/>
    <w:next w:val="Normal"/>
    <w:pPr>
      <w:keepNext/>
      <w:spacing w:before="360"/>
      <w:jc w:val="center"/>
    </w:pPr>
    <w:rPr>
      <w:rFonts w:ascii="Arial" w:eastAsia="Times New Roman" w:hAnsi="Arial" w:cs="Times New Roman"/>
      <w:i/>
      <w:szCs w:val="24"/>
    </w:rPr>
  </w:style>
  <w:style w:type="character" w:customStyle="1" w:styleId="Added">
    <w:name w:val="Added"/>
    <w:rPr>
      <w:rFonts w:cs="Times New Roman"/>
      <w:b/>
      <w:u w:val="single"/>
      <w:shd w:val="clear" w:color="auto" w:fill="auto"/>
    </w:rPr>
  </w:style>
  <w:style w:type="character" w:customStyle="1" w:styleId="Deleted">
    <w:name w:val="Deleted"/>
    <w:rPr>
      <w:rFonts w:cs="Times New Roman"/>
      <w:strike/>
      <w:shd w:val="clear" w:color="auto" w:fill="auto"/>
    </w:rPr>
  </w:style>
  <w:style w:type="paragraph" w:customStyle="1" w:styleId="Address">
    <w:name w:val="Address"/>
    <w:basedOn w:val="Normal"/>
    <w:next w:val="Normal"/>
    <w:pPr>
      <w:keepLines/>
      <w:spacing w:line="360" w:lineRule="auto"/>
      <w:ind w:left="3402"/>
    </w:pPr>
    <w:rPr>
      <w:rFonts w:ascii="Arial" w:eastAsia="Times New Roman" w:hAnsi="Arial" w:cs="Times New Roman"/>
      <w:szCs w:val="24"/>
    </w:rPr>
  </w:style>
  <w:style w:type="paragraph" w:customStyle="1" w:styleId="Objetexterne">
    <w:name w:val="Objet externe"/>
    <w:basedOn w:val="Normal"/>
    <w:next w:val="Normal"/>
    <w:rPr>
      <w:rFonts w:ascii="Arial" w:eastAsia="Times New Roman" w:hAnsi="Arial" w:cs="Times New Roman"/>
      <w:i/>
      <w:caps/>
      <w:szCs w:val="24"/>
    </w:rPr>
  </w:style>
  <w:style w:type="paragraph" w:customStyle="1" w:styleId="Supertitre">
    <w:name w:val="Supertitre"/>
    <w:basedOn w:val="Normal"/>
    <w:next w:val="Normal"/>
    <w:pPr>
      <w:spacing w:before="0" w:after="600"/>
      <w:jc w:val="center"/>
    </w:pPr>
    <w:rPr>
      <w:rFonts w:ascii="Arial" w:eastAsia="Times New Roman" w:hAnsi="Arial" w:cs="Times New Roman"/>
      <w:b/>
      <w:szCs w:val="24"/>
    </w:rPr>
  </w:style>
  <w:style w:type="paragraph" w:customStyle="1" w:styleId="Languesfaisantfoi">
    <w:name w:val="Langues faisant foi"/>
    <w:basedOn w:val="Normal"/>
    <w:next w:val="Normal"/>
    <w:pPr>
      <w:spacing w:before="360" w:after="0"/>
      <w:jc w:val="center"/>
    </w:pPr>
    <w:rPr>
      <w:rFonts w:ascii="Arial" w:eastAsia="Times New Roman" w:hAnsi="Arial" w:cs="Times New Roman"/>
      <w:szCs w:val="24"/>
    </w:rPr>
  </w:style>
  <w:style w:type="paragraph" w:customStyle="1" w:styleId="Rfrencecroise">
    <w:name w:val="Référence croisée"/>
    <w:basedOn w:val="Normal"/>
    <w:pPr>
      <w:spacing w:before="0" w:after="0"/>
      <w:jc w:val="center"/>
    </w:pPr>
    <w:rPr>
      <w:rFonts w:ascii="Arial" w:eastAsia="Times New Roman" w:hAnsi="Arial" w:cs="Times New Roman"/>
      <w:szCs w:val="24"/>
    </w:rPr>
  </w:style>
  <w:style w:type="paragraph" w:customStyle="1" w:styleId="Fichefinanciretitre">
    <w:name w:val="Fiche financière titre"/>
    <w:basedOn w:val="Normal"/>
    <w:next w:val="Normal"/>
    <w:pPr>
      <w:jc w:val="center"/>
    </w:pPr>
    <w:rPr>
      <w:rFonts w:ascii="Arial" w:eastAsia="Times New Roman" w:hAnsi="Arial" w:cs="Times New Roman"/>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rPr>
      <w:rFonts w:ascii="Arial" w:eastAsia="Times New Roman" w:hAnsi="Arial"/>
      <w:szCs w:val="24"/>
    </w:rPr>
  </w:style>
  <w:style w:type="paragraph" w:customStyle="1" w:styleId="TypedudocumentPagedecouverture">
    <w:name w:val="Type du document (Page de couverture)"/>
    <w:basedOn w:val="Typedudocument"/>
    <w:next w:val="TitreobjetPagedecouverture"/>
    <w:rPr>
      <w:rFonts w:ascii="Arial" w:eastAsia="Times New Roman" w:hAnsi="Arial"/>
      <w:szCs w:val="24"/>
    </w:rPr>
  </w:style>
  <w:style w:type="paragraph" w:customStyle="1" w:styleId="Volume">
    <w:name w:val="Volume"/>
    <w:basedOn w:val="Normal"/>
    <w:next w:val="Confidentialit"/>
    <w:pPr>
      <w:spacing w:before="0" w:after="240"/>
      <w:ind w:left="5103"/>
    </w:pPr>
    <w:rPr>
      <w:rFonts w:ascii="Arial" w:eastAsia="Times New Roman" w:hAnsi="Arial" w:cs="Times New Roman"/>
      <w:szCs w:val="24"/>
    </w:r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rPr>
      <w:rFonts w:ascii="Arial" w:eastAsia="Times New Roman" w:hAnsi="Arial"/>
      <w:szCs w:val="24"/>
    </w:rPr>
  </w:style>
  <w:style w:type="paragraph" w:customStyle="1" w:styleId="TypeacteprincipalPagedecouverture">
    <w:name w:val="Type acte principal (Page de couverture)"/>
    <w:basedOn w:val="Typeacteprincipal"/>
    <w:next w:val="ObjetacteprincipalPagedecouverture"/>
    <w:rPr>
      <w:rFonts w:ascii="Arial" w:eastAsia="Times New Roman" w:hAnsi="Arial"/>
      <w:szCs w:val="24"/>
    </w:rPr>
  </w:style>
  <w:style w:type="paragraph" w:customStyle="1" w:styleId="ObjetacteprincipalPagedecouverture">
    <w:name w:val="Objet acte principal (Page de couverture)"/>
    <w:basedOn w:val="Objetacteprincipal"/>
    <w:next w:val="Rfrencecroise"/>
    <w:rPr>
      <w:rFonts w:ascii="Arial" w:eastAsia="Times New Roman" w:hAnsi="Arial"/>
      <w:szCs w:val="24"/>
    </w:rPr>
  </w:style>
  <w:style w:type="paragraph" w:customStyle="1" w:styleId="LanguesfaisantfoiPagedecouverture">
    <w:name w:val="Langues faisant foi (Page de couverture)"/>
    <w:basedOn w:val="Normal"/>
    <w:next w:val="Normal"/>
    <w:pPr>
      <w:spacing w:before="360" w:after="0"/>
      <w:jc w:val="center"/>
    </w:pPr>
    <w:rPr>
      <w:rFonts w:ascii="Arial" w:eastAsia="Times New Roman" w:hAnsi="Arial" w:cs="Times New Roman"/>
      <w:szCs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Pr>
      <w:rFonts w:cs="Times New Roman"/>
      <w:shd w:val="clear" w:color="auto" w:fill="auto"/>
    </w:rPr>
  </w:style>
  <w:style w:type="character" w:styleId="Hyperlink">
    <w:name w:val="Hyperlink"/>
    <w:uiPriority w:val="99"/>
    <w:rPr>
      <w:color w:val="0000FF"/>
      <w:u w:val="single"/>
    </w:rPr>
  </w:style>
  <w:style w:type="paragraph" w:customStyle="1" w:styleId="HEADERCHAPTER1">
    <w:name w:val="HEADER CHAPTER 1"/>
    <w:basedOn w:val="Normal"/>
    <w:semiHidden/>
    <w:pPr>
      <w:numPr>
        <w:numId w:val="20"/>
      </w:numPr>
      <w:spacing w:before="240" w:after="240"/>
    </w:pPr>
    <w:rPr>
      <w:rFonts w:ascii="Verdana" w:eastAsia="Times New Roman" w:hAnsi="Verdana" w:cs="Times New Roman"/>
      <w:b/>
      <w:caps/>
      <w:sz w:val="22"/>
      <w:szCs w:val="24"/>
    </w:rPr>
  </w:style>
  <w:style w:type="paragraph" w:customStyle="1" w:styleId="StyleVerdana10ptCentered">
    <w:name w:val="Style Verdana 10 pt Centered"/>
    <w:basedOn w:val="Normal"/>
    <w:semiHidden/>
    <w:pPr>
      <w:numPr>
        <w:numId w:val="19"/>
      </w:numPr>
      <w:spacing w:before="0" w:after="0"/>
      <w:jc w:val="center"/>
    </w:pPr>
    <w:rPr>
      <w:rFonts w:ascii="Verdana" w:eastAsia="Times New Roman" w:hAnsi="Verdana" w:cs="Times New Roman"/>
      <w:sz w:val="20"/>
      <w:szCs w:val="20"/>
    </w:rPr>
  </w:style>
  <w:style w:type="paragraph" w:customStyle="1" w:styleId="Text">
    <w:name w:val="Text"/>
    <w:basedOn w:val="Normal"/>
    <w:pPr>
      <w:spacing w:before="0" w:after="0"/>
    </w:pPr>
    <w:rPr>
      <w:rFonts w:ascii="Arial" w:eastAsia="Times New Roman" w:hAnsi="Arial" w:cs="Arial"/>
      <w:sz w:val="22"/>
    </w:rPr>
  </w:style>
  <w:style w:type="paragraph" w:styleId="NormalWeb">
    <w:name w:val="Normal (Web)"/>
    <w:basedOn w:val="Normal"/>
    <w:uiPriority w:val="99"/>
    <w:rPr>
      <w:rFonts w:ascii="Arial" w:eastAsia="Times New Roman" w:hAnsi="Arial" w:cs="Times New Roman"/>
      <w:szCs w:val="24"/>
    </w:rPr>
  </w:style>
  <w:style w:type="character" w:customStyle="1" w:styleId="welcomebodytext">
    <w:name w:val="welcomebodytex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M4">
    <w:name w:val="CM4"/>
    <w:basedOn w:val="Default"/>
    <w:next w:val="Default"/>
    <w:rPr>
      <w:rFonts w:ascii="EUAlbertina" w:hAnsi="EUAlbertina" w:cs="Times New Roman"/>
      <w:color w:val="auto"/>
    </w:rPr>
  </w:style>
  <w:style w:type="paragraph" w:customStyle="1" w:styleId="CM1">
    <w:name w:val="CM1"/>
    <w:basedOn w:val="Default"/>
    <w:next w:val="Default"/>
    <w:rPr>
      <w:rFonts w:ascii="EUAlbertina" w:hAnsi="EUAlbertina" w:cs="Times New Roman"/>
      <w:color w:val="auto"/>
    </w:rPr>
  </w:style>
  <w:style w:type="paragraph" w:customStyle="1" w:styleId="ListBullet1">
    <w:name w:val="List Bullet 1"/>
    <w:basedOn w:val="Normal"/>
    <w:pPr>
      <w:numPr>
        <w:numId w:val="21"/>
      </w:numPr>
    </w:pPr>
    <w:rPr>
      <w:rFonts w:ascii="Arial" w:eastAsia="Times New Roman" w:hAnsi="Arial" w:cs="Times New Roman"/>
      <w:szCs w:val="24"/>
    </w:rPr>
  </w:style>
  <w:style w:type="paragraph" w:customStyle="1" w:styleId="ListDash1">
    <w:name w:val="List Dash 1"/>
    <w:basedOn w:val="Normal"/>
    <w:pPr>
      <w:numPr>
        <w:numId w:val="22"/>
      </w:numPr>
    </w:pPr>
    <w:rPr>
      <w:rFonts w:ascii="Arial" w:eastAsia="Times New Roman" w:hAnsi="Arial" w:cs="Times New Roman"/>
      <w:szCs w:val="24"/>
    </w:rPr>
  </w:style>
  <w:style w:type="paragraph" w:styleId="Caption">
    <w:name w:val="caption"/>
    <w:basedOn w:val="Normal"/>
    <w:next w:val="Normal"/>
    <w:qFormat/>
    <w:rPr>
      <w:rFonts w:ascii="Arial" w:eastAsia="Times New Roman" w:hAnsi="Arial" w:cs="Times New Roman"/>
      <w:b/>
      <w:bCs/>
      <w:sz w:val="20"/>
      <w:szCs w:val="20"/>
    </w:rPr>
  </w:style>
  <w:style w:type="paragraph" w:styleId="TableofFigures">
    <w:name w:val="table of figures"/>
    <w:basedOn w:val="Normal"/>
    <w:next w:val="Normal"/>
    <w:semiHidden/>
    <w:rPr>
      <w:rFonts w:ascii="Arial" w:eastAsia="Times New Roman" w:hAnsi="Arial" w:cs="Times New Roman"/>
      <w:szCs w:val="24"/>
    </w:rPr>
  </w:style>
  <w:style w:type="paragraph" w:styleId="ListBullet">
    <w:name w:val="List Bullet"/>
    <w:basedOn w:val="Normal"/>
    <w:pPr>
      <w:numPr>
        <w:numId w:val="23"/>
      </w:numPr>
    </w:pPr>
    <w:rPr>
      <w:rFonts w:ascii="Arial" w:eastAsia="Times New Roman" w:hAnsi="Arial" w:cs="Times New Roman"/>
      <w:szCs w:val="24"/>
    </w:rPr>
  </w:style>
  <w:style w:type="paragraph" w:styleId="ListBullet2">
    <w:name w:val="List Bullet 2"/>
    <w:basedOn w:val="Normal"/>
    <w:pPr>
      <w:numPr>
        <w:numId w:val="24"/>
      </w:numPr>
    </w:pPr>
    <w:rPr>
      <w:rFonts w:ascii="Arial" w:eastAsia="Times New Roman" w:hAnsi="Arial" w:cs="Times New Roman"/>
      <w:szCs w:val="24"/>
    </w:rPr>
  </w:style>
  <w:style w:type="paragraph" w:styleId="ListBullet3">
    <w:name w:val="List Bullet 3"/>
    <w:basedOn w:val="Normal"/>
  </w:style>
  <w:style w:type="paragraph" w:styleId="ListBullet4">
    <w:name w:val="List Bullet 4"/>
    <w:basedOn w:val="Normal"/>
    <w:pPr>
      <w:numPr>
        <w:numId w:val="25"/>
      </w:numPr>
    </w:pPr>
    <w:rPr>
      <w:rFonts w:ascii="Arial" w:eastAsia="Times New Roman" w:hAnsi="Arial" w:cs="Times New Roman"/>
      <w:szCs w:val="24"/>
    </w:rPr>
  </w:style>
  <w:style w:type="paragraph" w:styleId="ListNumber3">
    <w:name w:val="List Number 3"/>
    <w:basedOn w:val="Normal"/>
  </w:style>
  <w:style w:type="paragraph" w:styleId="ListNumber4">
    <w:name w:val="List Number 4"/>
    <w:basedOn w:val="Normal"/>
    <w:pPr>
      <w:numPr>
        <w:numId w:val="26"/>
      </w:numPr>
    </w:pPr>
    <w:rPr>
      <w:rFonts w:ascii="Arial" w:eastAsia="Times New Roman" w:hAnsi="Arial" w:cs="Times New Roman"/>
      <w:szCs w:val="24"/>
    </w:rPr>
  </w:style>
  <w:style w:type="character" w:styleId="Strong">
    <w:name w:val="Strong"/>
    <w:qFormat/>
    <w:rPr>
      <w:b/>
      <w:bCs/>
    </w:rPr>
  </w:style>
  <w:style w:type="paragraph" w:styleId="List">
    <w:name w:val="List"/>
    <w:basedOn w:val="Normal"/>
    <w:pPr>
      <w:ind w:left="283" w:hanging="283"/>
      <w:contextualSpacing/>
    </w:pPr>
    <w:rPr>
      <w:rFonts w:ascii="Arial" w:eastAsia="Times New Roman" w:hAnsi="Arial" w:cs="Times New Roman"/>
      <w:szCs w:val="24"/>
    </w:rPr>
  </w:style>
  <w:style w:type="paragraph" w:styleId="EndnoteText">
    <w:name w:val="endnote text"/>
    <w:basedOn w:val="Normal"/>
    <w:link w:val="EndnoteTextChar"/>
    <w:rPr>
      <w:rFonts w:ascii="Arial" w:eastAsia="Times New Roman" w:hAnsi="Arial" w:cs="Times New Roman"/>
      <w:sz w:val="20"/>
      <w:szCs w:val="20"/>
    </w:rPr>
  </w:style>
  <w:style w:type="character" w:customStyle="1" w:styleId="EndnoteTextChar">
    <w:name w:val="Endnote Text Char"/>
    <w:basedOn w:val="DefaultParagraphFont"/>
    <w:link w:val="EndnoteText"/>
    <w:rPr>
      <w:rFonts w:ascii="Arial" w:eastAsia="Times New Roman" w:hAnsi="Arial" w:cs="Times New Roman"/>
      <w:sz w:val="20"/>
      <w:szCs w:val="20"/>
    </w:rPr>
  </w:style>
  <w:style w:type="character" w:styleId="EndnoteReference">
    <w:name w:val="endnote reference"/>
    <w:rPr>
      <w:vertAlign w:val="superscript"/>
    </w:rPr>
  </w:style>
  <w:style w:type="paragraph" w:styleId="Revision">
    <w:name w:val="Revision"/>
    <w:hidden/>
    <w:uiPriority w:val="99"/>
    <w:semiHidden/>
    <w:pPr>
      <w:spacing w:after="0" w:line="240" w:lineRule="auto"/>
    </w:pPr>
    <w:rPr>
      <w:rFonts w:ascii="Arial" w:eastAsia="Times New Roman" w:hAnsi="Arial" w:cs="Times New Roman"/>
      <w:sz w:val="24"/>
      <w:szCs w:val="24"/>
    </w:rPr>
  </w:style>
  <w:style w:type="character" w:styleId="FollowedHyperlink">
    <w:name w:val="FollowedHyperlink"/>
    <w:basedOn w:val="DefaultParagraphFont"/>
    <w:rPr>
      <w:color w:val="800080" w:themeColor="followedHyperlink"/>
      <w:u w:val="single"/>
    </w:r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qFormat/>
    <w:pPr>
      <w:keepNext/>
      <w:keepLines/>
      <w:numPr>
        <w:numId w:val="3"/>
      </w:numPr>
      <w:spacing w:before="240" w:after="360"/>
      <w:jc w:val="center"/>
      <w:outlineLvl w:val="0"/>
    </w:pPr>
    <w:rPr>
      <w:rFonts w:ascii="Times New Roman Bold" w:eastAsiaTheme="majorEastAsia" w:hAnsi="Times New Roman Bold" w:cstheme="majorBidi"/>
      <w:b/>
      <w:bCs/>
      <w:smallCaps/>
      <w:szCs w:val="28"/>
    </w:rPr>
  </w:style>
  <w:style w:type="paragraph" w:styleId="Heading2">
    <w:name w:val="heading 2"/>
    <w:basedOn w:val="Normal"/>
    <w:next w:val="Text1"/>
    <w:link w:val="Heading2Char"/>
    <w:qFormat/>
    <w:pPr>
      <w:keepNext/>
      <w:keepLines/>
      <w:numPr>
        <w:numId w:val="34"/>
      </w:numPr>
      <w:spacing w:before="240" w:after="240"/>
      <w:jc w:val="left"/>
      <w:outlineLvl w:val="1"/>
    </w:pPr>
    <w:rPr>
      <w:rFonts w:ascii="Times New Roman Bold" w:eastAsiaTheme="majorEastAsia" w:hAnsi="Times New Roman Bold" w:cstheme="majorBidi"/>
      <w:b/>
      <w:bCs/>
      <w:szCs w:val="26"/>
    </w:rPr>
  </w:style>
  <w:style w:type="paragraph" w:styleId="Heading3">
    <w:name w:val="heading 3"/>
    <w:basedOn w:val="Normal"/>
    <w:next w:val="Text1"/>
    <w:link w:val="Heading3Char"/>
    <w:qFormat/>
    <w:pPr>
      <w:keepNext/>
      <w:keepLines/>
      <w:numPr>
        <w:numId w:val="37"/>
      </w:numPr>
      <w:outlineLvl w:val="2"/>
    </w:pPr>
    <w:rPr>
      <w:rFonts w:eastAsiaTheme="majorEastAsia" w:cstheme="majorBidi"/>
      <w:bCs/>
      <w:i/>
    </w:rPr>
  </w:style>
  <w:style w:type="paragraph" w:styleId="Heading4">
    <w:name w:val="heading 4"/>
    <w:basedOn w:val="Normal"/>
    <w:next w:val="Text1"/>
    <w:link w:val="Heading4Char"/>
    <w:qFormat/>
    <w:pPr>
      <w:keepNext/>
      <w:keepLines/>
      <w:spacing w:before="200" w:after="0"/>
      <w:outlineLvl w:val="3"/>
    </w:pPr>
    <w:rPr>
      <w:rFonts w:eastAsiaTheme="majorEastAsia" w:cstheme="majorBidi"/>
      <w:bCs/>
      <w:iCs/>
    </w:rPr>
  </w:style>
  <w:style w:type="paragraph" w:styleId="Heading5">
    <w:name w:val="heading 5"/>
    <w:basedOn w:val="Normal"/>
    <w:next w:val="Normal"/>
    <w:link w:val="Heading5Char"/>
    <w:qFormat/>
    <w:pPr>
      <w:tabs>
        <w:tab w:val="num" w:pos="1008"/>
      </w:tabs>
      <w:spacing w:before="240" w:after="60"/>
      <w:ind w:left="1008" w:hanging="1008"/>
      <w:outlineLvl w:val="4"/>
    </w:pPr>
    <w:rPr>
      <w:rFonts w:ascii="Verdana" w:hAnsi="Verdana"/>
      <w:b/>
      <w:bCs/>
      <w:i/>
      <w:iCs/>
      <w:sz w:val="26"/>
      <w:szCs w:val="26"/>
    </w:rPr>
  </w:style>
  <w:style w:type="paragraph" w:styleId="Heading6">
    <w:name w:val="heading 6"/>
    <w:basedOn w:val="Normal"/>
    <w:next w:val="Normal"/>
    <w:link w:val="Heading6Char"/>
    <w:qFormat/>
    <w:pPr>
      <w:tabs>
        <w:tab w:val="num" w:pos="1152"/>
      </w:tabs>
      <w:spacing w:before="240" w:after="60"/>
      <w:ind w:left="1152" w:hanging="1152"/>
      <w:outlineLvl w:val="5"/>
    </w:pPr>
    <w:rPr>
      <w:b/>
      <w:bCs/>
      <w:sz w:val="22"/>
    </w:rPr>
  </w:style>
  <w:style w:type="paragraph" w:styleId="Heading7">
    <w:name w:val="heading 7"/>
    <w:basedOn w:val="Normal"/>
    <w:next w:val="Normal"/>
    <w:link w:val="Heading7Char"/>
    <w:qFormat/>
    <w:pPr>
      <w:tabs>
        <w:tab w:val="num" w:pos="1296"/>
      </w:tabs>
      <w:spacing w:before="240" w:after="60"/>
      <w:ind w:left="1296" w:hanging="1296"/>
      <w:outlineLvl w:val="6"/>
    </w:pPr>
    <w:rPr>
      <w:rFonts w:ascii="Arial" w:eastAsia="Times New Roman" w:hAnsi="Arial" w:cs="Times New Roman"/>
      <w:szCs w:val="24"/>
    </w:rPr>
  </w:style>
  <w:style w:type="paragraph" w:styleId="Heading8">
    <w:name w:val="heading 8"/>
    <w:basedOn w:val="Normal"/>
    <w:next w:val="Normal"/>
    <w:link w:val="Heading8Char"/>
    <w:qFormat/>
    <w:pPr>
      <w:tabs>
        <w:tab w:val="num" w:pos="1440"/>
      </w:tabs>
      <w:spacing w:before="240" w:after="60"/>
      <w:ind w:left="1440" w:hanging="1440"/>
      <w:outlineLvl w:val="7"/>
    </w:pPr>
    <w:rPr>
      <w:rFonts w:ascii="Arial" w:eastAsia="Times New Roman" w:hAnsi="Arial" w:cs="Times New Roman"/>
      <w:i/>
      <w:iCs/>
      <w:szCs w:val="24"/>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eastAsia="Times New Roman" w:hAnsi="Arial" w:cs="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rFonts w:ascii="Arial" w:eastAsia="Times New Roman" w:hAnsi="Arial" w:cs="Times New Roman"/>
      <w:sz w:val="24"/>
      <w:szCs w:val="24"/>
    </w:rPr>
  </w:style>
  <w:style w:type="paragraph" w:styleId="Footer">
    <w:name w:val="footer"/>
    <w:basedOn w:val="Normal"/>
    <w:link w:val="FooterChar"/>
    <w:uiPriority w:val="99"/>
    <w:pPr>
      <w:tabs>
        <w:tab w:val="center" w:pos="4536"/>
        <w:tab w:val="right" w:pos="9072"/>
      </w:tabs>
      <w:spacing w:after="0"/>
    </w:pPr>
  </w:style>
  <w:style w:type="character" w:customStyle="1" w:styleId="FooterChar">
    <w:name w:val="Footer Char"/>
    <w:basedOn w:val="DefaultParagraphFont"/>
    <w:link w:val="Footer"/>
    <w:uiPriority w:val="99"/>
    <w:rPr>
      <w:rFonts w:ascii="Arial" w:eastAsia="Times New Roman" w:hAnsi="Arial" w:cs="Times New Roman"/>
      <w:sz w:val="24"/>
      <w:szCs w:val="24"/>
    </w:rPr>
  </w:style>
  <w:style w:type="paragraph" w:customStyle="1" w:styleId="Typedudocument">
    <w:name w:val="Type du document"/>
    <w:basedOn w:val="Normal"/>
    <w:next w:val="Normal"/>
    <w:link w:val="TypedudocumentChar"/>
    <w:pPr>
      <w:spacing w:before="360" w:after="0"/>
      <w:jc w:val="center"/>
    </w:pPr>
    <w:rPr>
      <w:rFonts w:cs="Times New Roman"/>
      <w:b/>
    </w:rPr>
  </w:style>
  <w:style w:type="paragraph" w:customStyle="1" w:styleId="Titreobjet">
    <w:name w:val="Titre objet"/>
    <w:basedOn w:val="Normal"/>
    <w:next w:val="Normal"/>
    <w:pPr>
      <w:spacing w:before="360" w:after="360"/>
      <w:jc w:val="center"/>
    </w:pPr>
    <w:rPr>
      <w:rFonts w:cs="Times New Roman"/>
      <w: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cs="Times New Roman"/>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before="0"/>
    </w:pPr>
    <w:rPr>
      <w:rFonts w:cs="Times New Roman"/>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Times New Roman"/>
      <w:b/>
      <w:bCs/>
      <w:sz w:val="20"/>
      <w:szCs w:val="20"/>
    </w:rPr>
  </w:style>
  <w:style w:type="paragraph" w:styleId="BalloonText">
    <w:name w:val="Balloon Text"/>
    <w:basedOn w:val="Normal"/>
    <w:link w:val="BalloonTextChar"/>
    <w:semiHidden/>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FootnoteText">
    <w:name w:val="footnote text"/>
    <w:basedOn w:val="Normal"/>
    <w:link w:val="FootnoteTextChar"/>
    <w:semiHidden/>
    <w:pPr>
      <w:spacing w:after="0"/>
    </w:pPr>
    <w:rPr>
      <w:sz w:val="20"/>
      <w:szCs w:val="20"/>
    </w:rPr>
  </w:style>
  <w:style w:type="character" w:customStyle="1" w:styleId="Heading1Char">
    <w:name w:val="Heading 1 Char"/>
    <w:basedOn w:val="DefaultParagraphFont"/>
    <w:link w:val="Heading1"/>
    <w:rPr>
      <w:rFonts w:ascii="Times New Roman Bold" w:eastAsiaTheme="majorEastAsia" w:hAnsi="Times New Roman Bold" w:cstheme="majorBidi"/>
      <w:b/>
      <w:bCs/>
      <w:smallCaps/>
      <w:sz w:val="24"/>
      <w:szCs w:val="28"/>
    </w:rPr>
  </w:style>
  <w:style w:type="paragraph" w:styleId="ListNumber">
    <w:name w:val="List Number"/>
    <w:basedOn w:val="Normal"/>
    <w:pPr>
      <w:numPr>
        <w:numId w:val="1"/>
      </w:numPr>
      <w:contextualSpacing/>
    </w:pPr>
    <w:rPr>
      <w:rFonts w:ascii="Times New Roman Bold" w:hAnsi="Times New Roman Bold"/>
      <w:b/>
      <w:smallCaps/>
    </w:rPr>
  </w:style>
  <w:style w:type="character" w:customStyle="1" w:styleId="FootnoteTextChar">
    <w:name w:val="Footnote Text Char"/>
    <w:basedOn w:val="DefaultParagraphFont"/>
    <w:link w:val="FootnoteText"/>
    <w:semiHidden/>
    <w:rPr>
      <w:rFonts w:ascii="Arial" w:eastAsia="Times New Roman" w:hAnsi="Arial" w:cs="Times New Roman"/>
      <w:sz w:val="20"/>
      <w:szCs w:val="20"/>
    </w:rPr>
  </w:style>
  <w:style w:type="character" w:styleId="FootnoteReference">
    <w:name w:val="footnote reference"/>
    <w:semiHidden/>
    <w:rPr>
      <w:vertAlign w:val="superscript"/>
    </w:rPr>
  </w:style>
  <w:style w:type="paragraph" w:styleId="ListParagraph">
    <w:name w:val="List Paragraph"/>
    <w:basedOn w:val="Normal"/>
    <w:uiPriority w:val="34"/>
    <w:qFormat/>
    <w:pPr>
      <w:ind w:left="720"/>
      <w:contextualSpacing/>
    </w:pPr>
  </w:style>
  <w:style w:type="paragraph" w:styleId="ListNumber2">
    <w:name w:val="List Number 2"/>
    <w:basedOn w:val="Normal"/>
    <w:pPr>
      <w:numPr>
        <w:numId w:val="2"/>
      </w:numPr>
      <w:contextualSpacing/>
    </w:pPr>
  </w:style>
  <w:style w:type="character" w:customStyle="1" w:styleId="Heading2Char">
    <w:name w:val="Heading 2 Char"/>
    <w:basedOn w:val="DefaultParagraphFont"/>
    <w:link w:val="Heading2"/>
    <w:rPr>
      <w:rFonts w:ascii="Times New Roman Bold" w:eastAsiaTheme="majorEastAsia" w:hAnsi="Times New Roman Bold" w:cstheme="majorBidi"/>
      <w:b/>
      <w:bCs/>
      <w:sz w:val="24"/>
      <w:szCs w:val="26"/>
    </w:rPr>
  </w:style>
  <w:style w:type="character" w:customStyle="1" w:styleId="Heading3Char">
    <w:name w:val="Heading 3 Char"/>
    <w:basedOn w:val="DefaultParagraphFont"/>
    <w:link w:val="Heading3"/>
    <w:rPr>
      <w:rFonts w:ascii="Times New Roman" w:eastAsiaTheme="majorEastAsia" w:hAnsi="Times New Roman" w:cstheme="majorBidi"/>
      <w:bCs/>
      <w:i/>
      <w:sz w:val="24"/>
    </w:rPr>
  </w:style>
  <w:style w:type="character" w:customStyle="1" w:styleId="Heading4Char">
    <w:name w:val="Heading 4 Char"/>
    <w:basedOn w:val="DefaultParagraphFont"/>
    <w:link w:val="Heading4"/>
    <w:rPr>
      <w:rFonts w:ascii="Times New Roman" w:eastAsiaTheme="majorEastAsia" w:hAnsi="Times New Roman" w:cstheme="majorBidi"/>
      <w:bCs/>
      <w:iCs/>
      <w:sz w:val="24"/>
    </w:rPr>
  </w:style>
  <w:style w:type="paragraph" w:styleId="List3">
    <w:name w:val="List 3"/>
    <w:basedOn w:val="Normal"/>
    <w:uiPriority w:val="99"/>
    <w:semiHidden/>
    <w:unhideWhenUsed/>
    <w:pPr>
      <w:ind w:left="849" w:hanging="283"/>
      <w:contextualSpacing/>
    </w:pPr>
  </w:style>
  <w:style w:type="paragraph" w:customStyle="1" w:styleId="Typeacteprincipal">
    <w:name w:val="Type acte principal"/>
    <w:basedOn w:val="Normal"/>
    <w:next w:val="Normal"/>
    <w:pPr>
      <w:spacing w:before="0" w:after="240"/>
      <w:jc w:val="center"/>
    </w:pPr>
    <w:rPr>
      <w:rFonts w:cs="Times New Roman"/>
      <w:b/>
    </w:rPr>
  </w:style>
  <w:style w:type="paragraph" w:customStyle="1" w:styleId="Objetacteprincipal">
    <w:name w:val="Objet acte principal"/>
    <w:basedOn w:val="Normal"/>
    <w:next w:val="Normal"/>
    <w:pPr>
      <w:spacing w:before="0" w:after="360"/>
      <w:jc w:val="center"/>
    </w:pPr>
    <w:rPr>
      <w:rFonts w:cs="Times New Roman"/>
      <w:b/>
    </w:rPr>
  </w:style>
  <w:style w:type="paragraph" w:customStyle="1" w:styleId="Accompagnant">
    <w:name w:val="Accompagnant"/>
    <w:basedOn w:val="Normal"/>
    <w:next w:val="Typeacteprincipal"/>
    <w:pPr>
      <w:spacing w:before="0" w:after="240"/>
      <w:jc w:val="center"/>
    </w:pPr>
    <w:rPr>
      <w:rFonts w:cs="Times New Roman"/>
      <w:b/>
      <w:i/>
    </w:rPr>
  </w:style>
  <w:style w:type="character" w:customStyle="1" w:styleId="Heading5Char">
    <w:name w:val="Heading 5 Char"/>
    <w:basedOn w:val="DefaultParagraphFont"/>
    <w:link w:val="Heading5"/>
    <w:rPr>
      <w:rFonts w:ascii="Verdana" w:eastAsia="Times New Roman" w:hAnsi="Verdana" w:cs="Times New Roman"/>
      <w:b/>
      <w:bCs/>
      <w:i/>
      <w:iCs/>
      <w:sz w:val="26"/>
      <w:szCs w:val="26"/>
      <w:lang w:eastAsia="hu-HU"/>
    </w:rPr>
  </w:style>
  <w:style w:type="character" w:customStyle="1" w:styleId="Heading6Char">
    <w:name w:val="Heading 6 Char"/>
    <w:basedOn w:val="DefaultParagraphFont"/>
    <w:link w:val="Heading6"/>
    <w:rPr>
      <w:rFonts w:ascii="Arial" w:eastAsia="Times New Roman" w:hAnsi="Arial" w:cs="Times New Roman"/>
      <w:b/>
      <w:bCs/>
      <w:szCs w:val="24"/>
      <w:lang w:eastAsia="hu-HU"/>
    </w:rPr>
  </w:style>
  <w:style w:type="character" w:customStyle="1" w:styleId="Heading7Char">
    <w:name w:val="Heading 7 Char"/>
    <w:basedOn w:val="DefaultParagraphFont"/>
    <w:link w:val="Heading7"/>
    <w:rPr>
      <w:rFonts w:ascii="Arial" w:eastAsia="Times New Roman" w:hAnsi="Arial" w:cs="Times New Roman"/>
      <w:sz w:val="24"/>
      <w:szCs w:val="24"/>
      <w:lang w:eastAsia="hu-HU"/>
    </w:rPr>
  </w:style>
  <w:style w:type="character" w:customStyle="1" w:styleId="Heading8Char">
    <w:name w:val="Heading 8 Char"/>
    <w:basedOn w:val="DefaultParagraphFont"/>
    <w:link w:val="Heading8"/>
    <w:rPr>
      <w:rFonts w:ascii="Arial" w:eastAsia="Times New Roman" w:hAnsi="Arial" w:cs="Times New Roman"/>
      <w:i/>
      <w:iCs/>
      <w:sz w:val="24"/>
      <w:szCs w:val="24"/>
      <w:lang w:eastAsia="hu-HU"/>
    </w:rPr>
  </w:style>
  <w:style w:type="character" w:customStyle="1" w:styleId="Heading9Char">
    <w:name w:val="Heading 9 Char"/>
    <w:basedOn w:val="DefaultParagraphFont"/>
    <w:link w:val="Heading9"/>
    <w:rPr>
      <w:rFonts w:ascii="Arial" w:eastAsia="Times New Roman" w:hAnsi="Arial" w:cs="Arial"/>
      <w:szCs w:val="24"/>
      <w:lang w:eastAsia="hu-HU"/>
    </w:rPr>
  </w:style>
  <w:style w:type="paragraph" w:styleId="TOC1">
    <w:name w:val="toc 1"/>
    <w:basedOn w:val="Normal"/>
    <w:next w:val="Normal"/>
    <w:uiPriority w:val="39"/>
    <w:pPr>
      <w:tabs>
        <w:tab w:val="right" w:leader="dot" w:pos="9071"/>
      </w:tabs>
      <w:spacing w:before="60"/>
      <w:ind w:left="850" w:hanging="850"/>
    </w:pPr>
  </w:style>
  <w:style w:type="paragraph" w:styleId="TOC2">
    <w:name w:val="toc 2"/>
    <w:basedOn w:val="Normal"/>
    <w:next w:val="Normal"/>
    <w:uiPriority w:val="39"/>
    <w:pPr>
      <w:tabs>
        <w:tab w:val="right" w:leader="dot" w:pos="9071"/>
      </w:tabs>
      <w:spacing w:before="60"/>
      <w:ind w:left="850" w:hanging="850"/>
    </w:pPr>
  </w:style>
  <w:style w:type="paragraph" w:styleId="TOC3">
    <w:name w:val="toc 3"/>
    <w:basedOn w:val="Normal"/>
    <w:next w:val="Normal"/>
    <w:uiPriority w:val="39"/>
    <w:pPr>
      <w:tabs>
        <w:tab w:val="right" w:leader="dot" w:pos="9071"/>
      </w:tabs>
      <w:spacing w:before="60"/>
      <w:ind w:left="850" w:hanging="850"/>
    </w:pPr>
  </w:style>
  <w:style w:type="paragraph" w:styleId="TOC4">
    <w:name w:val="toc 4"/>
    <w:basedOn w:val="Normal"/>
    <w:next w:val="Normal"/>
    <w:semiHidden/>
    <w:pPr>
      <w:tabs>
        <w:tab w:val="right" w:leader="dot" w:pos="9071"/>
      </w:tabs>
      <w:spacing w:before="60"/>
      <w:ind w:left="850" w:hanging="850"/>
    </w:pPr>
    <w:rPr>
      <w:rFonts w:ascii="Arial" w:eastAsia="Times New Roman" w:hAnsi="Arial" w:cs="Times New Roman"/>
      <w:szCs w:val="24"/>
    </w:rPr>
  </w:style>
  <w:style w:type="paragraph" w:styleId="TOC5">
    <w:name w:val="toc 5"/>
    <w:basedOn w:val="Normal"/>
    <w:next w:val="Normal"/>
    <w:semiHidden/>
    <w:pPr>
      <w:tabs>
        <w:tab w:val="right" w:leader="dot" w:pos="9071"/>
      </w:tabs>
      <w:spacing w:before="300"/>
    </w:pPr>
    <w:rPr>
      <w:rFonts w:ascii="Arial" w:eastAsia="Times New Roman" w:hAnsi="Arial" w:cs="Times New Roman"/>
      <w:szCs w:val="24"/>
    </w:rPr>
  </w:style>
  <w:style w:type="paragraph" w:styleId="TOC6">
    <w:name w:val="toc 6"/>
    <w:basedOn w:val="Normal"/>
    <w:next w:val="Normal"/>
    <w:semiHidden/>
    <w:pPr>
      <w:tabs>
        <w:tab w:val="right" w:leader="dot" w:pos="9071"/>
      </w:tabs>
      <w:spacing w:before="240"/>
    </w:pPr>
  </w:style>
  <w:style w:type="paragraph" w:styleId="TOC7">
    <w:name w:val="toc 7"/>
    <w:basedOn w:val="Normal"/>
    <w:next w:val="Normal"/>
    <w:semiHidden/>
    <w:pPr>
      <w:tabs>
        <w:tab w:val="right" w:leader="dot" w:pos="9071"/>
      </w:tabs>
      <w:spacing w:before="180"/>
    </w:pPr>
    <w:rPr>
      <w:rFonts w:ascii="Arial" w:eastAsia="Times New Roman" w:hAnsi="Arial" w:cs="Times New Roman"/>
      <w:szCs w:val="24"/>
    </w:rPr>
  </w:style>
  <w:style w:type="paragraph" w:styleId="TOC8">
    <w:name w:val="toc 8"/>
    <w:basedOn w:val="Normal"/>
    <w:next w:val="Normal"/>
    <w:semiHidden/>
    <w:pPr>
      <w:tabs>
        <w:tab w:val="right" w:leader="dot" w:pos="9071"/>
      </w:tabs>
    </w:pPr>
    <w:rPr>
      <w:rFonts w:ascii="Arial" w:eastAsia="Times New Roman" w:hAnsi="Arial" w:cs="Times New Roman"/>
      <w:szCs w:val="24"/>
    </w:rPr>
  </w:style>
  <w:style w:type="paragraph" w:styleId="TOC9">
    <w:name w:val="toc 9"/>
    <w:basedOn w:val="Normal"/>
    <w:next w:val="Normal"/>
    <w:semiHidden/>
    <w:pPr>
      <w:tabs>
        <w:tab w:val="right" w:leader="dot" w:pos="9071"/>
      </w:tabs>
    </w:pPr>
    <w:rPr>
      <w:rFonts w:ascii="Arial" w:eastAsia="Times New Roman" w:hAnsi="Arial" w:cs="Times New Roman"/>
      <w:szCs w:val="24"/>
    </w:rPr>
  </w:style>
  <w:style w:type="paragraph" w:customStyle="1" w:styleId="HeaderLandscape">
    <w:name w:val="HeaderLandscape"/>
    <w:basedOn w:val="Normal"/>
    <w:pPr>
      <w:tabs>
        <w:tab w:val="center" w:pos="7285"/>
        <w:tab w:val="right" w:pos="14003"/>
      </w:tabs>
      <w:spacing w:before="0"/>
    </w:pPr>
    <w:rPr>
      <w:rFonts w:ascii="Arial" w:eastAsia="Times New Roman" w:hAnsi="Arial" w:cs="Times New Roman"/>
      <w:szCs w:val="24"/>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ascii="Arial" w:eastAsia="Times New Roman" w:hAnsi="Arial" w:cs="Times New Roman"/>
      <w:szCs w:val="24"/>
    </w:rPr>
  </w:style>
  <w:style w:type="paragraph" w:customStyle="1" w:styleId="Text1">
    <w:name w:val="Text 1"/>
    <w:basedOn w:val="Normal"/>
    <w:pPr>
      <w:ind w:left="850"/>
    </w:pPr>
    <w:rPr>
      <w:rFonts w:ascii="Arial" w:eastAsia="Times New Roman" w:hAnsi="Arial" w:cs="Times New Roman"/>
      <w:szCs w:val="24"/>
    </w:rPr>
  </w:style>
  <w:style w:type="paragraph" w:customStyle="1" w:styleId="Text2">
    <w:name w:val="Text 2"/>
    <w:basedOn w:val="Normal"/>
    <w:pPr>
      <w:ind w:left="1417"/>
    </w:pPr>
    <w:rPr>
      <w:rFonts w:ascii="Arial" w:eastAsia="Times New Roman" w:hAnsi="Arial" w:cs="Times New Roman"/>
      <w:szCs w:val="24"/>
    </w:rPr>
  </w:style>
  <w:style w:type="paragraph" w:customStyle="1" w:styleId="Text3">
    <w:name w:val="Text 3"/>
    <w:basedOn w:val="Normal"/>
    <w:pPr>
      <w:ind w:left="1984"/>
    </w:pPr>
    <w:rPr>
      <w:rFonts w:ascii="Arial" w:eastAsia="Times New Roman" w:hAnsi="Arial" w:cs="Times New Roman"/>
      <w:szCs w:val="24"/>
    </w:rPr>
  </w:style>
  <w:style w:type="paragraph" w:customStyle="1" w:styleId="Text4">
    <w:name w:val="Text 4"/>
    <w:basedOn w:val="Normal"/>
    <w:pPr>
      <w:ind w:left="2551"/>
    </w:pPr>
    <w:rPr>
      <w:rFonts w:ascii="Arial" w:eastAsia="Times New Roman" w:hAnsi="Arial" w:cs="Times New Roman"/>
      <w:szCs w:val="24"/>
    </w:rPr>
  </w:style>
  <w:style w:type="paragraph" w:customStyle="1" w:styleId="NormalCentered">
    <w:name w:val="Normal Centered"/>
    <w:basedOn w:val="Normal"/>
    <w:pPr>
      <w:jc w:val="center"/>
    </w:pPr>
    <w:rPr>
      <w:rFonts w:ascii="Arial" w:eastAsia="Times New Roman" w:hAnsi="Arial" w:cs="Times New Roman"/>
      <w:szCs w:val="24"/>
    </w:rPr>
  </w:style>
  <w:style w:type="paragraph" w:customStyle="1" w:styleId="NormalLeft">
    <w:name w:val="Normal Left"/>
    <w:basedOn w:val="Normal"/>
    <w:rPr>
      <w:rFonts w:ascii="Arial" w:eastAsia="Times New Roman" w:hAnsi="Arial" w:cs="Times New Roman"/>
      <w:szCs w:val="24"/>
    </w:rPr>
  </w:style>
  <w:style w:type="paragraph" w:customStyle="1" w:styleId="NormalRight">
    <w:name w:val="Normal Right"/>
    <w:basedOn w:val="Normal"/>
    <w:pPr>
      <w:jc w:val="right"/>
    </w:pPr>
    <w:rPr>
      <w:rFonts w:ascii="Arial" w:eastAsia="Times New Roman" w:hAnsi="Arial" w:cs="Times New Roman"/>
      <w:szCs w:val="24"/>
    </w:rPr>
  </w:style>
  <w:style w:type="paragraph" w:customStyle="1" w:styleId="QuotedText">
    <w:name w:val="Quoted Text"/>
    <w:basedOn w:val="Normal"/>
    <w:pPr>
      <w:ind w:left="1417"/>
    </w:pPr>
    <w:rPr>
      <w:rFonts w:ascii="Arial" w:eastAsia="Times New Roman" w:hAnsi="Arial" w:cs="Times New Roman"/>
      <w:szCs w:val="24"/>
    </w:rPr>
  </w:style>
  <w:style w:type="paragraph" w:customStyle="1" w:styleId="Point0">
    <w:name w:val="Point 0"/>
    <w:basedOn w:val="Normal"/>
    <w:pPr>
      <w:ind w:left="850" w:hanging="850"/>
    </w:pPr>
    <w:rPr>
      <w:rFonts w:ascii="Arial" w:eastAsia="Times New Roman" w:hAnsi="Arial" w:cs="Times New Roman"/>
      <w:szCs w:val="24"/>
    </w:rPr>
  </w:style>
  <w:style w:type="paragraph" w:customStyle="1" w:styleId="Point1">
    <w:name w:val="Point 1"/>
    <w:basedOn w:val="Normal"/>
    <w:pPr>
      <w:ind w:left="1417" w:hanging="567"/>
    </w:pPr>
    <w:rPr>
      <w:rFonts w:ascii="Arial" w:eastAsia="Times New Roman" w:hAnsi="Arial" w:cs="Times New Roman"/>
      <w:szCs w:val="24"/>
    </w:rPr>
  </w:style>
  <w:style w:type="paragraph" w:customStyle="1" w:styleId="Point2">
    <w:name w:val="Point 2"/>
    <w:basedOn w:val="Normal"/>
    <w:pPr>
      <w:ind w:left="1984" w:hanging="567"/>
    </w:pPr>
    <w:rPr>
      <w:rFonts w:ascii="Arial" w:eastAsia="Times New Roman" w:hAnsi="Arial" w:cs="Times New Roman"/>
      <w:szCs w:val="24"/>
    </w:rPr>
  </w:style>
  <w:style w:type="paragraph" w:customStyle="1" w:styleId="Point3">
    <w:name w:val="Point 3"/>
    <w:basedOn w:val="Normal"/>
    <w:pPr>
      <w:ind w:left="2551" w:hanging="567"/>
    </w:pPr>
    <w:rPr>
      <w:rFonts w:ascii="Arial" w:eastAsia="Times New Roman" w:hAnsi="Arial" w:cs="Times New Roman"/>
      <w:szCs w:val="24"/>
    </w:rPr>
  </w:style>
  <w:style w:type="paragraph" w:customStyle="1" w:styleId="Point4">
    <w:name w:val="Point 4"/>
    <w:basedOn w:val="Normal"/>
    <w:pPr>
      <w:ind w:left="3118" w:hanging="567"/>
    </w:pPr>
    <w:rPr>
      <w:rFonts w:ascii="Arial" w:eastAsia="Times New Roman" w:hAnsi="Arial" w:cs="Times New Roman"/>
      <w:szCs w:val="24"/>
    </w:rPr>
  </w:style>
  <w:style w:type="paragraph" w:customStyle="1" w:styleId="Tiret0">
    <w:name w:val="Tiret 0"/>
    <w:basedOn w:val="Point0"/>
    <w:pPr>
      <w:numPr>
        <w:numId w:val="5"/>
      </w:numPr>
    </w:pPr>
  </w:style>
  <w:style w:type="paragraph" w:customStyle="1" w:styleId="Tiret1">
    <w:name w:val="Tiret 1"/>
    <w:basedOn w:val="Point1"/>
    <w:pPr>
      <w:numPr>
        <w:numId w:val="6"/>
      </w:numPr>
    </w:pPr>
  </w:style>
  <w:style w:type="paragraph" w:customStyle="1" w:styleId="Tiret2">
    <w:name w:val="Tiret 2"/>
    <w:basedOn w:val="Point2"/>
    <w:pPr>
      <w:numPr>
        <w:numId w:val="7"/>
      </w:numPr>
    </w:pPr>
  </w:style>
  <w:style w:type="paragraph" w:customStyle="1" w:styleId="Tiret3">
    <w:name w:val="Tiret 3"/>
    <w:basedOn w:val="Point3"/>
    <w:pPr>
      <w:numPr>
        <w:numId w:val="8"/>
      </w:numPr>
    </w:pPr>
  </w:style>
  <w:style w:type="paragraph" w:customStyle="1" w:styleId="Tiret4">
    <w:name w:val="Tiret 4"/>
    <w:basedOn w:val="Point4"/>
    <w:pPr>
      <w:numPr>
        <w:numId w:val="9"/>
      </w:numPr>
    </w:pPr>
  </w:style>
  <w:style w:type="paragraph" w:customStyle="1" w:styleId="PointDouble0">
    <w:name w:val="PointDouble 0"/>
    <w:basedOn w:val="Normal"/>
    <w:pPr>
      <w:tabs>
        <w:tab w:val="left" w:pos="850"/>
      </w:tabs>
      <w:ind w:left="1417" w:hanging="1417"/>
    </w:pPr>
    <w:rPr>
      <w:rFonts w:ascii="Arial" w:eastAsia="Times New Roman" w:hAnsi="Arial" w:cs="Times New Roman"/>
      <w:szCs w:val="24"/>
    </w:rPr>
  </w:style>
  <w:style w:type="paragraph" w:customStyle="1" w:styleId="PointDouble1">
    <w:name w:val="PointDouble 1"/>
    <w:basedOn w:val="Normal"/>
    <w:pPr>
      <w:tabs>
        <w:tab w:val="left" w:pos="1417"/>
      </w:tabs>
      <w:ind w:left="1984" w:hanging="1134"/>
    </w:pPr>
    <w:rPr>
      <w:rFonts w:ascii="Arial" w:eastAsia="Times New Roman" w:hAnsi="Arial" w:cs="Times New Roman"/>
      <w:szCs w:val="24"/>
    </w:rPr>
  </w:style>
  <w:style w:type="paragraph" w:customStyle="1" w:styleId="PointDouble2">
    <w:name w:val="PointDouble 2"/>
    <w:basedOn w:val="Normal"/>
    <w:pPr>
      <w:tabs>
        <w:tab w:val="left" w:pos="1984"/>
      </w:tabs>
      <w:ind w:left="2551" w:hanging="1134"/>
    </w:pPr>
    <w:rPr>
      <w:rFonts w:ascii="Arial" w:eastAsia="Times New Roman" w:hAnsi="Arial" w:cs="Times New Roman"/>
      <w:szCs w:val="24"/>
    </w:rPr>
  </w:style>
  <w:style w:type="paragraph" w:customStyle="1" w:styleId="PointDouble3">
    <w:name w:val="PointDouble 3"/>
    <w:basedOn w:val="Normal"/>
    <w:pPr>
      <w:tabs>
        <w:tab w:val="left" w:pos="2551"/>
      </w:tabs>
      <w:ind w:left="3118" w:hanging="1134"/>
    </w:pPr>
    <w:rPr>
      <w:rFonts w:ascii="Arial" w:eastAsia="Times New Roman" w:hAnsi="Arial" w:cs="Times New Roman"/>
      <w:szCs w:val="24"/>
    </w:rPr>
  </w:style>
  <w:style w:type="paragraph" w:customStyle="1" w:styleId="PointDouble4">
    <w:name w:val="PointDouble 4"/>
    <w:basedOn w:val="Normal"/>
    <w:pPr>
      <w:tabs>
        <w:tab w:val="left" w:pos="3118"/>
      </w:tabs>
      <w:ind w:left="3685" w:hanging="1134"/>
    </w:pPr>
    <w:rPr>
      <w:rFonts w:ascii="Arial" w:eastAsia="Times New Roman" w:hAnsi="Arial" w:cs="Times New Roman"/>
      <w:szCs w:val="24"/>
    </w:rPr>
  </w:style>
  <w:style w:type="paragraph" w:customStyle="1" w:styleId="PointTriple0">
    <w:name w:val="PointTriple 0"/>
    <w:basedOn w:val="Normal"/>
    <w:pPr>
      <w:tabs>
        <w:tab w:val="left" w:pos="850"/>
        <w:tab w:val="left" w:pos="1417"/>
      </w:tabs>
      <w:ind w:left="1984" w:hanging="1984"/>
    </w:pPr>
    <w:rPr>
      <w:rFonts w:ascii="Arial" w:eastAsia="Times New Roman" w:hAnsi="Arial" w:cs="Times New Roman"/>
      <w:szCs w:val="24"/>
    </w:rPr>
  </w:style>
  <w:style w:type="paragraph" w:customStyle="1" w:styleId="PointTriple1">
    <w:name w:val="PointTriple 1"/>
    <w:basedOn w:val="Normal"/>
    <w:pPr>
      <w:tabs>
        <w:tab w:val="left" w:pos="1417"/>
        <w:tab w:val="left" w:pos="1984"/>
      </w:tabs>
      <w:ind w:left="2551" w:hanging="1701"/>
    </w:pPr>
    <w:rPr>
      <w:rFonts w:ascii="Arial" w:eastAsia="Times New Roman" w:hAnsi="Arial" w:cs="Times New Roman"/>
      <w:szCs w:val="24"/>
    </w:rPr>
  </w:style>
  <w:style w:type="paragraph" w:customStyle="1" w:styleId="PointTriple2">
    <w:name w:val="PointTriple 2"/>
    <w:basedOn w:val="Normal"/>
    <w:pPr>
      <w:tabs>
        <w:tab w:val="left" w:pos="1984"/>
        <w:tab w:val="left" w:pos="2551"/>
      </w:tabs>
      <w:ind w:left="3118" w:hanging="1701"/>
    </w:pPr>
    <w:rPr>
      <w:rFonts w:ascii="Arial" w:eastAsia="Times New Roman" w:hAnsi="Arial" w:cs="Times New Roman"/>
      <w:szCs w:val="24"/>
    </w:rPr>
  </w:style>
  <w:style w:type="paragraph" w:customStyle="1" w:styleId="PointTriple3">
    <w:name w:val="PointTriple 3"/>
    <w:basedOn w:val="Normal"/>
    <w:pPr>
      <w:tabs>
        <w:tab w:val="left" w:pos="2551"/>
        <w:tab w:val="left" w:pos="3118"/>
      </w:tabs>
      <w:ind w:left="3685" w:hanging="1701"/>
    </w:pPr>
    <w:rPr>
      <w:rFonts w:ascii="Arial" w:eastAsia="Times New Roman" w:hAnsi="Arial" w:cs="Times New Roman"/>
      <w:szCs w:val="24"/>
    </w:rPr>
  </w:style>
  <w:style w:type="paragraph" w:customStyle="1" w:styleId="PointTriple4">
    <w:name w:val="PointTriple 4"/>
    <w:basedOn w:val="Normal"/>
    <w:pPr>
      <w:tabs>
        <w:tab w:val="left" w:pos="3118"/>
        <w:tab w:val="left" w:pos="3685"/>
      </w:tabs>
      <w:ind w:left="4252" w:hanging="1701"/>
    </w:pPr>
    <w:rPr>
      <w:rFonts w:ascii="Arial" w:eastAsia="Times New Roman" w:hAnsi="Arial" w:cs="Times New Roman"/>
      <w:szCs w:val="24"/>
    </w:rPr>
  </w:style>
  <w:style w:type="paragraph" w:customStyle="1" w:styleId="NumPar1">
    <w:name w:val="NumPar 1"/>
    <w:basedOn w:val="Normal"/>
    <w:next w:val="Text1"/>
    <w:pPr>
      <w:numPr>
        <w:numId w:val="10"/>
      </w:numPr>
    </w:pPr>
    <w:rPr>
      <w:rFonts w:ascii="Arial" w:eastAsia="Times New Roman" w:hAnsi="Arial" w:cs="Times New Roman"/>
      <w:szCs w:val="24"/>
    </w:rPr>
  </w:style>
  <w:style w:type="paragraph" w:customStyle="1" w:styleId="NumPar2">
    <w:name w:val="NumPar 2"/>
    <w:basedOn w:val="Normal"/>
    <w:next w:val="Text1"/>
    <w:pPr>
      <w:numPr>
        <w:ilvl w:val="1"/>
        <w:numId w:val="10"/>
      </w:numPr>
    </w:pPr>
    <w:rPr>
      <w:rFonts w:ascii="Arial" w:eastAsia="Times New Roman" w:hAnsi="Arial" w:cs="Times New Roman"/>
      <w:szCs w:val="24"/>
    </w:rPr>
  </w:style>
  <w:style w:type="paragraph" w:customStyle="1" w:styleId="NumPar3">
    <w:name w:val="NumPar 3"/>
    <w:basedOn w:val="Normal"/>
    <w:next w:val="Text1"/>
    <w:pPr>
      <w:numPr>
        <w:ilvl w:val="2"/>
        <w:numId w:val="10"/>
      </w:numPr>
    </w:pPr>
    <w:rPr>
      <w:rFonts w:ascii="Arial" w:eastAsia="Times New Roman" w:hAnsi="Arial" w:cs="Times New Roman"/>
      <w:szCs w:val="24"/>
    </w:rPr>
  </w:style>
  <w:style w:type="paragraph" w:customStyle="1" w:styleId="NumPar4">
    <w:name w:val="NumPar 4"/>
    <w:basedOn w:val="Normal"/>
    <w:next w:val="Text1"/>
    <w:pPr>
      <w:numPr>
        <w:ilvl w:val="3"/>
        <w:numId w:val="10"/>
      </w:numPr>
    </w:pPr>
    <w:rPr>
      <w:rFonts w:ascii="Arial" w:eastAsia="Times New Roman" w:hAnsi="Arial" w:cs="Times New Roman"/>
      <w:szCs w:val="24"/>
    </w:rPr>
  </w:style>
  <w:style w:type="paragraph" w:customStyle="1" w:styleId="ManualNumPar1">
    <w:name w:val="Manual NumPar 1"/>
    <w:basedOn w:val="Normal"/>
    <w:next w:val="Text1"/>
    <w:pPr>
      <w:ind w:left="850" w:hanging="850"/>
    </w:pPr>
    <w:rPr>
      <w:rFonts w:ascii="Arial" w:eastAsia="Times New Roman" w:hAnsi="Arial" w:cs="Times New Roman"/>
      <w:szCs w:val="24"/>
    </w:rPr>
  </w:style>
  <w:style w:type="paragraph" w:customStyle="1" w:styleId="ManualNumPar2">
    <w:name w:val="Manual NumPar 2"/>
    <w:basedOn w:val="Normal"/>
    <w:next w:val="Text1"/>
    <w:pPr>
      <w:ind w:left="850" w:hanging="850"/>
    </w:pPr>
    <w:rPr>
      <w:rFonts w:ascii="Arial" w:eastAsia="Times New Roman" w:hAnsi="Arial" w:cs="Times New Roman"/>
      <w:szCs w:val="24"/>
    </w:rPr>
  </w:style>
  <w:style w:type="paragraph" w:customStyle="1" w:styleId="ManualNumPar3">
    <w:name w:val="Manual NumPar 3"/>
    <w:basedOn w:val="Normal"/>
    <w:next w:val="Text1"/>
    <w:pPr>
      <w:ind w:left="850" w:hanging="850"/>
    </w:pPr>
    <w:rPr>
      <w:rFonts w:ascii="Arial" w:eastAsia="Times New Roman" w:hAnsi="Arial" w:cs="Times New Roman"/>
      <w:szCs w:val="24"/>
    </w:rPr>
  </w:style>
  <w:style w:type="paragraph" w:customStyle="1" w:styleId="ManualNumPar4">
    <w:name w:val="Manual NumPar 4"/>
    <w:basedOn w:val="Normal"/>
    <w:next w:val="Text1"/>
    <w:pPr>
      <w:ind w:left="850" w:hanging="850"/>
    </w:pPr>
    <w:rPr>
      <w:rFonts w:ascii="Arial" w:eastAsia="Times New Roman" w:hAnsi="Arial" w:cs="Times New Roman"/>
      <w:szCs w:val="24"/>
    </w:rPr>
  </w:style>
  <w:style w:type="paragraph" w:customStyle="1" w:styleId="QuotedNumPar">
    <w:name w:val="Quoted NumPar"/>
    <w:basedOn w:val="Normal"/>
    <w:pPr>
      <w:ind w:left="1417" w:hanging="567"/>
    </w:pPr>
    <w:rPr>
      <w:rFonts w:ascii="Arial" w:eastAsia="Times New Roman" w:hAnsi="Arial" w:cs="Times New Roman"/>
      <w:szCs w:val="24"/>
    </w:rPr>
  </w:style>
  <w:style w:type="paragraph" w:customStyle="1" w:styleId="ManualHeading1">
    <w:name w:val="Manual Heading 1"/>
    <w:basedOn w:val="Normal"/>
    <w:next w:val="Text1"/>
    <w:pPr>
      <w:keepNext/>
      <w:tabs>
        <w:tab w:val="left" w:pos="850"/>
      </w:tabs>
      <w:spacing w:before="360"/>
      <w:ind w:left="850" w:hanging="850"/>
      <w:outlineLvl w:val="0"/>
    </w:pPr>
    <w:rPr>
      <w:rFonts w:ascii="Arial" w:eastAsia="Times New Roman" w:hAnsi="Arial" w:cs="Times New Roman"/>
      <w:b/>
      <w:smallCaps/>
      <w:szCs w:val="24"/>
    </w:rPr>
  </w:style>
  <w:style w:type="paragraph" w:customStyle="1" w:styleId="ManualHeading2">
    <w:name w:val="Manual Heading 2"/>
    <w:basedOn w:val="Normal"/>
    <w:next w:val="Text1"/>
    <w:pPr>
      <w:keepNext/>
      <w:tabs>
        <w:tab w:val="left" w:pos="850"/>
      </w:tabs>
      <w:ind w:left="850" w:hanging="850"/>
      <w:outlineLvl w:val="1"/>
    </w:pPr>
    <w:rPr>
      <w:rFonts w:ascii="Arial" w:eastAsia="Times New Roman" w:hAnsi="Arial" w:cs="Times New Roman"/>
      <w:b/>
      <w:szCs w:val="24"/>
    </w:rPr>
  </w:style>
  <w:style w:type="paragraph" w:customStyle="1" w:styleId="ManualHeading3">
    <w:name w:val="Manual Heading 3"/>
    <w:basedOn w:val="Normal"/>
    <w:next w:val="Text1"/>
    <w:pPr>
      <w:keepNext/>
      <w:tabs>
        <w:tab w:val="left" w:pos="850"/>
      </w:tabs>
      <w:ind w:left="850" w:hanging="850"/>
      <w:outlineLvl w:val="2"/>
    </w:pPr>
    <w:rPr>
      <w:rFonts w:ascii="Arial" w:eastAsia="Times New Roman" w:hAnsi="Arial" w:cs="Times New Roman"/>
      <w:i/>
      <w:szCs w:val="24"/>
    </w:rPr>
  </w:style>
  <w:style w:type="paragraph" w:customStyle="1" w:styleId="ManualHeading4">
    <w:name w:val="Manual Heading 4"/>
    <w:basedOn w:val="Normal"/>
    <w:next w:val="Text1"/>
    <w:pPr>
      <w:keepNext/>
      <w:tabs>
        <w:tab w:val="left" w:pos="850"/>
      </w:tabs>
      <w:ind w:left="850" w:hanging="850"/>
      <w:outlineLvl w:val="3"/>
    </w:pPr>
    <w:rPr>
      <w:rFonts w:ascii="Arial" w:eastAsia="Times New Roman" w:hAnsi="Arial" w:cs="Times New Roman"/>
      <w:szCs w:val="24"/>
    </w:rPr>
  </w:style>
  <w:style w:type="paragraph" w:customStyle="1" w:styleId="ChapterTitle">
    <w:name w:val="ChapterTitle"/>
    <w:basedOn w:val="Normal"/>
    <w:next w:val="Normal"/>
    <w:pPr>
      <w:keepNext/>
      <w:spacing w:after="360"/>
      <w:jc w:val="center"/>
    </w:pPr>
    <w:rPr>
      <w:rFonts w:ascii="Arial" w:eastAsia="Times New Roman" w:hAnsi="Arial" w:cs="Times New Roman"/>
      <w:b/>
      <w:sz w:val="32"/>
      <w:szCs w:val="24"/>
    </w:rPr>
  </w:style>
  <w:style w:type="paragraph" w:customStyle="1" w:styleId="PartTitle">
    <w:name w:val="PartTitle"/>
    <w:basedOn w:val="Normal"/>
    <w:next w:val="ChapterTitle"/>
    <w:pPr>
      <w:keepNext/>
      <w:pageBreakBefore/>
      <w:spacing w:after="360"/>
      <w:jc w:val="center"/>
    </w:pPr>
    <w:rPr>
      <w:rFonts w:ascii="Arial" w:eastAsia="Times New Roman" w:hAnsi="Arial" w:cs="Times New Roman"/>
      <w:b/>
      <w:sz w:val="36"/>
      <w:szCs w:val="24"/>
    </w:rPr>
  </w:style>
  <w:style w:type="paragraph" w:customStyle="1" w:styleId="SectionTitle">
    <w:name w:val="SectionTitle"/>
    <w:basedOn w:val="Normal"/>
    <w:next w:val="Heading1"/>
    <w:pPr>
      <w:keepNext/>
      <w:spacing w:after="360"/>
      <w:jc w:val="center"/>
    </w:pPr>
    <w:rPr>
      <w:rFonts w:ascii="Arial" w:eastAsia="Times New Roman" w:hAnsi="Arial" w:cs="Times New Roman"/>
      <w:b/>
      <w:smallCaps/>
      <w:sz w:val="28"/>
      <w:szCs w:val="24"/>
    </w:rPr>
  </w:style>
  <w:style w:type="paragraph" w:customStyle="1" w:styleId="TableTitle">
    <w:name w:val="Table Title"/>
    <w:basedOn w:val="Normal"/>
    <w:next w:val="Normal"/>
    <w:pPr>
      <w:jc w:val="center"/>
    </w:pPr>
    <w:rPr>
      <w:rFonts w:ascii="Arial" w:eastAsia="Times New Roman" w:hAnsi="Arial" w:cs="Times New Roman"/>
      <w:b/>
      <w:szCs w:val="24"/>
    </w:rPr>
  </w:style>
  <w:style w:type="character" w:customStyle="1" w:styleId="Marker1">
    <w:name w:val="Marker1"/>
    <w:rPr>
      <w:rFonts w:cs="Times New Roman"/>
      <w:color w:val="008000"/>
      <w:shd w:val="clear" w:color="auto" w:fill="auto"/>
    </w:rPr>
  </w:style>
  <w:style w:type="character" w:customStyle="1" w:styleId="Marker2">
    <w:name w:val="Marker2"/>
    <w:rPr>
      <w:rFonts w:cs="Times New Roman"/>
      <w:color w:val="FF0000"/>
      <w:shd w:val="clear" w:color="auto" w:fill="auto"/>
    </w:rPr>
  </w:style>
  <w:style w:type="paragraph" w:styleId="TOCHeading">
    <w:name w:val="TOC Heading"/>
    <w:basedOn w:val="Normal"/>
    <w:next w:val="Normal"/>
    <w:uiPriority w:val="39"/>
    <w:qFormat/>
    <w:pPr>
      <w:spacing w:after="240"/>
      <w:jc w:val="center"/>
    </w:pPr>
    <w:rPr>
      <w:rFonts w:ascii="Arial" w:eastAsia="Times New Roman" w:hAnsi="Arial" w:cs="Times New Roman"/>
      <w:b/>
      <w:sz w:val="28"/>
      <w:szCs w:val="24"/>
    </w:rPr>
  </w:style>
  <w:style w:type="paragraph" w:customStyle="1" w:styleId="Point0number">
    <w:name w:val="Point 0 (number)"/>
    <w:basedOn w:val="Normal"/>
    <w:pPr>
      <w:numPr>
        <w:numId w:val="12"/>
      </w:numPr>
    </w:pPr>
    <w:rPr>
      <w:rFonts w:ascii="Arial" w:eastAsia="Times New Roman" w:hAnsi="Arial" w:cs="Times New Roman"/>
      <w:szCs w:val="24"/>
    </w:rPr>
  </w:style>
  <w:style w:type="paragraph" w:customStyle="1" w:styleId="Point1number">
    <w:name w:val="Point 1 (number)"/>
    <w:basedOn w:val="Normal"/>
    <w:pPr>
      <w:numPr>
        <w:ilvl w:val="2"/>
        <w:numId w:val="12"/>
      </w:numPr>
    </w:pPr>
    <w:rPr>
      <w:rFonts w:ascii="Arial" w:eastAsia="Times New Roman" w:hAnsi="Arial" w:cs="Times New Roman"/>
      <w:szCs w:val="24"/>
    </w:rPr>
  </w:style>
  <w:style w:type="paragraph" w:customStyle="1" w:styleId="Point2number">
    <w:name w:val="Point 2 (number)"/>
    <w:basedOn w:val="Normal"/>
    <w:pPr>
      <w:numPr>
        <w:ilvl w:val="4"/>
        <w:numId w:val="12"/>
      </w:numPr>
    </w:pPr>
    <w:rPr>
      <w:rFonts w:ascii="Arial" w:eastAsia="Times New Roman" w:hAnsi="Arial" w:cs="Times New Roman"/>
      <w:szCs w:val="24"/>
    </w:rPr>
  </w:style>
  <w:style w:type="paragraph" w:customStyle="1" w:styleId="Point3number">
    <w:name w:val="Point 3 (number)"/>
    <w:basedOn w:val="Normal"/>
    <w:pPr>
      <w:numPr>
        <w:ilvl w:val="6"/>
        <w:numId w:val="12"/>
      </w:numPr>
    </w:pPr>
    <w:rPr>
      <w:rFonts w:ascii="Arial" w:eastAsia="Times New Roman" w:hAnsi="Arial" w:cs="Times New Roman"/>
      <w:szCs w:val="24"/>
    </w:rPr>
  </w:style>
  <w:style w:type="paragraph" w:customStyle="1" w:styleId="Point0letter">
    <w:name w:val="Point 0 (letter)"/>
    <w:basedOn w:val="Normal"/>
    <w:pPr>
      <w:numPr>
        <w:ilvl w:val="1"/>
        <w:numId w:val="12"/>
      </w:numPr>
    </w:pPr>
    <w:rPr>
      <w:rFonts w:ascii="Arial" w:eastAsia="Times New Roman" w:hAnsi="Arial" w:cs="Times New Roman"/>
      <w:szCs w:val="24"/>
    </w:rPr>
  </w:style>
  <w:style w:type="paragraph" w:customStyle="1" w:styleId="Point1letter">
    <w:name w:val="Point 1 (letter)"/>
    <w:basedOn w:val="Normal"/>
    <w:pPr>
      <w:numPr>
        <w:ilvl w:val="3"/>
        <w:numId w:val="12"/>
      </w:numPr>
    </w:pPr>
    <w:rPr>
      <w:rFonts w:ascii="Arial" w:eastAsia="Times New Roman" w:hAnsi="Arial" w:cs="Times New Roman"/>
      <w:szCs w:val="24"/>
    </w:rPr>
  </w:style>
  <w:style w:type="paragraph" w:customStyle="1" w:styleId="Point2letter">
    <w:name w:val="Point 2 (letter)"/>
    <w:basedOn w:val="Normal"/>
    <w:pPr>
      <w:numPr>
        <w:ilvl w:val="5"/>
        <w:numId w:val="12"/>
      </w:numPr>
    </w:pPr>
    <w:rPr>
      <w:rFonts w:ascii="Arial" w:eastAsia="Times New Roman" w:hAnsi="Arial" w:cs="Times New Roman"/>
      <w:szCs w:val="24"/>
    </w:rPr>
  </w:style>
  <w:style w:type="paragraph" w:customStyle="1" w:styleId="Point3letter">
    <w:name w:val="Point 3 (letter)"/>
    <w:basedOn w:val="Normal"/>
    <w:pPr>
      <w:numPr>
        <w:ilvl w:val="7"/>
        <w:numId w:val="12"/>
      </w:numPr>
    </w:pPr>
    <w:rPr>
      <w:rFonts w:ascii="Arial" w:eastAsia="Times New Roman" w:hAnsi="Arial" w:cs="Times New Roman"/>
      <w:szCs w:val="24"/>
    </w:rPr>
  </w:style>
  <w:style w:type="paragraph" w:customStyle="1" w:styleId="Point4letter">
    <w:name w:val="Point 4 (letter)"/>
    <w:basedOn w:val="Normal"/>
    <w:pPr>
      <w:numPr>
        <w:ilvl w:val="8"/>
        <w:numId w:val="12"/>
      </w:numPr>
    </w:pPr>
    <w:rPr>
      <w:rFonts w:ascii="Arial" w:eastAsia="Times New Roman" w:hAnsi="Arial" w:cs="Times New Roman"/>
      <w:szCs w:val="24"/>
    </w:rPr>
  </w:style>
  <w:style w:type="paragraph" w:customStyle="1" w:styleId="Bullet0">
    <w:name w:val="Bullet 0"/>
    <w:basedOn w:val="Normal"/>
    <w:pPr>
      <w:numPr>
        <w:numId w:val="13"/>
      </w:numPr>
    </w:pPr>
    <w:rPr>
      <w:rFonts w:ascii="Arial" w:eastAsia="Times New Roman" w:hAnsi="Arial" w:cs="Times New Roman"/>
      <w:szCs w:val="24"/>
    </w:rPr>
  </w:style>
  <w:style w:type="paragraph" w:customStyle="1" w:styleId="Bullet1">
    <w:name w:val="Bullet 1"/>
    <w:basedOn w:val="Normal"/>
    <w:pPr>
      <w:numPr>
        <w:numId w:val="14"/>
      </w:numPr>
    </w:pPr>
    <w:rPr>
      <w:rFonts w:ascii="Arial" w:eastAsia="Times New Roman" w:hAnsi="Arial" w:cs="Times New Roman"/>
      <w:szCs w:val="24"/>
    </w:rPr>
  </w:style>
  <w:style w:type="paragraph" w:customStyle="1" w:styleId="Bullet2">
    <w:name w:val="Bullet 2"/>
    <w:basedOn w:val="Normal"/>
    <w:pPr>
      <w:numPr>
        <w:numId w:val="15"/>
      </w:numPr>
    </w:pPr>
    <w:rPr>
      <w:rFonts w:ascii="Arial" w:eastAsia="Times New Roman" w:hAnsi="Arial" w:cs="Times New Roman"/>
      <w:szCs w:val="24"/>
    </w:rPr>
  </w:style>
  <w:style w:type="paragraph" w:customStyle="1" w:styleId="Bullet3">
    <w:name w:val="Bullet 3"/>
    <w:basedOn w:val="Normal"/>
    <w:pPr>
      <w:numPr>
        <w:numId w:val="16"/>
      </w:numPr>
    </w:pPr>
    <w:rPr>
      <w:rFonts w:ascii="Arial" w:eastAsia="Times New Roman" w:hAnsi="Arial" w:cs="Times New Roman"/>
      <w:szCs w:val="24"/>
    </w:rPr>
  </w:style>
  <w:style w:type="paragraph" w:customStyle="1" w:styleId="Bullet4">
    <w:name w:val="Bullet 4"/>
    <w:basedOn w:val="Normal"/>
    <w:pPr>
      <w:numPr>
        <w:numId w:val="17"/>
      </w:numPr>
    </w:pPr>
    <w:rPr>
      <w:rFonts w:ascii="Arial" w:eastAsia="Times New Roman" w:hAnsi="Arial" w:cs="Times New Roman"/>
      <w:szCs w:val="24"/>
    </w:rPr>
  </w:style>
  <w:style w:type="paragraph" w:customStyle="1" w:styleId="Annexetitreexpos">
    <w:name w:val="Annexe titre (exposé)"/>
    <w:basedOn w:val="Normal"/>
    <w:next w:val="Normal"/>
    <w:pPr>
      <w:jc w:val="center"/>
    </w:pPr>
    <w:rPr>
      <w:rFonts w:ascii="Arial" w:eastAsia="Times New Roman" w:hAnsi="Arial" w:cs="Times New Roman"/>
      <w:b/>
      <w:szCs w:val="24"/>
      <w:u w:val="single"/>
    </w:rPr>
  </w:style>
  <w:style w:type="paragraph" w:customStyle="1" w:styleId="Annexetitre">
    <w:name w:val="Annexe titre"/>
    <w:basedOn w:val="Normal"/>
    <w:next w:val="Normal"/>
    <w:pPr>
      <w:jc w:val="center"/>
    </w:pPr>
    <w:rPr>
      <w:rFonts w:ascii="Arial" w:eastAsia="Times New Roman" w:hAnsi="Arial" w:cs="Times New Roman"/>
      <w:b/>
      <w:szCs w:val="24"/>
      <w:u w:val="single"/>
    </w:rPr>
  </w:style>
  <w:style w:type="paragraph" w:customStyle="1" w:styleId="Annexetitrefichefinancire">
    <w:name w:val="Annexe titre (fiche financière)"/>
    <w:basedOn w:val="Normal"/>
    <w:next w:val="Normal"/>
    <w:pPr>
      <w:jc w:val="center"/>
    </w:pPr>
    <w:rPr>
      <w:rFonts w:ascii="Arial" w:eastAsia="Times New Roman" w:hAnsi="Arial" w:cs="Times New Roman"/>
      <w:b/>
      <w:szCs w:val="24"/>
      <w:u w:val="single"/>
    </w:rPr>
  </w:style>
  <w:style w:type="paragraph" w:customStyle="1" w:styleId="Applicationdirecte">
    <w:name w:val="Application directe"/>
    <w:basedOn w:val="Normal"/>
    <w:next w:val="Fait"/>
    <w:pPr>
      <w:spacing w:before="480"/>
    </w:pPr>
    <w:rPr>
      <w:rFonts w:ascii="Arial" w:eastAsia="Times New Roman" w:hAnsi="Arial" w:cs="Times New Roman"/>
      <w:szCs w:val="24"/>
    </w:rPr>
  </w:style>
  <w:style w:type="paragraph" w:customStyle="1" w:styleId="Avertissementtitre">
    <w:name w:val="Avertissement titre"/>
    <w:basedOn w:val="Normal"/>
    <w:next w:val="Normal"/>
    <w:pPr>
      <w:keepNext/>
      <w:spacing w:before="480"/>
    </w:pPr>
    <w:rPr>
      <w:rFonts w:ascii="Arial" w:eastAsia="Times New Roman" w:hAnsi="Arial" w:cs="Times New Roman"/>
      <w:szCs w:val="24"/>
      <w:u w:val="single"/>
    </w:rPr>
  </w:style>
  <w:style w:type="paragraph" w:customStyle="1" w:styleId="Confidence">
    <w:name w:val="Confidence"/>
    <w:basedOn w:val="Normal"/>
    <w:next w:val="Normal"/>
    <w:pPr>
      <w:spacing w:before="360"/>
      <w:jc w:val="center"/>
    </w:pPr>
    <w:rPr>
      <w:rFonts w:ascii="Arial" w:eastAsia="Times New Roman" w:hAnsi="Arial" w:cs="Times New Roman"/>
      <w:szCs w:val="24"/>
    </w:rPr>
  </w:style>
  <w:style w:type="paragraph" w:customStyle="1" w:styleId="Confidentialit">
    <w:name w:val="Confidentialité"/>
    <w:basedOn w:val="Normal"/>
    <w:next w:val="TypedudocumentPagedecouverture"/>
    <w:pPr>
      <w:spacing w:before="240" w:after="240"/>
      <w:ind w:left="5103"/>
    </w:pPr>
    <w:rPr>
      <w:rFonts w:ascii="Arial" w:eastAsia="Times New Roman" w:hAnsi="Arial" w:cs="Times New Roman"/>
      <w:i/>
      <w:sz w:val="32"/>
      <w:szCs w:val="24"/>
    </w:rPr>
  </w:style>
  <w:style w:type="paragraph" w:customStyle="1" w:styleId="Considrant">
    <w:name w:val="Considérant"/>
    <w:basedOn w:val="Normal"/>
    <w:pPr>
      <w:numPr>
        <w:numId w:val="18"/>
      </w:numPr>
    </w:pPr>
    <w:rPr>
      <w:rFonts w:ascii="Arial" w:eastAsia="Times New Roman" w:hAnsi="Arial" w:cs="Times New Roman"/>
      <w:szCs w:val="24"/>
    </w:rPr>
  </w:style>
  <w:style w:type="paragraph" w:customStyle="1" w:styleId="Corrigendum">
    <w:name w:val="Corrigendum"/>
    <w:basedOn w:val="Normal"/>
    <w:next w:val="Normal"/>
    <w:pPr>
      <w:spacing w:before="0" w:after="240"/>
    </w:pPr>
    <w:rPr>
      <w:rFonts w:ascii="Arial" w:eastAsia="Times New Roman" w:hAnsi="Arial" w:cs="Times New Roman"/>
      <w:szCs w:val="24"/>
    </w:rPr>
  </w:style>
  <w:style w:type="paragraph" w:customStyle="1" w:styleId="Datedadoption">
    <w:name w:val="Date d'adoption"/>
    <w:basedOn w:val="Normal"/>
    <w:next w:val="Titreobjet"/>
    <w:pPr>
      <w:spacing w:before="360" w:after="0"/>
      <w:jc w:val="center"/>
    </w:pPr>
    <w:rPr>
      <w:rFonts w:ascii="Arial" w:eastAsia="Times New Roman" w:hAnsi="Arial" w:cs="Times New Roman"/>
      <w:b/>
      <w:szCs w:val="24"/>
    </w:rPr>
  </w:style>
  <w:style w:type="paragraph" w:customStyle="1" w:styleId="Emission">
    <w:name w:val="Emission"/>
    <w:basedOn w:val="Normal"/>
    <w:next w:val="Rfrenceinstitutionnelle"/>
    <w:pPr>
      <w:spacing w:before="0" w:after="0"/>
      <w:ind w:left="5103"/>
    </w:pPr>
    <w:rPr>
      <w:rFonts w:ascii="Arial" w:eastAsia="Times New Roman" w:hAnsi="Arial" w:cs="Times New Roman"/>
      <w:szCs w:val="24"/>
    </w:rPr>
  </w:style>
  <w:style w:type="paragraph" w:customStyle="1" w:styleId="Exposdesmotifstitre">
    <w:name w:val="Exposé des motifs titre"/>
    <w:basedOn w:val="Normal"/>
    <w:next w:val="Normal"/>
    <w:pPr>
      <w:jc w:val="center"/>
    </w:pPr>
    <w:rPr>
      <w:rFonts w:ascii="Arial" w:eastAsia="Times New Roman" w:hAnsi="Arial" w:cs="Times New Roman"/>
      <w:b/>
      <w:szCs w:val="24"/>
      <w:u w:val="single"/>
    </w:rPr>
  </w:style>
  <w:style w:type="paragraph" w:customStyle="1" w:styleId="Fait">
    <w:name w:val="Fait à"/>
    <w:basedOn w:val="Normal"/>
    <w:next w:val="Institutionquisigne"/>
    <w:pPr>
      <w:keepNext/>
      <w:spacing w:after="0"/>
    </w:pPr>
    <w:rPr>
      <w:rFonts w:ascii="Arial" w:eastAsia="Times New Roman" w:hAnsi="Arial" w:cs="Times New Roman"/>
      <w:szCs w:val="24"/>
    </w:rPr>
  </w:style>
  <w:style w:type="paragraph" w:customStyle="1" w:styleId="Formuledadoption">
    <w:name w:val="Formule d'adoption"/>
    <w:basedOn w:val="Normal"/>
    <w:next w:val="Titrearticle"/>
    <w:pPr>
      <w:keepNext/>
    </w:pPr>
    <w:rPr>
      <w:rFonts w:ascii="Arial" w:eastAsia="Times New Roman" w:hAnsi="Arial" w:cs="Times New Roman"/>
      <w:szCs w:val="24"/>
    </w:rPr>
  </w:style>
  <w:style w:type="paragraph" w:customStyle="1" w:styleId="Institutionquiagit">
    <w:name w:val="Institution qui agit"/>
    <w:basedOn w:val="Normal"/>
    <w:next w:val="Normal"/>
    <w:pPr>
      <w:keepNext/>
      <w:spacing w:before="600"/>
    </w:pPr>
    <w:rPr>
      <w:rFonts w:ascii="Arial" w:eastAsia="Times New Roman" w:hAnsi="Arial" w:cs="Times New Roman"/>
      <w:szCs w:val="24"/>
    </w:rPr>
  </w:style>
  <w:style w:type="paragraph" w:customStyle="1" w:styleId="Institutionquisigne">
    <w:name w:val="Institution qui signe"/>
    <w:basedOn w:val="Normal"/>
    <w:next w:val="Personnequisigne"/>
    <w:pPr>
      <w:keepNext/>
      <w:tabs>
        <w:tab w:val="left" w:pos="4252"/>
      </w:tabs>
      <w:spacing w:before="720" w:after="0"/>
    </w:pPr>
    <w:rPr>
      <w:rFonts w:ascii="Arial" w:eastAsia="Times New Roman" w:hAnsi="Arial" w:cs="Times New Roman"/>
      <w:i/>
      <w:szCs w:val="24"/>
    </w:rPr>
  </w:style>
  <w:style w:type="paragraph" w:customStyle="1" w:styleId="Langue">
    <w:name w:val="Langue"/>
    <w:basedOn w:val="Normal"/>
    <w:next w:val="Rfrenceinterne"/>
    <w:pPr>
      <w:framePr w:wrap="around" w:vAnchor="page" w:hAnchor="text" w:xAlign="center" w:y="14741"/>
      <w:spacing w:before="0" w:after="600"/>
      <w:jc w:val="center"/>
    </w:pPr>
    <w:rPr>
      <w:rFonts w:ascii="Arial" w:eastAsia="Times New Roman" w:hAnsi="Arial" w:cs="Times New Roman"/>
      <w:b/>
      <w:caps/>
      <w:szCs w:val="24"/>
    </w:rPr>
  </w:style>
  <w:style w:type="paragraph" w:customStyle="1" w:styleId="ManualConsidrant">
    <w:name w:val="Manual Considérant"/>
    <w:basedOn w:val="Normal"/>
    <w:pPr>
      <w:ind w:left="709" w:hanging="709"/>
    </w:pPr>
    <w:rPr>
      <w:rFonts w:ascii="Arial" w:eastAsia="Times New Roman" w:hAnsi="Arial" w:cs="Times New Roman"/>
      <w:szCs w:val="24"/>
    </w:rPr>
  </w:style>
  <w:style w:type="paragraph" w:customStyle="1" w:styleId="Nomdelinstitution">
    <w:name w:val="Nom de l'institution"/>
    <w:basedOn w:val="Normal"/>
    <w:next w:val="Emission"/>
    <w:pPr>
      <w:spacing w:before="0" w:after="0"/>
    </w:pPr>
    <w:rPr>
      <w:rFonts w:ascii="Arial" w:eastAsia="Times New Roman" w:hAnsi="Arial" w:cs="Arial"/>
      <w:szCs w:val="24"/>
    </w:rPr>
  </w:style>
  <w:style w:type="paragraph" w:customStyle="1" w:styleId="Personnequisigne">
    <w:name w:val="Personne qui signe"/>
    <w:basedOn w:val="Normal"/>
    <w:next w:val="Institutionquisigne"/>
    <w:pPr>
      <w:tabs>
        <w:tab w:val="left" w:pos="4252"/>
      </w:tabs>
      <w:spacing w:before="0" w:after="0"/>
    </w:pPr>
    <w:rPr>
      <w:rFonts w:ascii="Arial" w:eastAsia="Times New Roman" w:hAnsi="Arial" w:cs="Times New Roman"/>
      <w:i/>
      <w:szCs w:val="24"/>
    </w:rPr>
  </w:style>
  <w:style w:type="paragraph" w:customStyle="1" w:styleId="Rfrenceinstitutionnelle">
    <w:name w:val="Référence institutionnelle"/>
    <w:basedOn w:val="Normal"/>
    <w:next w:val="Confidentialit"/>
    <w:pPr>
      <w:spacing w:before="0" w:after="240"/>
      <w:ind w:left="5103"/>
    </w:pPr>
    <w:rPr>
      <w:rFonts w:ascii="Arial" w:eastAsia="Times New Roman" w:hAnsi="Arial" w:cs="Times New Roman"/>
      <w:szCs w:val="24"/>
    </w:rPr>
  </w:style>
  <w:style w:type="paragraph" w:customStyle="1" w:styleId="Rfrenceinterinstitutionnelle">
    <w:name w:val="Référence interinstitutionnelle"/>
    <w:basedOn w:val="Normal"/>
    <w:next w:val="Statut"/>
    <w:pPr>
      <w:spacing w:before="0" w:after="0"/>
      <w:ind w:left="5103"/>
    </w:pPr>
    <w:rPr>
      <w:rFonts w:ascii="Arial" w:eastAsia="Times New Roman" w:hAnsi="Arial" w:cs="Times New Roman"/>
      <w:szCs w:val="24"/>
    </w:rPr>
  </w:style>
  <w:style w:type="paragraph" w:customStyle="1" w:styleId="Rfrenceinterne">
    <w:name w:val="Référence interne"/>
    <w:basedOn w:val="Normal"/>
    <w:next w:val="Rfrenceinterinstitutionnelle"/>
    <w:pPr>
      <w:spacing w:before="0" w:after="0"/>
      <w:ind w:left="5103"/>
    </w:pPr>
    <w:rPr>
      <w:rFonts w:ascii="Arial" w:eastAsia="Times New Roman" w:hAnsi="Arial" w:cs="Times New Roman"/>
      <w:szCs w:val="24"/>
    </w:rPr>
  </w:style>
  <w:style w:type="paragraph" w:customStyle="1" w:styleId="Sous-titreobjet">
    <w:name w:val="Sous-titre objet"/>
    <w:basedOn w:val="Normal"/>
    <w:pPr>
      <w:spacing w:before="0" w:after="0"/>
      <w:jc w:val="center"/>
    </w:pPr>
    <w:rPr>
      <w:rFonts w:ascii="Arial" w:eastAsia="Times New Roman" w:hAnsi="Arial" w:cs="Times New Roman"/>
      <w:b/>
      <w:szCs w:val="24"/>
    </w:rPr>
  </w:style>
  <w:style w:type="paragraph" w:customStyle="1" w:styleId="Statut">
    <w:name w:val="Statut"/>
    <w:basedOn w:val="Normal"/>
    <w:next w:val="Typedudocument"/>
    <w:pPr>
      <w:spacing w:before="360" w:after="0"/>
      <w:jc w:val="center"/>
    </w:pPr>
    <w:rPr>
      <w:rFonts w:ascii="Arial" w:eastAsia="Times New Roman" w:hAnsi="Arial" w:cs="Times New Roman"/>
      <w:szCs w:val="24"/>
    </w:rPr>
  </w:style>
  <w:style w:type="paragraph" w:customStyle="1" w:styleId="Titrearticle">
    <w:name w:val="Titre article"/>
    <w:basedOn w:val="Normal"/>
    <w:next w:val="Normal"/>
    <w:pPr>
      <w:keepNext/>
      <w:spacing w:before="360"/>
      <w:jc w:val="center"/>
    </w:pPr>
    <w:rPr>
      <w:rFonts w:ascii="Arial" w:eastAsia="Times New Roman" w:hAnsi="Arial" w:cs="Times New Roman"/>
      <w:i/>
      <w:szCs w:val="24"/>
    </w:rPr>
  </w:style>
  <w:style w:type="character" w:customStyle="1" w:styleId="Added">
    <w:name w:val="Added"/>
    <w:rPr>
      <w:rFonts w:cs="Times New Roman"/>
      <w:b/>
      <w:u w:val="single"/>
      <w:shd w:val="clear" w:color="auto" w:fill="auto"/>
    </w:rPr>
  </w:style>
  <w:style w:type="character" w:customStyle="1" w:styleId="Deleted">
    <w:name w:val="Deleted"/>
    <w:rPr>
      <w:rFonts w:cs="Times New Roman"/>
      <w:strike/>
      <w:shd w:val="clear" w:color="auto" w:fill="auto"/>
    </w:rPr>
  </w:style>
  <w:style w:type="paragraph" w:customStyle="1" w:styleId="Address">
    <w:name w:val="Address"/>
    <w:basedOn w:val="Normal"/>
    <w:next w:val="Normal"/>
    <w:pPr>
      <w:keepLines/>
      <w:spacing w:line="360" w:lineRule="auto"/>
      <w:ind w:left="3402"/>
    </w:pPr>
    <w:rPr>
      <w:rFonts w:ascii="Arial" w:eastAsia="Times New Roman" w:hAnsi="Arial" w:cs="Times New Roman"/>
      <w:szCs w:val="24"/>
    </w:rPr>
  </w:style>
  <w:style w:type="paragraph" w:customStyle="1" w:styleId="Objetexterne">
    <w:name w:val="Objet externe"/>
    <w:basedOn w:val="Normal"/>
    <w:next w:val="Normal"/>
    <w:rPr>
      <w:rFonts w:ascii="Arial" w:eastAsia="Times New Roman" w:hAnsi="Arial" w:cs="Times New Roman"/>
      <w:i/>
      <w:caps/>
      <w:szCs w:val="24"/>
    </w:rPr>
  </w:style>
  <w:style w:type="paragraph" w:customStyle="1" w:styleId="Supertitre">
    <w:name w:val="Supertitre"/>
    <w:basedOn w:val="Normal"/>
    <w:next w:val="Normal"/>
    <w:pPr>
      <w:spacing w:before="0" w:after="600"/>
      <w:jc w:val="center"/>
    </w:pPr>
    <w:rPr>
      <w:rFonts w:ascii="Arial" w:eastAsia="Times New Roman" w:hAnsi="Arial" w:cs="Times New Roman"/>
      <w:b/>
      <w:szCs w:val="24"/>
    </w:rPr>
  </w:style>
  <w:style w:type="paragraph" w:customStyle="1" w:styleId="Languesfaisantfoi">
    <w:name w:val="Langues faisant foi"/>
    <w:basedOn w:val="Normal"/>
    <w:next w:val="Normal"/>
    <w:pPr>
      <w:spacing w:before="360" w:after="0"/>
      <w:jc w:val="center"/>
    </w:pPr>
    <w:rPr>
      <w:rFonts w:ascii="Arial" w:eastAsia="Times New Roman" w:hAnsi="Arial" w:cs="Times New Roman"/>
      <w:szCs w:val="24"/>
    </w:rPr>
  </w:style>
  <w:style w:type="paragraph" w:customStyle="1" w:styleId="Rfrencecroise">
    <w:name w:val="Référence croisée"/>
    <w:basedOn w:val="Normal"/>
    <w:pPr>
      <w:spacing w:before="0" w:after="0"/>
      <w:jc w:val="center"/>
    </w:pPr>
    <w:rPr>
      <w:rFonts w:ascii="Arial" w:eastAsia="Times New Roman" w:hAnsi="Arial" w:cs="Times New Roman"/>
      <w:szCs w:val="24"/>
    </w:rPr>
  </w:style>
  <w:style w:type="paragraph" w:customStyle="1" w:styleId="Fichefinanciretitre">
    <w:name w:val="Fiche financière titre"/>
    <w:basedOn w:val="Normal"/>
    <w:next w:val="Normal"/>
    <w:pPr>
      <w:jc w:val="center"/>
    </w:pPr>
    <w:rPr>
      <w:rFonts w:ascii="Arial" w:eastAsia="Times New Roman" w:hAnsi="Arial" w:cs="Times New Roman"/>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rPr>
      <w:rFonts w:ascii="Arial" w:eastAsia="Times New Roman" w:hAnsi="Arial"/>
      <w:szCs w:val="24"/>
    </w:rPr>
  </w:style>
  <w:style w:type="paragraph" w:customStyle="1" w:styleId="TypedudocumentPagedecouverture">
    <w:name w:val="Type du document (Page de couverture)"/>
    <w:basedOn w:val="Typedudocument"/>
    <w:next w:val="TitreobjetPagedecouverture"/>
    <w:rPr>
      <w:rFonts w:ascii="Arial" w:eastAsia="Times New Roman" w:hAnsi="Arial"/>
      <w:szCs w:val="24"/>
    </w:rPr>
  </w:style>
  <w:style w:type="paragraph" w:customStyle="1" w:styleId="Volume">
    <w:name w:val="Volume"/>
    <w:basedOn w:val="Normal"/>
    <w:next w:val="Confidentialit"/>
    <w:pPr>
      <w:spacing w:before="0" w:after="240"/>
      <w:ind w:left="5103"/>
    </w:pPr>
    <w:rPr>
      <w:rFonts w:ascii="Arial" w:eastAsia="Times New Roman" w:hAnsi="Arial" w:cs="Times New Roman"/>
      <w:szCs w:val="24"/>
    </w:r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rPr>
      <w:rFonts w:ascii="Arial" w:eastAsia="Times New Roman" w:hAnsi="Arial"/>
      <w:szCs w:val="24"/>
    </w:rPr>
  </w:style>
  <w:style w:type="paragraph" w:customStyle="1" w:styleId="TypeacteprincipalPagedecouverture">
    <w:name w:val="Type acte principal (Page de couverture)"/>
    <w:basedOn w:val="Typeacteprincipal"/>
    <w:next w:val="ObjetacteprincipalPagedecouverture"/>
    <w:rPr>
      <w:rFonts w:ascii="Arial" w:eastAsia="Times New Roman" w:hAnsi="Arial"/>
      <w:szCs w:val="24"/>
    </w:rPr>
  </w:style>
  <w:style w:type="paragraph" w:customStyle="1" w:styleId="ObjetacteprincipalPagedecouverture">
    <w:name w:val="Objet acte principal (Page de couverture)"/>
    <w:basedOn w:val="Objetacteprincipal"/>
    <w:next w:val="Rfrencecroise"/>
    <w:rPr>
      <w:rFonts w:ascii="Arial" w:eastAsia="Times New Roman" w:hAnsi="Arial"/>
      <w:szCs w:val="24"/>
    </w:rPr>
  </w:style>
  <w:style w:type="paragraph" w:customStyle="1" w:styleId="LanguesfaisantfoiPagedecouverture">
    <w:name w:val="Langues faisant foi (Page de couverture)"/>
    <w:basedOn w:val="Normal"/>
    <w:next w:val="Normal"/>
    <w:pPr>
      <w:spacing w:before="360" w:after="0"/>
      <w:jc w:val="center"/>
    </w:pPr>
    <w:rPr>
      <w:rFonts w:ascii="Arial" w:eastAsia="Times New Roman" w:hAnsi="Arial" w:cs="Times New Roman"/>
      <w:szCs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Pr>
      <w:rFonts w:cs="Times New Roman"/>
      <w:shd w:val="clear" w:color="auto" w:fill="auto"/>
    </w:rPr>
  </w:style>
  <w:style w:type="character" w:styleId="Hyperlink">
    <w:name w:val="Hyperlink"/>
    <w:uiPriority w:val="99"/>
    <w:rPr>
      <w:color w:val="0000FF"/>
      <w:u w:val="single"/>
    </w:rPr>
  </w:style>
  <w:style w:type="paragraph" w:customStyle="1" w:styleId="HEADERCHAPTER1">
    <w:name w:val="HEADER CHAPTER 1"/>
    <w:basedOn w:val="Normal"/>
    <w:semiHidden/>
    <w:pPr>
      <w:numPr>
        <w:numId w:val="20"/>
      </w:numPr>
      <w:spacing w:before="240" w:after="240"/>
    </w:pPr>
    <w:rPr>
      <w:rFonts w:ascii="Verdana" w:eastAsia="Times New Roman" w:hAnsi="Verdana" w:cs="Times New Roman"/>
      <w:b/>
      <w:caps/>
      <w:sz w:val="22"/>
      <w:szCs w:val="24"/>
    </w:rPr>
  </w:style>
  <w:style w:type="paragraph" w:customStyle="1" w:styleId="StyleVerdana10ptCentered">
    <w:name w:val="Style Verdana 10 pt Centered"/>
    <w:basedOn w:val="Normal"/>
    <w:semiHidden/>
    <w:pPr>
      <w:numPr>
        <w:numId w:val="19"/>
      </w:numPr>
      <w:spacing w:before="0" w:after="0"/>
      <w:jc w:val="center"/>
    </w:pPr>
    <w:rPr>
      <w:rFonts w:ascii="Verdana" w:eastAsia="Times New Roman" w:hAnsi="Verdana" w:cs="Times New Roman"/>
      <w:sz w:val="20"/>
      <w:szCs w:val="20"/>
    </w:rPr>
  </w:style>
  <w:style w:type="paragraph" w:customStyle="1" w:styleId="Text">
    <w:name w:val="Text"/>
    <w:basedOn w:val="Normal"/>
    <w:pPr>
      <w:spacing w:before="0" w:after="0"/>
    </w:pPr>
    <w:rPr>
      <w:rFonts w:ascii="Arial" w:eastAsia="Times New Roman" w:hAnsi="Arial" w:cs="Arial"/>
      <w:sz w:val="22"/>
    </w:rPr>
  </w:style>
  <w:style w:type="paragraph" w:styleId="NormalWeb">
    <w:name w:val="Normal (Web)"/>
    <w:basedOn w:val="Normal"/>
    <w:uiPriority w:val="99"/>
    <w:rPr>
      <w:rFonts w:ascii="Arial" w:eastAsia="Times New Roman" w:hAnsi="Arial" w:cs="Times New Roman"/>
      <w:szCs w:val="24"/>
    </w:rPr>
  </w:style>
  <w:style w:type="character" w:customStyle="1" w:styleId="welcomebodytext">
    <w:name w:val="welcomebodytex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M4">
    <w:name w:val="CM4"/>
    <w:basedOn w:val="Default"/>
    <w:next w:val="Default"/>
    <w:rPr>
      <w:rFonts w:ascii="EUAlbertina" w:hAnsi="EUAlbertina" w:cs="Times New Roman"/>
      <w:color w:val="auto"/>
    </w:rPr>
  </w:style>
  <w:style w:type="paragraph" w:customStyle="1" w:styleId="CM1">
    <w:name w:val="CM1"/>
    <w:basedOn w:val="Default"/>
    <w:next w:val="Default"/>
    <w:rPr>
      <w:rFonts w:ascii="EUAlbertina" w:hAnsi="EUAlbertina" w:cs="Times New Roman"/>
      <w:color w:val="auto"/>
    </w:rPr>
  </w:style>
  <w:style w:type="paragraph" w:customStyle="1" w:styleId="ListBullet1">
    <w:name w:val="List Bullet 1"/>
    <w:basedOn w:val="Normal"/>
    <w:pPr>
      <w:numPr>
        <w:numId w:val="21"/>
      </w:numPr>
    </w:pPr>
    <w:rPr>
      <w:rFonts w:ascii="Arial" w:eastAsia="Times New Roman" w:hAnsi="Arial" w:cs="Times New Roman"/>
      <w:szCs w:val="24"/>
    </w:rPr>
  </w:style>
  <w:style w:type="paragraph" w:customStyle="1" w:styleId="ListDash1">
    <w:name w:val="List Dash 1"/>
    <w:basedOn w:val="Normal"/>
    <w:pPr>
      <w:numPr>
        <w:numId w:val="22"/>
      </w:numPr>
    </w:pPr>
    <w:rPr>
      <w:rFonts w:ascii="Arial" w:eastAsia="Times New Roman" w:hAnsi="Arial" w:cs="Times New Roman"/>
      <w:szCs w:val="24"/>
    </w:rPr>
  </w:style>
  <w:style w:type="paragraph" w:styleId="Caption">
    <w:name w:val="caption"/>
    <w:basedOn w:val="Normal"/>
    <w:next w:val="Normal"/>
    <w:qFormat/>
    <w:rPr>
      <w:rFonts w:ascii="Arial" w:eastAsia="Times New Roman" w:hAnsi="Arial" w:cs="Times New Roman"/>
      <w:b/>
      <w:bCs/>
      <w:sz w:val="20"/>
      <w:szCs w:val="20"/>
    </w:rPr>
  </w:style>
  <w:style w:type="paragraph" w:styleId="TableofFigures">
    <w:name w:val="table of figures"/>
    <w:basedOn w:val="Normal"/>
    <w:next w:val="Normal"/>
    <w:semiHidden/>
    <w:rPr>
      <w:rFonts w:ascii="Arial" w:eastAsia="Times New Roman" w:hAnsi="Arial" w:cs="Times New Roman"/>
      <w:szCs w:val="24"/>
    </w:rPr>
  </w:style>
  <w:style w:type="paragraph" w:styleId="ListBullet">
    <w:name w:val="List Bullet"/>
    <w:basedOn w:val="Normal"/>
    <w:pPr>
      <w:numPr>
        <w:numId w:val="23"/>
      </w:numPr>
    </w:pPr>
    <w:rPr>
      <w:rFonts w:ascii="Arial" w:eastAsia="Times New Roman" w:hAnsi="Arial" w:cs="Times New Roman"/>
      <w:szCs w:val="24"/>
    </w:rPr>
  </w:style>
  <w:style w:type="paragraph" w:styleId="ListBullet2">
    <w:name w:val="List Bullet 2"/>
    <w:basedOn w:val="Normal"/>
    <w:pPr>
      <w:numPr>
        <w:numId w:val="24"/>
      </w:numPr>
    </w:pPr>
    <w:rPr>
      <w:rFonts w:ascii="Arial" w:eastAsia="Times New Roman" w:hAnsi="Arial" w:cs="Times New Roman"/>
      <w:szCs w:val="24"/>
    </w:rPr>
  </w:style>
  <w:style w:type="paragraph" w:styleId="ListBullet3">
    <w:name w:val="List Bullet 3"/>
    <w:basedOn w:val="Normal"/>
  </w:style>
  <w:style w:type="paragraph" w:styleId="ListBullet4">
    <w:name w:val="List Bullet 4"/>
    <w:basedOn w:val="Normal"/>
    <w:pPr>
      <w:numPr>
        <w:numId w:val="25"/>
      </w:numPr>
    </w:pPr>
    <w:rPr>
      <w:rFonts w:ascii="Arial" w:eastAsia="Times New Roman" w:hAnsi="Arial" w:cs="Times New Roman"/>
      <w:szCs w:val="24"/>
    </w:rPr>
  </w:style>
  <w:style w:type="paragraph" w:styleId="ListNumber3">
    <w:name w:val="List Number 3"/>
    <w:basedOn w:val="Normal"/>
  </w:style>
  <w:style w:type="paragraph" w:styleId="ListNumber4">
    <w:name w:val="List Number 4"/>
    <w:basedOn w:val="Normal"/>
    <w:pPr>
      <w:numPr>
        <w:numId w:val="26"/>
      </w:numPr>
    </w:pPr>
    <w:rPr>
      <w:rFonts w:ascii="Arial" w:eastAsia="Times New Roman" w:hAnsi="Arial" w:cs="Times New Roman"/>
      <w:szCs w:val="24"/>
    </w:rPr>
  </w:style>
  <w:style w:type="character" w:styleId="Strong">
    <w:name w:val="Strong"/>
    <w:qFormat/>
    <w:rPr>
      <w:b/>
      <w:bCs/>
    </w:rPr>
  </w:style>
  <w:style w:type="paragraph" w:styleId="List">
    <w:name w:val="List"/>
    <w:basedOn w:val="Normal"/>
    <w:pPr>
      <w:ind w:left="283" w:hanging="283"/>
      <w:contextualSpacing/>
    </w:pPr>
    <w:rPr>
      <w:rFonts w:ascii="Arial" w:eastAsia="Times New Roman" w:hAnsi="Arial" w:cs="Times New Roman"/>
      <w:szCs w:val="24"/>
    </w:rPr>
  </w:style>
  <w:style w:type="paragraph" w:styleId="EndnoteText">
    <w:name w:val="endnote text"/>
    <w:basedOn w:val="Normal"/>
    <w:link w:val="EndnoteTextChar"/>
    <w:rPr>
      <w:rFonts w:ascii="Arial" w:eastAsia="Times New Roman" w:hAnsi="Arial" w:cs="Times New Roman"/>
      <w:sz w:val="20"/>
      <w:szCs w:val="20"/>
    </w:rPr>
  </w:style>
  <w:style w:type="character" w:customStyle="1" w:styleId="EndnoteTextChar">
    <w:name w:val="Endnote Text Char"/>
    <w:basedOn w:val="DefaultParagraphFont"/>
    <w:link w:val="EndnoteText"/>
    <w:rPr>
      <w:rFonts w:ascii="Arial" w:eastAsia="Times New Roman" w:hAnsi="Arial" w:cs="Times New Roman"/>
      <w:sz w:val="20"/>
      <w:szCs w:val="20"/>
    </w:rPr>
  </w:style>
  <w:style w:type="character" w:styleId="EndnoteReference">
    <w:name w:val="endnote reference"/>
    <w:rPr>
      <w:vertAlign w:val="superscript"/>
    </w:rPr>
  </w:style>
  <w:style w:type="paragraph" w:styleId="Revision">
    <w:name w:val="Revision"/>
    <w:hidden/>
    <w:uiPriority w:val="99"/>
    <w:semiHidden/>
    <w:pPr>
      <w:spacing w:after="0" w:line="240" w:lineRule="auto"/>
    </w:pPr>
    <w:rPr>
      <w:rFonts w:ascii="Arial" w:eastAsia="Times New Roman" w:hAnsi="Arial" w:cs="Times New Roman"/>
      <w:sz w:val="24"/>
      <w:szCs w:val="24"/>
    </w:rPr>
  </w:style>
  <w:style w:type="character" w:styleId="FollowedHyperlink">
    <w:name w:val="FollowedHyperlink"/>
    <w:basedOn w:val="DefaultParagraphFont"/>
    <w:rPr>
      <w:color w:val="800080" w:themeColor="followedHyperlink"/>
      <w:u w:val="single"/>
    </w:r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59232">
      <w:bodyDiv w:val="1"/>
      <w:marLeft w:val="0"/>
      <w:marRight w:val="0"/>
      <w:marTop w:val="0"/>
      <w:marBottom w:val="0"/>
      <w:divBdr>
        <w:top w:val="none" w:sz="0" w:space="0" w:color="auto"/>
        <w:left w:val="none" w:sz="0" w:space="0" w:color="auto"/>
        <w:bottom w:val="none" w:sz="0" w:space="0" w:color="auto"/>
        <w:right w:val="none" w:sz="0" w:space="0" w:color="auto"/>
      </w:divBdr>
      <w:divsChild>
        <w:div w:id="1004741281">
          <w:marLeft w:val="0"/>
          <w:marRight w:val="0"/>
          <w:marTop w:val="0"/>
          <w:marBottom w:val="0"/>
          <w:divBdr>
            <w:top w:val="none" w:sz="0" w:space="0" w:color="auto"/>
            <w:left w:val="none" w:sz="0" w:space="0" w:color="auto"/>
            <w:bottom w:val="none" w:sz="0" w:space="0" w:color="auto"/>
            <w:right w:val="none" w:sz="0" w:space="0" w:color="auto"/>
          </w:divBdr>
          <w:divsChild>
            <w:div w:id="1112627047">
              <w:marLeft w:val="0"/>
              <w:marRight w:val="0"/>
              <w:marTop w:val="0"/>
              <w:marBottom w:val="0"/>
              <w:divBdr>
                <w:top w:val="none" w:sz="0" w:space="0" w:color="auto"/>
                <w:left w:val="none" w:sz="0" w:space="0" w:color="auto"/>
                <w:bottom w:val="none" w:sz="0" w:space="0" w:color="auto"/>
                <w:right w:val="none" w:sz="0" w:space="0" w:color="auto"/>
              </w:divBdr>
              <w:divsChild>
                <w:div w:id="1997562772">
                  <w:marLeft w:val="0"/>
                  <w:marRight w:val="0"/>
                  <w:marTop w:val="0"/>
                  <w:marBottom w:val="0"/>
                  <w:divBdr>
                    <w:top w:val="none" w:sz="0" w:space="0" w:color="auto"/>
                    <w:left w:val="single" w:sz="6" w:space="8" w:color="61B6E5"/>
                    <w:bottom w:val="none" w:sz="0" w:space="0" w:color="auto"/>
                    <w:right w:val="single" w:sz="6" w:space="8" w:color="61B6E5"/>
                  </w:divBdr>
                  <w:divsChild>
                    <w:div w:id="10542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7774">
      <w:bodyDiv w:val="1"/>
      <w:marLeft w:val="0"/>
      <w:marRight w:val="0"/>
      <w:marTop w:val="0"/>
      <w:marBottom w:val="0"/>
      <w:divBdr>
        <w:top w:val="none" w:sz="0" w:space="0" w:color="auto"/>
        <w:left w:val="none" w:sz="0" w:space="0" w:color="auto"/>
        <w:bottom w:val="none" w:sz="0" w:space="0" w:color="auto"/>
        <w:right w:val="none" w:sz="0" w:space="0" w:color="auto"/>
      </w:divBdr>
    </w:div>
    <w:div w:id="590553714">
      <w:bodyDiv w:val="1"/>
      <w:marLeft w:val="0"/>
      <w:marRight w:val="0"/>
      <w:marTop w:val="0"/>
      <w:marBottom w:val="0"/>
      <w:divBdr>
        <w:top w:val="none" w:sz="0" w:space="0" w:color="auto"/>
        <w:left w:val="none" w:sz="0" w:space="0" w:color="auto"/>
        <w:bottom w:val="none" w:sz="0" w:space="0" w:color="auto"/>
        <w:right w:val="none" w:sz="0" w:space="0" w:color="auto"/>
      </w:divBdr>
      <w:divsChild>
        <w:div w:id="715349960">
          <w:marLeft w:val="0"/>
          <w:marRight w:val="0"/>
          <w:marTop w:val="0"/>
          <w:marBottom w:val="0"/>
          <w:divBdr>
            <w:top w:val="none" w:sz="0" w:space="0" w:color="auto"/>
            <w:left w:val="none" w:sz="0" w:space="0" w:color="auto"/>
            <w:bottom w:val="none" w:sz="0" w:space="0" w:color="auto"/>
            <w:right w:val="none" w:sz="0" w:space="0" w:color="auto"/>
          </w:divBdr>
          <w:divsChild>
            <w:div w:id="1203127869">
              <w:marLeft w:val="0"/>
              <w:marRight w:val="0"/>
              <w:marTop w:val="0"/>
              <w:marBottom w:val="0"/>
              <w:divBdr>
                <w:top w:val="none" w:sz="0" w:space="0" w:color="auto"/>
                <w:left w:val="none" w:sz="0" w:space="0" w:color="auto"/>
                <w:bottom w:val="none" w:sz="0" w:space="0" w:color="auto"/>
                <w:right w:val="none" w:sz="0" w:space="0" w:color="auto"/>
              </w:divBdr>
              <w:divsChild>
                <w:div w:id="1477069741">
                  <w:marLeft w:val="0"/>
                  <w:marRight w:val="0"/>
                  <w:marTop w:val="0"/>
                  <w:marBottom w:val="0"/>
                  <w:divBdr>
                    <w:top w:val="none" w:sz="0" w:space="0" w:color="auto"/>
                    <w:left w:val="single" w:sz="6" w:space="8" w:color="61B6E5"/>
                    <w:bottom w:val="none" w:sz="0" w:space="0" w:color="auto"/>
                    <w:right w:val="single" w:sz="6" w:space="8" w:color="61B6E5"/>
                  </w:divBdr>
                  <w:divsChild>
                    <w:div w:id="11008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82756">
      <w:bodyDiv w:val="1"/>
      <w:marLeft w:val="0"/>
      <w:marRight w:val="0"/>
      <w:marTop w:val="0"/>
      <w:marBottom w:val="0"/>
      <w:divBdr>
        <w:top w:val="none" w:sz="0" w:space="0" w:color="auto"/>
        <w:left w:val="none" w:sz="0" w:space="0" w:color="auto"/>
        <w:bottom w:val="none" w:sz="0" w:space="0" w:color="auto"/>
        <w:right w:val="none" w:sz="0" w:space="0" w:color="auto"/>
      </w:divBdr>
      <w:divsChild>
        <w:div w:id="37972834">
          <w:marLeft w:val="0"/>
          <w:marRight w:val="0"/>
          <w:marTop w:val="0"/>
          <w:marBottom w:val="0"/>
          <w:divBdr>
            <w:top w:val="none" w:sz="0" w:space="0" w:color="auto"/>
            <w:left w:val="none" w:sz="0" w:space="0" w:color="auto"/>
            <w:bottom w:val="none" w:sz="0" w:space="0" w:color="auto"/>
            <w:right w:val="none" w:sz="0" w:space="0" w:color="auto"/>
          </w:divBdr>
          <w:divsChild>
            <w:div w:id="72556646">
              <w:marLeft w:val="0"/>
              <w:marRight w:val="0"/>
              <w:marTop w:val="0"/>
              <w:marBottom w:val="0"/>
              <w:divBdr>
                <w:top w:val="none" w:sz="0" w:space="0" w:color="auto"/>
                <w:left w:val="none" w:sz="0" w:space="0" w:color="auto"/>
                <w:bottom w:val="none" w:sz="0" w:space="0" w:color="auto"/>
                <w:right w:val="none" w:sz="0" w:space="0" w:color="auto"/>
              </w:divBdr>
              <w:divsChild>
                <w:div w:id="1953247883">
                  <w:marLeft w:val="0"/>
                  <w:marRight w:val="0"/>
                  <w:marTop w:val="0"/>
                  <w:marBottom w:val="0"/>
                  <w:divBdr>
                    <w:top w:val="none" w:sz="0" w:space="0" w:color="auto"/>
                    <w:left w:val="single" w:sz="6" w:space="8" w:color="61B6E5"/>
                    <w:bottom w:val="none" w:sz="0" w:space="0" w:color="auto"/>
                    <w:right w:val="single" w:sz="6" w:space="8" w:color="61B6E5"/>
                  </w:divBdr>
                  <w:divsChild>
                    <w:div w:id="13687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4651">
      <w:bodyDiv w:val="1"/>
      <w:marLeft w:val="0"/>
      <w:marRight w:val="0"/>
      <w:marTop w:val="0"/>
      <w:marBottom w:val="0"/>
      <w:divBdr>
        <w:top w:val="none" w:sz="0" w:space="0" w:color="auto"/>
        <w:left w:val="none" w:sz="0" w:space="0" w:color="auto"/>
        <w:bottom w:val="none" w:sz="0" w:space="0" w:color="auto"/>
        <w:right w:val="none" w:sz="0" w:space="0" w:color="auto"/>
      </w:divBdr>
    </w:div>
    <w:div w:id="1535726552">
      <w:bodyDiv w:val="1"/>
      <w:marLeft w:val="0"/>
      <w:marRight w:val="0"/>
      <w:marTop w:val="0"/>
      <w:marBottom w:val="0"/>
      <w:divBdr>
        <w:top w:val="none" w:sz="0" w:space="0" w:color="auto"/>
        <w:left w:val="none" w:sz="0" w:space="0" w:color="auto"/>
        <w:bottom w:val="none" w:sz="0" w:space="0" w:color="auto"/>
        <w:right w:val="none" w:sz="0" w:space="0" w:color="auto"/>
      </w:divBdr>
      <w:divsChild>
        <w:div w:id="1092433633">
          <w:marLeft w:val="0"/>
          <w:marRight w:val="0"/>
          <w:marTop w:val="0"/>
          <w:marBottom w:val="0"/>
          <w:divBdr>
            <w:top w:val="none" w:sz="0" w:space="0" w:color="auto"/>
            <w:left w:val="none" w:sz="0" w:space="0" w:color="auto"/>
            <w:bottom w:val="none" w:sz="0" w:space="0" w:color="auto"/>
            <w:right w:val="none" w:sz="0" w:space="0" w:color="auto"/>
          </w:divBdr>
          <w:divsChild>
            <w:div w:id="201139745">
              <w:marLeft w:val="0"/>
              <w:marRight w:val="0"/>
              <w:marTop w:val="0"/>
              <w:marBottom w:val="0"/>
              <w:divBdr>
                <w:top w:val="none" w:sz="0" w:space="0" w:color="auto"/>
                <w:left w:val="none" w:sz="0" w:space="0" w:color="auto"/>
                <w:bottom w:val="none" w:sz="0" w:space="0" w:color="auto"/>
                <w:right w:val="none" w:sz="0" w:space="0" w:color="auto"/>
              </w:divBdr>
              <w:divsChild>
                <w:div w:id="1007707080">
                  <w:marLeft w:val="0"/>
                  <w:marRight w:val="0"/>
                  <w:marTop w:val="0"/>
                  <w:marBottom w:val="0"/>
                  <w:divBdr>
                    <w:top w:val="none" w:sz="0" w:space="0" w:color="auto"/>
                    <w:left w:val="single" w:sz="6" w:space="8" w:color="61B6E5"/>
                    <w:bottom w:val="none" w:sz="0" w:space="0" w:color="auto"/>
                    <w:right w:val="single" w:sz="6" w:space="8" w:color="61B6E5"/>
                  </w:divBdr>
                  <w:divsChild>
                    <w:div w:id="1521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520">
      <w:bodyDiv w:val="1"/>
      <w:marLeft w:val="0"/>
      <w:marRight w:val="0"/>
      <w:marTop w:val="0"/>
      <w:marBottom w:val="0"/>
      <w:divBdr>
        <w:top w:val="none" w:sz="0" w:space="0" w:color="auto"/>
        <w:left w:val="none" w:sz="0" w:space="0" w:color="auto"/>
        <w:bottom w:val="none" w:sz="0" w:space="0" w:color="auto"/>
        <w:right w:val="none" w:sz="0" w:space="0" w:color="auto"/>
      </w:divBdr>
    </w:div>
    <w:div w:id="1691490105">
      <w:bodyDiv w:val="1"/>
      <w:marLeft w:val="0"/>
      <w:marRight w:val="0"/>
      <w:marTop w:val="0"/>
      <w:marBottom w:val="0"/>
      <w:divBdr>
        <w:top w:val="none" w:sz="0" w:space="0" w:color="auto"/>
        <w:left w:val="none" w:sz="0" w:space="0" w:color="auto"/>
        <w:bottom w:val="none" w:sz="0" w:space="0" w:color="auto"/>
        <w:right w:val="none" w:sz="0" w:space="0" w:color="auto"/>
      </w:divBdr>
      <w:divsChild>
        <w:div w:id="914047888">
          <w:marLeft w:val="547"/>
          <w:marRight w:val="0"/>
          <w:marTop w:val="0"/>
          <w:marBottom w:val="0"/>
          <w:divBdr>
            <w:top w:val="none" w:sz="0" w:space="0" w:color="auto"/>
            <w:left w:val="none" w:sz="0" w:space="0" w:color="auto"/>
            <w:bottom w:val="none" w:sz="0" w:space="0" w:color="auto"/>
            <w:right w:val="none" w:sz="0" w:space="0" w:color="auto"/>
          </w:divBdr>
        </w:div>
        <w:div w:id="1387684370">
          <w:marLeft w:val="547"/>
          <w:marRight w:val="0"/>
          <w:marTop w:val="0"/>
          <w:marBottom w:val="0"/>
          <w:divBdr>
            <w:top w:val="none" w:sz="0" w:space="0" w:color="auto"/>
            <w:left w:val="none" w:sz="0" w:space="0" w:color="auto"/>
            <w:bottom w:val="none" w:sz="0" w:space="0" w:color="auto"/>
            <w:right w:val="none" w:sz="0" w:space="0" w:color="auto"/>
          </w:divBdr>
        </w:div>
      </w:divsChild>
    </w:div>
    <w:div w:id="1693189768">
      <w:bodyDiv w:val="1"/>
      <w:marLeft w:val="0"/>
      <w:marRight w:val="0"/>
      <w:marTop w:val="0"/>
      <w:marBottom w:val="0"/>
      <w:divBdr>
        <w:top w:val="none" w:sz="0" w:space="0" w:color="auto"/>
        <w:left w:val="none" w:sz="0" w:space="0" w:color="auto"/>
        <w:bottom w:val="none" w:sz="0" w:space="0" w:color="auto"/>
        <w:right w:val="none" w:sz="0" w:space="0" w:color="auto"/>
      </w:divBdr>
      <w:divsChild>
        <w:div w:id="92671326">
          <w:marLeft w:val="0"/>
          <w:marRight w:val="0"/>
          <w:marTop w:val="0"/>
          <w:marBottom w:val="0"/>
          <w:divBdr>
            <w:top w:val="none" w:sz="0" w:space="0" w:color="auto"/>
            <w:left w:val="none" w:sz="0" w:space="0" w:color="auto"/>
            <w:bottom w:val="none" w:sz="0" w:space="0" w:color="auto"/>
            <w:right w:val="none" w:sz="0" w:space="0" w:color="auto"/>
          </w:divBdr>
          <w:divsChild>
            <w:div w:id="920144711">
              <w:marLeft w:val="0"/>
              <w:marRight w:val="0"/>
              <w:marTop w:val="0"/>
              <w:marBottom w:val="0"/>
              <w:divBdr>
                <w:top w:val="none" w:sz="0" w:space="0" w:color="auto"/>
                <w:left w:val="none" w:sz="0" w:space="0" w:color="auto"/>
                <w:bottom w:val="none" w:sz="0" w:space="0" w:color="auto"/>
                <w:right w:val="none" w:sz="0" w:space="0" w:color="auto"/>
              </w:divBdr>
              <w:divsChild>
                <w:div w:id="930891085">
                  <w:marLeft w:val="0"/>
                  <w:marRight w:val="0"/>
                  <w:marTop w:val="0"/>
                  <w:marBottom w:val="0"/>
                  <w:divBdr>
                    <w:top w:val="none" w:sz="0" w:space="0" w:color="auto"/>
                    <w:left w:val="single" w:sz="6" w:space="8" w:color="61B6E5"/>
                    <w:bottom w:val="none" w:sz="0" w:space="0" w:color="auto"/>
                    <w:right w:val="single" w:sz="6" w:space="8" w:color="61B6E5"/>
                  </w:divBdr>
                  <w:divsChild>
                    <w:div w:id="17447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779243">
      <w:bodyDiv w:val="1"/>
      <w:marLeft w:val="0"/>
      <w:marRight w:val="0"/>
      <w:marTop w:val="0"/>
      <w:marBottom w:val="0"/>
      <w:divBdr>
        <w:top w:val="none" w:sz="0" w:space="0" w:color="auto"/>
        <w:left w:val="none" w:sz="0" w:space="0" w:color="auto"/>
        <w:bottom w:val="none" w:sz="0" w:space="0" w:color="auto"/>
        <w:right w:val="none" w:sz="0" w:space="0" w:color="auto"/>
      </w:divBdr>
    </w:div>
    <w:div w:id="1905288960">
      <w:bodyDiv w:val="1"/>
      <w:marLeft w:val="0"/>
      <w:marRight w:val="0"/>
      <w:marTop w:val="0"/>
      <w:marBottom w:val="0"/>
      <w:divBdr>
        <w:top w:val="none" w:sz="0" w:space="0" w:color="auto"/>
        <w:left w:val="none" w:sz="0" w:space="0" w:color="auto"/>
        <w:bottom w:val="none" w:sz="0" w:space="0" w:color="auto"/>
        <w:right w:val="none" w:sz="0" w:space="0" w:color="auto"/>
      </w:divBdr>
      <w:divsChild>
        <w:div w:id="1895387338">
          <w:marLeft w:val="0"/>
          <w:marRight w:val="0"/>
          <w:marTop w:val="0"/>
          <w:marBottom w:val="0"/>
          <w:divBdr>
            <w:top w:val="none" w:sz="0" w:space="0" w:color="auto"/>
            <w:left w:val="none" w:sz="0" w:space="0" w:color="auto"/>
            <w:bottom w:val="none" w:sz="0" w:space="0" w:color="auto"/>
            <w:right w:val="none" w:sz="0" w:space="0" w:color="auto"/>
          </w:divBdr>
          <w:divsChild>
            <w:div w:id="456997902">
              <w:marLeft w:val="0"/>
              <w:marRight w:val="0"/>
              <w:marTop w:val="0"/>
              <w:marBottom w:val="0"/>
              <w:divBdr>
                <w:top w:val="none" w:sz="0" w:space="0" w:color="auto"/>
                <w:left w:val="none" w:sz="0" w:space="0" w:color="auto"/>
                <w:bottom w:val="none" w:sz="0" w:space="0" w:color="auto"/>
                <w:right w:val="none" w:sz="0" w:space="0" w:color="auto"/>
              </w:divBdr>
              <w:divsChild>
                <w:div w:id="2125802089">
                  <w:marLeft w:val="0"/>
                  <w:marRight w:val="0"/>
                  <w:marTop w:val="0"/>
                  <w:marBottom w:val="0"/>
                  <w:divBdr>
                    <w:top w:val="none" w:sz="0" w:space="0" w:color="auto"/>
                    <w:left w:val="single" w:sz="6" w:space="8" w:color="61B6E5"/>
                    <w:bottom w:val="none" w:sz="0" w:space="0" w:color="auto"/>
                    <w:right w:val="single" w:sz="6" w:space="8" w:color="61B6E5"/>
                  </w:divBdr>
                  <w:divsChild>
                    <w:div w:id="8822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diagramLayout" Target="diagrams/layout2.xm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eur-lex.europa.eu/search.html?CC_1_CODED=07&amp;name=browse-by:legislation-in-force&amp;CC_2_CODED=0740&amp;displayProfile=allRelAllConsDocProfile&amp;qid=1432027232264&amp;CC_3_CODED=074030&amp;type=named&amp;locale=hu" TargetMode="External"/><Relationship Id="rId34" Type="http://schemas.openxmlformats.org/officeDocument/2006/relationships/hyperlink" Target="http://easa.europa.e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diagramData" Target="diagrams/data2.xml"/><Relationship Id="rId33" Type="http://schemas.openxmlformats.org/officeDocument/2006/relationships/hyperlink" Target="http://easa.europa.eu/easa-and-you/safety-management/accident-and-incident-investigation-support/safety-recommendations"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microsoft.com/office/2007/relationships/diagramDrawing" Target="diagrams/drawing2.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eurocontrol.int/about/member-states" TargetMode="External"/><Relationship Id="rId32" Type="http://schemas.openxmlformats.org/officeDocument/2006/relationships/hyperlink" Target="http://ad.easa.europa.eu/sib-docs/page-1"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diagramColors" Target="diagrams/colors2.xm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diagramColors" Target="diagrams/colors1.xml"/><Relationship Id="rId31" Type="http://schemas.openxmlformats.org/officeDocument/2006/relationships/hyperlink" Target="http://eccairs-dds.jrc.ec.europa.eu/pubsris/default.asp"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ec.europa.eu/transport/modes/air/safety/air-ban/index_hu.htm" TargetMode="External"/><Relationship Id="rId27" Type="http://schemas.openxmlformats.org/officeDocument/2006/relationships/diagramQuickStyle" Target="diagrams/quickStyle2.xml"/><Relationship Id="rId30" Type="http://schemas.openxmlformats.org/officeDocument/2006/relationships/hyperlink" Target="http://easa.europa.eu/newsroom-and-events/general-publications" TargetMode="External"/><Relationship Id="rId35" Type="http://schemas.openxmlformats.org/officeDocument/2006/relationships/hyperlink" Target="http://ec.europa.eu/transport/modes/air/safety"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ort/modes/air/safety" TargetMode="External"/><Relationship Id="rId3" Type="http://schemas.openxmlformats.org/officeDocument/2006/relationships/hyperlink" Target="http://easa.europa.eu/newsroom-and-events/general-publications" TargetMode="External"/><Relationship Id="rId7" Type="http://schemas.openxmlformats.org/officeDocument/2006/relationships/hyperlink" Target="http://easa.europa.eu/" TargetMode="External"/><Relationship Id="rId2" Type="http://schemas.openxmlformats.org/officeDocument/2006/relationships/hyperlink" Target="http://ec.europa.eu/transport/modes/air/safety/air-ban/index_hu.htm" TargetMode="External"/><Relationship Id="rId1" Type="http://schemas.openxmlformats.org/officeDocument/2006/relationships/hyperlink" Target="http://eur-lex.europa.eu/browse/directories/legislation.html?locale=hu" TargetMode="External"/><Relationship Id="rId6" Type="http://schemas.openxmlformats.org/officeDocument/2006/relationships/hyperlink" Target="http://easa.europa.eu/easa-and-you/safety-management/accident-and-incident-investigation-support/safety-recommendations" TargetMode="External"/><Relationship Id="rId5" Type="http://schemas.openxmlformats.org/officeDocument/2006/relationships/hyperlink" Target="http://ad.easa.europa.eu/sib-docs/page-1" TargetMode="External"/><Relationship Id="rId4" Type="http://schemas.openxmlformats.org/officeDocument/2006/relationships/hyperlink" Target="http://eccairs-dds.jrc.ec.europa.eu/pubsris/default.asp"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41136F-8EE5-4563-A255-3F0B48217E18}" type="doc">
      <dgm:prSet loTypeId="urn:microsoft.com/office/officeart/2009/3/layout/HorizontalOrganizationChart" loCatId="hierarchy" qsTypeId="urn:microsoft.com/office/officeart/2005/8/quickstyle/simple5" qsCatId="simple" csTypeId="urn:microsoft.com/office/officeart/2005/8/colors/colorful3" csCatId="colorful" phldr="1"/>
      <dgm:spPr/>
      <dgm:t>
        <a:bodyPr/>
        <a:lstStyle/>
        <a:p>
          <a:endParaRPr lang="en-GB"/>
        </a:p>
      </dgm:t>
    </dgm:pt>
    <dgm:pt modelId="{0F9008D7-1370-4C3C-81B9-F2B91DD68330}">
      <dgm:prSet phldrT="[Text]" custT="1"/>
      <dgm:spPr>
        <a:xfrm>
          <a:off x="161924" y="1682016"/>
          <a:ext cx="2166588" cy="1027453"/>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sz="1600"/>
            <a:t>216/2008/EK rendelet</a:t>
          </a:r>
        </a:p>
        <a:p>
          <a:r>
            <a:rPr lang="hu-HU" sz="900" b="1">
              <a:solidFill>
                <a:sysClr val="window" lastClr="FFFFFF"/>
              </a:solidFill>
              <a:latin typeface="Calibri"/>
              <a:ea typeface="+mn-ea"/>
            </a:rPr>
            <a:t>a polgári repülés területén közös szabályok és az Európai Repülésbiztonsági Ügynökség létrehozása</a:t>
          </a:r>
        </a:p>
      </dgm:t>
    </dgm:pt>
    <dgm:pt modelId="{56FF9D31-B457-4E18-9B0E-09CE88F39BFE}" type="parTrans" cxnId="{3BAC53F6-1FDB-4E74-83B0-C8124E6AD0D1}">
      <dgm:prSet/>
      <dgm:spPr/>
      <dgm:t>
        <a:bodyPr/>
        <a:lstStyle/>
        <a:p>
          <a:endParaRPr lang="en-GB"/>
        </a:p>
      </dgm:t>
    </dgm:pt>
    <dgm:pt modelId="{6B22F97F-E741-4BFC-B397-2686781917C3}" type="sibTrans" cxnId="{3BAC53F6-1FDB-4E74-83B0-C8124E6AD0D1}">
      <dgm:prSet/>
      <dgm:spPr/>
      <dgm:t>
        <a:bodyPr/>
        <a:lstStyle/>
        <a:p>
          <a:endParaRPr lang="en-GB"/>
        </a:p>
      </dgm:t>
    </dgm:pt>
    <dgm:pt modelId="{5F02F8AB-3416-40B3-BDF7-F88D524A3BCA}">
      <dgm:prSet custT="1"/>
      <dgm:spPr>
        <a:xfrm>
          <a:off x="149044" y="4411629"/>
          <a:ext cx="1629156" cy="912603"/>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sz="1400"/>
            <a:t>996/2010/EU rendelet</a:t>
          </a:r>
        </a:p>
        <a:p>
          <a:r>
            <a:rPr lang="hu-HU" sz="800" b="1">
              <a:solidFill>
                <a:sysClr val="window" lastClr="FFFFFF"/>
              </a:solidFill>
              <a:latin typeface="Calibri"/>
              <a:ea typeface="+mn-ea"/>
            </a:rPr>
            <a:t>polgári repülési balesetek és repülőesemények vizsgálata és megelőzése</a:t>
          </a:r>
        </a:p>
      </dgm:t>
    </dgm:pt>
    <dgm:pt modelId="{61F6384C-52DD-45D0-AA49-2E0B43F291C9}" type="parTrans" cxnId="{9C8843A3-9081-4C1B-9F2D-9F6266E85FAF}">
      <dgm:prSet/>
      <dgm:spPr/>
      <dgm:t>
        <a:bodyPr/>
        <a:lstStyle/>
        <a:p>
          <a:endParaRPr lang="en-GB"/>
        </a:p>
      </dgm:t>
    </dgm:pt>
    <dgm:pt modelId="{93504DB6-2783-48DC-85A0-2640640ED676}" type="sibTrans" cxnId="{9C8843A3-9081-4C1B-9F2D-9F6266E85FAF}">
      <dgm:prSet/>
      <dgm:spPr/>
      <dgm:t>
        <a:bodyPr/>
        <a:lstStyle/>
        <a:p>
          <a:endParaRPr lang="en-GB"/>
        </a:p>
      </dgm:t>
    </dgm:pt>
    <dgm:pt modelId="{FE86B40E-798C-4E7C-8023-312183D852A8}">
      <dgm:prSet custT="1"/>
      <dgm:spPr>
        <a:xfrm>
          <a:off x="180972" y="6415992"/>
          <a:ext cx="2221119" cy="805792"/>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sz="1600"/>
            <a:t>2111/2005/EK rendelet</a:t>
          </a:r>
        </a:p>
        <a:p>
          <a:r>
            <a:rPr lang="hu-HU" sz="900" b="1">
              <a:solidFill>
                <a:sysClr val="window" lastClr="FFFFFF"/>
              </a:solidFill>
              <a:latin typeface="Calibri"/>
              <a:ea typeface="+mn-ea"/>
            </a:rPr>
            <a:t>a Közösségen belül működési tilalom alá tartozó légi fuvarozók közösségi listája</a:t>
          </a:r>
        </a:p>
      </dgm:t>
    </dgm:pt>
    <dgm:pt modelId="{4D9D5AF4-7F8D-4C8F-BC9A-0C99234FC58A}" type="parTrans" cxnId="{3DA9AEDE-54D9-405D-8286-4823E27A9A36}">
      <dgm:prSet/>
      <dgm:spPr/>
      <dgm:t>
        <a:bodyPr/>
        <a:lstStyle/>
        <a:p>
          <a:endParaRPr lang="en-GB"/>
        </a:p>
      </dgm:t>
    </dgm:pt>
    <dgm:pt modelId="{AAFFD7F7-C649-4A0C-BBE3-D26B73FF18D2}" type="sibTrans" cxnId="{3DA9AEDE-54D9-405D-8286-4823E27A9A36}">
      <dgm:prSet/>
      <dgm:spPr/>
      <dgm:t>
        <a:bodyPr/>
        <a:lstStyle/>
        <a:p>
          <a:endParaRPr lang="en-GB"/>
        </a:p>
      </dgm:t>
    </dgm:pt>
    <dgm:pt modelId="{C210086C-3446-403A-A959-F393617F5285}">
      <dgm:prSet custT="1"/>
      <dgm:spPr>
        <a:xfrm>
          <a:off x="168092" y="5497800"/>
          <a:ext cx="2234212" cy="809967"/>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sz="1600"/>
            <a:t>376/2014/EU rendelet</a:t>
          </a:r>
        </a:p>
        <a:p>
          <a:r>
            <a:rPr lang="hu-HU" sz="900" b="1">
              <a:solidFill>
                <a:sysClr val="window" lastClr="FFFFFF"/>
              </a:solidFill>
              <a:latin typeface="Calibri"/>
              <a:ea typeface="+mn-ea"/>
            </a:rPr>
            <a:t>események jelentése, elemzése és nyomon követése a polgári repülésben</a:t>
          </a:r>
        </a:p>
      </dgm:t>
    </dgm:pt>
    <dgm:pt modelId="{FAF98F95-C553-44A8-8E9E-D16DEF644EBE}" type="parTrans" cxnId="{B2402C44-0BB1-4BF3-8FBF-C272049BCBAB}">
      <dgm:prSet/>
      <dgm:spPr/>
      <dgm:t>
        <a:bodyPr/>
        <a:lstStyle/>
        <a:p>
          <a:endParaRPr lang="en-GB"/>
        </a:p>
      </dgm:t>
    </dgm:pt>
    <dgm:pt modelId="{D8E6DA17-E06A-47C2-9E21-3001F73C9000}" type="sibTrans" cxnId="{B2402C44-0BB1-4BF3-8FBF-C272049BCBAB}">
      <dgm:prSet/>
      <dgm:spPr/>
      <dgm:t>
        <a:bodyPr/>
        <a:lstStyle/>
        <a:p>
          <a:endParaRPr lang="en-GB"/>
        </a:p>
      </dgm:t>
    </dgm:pt>
    <dgm:pt modelId="{438D1389-0401-4BC0-BB95-4DD904FE7FB0}">
      <dgm:prSet custT="1"/>
      <dgm:spPr>
        <a:xfrm>
          <a:off x="2558814" y="6613478"/>
          <a:ext cx="1631411"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sz="1400"/>
            <a:t>473/2006/EK rendelet</a:t>
          </a:r>
        </a:p>
        <a:p>
          <a:r>
            <a:rPr lang="hu-HU" sz="700" b="1">
              <a:solidFill>
                <a:sysClr val="window" lastClr="FFFFFF"/>
              </a:solidFill>
              <a:latin typeface="Calibri"/>
              <a:ea typeface="+mn-ea"/>
            </a:rPr>
            <a:t>a közösségi lista szabályai</a:t>
          </a:r>
        </a:p>
      </dgm:t>
    </dgm:pt>
    <dgm:pt modelId="{480B2678-3213-46E1-AB71-DFF3E060D4B6}" type="parTrans" cxnId="{D360B46B-E00D-4062-94FC-7A4470591F2D}">
      <dgm:prSet/>
      <dgm:spPr>
        <a:xfrm>
          <a:off x="2402091" y="6770045"/>
          <a:ext cx="156722" cy="91440"/>
        </a:xfrm>
        <a:noFill/>
        <a:ln w="25400" cap="flat" cmpd="sng" algn="ctr">
          <a:solidFill>
            <a:srgbClr val="8064A2">
              <a:hueOff val="0"/>
              <a:satOff val="0"/>
              <a:lumOff val="0"/>
              <a:alphaOff val="0"/>
            </a:srgbClr>
          </a:solidFill>
          <a:prstDash val="solid"/>
        </a:ln>
        <a:effectLst/>
      </dgm:spPr>
      <dgm:t>
        <a:bodyPr/>
        <a:lstStyle/>
        <a:p>
          <a:endParaRPr lang="en-GB"/>
        </a:p>
      </dgm:t>
    </dgm:pt>
    <dgm:pt modelId="{A7DA1DDE-243F-43F7-BA07-6DC88F6D2C4F}" type="sibTrans" cxnId="{D360B46B-E00D-4062-94FC-7A4470591F2D}">
      <dgm:prSet/>
      <dgm:spPr/>
      <dgm:t>
        <a:bodyPr/>
        <a:lstStyle/>
        <a:p>
          <a:endParaRPr lang="en-GB"/>
        </a:p>
      </dgm:t>
    </dgm:pt>
    <dgm:pt modelId="{BB3D6C85-F9AC-4F41-B43C-98F823EEED07}">
      <dgm:prSet/>
      <dgm:spPr>
        <a:xfrm>
          <a:off x="2952391" y="2271"/>
          <a:ext cx="1987621"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748/2012/EU és (EU) 2015/640 rendelet</a:t>
          </a:r>
        </a:p>
        <a:p>
          <a:r>
            <a:rPr lang="hu-HU" b="1">
              <a:solidFill>
                <a:sysClr val="window" lastClr="FFFFFF"/>
              </a:solidFill>
              <a:latin typeface="Calibri"/>
              <a:ea typeface="+mn-ea"/>
            </a:rPr>
            <a:t>első légi alkalmasság</a:t>
          </a:r>
        </a:p>
      </dgm:t>
    </dgm:pt>
    <dgm:pt modelId="{38490726-D127-44DD-9E7B-7EF605CCF0D4}" type="parTrans" cxnId="{0A38D033-E814-4772-B7EB-64F59278295E}">
      <dgm:prSet/>
      <dgm:spPr>
        <a:xfrm>
          <a:off x="2328512" y="204558"/>
          <a:ext cx="623878" cy="1991184"/>
        </a:xfrm>
        <a:noFill/>
        <a:ln w="25400" cap="flat" cmpd="sng" algn="ctr">
          <a:solidFill>
            <a:srgbClr val="8064A2">
              <a:hueOff val="0"/>
              <a:satOff val="0"/>
              <a:lumOff val="0"/>
              <a:alphaOff val="0"/>
            </a:srgbClr>
          </a:solidFill>
          <a:prstDash val="solid"/>
        </a:ln>
        <a:effectLst/>
      </dgm:spPr>
      <dgm:t>
        <a:bodyPr/>
        <a:lstStyle/>
        <a:p>
          <a:endParaRPr lang="en-GB"/>
        </a:p>
      </dgm:t>
    </dgm:pt>
    <dgm:pt modelId="{4F6C1A30-BB34-4578-BEF2-79F928FC21B2}" type="sibTrans" cxnId="{0A38D033-E814-4772-B7EB-64F59278295E}">
      <dgm:prSet/>
      <dgm:spPr/>
      <dgm:t>
        <a:bodyPr/>
        <a:lstStyle/>
        <a:p>
          <a:endParaRPr lang="en-GB"/>
        </a:p>
      </dgm:t>
    </dgm:pt>
    <dgm:pt modelId="{09034420-DF51-4B86-B40C-BAD07884FD31}">
      <dgm:prSet/>
      <dgm:spPr>
        <a:xfrm>
          <a:off x="2952391" y="538151"/>
          <a:ext cx="1970364"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1321/2014/EU rendelet</a:t>
          </a:r>
        </a:p>
        <a:p>
          <a:r>
            <a:rPr lang="hu-HU" b="1">
              <a:solidFill>
                <a:sysClr val="window" lastClr="FFFFFF"/>
              </a:solidFill>
              <a:latin typeface="Calibri"/>
              <a:ea typeface="+mn-ea"/>
            </a:rPr>
            <a:t>folyamatos légi alkalmasság</a:t>
          </a:r>
        </a:p>
      </dgm:t>
    </dgm:pt>
    <dgm:pt modelId="{56BBEDCE-028A-408F-9313-D8887F03D9AD}" type="parTrans" cxnId="{7409EA01-D5C6-45DB-91A7-9962F29213CB}">
      <dgm:prSet/>
      <dgm:spPr>
        <a:xfrm>
          <a:off x="2328512" y="740438"/>
          <a:ext cx="623878" cy="1455304"/>
        </a:xfrm>
        <a:noFill/>
        <a:ln w="25400" cap="flat" cmpd="sng" algn="ctr">
          <a:solidFill>
            <a:srgbClr val="8064A2">
              <a:hueOff val="0"/>
              <a:satOff val="0"/>
              <a:lumOff val="0"/>
              <a:alphaOff val="0"/>
            </a:srgbClr>
          </a:solidFill>
          <a:prstDash val="solid"/>
        </a:ln>
        <a:effectLst/>
      </dgm:spPr>
      <dgm:t>
        <a:bodyPr/>
        <a:lstStyle/>
        <a:p>
          <a:endParaRPr lang="en-GB"/>
        </a:p>
      </dgm:t>
    </dgm:pt>
    <dgm:pt modelId="{A4DD5DC6-2543-463A-99CB-E46928B63BD9}" type="sibTrans" cxnId="{7409EA01-D5C6-45DB-91A7-9962F29213CB}">
      <dgm:prSet/>
      <dgm:spPr/>
      <dgm:t>
        <a:bodyPr/>
        <a:lstStyle/>
        <a:p>
          <a:endParaRPr lang="en-GB"/>
        </a:p>
      </dgm:t>
    </dgm:pt>
    <dgm:pt modelId="{BEF32BAF-EF76-4DD6-8A01-0B665C2AED85}">
      <dgm:prSet/>
      <dgm:spPr>
        <a:xfrm>
          <a:off x="2952391" y="1082657"/>
          <a:ext cx="1964514"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1178/2011/EU rendelet</a:t>
          </a:r>
        </a:p>
        <a:p>
          <a:r>
            <a:rPr lang="hu-HU" b="1">
              <a:solidFill>
                <a:sysClr val="window" lastClr="FFFFFF"/>
              </a:solidFill>
              <a:latin typeface="Calibri"/>
              <a:ea typeface="+mn-ea"/>
            </a:rPr>
            <a:t>repülőszemélyzet</a:t>
          </a:r>
        </a:p>
      </dgm:t>
    </dgm:pt>
    <dgm:pt modelId="{4FD5D417-FAB8-4423-A977-88A064422753}" type="parTrans" cxnId="{A9174B73-03B9-4E56-847E-BCA4CA083DC1}">
      <dgm:prSet/>
      <dgm:spPr>
        <a:xfrm>
          <a:off x="2328512" y="1284943"/>
          <a:ext cx="623878" cy="910799"/>
        </a:xfrm>
        <a:noFill/>
        <a:ln w="25400" cap="flat" cmpd="sng" algn="ctr">
          <a:solidFill>
            <a:srgbClr val="8064A2">
              <a:hueOff val="0"/>
              <a:satOff val="0"/>
              <a:lumOff val="0"/>
              <a:alphaOff val="0"/>
            </a:srgbClr>
          </a:solidFill>
          <a:prstDash val="solid"/>
        </a:ln>
        <a:effectLst/>
      </dgm:spPr>
      <dgm:t>
        <a:bodyPr/>
        <a:lstStyle/>
        <a:p>
          <a:endParaRPr lang="en-GB"/>
        </a:p>
      </dgm:t>
    </dgm:pt>
    <dgm:pt modelId="{601AF657-FAB4-454C-BAE8-F471C924D16F}" type="sibTrans" cxnId="{A9174B73-03B9-4E56-847E-BCA4CA083DC1}">
      <dgm:prSet/>
      <dgm:spPr/>
      <dgm:t>
        <a:bodyPr/>
        <a:lstStyle/>
        <a:p>
          <a:endParaRPr lang="en-GB"/>
        </a:p>
      </dgm:t>
    </dgm:pt>
    <dgm:pt modelId="{26CA75B8-7897-48F2-A0F7-3E89DD6146A4}">
      <dgm:prSet/>
      <dgm:spPr>
        <a:xfrm>
          <a:off x="2952391" y="1627162"/>
          <a:ext cx="1987621"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965/2012/EU rendelet</a:t>
          </a:r>
        </a:p>
        <a:p>
          <a:r>
            <a:rPr lang="hu-HU" b="1">
              <a:solidFill>
                <a:sysClr val="window" lastClr="FFFFFF"/>
              </a:solidFill>
              <a:latin typeface="Calibri"/>
              <a:ea typeface="+mn-ea"/>
            </a:rPr>
            <a:t>légi jármű üzemben tartása</a:t>
          </a:r>
        </a:p>
      </dgm:t>
    </dgm:pt>
    <dgm:pt modelId="{DD30CC2C-8963-4D0A-9C62-F03585210FD8}" type="parTrans" cxnId="{26C682B2-E6A2-412F-8F25-D283B7E5DAFF}">
      <dgm:prSet/>
      <dgm:spPr>
        <a:xfrm>
          <a:off x="2328512" y="1829448"/>
          <a:ext cx="623878" cy="366294"/>
        </a:xfrm>
        <a:noFill/>
        <a:ln w="25400" cap="flat" cmpd="sng" algn="ctr">
          <a:solidFill>
            <a:srgbClr val="8064A2">
              <a:hueOff val="0"/>
              <a:satOff val="0"/>
              <a:lumOff val="0"/>
              <a:alphaOff val="0"/>
            </a:srgbClr>
          </a:solidFill>
          <a:prstDash val="solid"/>
        </a:ln>
        <a:effectLst/>
      </dgm:spPr>
      <dgm:t>
        <a:bodyPr/>
        <a:lstStyle/>
        <a:p>
          <a:endParaRPr lang="en-GB"/>
        </a:p>
      </dgm:t>
    </dgm:pt>
    <dgm:pt modelId="{20253A62-B61F-4FE5-8597-8A73C815511E}" type="sibTrans" cxnId="{26C682B2-E6A2-412F-8F25-D283B7E5DAFF}">
      <dgm:prSet/>
      <dgm:spPr/>
      <dgm:t>
        <a:bodyPr/>
        <a:lstStyle/>
        <a:p>
          <a:endParaRPr lang="en-GB"/>
        </a:p>
      </dgm:t>
    </dgm:pt>
    <dgm:pt modelId="{EADF8F85-F3FC-4E95-97E3-9FD258596C42}">
      <dgm:prSet/>
      <dgm:spPr>
        <a:xfrm>
          <a:off x="2952391" y="2145775"/>
          <a:ext cx="1970364"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452/2014/EU rendelet</a:t>
          </a:r>
        </a:p>
        <a:p>
          <a:r>
            <a:rPr lang="hu-HU" b="1">
              <a:solidFill>
                <a:sysClr val="window" lastClr="FFFFFF"/>
              </a:solidFill>
              <a:latin typeface="Calibri"/>
              <a:ea typeface="+mn-ea"/>
            </a:rPr>
            <a:t>harmadik országbeli üzemeltetők</a:t>
          </a:r>
        </a:p>
      </dgm:t>
    </dgm:pt>
    <dgm:pt modelId="{E2407C79-04EF-42B1-A9C0-A8DDAE433C72}" type="parTrans" cxnId="{A6D2C4A1-59CE-44E5-9726-381E049EA404}">
      <dgm:prSet/>
      <dgm:spPr>
        <a:xfrm>
          <a:off x="2328512" y="2195743"/>
          <a:ext cx="623878" cy="152318"/>
        </a:xfrm>
        <a:noFill/>
        <a:ln w="25400" cap="flat" cmpd="sng" algn="ctr">
          <a:solidFill>
            <a:srgbClr val="8064A2">
              <a:hueOff val="0"/>
              <a:satOff val="0"/>
              <a:lumOff val="0"/>
              <a:alphaOff val="0"/>
            </a:srgbClr>
          </a:solidFill>
          <a:prstDash val="solid"/>
        </a:ln>
        <a:effectLst/>
      </dgm:spPr>
      <dgm:t>
        <a:bodyPr/>
        <a:lstStyle/>
        <a:p>
          <a:endParaRPr lang="en-GB"/>
        </a:p>
      </dgm:t>
    </dgm:pt>
    <dgm:pt modelId="{72DB514D-652C-4B59-A8E2-4999877F374D}" type="sibTrans" cxnId="{A6D2C4A1-59CE-44E5-9726-381E049EA404}">
      <dgm:prSet/>
      <dgm:spPr/>
      <dgm:t>
        <a:bodyPr/>
        <a:lstStyle/>
        <a:p>
          <a:endParaRPr lang="en-GB"/>
        </a:p>
      </dgm:t>
    </dgm:pt>
    <dgm:pt modelId="{DF2F29E7-3E8C-421E-9501-6945C8A375A3}">
      <dgm:prSet/>
      <dgm:spPr>
        <a:xfrm>
          <a:off x="2943769" y="2673025"/>
          <a:ext cx="1947562"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139/2014/EU rendelet</a:t>
          </a:r>
        </a:p>
        <a:p>
          <a:r>
            <a:rPr lang="hu-HU" b="1">
              <a:solidFill>
                <a:sysClr val="window" lastClr="FFFFFF"/>
              </a:solidFill>
              <a:latin typeface="Calibri"/>
              <a:ea typeface="+mn-ea"/>
            </a:rPr>
            <a:t>repülőterek</a:t>
          </a:r>
          <a:endParaRPr lang="hu-HU"/>
        </a:p>
      </dgm:t>
    </dgm:pt>
    <dgm:pt modelId="{00856AB3-1E88-47B1-A273-055E64B3ED7C}" type="parTrans" cxnId="{7418BA23-61E2-4F3F-9C81-1D9318F3B683}">
      <dgm:prSet/>
      <dgm:spPr>
        <a:xfrm>
          <a:off x="2328512" y="2195743"/>
          <a:ext cx="615256" cy="679568"/>
        </a:xfrm>
        <a:noFill/>
        <a:ln w="25400" cap="flat" cmpd="sng" algn="ctr">
          <a:solidFill>
            <a:srgbClr val="8064A2">
              <a:hueOff val="0"/>
              <a:satOff val="0"/>
              <a:lumOff val="0"/>
              <a:alphaOff val="0"/>
            </a:srgbClr>
          </a:solidFill>
          <a:prstDash val="solid"/>
        </a:ln>
        <a:effectLst/>
      </dgm:spPr>
      <dgm:t>
        <a:bodyPr/>
        <a:lstStyle/>
        <a:p>
          <a:endParaRPr lang="en-GB"/>
        </a:p>
      </dgm:t>
    </dgm:pt>
    <dgm:pt modelId="{93CD6713-6212-4AED-B9B0-ED9EB4718FCE}" type="sibTrans" cxnId="{7418BA23-61E2-4F3F-9C81-1D9318F3B683}">
      <dgm:prSet/>
      <dgm:spPr/>
      <dgm:t>
        <a:bodyPr/>
        <a:lstStyle/>
        <a:p>
          <a:endParaRPr lang="en-GB"/>
        </a:p>
      </dgm:t>
    </dgm:pt>
    <dgm:pt modelId="{4FDA3295-3731-4B49-813C-71AF436FC23B}">
      <dgm:prSet/>
      <dgm:spPr>
        <a:xfrm>
          <a:off x="2952391" y="3217530"/>
          <a:ext cx="1930317"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1034/2011/EU és 1035/2011/EU rendelet</a:t>
          </a:r>
        </a:p>
        <a:p>
          <a:r>
            <a:rPr lang="hu-HU" b="1">
              <a:solidFill>
                <a:sysClr val="window" lastClr="FFFFFF"/>
              </a:solidFill>
              <a:latin typeface="Calibri"/>
              <a:ea typeface="+mn-ea"/>
            </a:rPr>
            <a:t>légiforgalmi szolgáltatások / léginavigációs szolgálatok (ATM/ANS)</a:t>
          </a:r>
        </a:p>
      </dgm:t>
    </dgm:pt>
    <dgm:pt modelId="{288F1176-10E7-46C6-BC5E-38916F3D0F30}" type="parTrans" cxnId="{5C723304-9CD1-4010-BAD8-7020C9E27517}">
      <dgm:prSet/>
      <dgm:spPr>
        <a:xfrm>
          <a:off x="2328512" y="2195743"/>
          <a:ext cx="623878" cy="1224074"/>
        </a:xfrm>
        <a:noFill/>
        <a:ln w="25400" cap="flat" cmpd="sng" algn="ctr">
          <a:solidFill>
            <a:srgbClr val="8064A2">
              <a:hueOff val="0"/>
              <a:satOff val="0"/>
              <a:lumOff val="0"/>
              <a:alphaOff val="0"/>
            </a:srgbClr>
          </a:solidFill>
          <a:prstDash val="solid"/>
        </a:ln>
        <a:effectLst/>
      </dgm:spPr>
      <dgm:t>
        <a:bodyPr/>
        <a:lstStyle/>
        <a:p>
          <a:endParaRPr lang="en-GB"/>
        </a:p>
      </dgm:t>
    </dgm:pt>
    <dgm:pt modelId="{514B6F9F-EF96-4AA1-9CEF-FC6BE4BE3236}" type="sibTrans" cxnId="{5C723304-9CD1-4010-BAD8-7020C9E27517}">
      <dgm:prSet/>
      <dgm:spPr/>
      <dgm:t>
        <a:bodyPr/>
        <a:lstStyle/>
        <a:p>
          <a:endParaRPr lang="en-GB"/>
        </a:p>
      </dgm:t>
    </dgm:pt>
    <dgm:pt modelId="{E3687E5F-904A-4A4D-8E30-52CFE5DD03A0}">
      <dgm:prSet/>
      <dgm:spPr>
        <a:xfrm>
          <a:off x="2952391" y="3770657"/>
          <a:ext cx="1930317"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1332/2011/EU rendelet</a:t>
          </a:r>
        </a:p>
        <a:p>
          <a:r>
            <a:rPr lang="hu-HU" b="1">
              <a:solidFill>
                <a:sysClr val="window" lastClr="FFFFFF"/>
              </a:solidFill>
              <a:latin typeface="Calibri"/>
              <a:ea typeface="+mn-ea"/>
            </a:rPr>
            <a:t>levegőben történő ütközések elhárítása</a:t>
          </a:r>
        </a:p>
      </dgm:t>
    </dgm:pt>
    <dgm:pt modelId="{440A8DCD-F0C1-4B0B-822A-BB646D055CC0}" type="parTrans" cxnId="{E2052660-40B3-4313-A4CD-FC296D8B431D}">
      <dgm:prSet/>
      <dgm:spPr>
        <a:xfrm>
          <a:off x="2328512" y="2195743"/>
          <a:ext cx="623878" cy="1777200"/>
        </a:xfrm>
        <a:noFill/>
        <a:ln w="25400" cap="flat" cmpd="sng" algn="ctr">
          <a:solidFill>
            <a:srgbClr val="8064A2">
              <a:hueOff val="0"/>
              <a:satOff val="0"/>
              <a:lumOff val="0"/>
              <a:alphaOff val="0"/>
            </a:srgbClr>
          </a:solidFill>
          <a:prstDash val="solid"/>
        </a:ln>
        <a:effectLst/>
      </dgm:spPr>
      <dgm:t>
        <a:bodyPr/>
        <a:lstStyle/>
        <a:p>
          <a:endParaRPr lang="en-GB"/>
        </a:p>
      </dgm:t>
    </dgm:pt>
    <dgm:pt modelId="{4579CA15-7A77-4DE2-ADA3-1FB96CE722E0}" type="sibTrans" cxnId="{E2052660-40B3-4313-A4CD-FC296D8B431D}">
      <dgm:prSet/>
      <dgm:spPr/>
      <dgm:t>
        <a:bodyPr/>
        <a:lstStyle/>
        <a:p>
          <a:endParaRPr lang="en-GB"/>
        </a:p>
      </dgm:t>
    </dgm:pt>
    <dgm:pt modelId="{42F45102-62AA-418C-A3B3-A067A61E3EDC}">
      <dgm:prSet/>
      <dgm:spPr>
        <a:xfrm>
          <a:off x="2961013" y="4315158"/>
          <a:ext cx="1913060"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923/2012/EU rendelet</a:t>
          </a:r>
        </a:p>
        <a:p>
          <a:r>
            <a:rPr lang="hu-HU" b="1">
              <a:solidFill>
                <a:sysClr val="window" lastClr="FFFFFF"/>
              </a:solidFill>
              <a:latin typeface="Calibri"/>
              <a:ea typeface="+mn-ea"/>
            </a:rPr>
            <a:t>egységesített európai repülései szabályok (SERA)</a:t>
          </a:r>
        </a:p>
      </dgm:t>
    </dgm:pt>
    <dgm:pt modelId="{A7D60DD7-9A01-4D15-B4E7-1439C0B0BDDF}" type="parTrans" cxnId="{5B2B1627-8083-488A-B7D1-FFFBB029225C}">
      <dgm:prSet/>
      <dgm:spPr>
        <a:xfrm>
          <a:off x="2328512" y="2195743"/>
          <a:ext cx="632500" cy="2321702"/>
        </a:xfrm>
        <a:noFill/>
        <a:ln w="25400" cap="flat" cmpd="sng" algn="ctr">
          <a:solidFill>
            <a:srgbClr val="8064A2">
              <a:hueOff val="0"/>
              <a:satOff val="0"/>
              <a:lumOff val="0"/>
              <a:alphaOff val="0"/>
            </a:srgbClr>
          </a:solidFill>
          <a:prstDash val="solid"/>
        </a:ln>
        <a:effectLst/>
      </dgm:spPr>
      <dgm:t>
        <a:bodyPr/>
        <a:lstStyle/>
        <a:p>
          <a:endParaRPr lang="en-GB"/>
        </a:p>
      </dgm:t>
    </dgm:pt>
    <dgm:pt modelId="{BDDF08FC-8AAF-4E2F-AB81-4E9A1CF5AF04}" type="sibTrans" cxnId="{5B2B1627-8083-488A-B7D1-FFFBB029225C}">
      <dgm:prSet/>
      <dgm:spPr/>
      <dgm:t>
        <a:bodyPr/>
        <a:lstStyle/>
        <a:p>
          <a:endParaRPr lang="en-GB"/>
        </a:p>
      </dgm:t>
    </dgm:pt>
    <dgm:pt modelId="{0DEA5386-ADC1-44EF-B309-5D61B24A1BC2}">
      <dgm:prSet/>
      <dgm:spPr>
        <a:xfrm>
          <a:off x="2969648" y="4842408"/>
          <a:ext cx="1895803" cy="404573"/>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a:t>(EU) 2015/340 rendelet</a:t>
          </a:r>
        </a:p>
        <a:p>
          <a:r>
            <a:rPr lang="hu-HU" b="1">
              <a:solidFill>
                <a:sysClr val="window" lastClr="FFFFFF"/>
              </a:solidFill>
              <a:latin typeface="Calibri"/>
              <a:ea typeface="+mn-ea"/>
            </a:rPr>
            <a:t>légiforgalmi irányítói szakszolgálati engedélyek és tanúsítványok</a:t>
          </a:r>
        </a:p>
      </dgm:t>
    </dgm:pt>
    <dgm:pt modelId="{B4E2C1DE-967C-4324-AFAC-3F1A41B2A22F}" type="parTrans" cxnId="{F05FF62B-5488-471F-A1EB-E20C9B89DA6A}">
      <dgm:prSet/>
      <dgm:spPr>
        <a:xfrm>
          <a:off x="2328512" y="2195743"/>
          <a:ext cx="641135" cy="2848952"/>
        </a:xfrm>
        <a:noFill/>
        <a:ln w="25400" cap="flat" cmpd="sng" algn="ctr">
          <a:solidFill>
            <a:srgbClr val="8064A2">
              <a:hueOff val="0"/>
              <a:satOff val="0"/>
              <a:lumOff val="0"/>
              <a:alphaOff val="0"/>
            </a:srgbClr>
          </a:solidFill>
          <a:prstDash val="solid"/>
        </a:ln>
        <a:effectLst/>
      </dgm:spPr>
      <dgm:t>
        <a:bodyPr/>
        <a:lstStyle/>
        <a:p>
          <a:endParaRPr lang="en-GB"/>
        </a:p>
      </dgm:t>
    </dgm:pt>
    <dgm:pt modelId="{CD2750CC-B9E6-4A32-B89A-B4F4AEBB22AB}" type="sibTrans" cxnId="{F05FF62B-5488-471F-A1EB-E20C9B89DA6A}">
      <dgm:prSet/>
      <dgm:spPr/>
      <dgm:t>
        <a:bodyPr/>
        <a:lstStyle/>
        <a:p>
          <a:endParaRPr lang="en-GB"/>
        </a:p>
      </dgm:t>
    </dgm:pt>
    <dgm:pt modelId="{4DE63B67-E631-4829-8BF8-5DFF9DEAB08A}">
      <dgm:prSet custT="1"/>
      <dgm:spPr>
        <a:xfrm>
          <a:off x="2571269" y="5670352"/>
          <a:ext cx="1580700" cy="409517"/>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hu-HU" sz="1200"/>
            <a:t>(EU) 2015/1018 rendelet</a:t>
          </a:r>
        </a:p>
        <a:p>
          <a:r>
            <a:rPr lang="hu-HU" sz="600" b="1">
              <a:solidFill>
                <a:sysClr val="window" lastClr="FFFFFF"/>
              </a:solidFill>
              <a:latin typeface="Calibri"/>
              <a:ea typeface="+mn-ea"/>
            </a:rPr>
            <a:t>események besorolása</a:t>
          </a:r>
        </a:p>
      </dgm:t>
    </dgm:pt>
    <dgm:pt modelId="{F601F3EE-2893-475A-868A-A58E7FE1CD4B}" type="sibTrans" cxnId="{78187AE5-5269-46D6-BE56-2A674C69F91B}">
      <dgm:prSet/>
      <dgm:spPr/>
      <dgm:t>
        <a:bodyPr/>
        <a:lstStyle/>
        <a:p>
          <a:endParaRPr lang="en-GB"/>
        </a:p>
      </dgm:t>
    </dgm:pt>
    <dgm:pt modelId="{770DE325-833F-4ABA-B8B2-D81DE364E07F}" type="parTrans" cxnId="{78187AE5-5269-46D6-BE56-2A674C69F91B}">
      <dgm:prSet/>
      <dgm:spPr>
        <a:xfrm>
          <a:off x="2402304" y="5829391"/>
          <a:ext cx="168965" cy="91440"/>
        </a:xfrm>
        <a:noFill/>
        <a:ln w="25400" cap="flat" cmpd="sng" algn="ctr">
          <a:solidFill>
            <a:srgbClr val="8064A2">
              <a:hueOff val="0"/>
              <a:satOff val="0"/>
              <a:lumOff val="0"/>
              <a:alphaOff val="0"/>
            </a:srgbClr>
          </a:solidFill>
          <a:prstDash val="solid"/>
        </a:ln>
        <a:effectLst/>
      </dgm:spPr>
      <dgm:t>
        <a:bodyPr/>
        <a:lstStyle/>
        <a:p>
          <a:endParaRPr lang="en-GB"/>
        </a:p>
      </dgm:t>
    </dgm:pt>
    <dgm:pt modelId="{224A8DCC-8D78-4668-8F63-0EBCC2D8748C}" type="pres">
      <dgm:prSet presAssocID="{7E41136F-8EE5-4563-A255-3F0B48217E18}" presName="hierChild1" presStyleCnt="0">
        <dgm:presLayoutVars>
          <dgm:orgChart val="1"/>
          <dgm:chPref val="1"/>
          <dgm:dir/>
          <dgm:animOne val="branch"/>
          <dgm:animLvl val="lvl"/>
          <dgm:resizeHandles/>
        </dgm:presLayoutVars>
      </dgm:prSet>
      <dgm:spPr/>
      <dgm:t>
        <a:bodyPr/>
        <a:lstStyle/>
        <a:p>
          <a:endParaRPr lang="en-GB"/>
        </a:p>
      </dgm:t>
    </dgm:pt>
    <dgm:pt modelId="{A6E6146C-83CB-4D3B-9E09-4B6F3606EC34}" type="pres">
      <dgm:prSet presAssocID="{0F9008D7-1370-4C3C-81B9-F2B91DD68330}" presName="hierRoot1" presStyleCnt="0">
        <dgm:presLayoutVars>
          <dgm:hierBranch val="init"/>
        </dgm:presLayoutVars>
      </dgm:prSet>
      <dgm:spPr/>
    </dgm:pt>
    <dgm:pt modelId="{EC3970DE-B6DF-4D8F-843C-D6D49DA4998C}" type="pres">
      <dgm:prSet presAssocID="{0F9008D7-1370-4C3C-81B9-F2B91DD68330}" presName="rootComposite1" presStyleCnt="0"/>
      <dgm:spPr/>
    </dgm:pt>
    <dgm:pt modelId="{EF775580-540F-4B84-B8AB-73A627E9909C}" type="pres">
      <dgm:prSet presAssocID="{0F9008D7-1370-4C3C-81B9-F2B91DD68330}" presName="rootText1" presStyleLbl="node0" presStyleIdx="0" presStyleCnt="4" custScaleX="163335" custScaleY="253960" custLinFactY="-42257" custLinFactNeighborX="-27033" custLinFactNeighborY="-100000">
        <dgm:presLayoutVars>
          <dgm:chPref val="3"/>
        </dgm:presLayoutVars>
      </dgm:prSet>
      <dgm:spPr>
        <a:prstGeom prst="rect">
          <a:avLst/>
        </a:prstGeom>
      </dgm:spPr>
      <dgm:t>
        <a:bodyPr/>
        <a:lstStyle/>
        <a:p>
          <a:endParaRPr lang="en-GB"/>
        </a:p>
      </dgm:t>
    </dgm:pt>
    <dgm:pt modelId="{E63B0FF3-658E-4B7B-8868-72402959B976}" type="pres">
      <dgm:prSet presAssocID="{0F9008D7-1370-4C3C-81B9-F2B91DD68330}" presName="rootConnector1" presStyleLbl="node1" presStyleIdx="0" presStyleCnt="0"/>
      <dgm:spPr/>
      <dgm:t>
        <a:bodyPr/>
        <a:lstStyle/>
        <a:p>
          <a:endParaRPr lang="en-GB"/>
        </a:p>
      </dgm:t>
    </dgm:pt>
    <dgm:pt modelId="{985E355E-2BEE-4D24-95DC-2DF57E6B9CA9}" type="pres">
      <dgm:prSet presAssocID="{0F9008D7-1370-4C3C-81B9-F2B91DD68330}" presName="hierChild2" presStyleCnt="0"/>
      <dgm:spPr/>
    </dgm:pt>
    <dgm:pt modelId="{66B5AEAA-9A6F-4CF0-BAC6-B6FB9D95C4F0}" type="pres">
      <dgm:prSet presAssocID="{38490726-D127-44DD-9E7B-7EF605CCF0D4}" presName="Name64" presStyleLbl="parChTrans1D2" presStyleIdx="0" presStyleCnt="12"/>
      <dgm:spPr>
        <a:custGeom>
          <a:avLst/>
          <a:gdLst/>
          <a:ahLst/>
          <a:cxnLst/>
          <a:rect l="0" t="0" r="0" b="0"/>
          <a:pathLst>
            <a:path>
              <a:moveTo>
                <a:pt x="0" y="1991184"/>
              </a:moveTo>
              <a:lnTo>
                <a:pt x="491231" y="1991184"/>
              </a:lnTo>
              <a:lnTo>
                <a:pt x="491231" y="0"/>
              </a:lnTo>
              <a:lnTo>
                <a:pt x="623878" y="0"/>
              </a:lnTo>
            </a:path>
          </a:pathLst>
        </a:custGeom>
      </dgm:spPr>
      <dgm:t>
        <a:bodyPr/>
        <a:lstStyle/>
        <a:p>
          <a:endParaRPr lang="en-GB"/>
        </a:p>
      </dgm:t>
    </dgm:pt>
    <dgm:pt modelId="{D5761496-2799-4825-A8D3-9995EF7F82BA}" type="pres">
      <dgm:prSet presAssocID="{BB3D6C85-F9AC-4F41-B43C-98F823EEED07}" presName="hierRoot2" presStyleCnt="0">
        <dgm:presLayoutVars>
          <dgm:hierBranch val="init"/>
        </dgm:presLayoutVars>
      </dgm:prSet>
      <dgm:spPr/>
    </dgm:pt>
    <dgm:pt modelId="{66F4F026-5652-45F7-BFDB-29C620A1B6E9}" type="pres">
      <dgm:prSet presAssocID="{BB3D6C85-F9AC-4F41-B43C-98F823EEED07}" presName="rootComposite" presStyleCnt="0"/>
      <dgm:spPr/>
    </dgm:pt>
    <dgm:pt modelId="{49FEF465-5A0A-407A-BBCA-D8C08ABEB352}" type="pres">
      <dgm:prSet presAssocID="{BB3D6C85-F9AC-4F41-B43C-98F823EEED07}" presName="rootText" presStyleLbl="node2" presStyleIdx="0" presStyleCnt="12" custScaleX="149843">
        <dgm:presLayoutVars>
          <dgm:chPref val="3"/>
        </dgm:presLayoutVars>
      </dgm:prSet>
      <dgm:spPr>
        <a:prstGeom prst="rect">
          <a:avLst/>
        </a:prstGeom>
      </dgm:spPr>
      <dgm:t>
        <a:bodyPr/>
        <a:lstStyle/>
        <a:p>
          <a:endParaRPr lang="en-GB"/>
        </a:p>
      </dgm:t>
    </dgm:pt>
    <dgm:pt modelId="{ABD21E22-3E80-4328-8BAA-23C4A72034D5}" type="pres">
      <dgm:prSet presAssocID="{BB3D6C85-F9AC-4F41-B43C-98F823EEED07}" presName="rootConnector" presStyleLbl="node2" presStyleIdx="0" presStyleCnt="12"/>
      <dgm:spPr/>
      <dgm:t>
        <a:bodyPr/>
        <a:lstStyle/>
        <a:p>
          <a:endParaRPr lang="en-GB"/>
        </a:p>
      </dgm:t>
    </dgm:pt>
    <dgm:pt modelId="{A4F1A1DB-EF08-43B3-9326-828668074413}" type="pres">
      <dgm:prSet presAssocID="{BB3D6C85-F9AC-4F41-B43C-98F823EEED07}" presName="hierChild4" presStyleCnt="0"/>
      <dgm:spPr/>
    </dgm:pt>
    <dgm:pt modelId="{CD2C2D54-C82F-4A2C-9DF5-EFBD20549AEE}" type="pres">
      <dgm:prSet presAssocID="{BB3D6C85-F9AC-4F41-B43C-98F823EEED07}" presName="hierChild5" presStyleCnt="0"/>
      <dgm:spPr/>
    </dgm:pt>
    <dgm:pt modelId="{AFAB7418-62A9-4330-B0DC-4A97A972AF6E}" type="pres">
      <dgm:prSet presAssocID="{56BBEDCE-028A-408F-9313-D8887F03D9AD}" presName="Name64" presStyleLbl="parChTrans1D2" presStyleIdx="1" presStyleCnt="12"/>
      <dgm:spPr>
        <a:custGeom>
          <a:avLst/>
          <a:gdLst/>
          <a:ahLst/>
          <a:cxnLst/>
          <a:rect l="0" t="0" r="0" b="0"/>
          <a:pathLst>
            <a:path>
              <a:moveTo>
                <a:pt x="0" y="1455304"/>
              </a:moveTo>
              <a:lnTo>
                <a:pt x="491231" y="1455304"/>
              </a:lnTo>
              <a:lnTo>
                <a:pt x="491231" y="0"/>
              </a:lnTo>
              <a:lnTo>
                <a:pt x="623878" y="0"/>
              </a:lnTo>
            </a:path>
          </a:pathLst>
        </a:custGeom>
      </dgm:spPr>
      <dgm:t>
        <a:bodyPr/>
        <a:lstStyle/>
        <a:p>
          <a:endParaRPr lang="en-GB"/>
        </a:p>
      </dgm:t>
    </dgm:pt>
    <dgm:pt modelId="{C718CD87-C155-4CBB-A25C-6562D3D052E9}" type="pres">
      <dgm:prSet presAssocID="{09034420-DF51-4B86-B40C-BAD07884FD31}" presName="hierRoot2" presStyleCnt="0">
        <dgm:presLayoutVars>
          <dgm:hierBranch val="init"/>
        </dgm:presLayoutVars>
      </dgm:prSet>
      <dgm:spPr/>
    </dgm:pt>
    <dgm:pt modelId="{D67DC9A3-EE12-4D6E-818E-BB0101D11058}" type="pres">
      <dgm:prSet presAssocID="{09034420-DF51-4B86-B40C-BAD07884FD31}" presName="rootComposite" presStyleCnt="0"/>
      <dgm:spPr/>
    </dgm:pt>
    <dgm:pt modelId="{36610014-399F-4BEA-88C0-F11869A37483}" type="pres">
      <dgm:prSet presAssocID="{09034420-DF51-4B86-B40C-BAD07884FD31}" presName="rootText" presStyleLbl="node2" presStyleIdx="1" presStyleCnt="12" custScaleX="148542" custLinFactNeighborY="-8528">
        <dgm:presLayoutVars>
          <dgm:chPref val="3"/>
        </dgm:presLayoutVars>
      </dgm:prSet>
      <dgm:spPr>
        <a:prstGeom prst="rect">
          <a:avLst/>
        </a:prstGeom>
      </dgm:spPr>
      <dgm:t>
        <a:bodyPr/>
        <a:lstStyle/>
        <a:p>
          <a:endParaRPr lang="en-GB"/>
        </a:p>
      </dgm:t>
    </dgm:pt>
    <dgm:pt modelId="{B5841FB0-A2C1-42A7-BACB-390CDE80F470}" type="pres">
      <dgm:prSet presAssocID="{09034420-DF51-4B86-B40C-BAD07884FD31}" presName="rootConnector" presStyleLbl="node2" presStyleIdx="1" presStyleCnt="12"/>
      <dgm:spPr/>
      <dgm:t>
        <a:bodyPr/>
        <a:lstStyle/>
        <a:p>
          <a:endParaRPr lang="en-GB"/>
        </a:p>
      </dgm:t>
    </dgm:pt>
    <dgm:pt modelId="{3FB1A0E1-B9F9-4E7F-8213-1A4A5B052810}" type="pres">
      <dgm:prSet presAssocID="{09034420-DF51-4B86-B40C-BAD07884FD31}" presName="hierChild4" presStyleCnt="0"/>
      <dgm:spPr/>
    </dgm:pt>
    <dgm:pt modelId="{E544B513-1C06-4531-9EDB-5C85C3B23CAC}" type="pres">
      <dgm:prSet presAssocID="{09034420-DF51-4B86-B40C-BAD07884FD31}" presName="hierChild5" presStyleCnt="0"/>
      <dgm:spPr/>
    </dgm:pt>
    <dgm:pt modelId="{502370CA-2B92-4E6C-A48A-8DE33E2E6999}" type="pres">
      <dgm:prSet presAssocID="{4FD5D417-FAB8-4423-A977-88A064422753}" presName="Name64" presStyleLbl="parChTrans1D2" presStyleIdx="2" presStyleCnt="12"/>
      <dgm:spPr>
        <a:custGeom>
          <a:avLst/>
          <a:gdLst/>
          <a:ahLst/>
          <a:cxnLst/>
          <a:rect l="0" t="0" r="0" b="0"/>
          <a:pathLst>
            <a:path>
              <a:moveTo>
                <a:pt x="0" y="910799"/>
              </a:moveTo>
              <a:lnTo>
                <a:pt x="491231" y="910799"/>
              </a:lnTo>
              <a:lnTo>
                <a:pt x="491231" y="0"/>
              </a:lnTo>
              <a:lnTo>
                <a:pt x="623878" y="0"/>
              </a:lnTo>
            </a:path>
          </a:pathLst>
        </a:custGeom>
      </dgm:spPr>
      <dgm:t>
        <a:bodyPr/>
        <a:lstStyle/>
        <a:p>
          <a:endParaRPr lang="en-GB"/>
        </a:p>
      </dgm:t>
    </dgm:pt>
    <dgm:pt modelId="{8EA8B884-DB5E-40DC-8E6F-2BFA0B408B35}" type="pres">
      <dgm:prSet presAssocID="{BEF32BAF-EF76-4DD6-8A01-0B665C2AED85}" presName="hierRoot2" presStyleCnt="0">
        <dgm:presLayoutVars>
          <dgm:hierBranch val="init"/>
        </dgm:presLayoutVars>
      </dgm:prSet>
      <dgm:spPr/>
    </dgm:pt>
    <dgm:pt modelId="{28BB85EB-AE0A-4D7F-9C9C-1DB796B87C88}" type="pres">
      <dgm:prSet presAssocID="{BEF32BAF-EF76-4DD6-8A01-0B665C2AED85}" presName="rootComposite" presStyleCnt="0"/>
      <dgm:spPr/>
    </dgm:pt>
    <dgm:pt modelId="{63026C22-92C5-415A-A74B-D68815B39986}" type="pres">
      <dgm:prSet presAssocID="{BEF32BAF-EF76-4DD6-8A01-0B665C2AED85}" presName="rootText" presStyleLbl="node2" presStyleIdx="2" presStyleCnt="12" custScaleX="148101" custLinFactNeighborY="-14924">
        <dgm:presLayoutVars>
          <dgm:chPref val="3"/>
        </dgm:presLayoutVars>
      </dgm:prSet>
      <dgm:spPr>
        <a:prstGeom prst="rect">
          <a:avLst/>
        </a:prstGeom>
      </dgm:spPr>
      <dgm:t>
        <a:bodyPr/>
        <a:lstStyle/>
        <a:p>
          <a:endParaRPr lang="en-GB"/>
        </a:p>
      </dgm:t>
    </dgm:pt>
    <dgm:pt modelId="{8D3DA622-A086-43F6-AE4D-A43F50D91E25}" type="pres">
      <dgm:prSet presAssocID="{BEF32BAF-EF76-4DD6-8A01-0B665C2AED85}" presName="rootConnector" presStyleLbl="node2" presStyleIdx="2" presStyleCnt="12"/>
      <dgm:spPr/>
      <dgm:t>
        <a:bodyPr/>
        <a:lstStyle/>
        <a:p>
          <a:endParaRPr lang="en-GB"/>
        </a:p>
      </dgm:t>
    </dgm:pt>
    <dgm:pt modelId="{A0532878-64B3-40A8-87D8-43752EBD58AB}" type="pres">
      <dgm:prSet presAssocID="{BEF32BAF-EF76-4DD6-8A01-0B665C2AED85}" presName="hierChild4" presStyleCnt="0"/>
      <dgm:spPr/>
    </dgm:pt>
    <dgm:pt modelId="{902AF0D4-24FE-497A-88CD-10BBCDCD3E51}" type="pres">
      <dgm:prSet presAssocID="{BEF32BAF-EF76-4DD6-8A01-0B665C2AED85}" presName="hierChild5" presStyleCnt="0"/>
      <dgm:spPr/>
    </dgm:pt>
    <dgm:pt modelId="{41CBE496-278A-420E-9E75-4AC10667AB78}" type="pres">
      <dgm:prSet presAssocID="{DD30CC2C-8963-4D0A-9C62-F03585210FD8}" presName="Name64" presStyleLbl="parChTrans1D2" presStyleIdx="3" presStyleCnt="12"/>
      <dgm:spPr>
        <a:custGeom>
          <a:avLst/>
          <a:gdLst/>
          <a:ahLst/>
          <a:cxnLst/>
          <a:rect l="0" t="0" r="0" b="0"/>
          <a:pathLst>
            <a:path>
              <a:moveTo>
                <a:pt x="0" y="366294"/>
              </a:moveTo>
              <a:lnTo>
                <a:pt x="491231" y="366294"/>
              </a:lnTo>
              <a:lnTo>
                <a:pt x="491231" y="0"/>
              </a:lnTo>
              <a:lnTo>
                <a:pt x="623878" y="0"/>
              </a:lnTo>
            </a:path>
          </a:pathLst>
        </a:custGeom>
      </dgm:spPr>
      <dgm:t>
        <a:bodyPr/>
        <a:lstStyle/>
        <a:p>
          <a:endParaRPr lang="en-GB"/>
        </a:p>
      </dgm:t>
    </dgm:pt>
    <dgm:pt modelId="{08F596A6-D79F-4A66-8E3B-AE539F1A524F}" type="pres">
      <dgm:prSet presAssocID="{26CA75B8-7897-48F2-A0F7-3E89DD6146A4}" presName="hierRoot2" presStyleCnt="0">
        <dgm:presLayoutVars>
          <dgm:hierBranch val="init"/>
        </dgm:presLayoutVars>
      </dgm:prSet>
      <dgm:spPr/>
    </dgm:pt>
    <dgm:pt modelId="{01B4D703-0031-43CC-BB41-5E72829A6F09}" type="pres">
      <dgm:prSet presAssocID="{26CA75B8-7897-48F2-A0F7-3E89DD6146A4}" presName="rootComposite" presStyleCnt="0"/>
      <dgm:spPr/>
    </dgm:pt>
    <dgm:pt modelId="{C3B6F221-4D4D-4E92-9892-5DCFB0E500D4}" type="pres">
      <dgm:prSet presAssocID="{26CA75B8-7897-48F2-A0F7-3E89DD6146A4}" presName="rootText" presStyleLbl="node2" presStyleIdx="3" presStyleCnt="12" custScaleX="149843" custLinFactNeighborY="-21320">
        <dgm:presLayoutVars>
          <dgm:chPref val="3"/>
        </dgm:presLayoutVars>
      </dgm:prSet>
      <dgm:spPr>
        <a:prstGeom prst="rect">
          <a:avLst/>
        </a:prstGeom>
      </dgm:spPr>
      <dgm:t>
        <a:bodyPr/>
        <a:lstStyle/>
        <a:p>
          <a:endParaRPr lang="en-GB"/>
        </a:p>
      </dgm:t>
    </dgm:pt>
    <dgm:pt modelId="{DBF6A0AE-1C52-416A-99F3-F7CBABF0A372}" type="pres">
      <dgm:prSet presAssocID="{26CA75B8-7897-48F2-A0F7-3E89DD6146A4}" presName="rootConnector" presStyleLbl="node2" presStyleIdx="3" presStyleCnt="12"/>
      <dgm:spPr/>
      <dgm:t>
        <a:bodyPr/>
        <a:lstStyle/>
        <a:p>
          <a:endParaRPr lang="en-GB"/>
        </a:p>
      </dgm:t>
    </dgm:pt>
    <dgm:pt modelId="{E4995C87-6247-41E2-BE29-B396021A30B4}" type="pres">
      <dgm:prSet presAssocID="{26CA75B8-7897-48F2-A0F7-3E89DD6146A4}" presName="hierChild4" presStyleCnt="0"/>
      <dgm:spPr/>
    </dgm:pt>
    <dgm:pt modelId="{C54F7796-15DB-4124-825C-6DAB1330D874}" type="pres">
      <dgm:prSet presAssocID="{26CA75B8-7897-48F2-A0F7-3E89DD6146A4}" presName="hierChild5" presStyleCnt="0"/>
      <dgm:spPr/>
    </dgm:pt>
    <dgm:pt modelId="{46F72EC4-FADA-4596-BB1F-5F3CB305CBBC}" type="pres">
      <dgm:prSet presAssocID="{E2407C79-04EF-42B1-A9C0-A8DDAE433C72}" presName="Name64" presStyleLbl="parChTrans1D2" presStyleIdx="4" presStyleCnt="12"/>
      <dgm:spPr>
        <a:custGeom>
          <a:avLst/>
          <a:gdLst/>
          <a:ahLst/>
          <a:cxnLst/>
          <a:rect l="0" t="0" r="0" b="0"/>
          <a:pathLst>
            <a:path>
              <a:moveTo>
                <a:pt x="0" y="0"/>
              </a:moveTo>
              <a:lnTo>
                <a:pt x="491231" y="0"/>
              </a:lnTo>
              <a:lnTo>
                <a:pt x="491231" y="152318"/>
              </a:lnTo>
              <a:lnTo>
                <a:pt x="623878" y="152318"/>
              </a:lnTo>
            </a:path>
          </a:pathLst>
        </a:custGeom>
      </dgm:spPr>
      <dgm:t>
        <a:bodyPr/>
        <a:lstStyle/>
        <a:p>
          <a:endParaRPr lang="en-GB"/>
        </a:p>
      </dgm:t>
    </dgm:pt>
    <dgm:pt modelId="{3269D5A3-A9BE-4EEC-B1CD-B58C50EB65CF}" type="pres">
      <dgm:prSet presAssocID="{EADF8F85-F3FC-4E95-97E3-9FD258596C42}" presName="hierRoot2" presStyleCnt="0">
        <dgm:presLayoutVars>
          <dgm:hierBranch val="init"/>
        </dgm:presLayoutVars>
      </dgm:prSet>
      <dgm:spPr/>
    </dgm:pt>
    <dgm:pt modelId="{8E2D064A-7843-4F1E-97C4-ED3B33D0015B}" type="pres">
      <dgm:prSet presAssocID="{EADF8F85-F3FC-4E95-97E3-9FD258596C42}" presName="rootComposite" presStyleCnt="0"/>
      <dgm:spPr/>
    </dgm:pt>
    <dgm:pt modelId="{6AED6600-CA68-46F9-A9D2-A026EB06B368}" type="pres">
      <dgm:prSet presAssocID="{EADF8F85-F3FC-4E95-97E3-9FD258596C42}" presName="rootText" presStyleLbl="node2" presStyleIdx="4" presStyleCnt="12" custScaleX="148542" custLinFactNeighborY="-34116">
        <dgm:presLayoutVars>
          <dgm:chPref val="3"/>
        </dgm:presLayoutVars>
      </dgm:prSet>
      <dgm:spPr>
        <a:prstGeom prst="rect">
          <a:avLst/>
        </a:prstGeom>
      </dgm:spPr>
      <dgm:t>
        <a:bodyPr/>
        <a:lstStyle/>
        <a:p>
          <a:endParaRPr lang="en-GB"/>
        </a:p>
      </dgm:t>
    </dgm:pt>
    <dgm:pt modelId="{6261E727-5D2F-4F3F-A80B-D12984EC722F}" type="pres">
      <dgm:prSet presAssocID="{EADF8F85-F3FC-4E95-97E3-9FD258596C42}" presName="rootConnector" presStyleLbl="node2" presStyleIdx="4" presStyleCnt="12"/>
      <dgm:spPr/>
      <dgm:t>
        <a:bodyPr/>
        <a:lstStyle/>
        <a:p>
          <a:endParaRPr lang="en-GB"/>
        </a:p>
      </dgm:t>
    </dgm:pt>
    <dgm:pt modelId="{C2D6F8DD-7882-41AC-8ABE-FABBEF4FE19D}" type="pres">
      <dgm:prSet presAssocID="{EADF8F85-F3FC-4E95-97E3-9FD258596C42}" presName="hierChild4" presStyleCnt="0"/>
      <dgm:spPr/>
    </dgm:pt>
    <dgm:pt modelId="{002E41D9-B664-4E38-AA49-B2296A794653}" type="pres">
      <dgm:prSet presAssocID="{EADF8F85-F3FC-4E95-97E3-9FD258596C42}" presName="hierChild5" presStyleCnt="0"/>
      <dgm:spPr/>
    </dgm:pt>
    <dgm:pt modelId="{D344278C-1C15-4633-8382-B8184C5D20A7}" type="pres">
      <dgm:prSet presAssocID="{00856AB3-1E88-47B1-A273-055E64B3ED7C}" presName="Name64" presStyleLbl="parChTrans1D2" presStyleIdx="5" presStyleCnt="12"/>
      <dgm:spPr>
        <a:custGeom>
          <a:avLst/>
          <a:gdLst/>
          <a:ahLst/>
          <a:cxnLst/>
          <a:rect l="0" t="0" r="0" b="0"/>
          <a:pathLst>
            <a:path>
              <a:moveTo>
                <a:pt x="0" y="0"/>
              </a:moveTo>
              <a:lnTo>
                <a:pt x="482609" y="0"/>
              </a:lnTo>
              <a:lnTo>
                <a:pt x="482609" y="679568"/>
              </a:lnTo>
              <a:lnTo>
                <a:pt x="615256" y="679568"/>
              </a:lnTo>
            </a:path>
          </a:pathLst>
        </a:custGeom>
      </dgm:spPr>
      <dgm:t>
        <a:bodyPr/>
        <a:lstStyle/>
        <a:p>
          <a:endParaRPr lang="en-GB"/>
        </a:p>
      </dgm:t>
    </dgm:pt>
    <dgm:pt modelId="{643300CB-F518-4007-B73E-BC1B837A7E36}" type="pres">
      <dgm:prSet presAssocID="{DF2F29E7-3E8C-421E-9501-6945C8A375A3}" presName="hierRoot2" presStyleCnt="0">
        <dgm:presLayoutVars>
          <dgm:hierBranch val="init"/>
        </dgm:presLayoutVars>
      </dgm:prSet>
      <dgm:spPr/>
    </dgm:pt>
    <dgm:pt modelId="{AFF56440-920A-4268-862B-27BB93CB048D}" type="pres">
      <dgm:prSet presAssocID="{DF2F29E7-3E8C-421E-9501-6945C8A375A3}" presName="rootComposite" presStyleCnt="0"/>
      <dgm:spPr/>
    </dgm:pt>
    <dgm:pt modelId="{29E84A01-933E-4AF5-8EEE-27B1536DA36E}" type="pres">
      <dgm:prSet presAssocID="{DF2F29E7-3E8C-421E-9501-6945C8A375A3}" presName="rootText" presStyleLbl="node2" presStyleIdx="5" presStyleCnt="12" custScaleX="146823" custLinFactNeighborX="-650" custLinFactNeighborY="-44777">
        <dgm:presLayoutVars>
          <dgm:chPref val="3"/>
        </dgm:presLayoutVars>
      </dgm:prSet>
      <dgm:spPr>
        <a:prstGeom prst="rect">
          <a:avLst/>
        </a:prstGeom>
      </dgm:spPr>
      <dgm:t>
        <a:bodyPr/>
        <a:lstStyle/>
        <a:p>
          <a:endParaRPr lang="en-GB"/>
        </a:p>
      </dgm:t>
    </dgm:pt>
    <dgm:pt modelId="{4C3A963A-6001-4DB1-85F3-576AFD84A0EC}" type="pres">
      <dgm:prSet presAssocID="{DF2F29E7-3E8C-421E-9501-6945C8A375A3}" presName="rootConnector" presStyleLbl="node2" presStyleIdx="5" presStyleCnt="12"/>
      <dgm:spPr/>
      <dgm:t>
        <a:bodyPr/>
        <a:lstStyle/>
        <a:p>
          <a:endParaRPr lang="en-GB"/>
        </a:p>
      </dgm:t>
    </dgm:pt>
    <dgm:pt modelId="{71929C27-74EB-4B87-A70E-969824EEA18C}" type="pres">
      <dgm:prSet presAssocID="{DF2F29E7-3E8C-421E-9501-6945C8A375A3}" presName="hierChild4" presStyleCnt="0"/>
      <dgm:spPr/>
    </dgm:pt>
    <dgm:pt modelId="{D7BBAC98-312C-47BB-B559-5F477A0C9CFA}" type="pres">
      <dgm:prSet presAssocID="{DF2F29E7-3E8C-421E-9501-6945C8A375A3}" presName="hierChild5" presStyleCnt="0"/>
      <dgm:spPr/>
    </dgm:pt>
    <dgm:pt modelId="{FC3C8A01-7FC4-4339-93B4-641F4881A665}" type="pres">
      <dgm:prSet presAssocID="{288F1176-10E7-46C6-BC5E-38916F3D0F30}" presName="Name64" presStyleLbl="parChTrans1D2" presStyleIdx="6" presStyleCnt="12"/>
      <dgm:spPr>
        <a:custGeom>
          <a:avLst/>
          <a:gdLst/>
          <a:ahLst/>
          <a:cxnLst/>
          <a:rect l="0" t="0" r="0" b="0"/>
          <a:pathLst>
            <a:path>
              <a:moveTo>
                <a:pt x="0" y="0"/>
              </a:moveTo>
              <a:lnTo>
                <a:pt x="491231" y="0"/>
              </a:lnTo>
              <a:lnTo>
                <a:pt x="491231" y="1224074"/>
              </a:lnTo>
              <a:lnTo>
                <a:pt x="623878" y="1224074"/>
              </a:lnTo>
            </a:path>
          </a:pathLst>
        </a:custGeom>
      </dgm:spPr>
      <dgm:t>
        <a:bodyPr/>
        <a:lstStyle/>
        <a:p>
          <a:endParaRPr lang="en-GB"/>
        </a:p>
      </dgm:t>
    </dgm:pt>
    <dgm:pt modelId="{8F2A2731-A521-44B7-A961-2F528031B95C}" type="pres">
      <dgm:prSet presAssocID="{4FDA3295-3731-4B49-813C-71AF436FC23B}" presName="hierRoot2" presStyleCnt="0">
        <dgm:presLayoutVars>
          <dgm:hierBranch val="init"/>
        </dgm:presLayoutVars>
      </dgm:prSet>
      <dgm:spPr/>
    </dgm:pt>
    <dgm:pt modelId="{209BB47F-A274-4440-8444-34261AC73A61}" type="pres">
      <dgm:prSet presAssocID="{4FDA3295-3731-4B49-813C-71AF436FC23B}" presName="rootComposite" presStyleCnt="0"/>
      <dgm:spPr/>
    </dgm:pt>
    <dgm:pt modelId="{37FE35B5-4BFB-46FF-A2C4-1C90C04FE094}" type="pres">
      <dgm:prSet presAssocID="{4FDA3295-3731-4B49-813C-71AF436FC23B}" presName="rootText" presStyleLbl="node2" presStyleIdx="6" presStyleCnt="12" custScaleX="145523" custLinFactNeighborY="-51173">
        <dgm:presLayoutVars>
          <dgm:chPref val="3"/>
        </dgm:presLayoutVars>
      </dgm:prSet>
      <dgm:spPr>
        <a:prstGeom prst="rect">
          <a:avLst/>
        </a:prstGeom>
      </dgm:spPr>
      <dgm:t>
        <a:bodyPr/>
        <a:lstStyle/>
        <a:p>
          <a:endParaRPr lang="en-GB"/>
        </a:p>
      </dgm:t>
    </dgm:pt>
    <dgm:pt modelId="{9C811A47-4266-4E29-8F3A-69AD7F776054}" type="pres">
      <dgm:prSet presAssocID="{4FDA3295-3731-4B49-813C-71AF436FC23B}" presName="rootConnector" presStyleLbl="node2" presStyleIdx="6" presStyleCnt="12"/>
      <dgm:spPr/>
      <dgm:t>
        <a:bodyPr/>
        <a:lstStyle/>
        <a:p>
          <a:endParaRPr lang="en-GB"/>
        </a:p>
      </dgm:t>
    </dgm:pt>
    <dgm:pt modelId="{56191A69-0B56-44AC-AD7D-3F02C2D385B3}" type="pres">
      <dgm:prSet presAssocID="{4FDA3295-3731-4B49-813C-71AF436FC23B}" presName="hierChild4" presStyleCnt="0"/>
      <dgm:spPr/>
    </dgm:pt>
    <dgm:pt modelId="{5EF6CE9F-A184-4E68-8F18-16573AD9727D}" type="pres">
      <dgm:prSet presAssocID="{4FDA3295-3731-4B49-813C-71AF436FC23B}" presName="hierChild5" presStyleCnt="0"/>
      <dgm:spPr/>
    </dgm:pt>
    <dgm:pt modelId="{641CD825-5D1F-41BE-AC19-D0ADC3E19B85}" type="pres">
      <dgm:prSet presAssocID="{440A8DCD-F0C1-4B0B-822A-BB646D055CC0}" presName="Name64" presStyleLbl="parChTrans1D2" presStyleIdx="7" presStyleCnt="12"/>
      <dgm:spPr>
        <a:custGeom>
          <a:avLst/>
          <a:gdLst/>
          <a:ahLst/>
          <a:cxnLst/>
          <a:rect l="0" t="0" r="0" b="0"/>
          <a:pathLst>
            <a:path>
              <a:moveTo>
                <a:pt x="0" y="0"/>
              </a:moveTo>
              <a:lnTo>
                <a:pt x="491231" y="0"/>
              </a:lnTo>
              <a:lnTo>
                <a:pt x="491231" y="1777200"/>
              </a:lnTo>
              <a:lnTo>
                <a:pt x="623878" y="1777200"/>
              </a:lnTo>
            </a:path>
          </a:pathLst>
        </a:custGeom>
      </dgm:spPr>
      <dgm:t>
        <a:bodyPr/>
        <a:lstStyle/>
        <a:p>
          <a:endParaRPr lang="en-GB"/>
        </a:p>
      </dgm:t>
    </dgm:pt>
    <dgm:pt modelId="{232B480D-2DDD-4BBC-A45E-8AA118B34560}" type="pres">
      <dgm:prSet presAssocID="{E3687E5F-904A-4A4D-8E30-52CFE5DD03A0}" presName="hierRoot2" presStyleCnt="0">
        <dgm:presLayoutVars>
          <dgm:hierBranch val="init"/>
        </dgm:presLayoutVars>
      </dgm:prSet>
      <dgm:spPr/>
    </dgm:pt>
    <dgm:pt modelId="{BF5AA88E-49E9-4C7A-8D47-DA9055795E00}" type="pres">
      <dgm:prSet presAssocID="{E3687E5F-904A-4A4D-8E30-52CFE5DD03A0}" presName="rootComposite" presStyleCnt="0"/>
      <dgm:spPr/>
    </dgm:pt>
    <dgm:pt modelId="{38732D4B-FA22-4CFF-95DD-203DCB3CB616}" type="pres">
      <dgm:prSet presAssocID="{E3687E5F-904A-4A4D-8E30-52CFE5DD03A0}" presName="rootText" presStyleLbl="node2" presStyleIdx="7" presStyleCnt="12" custScaleX="145523" custLinFactNeighborY="-55438">
        <dgm:presLayoutVars>
          <dgm:chPref val="3"/>
        </dgm:presLayoutVars>
      </dgm:prSet>
      <dgm:spPr>
        <a:prstGeom prst="rect">
          <a:avLst/>
        </a:prstGeom>
      </dgm:spPr>
      <dgm:t>
        <a:bodyPr/>
        <a:lstStyle/>
        <a:p>
          <a:endParaRPr lang="en-GB"/>
        </a:p>
      </dgm:t>
    </dgm:pt>
    <dgm:pt modelId="{EC7234AF-C4C7-4CA7-9791-621D78186B7B}" type="pres">
      <dgm:prSet presAssocID="{E3687E5F-904A-4A4D-8E30-52CFE5DD03A0}" presName="rootConnector" presStyleLbl="node2" presStyleIdx="7" presStyleCnt="12"/>
      <dgm:spPr/>
      <dgm:t>
        <a:bodyPr/>
        <a:lstStyle/>
        <a:p>
          <a:endParaRPr lang="en-GB"/>
        </a:p>
      </dgm:t>
    </dgm:pt>
    <dgm:pt modelId="{9A973699-5AB4-449A-85E4-426D84AC2AF0}" type="pres">
      <dgm:prSet presAssocID="{E3687E5F-904A-4A4D-8E30-52CFE5DD03A0}" presName="hierChild4" presStyleCnt="0"/>
      <dgm:spPr/>
    </dgm:pt>
    <dgm:pt modelId="{50A8A6C1-0344-4D93-9494-66158390639C}" type="pres">
      <dgm:prSet presAssocID="{E3687E5F-904A-4A4D-8E30-52CFE5DD03A0}" presName="hierChild5" presStyleCnt="0"/>
      <dgm:spPr/>
    </dgm:pt>
    <dgm:pt modelId="{C9AD1E2E-BA03-4EDC-8739-7161E51E97E8}" type="pres">
      <dgm:prSet presAssocID="{A7D60DD7-9A01-4D15-B4E7-1439C0B0BDDF}" presName="Name64" presStyleLbl="parChTrans1D2" presStyleIdx="8" presStyleCnt="12"/>
      <dgm:spPr>
        <a:custGeom>
          <a:avLst/>
          <a:gdLst/>
          <a:ahLst/>
          <a:cxnLst/>
          <a:rect l="0" t="0" r="0" b="0"/>
          <a:pathLst>
            <a:path>
              <a:moveTo>
                <a:pt x="0" y="0"/>
              </a:moveTo>
              <a:lnTo>
                <a:pt x="499853" y="0"/>
              </a:lnTo>
              <a:lnTo>
                <a:pt x="499853" y="2321702"/>
              </a:lnTo>
              <a:lnTo>
                <a:pt x="632500" y="2321702"/>
              </a:lnTo>
            </a:path>
          </a:pathLst>
        </a:custGeom>
      </dgm:spPr>
      <dgm:t>
        <a:bodyPr/>
        <a:lstStyle/>
        <a:p>
          <a:endParaRPr lang="en-GB"/>
        </a:p>
      </dgm:t>
    </dgm:pt>
    <dgm:pt modelId="{5A2840F3-A6C3-47A8-ACA9-B1190133CFCF}" type="pres">
      <dgm:prSet presAssocID="{42F45102-62AA-418C-A3B3-A067A61E3EDC}" presName="hierRoot2" presStyleCnt="0">
        <dgm:presLayoutVars>
          <dgm:hierBranch val="init"/>
        </dgm:presLayoutVars>
      </dgm:prSet>
      <dgm:spPr/>
    </dgm:pt>
    <dgm:pt modelId="{C8B06D50-3FAE-4295-8863-FD70E5468D85}" type="pres">
      <dgm:prSet presAssocID="{42F45102-62AA-418C-A3B3-A067A61E3EDC}" presName="rootComposite" presStyleCnt="0"/>
      <dgm:spPr/>
    </dgm:pt>
    <dgm:pt modelId="{F8293A38-79B2-463B-9B77-B5E40ABBE618}" type="pres">
      <dgm:prSet presAssocID="{42F45102-62AA-418C-A3B3-A067A61E3EDC}" presName="rootText" presStyleLbl="node2" presStyleIdx="8" presStyleCnt="12" custScaleX="144222" custLinFactNeighborX="650" custLinFactNeighborY="-61835">
        <dgm:presLayoutVars>
          <dgm:chPref val="3"/>
        </dgm:presLayoutVars>
      </dgm:prSet>
      <dgm:spPr>
        <a:prstGeom prst="rect">
          <a:avLst/>
        </a:prstGeom>
      </dgm:spPr>
      <dgm:t>
        <a:bodyPr/>
        <a:lstStyle/>
        <a:p>
          <a:endParaRPr lang="en-GB"/>
        </a:p>
      </dgm:t>
    </dgm:pt>
    <dgm:pt modelId="{B9707816-6E4E-4616-A909-DA45E98A06CC}" type="pres">
      <dgm:prSet presAssocID="{42F45102-62AA-418C-A3B3-A067A61E3EDC}" presName="rootConnector" presStyleLbl="node2" presStyleIdx="8" presStyleCnt="12"/>
      <dgm:spPr/>
      <dgm:t>
        <a:bodyPr/>
        <a:lstStyle/>
        <a:p>
          <a:endParaRPr lang="en-GB"/>
        </a:p>
      </dgm:t>
    </dgm:pt>
    <dgm:pt modelId="{4B103996-4796-42C2-8505-1A8018B3AC10}" type="pres">
      <dgm:prSet presAssocID="{42F45102-62AA-418C-A3B3-A067A61E3EDC}" presName="hierChild4" presStyleCnt="0"/>
      <dgm:spPr/>
    </dgm:pt>
    <dgm:pt modelId="{AA7DB672-010A-41E9-805C-24A69E534C67}" type="pres">
      <dgm:prSet presAssocID="{42F45102-62AA-418C-A3B3-A067A61E3EDC}" presName="hierChild5" presStyleCnt="0"/>
      <dgm:spPr/>
    </dgm:pt>
    <dgm:pt modelId="{DF4E7C59-9151-463C-9C71-0F8735A9C73F}" type="pres">
      <dgm:prSet presAssocID="{B4E2C1DE-967C-4324-AFAC-3F1A41B2A22F}" presName="Name64" presStyleLbl="parChTrans1D2" presStyleIdx="9" presStyleCnt="12"/>
      <dgm:spPr>
        <a:custGeom>
          <a:avLst/>
          <a:gdLst/>
          <a:ahLst/>
          <a:cxnLst/>
          <a:rect l="0" t="0" r="0" b="0"/>
          <a:pathLst>
            <a:path>
              <a:moveTo>
                <a:pt x="0" y="0"/>
              </a:moveTo>
              <a:lnTo>
                <a:pt x="508488" y="0"/>
              </a:lnTo>
              <a:lnTo>
                <a:pt x="508488" y="2848952"/>
              </a:lnTo>
              <a:lnTo>
                <a:pt x="641135" y="2848952"/>
              </a:lnTo>
            </a:path>
          </a:pathLst>
        </a:custGeom>
      </dgm:spPr>
      <dgm:t>
        <a:bodyPr/>
        <a:lstStyle/>
        <a:p>
          <a:endParaRPr lang="en-GB"/>
        </a:p>
      </dgm:t>
    </dgm:pt>
    <dgm:pt modelId="{69084326-60CE-459B-BE19-4AB5EDEF03CD}" type="pres">
      <dgm:prSet presAssocID="{0DEA5386-ADC1-44EF-B309-5D61B24A1BC2}" presName="hierRoot2" presStyleCnt="0">
        <dgm:presLayoutVars>
          <dgm:hierBranch val="init"/>
        </dgm:presLayoutVars>
      </dgm:prSet>
      <dgm:spPr/>
    </dgm:pt>
    <dgm:pt modelId="{F0A204D7-24FA-4D1D-B1B5-12577A29EAB0}" type="pres">
      <dgm:prSet presAssocID="{0DEA5386-ADC1-44EF-B309-5D61B24A1BC2}" presName="rootComposite" presStyleCnt="0"/>
      <dgm:spPr/>
    </dgm:pt>
    <dgm:pt modelId="{1D2FE197-C4D0-424C-9E7D-9759ED322B23}" type="pres">
      <dgm:prSet presAssocID="{0DEA5386-ADC1-44EF-B309-5D61B24A1BC2}" presName="rootText" presStyleLbl="node2" presStyleIdx="9" presStyleCnt="12" custScaleX="142921" custLinFactNeighborX="1301" custLinFactNeighborY="-72496">
        <dgm:presLayoutVars>
          <dgm:chPref val="3"/>
        </dgm:presLayoutVars>
      </dgm:prSet>
      <dgm:spPr>
        <a:prstGeom prst="rect">
          <a:avLst/>
        </a:prstGeom>
      </dgm:spPr>
      <dgm:t>
        <a:bodyPr/>
        <a:lstStyle/>
        <a:p>
          <a:endParaRPr lang="en-GB"/>
        </a:p>
      </dgm:t>
    </dgm:pt>
    <dgm:pt modelId="{3709FDDA-5D0A-4ECC-A344-2B8B9C59DF01}" type="pres">
      <dgm:prSet presAssocID="{0DEA5386-ADC1-44EF-B309-5D61B24A1BC2}" presName="rootConnector" presStyleLbl="node2" presStyleIdx="9" presStyleCnt="12"/>
      <dgm:spPr/>
      <dgm:t>
        <a:bodyPr/>
        <a:lstStyle/>
        <a:p>
          <a:endParaRPr lang="en-GB"/>
        </a:p>
      </dgm:t>
    </dgm:pt>
    <dgm:pt modelId="{63A934B4-BCCA-4877-BFBA-841140B14AF1}" type="pres">
      <dgm:prSet presAssocID="{0DEA5386-ADC1-44EF-B309-5D61B24A1BC2}" presName="hierChild4" presStyleCnt="0"/>
      <dgm:spPr/>
    </dgm:pt>
    <dgm:pt modelId="{FEBF5FA9-472B-4FC1-9CD0-51A41B2ACD65}" type="pres">
      <dgm:prSet presAssocID="{0DEA5386-ADC1-44EF-B309-5D61B24A1BC2}" presName="hierChild5" presStyleCnt="0"/>
      <dgm:spPr/>
    </dgm:pt>
    <dgm:pt modelId="{0BCC51CD-CF8B-4ACE-9E30-5D0B5E0B07E1}" type="pres">
      <dgm:prSet presAssocID="{0F9008D7-1370-4C3C-81B9-F2B91DD68330}" presName="hierChild3" presStyleCnt="0"/>
      <dgm:spPr/>
    </dgm:pt>
    <dgm:pt modelId="{A0E2028A-BED5-4E08-910C-727C0085655E}" type="pres">
      <dgm:prSet presAssocID="{5F02F8AB-3416-40B3-BDF7-F88D524A3BCA}" presName="hierRoot1" presStyleCnt="0">
        <dgm:presLayoutVars>
          <dgm:hierBranch val="init"/>
        </dgm:presLayoutVars>
      </dgm:prSet>
      <dgm:spPr/>
    </dgm:pt>
    <dgm:pt modelId="{9F218D29-748C-46C3-81F5-9D2B8C07CA6F}" type="pres">
      <dgm:prSet presAssocID="{5F02F8AB-3416-40B3-BDF7-F88D524A3BCA}" presName="rootComposite1" presStyleCnt="0"/>
      <dgm:spPr/>
    </dgm:pt>
    <dgm:pt modelId="{E8BA067C-6329-4A2A-8893-67963C42A31D}" type="pres">
      <dgm:prSet presAssocID="{5F02F8AB-3416-40B3-BDF7-F88D524A3BCA}" presName="rootText1" presStyleLbl="node0" presStyleIdx="1" presStyleCnt="4" custScaleX="122819" custScaleY="225572" custLinFactY="100000" custLinFactNeighborX="-28004" custLinFactNeighborY="137489">
        <dgm:presLayoutVars>
          <dgm:chPref val="3"/>
        </dgm:presLayoutVars>
      </dgm:prSet>
      <dgm:spPr>
        <a:prstGeom prst="rect">
          <a:avLst/>
        </a:prstGeom>
      </dgm:spPr>
      <dgm:t>
        <a:bodyPr/>
        <a:lstStyle/>
        <a:p>
          <a:endParaRPr lang="en-GB"/>
        </a:p>
      </dgm:t>
    </dgm:pt>
    <dgm:pt modelId="{EE560E82-7324-4830-8B94-77BEF0055E28}" type="pres">
      <dgm:prSet presAssocID="{5F02F8AB-3416-40B3-BDF7-F88D524A3BCA}" presName="rootConnector1" presStyleLbl="node1" presStyleIdx="0" presStyleCnt="0"/>
      <dgm:spPr/>
      <dgm:t>
        <a:bodyPr/>
        <a:lstStyle/>
        <a:p>
          <a:endParaRPr lang="en-GB"/>
        </a:p>
      </dgm:t>
    </dgm:pt>
    <dgm:pt modelId="{220766FD-5FCB-4BBF-82F4-016289BD2746}" type="pres">
      <dgm:prSet presAssocID="{5F02F8AB-3416-40B3-BDF7-F88D524A3BCA}" presName="hierChild2" presStyleCnt="0"/>
      <dgm:spPr/>
    </dgm:pt>
    <dgm:pt modelId="{46B97545-AFF1-4393-BE7D-245A309953F2}" type="pres">
      <dgm:prSet presAssocID="{5F02F8AB-3416-40B3-BDF7-F88D524A3BCA}" presName="hierChild3" presStyleCnt="0"/>
      <dgm:spPr/>
    </dgm:pt>
    <dgm:pt modelId="{8333F0F2-A1FB-48E7-85ED-217B3791D8A7}" type="pres">
      <dgm:prSet presAssocID="{FE86B40E-798C-4E7C-8023-312183D852A8}" presName="hierRoot1" presStyleCnt="0">
        <dgm:presLayoutVars>
          <dgm:hierBranch val="init"/>
        </dgm:presLayoutVars>
      </dgm:prSet>
      <dgm:spPr/>
    </dgm:pt>
    <dgm:pt modelId="{94DFB739-783D-4201-AA7F-6ED562322656}" type="pres">
      <dgm:prSet presAssocID="{FE86B40E-798C-4E7C-8023-312183D852A8}" presName="rootComposite1" presStyleCnt="0"/>
      <dgm:spPr/>
    </dgm:pt>
    <dgm:pt modelId="{C9FEF676-4D24-4665-A8BD-96550AD22F79}" type="pres">
      <dgm:prSet presAssocID="{FE86B40E-798C-4E7C-8023-312183D852A8}" presName="rootText1" presStyleLbl="node0" presStyleIdx="2" presStyleCnt="4" custScaleX="167446" custScaleY="199171" custLinFactY="100000" custLinFactNeighborX="-25597" custLinFactNeighborY="125055">
        <dgm:presLayoutVars>
          <dgm:chPref val="3"/>
        </dgm:presLayoutVars>
      </dgm:prSet>
      <dgm:spPr>
        <a:prstGeom prst="rect">
          <a:avLst/>
        </a:prstGeom>
      </dgm:spPr>
      <dgm:t>
        <a:bodyPr/>
        <a:lstStyle/>
        <a:p>
          <a:endParaRPr lang="en-GB"/>
        </a:p>
      </dgm:t>
    </dgm:pt>
    <dgm:pt modelId="{A04A4C8B-C87B-49E8-AA00-7FAAC392A5CC}" type="pres">
      <dgm:prSet presAssocID="{FE86B40E-798C-4E7C-8023-312183D852A8}" presName="rootConnector1" presStyleLbl="node1" presStyleIdx="0" presStyleCnt="0"/>
      <dgm:spPr/>
      <dgm:t>
        <a:bodyPr/>
        <a:lstStyle/>
        <a:p>
          <a:endParaRPr lang="en-GB"/>
        </a:p>
      </dgm:t>
    </dgm:pt>
    <dgm:pt modelId="{6BC9A67B-A9AB-4C36-A8E1-D8D41A46EFBA}" type="pres">
      <dgm:prSet presAssocID="{FE86B40E-798C-4E7C-8023-312183D852A8}" presName="hierChild2" presStyleCnt="0"/>
      <dgm:spPr/>
    </dgm:pt>
    <dgm:pt modelId="{761F4B64-AB09-4CC9-A4B0-93231E9FF64B}" type="pres">
      <dgm:prSet presAssocID="{480B2678-3213-46E1-AB71-DFF3E060D4B6}" presName="Name64" presStyleLbl="parChTrans1D2" presStyleIdx="10" presStyleCnt="12"/>
      <dgm:spPr>
        <a:custGeom>
          <a:avLst/>
          <a:gdLst/>
          <a:ahLst/>
          <a:cxnLst/>
          <a:rect l="0" t="0" r="0" b="0"/>
          <a:pathLst>
            <a:path>
              <a:moveTo>
                <a:pt x="0" y="48778"/>
              </a:moveTo>
              <a:lnTo>
                <a:pt x="214204" y="48778"/>
              </a:lnTo>
              <a:lnTo>
                <a:pt x="214204" y="45720"/>
              </a:lnTo>
              <a:lnTo>
                <a:pt x="344284" y="45720"/>
              </a:lnTo>
            </a:path>
          </a:pathLst>
        </a:custGeom>
      </dgm:spPr>
      <dgm:t>
        <a:bodyPr/>
        <a:lstStyle/>
        <a:p>
          <a:endParaRPr lang="en-GB"/>
        </a:p>
      </dgm:t>
    </dgm:pt>
    <dgm:pt modelId="{80491030-DDF7-4AB1-A2C5-01CE2BB23DCD}" type="pres">
      <dgm:prSet presAssocID="{438D1389-0401-4BC0-BB95-4DD904FE7FB0}" presName="hierRoot2" presStyleCnt="0">
        <dgm:presLayoutVars>
          <dgm:hierBranch val="init"/>
        </dgm:presLayoutVars>
      </dgm:prSet>
      <dgm:spPr/>
    </dgm:pt>
    <dgm:pt modelId="{2FD0FF82-1E41-4A52-97AE-47F4D8702672}" type="pres">
      <dgm:prSet presAssocID="{438D1389-0401-4BC0-BB95-4DD904FE7FB0}" presName="rootComposite" presStyleCnt="0"/>
      <dgm:spPr/>
    </dgm:pt>
    <dgm:pt modelId="{BCF4DB2A-5F22-45E5-9B75-F2E029A4EDB9}" type="pres">
      <dgm:prSet presAssocID="{438D1389-0401-4BC0-BB95-4DD904FE7FB0}" presName="rootText" presStyleLbl="node2" presStyleIdx="10" presStyleCnt="12" custScaleX="122989" custLinFactY="100000" custLinFactNeighborX="-33782" custLinFactNeighborY="124283">
        <dgm:presLayoutVars>
          <dgm:chPref val="3"/>
        </dgm:presLayoutVars>
      </dgm:prSet>
      <dgm:spPr>
        <a:prstGeom prst="rect">
          <a:avLst/>
        </a:prstGeom>
      </dgm:spPr>
      <dgm:t>
        <a:bodyPr/>
        <a:lstStyle/>
        <a:p>
          <a:endParaRPr lang="en-GB"/>
        </a:p>
      </dgm:t>
    </dgm:pt>
    <dgm:pt modelId="{4A23644E-3B22-46C2-AAFF-ED05FA9AA87A}" type="pres">
      <dgm:prSet presAssocID="{438D1389-0401-4BC0-BB95-4DD904FE7FB0}" presName="rootConnector" presStyleLbl="node2" presStyleIdx="10" presStyleCnt="12"/>
      <dgm:spPr/>
      <dgm:t>
        <a:bodyPr/>
        <a:lstStyle/>
        <a:p>
          <a:endParaRPr lang="en-GB"/>
        </a:p>
      </dgm:t>
    </dgm:pt>
    <dgm:pt modelId="{B625D27E-76FF-49D5-A351-62F50E201B3F}" type="pres">
      <dgm:prSet presAssocID="{438D1389-0401-4BC0-BB95-4DD904FE7FB0}" presName="hierChild4" presStyleCnt="0"/>
      <dgm:spPr/>
    </dgm:pt>
    <dgm:pt modelId="{C9D2892F-EDFC-4018-BCF8-2108A4410555}" type="pres">
      <dgm:prSet presAssocID="{438D1389-0401-4BC0-BB95-4DD904FE7FB0}" presName="hierChild5" presStyleCnt="0"/>
      <dgm:spPr/>
    </dgm:pt>
    <dgm:pt modelId="{E5D5CB5E-CCFB-400F-8059-CCAB3D6D38C1}" type="pres">
      <dgm:prSet presAssocID="{FE86B40E-798C-4E7C-8023-312183D852A8}" presName="hierChild3" presStyleCnt="0"/>
      <dgm:spPr/>
    </dgm:pt>
    <dgm:pt modelId="{E9460CD3-4877-472C-86D8-96C8C04081F2}" type="pres">
      <dgm:prSet presAssocID="{C210086C-3446-403A-A959-F393617F5285}" presName="hierRoot1" presStyleCnt="0">
        <dgm:presLayoutVars>
          <dgm:hierBranch val="init"/>
        </dgm:presLayoutVars>
      </dgm:prSet>
      <dgm:spPr/>
    </dgm:pt>
    <dgm:pt modelId="{ADC7929F-1DF2-4D66-8111-DFF76F285D8E}" type="pres">
      <dgm:prSet presAssocID="{C210086C-3446-403A-A959-F393617F5285}" presName="rootComposite1" presStyleCnt="0"/>
      <dgm:spPr/>
    </dgm:pt>
    <dgm:pt modelId="{3715B55E-095D-4A85-9BEE-BAE59E1C6F88}" type="pres">
      <dgm:prSet presAssocID="{C210086C-3446-403A-A959-F393617F5285}" presName="rootText1" presStyleLbl="node0" presStyleIdx="3" presStyleCnt="4" custScaleX="168433" custScaleY="200203" custLinFactY="-100000" custLinFactNeighborX="-26568" custLinFactNeighborY="-142053">
        <dgm:presLayoutVars>
          <dgm:chPref val="3"/>
        </dgm:presLayoutVars>
      </dgm:prSet>
      <dgm:spPr>
        <a:prstGeom prst="rect">
          <a:avLst/>
        </a:prstGeom>
      </dgm:spPr>
      <dgm:t>
        <a:bodyPr/>
        <a:lstStyle/>
        <a:p>
          <a:endParaRPr lang="en-GB"/>
        </a:p>
      </dgm:t>
    </dgm:pt>
    <dgm:pt modelId="{FD587169-EC26-43EF-9660-584E0A7E4A9C}" type="pres">
      <dgm:prSet presAssocID="{C210086C-3446-403A-A959-F393617F5285}" presName="rootConnector1" presStyleLbl="node1" presStyleIdx="0" presStyleCnt="0"/>
      <dgm:spPr/>
      <dgm:t>
        <a:bodyPr/>
        <a:lstStyle/>
        <a:p>
          <a:endParaRPr lang="en-GB"/>
        </a:p>
      </dgm:t>
    </dgm:pt>
    <dgm:pt modelId="{1300B127-D3EF-4FE6-A6D1-A6BE0D13F4B4}" type="pres">
      <dgm:prSet presAssocID="{C210086C-3446-403A-A959-F393617F5285}" presName="hierChild2" presStyleCnt="0"/>
      <dgm:spPr/>
    </dgm:pt>
    <dgm:pt modelId="{AB91FA95-07A8-4F86-9BA7-EF3C08FA8335}" type="pres">
      <dgm:prSet presAssocID="{770DE325-833F-4ABA-B8B2-D81DE364E07F}" presName="Name64" presStyleLbl="parChTrans1D2" presStyleIdx="11" presStyleCnt="12" custSzY="80094"/>
      <dgm:spPr>
        <a:custGeom>
          <a:avLst/>
          <a:gdLst/>
          <a:ahLst/>
          <a:cxnLst/>
          <a:rect l="0" t="0" r="0" b="0"/>
          <a:pathLst>
            <a:path>
              <a:moveTo>
                <a:pt x="0" y="45720"/>
              </a:moveTo>
              <a:lnTo>
                <a:pt x="76058" y="45720"/>
              </a:lnTo>
              <a:lnTo>
                <a:pt x="76058" y="46604"/>
              </a:lnTo>
              <a:lnTo>
                <a:pt x="206139" y="46604"/>
              </a:lnTo>
            </a:path>
          </a:pathLst>
        </a:custGeom>
      </dgm:spPr>
      <dgm:t>
        <a:bodyPr/>
        <a:lstStyle/>
        <a:p>
          <a:endParaRPr lang="en-GB"/>
        </a:p>
      </dgm:t>
    </dgm:pt>
    <dgm:pt modelId="{4DCBAC69-C6C8-4E29-9BD6-917A5EFE3E62}" type="pres">
      <dgm:prSet presAssocID="{4DE63B67-E631-4829-8BF8-5DFF9DEAB08A}" presName="hierRoot2" presStyleCnt="0">
        <dgm:presLayoutVars>
          <dgm:hierBranch val="init"/>
        </dgm:presLayoutVars>
      </dgm:prSet>
      <dgm:spPr/>
    </dgm:pt>
    <dgm:pt modelId="{1884460C-9D89-43D7-B1BB-46EDE80BDA0F}" type="pres">
      <dgm:prSet presAssocID="{4DE63B67-E631-4829-8BF8-5DFF9DEAB08A}" presName="rootComposite" presStyleCnt="0"/>
      <dgm:spPr/>
    </dgm:pt>
    <dgm:pt modelId="{CDB3FF79-FB15-41C3-A2B2-0495D42374EF}" type="pres">
      <dgm:prSet presAssocID="{4DE63B67-E631-4829-8BF8-5DFF9DEAB08A}" presName="rootText" presStyleLbl="node2" presStyleIdx="11" presStyleCnt="12" custScaleX="119166" custScaleY="101222" custLinFactY="-100000" custLinFactNeighborX="-33830" custLinFactNeighborY="-148893">
        <dgm:presLayoutVars>
          <dgm:chPref val="3"/>
        </dgm:presLayoutVars>
      </dgm:prSet>
      <dgm:spPr>
        <a:prstGeom prst="rect">
          <a:avLst/>
        </a:prstGeom>
      </dgm:spPr>
      <dgm:t>
        <a:bodyPr/>
        <a:lstStyle/>
        <a:p>
          <a:endParaRPr lang="en-GB"/>
        </a:p>
      </dgm:t>
    </dgm:pt>
    <dgm:pt modelId="{3A89EEAE-1A90-402A-98EE-1F67D69092E6}" type="pres">
      <dgm:prSet presAssocID="{4DE63B67-E631-4829-8BF8-5DFF9DEAB08A}" presName="rootConnector" presStyleLbl="node2" presStyleIdx="11" presStyleCnt="12"/>
      <dgm:spPr/>
      <dgm:t>
        <a:bodyPr/>
        <a:lstStyle/>
        <a:p>
          <a:endParaRPr lang="en-GB"/>
        </a:p>
      </dgm:t>
    </dgm:pt>
    <dgm:pt modelId="{C7C46B23-8C35-4F27-A551-5F2EB79EAADF}" type="pres">
      <dgm:prSet presAssocID="{4DE63B67-E631-4829-8BF8-5DFF9DEAB08A}" presName="hierChild4" presStyleCnt="0"/>
      <dgm:spPr/>
    </dgm:pt>
    <dgm:pt modelId="{F0546E04-F17C-4C68-93A1-7077424EDC49}" type="pres">
      <dgm:prSet presAssocID="{4DE63B67-E631-4829-8BF8-5DFF9DEAB08A}" presName="hierChild5" presStyleCnt="0"/>
      <dgm:spPr/>
    </dgm:pt>
    <dgm:pt modelId="{12FE7645-BA43-4F64-87FB-50F1E52E5365}" type="pres">
      <dgm:prSet presAssocID="{C210086C-3446-403A-A959-F393617F5285}" presName="hierChild3" presStyleCnt="0"/>
      <dgm:spPr/>
    </dgm:pt>
  </dgm:ptLst>
  <dgm:cxnLst>
    <dgm:cxn modelId="{78187AE5-5269-46D6-BE56-2A674C69F91B}" srcId="{C210086C-3446-403A-A959-F393617F5285}" destId="{4DE63B67-E631-4829-8BF8-5DFF9DEAB08A}" srcOrd="0" destOrd="0" parTransId="{770DE325-833F-4ABA-B8B2-D81DE364E07F}" sibTransId="{F601F3EE-2893-475A-868A-A58E7FE1CD4B}"/>
    <dgm:cxn modelId="{512CCA0B-9C2D-43AB-A1BC-859387F8845D}" type="presOf" srcId="{42F45102-62AA-418C-A3B3-A067A61E3EDC}" destId="{F8293A38-79B2-463B-9B77-B5E40ABBE618}" srcOrd="0" destOrd="0" presId="urn:microsoft.com/office/officeart/2009/3/layout/HorizontalOrganizationChart"/>
    <dgm:cxn modelId="{9C8843A3-9081-4C1B-9F2D-9F6266E85FAF}" srcId="{7E41136F-8EE5-4563-A255-3F0B48217E18}" destId="{5F02F8AB-3416-40B3-BDF7-F88D524A3BCA}" srcOrd="1" destOrd="0" parTransId="{61F6384C-52DD-45D0-AA49-2E0B43F291C9}" sibTransId="{93504DB6-2783-48DC-85A0-2640640ED676}"/>
    <dgm:cxn modelId="{F05FF62B-5488-471F-A1EB-E20C9B89DA6A}" srcId="{0F9008D7-1370-4C3C-81B9-F2B91DD68330}" destId="{0DEA5386-ADC1-44EF-B309-5D61B24A1BC2}" srcOrd="9" destOrd="0" parTransId="{B4E2C1DE-967C-4324-AFAC-3F1A41B2A22F}" sibTransId="{CD2750CC-B9E6-4A32-B89A-B4F4AEBB22AB}"/>
    <dgm:cxn modelId="{9A281AFE-016F-49D6-8B96-D4EB3EB41475}" type="presOf" srcId="{E3687E5F-904A-4A4D-8E30-52CFE5DD03A0}" destId="{EC7234AF-C4C7-4CA7-9791-621D78186B7B}" srcOrd="1" destOrd="0" presId="urn:microsoft.com/office/officeart/2009/3/layout/HorizontalOrganizationChart"/>
    <dgm:cxn modelId="{A4DC7316-4D78-46E6-93B0-51C85511AFF1}" type="presOf" srcId="{438D1389-0401-4BC0-BB95-4DD904FE7FB0}" destId="{BCF4DB2A-5F22-45E5-9B75-F2E029A4EDB9}" srcOrd="0" destOrd="0" presId="urn:microsoft.com/office/officeart/2009/3/layout/HorizontalOrganizationChart"/>
    <dgm:cxn modelId="{15C5431B-CBD0-42E4-88E9-13CB92F15FE0}" type="presOf" srcId="{DF2F29E7-3E8C-421E-9501-6945C8A375A3}" destId="{4C3A963A-6001-4DB1-85F3-576AFD84A0EC}" srcOrd="1" destOrd="0" presId="urn:microsoft.com/office/officeart/2009/3/layout/HorizontalOrganizationChart"/>
    <dgm:cxn modelId="{D360B46B-E00D-4062-94FC-7A4470591F2D}" srcId="{FE86B40E-798C-4E7C-8023-312183D852A8}" destId="{438D1389-0401-4BC0-BB95-4DD904FE7FB0}" srcOrd="0" destOrd="0" parTransId="{480B2678-3213-46E1-AB71-DFF3E060D4B6}" sibTransId="{A7DA1DDE-243F-43F7-BA07-6DC88F6D2C4F}"/>
    <dgm:cxn modelId="{1A6DCC54-FED9-4945-8141-7CAC03F25BB3}" type="presOf" srcId="{E2407C79-04EF-42B1-A9C0-A8DDAE433C72}" destId="{46F72EC4-FADA-4596-BB1F-5F3CB305CBBC}" srcOrd="0" destOrd="0" presId="urn:microsoft.com/office/officeart/2009/3/layout/HorizontalOrganizationChart"/>
    <dgm:cxn modelId="{364C835C-E0AC-4581-8C6E-64F69E451CA6}" type="presOf" srcId="{09034420-DF51-4B86-B40C-BAD07884FD31}" destId="{36610014-399F-4BEA-88C0-F11869A37483}" srcOrd="0" destOrd="0" presId="urn:microsoft.com/office/officeart/2009/3/layout/HorizontalOrganizationChart"/>
    <dgm:cxn modelId="{BC74DDCD-BE33-4383-BBE8-55597C078F18}" type="presOf" srcId="{B4E2C1DE-967C-4324-AFAC-3F1A41B2A22F}" destId="{DF4E7C59-9151-463C-9C71-0F8735A9C73F}" srcOrd="0" destOrd="0" presId="urn:microsoft.com/office/officeart/2009/3/layout/HorizontalOrganizationChart"/>
    <dgm:cxn modelId="{703D4373-11AC-40AE-AC13-FA5A9CE2C4FF}" type="presOf" srcId="{09034420-DF51-4B86-B40C-BAD07884FD31}" destId="{B5841FB0-A2C1-42A7-BACB-390CDE80F470}" srcOrd="1" destOrd="0" presId="urn:microsoft.com/office/officeart/2009/3/layout/HorizontalOrganizationChart"/>
    <dgm:cxn modelId="{1BAE6E9C-1286-4898-9895-F18341A2478C}" type="presOf" srcId="{4FDA3295-3731-4B49-813C-71AF436FC23B}" destId="{9C811A47-4266-4E29-8F3A-69AD7F776054}" srcOrd="1" destOrd="0" presId="urn:microsoft.com/office/officeart/2009/3/layout/HorizontalOrganizationChart"/>
    <dgm:cxn modelId="{1CEEC2FA-D21A-4FAB-8911-9E90661B67D5}" type="presOf" srcId="{FE86B40E-798C-4E7C-8023-312183D852A8}" destId="{A04A4C8B-C87B-49E8-AA00-7FAAC392A5CC}" srcOrd="1" destOrd="0" presId="urn:microsoft.com/office/officeart/2009/3/layout/HorizontalOrganizationChart"/>
    <dgm:cxn modelId="{F38FEBE8-5144-4C69-B115-6B993025E3E0}" type="presOf" srcId="{E3687E5F-904A-4A4D-8E30-52CFE5DD03A0}" destId="{38732D4B-FA22-4CFF-95DD-203DCB3CB616}" srcOrd="0" destOrd="0" presId="urn:microsoft.com/office/officeart/2009/3/layout/HorizontalOrganizationChart"/>
    <dgm:cxn modelId="{7AD859EC-A5CC-4996-AE87-14743C2A3DF3}" type="presOf" srcId="{770DE325-833F-4ABA-B8B2-D81DE364E07F}" destId="{AB91FA95-07A8-4F86-9BA7-EF3C08FA8335}" srcOrd="0" destOrd="0" presId="urn:microsoft.com/office/officeart/2009/3/layout/HorizontalOrganizationChart"/>
    <dgm:cxn modelId="{5B2B1627-8083-488A-B7D1-FFFBB029225C}" srcId="{0F9008D7-1370-4C3C-81B9-F2B91DD68330}" destId="{42F45102-62AA-418C-A3B3-A067A61E3EDC}" srcOrd="8" destOrd="0" parTransId="{A7D60DD7-9A01-4D15-B4E7-1439C0B0BDDF}" sibTransId="{BDDF08FC-8AAF-4E2F-AB81-4E9A1CF5AF04}"/>
    <dgm:cxn modelId="{8A3B7AA6-2085-428E-9575-9575E5FC2F8B}" type="presOf" srcId="{EADF8F85-F3FC-4E95-97E3-9FD258596C42}" destId="{6AED6600-CA68-46F9-A9D2-A026EB06B368}" srcOrd="0" destOrd="0" presId="urn:microsoft.com/office/officeart/2009/3/layout/HorizontalOrganizationChart"/>
    <dgm:cxn modelId="{DAE58270-DB52-49A1-A236-8E80F29D52D3}" type="presOf" srcId="{4FDA3295-3731-4B49-813C-71AF436FC23B}" destId="{37FE35B5-4BFB-46FF-A2C4-1C90C04FE094}" srcOrd="0" destOrd="0" presId="urn:microsoft.com/office/officeart/2009/3/layout/HorizontalOrganizationChart"/>
    <dgm:cxn modelId="{A6D2C4A1-59CE-44E5-9726-381E049EA404}" srcId="{0F9008D7-1370-4C3C-81B9-F2B91DD68330}" destId="{EADF8F85-F3FC-4E95-97E3-9FD258596C42}" srcOrd="4" destOrd="0" parTransId="{E2407C79-04EF-42B1-A9C0-A8DDAE433C72}" sibTransId="{72DB514D-652C-4B59-A8E2-4999877F374D}"/>
    <dgm:cxn modelId="{AEE24440-7E0D-45B2-B9F9-4A4E2FA8D457}" type="presOf" srcId="{DD30CC2C-8963-4D0A-9C62-F03585210FD8}" destId="{41CBE496-278A-420E-9E75-4AC10667AB78}" srcOrd="0" destOrd="0" presId="urn:microsoft.com/office/officeart/2009/3/layout/HorizontalOrganizationChart"/>
    <dgm:cxn modelId="{252D44D0-9CE4-4315-A7AD-66CE132BB4A7}" type="presOf" srcId="{0F9008D7-1370-4C3C-81B9-F2B91DD68330}" destId="{E63B0FF3-658E-4B7B-8868-72402959B976}" srcOrd="1" destOrd="0" presId="urn:microsoft.com/office/officeart/2009/3/layout/HorizontalOrganizationChart"/>
    <dgm:cxn modelId="{F18BD721-B885-4C03-9F77-A128B32A26F6}" type="presOf" srcId="{5F02F8AB-3416-40B3-BDF7-F88D524A3BCA}" destId="{EE560E82-7324-4830-8B94-77BEF0055E28}" srcOrd="1" destOrd="0" presId="urn:microsoft.com/office/officeart/2009/3/layout/HorizontalOrganizationChart"/>
    <dgm:cxn modelId="{B513AF00-29FA-4CF5-BBCF-4CE3E5261364}" type="presOf" srcId="{DF2F29E7-3E8C-421E-9501-6945C8A375A3}" destId="{29E84A01-933E-4AF5-8EEE-27B1536DA36E}" srcOrd="0" destOrd="0" presId="urn:microsoft.com/office/officeart/2009/3/layout/HorizontalOrganizationChart"/>
    <dgm:cxn modelId="{A9174B73-03B9-4E56-847E-BCA4CA083DC1}" srcId="{0F9008D7-1370-4C3C-81B9-F2B91DD68330}" destId="{BEF32BAF-EF76-4DD6-8A01-0B665C2AED85}" srcOrd="2" destOrd="0" parTransId="{4FD5D417-FAB8-4423-A977-88A064422753}" sibTransId="{601AF657-FAB4-454C-BAE8-F471C924D16F}"/>
    <dgm:cxn modelId="{5E448B18-8F48-421C-9903-0C9D8BECB111}" type="presOf" srcId="{BEF32BAF-EF76-4DD6-8A01-0B665C2AED85}" destId="{8D3DA622-A086-43F6-AE4D-A43F50D91E25}" srcOrd="1" destOrd="0" presId="urn:microsoft.com/office/officeart/2009/3/layout/HorizontalOrganizationChart"/>
    <dgm:cxn modelId="{C4EE5A8C-8E71-4953-A4DF-E511EC87A689}" type="presOf" srcId="{BEF32BAF-EF76-4DD6-8A01-0B665C2AED85}" destId="{63026C22-92C5-415A-A74B-D68815B39986}" srcOrd="0" destOrd="0" presId="urn:microsoft.com/office/officeart/2009/3/layout/HorizontalOrganizationChart"/>
    <dgm:cxn modelId="{A5BC00CF-E260-4C89-B26B-5AA0502E765A}" type="presOf" srcId="{FE86B40E-798C-4E7C-8023-312183D852A8}" destId="{C9FEF676-4D24-4665-A8BD-96550AD22F79}" srcOrd="0" destOrd="0" presId="urn:microsoft.com/office/officeart/2009/3/layout/HorizontalOrganizationChart"/>
    <dgm:cxn modelId="{63E6F99D-F9E0-41E8-AB5D-E257FC8C9804}" type="presOf" srcId="{0DEA5386-ADC1-44EF-B309-5D61B24A1BC2}" destId="{3709FDDA-5D0A-4ECC-A344-2B8B9C59DF01}" srcOrd="1" destOrd="0" presId="urn:microsoft.com/office/officeart/2009/3/layout/HorizontalOrganizationChart"/>
    <dgm:cxn modelId="{1BE10074-C3E0-40BC-8C24-CF1FE0A9DE86}" type="presOf" srcId="{C210086C-3446-403A-A959-F393617F5285}" destId="{FD587169-EC26-43EF-9660-584E0A7E4A9C}" srcOrd="1" destOrd="0" presId="urn:microsoft.com/office/officeart/2009/3/layout/HorizontalOrganizationChart"/>
    <dgm:cxn modelId="{945E600A-EF51-4959-A4F7-F2D550C61425}" type="presOf" srcId="{C210086C-3446-403A-A959-F393617F5285}" destId="{3715B55E-095D-4A85-9BEE-BAE59E1C6F88}" srcOrd="0" destOrd="0" presId="urn:microsoft.com/office/officeart/2009/3/layout/HorizontalOrganizationChart"/>
    <dgm:cxn modelId="{779142C4-893E-411C-9BE8-08CA0C00C98D}" type="presOf" srcId="{BB3D6C85-F9AC-4F41-B43C-98F823EEED07}" destId="{49FEF465-5A0A-407A-BBCA-D8C08ABEB352}" srcOrd="0" destOrd="0" presId="urn:microsoft.com/office/officeart/2009/3/layout/HorizontalOrganizationChart"/>
    <dgm:cxn modelId="{5C723304-9CD1-4010-BAD8-7020C9E27517}" srcId="{0F9008D7-1370-4C3C-81B9-F2B91DD68330}" destId="{4FDA3295-3731-4B49-813C-71AF436FC23B}" srcOrd="6" destOrd="0" parTransId="{288F1176-10E7-46C6-BC5E-38916F3D0F30}" sibTransId="{514B6F9F-EF96-4AA1-9CEF-FC6BE4BE3236}"/>
    <dgm:cxn modelId="{0A38D033-E814-4772-B7EB-64F59278295E}" srcId="{0F9008D7-1370-4C3C-81B9-F2B91DD68330}" destId="{BB3D6C85-F9AC-4F41-B43C-98F823EEED07}" srcOrd="0" destOrd="0" parTransId="{38490726-D127-44DD-9E7B-7EF605CCF0D4}" sibTransId="{4F6C1A30-BB34-4578-BEF2-79F928FC21B2}"/>
    <dgm:cxn modelId="{3DA9AEDE-54D9-405D-8286-4823E27A9A36}" srcId="{7E41136F-8EE5-4563-A255-3F0B48217E18}" destId="{FE86B40E-798C-4E7C-8023-312183D852A8}" srcOrd="2" destOrd="0" parTransId="{4D9D5AF4-7F8D-4C8F-BC9A-0C99234FC58A}" sibTransId="{AAFFD7F7-C649-4A0C-BBE3-D26B73FF18D2}"/>
    <dgm:cxn modelId="{683B41F3-54FF-4D69-B99D-FBC1BA1427A0}" type="presOf" srcId="{26CA75B8-7897-48F2-A0F7-3E89DD6146A4}" destId="{DBF6A0AE-1C52-416A-99F3-F7CBABF0A372}" srcOrd="1" destOrd="0" presId="urn:microsoft.com/office/officeart/2009/3/layout/HorizontalOrganizationChart"/>
    <dgm:cxn modelId="{EA6D6CF5-5E66-4F6B-97D9-EBAD9398FD28}" type="presOf" srcId="{440A8DCD-F0C1-4B0B-822A-BB646D055CC0}" destId="{641CD825-5D1F-41BE-AC19-D0ADC3E19B85}" srcOrd="0" destOrd="0" presId="urn:microsoft.com/office/officeart/2009/3/layout/HorizontalOrganizationChart"/>
    <dgm:cxn modelId="{3BAC53F6-1FDB-4E74-83B0-C8124E6AD0D1}" srcId="{7E41136F-8EE5-4563-A255-3F0B48217E18}" destId="{0F9008D7-1370-4C3C-81B9-F2B91DD68330}" srcOrd="0" destOrd="0" parTransId="{56FF9D31-B457-4E18-9B0E-09CE88F39BFE}" sibTransId="{6B22F97F-E741-4BFC-B397-2686781917C3}"/>
    <dgm:cxn modelId="{26C682B2-E6A2-412F-8F25-D283B7E5DAFF}" srcId="{0F9008D7-1370-4C3C-81B9-F2B91DD68330}" destId="{26CA75B8-7897-48F2-A0F7-3E89DD6146A4}" srcOrd="3" destOrd="0" parTransId="{DD30CC2C-8963-4D0A-9C62-F03585210FD8}" sibTransId="{20253A62-B61F-4FE5-8597-8A73C815511E}"/>
    <dgm:cxn modelId="{83B07144-87DF-4987-BD2B-2AF5B17D2422}" type="presOf" srcId="{38490726-D127-44DD-9E7B-7EF605CCF0D4}" destId="{66B5AEAA-9A6F-4CF0-BAC6-B6FB9D95C4F0}" srcOrd="0" destOrd="0" presId="urn:microsoft.com/office/officeart/2009/3/layout/HorizontalOrganizationChart"/>
    <dgm:cxn modelId="{B3D9B098-764A-44BE-B4E1-BDB9A432AF29}" type="presOf" srcId="{EADF8F85-F3FC-4E95-97E3-9FD258596C42}" destId="{6261E727-5D2F-4F3F-A80B-D12984EC722F}" srcOrd="1" destOrd="0" presId="urn:microsoft.com/office/officeart/2009/3/layout/HorizontalOrganizationChart"/>
    <dgm:cxn modelId="{BA9AAEB6-93F0-433E-BCFF-FB17451B28EE}" type="presOf" srcId="{42F45102-62AA-418C-A3B3-A067A61E3EDC}" destId="{B9707816-6E4E-4616-A909-DA45E98A06CC}" srcOrd="1" destOrd="0" presId="urn:microsoft.com/office/officeart/2009/3/layout/HorizontalOrganizationChart"/>
    <dgm:cxn modelId="{9F33FDF9-99C6-46D3-A13A-F0C01D972FE7}" type="presOf" srcId="{5F02F8AB-3416-40B3-BDF7-F88D524A3BCA}" destId="{E8BA067C-6329-4A2A-8893-67963C42A31D}" srcOrd="0" destOrd="0" presId="urn:microsoft.com/office/officeart/2009/3/layout/HorizontalOrganizationChart"/>
    <dgm:cxn modelId="{A4272899-2342-46D2-BAFA-8297F8819158}" type="presOf" srcId="{4DE63B67-E631-4829-8BF8-5DFF9DEAB08A}" destId="{3A89EEAE-1A90-402A-98EE-1F67D69092E6}" srcOrd="1" destOrd="0" presId="urn:microsoft.com/office/officeart/2009/3/layout/HorizontalOrganizationChart"/>
    <dgm:cxn modelId="{97A8542E-6800-4724-B0A8-4A40EFA3A04B}" type="presOf" srcId="{7E41136F-8EE5-4563-A255-3F0B48217E18}" destId="{224A8DCC-8D78-4668-8F63-0EBCC2D8748C}" srcOrd="0" destOrd="0" presId="urn:microsoft.com/office/officeart/2009/3/layout/HorizontalOrganizationChart"/>
    <dgm:cxn modelId="{B2402C44-0BB1-4BF3-8FBF-C272049BCBAB}" srcId="{7E41136F-8EE5-4563-A255-3F0B48217E18}" destId="{C210086C-3446-403A-A959-F393617F5285}" srcOrd="3" destOrd="0" parTransId="{FAF98F95-C553-44A8-8E9E-D16DEF644EBE}" sibTransId="{D8E6DA17-E06A-47C2-9E21-3001F73C9000}"/>
    <dgm:cxn modelId="{7409EA01-D5C6-45DB-91A7-9962F29213CB}" srcId="{0F9008D7-1370-4C3C-81B9-F2B91DD68330}" destId="{09034420-DF51-4B86-B40C-BAD07884FD31}" srcOrd="1" destOrd="0" parTransId="{56BBEDCE-028A-408F-9313-D8887F03D9AD}" sibTransId="{A4DD5DC6-2543-463A-99CB-E46928B63BD9}"/>
    <dgm:cxn modelId="{71EC7427-631A-4410-8485-77CFFB09B9B2}" type="presOf" srcId="{4DE63B67-E631-4829-8BF8-5DFF9DEAB08A}" destId="{CDB3FF79-FB15-41C3-A2B2-0495D42374EF}" srcOrd="0" destOrd="0" presId="urn:microsoft.com/office/officeart/2009/3/layout/HorizontalOrganizationChart"/>
    <dgm:cxn modelId="{FDCCA41A-B614-4FF7-A587-29C493B7C533}" type="presOf" srcId="{288F1176-10E7-46C6-BC5E-38916F3D0F30}" destId="{FC3C8A01-7FC4-4339-93B4-641F4881A665}" srcOrd="0" destOrd="0" presId="urn:microsoft.com/office/officeart/2009/3/layout/HorizontalOrganizationChart"/>
    <dgm:cxn modelId="{BAB89F2C-F94D-4C47-B834-9816A707A79C}" type="presOf" srcId="{0F9008D7-1370-4C3C-81B9-F2B91DD68330}" destId="{EF775580-540F-4B84-B8AB-73A627E9909C}" srcOrd="0" destOrd="0" presId="urn:microsoft.com/office/officeart/2009/3/layout/HorizontalOrganizationChart"/>
    <dgm:cxn modelId="{4746EAAA-B3A5-4BFA-9D43-85693E9DB9B2}" type="presOf" srcId="{438D1389-0401-4BC0-BB95-4DD904FE7FB0}" destId="{4A23644E-3B22-46C2-AAFF-ED05FA9AA87A}" srcOrd="1" destOrd="0" presId="urn:microsoft.com/office/officeart/2009/3/layout/HorizontalOrganizationChart"/>
    <dgm:cxn modelId="{2FC10E09-22DA-4FEB-90C6-3CF64C5EB796}" type="presOf" srcId="{0DEA5386-ADC1-44EF-B309-5D61B24A1BC2}" destId="{1D2FE197-C4D0-424C-9E7D-9759ED322B23}" srcOrd="0" destOrd="0" presId="urn:microsoft.com/office/officeart/2009/3/layout/HorizontalOrganizationChart"/>
    <dgm:cxn modelId="{31643D96-FDFB-4952-92B2-A85C722BDBF7}" type="presOf" srcId="{BB3D6C85-F9AC-4F41-B43C-98F823EEED07}" destId="{ABD21E22-3E80-4328-8BAA-23C4A72034D5}" srcOrd="1" destOrd="0" presId="urn:microsoft.com/office/officeart/2009/3/layout/HorizontalOrganizationChart"/>
    <dgm:cxn modelId="{965E9452-F098-4133-AC72-A294913C99D2}" type="presOf" srcId="{480B2678-3213-46E1-AB71-DFF3E060D4B6}" destId="{761F4B64-AB09-4CC9-A4B0-93231E9FF64B}" srcOrd="0" destOrd="0" presId="urn:microsoft.com/office/officeart/2009/3/layout/HorizontalOrganizationChart"/>
    <dgm:cxn modelId="{14E8E0C8-B6EA-4C62-A230-3024C6CC8009}" type="presOf" srcId="{00856AB3-1E88-47B1-A273-055E64B3ED7C}" destId="{D344278C-1C15-4633-8382-B8184C5D20A7}" srcOrd="0" destOrd="0" presId="urn:microsoft.com/office/officeart/2009/3/layout/HorizontalOrganizationChart"/>
    <dgm:cxn modelId="{0DF0EBB4-D7CF-4FAC-986A-F8F5AE2B5B18}" type="presOf" srcId="{56BBEDCE-028A-408F-9313-D8887F03D9AD}" destId="{AFAB7418-62A9-4330-B0DC-4A97A972AF6E}" srcOrd="0" destOrd="0" presId="urn:microsoft.com/office/officeart/2009/3/layout/HorizontalOrganizationChart"/>
    <dgm:cxn modelId="{F9C8DDFE-6B73-4EB2-821B-AF296A88173B}" type="presOf" srcId="{26CA75B8-7897-48F2-A0F7-3E89DD6146A4}" destId="{C3B6F221-4D4D-4E92-9892-5DCFB0E500D4}" srcOrd="0" destOrd="0" presId="urn:microsoft.com/office/officeart/2009/3/layout/HorizontalOrganizationChart"/>
    <dgm:cxn modelId="{7418BA23-61E2-4F3F-9C81-1D9318F3B683}" srcId="{0F9008D7-1370-4C3C-81B9-F2B91DD68330}" destId="{DF2F29E7-3E8C-421E-9501-6945C8A375A3}" srcOrd="5" destOrd="0" parTransId="{00856AB3-1E88-47B1-A273-055E64B3ED7C}" sibTransId="{93CD6713-6212-4AED-B9B0-ED9EB4718FCE}"/>
    <dgm:cxn modelId="{46A54401-8184-4E06-A1E8-B68FE54AB28A}" type="presOf" srcId="{A7D60DD7-9A01-4D15-B4E7-1439C0B0BDDF}" destId="{C9AD1E2E-BA03-4EDC-8739-7161E51E97E8}" srcOrd="0" destOrd="0" presId="urn:microsoft.com/office/officeart/2009/3/layout/HorizontalOrganizationChart"/>
    <dgm:cxn modelId="{DB43F292-729C-4DA4-9BCA-5EAFAF6F3191}" type="presOf" srcId="{4FD5D417-FAB8-4423-A977-88A064422753}" destId="{502370CA-2B92-4E6C-A48A-8DE33E2E6999}" srcOrd="0" destOrd="0" presId="urn:microsoft.com/office/officeart/2009/3/layout/HorizontalOrganizationChart"/>
    <dgm:cxn modelId="{E2052660-40B3-4313-A4CD-FC296D8B431D}" srcId="{0F9008D7-1370-4C3C-81B9-F2B91DD68330}" destId="{E3687E5F-904A-4A4D-8E30-52CFE5DD03A0}" srcOrd="7" destOrd="0" parTransId="{440A8DCD-F0C1-4B0B-822A-BB646D055CC0}" sibTransId="{4579CA15-7A77-4DE2-ADA3-1FB96CE722E0}"/>
    <dgm:cxn modelId="{B0B53CC2-C865-4E6B-A079-FB65161AA2C5}" type="presParOf" srcId="{224A8DCC-8D78-4668-8F63-0EBCC2D8748C}" destId="{A6E6146C-83CB-4D3B-9E09-4B6F3606EC34}" srcOrd="0" destOrd="0" presId="urn:microsoft.com/office/officeart/2009/3/layout/HorizontalOrganizationChart"/>
    <dgm:cxn modelId="{1858F81F-06DA-4ECF-955E-1B31C8FB93AF}" type="presParOf" srcId="{A6E6146C-83CB-4D3B-9E09-4B6F3606EC34}" destId="{EC3970DE-B6DF-4D8F-843C-D6D49DA4998C}" srcOrd="0" destOrd="0" presId="urn:microsoft.com/office/officeart/2009/3/layout/HorizontalOrganizationChart"/>
    <dgm:cxn modelId="{32BB6068-7FD3-43F8-9893-F0F38085AEE1}" type="presParOf" srcId="{EC3970DE-B6DF-4D8F-843C-D6D49DA4998C}" destId="{EF775580-540F-4B84-B8AB-73A627E9909C}" srcOrd="0" destOrd="0" presId="urn:microsoft.com/office/officeart/2009/3/layout/HorizontalOrganizationChart"/>
    <dgm:cxn modelId="{89BB3584-2F76-4832-A27D-532F3BA382B0}" type="presParOf" srcId="{EC3970DE-B6DF-4D8F-843C-D6D49DA4998C}" destId="{E63B0FF3-658E-4B7B-8868-72402959B976}" srcOrd="1" destOrd="0" presId="urn:microsoft.com/office/officeart/2009/3/layout/HorizontalOrganizationChart"/>
    <dgm:cxn modelId="{EE2CCDAD-A4F6-4505-9C93-05ED9670648D}" type="presParOf" srcId="{A6E6146C-83CB-4D3B-9E09-4B6F3606EC34}" destId="{985E355E-2BEE-4D24-95DC-2DF57E6B9CA9}" srcOrd="1" destOrd="0" presId="urn:microsoft.com/office/officeart/2009/3/layout/HorizontalOrganizationChart"/>
    <dgm:cxn modelId="{C944AE22-A546-4E13-ACC0-D713E7035A06}" type="presParOf" srcId="{985E355E-2BEE-4D24-95DC-2DF57E6B9CA9}" destId="{66B5AEAA-9A6F-4CF0-BAC6-B6FB9D95C4F0}" srcOrd="0" destOrd="0" presId="urn:microsoft.com/office/officeart/2009/3/layout/HorizontalOrganizationChart"/>
    <dgm:cxn modelId="{D63086AB-92CA-4EB6-8A82-5BE3BAF1A5B8}" type="presParOf" srcId="{985E355E-2BEE-4D24-95DC-2DF57E6B9CA9}" destId="{D5761496-2799-4825-A8D3-9995EF7F82BA}" srcOrd="1" destOrd="0" presId="urn:microsoft.com/office/officeart/2009/3/layout/HorizontalOrganizationChart"/>
    <dgm:cxn modelId="{3B579457-7E86-4FBE-9C78-A84000B3E73E}" type="presParOf" srcId="{D5761496-2799-4825-A8D3-9995EF7F82BA}" destId="{66F4F026-5652-45F7-BFDB-29C620A1B6E9}" srcOrd="0" destOrd="0" presId="urn:microsoft.com/office/officeart/2009/3/layout/HorizontalOrganizationChart"/>
    <dgm:cxn modelId="{C47C36C3-172F-49D6-B322-F4FAB9E47FEF}" type="presParOf" srcId="{66F4F026-5652-45F7-BFDB-29C620A1B6E9}" destId="{49FEF465-5A0A-407A-BBCA-D8C08ABEB352}" srcOrd="0" destOrd="0" presId="urn:microsoft.com/office/officeart/2009/3/layout/HorizontalOrganizationChart"/>
    <dgm:cxn modelId="{DBA93FF9-F244-419C-B321-87F27AD62128}" type="presParOf" srcId="{66F4F026-5652-45F7-BFDB-29C620A1B6E9}" destId="{ABD21E22-3E80-4328-8BAA-23C4A72034D5}" srcOrd="1" destOrd="0" presId="urn:microsoft.com/office/officeart/2009/3/layout/HorizontalOrganizationChart"/>
    <dgm:cxn modelId="{CA0DBBBD-6D6C-4BF1-812B-BB38FDBCC5C3}" type="presParOf" srcId="{D5761496-2799-4825-A8D3-9995EF7F82BA}" destId="{A4F1A1DB-EF08-43B3-9326-828668074413}" srcOrd="1" destOrd="0" presId="urn:microsoft.com/office/officeart/2009/3/layout/HorizontalOrganizationChart"/>
    <dgm:cxn modelId="{0F98F192-DF5D-4FCA-8423-99014A7E3DF6}" type="presParOf" srcId="{D5761496-2799-4825-A8D3-9995EF7F82BA}" destId="{CD2C2D54-C82F-4A2C-9DF5-EFBD20549AEE}" srcOrd="2" destOrd="0" presId="urn:microsoft.com/office/officeart/2009/3/layout/HorizontalOrganizationChart"/>
    <dgm:cxn modelId="{A2AFAE94-7935-44CF-85A0-03ACFCC282A5}" type="presParOf" srcId="{985E355E-2BEE-4D24-95DC-2DF57E6B9CA9}" destId="{AFAB7418-62A9-4330-B0DC-4A97A972AF6E}" srcOrd="2" destOrd="0" presId="urn:microsoft.com/office/officeart/2009/3/layout/HorizontalOrganizationChart"/>
    <dgm:cxn modelId="{8F31B299-A932-4887-992A-DBFFD28AB11A}" type="presParOf" srcId="{985E355E-2BEE-4D24-95DC-2DF57E6B9CA9}" destId="{C718CD87-C155-4CBB-A25C-6562D3D052E9}" srcOrd="3" destOrd="0" presId="urn:microsoft.com/office/officeart/2009/3/layout/HorizontalOrganizationChart"/>
    <dgm:cxn modelId="{116CF71C-7390-4301-BAF3-618CCFA0C03D}" type="presParOf" srcId="{C718CD87-C155-4CBB-A25C-6562D3D052E9}" destId="{D67DC9A3-EE12-4D6E-818E-BB0101D11058}" srcOrd="0" destOrd="0" presId="urn:microsoft.com/office/officeart/2009/3/layout/HorizontalOrganizationChart"/>
    <dgm:cxn modelId="{6AF70FE8-D5AA-4A0E-80C2-540AD987B43E}" type="presParOf" srcId="{D67DC9A3-EE12-4D6E-818E-BB0101D11058}" destId="{36610014-399F-4BEA-88C0-F11869A37483}" srcOrd="0" destOrd="0" presId="urn:microsoft.com/office/officeart/2009/3/layout/HorizontalOrganizationChart"/>
    <dgm:cxn modelId="{3DBB3C08-33EA-4CA8-9055-57C1D70B9538}" type="presParOf" srcId="{D67DC9A3-EE12-4D6E-818E-BB0101D11058}" destId="{B5841FB0-A2C1-42A7-BACB-390CDE80F470}" srcOrd="1" destOrd="0" presId="urn:microsoft.com/office/officeart/2009/3/layout/HorizontalOrganizationChart"/>
    <dgm:cxn modelId="{DA8DEFFA-B8F4-4262-9405-52AF4976D71B}" type="presParOf" srcId="{C718CD87-C155-4CBB-A25C-6562D3D052E9}" destId="{3FB1A0E1-B9F9-4E7F-8213-1A4A5B052810}" srcOrd="1" destOrd="0" presId="urn:microsoft.com/office/officeart/2009/3/layout/HorizontalOrganizationChart"/>
    <dgm:cxn modelId="{A5D5158D-E7C7-411E-8113-679332F1873C}" type="presParOf" srcId="{C718CD87-C155-4CBB-A25C-6562D3D052E9}" destId="{E544B513-1C06-4531-9EDB-5C85C3B23CAC}" srcOrd="2" destOrd="0" presId="urn:microsoft.com/office/officeart/2009/3/layout/HorizontalOrganizationChart"/>
    <dgm:cxn modelId="{858F127B-F681-4385-B6FD-11CE527D6632}" type="presParOf" srcId="{985E355E-2BEE-4D24-95DC-2DF57E6B9CA9}" destId="{502370CA-2B92-4E6C-A48A-8DE33E2E6999}" srcOrd="4" destOrd="0" presId="urn:microsoft.com/office/officeart/2009/3/layout/HorizontalOrganizationChart"/>
    <dgm:cxn modelId="{372C4B74-996F-4968-98CB-ECF8C3224841}" type="presParOf" srcId="{985E355E-2BEE-4D24-95DC-2DF57E6B9CA9}" destId="{8EA8B884-DB5E-40DC-8E6F-2BFA0B408B35}" srcOrd="5" destOrd="0" presId="urn:microsoft.com/office/officeart/2009/3/layout/HorizontalOrganizationChart"/>
    <dgm:cxn modelId="{B4B14C01-ED3B-4641-B54A-9F241A91951B}" type="presParOf" srcId="{8EA8B884-DB5E-40DC-8E6F-2BFA0B408B35}" destId="{28BB85EB-AE0A-4D7F-9C9C-1DB796B87C88}" srcOrd="0" destOrd="0" presId="urn:microsoft.com/office/officeart/2009/3/layout/HorizontalOrganizationChart"/>
    <dgm:cxn modelId="{D9B726CA-13A9-428C-94FD-13886C35F3F0}" type="presParOf" srcId="{28BB85EB-AE0A-4D7F-9C9C-1DB796B87C88}" destId="{63026C22-92C5-415A-A74B-D68815B39986}" srcOrd="0" destOrd="0" presId="urn:microsoft.com/office/officeart/2009/3/layout/HorizontalOrganizationChart"/>
    <dgm:cxn modelId="{5D5D629F-231D-4BC8-A8D1-27ECA075D9D6}" type="presParOf" srcId="{28BB85EB-AE0A-4D7F-9C9C-1DB796B87C88}" destId="{8D3DA622-A086-43F6-AE4D-A43F50D91E25}" srcOrd="1" destOrd="0" presId="urn:microsoft.com/office/officeart/2009/3/layout/HorizontalOrganizationChart"/>
    <dgm:cxn modelId="{E660D5D2-7CD6-4186-96BC-6F7C58B9FF15}" type="presParOf" srcId="{8EA8B884-DB5E-40DC-8E6F-2BFA0B408B35}" destId="{A0532878-64B3-40A8-87D8-43752EBD58AB}" srcOrd="1" destOrd="0" presId="urn:microsoft.com/office/officeart/2009/3/layout/HorizontalOrganizationChart"/>
    <dgm:cxn modelId="{F373FBED-B7A8-43D6-9054-CF26B7C7C4C6}" type="presParOf" srcId="{8EA8B884-DB5E-40DC-8E6F-2BFA0B408B35}" destId="{902AF0D4-24FE-497A-88CD-10BBCDCD3E51}" srcOrd="2" destOrd="0" presId="urn:microsoft.com/office/officeart/2009/3/layout/HorizontalOrganizationChart"/>
    <dgm:cxn modelId="{B9C05DAF-A13E-4458-8168-994B1617045B}" type="presParOf" srcId="{985E355E-2BEE-4D24-95DC-2DF57E6B9CA9}" destId="{41CBE496-278A-420E-9E75-4AC10667AB78}" srcOrd="6" destOrd="0" presId="urn:microsoft.com/office/officeart/2009/3/layout/HorizontalOrganizationChart"/>
    <dgm:cxn modelId="{FA97A399-8257-4F2C-8E21-4EE580CFBFFF}" type="presParOf" srcId="{985E355E-2BEE-4D24-95DC-2DF57E6B9CA9}" destId="{08F596A6-D79F-4A66-8E3B-AE539F1A524F}" srcOrd="7" destOrd="0" presId="urn:microsoft.com/office/officeart/2009/3/layout/HorizontalOrganizationChart"/>
    <dgm:cxn modelId="{80C2670C-2D6C-46DC-A1A1-02313FD854C7}" type="presParOf" srcId="{08F596A6-D79F-4A66-8E3B-AE539F1A524F}" destId="{01B4D703-0031-43CC-BB41-5E72829A6F09}" srcOrd="0" destOrd="0" presId="urn:microsoft.com/office/officeart/2009/3/layout/HorizontalOrganizationChart"/>
    <dgm:cxn modelId="{BEAC101C-AD97-4189-904F-893D7C3C40D8}" type="presParOf" srcId="{01B4D703-0031-43CC-BB41-5E72829A6F09}" destId="{C3B6F221-4D4D-4E92-9892-5DCFB0E500D4}" srcOrd="0" destOrd="0" presId="urn:microsoft.com/office/officeart/2009/3/layout/HorizontalOrganizationChart"/>
    <dgm:cxn modelId="{6A73CAF2-F316-40A0-8FCE-B48F4FA5FB07}" type="presParOf" srcId="{01B4D703-0031-43CC-BB41-5E72829A6F09}" destId="{DBF6A0AE-1C52-416A-99F3-F7CBABF0A372}" srcOrd="1" destOrd="0" presId="urn:microsoft.com/office/officeart/2009/3/layout/HorizontalOrganizationChart"/>
    <dgm:cxn modelId="{CDA14E38-8A73-4279-BDB4-1415CD1BDC9B}" type="presParOf" srcId="{08F596A6-D79F-4A66-8E3B-AE539F1A524F}" destId="{E4995C87-6247-41E2-BE29-B396021A30B4}" srcOrd="1" destOrd="0" presId="urn:microsoft.com/office/officeart/2009/3/layout/HorizontalOrganizationChart"/>
    <dgm:cxn modelId="{42556A6A-B943-4F17-91EA-24D056B465E1}" type="presParOf" srcId="{08F596A6-D79F-4A66-8E3B-AE539F1A524F}" destId="{C54F7796-15DB-4124-825C-6DAB1330D874}" srcOrd="2" destOrd="0" presId="urn:microsoft.com/office/officeart/2009/3/layout/HorizontalOrganizationChart"/>
    <dgm:cxn modelId="{D0AB93BC-8C02-44D3-A8C2-D18D91338200}" type="presParOf" srcId="{985E355E-2BEE-4D24-95DC-2DF57E6B9CA9}" destId="{46F72EC4-FADA-4596-BB1F-5F3CB305CBBC}" srcOrd="8" destOrd="0" presId="urn:microsoft.com/office/officeart/2009/3/layout/HorizontalOrganizationChart"/>
    <dgm:cxn modelId="{E28CA11F-BD6D-4BF3-9C5D-425D42DB02E1}" type="presParOf" srcId="{985E355E-2BEE-4D24-95DC-2DF57E6B9CA9}" destId="{3269D5A3-A9BE-4EEC-B1CD-B58C50EB65CF}" srcOrd="9" destOrd="0" presId="urn:microsoft.com/office/officeart/2009/3/layout/HorizontalOrganizationChart"/>
    <dgm:cxn modelId="{593C0C35-DB69-4839-8208-BFD326F2E3D9}" type="presParOf" srcId="{3269D5A3-A9BE-4EEC-B1CD-B58C50EB65CF}" destId="{8E2D064A-7843-4F1E-97C4-ED3B33D0015B}" srcOrd="0" destOrd="0" presId="urn:microsoft.com/office/officeart/2009/3/layout/HorizontalOrganizationChart"/>
    <dgm:cxn modelId="{37A63120-7534-43B7-81DD-3590F4FD3875}" type="presParOf" srcId="{8E2D064A-7843-4F1E-97C4-ED3B33D0015B}" destId="{6AED6600-CA68-46F9-A9D2-A026EB06B368}" srcOrd="0" destOrd="0" presId="urn:microsoft.com/office/officeart/2009/3/layout/HorizontalOrganizationChart"/>
    <dgm:cxn modelId="{D6C71375-A370-4768-BC53-EDE85143D99C}" type="presParOf" srcId="{8E2D064A-7843-4F1E-97C4-ED3B33D0015B}" destId="{6261E727-5D2F-4F3F-A80B-D12984EC722F}" srcOrd="1" destOrd="0" presId="urn:microsoft.com/office/officeart/2009/3/layout/HorizontalOrganizationChart"/>
    <dgm:cxn modelId="{B92A97E9-B00A-4713-8E7B-C8090BCFF367}" type="presParOf" srcId="{3269D5A3-A9BE-4EEC-B1CD-B58C50EB65CF}" destId="{C2D6F8DD-7882-41AC-8ABE-FABBEF4FE19D}" srcOrd="1" destOrd="0" presId="urn:microsoft.com/office/officeart/2009/3/layout/HorizontalOrganizationChart"/>
    <dgm:cxn modelId="{2C6723DC-EA1D-4DED-89B1-2E8129D99961}" type="presParOf" srcId="{3269D5A3-A9BE-4EEC-B1CD-B58C50EB65CF}" destId="{002E41D9-B664-4E38-AA49-B2296A794653}" srcOrd="2" destOrd="0" presId="urn:microsoft.com/office/officeart/2009/3/layout/HorizontalOrganizationChart"/>
    <dgm:cxn modelId="{F48189E2-7003-4F20-924E-68CC88B4E12D}" type="presParOf" srcId="{985E355E-2BEE-4D24-95DC-2DF57E6B9CA9}" destId="{D344278C-1C15-4633-8382-B8184C5D20A7}" srcOrd="10" destOrd="0" presId="urn:microsoft.com/office/officeart/2009/3/layout/HorizontalOrganizationChart"/>
    <dgm:cxn modelId="{21A1DB49-A56B-4DF9-A804-563C861D1417}" type="presParOf" srcId="{985E355E-2BEE-4D24-95DC-2DF57E6B9CA9}" destId="{643300CB-F518-4007-B73E-BC1B837A7E36}" srcOrd="11" destOrd="0" presId="urn:microsoft.com/office/officeart/2009/3/layout/HorizontalOrganizationChart"/>
    <dgm:cxn modelId="{D75433AD-0B26-4D41-B154-318B4B34F808}" type="presParOf" srcId="{643300CB-F518-4007-B73E-BC1B837A7E36}" destId="{AFF56440-920A-4268-862B-27BB93CB048D}" srcOrd="0" destOrd="0" presId="urn:microsoft.com/office/officeart/2009/3/layout/HorizontalOrganizationChart"/>
    <dgm:cxn modelId="{FCD96A07-F2FB-465A-97BC-3D5196AEE0D2}" type="presParOf" srcId="{AFF56440-920A-4268-862B-27BB93CB048D}" destId="{29E84A01-933E-4AF5-8EEE-27B1536DA36E}" srcOrd="0" destOrd="0" presId="urn:microsoft.com/office/officeart/2009/3/layout/HorizontalOrganizationChart"/>
    <dgm:cxn modelId="{9747973C-B3C6-4DED-910D-DE5A6E24FD36}" type="presParOf" srcId="{AFF56440-920A-4268-862B-27BB93CB048D}" destId="{4C3A963A-6001-4DB1-85F3-576AFD84A0EC}" srcOrd="1" destOrd="0" presId="urn:microsoft.com/office/officeart/2009/3/layout/HorizontalOrganizationChart"/>
    <dgm:cxn modelId="{B80C2847-955D-4BC7-9C40-F8DD3965CEA0}" type="presParOf" srcId="{643300CB-F518-4007-B73E-BC1B837A7E36}" destId="{71929C27-74EB-4B87-A70E-969824EEA18C}" srcOrd="1" destOrd="0" presId="urn:microsoft.com/office/officeart/2009/3/layout/HorizontalOrganizationChart"/>
    <dgm:cxn modelId="{27E865D2-8118-4D92-B110-07C149704532}" type="presParOf" srcId="{643300CB-F518-4007-B73E-BC1B837A7E36}" destId="{D7BBAC98-312C-47BB-B559-5F477A0C9CFA}" srcOrd="2" destOrd="0" presId="urn:microsoft.com/office/officeart/2009/3/layout/HorizontalOrganizationChart"/>
    <dgm:cxn modelId="{6BABFB7C-6641-4336-880D-9ACAA83989A4}" type="presParOf" srcId="{985E355E-2BEE-4D24-95DC-2DF57E6B9CA9}" destId="{FC3C8A01-7FC4-4339-93B4-641F4881A665}" srcOrd="12" destOrd="0" presId="urn:microsoft.com/office/officeart/2009/3/layout/HorizontalOrganizationChart"/>
    <dgm:cxn modelId="{BBD7EF8B-7240-4EF8-8F8B-B412BBEB61C2}" type="presParOf" srcId="{985E355E-2BEE-4D24-95DC-2DF57E6B9CA9}" destId="{8F2A2731-A521-44B7-A961-2F528031B95C}" srcOrd="13" destOrd="0" presId="urn:microsoft.com/office/officeart/2009/3/layout/HorizontalOrganizationChart"/>
    <dgm:cxn modelId="{E201D023-B4C6-4865-B7D3-BF45DEEE6101}" type="presParOf" srcId="{8F2A2731-A521-44B7-A961-2F528031B95C}" destId="{209BB47F-A274-4440-8444-34261AC73A61}" srcOrd="0" destOrd="0" presId="urn:microsoft.com/office/officeart/2009/3/layout/HorizontalOrganizationChart"/>
    <dgm:cxn modelId="{B18B7881-F4D8-466E-9671-BEF5A5B132B2}" type="presParOf" srcId="{209BB47F-A274-4440-8444-34261AC73A61}" destId="{37FE35B5-4BFB-46FF-A2C4-1C90C04FE094}" srcOrd="0" destOrd="0" presId="urn:microsoft.com/office/officeart/2009/3/layout/HorizontalOrganizationChart"/>
    <dgm:cxn modelId="{F7027E08-8516-4438-9977-8B060B87C357}" type="presParOf" srcId="{209BB47F-A274-4440-8444-34261AC73A61}" destId="{9C811A47-4266-4E29-8F3A-69AD7F776054}" srcOrd="1" destOrd="0" presId="urn:microsoft.com/office/officeart/2009/3/layout/HorizontalOrganizationChart"/>
    <dgm:cxn modelId="{15F22CD4-B003-4FED-B742-2D53CDE54271}" type="presParOf" srcId="{8F2A2731-A521-44B7-A961-2F528031B95C}" destId="{56191A69-0B56-44AC-AD7D-3F02C2D385B3}" srcOrd="1" destOrd="0" presId="urn:microsoft.com/office/officeart/2009/3/layout/HorizontalOrganizationChart"/>
    <dgm:cxn modelId="{FB88F143-535D-4510-A5BC-967BA8C106FD}" type="presParOf" srcId="{8F2A2731-A521-44B7-A961-2F528031B95C}" destId="{5EF6CE9F-A184-4E68-8F18-16573AD9727D}" srcOrd="2" destOrd="0" presId="urn:microsoft.com/office/officeart/2009/3/layout/HorizontalOrganizationChart"/>
    <dgm:cxn modelId="{4D59D8DA-520D-4DA5-8B34-B85D60F4019D}" type="presParOf" srcId="{985E355E-2BEE-4D24-95DC-2DF57E6B9CA9}" destId="{641CD825-5D1F-41BE-AC19-D0ADC3E19B85}" srcOrd="14" destOrd="0" presId="urn:microsoft.com/office/officeart/2009/3/layout/HorizontalOrganizationChart"/>
    <dgm:cxn modelId="{5EF68C9F-8B97-4D10-8181-A068207E28F0}" type="presParOf" srcId="{985E355E-2BEE-4D24-95DC-2DF57E6B9CA9}" destId="{232B480D-2DDD-4BBC-A45E-8AA118B34560}" srcOrd="15" destOrd="0" presId="urn:microsoft.com/office/officeart/2009/3/layout/HorizontalOrganizationChart"/>
    <dgm:cxn modelId="{5D315114-EF4E-40A2-B033-B1D5AFC96FFF}" type="presParOf" srcId="{232B480D-2DDD-4BBC-A45E-8AA118B34560}" destId="{BF5AA88E-49E9-4C7A-8D47-DA9055795E00}" srcOrd="0" destOrd="0" presId="urn:microsoft.com/office/officeart/2009/3/layout/HorizontalOrganizationChart"/>
    <dgm:cxn modelId="{B8B91FEC-58B0-4D32-8E6D-8E613C985A67}" type="presParOf" srcId="{BF5AA88E-49E9-4C7A-8D47-DA9055795E00}" destId="{38732D4B-FA22-4CFF-95DD-203DCB3CB616}" srcOrd="0" destOrd="0" presId="urn:microsoft.com/office/officeart/2009/3/layout/HorizontalOrganizationChart"/>
    <dgm:cxn modelId="{AE3F937F-EBC2-4432-8FD7-8B8BB817C258}" type="presParOf" srcId="{BF5AA88E-49E9-4C7A-8D47-DA9055795E00}" destId="{EC7234AF-C4C7-4CA7-9791-621D78186B7B}" srcOrd="1" destOrd="0" presId="urn:microsoft.com/office/officeart/2009/3/layout/HorizontalOrganizationChart"/>
    <dgm:cxn modelId="{04B6EFFE-30A3-4A94-8170-E032BA439318}" type="presParOf" srcId="{232B480D-2DDD-4BBC-A45E-8AA118B34560}" destId="{9A973699-5AB4-449A-85E4-426D84AC2AF0}" srcOrd="1" destOrd="0" presId="urn:microsoft.com/office/officeart/2009/3/layout/HorizontalOrganizationChart"/>
    <dgm:cxn modelId="{6391E067-B8D4-451F-A53B-6E52D91F8729}" type="presParOf" srcId="{232B480D-2DDD-4BBC-A45E-8AA118B34560}" destId="{50A8A6C1-0344-4D93-9494-66158390639C}" srcOrd="2" destOrd="0" presId="urn:microsoft.com/office/officeart/2009/3/layout/HorizontalOrganizationChart"/>
    <dgm:cxn modelId="{53916788-7B49-4036-9874-0436AAACCE97}" type="presParOf" srcId="{985E355E-2BEE-4D24-95DC-2DF57E6B9CA9}" destId="{C9AD1E2E-BA03-4EDC-8739-7161E51E97E8}" srcOrd="16" destOrd="0" presId="urn:microsoft.com/office/officeart/2009/3/layout/HorizontalOrganizationChart"/>
    <dgm:cxn modelId="{A1A706C5-D53B-41B7-A9D9-98D564551F6F}" type="presParOf" srcId="{985E355E-2BEE-4D24-95DC-2DF57E6B9CA9}" destId="{5A2840F3-A6C3-47A8-ACA9-B1190133CFCF}" srcOrd="17" destOrd="0" presId="urn:microsoft.com/office/officeart/2009/3/layout/HorizontalOrganizationChart"/>
    <dgm:cxn modelId="{D380AFF0-31BC-484D-AE89-0DDC83B2C725}" type="presParOf" srcId="{5A2840F3-A6C3-47A8-ACA9-B1190133CFCF}" destId="{C8B06D50-3FAE-4295-8863-FD70E5468D85}" srcOrd="0" destOrd="0" presId="urn:microsoft.com/office/officeart/2009/3/layout/HorizontalOrganizationChart"/>
    <dgm:cxn modelId="{F09DD0EF-A476-425E-BCEB-940415474A84}" type="presParOf" srcId="{C8B06D50-3FAE-4295-8863-FD70E5468D85}" destId="{F8293A38-79B2-463B-9B77-B5E40ABBE618}" srcOrd="0" destOrd="0" presId="urn:microsoft.com/office/officeart/2009/3/layout/HorizontalOrganizationChart"/>
    <dgm:cxn modelId="{714DFCF1-C2FF-44CE-AD19-1067E587B311}" type="presParOf" srcId="{C8B06D50-3FAE-4295-8863-FD70E5468D85}" destId="{B9707816-6E4E-4616-A909-DA45E98A06CC}" srcOrd="1" destOrd="0" presId="urn:microsoft.com/office/officeart/2009/3/layout/HorizontalOrganizationChart"/>
    <dgm:cxn modelId="{AFAC3495-C902-497A-A833-C317B2923F44}" type="presParOf" srcId="{5A2840F3-A6C3-47A8-ACA9-B1190133CFCF}" destId="{4B103996-4796-42C2-8505-1A8018B3AC10}" srcOrd="1" destOrd="0" presId="urn:microsoft.com/office/officeart/2009/3/layout/HorizontalOrganizationChart"/>
    <dgm:cxn modelId="{CFA9FCE5-F481-4E30-B023-E17FDB9D172B}" type="presParOf" srcId="{5A2840F3-A6C3-47A8-ACA9-B1190133CFCF}" destId="{AA7DB672-010A-41E9-805C-24A69E534C67}" srcOrd="2" destOrd="0" presId="urn:microsoft.com/office/officeart/2009/3/layout/HorizontalOrganizationChart"/>
    <dgm:cxn modelId="{588B939A-3CEA-4625-B334-74CB9D158B3E}" type="presParOf" srcId="{985E355E-2BEE-4D24-95DC-2DF57E6B9CA9}" destId="{DF4E7C59-9151-463C-9C71-0F8735A9C73F}" srcOrd="18" destOrd="0" presId="urn:microsoft.com/office/officeart/2009/3/layout/HorizontalOrganizationChart"/>
    <dgm:cxn modelId="{F7C0BFF8-5193-45F6-9E64-552698D321AF}" type="presParOf" srcId="{985E355E-2BEE-4D24-95DC-2DF57E6B9CA9}" destId="{69084326-60CE-459B-BE19-4AB5EDEF03CD}" srcOrd="19" destOrd="0" presId="urn:microsoft.com/office/officeart/2009/3/layout/HorizontalOrganizationChart"/>
    <dgm:cxn modelId="{739A83EB-E313-433E-9327-87BA73BA3BC6}" type="presParOf" srcId="{69084326-60CE-459B-BE19-4AB5EDEF03CD}" destId="{F0A204D7-24FA-4D1D-B1B5-12577A29EAB0}" srcOrd="0" destOrd="0" presId="urn:microsoft.com/office/officeart/2009/3/layout/HorizontalOrganizationChart"/>
    <dgm:cxn modelId="{0E3FDBC6-1756-4B17-A86A-88C76696B525}" type="presParOf" srcId="{F0A204D7-24FA-4D1D-B1B5-12577A29EAB0}" destId="{1D2FE197-C4D0-424C-9E7D-9759ED322B23}" srcOrd="0" destOrd="0" presId="urn:microsoft.com/office/officeart/2009/3/layout/HorizontalOrganizationChart"/>
    <dgm:cxn modelId="{3B85D496-E1EA-4CAC-A794-7B169C3DA3BE}" type="presParOf" srcId="{F0A204D7-24FA-4D1D-B1B5-12577A29EAB0}" destId="{3709FDDA-5D0A-4ECC-A344-2B8B9C59DF01}" srcOrd="1" destOrd="0" presId="urn:microsoft.com/office/officeart/2009/3/layout/HorizontalOrganizationChart"/>
    <dgm:cxn modelId="{6036375E-32F6-4E17-8008-268105AA6045}" type="presParOf" srcId="{69084326-60CE-459B-BE19-4AB5EDEF03CD}" destId="{63A934B4-BCCA-4877-BFBA-841140B14AF1}" srcOrd="1" destOrd="0" presId="urn:microsoft.com/office/officeart/2009/3/layout/HorizontalOrganizationChart"/>
    <dgm:cxn modelId="{B8E2E693-904C-4CAB-98E2-C2B772FC2B68}" type="presParOf" srcId="{69084326-60CE-459B-BE19-4AB5EDEF03CD}" destId="{FEBF5FA9-472B-4FC1-9CD0-51A41B2ACD65}" srcOrd="2" destOrd="0" presId="urn:microsoft.com/office/officeart/2009/3/layout/HorizontalOrganizationChart"/>
    <dgm:cxn modelId="{142AD149-1FFC-4D3F-8A1F-394D89091A92}" type="presParOf" srcId="{A6E6146C-83CB-4D3B-9E09-4B6F3606EC34}" destId="{0BCC51CD-CF8B-4ACE-9E30-5D0B5E0B07E1}" srcOrd="2" destOrd="0" presId="urn:microsoft.com/office/officeart/2009/3/layout/HorizontalOrganizationChart"/>
    <dgm:cxn modelId="{8821C2B4-BE21-49DD-93B2-1BB86B0AC96A}" type="presParOf" srcId="{224A8DCC-8D78-4668-8F63-0EBCC2D8748C}" destId="{A0E2028A-BED5-4E08-910C-727C0085655E}" srcOrd="1" destOrd="0" presId="urn:microsoft.com/office/officeart/2009/3/layout/HorizontalOrganizationChart"/>
    <dgm:cxn modelId="{B007E8BF-1C24-485E-A63F-D164E12F9668}" type="presParOf" srcId="{A0E2028A-BED5-4E08-910C-727C0085655E}" destId="{9F218D29-748C-46C3-81F5-9D2B8C07CA6F}" srcOrd="0" destOrd="0" presId="urn:microsoft.com/office/officeart/2009/3/layout/HorizontalOrganizationChart"/>
    <dgm:cxn modelId="{981F0AA8-87A6-4370-97A1-FD3AE5D33650}" type="presParOf" srcId="{9F218D29-748C-46C3-81F5-9D2B8C07CA6F}" destId="{E8BA067C-6329-4A2A-8893-67963C42A31D}" srcOrd="0" destOrd="0" presId="urn:microsoft.com/office/officeart/2009/3/layout/HorizontalOrganizationChart"/>
    <dgm:cxn modelId="{861B20D5-53E7-454E-B7BA-3D9CE0DF2E9C}" type="presParOf" srcId="{9F218D29-748C-46C3-81F5-9D2B8C07CA6F}" destId="{EE560E82-7324-4830-8B94-77BEF0055E28}" srcOrd="1" destOrd="0" presId="urn:microsoft.com/office/officeart/2009/3/layout/HorizontalOrganizationChart"/>
    <dgm:cxn modelId="{FC1A6458-25D7-4BA4-8220-326D959B32FD}" type="presParOf" srcId="{A0E2028A-BED5-4E08-910C-727C0085655E}" destId="{220766FD-5FCB-4BBF-82F4-016289BD2746}" srcOrd="1" destOrd="0" presId="urn:microsoft.com/office/officeart/2009/3/layout/HorizontalOrganizationChart"/>
    <dgm:cxn modelId="{3FB6C45E-6963-4B29-8F64-E01C8C2245B8}" type="presParOf" srcId="{A0E2028A-BED5-4E08-910C-727C0085655E}" destId="{46B97545-AFF1-4393-BE7D-245A309953F2}" srcOrd="2" destOrd="0" presId="urn:microsoft.com/office/officeart/2009/3/layout/HorizontalOrganizationChart"/>
    <dgm:cxn modelId="{AC754F34-0C6C-4B4D-A1DE-2F79D0083972}" type="presParOf" srcId="{224A8DCC-8D78-4668-8F63-0EBCC2D8748C}" destId="{8333F0F2-A1FB-48E7-85ED-217B3791D8A7}" srcOrd="2" destOrd="0" presId="urn:microsoft.com/office/officeart/2009/3/layout/HorizontalOrganizationChart"/>
    <dgm:cxn modelId="{3A8B72D7-5A71-4DE2-84CD-20072D37C0C0}" type="presParOf" srcId="{8333F0F2-A1FB-48E7-85ED-217B3791D8A7}" destId="{94DFB739-783D-4201-AA7F-6ED562322656}" srcOrd="0" destOrd="0" presId="urn:microsoft.com/office/officeart/2009/3/layout/HorizontalOrganizationChart"/>
    <dgm:cxn modelId="{483448DC-884A-416D-845F-3876AE9958CB}" type="presParOf" srcId="{94DFB739-783D-4201-AA7F-6ED562322656}" destId="{C9FEF676-4D24-4665-A8BD-96550AD22F79}" srcOrd="0" destOrd="0" presId="urn:microsoft.com/office/officeart/2009/3/layout/HorizontalOrganizationChart"/>
    <dgm:cxn modelId="{EA9BF579-72C6-4DF3-B24C-B5985B8DE21B}" type="presParOf" srcId="{94DFB739-783D-4201-AA7F-6ED562322656}" destId="{A04A4C8B-C87B-49E8-AA00-7FAAC392A5CC}" srcOrd="1" destOrd="0" presId="urn:microsoft.com/office/officeart/2009/3/layout/HorizontalOrganizationChart"/>
    <dgm:cxn modelId="{70FB8498-8795-4A0F-8397-2F74452164F1}" type="presParOf" srcId="{8333F0F2-A1FB-48E7-85ED-217B3791D8A7}" destId="{6BC9A67B-A9AB-4C36-A8E1-D8D41A46EFBA}" srcOrd="1" destOrd="0" presId="urn:microsoft.com/office/officeart/2009/3/layout/HorizontalOrganizationChart"/>
    <dgm:cxn modelId="{47B56038-F5D6-47DE-905B-C2BEE66A3D71}" type="presParOf" srcId="{6BC9A67B-A9AB-4C36-A8E1-D8D41A46EFBA}" destId="{761F4B64-AB09-4CC9-A4B0-93231E9FF64B}" srcOrd="0" destOrd="0" presId="urn:microsoft.com/office/officeart/2009/3/layout/HorizontalOrganizationChart"/>
    <dgm:cxn modelId="{C0DBF8B5-B287-43C7-9AF0-AB31B4ABAAFF}" type="presParOf" srcId="{6BC9A67B-A9AB-4C36-A8E1-D8D41A46EFBA}" destId="{80491030-DDF7-4AB1-A2C5-01CE2BB23DCD}" srcOrd="1" destOrd="0" presId="urn:microsoft.com/office/officeart/2009/3/layout/HorizontalOrganizationChart"/>
    <dgm:cxn modelId="{A11053AB-0D16-4D28-8CD9-E6DD31792CA4}" type="presParOf" srcId="{80491030-DDF7-4AB1-A2C5-01CE2BB23DCD}" destId="{2FD0FF82-1E41-4A52-97AE-47F4D8702672}" srcOrd="0" destOrd="0" presId="urn:microsoft.com/office/officeart/2009/3/layout/HorizontalOrganizationChart"/>
    <dgm:cxn modelId="{C9FC040F-1393-4F64-8694-B36C730596D7}" type="presParOf" srcId="{2FD0FF82-1E41-4A52-97AE-47F4D8702672}" destId="{BCF4DB2A-5F22-45E5-9B75-F2E029A4EDB9}" srcOrd="0" destOrd="0" presId="urn:microsoft.com/office/officeart/2009/3/layout/HorizontalOrganizationChart"/>
    <dgm:cxn modelId="{7AD6A8C2-9283-43A6-9B09-A840A07B5BAE}" type="presParOf" srcId="{2FD0FF82-1E41-4A52-97AE-47F4D8702672}" destId="{4A23644E-3B22-46C2-AAFF-ED05FA9AA87A}" srcOrd="1" destOrd="0" presId="urn:microsoft.com/office/officeart/2009/3/layout/HorizontalOrganizationChart"/>
    <dgm:cxn modelId="{B53F11BD-72D5-4640-AEA8-D4B4F3CE0697}" type="presParOf" srcId="{80491030-DDF7-4AB1-A2C5-01CE2BB23DCD}" destId="{B625D27E-76FF-49D5-A351-62F50E201B3F}" srcOrd="1" destOrd="0" presId="urn:microsoft.com/office/officeart/2009/3/layout/HorizontalOrganizationChart"/>
    <dgm:cxn modelId="{E491C20E-6418-4EE9-8868-E795F541446F}" type="presParOf" srcId="{80491030-DDF7-4AB1-A2C5-01CE2BB23DCD}" destId="{C9D2892F-EDFC-4018-BCF8-2108A4410555}" srcOrd="2" destOrd="0" presId="urn:microsoft.com/office/officeart/2009/3/layout/HorizontalOrganizationChart"/>
    <dgm:cxn modelId="{11663C12-2CAA-4BA9-8293-8910B318422F}" type="presParOf" srcId="{8333F0F2-A1FB-48E7-85ED-217B3791D8A7}" destId="{E5D5CB5E-CCFB-400F-8059-CCAB3D6D38C1}" srcOrd="2" destOrd="0" presId="urn:microsoft.com/office/officeart/2009/3/layout/HorizontalOrganizationChart"/>
    <dgm:cxn modelId="{DC715C62-ED11-4818-BB82-3B4FC6178045}" type="presParOf" srcId="{224A8DCC-8D78-4668-8F63-0EBCC2D8748C}" destId="{E9460CD3-4877-472C-86D8-96C8C04081F2}" srcOrd="3" destOrd="0" presId="urn:microsoft.com/office/officeart/2009/3/layout/HorizontalOrganizationChart"/>
    <dgm:cxn modelId="{69890E50-DF4B-44D6-BEC6-23022731005A}" type="presParOf" srcId="{E9460CD3-4877-472C-86D8-96C8C04081F2}" destId="{ADC7929F-1DF2-4D66-8111-DFF76F285D8E}" srcOrd="0" destOrd="0" presId="urn:microsoft.com/office/officeart/2009/3/layout/HorizontalOrganizationChart"/>
    <dgm:cxn modelId="{D72FAF83-764A-4449-A894-5C9CC282512D}" type="presParOf" srcId="{ADC7929F-1DF2-4D66-8111-DFF76F285D8E}" destId="{3715B55E-095D-4A85-9BEE-BAE59E1C6F88}" srcOrd="0" destOrd="0" presId="urn:microsoft.com/office/officeart/2009/3/layout/HorizontalOrganizationChart"/>
    <dgm:cxn modelId="{61377FCB-4F33-4E54-AA87-836A80E6B479}" type="presParOf" srcId="{ADC7929F-1DF2-4D66-8111-DFF76F285D8E}" destId="{FD587169-EC26-43EF-9660-584E0A7E4A9C}" srcOrd="1" destOrd="0" presId="urn:microsoft.com/office/officeart/2009/3/layout/HorizontalOrganizationChart"/>
    <dgm:cxn modelId="{A92832B7-CDC1-4BE7-830B-B81894A2157E}" type="presParOf" srcId="{E9460CD3-4877-472C-86D8-96C8C04081F2}" destId="{1300B127-D3EF-4FE6-A6D1-A6BE0D13F4B4}" srcOrd="1" destOrd="0" presId="urn:microsoft.com/office/officeart/2009/3/layout/HorizontalOrganizationChart"/>
    <dgm:cxn modelId="{3AFC09F6-0540-4484-B012-622F04D2A08F}" type="presParOf" srcId="{1300B127-D3EF-4FE6-A6D1-A6BE0D13F4B4}" destId="{AB91FA95-07A8-4F86-9BA7-EF3C08FA8335}" srcOrd="0" destOrd="0" presId="urn:microsoft.com/office/officeart/2009/3/layout/HorizontalOrganizationChart"/>
    <dgm:cxn modelId="{443178CB-FCE3-4661-B46F-5D9ABB2355CE}" type="presParOf" srcId="{1300B127-D3EF-4FE6-A6D1-A6BE0D13F4B4}" destId="{4DCBAC69-C6C8-4E29-9BD6-917A5EFE3E62}" srcOrd="1" destOrd="0" presId="urn:microsoft.com/office/officeart/2009/3/layout/HorizontalOrganizationChart"/>
    <dgm:cxn modelId="{48999F66-1D47-4C13-B797-64279BE51A02}" type="presParOf" srcId="{4DCBAC69-C6C8-4E29-9BD6-917A5EFE3E62}" destId="{1884460C-9D89-43D7-B1BB-46EDE80BDA0F}" srcOrd="0" destOrd="0" presId="urn:microsoft.com/office/officeart/2009/3/layout/HorizontalOrganizationChart"/>
    <dgm:cxn modelId="{A6A1B960-6004-43D4-AAC8-A182989C95A0}" type="presParOf" srcId="{1884460C-9D89-43D7-B1BB-46EDE80BDA0F}" destId="{CDB3FF79-FB15-41C3-A2B2-0495D42374EF}" srcOrd="0" destOrd="0" presId="urn:microsoft.com/office/officeart/2009/3/layout/HorizontalOrganizationChart"/>
    <dgm:cxn modelId="{BB20E283-BE4F-42BC-9957-714C28C2C988}" type="presParOf" srcId="{1884460C-9D89-43D7-B1BB-46EDE80BDA0F}" destId="{3A89EEAE-1A90-402A-98EE-1F67D69092E6}" srcOrd="1" destOrd="0" presId="urn:microsoft.com/office/officeart/2009/3/layout/HorizontalOrganizationChart"/>
    <dgm:cxn modelId="{316E1283-08F4-490C-9CC1-4595C7056107}" type="presParOf" srcId="{4DCBAC69-C6C8-4E29-9BD6-917A5EFE3E62}" destId="{C7C46B23-8C35-4F27-A551-5F2EB79EAADF}" srcOrd="1" destOrd="0" presId="urn:microsoft.com/office/officeart/2009/3/layout/HorizontalOrganizationChart"/>
    <dgm:cxn modelId="{1502765D-FD44-4282-BB38-FA08A70874F1}" type="presParOf" srcId="{4DCBAC69-C6C8-4E29-9BD6-917A5EFE3E62}" destId="{F0546E04-F17C-4C68-93A1-7077424EDC49}" srcOrd="2" destOrd="0" presId="urn:microsoft.com/office/officeart/2009/3/layout/HorizontalOrganizationChart"/>
    <dgm:cxn modelId="{60BE8B91-D11B-4B9D-9396-4B42E7575019}" type="presParOf" srcId="{E9460CD3-4877-472C-86D8-96C8C04081F2}" destId="{12FE7645-BA43-4F64-87FB-50F1E52E5365}" srcOrd="2" destOrd="0" presId="urn:microsoft.com/office/officeart/2009/3/layout/HorizontalOrganization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EED8AC5-345E-4BC7-A786-4582EE4CCD6C}" type="doc">
      <dgm:prSet loTypeId="urn:microsoft.com/office/officeart/2005/8/layout/cycle5" loCatId="cycle" qsTypeId="urn:microsoft.com/office/officeart/2005/8/quickstyle/simple1" qsCatId="simple" csTypeId="urn:microsoft.com/office/officeart/2005/8/colors/accent2_2" csCatId="accent2" phldr="1"/>
      <dgm:spPr/>
    </dgm:pt>
    <dgm:pt modelId="{33CA8332-BF6C-4D99-84FA-4639C03EAD51}">
      <dgm:prSet phldrT="[Text]"/>
      <dgm:spPr>
        <a:solidFill>
          <a:schemeClr val="tx2">
            <a:lumMod val="75000"/>
          </a:schemeClr>
        </a:solidFill>
      </dgm:spPr>
      <dgm:t>
        <a:bodyPr/>
        <a:lstStyle/>
        <a:p>
          <a:r>
            <a:rPr lang="hu-HU"/>
            <a:t>2. Repülésbiztonsági problémák értékelése</a:t>
          </a:r>
        </a:p>
      </dgm:t>
    </dgm:pt>
    <dgm:pt modelId="{4EE44A94-0A8A-4CD6-A483-0EB5C9DE3937}" type="parTrans" cxnId="{1018272D-702B-4B87-87D8-559E14626071}">
      <dgm:prSet/>
      <dgm:spPr/>
      <dgm:t>
        <a:bodyPr/>
        <a:lstStyle/>
        <a:p>
          <a:pPr algn="ctr"/>
          <a:endParaRPr lang="en-US"/>
        </a:p>
      </dgm:t>
    </dgm:pt>
    <dgm:pt modelId="{C2B4756B-BB58-4443-997D-D20083735880}" type="sibTrans" cxnId="{1018272D-702B-4B87-87D8-559E14626071}">
      <dgm:prSet>
        <dgm:style>
          <a:lnRef idx="2">
            <a:schemeClr val="accent5"/>
          </a:lnRef>
          <a:fillRef idx="0">
            <a:schemeClr val="accent5"/>
          </a:fillRef>
          <a:effectRef idx="1">
            <a:schemeClr val="accent5"/>
          </a:effectRef>
          <a:fontRef idx="minor">
            <a:schemeClr val="tx1"/>
          </a:fontRef>
        </dgm:style>
      </dgm:prSet>
      <dgm:spPr/>
      <dgm:t>
        <a:bodyPr/>
        <a:lstStyle/>
        <a:p>
          <a:pPr algn="ctr"/>
          <a:endParaRPr lang="en-US"/>
        </a:p>
      </dgm:t>
    </dgm:pt>
    <dgm:pt modelId="{488A806E-F0E0-464C-9AF7-69C27B43486F}">
      <dgm:prSet phldrT="[Text]"/>
      <dgm:spPr>
        <a:solidFill>
          <a:schemeClr val="tx2">
            <a:lumMod val="75000"/>
          </a:schemeClr>
        </a:solidFill>
      </dgm:spPr>
      <dgm:t>
        <a:bodyPr/>
        <a:lstStyle/>
        <a:p>
          <a:r>
            <a:rPr lang="hu-HU"/>
            <a:t>3. Repülésbiztonsági intézkedések meghatározása és programozása</a:t>
          </a:r>
        </a:p>
      </dgm:t>
    </dgm:pt>
    <dgm:pt modelId="{4C291FF4-1F42-4DC9-A96D-BEAFA4E592EE}" type="parTrans" cxnId="{6F24FAF8-DFB7-4492-A729-AD40D3C7C4F2}">
      <dgm:prSet/>
      <dgm:spPr/>
      <dgm:t>
        <a:bodyPr/>
        <a:lstStyle/>
        <a:p>
          <a:pPr algn="ctr"/>
          <a:endParaRPr lang="en-US"/>
        </a:p>
      </dgm:t>
    </dgm:pt>
    <dgm:pt modelId="{DE567A66-D4CE-413B-AF06-D261B73D1875}" type="sibTrans" cxnId="{6F24FAF8-DFB7-4492-A729-AD40D3C7C4F2}">
      <dgm:prSet>
        <dgm:style>
          <a:lnRef idx="2">
            <a:schemeClr val="accent5"/>
          </a:lnRef>
          <a:fillRef idx="0">
            <a:schemeClr val="accent5"/>
          </a:fillRef>
          <a:effectRef idx="1">
            <a:schemeClr val="accent5"/>
          </a:effectRef>
          <a:fontRef idx="minor">
            <a:schemeClr val="tx1"/>
          </a:fontRef>
        </dgm:style>
      </dgm:prSet>
      <dgm:spPr/>
      <dgm:t>
        <a:bodyPr/>
        <a:lstStyle/>
        <a:p>
          <a:pPr algn="ctr"/>
          <a:endParaRPr lang="en-US"/>
        </a:p>
      </dgm:t>
    </dgm:pt>
    <dgm:pt modelId="{8EA48089-423C-47CF-BD4C-99A41FF16B49}">
      <dgm:prSet phldrT="[Text]"/>
      <dgm:spPr>
        <a:solidFill>
          <a:schemeClr val="tx2">
            <a:lumMod val="75000"/>
          </a:schemeClr>
        </a:solidFill>
      </dgm:spPr>
      <dgm:t>
        <a:bodyPr/>
        <a:lstStyle/>
        <a:p>
          <a:r>
            <a:rPr lang="hu-HU"/>
            <a:t>4. Végrehajtás és nyomon követés</a:t>
          </a:r>
        </a:p>
      </dgm:t>
    </dgm:pt>
    <dgm:pt modelId="{FBDF8EA2-1925-4411-A321-27A72B782F24}" type="parTrans" cxnId="{597BE80E-B29C-4EEA-87A4-049A61765195}">
      <dgm:prSet/>
      <dgm:spPr/>
      <dgm:t>
        <a:bodyPr/>
        <a:lstStyle/>
        <a:p>
          <a:pPr algn="ctr"/>
          <a:endParaRPr lang="en-US"/>
        </a:p>
      </dgm:t>
    </dgm:pt>
    <dgm:pt modelId="{C00EEDCA-36E4-4E61-91D2-5E4CE1B90177}" type="sibTrans" cxnId="{597BE80E-B29C-4EEA-87A4-049A61765195}">
      <dgm:prSet>
        <dgm:style>
          <a:lnRef idx="2">
            <a:schemeClr val="accent5"/>
          </a:lnRef>
          <a:fillRef idx="0">
            <a:schemeClr val="accent5"/>
          </a:fillRef>
          <a:effectRef idx="1">
            <a:schemeClr val="accent5"/>
          </a:effectRef>
          <a:fontRef idx="minor">
            <a:schemeClr val="tx1"/>
          </a:fontRef>
        </dgm:style>
      </dgm:prSet>
      <dgm:spPr/>
      <dgm:t>
        <a:bodyPr/>
        <a:lstStyle/>
        <a:p>
          <a:pPr algn="ctr"/>
          <a:endParaRPr lang="en-US"/>
        </a:p>
      </dgm:t>
    </dgm:pt>
    <dgm:pt modelId="{6E7457FE-C834-46E5-8D6B-ABB6095CB673}">
      <dgm:prSet phldrT="[Text]"/>
      <dgm:spPr>
        <a:solidFill>
          <a:schemeClr val="tx2">
            <a:lumMod val="75000"/>
          </a:schemeClr>
        </a:solidFill>
      </dgm:spPr>
      <dgm:t>
        <a:bodyPr/>
        <a:lstStyle/>
        <a:p>
          <a:r>
            <a:rPr lang="hu-HU"/>
            <a:t>1. Repülésbiztonsági problémák azonosítása</a:t>
          </a:r>
        </a:p>
      </dgm:t>
    </dgm:pt>
    <dgm:pt modelId="{E55C2B17-52F3-4E9F-AE81-1766E01FD85D}" type="parTrans" cxnId="{ACAA138B-8347-4956-BF4B-B7FB199B7149}">
      <dgm:prSet/>
      <dgm:spPr/>
      <dgm:t>
        <a:bodyPr/>
        <a:lstStyle/>
        <a:p>
          <a:endParaRPr lang="en-US"/>
        </a:p>
      </dgm:t>
    </dgm:pt>
    <dgm:pt modelId="{3122522B-276F-4C14-8CA0-200D612F83C1}" type="sibTrans" cxnId="{ACAA138B-8347-4956-BF4B-B7FB199B7149}">
      <dgm:prSet>
        <dgm:style>
          <a:lnRef idx="2">
            <a:schemeClr val="accent5"/>
          </a:lnRef>
          <a:fillRef idx="0">
            <a:schemeClr val="accent5"/>
          </a:fillRef>
          <a:effectRef idx="1">
            <a:schemeClr val="accent5"/>
          </a:effectRef>
          <a:fontRef idx="minor">
            <a:schemeClr val="tx1"/>
          </a:fontRef>
        </dgm:style>
      </dgm:prSet>
      <dgm:spPr/>
      <dgm:t>
        <a:bodyPr/>
        <a:lstStyle/>
        <a:p>
          <a:endParaRPr lang="en-US"/>
        </a:p>
      </dgm:t>
    </dgm:pt>
    <dgm:pt modelId="{F826509C-06A4-4B2A-A87A-2E52C7D5BBD2}">
      <dgm:prSet phldrT="[Text]"/>
      <dgm:spPr>
        <a:solidFill>
          <a:schemeClr val="tx2">
            <a:lumMod val="75000"/>
          </a:schemeClr>
        </a:solidFill>
      </dgm:spPr>
      <dgm:t>
        <a:bodyPr/>
        <a:lstStyle/>
        <a:p>
          <a:r>
            <a:rPr lang="hu-HU"/>
            <a:t>5. Repülésbiztonsági teljesítmény</a:t>
          </a:r>
        </a:p>
      </dgm:t>
    </dgm:pt>
    <dgm:pt modelId="{B9A47205-2E0A-4D95-858B-D11BCFF51F75}" type="parTrans" cxnId="{72E40554-4F6A-475F-9E44-26CB9B437986}">
      <dgm:prSet/>
      <dgm:spPr/>
      <dgm:t>
        <a:bodyPr/>
        <a:lstStyle/>
        <a:p>
          <a:endParaRPr lang="en-US"/>
        </a:p>
      </dgm:t>
    </dgm:pt>
    <dgm:pt modelId="{A6EEADBB-4D4C-495F-A395-AF60358F7E7B}" type="sibTrans" cxnId="{72E40554-4F6A-475F-9E44-26CB9B437986}">
      <dgm:prSet>
        <dgm:style>
          <a:lnRef idx="2">
            <a:schemeClr val="accent5"/>
          </a:lnRef>
          <a:fillRef idx="0">
            <a:schemeClr val="accent5"/>
          </a:fillRef>
          <a:effectRef idx="1">
            <a:schemeClr val="accent5"/>
          </a:effectRef>
          <a:fontRef idx="minor">
            <a:schemeClr val="tx1"/>
          </a:fontRef>
        </dgm:style>
      </dgm:prSet>
      <dgm:spPr/>
      <dgm:t>
        <a:bodyPr/>
        <a:lstStyle/>
        <a:p>
          <a:endParaRPr lang="en-US"/>
        </a:p>
      </dgm:t>
    </dgm:pt>
    <dgm:pt modelId="{FAA3F001-AD0B-4C9F-AD65-9AE557906291}" type="pres">
      <dgm:prSet presAssocID="{FEED8AC5-345E-4BC7-A786-4582EE4CCD6C}" presName="cycle" presStyleCnt="0">
        <dgm:presLayoutVars>
          <dgm:dir/>
          <dgm:resizeHandles val="exact"/>
        </dgm:presLayoutVars>
      </dgm:prSet>
      <dgm:spPr/>
    </dgm:pt>
    <dgm:pt modelId="{33ACDE43-ADDC-4FC3-9B08-DF253D20B300}" type="pres">
      <dgm:prSet presAssocID="{6E7457FE-C834-46E5-8D6B-ABB6095CB673}" presName="node" presStyleLbl="node1" presStyleIdx="0" presStyleCnt="5" custScaleX="110000" custScaleY="110000">
        <dgm:presLayoutVars>
          <dgm:bulletEnabled val="1"/>
        </dgm:presLayoutVars>
      </dgm:prSet>
      <dgm:spPr/>
      <dgm:t>
        <a:bodyPr/>
        <a:lstStyle/>
        <a:p>
          <a:endParaRPr lang="en-US"/>
        </a:p>
      </dgm:t>
    </dgm:pt>
    <dgm:pt modelId="{FA3C50A9-4A3B-4DBA-96D4-23A121687DA0}" type="pres">
      <dgm:prSet presAssocID="{6E7457FE-C834-46E5-8D6B-ABB6095CB673}" presName="spNode" presStyleCnt="0"/>
      <dgm:spPr/>
    </dgm:pt>
    <dgm:pt modelId="{29B74617-7D70-4700-81C7-15874828AB74}" type="pres">
      <dgm:prSet presAssocID="{3122522B-276F-4C14-8CA0-200D612F83C1}" presName="sibTrans" presStyleLbl="sibTrans1D1" presStyleIdx="0" presStyleCnt="5"/>
      <dgm:spPr/>
      <dgm:t>
        <a:bodyPr/>
        <a:lstStyle/>
        <a:p>
          <a:endParaRPr lang="en-US"/>
        </a:p>
      </dgm:t>
    </dgm:pt>
    <dgm:pt modelId="{681BB41A-A4E2-4F9B-BB88-CF998F6C2D2A}" type="pres">
      <dgm:prSet presAssocID="{33CA8332-BF6C-4D99-84FA-4639C03EAD51}" presName="node" presStyleLbl="node1" presStyleIdx="1" presStyleCnt="5" custScaleX="110000" custScaleY="110000">
        <dgm:presLayoutVars>
          <dgm:bulletEnabled val="1"/>
        </dgm:presLayoutVars>
      </dgm:prSet>
      <dgm:spPr/>
      <dgm:t>
        <a:bodyPr/>
        <a:lstStyle/>
        <a:p>
          <a:endParaRPr lang="en-US"/>
        </a:p>
      </dgm:t>
    </dgm:pt>
    <dgm:pt modelId="{8CE3E468-A673-4DFC-8008-F0707D42C138}" type="pres">
      <dgm:prSet presAssocID="{33CA8332-BF6C-4D99-84FA-4639C03EAD51}" presName="spNode" presStyleCnt="0"/>
      <dgm:spPr/>
    </dgm:pt>
    <dgm:pt modelId="{ADA5368E-7775-42AF-AC0D-7BFD4E650099}" type="pres">
      <dgm:prSet presAssocID="{C2B4756B-BB58-4443-997D-D20083735880}" presName="sibTrans" presStyleLbl="sibTrans1D1" presStyleIdx="1" presStyleCnt="5"/>
      <dgm:spPr/>
      <dgm:t>
        <a:bodyPr/>
        <a:lstStyle/>
        <a:p>
          <a:endParaRPr lang="en-US"/>
        </a:p>
      </dgm:t>
    </dgm:pt>
    <dgm:pt modelId="{9848EC78-0F50-4D8B-9F58-43150D9BF46D}" type="pres">
      <dgm:prSet presAssocID="{488A806E-F0E0-464C-9AF7-69C27B43486F}" presName="node" presStyleLbl="node1" presStyleIdx="2" presStyleCnt="5" custScaleX="110000" custScaleY="110000">
        <dgm:presLayoutVars>
          <dgm:bulletEnabled val="1"/>
        </dgm:presLayoutVars>
      </dgm:prSet>
      <dgm:spPr/>
      <dgm:t>
        <a:bodyPr/>
        <a:lstStyle/>
        <a:p>
          <a:endParaRPr lang="en-US"/>
        </a:p>
      </dgm:t>
    </dgm:pt>
    <dgm:pt modelId="{BDAF9979-EB80-4533-AEC9-A256A350B43B}" type="pres">
      <dgm:prSet presAssocID="{488A806E-F0E0-464C-9AF7-69C27B43486F}" presName="spNode" presStyleCnt="0"/>
      <dgm:spPr/>
    </dgm:pt>
    <dgm:pt modelId="{72466A70-1452-4FD1-8C25-177ACC3AF372}" type="pres">
      <dgm:prSet presAssocID="{DE567A66-D4CE-413B-AF06-D261B73D1875}" presName="sibTrans" presStyleLbl="sibTrans1D1" presStyleIdx="2" presStyleCnt="5"/>
      <dgm:spPr/>
      <dgm:t>
        <a:bodyPr/>
        <a:lstStyle/>
        <a:p>
          <a:endParaRPr lang="en-US"/>
        </a:p>
      </dgm:t>
    </dgm:pt>
    <dgm:pt modelId="{A235619B-38F4-41AB-9E6F-2708E9A5B95D}" type="pres">
      <dgm:prSet presAssocID="{8EA48089-423C-47CF-BD4C-99A41FF16B49}" presName="node" presStyleLbl="node1" presStyleIdx="3" presStyleCnt="5" custScaleX="110000" custScaleY="110000">
        <dgm:presLayoutVars>
          <dgm:bulletEnabled val="1"/>
        </dgm:presLayoutVars>
      </dgm:prSet>
      <dgm:spPr/>
      <dgm:t>
        <a:bodyPr/>
        <a:lstStyle/>
        <a:p>
          <a:endParaRPr lang="en-US"/>
        </a:p>
      </dgm:t>
    </dgm:pt>
    <dgm:pt modelId="{D0D4EE92-C286-416A-A0CE-A91DB02172A4}" type="pres">
      <dgm:prSet presAssocID="{8EA48089-423C-47CF-BD4C-99A41FF16B49}" presName="spNode" presStyleCnt="0"/>
      <dgm:spPr/>
    </dgm:pt>
    <dgm:pt modelId="{16A742EF-4DF4-438E-ACA6-83F86603BDD4}" type="pres">
      <dgm:prSet presAssocID="{C00EEDCA-36E4-4E61-91D2-5E4CE1B90177}" presName="sibTrans" presStyleLbl="sibTrans1D1" presStyleIdx="3" presStyleCnt="5"/>
      <dgm:spPr/>
      <dgm:t>
        <a:bodyPr/>
        <a:lstStyle/>
        <a:p>
          <a:endParaRPr lang="en-US"/>
        </a:p>
      </dgm:t>
    </dgm:pt>
    <dgm:pt modelId="{A7A6AA46-35DD-404E-9F58-B53C3021B31C}" type="pres">
      <dgm:prSet presAssocID="{F826509C-06A4-4B2A-A87A-2E52C7D5BBD2}" presName="node" presStyleLbl="node1" presStyleIdx="4" presStyleCnt="5" custScaleX="110000" custScaleY="110000">
        <dgm:presLayoutVars>
          <dgm:bulletEnabled val="1"/>
        </dgm:presLayoutVars>
      </dgm:prSet>
      <dgm:spPr/>
      <dgm:t>
        <a:bodyPr/>
        <a:lstStyle/>
        <a:p>
          <a:endParaRPr lang="en-US"/>
        </a:p>
      </dgm:t>
    </dgm:pt>
    <dgm:pt modelId="{40F03DA8-200A-4109-9810-D5CD54FFF3D3}" type="pres">
      <dgm:prSet presAssocID="{F826509C-06A4-4B2A-A87A-2E52C7D5BBD2}" presName="spNode" presStyleCnt="0"/>
      <dgm:spPr/>
    </dgm:pt>
    <dgm:pt modelId="{7405E44D-CEA1-4D80-8053-7A7139BD205D}" type="pres">
      <dgm:prSet presAssocID="{A6EEADBB-4D4C-495F-A395-AF60358F7E7B}" presName="sibTrans" presStyleLbl="sibTrans1D1" presStyleIdx="4" presStyleCnt="5"/>
      <dgm:spPr/>
      <dgm:t>
        <a:bodyPr/>
        <a:lstStyle/>
        <a:p>
          <a:endParaRPr lang="en-US"/>
        </a:p>
      </dgm:t>
    </dgm:pt>
  </dgm:ptLst>
  <dgm:cxnLst>
    <dgm:cxn modelId="{C558F849-9005-45A3-81D3-F8626D734885}" type="presOf" srcId="{A6EEADBB-4D4C-495F-A395-AF60358F7E7B}" destId="{7405E44D-CEA1-4D80-8053-7A7139BD205D}" srcOrd="0" destOrd="0" presId="urn:microsoft.com/office/officeart/2005/8/layout/cycle5"/>
    <dgm:cxn modelId="{9272FDA1-C6B2-4009-9959-4D5A8A189137}" type="presOf" srcId="{8EA48089-423C-47CF-BD4C-99A41FF16B49}" destId="{A235619B-38F4-41AB-9E6F-2708E9A5B95D}" srcOrd="0" destOrd="0" presId="urn:microsoft.com/office/officeart/2005/8/layout/cycle5"/>
    <dgm:cxn modelId="{A80322DB-264E-44AE-8FAC-156E1F0B6335}" type="presOf" srcId="{FEED8AC5-345E-4BC7-A786-4582EE4CCD6C}" destId="{FAA3F001-AD0B-4C9F-AD65-9AE557906291}" srcOrd="0" destOrd="0" presId="urn:microsoft.com/office/officeart/2005/8/layout/cycle5"/>
    <dgm:cxn modelId="{72E40554-4F6A-475F-9E44-26CB9B437986}" srcId="{FEED8AC5-345E-4BC7-A786-4582EE4CCD6C}" destId="{F826509C-06A4-4B2A-A87A-2E52C7D5BBD2}" srcOrd="4" destOrd="0" parTransId="{B9A47205-2E0A-4D95-858B-D11BCFF51F75}" sibTransId="{A6EEADBB-4D4C-495F-A395-AF60358F7E7B}"/>
    <dgm:cxn modelId="{7FB43F22-3388-4815-80CB-85190F88A0E3}" type="presOf" srcId="{6E7457FE-C834-46E5-8D6B-ABB6095CB673}" destId="{33ACDE43-ADDC-4FC3-9B08-DF253D20B300}" srcOrd="0" destOrd="0" presId="urn:microsoft.com/office/officeart/2005/8/layout/cycle5"/>
    <dgm:cxn modelId="{ACAA138B-8347-4956-BF4B-B7FB199B7149}" srcId="{FEED8AC5-345E-4BC7-A786-4582EE4CCD6C}" destId="{6E7457FE-C834-46E5-8D6B-ABB6095CB673}" srcOrd="0" destOrd="0" parTransId="{E55C2B17-52F3-4E9F-AE81-1766E01FD85D}" sibTransId="{3122522B-276F-4C14-8CA0-200D612F83C1}"/>
    <dgm:cxn modelId="{E80122FD-D5DE-4297-A055-2F9D36EEB0EE}" type="presOf" srcId="{488A806E-F0E0-464C-9AF7-69C27B43486F}" destId="{9848EC78-0F50-4D8B-9F58-43150D9BF46D}" srcOrd="0" destOrd="0" presId="urn:microsoft.com/office/officeart/2005/8/layout/cycle5"/>
    <dgm:cxn modelId="{6F24FAF8-DFB7-4492-A729-AD40D3C7C4F2}" srcId="{FEED8AC5-345E-4BC7-A786-4582EE4CCD6C}" destId="{488A806E-F0E0-464C-9AF7-69C27B43486F}" srcOrd="2" destOrd="0" parTransId="{4C291FF4-1F42-4DC9-A96D-BEAFA4E592EE}" sibTransId="{DE567A66-D4CE-413B-AF06-D261B73D1875}"/>
    <dgm:cxn modelId="{10E24671-E778-4AB2-B9D2-DE2B2EC57AFA}" type="presOf" srcId="{3122522B-276F-4C14-8CA0-200D612F83C1}" destId="{29B74617-7D70-4700-81C7-15874828AB74}" srcOrd="0" destOrd="0" presId="urn:microsoft.com/office/officeart/2005/8/layout/cycle5"/>
    <dgm:cxn modelId="{8707CAA2-9F8E-487E-B3AF-67F0065D0689}" type="presOf" srcId="{F826509C-06A4-4B2A-A87A-2E52C7D5BBD2}" destId="{A7A6AA46-35DD-404E-9F58-B53C3021B31C}" srcOrd="0" destOrd="0" presId="urn:microsoft.com/office/officeart/2005/8/layout/cycle5"/>
    <dgm:cxn modelId="{99DA1FDD-3002-4F22-9EF2-428136D477EB}" type="presOf" srcId="{C00EEDCA-36E4-4E61-91D2-5E4CE1B90177}" destId="{16A742EF-4DF4-438E-ACA6-83F86603BDD4}" srcOrd="0" destOrd="0" presId="urn:microsoft.com/office/officeart/2005/8/layout/cycle5"/>
    <dgm:cxn modelId="{597BE80E-B29C-4EEA-87A4-049A61765195}" srcId="{FEED8AC5-345E-4BC7-A786-4582EE4CCD6C}" destId="{8EA48089-423C-47CF-BD4C-99A41FF16B49}" srcOrd="3" destOrd="0" parTransId="{FBDF8EA2-1925-4411-A321-27A72B782F24}" sibTransId="{C00EEDCA-36E4-4E61-91D2-5E4CE1B90177}"/>
    <dgm:cxn modelId="{750A762C-1AB5-4D04-AABC-D8B3BC4E36FD}" type="presOf" srcId="{33CA8332-BF6C-4D99-84FA-4639C03EAD51}" destId="{681BB41A-A4E2-4F9B-BB88-CF998F6C2D2A}" srcOrd="0" destOrd="0" presId="urn:microsoft.com/office/officeart/2005/8/layout/cycle5"/>
    <dgm:cxn modelId="{BD9665E6-BFD3-4BD3-9C85-3CDAA8FF1A0A}" type="presOf" srcId="{DE567A66-D4CE-413B-AF06-D261B73D1875}" destId="{72466A70-1452-4FD1-8C25-177ACC3AF372}" srcOrd="0" destOrd="0" presId="urn:microsoft.com/office/officeart/2005/8/layout/cycle5"/>
    <dgm:cxn modelId="{CBAFD3E8-3391-4495-B6E5-7196D54A47EC}" type="presOf" srcId="{C2B4756B-BB58-4443-997D-D20083735880}" destId="{ADA5368E-7775-42AF-AC0D-7BFD4E650099}" srcOrd="0" destOrd="0" presId="urn:microsoft.com/office/officeart/2005/8/layout/cycle5"/>
    <dgm:cxn modelId="{1018272D-702B-4B87-87D8-559E14626071}" srcId="{FEED8AC5-345E-4BC7-A786-4582EE4CCD6C}" destId="{33CA8332-BF6C-4D99-84FA-4639C03EAD51}" srcOrd="1" destOrd="0" parTransId="{4EE44A94-0A8A-4CD6-A483-0EB5C9DE3937}" sibTransId="{C2B4756B-BB58-4443-997D-D20083735880}"/>
    <dgm:cxn modelId="{08D97712-4753-4C39-BAA2-842BD13B7D55}" type="presParOf" srcId="{FAA3F001-AD0B-4C9F-AD65-9AE557906291}" destId="{33ACDE43-ADDC-4FC3-9B08-DF253D20B300}" srcOrd="0" destOrd="0" presId="urn:microsoft.com/office/officeart/2005/8/layout/cycle5"/>
    <dgm:cxn modelId="{32F79988-9C14-4F2D-B485-6C6C2EBAA925}" type="presParOf" srcId="{FAA3F001-AD0B-4C9F-AD65-9AE557906291}" destId="{FA3C50A9-4A3B-4DBA-96D4-23A121687DA0}" srcOrd="1" destOrd="0" presId="urn:microsoft.com/office/officeart/2005/8/layout/cycle5"/>
    <dgm:cxn modelId="{88790501-404E-4440-8CB5-3D15513E3C25}" type="presParOf" srcId="{FAA3F001-AD0B-4C9F-AD65-9AE557906291}" destId="{29B74617-7D70-4700-81C7-15874828AB74}" srcOrd="2" destOrd="0" presId="urn:microsoft.com/office/officeart/2005/8/layout/cycle5"/>
    <dgm:cxn modelId="{ED3016B4-BC8C-4C33-A1AC-B6D4D3CC939D}" type="presParOf" srcId="{FAA3F001-AD0B-4C9F-AD65-9AE557906291}" destId="{681BB41A-A4E2-4F9B-BB88-CF998F6C2D2A}" srcOrd="3" destOrd="0" presId="urn:microsoft.com/office/officeart/2005/8/layout/cycle5"/>
    <dgm:cxn modelId="{CD57EA74-78B0-46FC-9B5A-17714AC73D36}" type="presParOf" srcId="{FAA3F001-AD0B-4C9F-AD65-9AE557906291}" destId="{8CE3E468-A673-4DFC-8008-F0707D42C138}" srcOrd="4" destOrd="0" presId="urn:microsoft.com/office/officeart/2005/8/layout/cycle5"/>
    <dgm:cxn modelId="{C2F2EB80-4A82-4B6F-8280-6F23D12B02AF}" type="presParOf" srcId="{FAA3F001-AD0B-4C9F-AD65-9AE557906291}" destId="{ADA5368E-7775-42AF-AC0D-7BFD4E650099}" srcOrd="5" destOrd="0" presId="urn:microsoft.com/office/officeart/2005/8/layout/cycle5"/>
    <dgm:cxn modelId="{80AE22C3-57A7-4C7B-B9A2-2D5869C4948C}" type="presParOf" srcId="{FAA3F001-AD0B-4C9F-AD65-9AE557906291}" destId="{9848EC78-0F50-4D8B-9F58-43150D9BF46D}" srcOrd="6" destOrd="0" presId="urn:microsoft.com/office/officeart/2005/8/layout/cycle5"/>
    <dgm:cxn modelId="{91CB2F98-A87C-4C47-A925-B44C597F1CE9}" type="presParOf" srcId="{FAA3F001-AD0B-4C9F-AD65-9AE557906291}" destId="{BDAF9979-EB80-4533-AEC9-A256A350B43B}" srcOrd="7" destOrd="0" presId="urn:microsoft.com/office/officeart/2005/8/layout/cycle5"/>
    <dgm:cxn modelId="{1A3CFC8A-6BC4-4D08-82E8-73018CB25E16}" type="presParOf" srcId="{FAA3F001-AD0B-4C9F-AD65-9AE557906291}" destId="{72466A70-1452-4FD1-8C25-177ACC3AF372}" srcOrd="8" destOrd="0" presId="urn:microsoft.com/office/officeart/2005/8/layout/cycle5"/>
    <dgm:cxn modelId="{0FEEFBD2-6962-48D0-A831-A29D1B608F5B}" type="presParOf" srcId="{FAA3F001-AD0B-4C9F-AD65-9AE557906291}" destId="{A235619B-38F4-41AB-9E6F-2708E9A5B95D}" srcOrd="9" destOrd="0" presId="urn:microsoft.com/office/officeart/2005/8/layout/cycle5"/>
    <dgm:cxn modelId="{C672998E-E456-4EBD-828F-2894F64D679E}" type="presParOf" srcId="{FAA3F001-AD0B-4C9F-AD65-9AE557906291}" destId="{D0D4EE92-C286-416A-A0CE-A91DB02172A4}" srcOrd="10" destOrd="0" presId="urn:microsoft.com/office/officeart/2005/8/layout/cycle5"/>
    <dgm:cxn modelId="{D37570B8-9BD9-438C-BAB0-748C558CB2DC}" type="presParOf" srcId="{FAA3F001-AD0B-4C9F-AD65-9AE557906291}" destId="{16A742EF-4DF4-438E-ACA6-83F86603BDD4}" srcOrd="11" destOrd="0" presId="urn:microsoft.com/office/officeart/2005/8/layout/cycle5"/>
    <dgm:cxn modelId="{6BCD0808-FDD4-4F65-8A1B-C65478E6090D}" type="presParOf" srcId="{FAA3F001-AD0B-4C9F-AD65-9AE557906291}" destId="{A7A6AA46-35DD-404E-9F58-B53C3021B31C}" srcOrd="12" destOrd="0" presId="urn:microsoft.com/office/officeart/2005/8/layout/cycle5"/>
    <dgm:cxn modelId="{ACCD40F1-EAAC-445D-B584-E211EC800FF8}" type="presParOf" srcId="{FAA3F001-AD0B-4C9F-AD65-9AE557906291}" destId="{40F03DA8-200A-4109-9810-D5CD54FFF3D3}" srcOrd="13" destOrd="0" presId="urn:microsoft.com/office/officeart/2005/8/layout/cycle5"/>
    <dgm:cxn modelId="{FC0A3166-8D88-46FC-9BD6-F206D7D58377}" type="presParOf" srcId="{FAA3F001-AD0B-4C9F-AD65-9AE557906291}" destId="{7405E44D-CEA1-4D80-8053-7A7139BD205D}" srcOrd="14" destOrd="0" presId="urn:microsoft.com/office/officeart/2005/8/layout/cycle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91FA95-07A8-4F86-9BA7-EF3C08FA8335}">
      <dsp:nvSpPr>
        <dsp:cNvPr id="0" name=""/>
        <dsp:cNvSpPr/>
      </dsp:nvSpPr>
      <dsp:spPr>
        <a:xfrm>
          <a:off x="2402304" y="5829391"/>
          <a:ext cx="168965" cy="91440"/>
        </a:xfrm>
        <a:custGeom>
          <a:avLst/>
          <a:gdLst/>
          <a:ahLst/>
          <a:cxnLst/>
          <a:rect l="0" t="0" r="0" b="0"/>
          <a:pathLst>
            <a:path>
              <a:moveTo>
                <a:pt x="0" y="45720"/>
              </a:moveTo>
              <a:lnTo>
                <a:pt x="76058" y="45720"/>
              </a:lnTo>
              <a:lnTo>
                <a:pt x="76058" y="46604"/>
              </a:lnTo>
              <a:lnTo>
                <a:pt x="206139" y="46604"/>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61F4B64-AB09-4CC9-A4B0-93231E9FF64B}">
      <dsp:nvSpPr>
        <dsp:cNvPr id="0" name=""/>
        <dsp:cNvSpPr/>
      </dsp:nvSpPr>
      <dsp:spPr>
        <a:xfrm>
          <a:off x="2402091" y="6770045"/>
          <a:ext cx="156722" cy="91440"/>
        </a:xfrm>
        <a:custGeom>
          <a:avLst/>
          <a:gdLst/>
          <a:ahLst/>
          <a:cxnLst/>
          <a:rect l="0" t="0" r="0" b="0"/>
          <a:pathLst>
            <a:path>
              <a:moveTo>
                <a:pt x="0" y="48778"/>
              </a:moveTo>
              <a:lnTo>
                <a:pt x="214204" y="48778"/>
              </a:lnTo>
              <a:lnTo>
                <a:pt x="214204" y="45720"/>
              </a:lnTo>
              <a:lnTo>
                <a:pt x="344284" y="45720"/>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4E7C59-9151-463C-9C71-0F8735A9C73F}">
      <dsp:nvSpPr>
        <dsp:cNvPr id="0" name=""/>
        <dsp:cNvSpPr/>
      </dsp:nvSpPr>
      <dsp:spPr>
        <a:xfrm>
          <a:off x="2328512" y="2195743"/>
          <a:ext cx="641135" cy="2848952"/>
        </a:xfrm>
        <a:custGeom>
          <a:avLst/>
          <a:gdLst/>
          <a:ahLst/>
          <a:cxnLst/>
          <a:rect l="0" t="0" r="0" b="0"/>
          <a:pathLst>
            <a:path>
              <a:moveTo>
                <a:pt x="0" y="0"/>
              </a:moveTo>
              <a:lnTo>
                <a:pt x="508488" y="0"/>
              </a:lnTo>
              <a:lnTo>
                <a:pt x="508488" y="2848952"/>
              </a:lnTo>
              <a:lnTo>
                <a:pt x="641135" y="2848952"/>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9AD1E2E-BA03-4EDC-8739-7161E51E97E8}">
      <dsp:nvSpPr>
        <dsp:cNvPr id="0" name=""/>
        <dsp:cNvSpPr/>
      </dsp:nvSpPr>
      <dsp:spPr>
        <a:xfrm>
          <a:off x="2328512" y="2195743"/>
          <a:ext cx="632500" cy="2321702"/>
        </a:xfrm>
        <a:custGeom>
          <a:avLst/>
          <a:gdLst/>
          <a:ahLst/>
          <a:cxnLst/>
          <a:rect l="0" t="0" r="0" b="0"/>
          <a:pathLst>
            <a:path>
              <a:moveTo>
                <a:pt x="0" y="0"/>
              </a:moveTo>
              <a:lnTo>
                <a:pt x="499853" y="0"/>
              </a:lnTo>
              <a:lnTo>
                <a:pt x="499853" y="2321702"/>
              </a:lnTo>
              <a:lnTo>
                <a:pt x="632500" y="2321702"/>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41CD825-5D1F-41BE-AC19-D0ADC3E19B85}">
      <dsp:nvSpPr>
        <dsp:cNvPr id="0" name=""/>
        <dsp:cNvSpPr/>
      </dsp:nvSpPr>
      <dsp:spPr>
        <a:xfrm>
          <a:off x="2328512" y="2195743"/>
          <a:ext cx="623878" cy="1777200"/>
        </a:xfrm>
        <a:custGeom>
          <a:avLst/>
          <a:gdLst/>
          <a:ahLst/>
          <a:cxnLst/>
          <a:rect l="0" t="0" r="0" b="0"/>
          <a:pathLst>
            <a:path>
              <a:moveTo>
                <a:pt x="0" y="0"/>
              </a:moveTo>
              <a:lnTo>
                <a:pt x="491231" y="0"/>
              </a:lnTo>
              <a:lnTo>
                <a:pt x="491231" y="1777200"/>
              </a:lnTo>
              <a:lnTo>
                <a:pt x="623878" y="1777200"/>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3C8A01-7FC4-4339-93B4-641F4881A665}">
      <dsp:nvSpPr>
        <dsp:cNvPr id="0" name=""/>
        <dsp:cNvSpPr/>
      </dsp:nvSpPr>
      <dsp:spPr>
        <a:xfrm>
          <a:off x="2328512" y="2195743"/>
          <a:ext cx="623878" cy="1224074"/>
        </a:xfrm>
        <a:custGeom>
          <a:avLst/>
          <a:gdLst/>
          <a:ahLst/>
          <a:cxnLst/>
          <a:rect l="0" t="0" r="0" b="0"/>
          <a:pathLst>
            <a:path>
              <a:moveTo>
                <a:pt x="0" y="0"/>
              </a:moveTo>
              <a:lnTo>
                <a:pt x="491231" y="0"/>
              </a:lnTo>
              <a:lnTo>
                <a:pt x="491231" y="1224074"/>
              </a:lnTo>
              <a:lnTo>
                <a:pt x="623878" y="1224074"/>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344278C-1C15-4633-8382-B8184C5D20A7}">
      <dsp:nvSpPr>
        <dsp:cNvPr id="0" name=""/>
        <dsp:cNvSpPr/>
      </dsp:nvSpPr>
      <dsp:spPr>
        <a:xfrm>
          <a:off x="2328512" y="2195743"/>
          <a:ext cx="615256" cy="679568"/>
        </a:xfrm>
        <a:custGeom>
          <a:avLst/>
          <a:gdLst/>
          <a:ahLst/>
          <a:cxnLst/>
          <a:rect l="0" t="0" r="0" b="0"/>
          <a:pathLst>
            <a:path>
              <a:moveTo>
                <a:pt x="0" y="0"/>
              </a:moveTo>
              <a:lnTo>
                <a:pt x="482609" y="0"/>
              </a:lnTo>
              <a:lnTo>
                <a:pt x="482609" y="679568"/>
              </a:lnTo>
              <a:lnTo>
                <a:pt x="615256" y="679568"/>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6F72EC4-FADA-4596-BB1F-5F3CB305CBBC}">
      <dsp:nvSpPr>
        <dsp:cNvPr id="0" name=""/>
        <dsp:cNvSpPr/>
      </dsp:nvSpPr>
      <dsp:spPr>
        <a:xfrm>
          <a:off x="2328512" y="2195743"/>
          <a:ext cx="623878" cy="152318"/>
        </a:xfrm>
        <a:custGeom>
          <a:avLst/>
          <a:gdLst/>
          <a:ahLst/>
          <a:cxnLst/>
          <a:rect l="0" t="0" r="0" b="0"/>
          <a:pathLst>
            <a:path>
              <a:moveTo>
                <a:pt x="0" y="0"/>
              </a:moveTo>
              <a:lnTo>
                <a:pt x="491231" y="0"/>
              </a:lnTo>
              <a:lnTo>
                <a:pt x="491231" y="152318"/>
              </a:lnTo>
              <a:lnTo>
                <a:pt x="623878" y="152318"/>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CBE496-278A-420E-9E75-4AC10667AB78}">
      <dsp:nvSpPr>
        <dsp:cNvPr id="0" name=""/>
        <dsp:cNvSpPr/>
      </dsp:nvSpPr>
      <dsp:spPr>
        <a:xfrm>
          <a:off x="2328512" y="1829448"/>
          <a:ext cx="623878" cy="366294"/>
        </a:xfrm>
        <a:custGeom>
          <a:avLst/>
          <a:gdLst/>
          <a:ahLst/>
          <a:cxnLst/>
          <a:rect l="0" t="0" r="0" b="0"/>
          <a:pathLst>
            <a:path>
              <a:moveTo>
                <a:pt x="0" y="366294"/>
              </a:moveTo>
              <a:lnTo>
                <a:pt x="491231" y="366294"/>
              </a:lnTo>
              <a:lnTo>
                <a:pt x="491231" y="0"/>
              </a:lnTo>
              <a:lnTo>
                <a:pt x="623878" y="0"/>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02370CA-2B92-4E6C-A48A-8DE33E2E6999}">
      <dsp:nvSpPr>
        <dsp:cNvPr id="0" name=""/>
        <dsp:cNvSpPr/>
      </dsp:nvSpPr>
      <dsp:spPr>
        <a:xfrm>
          <a:off x="2328512" y="1284943"/>
          <a:ext cx="623878" cy="910799"/>
        </a:xfrm>
        <a:custGeom>
          <a:avLst/>
          <a:gdLst/>
          <a:ahLst/>
          <a:cxnLst/>
          <a:rect l="0" t="0" r="0" b="0"/>
          <a:pathLst>
            <a:path>
              <a:moveTo>
                <a:pt x="0" y="910799"/>
              </a:moveTo>
              <a:lnTo>
                <a:pt x="491231" y="910799"/>
              </a:lnTo>
              <a:lnTo>
                <a:pt x="491231" y="0"/>
              </a:lnTo>
              <a:lnTo>
                <a:pt x="623878" y="0"/>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FAB7418-62A9-4330-B0DC-4A97A972AF6E}">
      <dsp:nvSpPr>
        <dsp:cNvPr id="0" name=""/>
        <dsp:cNvSpPr/>
      </dsp:nvSpPr>
      <dsp:spPr>
        <a:xfrm>
          <a:off x="2328512" y="740438"/>
          <a:ext cx="623878" cy="1455304"/>
        </a:xfrm>
        <a:custGeom>
          <a:avLst/>
          <a:gdLst/>
          <a:ahLst/>
          <a:cxnLst/>
          <a:rect l="0" t="0" r="0" b="0"/>
          <a:pathLst>
            <a:path>
              <a:moveTo>
                <a:pt x="0" y="1455304"/>
              </a:moveTo>
              <a:lnTo>
                <a:pt x="491231" y="1455304"/>
              </a:lnTo>
              <a:lnTo>
                <a:pt x="491231" y="0"/>
              </a:lnTo>
              <a:lnTo>
                <a:pt x="623878" y="0"/>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B5AEAA-9A6F-4CF0-BAC6-B6FB9D95C4F0}">
      <dsp:nvSpPr>
        <dsp:cNvPr id="0" name=""/>
        <dsp:cNvSpPr/>
      </dsp:nvSpPr>
      <dsp:spPr>
        <a:xfrm>
          <a:off x="2328512" y="204558"/>
          <a:ext cx="623878" cy="1991184"/>
        </a:xfrm>
        <a:custGeom>
          <a:avLst/>
          <a:gdLst/>
          <a:ahLst/>
          <a:cxnLst/>
          <a:rect l="0" t="0" r="0" b="0"/>
          <a:pathLst>
            <a:path>
              <a:moveTo>
                <a:pt x="0" y="1991184"/>
              </a:moveTo>
              <a:lnTo>
                <a:pt x="491231" y="1991184"/>
              </a:lnTo>
              <a:lnTo>
                <a:pt x="491231" y="0"/>
              </a:lnTo>
              <a:lnTo>
                <a:pt x="623878" y="0"/>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F775580-540F-4B84-B8AB-73A627E9909C}">
      <dsp:nvSpPr>
        <dsp:cNvPr id="0" name=""/>
        <dsp:cNvSpPr/>
      </dsp:nvSpPr>
      <dsp:spPr>
        <a:xfrm>
          <a:off x="161924" y="1682016"/>
          <a:ext cx="2166588" cy="1027453"/>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hu-HU" sz="1600" kern="1200"/>
            <a:t>216/2008/EK rendelet</a:t>
          </a:r>
        </a:p>
        <a:p>
          <a:pPr lvl="0" algn="ctr" defTabSz="711200">
            <a:lnSpc>
              <a:spcPct val="90000"/>
            </a:lnSpc>
            <a:spcBef>
              <a:spcPct val="0"/>
            </a:spcBef>
            <a:spcAft>
              <a:spcPct val="35000"/>
            </a:spcAft>
          </a:pPr>
          <a:r>
            <a:rPr lang="hu-HU" sz="900" b="1" kern="1200">
              <a:solidFill>
                <a:sysClr val="window" lastClr="FFFFFF"/>
              </a:solidFill>
              <a:latin typeface="Calibri"/>
              <a:ea typeface="+mn-ea"/>
            </a:rPr>
            <a:t>a polgári repülés területén közös szabályok és az Európai Repülésbiztonsági Ügynökség létrehozása</a:t>
          </a:r>
        </a:p>
      </dsp:txBody>
      <dsp:txXfrm>
        <a:off x="161924" y="1682016"/>
        <a:ext cx="2166588" cy="1027453"/>
      </dsp:txXfrm>
    </dsp:sp>
    <dsp:sp modelId="{49FEF465-5A0A-407A-BBCA-D8C08ABEB352}">
      <dsp:nvSpPr>
        <dsp:cNvPr id="0" name=""/>
        <dsp:cNvSpPr/>
      </dsp:nvSpPr>
      <dsp:spPr>
        <a:xfrm>
          <a:off x="2952391" y="2271"/>
          <a:ext cx="1987621"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748/2012/EU és (EU) 2015/640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első légi alkalmasság</a:t>
          </a:r>
        </a:p>
      </dsp:txBody>
      <dsp:txXfrm>
        <a:off x="2952391" y="2271"/>
        <a:ext cx="1987621" cy="404573"/>
      </dsp:txXfrm>
    </dsp:sp>
    <dsp:sp modelId="{36610014-399F-4BEA-88C0-F11869A37483}">
      <dsp:nvSpPr>
        <dsp:cNvPr id="0" name=""/>
        <dsp:cNvSpPr/>
      </dsp:nvSpPr>
      <dsp:spPr>
        <a:xfrm>
          <a:off x="2952391" y="538151"/>
          <a:ext cx="1970364"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1321/2014/EU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folyamatos légi alkalmasság</a:t>
          </a:r>
        </a:p>
      </dsp:txBody>
      <dsp:txXfrm>
        <a:off x="2952391" y="538151"/>
        <a:ext cx="1970364" cy="404573"/>
      </dsp:txXfrm>
    </dsp:sp>
    <dsp:sp modelId="{63026C22-92C5-415A-A74B-D68815B39986}">
      <dsp:nvSpPr>
        <dsp:cNvPr id="0" name=""/>
        <dsp:cNvSpPr/>
      </dsp:nvSpPr>
      <dsp:spPr>
        <a:xfrm>
          <a:off x="2952391" y="1082657"/>
          <a:ext cx="1964514"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1178/2011/EU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repülőszemélyzet</a:t>
          </a:r>
        </a:p>
      </dsp:txBody>
      <dsp:txXfrm>
        <a:off x="2952391" y="1082657"/>
        <a:ext cx="1964514" cy="404573"/>
      </dsp:txXfrm>
    </dsp:sp>
    <dsp:sp modelId="{C3B6F221-4D4D-4E92-9892-5DCFB0E500D4}">
      <dsp:nvSpPr>
        <dsp:cNvPr id="0" name=""/>
        <dsp:cNvSpPr/>
      </dsp:nvSpPr>
      <dsp:spPr>
        <a:xfrm>
          <a:off x="2952391" y="1627162"/>
          <a:ext cx="1987621"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965/2012/EU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légi jármű üzemben tartása</a:t>
          </a:r>
        </a:p>
      </dsp:txBody>
      <dsp:txXfrm>
        <a:off x="2952391" y="1627162"/>
        <a:ext cx="1987621" cy="404573"/>
      </dsp:txXfrm>
    </dsp:sp>
    <dsp:sp modelId="{6AED6600-CA68-46F9-A9D2-A026EB06B368}">
      <dsp:nvSpPr>
        <dsp:cNvPr id="0" name=""/>
        <dsp:cNvSpPr/>
      </dsp:nvSpPr>
      <dsp:spPr>
        <a:xfrm>
          <a:off x="2952391" y="2145775"/>
          <a:ext cx="1970364"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452/2014/EU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harmadik országbeli üzemeltetők</a:t>
          </a:r>
        </a:p>
      </dsp:txBody>
      <dsp:txXfrm>
        <a:off x="2952391" y="2145775"/>
        <a:ext cx="1970364" cy="404573"/>
      </dsp:txXfrm>
    </dsp:sp>
    <dsp:sp modelId="{29E84A01-933E-4AF5-8EEE-27B1536DA36E}">
      <dsp:nvSpPr>
        <dsp:cNvPr id="0" name=""/>
        <dsp:cNvSpPr/>
      </dsp:nvSpPr>
      <dsp:spPr>
        <a:xfrm>
          <a:off x="2943769" y="2673025"/>
          <a:ext cx="1947562"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139/2014/EU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repülőterek</a:t>
          </a:r>
          <a:endParaRPr lang="hu-HU" sz="800" kern="1200"/>
        </a:p>
      </dsp:txBody>
      <dsp:txXfrm>
        <a:off x="2943769" y="2673025"/>
        <a:ext cx="1947562" cy="404573"/>
      </dsp:txXfrm>
    </dsp:sp>
    <dsp:sp modelId="{37FE35B5-4BFB-46FF-A2C4-1C90C04FE094}">
      <dsp:nvSpPr>
        <dsp:cNvPr id="0" name=""/>
        <dsp:cNvSpPr/>
      </dsp:nvSpPr>
      <dsp:spPr>
        <a:xfrm>
          <a:off x="2952391" y="3217530"/>
          <a:ext cx="1930317"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1034/2011/EU és 1035/2011/EU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légiforgalmi szolgáltatások / léginavigációs szolgálatok (ATM/ANS)</a:t>
          </a:r>
        </a:p>
      </dsp:txBody>
      <dsp:txXfrm>
        <a:off x="2952391" y="3217530"/>
        <a:ext cx="1930317" cy="404573"/>
      </dsp:txXfrm>
    </dsp:sp>
    <dsp:sp modelId="{38732D4B-FA22-4CFF-95DD-203DCB3CB616}">
      <dsp:nvSpPr>
        <dsp:cNvPr id="0" name=""/>
        <dsp:cNvSpPr/>
      </dsp:nvSpPr>
      <dsp:spPr>
        <a:xfrm>
          <a:off x="2952391" y="3770657"/>
          <a:ext cx="1930317"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1332/2011/EU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levegőben történő ütközések elhárítása</a:t>
          </a:r>
        </a:p>
      </dsp:txBody>
      <dsp:txXfrm>
        <a:off x="2952391" y="3770657"/>
        <a:ext cx="1930317" cy="404573"/>
      </dsp:txXfrm>
    </dsp:sp>
    <dsp:sp modelId="{F8293A38-79B2-463B-9B77-B5E40ABBE618}">
      <dsp:nvSpPr>
        <dsp:cNvPr id="0" name=""/>
        <dsp:cNvSpPr/>
      </dsp:nvSpPr>
      <dsp:spPr>
        <a:xfrm>
          <a:off x="2961013" y="4315158"/>
          <a:ext cx="1913060"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923/2012/EU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egységesített európai repülései szabályok (SERA)</a:t>
          </a:r>
        </a:p>
      </dsp:txBody>
      <dsp:txXfrm>
        <a:off x="2961013" y="4315158"/>
        <a:ext cx="1913060" cy="404573"/>
      </dsp:txXfrm>
    </dsp:sp>
    <dsp:sp modelId="{1D2FE197-C4D0-424C-9E7D-9759ED322B23}">
      <dsp:nvSpPr>
        <dsp:cNvPr id="0" name=""/>
        <dsp:cNvSpPr/>
      </dsp:nvSpPr>
      <dsp:spPr>
        <a:xfrm>
          <a:off x="2969648" y="4842408"/>
          <a:ext cx="1895803"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u-HU" sz="800" kern="1200"/>
            <a:t>(EU) 2015/340 rendelet</a:t>
          </a:r>
        </a:p>
        <a:p>
          <a:pPr lvl="0" algn="ctr" defTabSz="355600">
            <a:lnSpc>
              <a:spcPct val="90000"/>
            </a:lnSpc>
            <a:spcBef>
              <a:spcPct val="0"/>
            </a:spcBef>
            <a:spcAft>
              <a:spcPct val="35000"/>
            </a:spcAft>
          </a:pPr>
          <a:r>
            <a:rPr lang="hu-HU" sz="800" b="1" kern="1200">
              <a:solidFill>
                <a:sysClr val="window" lastClr="FFFFFF"/>
              </a:solidFill>
              <a:latin typeface="Calibri"/>
              <a:ea typeface="+mn-ea"/>
            </a:rPr>
            <a:t>légiforgalmi irányítói szakszolgálati engedélyek és tanúsítványok</a:t>
          </a:r>
        </a:p>
      </dsp:txBody>
      <dsp:txXfrm>
        <a:off x="2969648" y="4842408"/>
        <a:ext cx="1895803" cy="404573"/>
      </dsp:txXfrm>
    </dsp:sp>
    <dsp:sp modelId="{E8BA067C-6329-4A2A-8893-67963C42A31D}">
      <dsp:nvSpPr>
        <dsp:cNvPr id="0" name=""/>
        <dsp:cNvSpPr/>
      </dsp:nvSpPr>
      <dsp:spPr>
        <a:xfrm>
          <a:off x="149044" y="4411629"/>
          <a:ext cx="1629156" cy="912603"/>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hu-HU" sz="1400" kern="1200"/>
            <a:t>996/2010/EU rendelet</a:t>
          </a:r>
        </a:p>
        <a:p>
          <a:pPr lvl="0" algn="ctr" defTabSz="622300">
            <a:lnSpc>
              <a:spcPct val="90000"/>
            </a:lnSpc>
            <a:spcBef>
              <a:spcPct val="0"/>
            </a:spcBef>
            <a:spcAft>
              <a:spcPct val="35000"/>
            </a:spcAft>
          </a:pPr>
          <a:r>
            <a:rPr lang="hu-HU" sz="800" b="1" kern="1200">
              <a:solidFill>
                <a:sysClr val="window" lastClr="FFFFFF"/>
              </a:solidFill>
              <a:latin typeface="Calibri"/>
              <a:ea typeface="+mn-ea"/>
            </a:rPr>
            <a:t>polgári repülési balesetek és repülőesemények vizsgálata és megelőzése</a:t>
          </a:r>
        </a:p>
      </dsp:txBody>
      <dsp:txXfrm>
        <a:off x="149044" y="4411629"/>
        <a:ext cx="1629156" cy="912603"/>
      </dsp:txXfrm>
    </dsp:sp>
    <dsp:sp modelId="{C9FEF676-4D24-4665-A8BD-96550AD22F79}">
      <dsp:nvSpPr>
        <dsp:cNvPr id="0" name=""/>
        <dsp:cNvSpPr/>
      </dsp:nvSpPr>
      <dsp:spPr>
        <a:xfrm>
          <a:off x="180972" y="6415992"/>
          <a:ext cx="2221119" cy="805792"/>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hu-HU" sz="1600" kern="1200"/>
            <a:t>2111/2005/EK rendelet</a:t>
          </a:r>
        </a:p>
        <a:p>
          <a:pPr lvl="0" algn="ctr" defTabSz="711200">
            <a:lnSpc>
              <a:spcPct val="90000"/>
            </a:lnSpc>
            <a:spcBef>
              <a:spcPct val="0"/>
            </a:spcBef>
            <a:spcAft>
              <a:spcPct val="35000"/>
            </a:spcAft>
          </a:pPr>
          <a:r>
            <a:rPr lang="hu-HU" sz="900" b="1" kern="1200">
              <a:solidFill>
                <a:sysClr val="window" lastClr="FFFFFF"/>
              </a:solidFill>
              <a:latin typeface="Calibri"/>
              <a:ea typeface="+mn-ea"/>
            </a:rPr>
            <a:t>a Közösségen belül működési tilalom alá tartozó légi fuvarozók közösségi listája</a:t>
          </a:r>
        </a:p>
      </dsp:txBody>
      <dsp:txXfrm>
        <a:off x="180972" y="6415992"/>
        <a:ext cx="2221119" cy="805792"/>
      </dsp:txXfrm>
    </dsp:sp>
    <dsp:sp modelId="{BCF4DB2A-5F22-45E5-9B75-F2E029A4EDB9}">
      <dsp:nvSpPr>
        <dsp:cNvPr id="0" name=""/>
        <dsp:cNvSpPr/>
      </dsp:nvSpPr>
      <dsp:spPr>
        <a:xfrm>
          <a:off x="2558814" y="6613478"/>
          <a:ext cx="1631411" cy="404573"/>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hu-HU" sz="1400" kern="1200"/>
            <a:t>473/2006/EK rendelet</a:t>
          </a:r>
        </a:p>
        <a:p>
          <a:pPr lvl="0" algn="ctr" defTabSz="622300">
            <a:lnSpc>
              <a:spcPct val="90000"/>
            </a:lnSpc>
            <a:spcBef>
              <a:spcPct val="0"/>
            </a:spcBef>
            <a:spcAft>
              <a:spcPct val="35000"/>
            </a:spcAft>
          </a:pPr>
          <a:r>
            <a:rPr lang="hu-HU" sz="700" b="1" kern="1200">
              <a:solidFill>
                <a:sysClr val="window" lastClr="FFFFFF"/>
              </a:solidFill>
              <a:latin typeface="Calibri"/>
              <a:ea typeface="+mn-ea"/>
            </a:rPr>
            <a:t>a közösségi lista szabályai</a:t>
          </a:r>
        </a:p>
      </dsp:txBody>
      <dsp:txXfrm>
        <a:off x="2558814" y="6613478"/>
        <a:ext cx="1631411" cy="404573"/>
      </dsp:txXfrm>
    </dsp:sp>
    <dsp:sp modelId="{3715B55E-095D-4A85-9BEE-BAE59E1C6F88}">
      <dsp:nvSpPr>
        <dsp:cNvPr id="0" name=""/>
        <dsp:cNvSpPr/>
      </dsp:nvSpPr>
      <dsp:spPr>
        <a:xfrm>
          <a:off x="168092" y="5497800"/>
          <a:ext cx="2234212" cy="809967"/>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hu-HU" sz="1600" kern="1200"/>
            <a:t>376/2014/EU rendelet</a:t>
          </a:r>
        </a:p>
        <a:p>
          <a:pPr lvl="0" algn="ctr" defTabSz="711200">
            <a:lnSpc>
              <a:spcPct val="90000"/>
            </a:lnSpc>
            <a:spcBef>
              <a:spcPct val="0"/>
            </a:spcBef>
            <a:spcAft>
              <a:spcPct val="35000"/>
            </a:spcAft>
          </a:pPr>
          <a:r>
            <a:rPr lang="hu-HU" sz="900" b="1" kern="1200">
              <a:solidFill>
                <a:sysClr val="window" lastClr="FFFFFF"/>
              </a:solidFill>
              <a:latin typeface="Calibri"/>
              <a:ea typeface="+mn-ea"/>
            </a:rPr>
            <a:t>események jelentése, elemzése és nyomon követése a polgári repülésben</a:t>
          </a:r>
        </a:p>
      </dsp:txBody>
      <dsp:txXfrm>
        <a:off x="168092" y="5497800"/>
        <a:ext cx="2234212" cy="809967"/>
      </dsp:txXfrm>
    </dsp:sp>
    <dsp:sp modelId="{CDB3FF79-FB15-41C3-A2B2-0495D42374EF}">
      <dsp:nvSpPr>
        <dsp:cNvPr id="0" name=""/>
        <dsp:cNvSpPr/>
      </dsp:nvSpPr>
      <dsp:spPr>
        <a:xfrm>
          <a:off x="2571269" y="5670352"/>
          <a:ext cx="1580700" cy="409517"/>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u-HU" sz="1200" kern="1200"/>
            <a:t>(EU) 2015/1018 rendelet</a:t>
          </a:r>
        </a:p>
        <a:p>
          <a:pPr lvl="0" algn="ctr" defTabSz="533400">
            <a:lnSpc>
              <a:spcPct val="90000"/>
            </a:lnSpc>
            <a:spcBef>
              <a:spcPct val="0"/>
            </a:spcBef>
            <a:spcAft>
              <a:spcPct val="35000"/>
            </a:spcAft>
          </a:pPr>
          <a:r>
            <a:rPr lang="hu-HU" sz="600" b="1" kern="1200">
              <a:solidFill>
                <a:sysClr val="window" lastClr="FFFFFF"/>
              </a:solidFill>
              <a:latin typeface="Calibri"/>
              <a:ea typeface="+mn-ea"/>
            </a:rPr>
            <a:t>események besorolása</a:t>
          </a:r>
        </a:p>
      </dsp:txBody>
      <dsp:txXfrm>
        <a:off x="2571269" y="5670352"/>
        <a:ext cx="1580700" cy="4095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ACDE43-ADDC-4FC3-9B08-DF253D20B300}">
      <dsp:nvSpPr>
        <dsp:cNvPr id="0" name=""/>
        <dsp:cNvSpPr/>
      </dsp:nvSpPr>
      <dsp:spPr>
        <a:xfrm>
          <a:off x="1901046" y="-19422"/>
          <a:ext cx="1461671" cy="950086"/>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1. Repülésbiztonsági problémák azonosítása</a:t>
          </a:r>
        </a:p>
      </dsp:txBody>
      <dsp:txXfrm>
        <a:off x="1947425" y="26957"/>
        <a:ext cx="1368913" cy="857328"/>
      </dsp:txXfrm>
    </dsp:sp>
    <dsp:sp modelId="{29B74617-7D70-4700-81C7-15874828AB74}">
      <dsp:nvSpPr>
        <dsp:cNvPr id="0" name=""/>
        <dsp:cNvSpPr/>
      </dsp:nvSpPr>
      <dsp:spPr>
        <a:xfrm>
          <a:off x="906101" y="455620"/>
          <a:ext cx="3451561" cy="3451561"/>
        </a:xfrm>
        <a:custGeom>
          <a:avLst/>
          <a:gdLst/>
          <a:ahLst/>
          <a:cxnLst/>
          <a:rect l="0" t="0" r="0" b="0"/>
          <a:pathLst>
            <a:path>
              <a:moveTo>
                <a:pt x="2610237" y="243871"/>
              </a:moveTo>
              <a:arcTo wR="1725780" hR="1725780" stAng="18049816" swAng="1058514"/>
            </a:path>
          </a:pathLst>
        </a:custGeom>
        <a:noFill/>
        <a:ln w="25400" cap="flat" cmpd="sng" algn="ctr">
          <a:solidFill>
            <a:schemeClr val="accent5"/>
          </a:solidFill>
          <a:prstDash val="solid"/>
          <a:tailEnd type="arrow"/>
        </a:ln>
        <a:effectLst>
          <a:outerShdw blurRad="40000" dist="20000" dir="5400000" rotWithShape="0">
            <a:srgbClr val="000000">
              <a:alpha val="38000"/>
            </a:srgbClr>
          </a:outerShdw>
        </a:effectLst>
      </dsp:spPr>
      <dsp:style>
        <a:lnRef idx="2">
          <a:schemeClr val="accent5"/>
        </a:lnRef>
        <a:fillRef idx="0">
          <a:schemeClr val="accent5"/>
        </a:fillRef>
        <a:effectRef idx="1">
          <a:schemeClr val="accent5"/>
        </a:effectRef>
        <a:fontRef idx="minor">
          <a:schemeClr val="tx1"/>
        </a:fontRef>
      </dsp:style>
    </dsp:sp>
    <dsp:sp modelId="{681BB41A-A4E2-4F9B-BB88-CF998F6C2D2A}">
      <dsp:nvSpPr>
        <dsp:cNvPr id="0" name=""/>
        <dsp:cNvSpPr/>
      </dsp:nvSpPr>
      <dsp:spPr>
        <a:xfrm>
          <a:off x="3542361" y="1173062"/>
          <a:ext cx="1461671" cy="950086"/>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2. Repülésbiztonsági problémák értékelése</a:t>
          </a:r>
        </a:p>
      </dsp:txBody>
      <dsp:txXfrm>
        <a:off x="3588740" y="1219441"/>
        <a:ext cx="1368913" cy="857328"/>
      </dsp:txXfrm>
    </dsp:sp>
    <dsp:sp modelId="{ADA5368E-7775-42AF-AC0D-7BFD4E650099}">
      <dsp:nvSpPr>
        <dsp:cNvPr id="0" name=""/>
        <dsp:cNvSpPr/>
      </dsp:nvSpPr>
      <dsp:spPr>
        <a:xfrm>
          <a:off x="906101" y="455620"/>
          <a:ext cx="3451561" cy="3451561"/>
        </a:xfrm>
        <a:custGeom>
          <a:avLst/>
          <a:gdLst/>
          <a:ahLst/>
          <a:cxnLst/>
          <a:rect l="0" t="0" r="0" b="0"/>
          <a:pathLst>
            <a:path>
              <a:moveTo>
                <a:pt x="3445500" y="1870291"/>
              </a:moveTo>
              <a:arcTo wR="1725780" hR="1725780" stAng="21888203" swAng="1243102"/>
            </a:path>
          </a:pathLst>
        </a:custGeom>
        <a:noFill/>
        <a:ln w="25400" cap="flat" cmpd="sng" algn="ctr">
          <a:solidFill>
            <a:schemeClr val="accent5"/>
          </a:solidFill>
          <a:prstDash val="solid"/>
          <a:tailEnd type="arrow"/>
        </a:ln>
        <a:effectLst>
          <a:outerShdw blurRad="40000" dist="20000" dir="5400000" rotWithShape="0">
            <a:srgbClr val="000000">
              <a:alpha val="38000"/>
            </a:srgbClr>
          </a:outerShdw>
        </a:effectLst>
      </dsp:spPr>
      <dsp:style>
        <a:lnRef idx="2">
          <a:schemeClr val="accent5"/>
        </a:lnRef>
        <a:fillRef idx="0">
          <a:schemeClr val="accent5"/>
        </a:fillRef>
        <a:effectRef idx="1">
          <a:schemeClr val="accent5"/>
        </a:effectRef>
        <a:fontRef idx="minor">
          <a:schemeClr val="tx1"/>
        </a:fontRef>
      </dsp:style>
    </dsp:sp>
    <dsp:sp modelId="{9848EC78-0F50-4D8B-9F58-43150D9BF46D}">
      <dsp:nvSpPr>
        <dsp:cNvPr id="0" name=""/>
        <dsp:cNvSpPr/>
      </dsp:nvSpPr>
      <dsp:spPr>
        <a:xfrm>
          <a:off x="2915434" y="3102543"/>
          <a:ext cx="1461671" cy="950086"/>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3. Repülésbiztonsági intézkedések meghatározása és programozása</a:t>
          </a:r>
        </a:p>
      </dsp:txBody>
      <dsp:txXfrm>
        <a:off x="2961813" y="3148922"/>
        <a:ext cx="1368913" cy="857328"/>
      </dsp:txXfrm>
    </dsp:sp>
    <dsp:sp modelId="{72466A70-1452-4FD1-8C25-177ACC3AF372}">
      <dsp:nvSpPr>
        <dsp:cNvPr id="0" name=""/>
        <dsp:cNvSpPr/>
      </dsp:nvSpPr>
      <dsp:spPr>
        <a:xfrm>
          <a:off x="906101" y="455620"/>
          <a:ext cx="3451561" cy="3451561"/>
        </a:xfrm>
        <a:custGeom>
          <a:avLst/>
          <a:gdLst/>
          <a:ahLst/>
          <a:cxnLst/>
          <a:rect l="0" t="0" r="0" b="0"/>
          <a:pathLst>
            <a:path>
              <a:moveTo>
                <a:pt x="1896922" y="3443054"/>
              </a:moveTo>
              <a:arcTo wR="1725780" hR="1725780" stAng="5058526" swAng="682949"/>
            </a:path>
          </a:pathLst>
        </a:custGeom>
        <a:noFill/>
        <a:ln w="25400" cap="flat" cmpd="sng" algn="ctr">
          <a:solidFill>
            <a:schemeClr val="accent5"/>
          </a:solidFill>
          <a:prstDash val="solid"/>
          <a:tailEnd type="arrow"/>
        </a:ln>
        <a:effectLst>
          <a:outerShdw blurRad="40000" dist="20000" dir="5400000" rotWithShape="0">
            <a:srgbClr val="000000">
              <a:alpha val="38000"/>
            </a:srgbClr>
          </a:outerShdw>
        </a:effectLst>
      </dsp:spPr>
      <dsp:style>
        <a:lnRef idx="2">
          <a:schemeClr val="accent5"/>
        </a:lnRef>
        <a:fillRef idx="0">
          <a:schemeClr val="accent5"/>
        </a:fillRef>
        <a:effectRef idx="1">
          <a:schemeClr val="accent5"/>
        </a:effectRef>
        <a:fontRef idx="minor">
          <a:schemeClr val="tx1"/>
        </a:fontRef>
      </dsp:style>
    </dsp:sp>
    <dsp:sp modelId="{A235619B-38F4-41AB-9E6F-2708E9A5B95D}">
      <dsp:nvSpPr>
        <dsp:cNvPr id="0" name=""/>
        <dsp:cNvSpPr/>
      </dsp:nvSpPr>
      <dsp:spPr>
        <a:xfrm>
          <a:off x="886657" y="3102543"/>
          <a:ext cx="1461671" cy="950086"/>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4. Végrehajtás és nyomon követés</a:t>
          </a:r>
        </a:p>
      </dsp:txBody>
      <dsp:txXfrm>
        <a:off x="933036" y="3148922"/>
        <a:ext cx="1368913" cy="857328"/>
      </dsp:txXfrm>
    </dsp:sp>
    <dsp:sp modelId="{16A742EF-4DF4-438E-ACA6-83F86603BDD4}">
      <dsp:nvSpPr>
        <dsp:cNvPr id="0" name=""/>
        <dsp:cNvSpPr/>
      </dsp:nvSpPr>
      <dsp:spPr>
        <a:xfrm>
          <a:off x="906101" y="455620"/>
          <a:ext cx="3451561" cy="3451561"/>
        </a:xfrm>
        <a:custGeom>
          <a:avLst/>
          <a:gdLst/>
          <a:ahLst/>
          <a:cxnLst/>
          <a:rect l="0" t="0" r="0" b="0"/>
          <a:pathLst>
            <a:path>
              <a:moveTo>
                <a:pt x="168398" y="2469339"/>
              </a:moveTo>
              <a:arcTo wR="1725780" hR="1725780" stAng="9268695" swAng="1243102"/>
            </a:path>
          </a:pathLst>
        </a:custGeom>
        <a:noFill/>
        <a:ln w="25400" cap="flat" cmpd="sng" algn="ctr">
          <a:solidFill>
            <a:schemeClr val="accent5"/>
          </a:solidFill>
          <a:prstDash val="solid"/>
          <a:tailEnd type="arrow"/>
        </a:ln>
        <a:effectLst>
          <a:outerShdw blurRad="40000" dist="20000" dir="5400000" rotWithShape="0">
            <a:srgbClr val="000000">
              <a:alpha val="38000"/>
            </a:srgbClr>
          </a:outerShdw>
        </a:effectLst>
      </dsp:spPr>
      <dsp:style>
        <a:lnRef idx="2">
          <a:schemeClr val="accent5"/>
        </a:lnRef>
        <a:fillRef idx="0">
          <a:schemeClr val="accent5"/>
        </a:fillRef>
        <a:effectRef idx="1">
          <a:schemeClr val="accent5"/>
        </a:effectRef>
        <a:fontRef idx="minor">
          <a:schemeClr val="tx1"/>
        </a:fontRef>
      </dsp:style>
    </dsp:sp>
    <dsp:sp modelId="{A7A6AA46-35DD-404E-9F58-B53C3021B31C}">
      <dsp:nvSpPr>
        <dsp:cNvPr id="0" name=""/>
        <dsp:cNvSpPr/>
      </dsp:nvSpPr>
      <dsp:spPr>
        <a:xfrm>
          <a:off x="259731" y="1173062"/>
          <a:ext cx="1461671" cy="950086"/>
        </a:xfrm>
        <a:prstGeom prst="round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5. Repülésbiztonsági teljesítmény</a:t>
          </a:r>
        </a:p>
      </dsp:txBody>
      <dsp:txXfrm>
        <a:off x="306110" y="1219441"/>
        <a:ext cx="1368913" cy="857328"/>
      </dsp:txXfrm>
    </dsp:sp>
    <dsp:sp modelId="{7405E44D-CEA1-4D80-8053-7A7139BD205D}">
      <dsp:nvSpPr>
        <dsp:cNvPr id="0" name=""/>
        <dsp:cNvSpPr/>
      </dsp:nvSpPr>
      <dsp:spPr>
        <a:xfrm>
          <a:off x="906101" y="455620"/>
          <a:ext cx="3451561" cy="3451561"/>
        </a:xfrm>
        <a:custGeom>
          <a:avLst/>
          <a:gdLst/>
          <a:ahLst/>
          <a:cxnLst/>
          <a:rect l="0" t="0" r="0" b="0"/>
          <a:pathLst>
            <a:path>
              <a:moveTo>
                <a:pt x="433803" y="581616"/>
              </a:moveTo>
              <a:arcTo wR="1725780" hR="1725780" stAng="13291670" swAng="1058514"/>
            </a:path>
          </a:pathLst>
        </a:custGeom>
        <a:noFill/>
        <a:ln w="25400" cap="flat" cmpd="sng" algn="ctr">
          <a:solidFill>
            <a:schemeClr val="accent5"/>
          </a:solidFill>
          <a:prstDash val="solid"/>
          <a:tailEnd type="arrow"/>
        </a:ln>
        <a:effectLst>
          <a:outerShdw blurRad="40000" dist="20000" dir="5400000" rotWithShape="0">
            <a:srgbClr val="000000">
              <a:alpha val="38000"/>
            </a:srgbClr>
          </a:outerShdw>
        </a:effectLst>
      </dsp:spPr>
      <dsp:style>
        <a:lnRef idx="2">
          <a:schemeClr val="accent5"/>
        </a:lnRef>
        <a:fillRef idx="0">
          <a:schemeClr val="accent5"/>
        </a:fillRef>
        <a:effectRef idx="1">
          <a:schemeClr val="accent5"/>
        </a:effectRef>
        <a:fontRef idx="minor">
          <a:schemeClr val="tx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753D-6098-4EC3-8C62-F106AA03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34</Pages>
  <Words>10352</Words>
  <Characters>78784</Characters>
  <Application>Microsoft Office Word</Application>
  <DocSecurity>0</DocSecurity>
  <Lines>1335</Lines>
  <Paragraphs>536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MICHEAUX NAUDET Delphine (MOVE)</dc:creator>
  <cp:lastModifiedBy>DIGIT/A3</cp:lastModifiedBy>
  <cp:revision>35</cp:revision>
  <cp:lastPrinted>2015-11-24T10:50:00Z</cp:lastPrinted>
  <dcterms:created xsi:type="dcterms:W3CDTF">2015-11-27T13:28:00Z</dcterms:created>
  <dcterms:modified xsi:type="dcterms:W3CDTF">2016-01-14T07:22:00Z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First annex">
    <vt:lpwstr>1</vt:lpwstr>
  </property>
  <property fmtid="{D5CDD505-2E9C-101B-9397-08002B2CF9AE}" pid="6" name="Last annex">
    <vt:lpwstr>1</vt:lpwstr>
  </property>
  <property fmtid="{D5CDD505-2E9C-101B-9397-08002B2CF9AE}" pid="7" name="Category">
    <vt:lpwstr>COM/DTSC</vt:lpwstr>
  </property>
  <property fmtid="{D5CDD505-2E9C-101B-9397-08002B2CF9AE}" pid="8" name="Version">
    <vt:lpwstr>5.8.22.0</vt:lpwstr>
  </property>
  <property fmtid="{D5CDD505-2E9C-101B-9397-08002B2CF9AE}" pid="9" name="Created using">
    <vt:lpwstr>LW 5.8, Build 20110311</vt:lpwstr>
  </property>
  <property fmtid="{D5CDD505-2E9C-101B-9397-08002B2CF9AE}" pid="10" name="Last edited using">
    <vt:lpwstr>LW 5.8.4, Build 20150407</vt:lpwstr>
  </property>
  <property fmtid="{D5CDD505-2E9C-101B-9397-08002B2CF9AE}" pid="11" name="LWTemplateID">
    <vt:lpwstr>SG-049</vt:lpwstr>
  </property>
  <property fmtid="{D5CDD505-2E9C-101B-9397-08002B2CF9AE}" pid="12" name="DocStatus">
    <vt:lpwstr>Green</vt:lpwstr>
  </property>
</Properties>
</file>