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AA69E9FAB924CF3BD07391665129963" style="width:450.5pt;height:379.5pt">
            <v:imagedata r:id="rId9" o:title=""/>
          </v:shape>
        </w:pict>
      </w:r>
    </w:p>
    <w:p>
      <w:pPr>
        <w:pStyle w:val="Pagedecouverture"/>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spacing w:before="0" w:after="0"/>
        <w:rPr>
          <w:noProof/>
        </w:rPr>
      </w:pPr>
      <w:bookmarkStart w:id="0" w:name="_GoBack"/>
      <w:bookmarkEnd w:id="0"/>
      <w:r>
        <w:rPr>
          <w:noProof/>
        </w:rPr>
        <w:lastRenderedPageBreak/>
        <w:t>Motivering</w:t>
      </w:r>
    </w:p>
    <w:p>
      <w:pPr>
        <w:rPr>
          <w:noProof/>
        </w:rPr>
      </w:pPr>
    </w:p>
    <w:p>
      <w:pPr>
        <w:pStyle w:val="ManualHeading1"/>
        <w:spacing w:before="120"/>
        <w:rPr>
          <w:noProof/>
        </w:rPr>
      </w:pPr>
      <w:r>
        <w:rPr>
          <w:noProof/>
        </w:rPr>
        <w:t>1.</w:t>
      </w:r>
      <w:r>
        <w:rPr>
          <w:noProof/>
        </w:rPr>
        <w:tab/>
        <w:t xml:space="preserve">BAKGRUND TILL FÖRSLAGET </w:t>
      </w:r>
    </w:p>
    <w:p>
      <w:pPr>
        <w:rPr>
          <w:noProof/>
        </w:rPr>
      </w:pPr>
      <w:r>
        <w:rPr>
          <w:noProof/>
        </w:rPr>
        <w:t xml:space="preserve">Europeiska unionen (EU) och 26 medlemsstater har undertecknat Minamatakonventionen om kvicksilver (nedan kallad </w:t>
      </w:r>
      <w:r>
        <w:rPr>
          <w:i/>
          <w:noProof/>
        </w:rPr>
        <w:t>konventionen</w:t>
      </w:r>
      <w:r>
        <w:rPr>
          <w:noProof/>
        </w:rPr>
        <w:t>)</w:t>
      </w:r>
      <w:r>
        <w:rPr>
          <w:rStyle w:val="FootnoteReference"/>
          <w:noProof/>
        </w:rPr>
        <w:footnoteReference w:id="1"/>
      </w:r>
      <w:r>
        <w:rPr>
          <w:noProof/>
        </w:rPr>
        <w:t xml:space="preserve"> som har framförhandlats under ledning av Förenta nationernas miljöprogram (UNEP) och antogs i oktober 2013 vid en konferens för de befullmäktigade ombuden i Kumamoto, Japan</w:t>
      </w:r>
      <w:r>
        <w:rPr>
          <w:rStyle w:val="FootnoteReference"/>
          <w:noProof/>
        </w:rPr>
        <w:footnoteReference w:id="2"/>
      </w:r>
      <w:r>
        <w:rPr>
          <w:noProof/>
        </w:rPr>
        <w:t xml:space="preserve">. </w:t>
      </w:r>
    </w:p>
    <w:p>
      <w:pPr>
        <w:rPr>
          <w:noProof/>
        </w:rPr>
      </w:pPr>
      <w:r>
        <w:rPr>
          <w:noProof/>
        </w:rPr>
        <w:t xml:space="preserve">Konventionen är den viktigaste internationella rättsliga ramen för att skydda människors hälsa och miljön mot antropogena utsläpp av kvicksilver och kvicksilverföreningar (nedan kallade </w:t>
      </w:r>
      <w:r>
        <w:rPr>
          <w:i/>
          <w:noProof/>
        </w:rPr>
        <w:t>kvicksilverutsläpp</w:t>
      </w:r>
      <w:r>
        <w:rPr>
          <w:noProof/>
        </w:rPr>
        <w:t xml:space="preserve">) till luft, vatten och mark. Den berör hela livscykeln för kvicksilver från primär kvicksilverbrytning till hantering av kvicksilveravfall. </w:t>
      </w:r>
    </w:p>
    <w:p>
      <w:pPr>
        <w:rPr>
          <w:noProof/>
        </w:rPr>
      </w:pPr>
      <w:r>
        <w:rPr>
          <w:noProof/>
        </w:rPr>
        <w:t xml:space="preserve">Artikel 8 i konventionen ålägger parterna att begränsa och om möjligt minska kvicksilverutsläpp till luften från punktkällor inom de källkategorier som anges i bilaga D. I enlighet med artikel 8.2 b i konventionen får en part välja att reglera endast en del av de källor som omfattas av en källkategori, förutsatt att dessa källor utgör minst 75 procent av utsläppen från den berörda kategorin. </w:t>
      </w:r>
    </w:p>
    <w:p>
      <w:pPr>
        <w:rPr>
          <w:noProof/>
        </w:rPr>
      </w:pPr>
      <w:r>
        <w:rPr>
          <w:noProof/>
        </w:rPr>
        <w:t>I enlighet med artikel 8.4 i konventionen ska parterna kräva att alla ”nya källor”</w:t>
      </w:r>
      <w:r>
        <w:rPr>
          <w:rStyle w:val="FootnoteReference"/>
          <w:noProof/>
        </w:rPr>
        <w:footnoteReference w:id="3"/>
      </w:r>
      <w:r>
        <w:rPr>
          <w:noProof/>
        </w:rPr>
        <w:t xml:space="preserve"> använder bästa tillgängliga teknik (BAT) och bästa miljöpraxis (BEP). För ”befintliga källor” ska parterna kontrollera atmosfäriska kvicksilverutsläpp genom en eller flera av de åtgärder som anges i artikel 8.5 i konventionen, vilka omfattar användning av BAT och BEP, inrättandet av ett kvantifierat mål eller inrättandet av utsläppsgränsvärden (ELV). Parterna är dessutom enligt artikel 8.7 i konventionen skyldiga att upprätta och upprätthålla en inventering av kvicksilverutsläpp till luften från källor som omfattas av artikel 8. </w:t>
      </w:r>
    </w:p>
    <w:p>
      <w:pPr>
        <w:rPr>
          <w:noProof/>
        </w:rPr>
      </w:pPr>
      <w:r>
        <w:rPr>
          <w:noProof/>
        </w:rPr>
        <w:t xml:space="preserve">För att hjälpa parterna att fullgöra dessa skyldigheter föreskrivs det i artikel 8.8 och 8.9 i konventionen att riktlinjer ska antas av partskonferensen för konventionen (CoP) om BAT och BEP, stöd till parter i samband med genomförandet av de åtgärder som anges i artikel 8.5 (särskilt fastställandet av kvantifierade mål och ELV), om de villkor som parterna kan tillämpa enligt artikel 8.2 b och om metoderna för att utarbeta en utsläppsinventering. </w:t>
      </w:r>
    </w:p>
    <w:p>
      <w:pPr>
        <w:rPr>
          <w:noProof/>
        </w:rPr>
      </w:pPr>
      <w:r>
        <w:rPr>
          <w:noProof/>
        </w:rPr>
        <w:t xml:space="preserve">I artikel 8.10 (andra meningen) i konventionen anges att parterna ska ta dessa riktlinjer i beaktande vid tillämpning av artikel 8. </w:t>
      </w:r>
    </w:p>
    <w:p>
      <w:pPr>
        <w:rPr>
          <w:noProof/>
          <w:color w:val="000000"/>
        </w:rPr>
      </w:pPr>
      <w:r>
        <w:rPr>
          <w:noProof/>
        </w:rPr>
        <w:t>Inom denna ram har de befullmäktigade ombudens konferens om konventionen inrättat en expertgrupp som biträdande organ rapporterar till den mellanstatliga förhandlingskommittén, och uppdragit åt den att utveckla de vägledande dokument som föreskrivs i ovannämnda artikel 8.8 och 8.9.</w:t>
      </w:r>
      <w:r>
        <w:rPr>
          <w:noProof/>
          <w:color w:val="000000"/>
        </w:rPr>
        <w:t xml:space="preserve"> </w:t>
      </w:r>
      <w:r>
        <w:rPr>
          <w:noProof/>
        </w:rPr>
        <w:t>De mål som konferensen fastställt är att ge partskonferensen möjlighet att besluta i sådana frågor vid sitt första sammanträde och att främja snabba internationella åtgärder för att skydda människors hälsa och miljön mot antropogena kvicksilverutsläpp i avvaktan på ikraftträdandet av konventionen</w:t>
      </w:r>
      <w:r>
        <w:rPr>
          <w:rStyle w:val="FootnoteReference"/>
          <w:noProof/>
        </w:rPr>
        <w:footnoteReference w:id="4"/>
      </w:r>
      <w:r>
        <w:rPr>
          <w:noProof/>
        </w:rPr>
        <w:t>. De fyra riktlinjer har slutgranskats av expertgruppen, offentliggjorts av Uneps sekretariat den [XX/XX/XXXX]</w:t>
      </w:r>
      <w:r>
        <w:rPr>
          <w:rStyle w:val="FootnoteReference"/>
          <w:noProof/>
        </w:rPr>
        <w:footnoteReference w:id="5"/>
      </w:r>
      <w:r>
        <w:rPr>
          <w:noProof/>
        </w:rPr>
        <w:t>och ska sedan lämnas in för preliminärt antagande vid det sjunde mötet i den mellanstatliga förhandlingskommitté (INC. 7) som äger rum den 10–15 mars 2016 i Jordanien, varvid det bör beaktas att de inte förväntas ändras i sak mellan detta preliminära antagande och det formella och slutliga antagandet i partskonferensen till Baselkonventionen (CoP).</w:t>
      </w:r>
      <w:r>
        <w:rPr>
          <w:noProof/>
          <w:color w:val="000000"/>
        </w:rPr>
        <w:t xml:space="preserve"> </w:t>
      </w:r>
    </w:p>
    <w:p>
      <w:pPr>
        <w:pStyle w:val="ManualHeading1"/>
        <w:spacing w:before="120"/>
        <w:rPr>
          <w:noProof/>
        </w:rPr>
      </w:pPr>
      <w:r>
        <w:rPr>
          <w:noProof/>
        </w:rPr>
        <w:t>2.</w:t>
      </w:r>
      <w:r>
        <w:rPr>
          <w:noProof/>
        </w:rPr>
        <w:tab/>
        <w:t>RESULTAT AV SAMRÅD MED BERÖRDA PARTER OCH KONSEKVENSBEDÖMNINGAR</w:t>
      </w:r>
    </w:p>
    <w:p>
      <w:pPr>
        <w:rPr>
          <w:noProof/>
        </w:rPr>
      </w:pPr>
      <w:r>
        <w:rPr>
          <w:noProof/>
        </w:rPr>
        <w:t>Gruppen av tekniska experter har sammanträtt fyra gånger mellan februari 2014 och september 2015. Efter ett offentligt samråd som Unep genomförde om utkastet till dokumentet med riktlinjer, som ägde rum sommaren 2015, slutbehandlade arbetsgruppen utkastet till dokumentet kort efter sitt fjärde möte, i Stockholm, den 10–15 september 2015.</w:t>
      </w:r>
    </w:p>
    <w:p>
      <w:pPr>
        <w:rPr>
          <w:noProof/>
          <w:color w:val="000000"/>
        </w:rPr>
      </w:pPr>
      <w:r>
        <w:rPr>
          <w:noProof/>
          <w:color w:val="000000"/>
        </w:rPr>
        <w:t>Samtidigt som EU arbetar mot ett införlivande med unionsrätten och ratificeringen av konventionen, har de skyldigheter som fastställs i ovannämnda artikel 8.4, 8.5 och 8.7, kompletterad genom artikel 8-riktlinjerna, redan fastställts i flera EU-rättsakter. Särskilt enligt direktiv 2010/75/EU om industriutsläpp</w:t>
      </w:r>
      <w:r>
        <w:rPr>
          <w:rStyle w:val="FootnoteReference"/>
          <w:noProof/>
          <w:color w:val="000000"/>
        </w:rPr>
        <w:footnoteReference w:id="6"/>
      </w:r>
      <w:r>
        <w:rPr>
          <w:noProof/>
          <w:color w:val="000000"/>
        </w:rPr>
        <w:t xml:space="preserve"> ska verksamhetsutövarna vid anläggningar som omfattas av artikel 8 i konventionen att vidta lämpliga åtgärder för att förhindra förorening orsakad av t.ex. kvicksilverutsläppen, och i detta syfte använda BAT. Beträffande skyldigheten att upprätta och upprätthålla en inventering av utsläpp och lämplig metod för detta enligt de föreslagna riktlinjerna, fastställs en sådan inventering i förordning (EG) nr 166/2006 om ett europeiskt register över utsläpp och överföringar av föroreningar</w:t>
      </w:r>
      <w:r>
        <w:rPr>
          <w:rStyle w:val="FootnoteReference"/>
          <w:noProof/>
          <w:color w:val="000000"/>
        </w:rPr>
        <w:footnoteReference w:id="7"/>
      </w:r>
      <w:r>
        <w:rPr>
          <w:noProof/>
          <w:color w:val="000000"/>
        </w:rPr>
        <w:t xml:space="preserve">. </w:t>
      </w:r>
    </w:p>
    <w:p>
      <w:pPr>
        <w:rPr>
          <w:noProof/>
          <w:color w:val="000000"/>
        </w:rPr>
      </w:pPr>
      <w:r>
        <w:rPr>
          <w:noProof/>
          <w:color w:val="000000"/>
        </w:rPr>
        <w:t>Följaktligen skulle ett preliminärt antagande av riktlinje-dokumentet, och ett därpå följande formellt antagande i partskonferensen, inte medföra några ytterligare miljömässiga eller socioekonomiska effekter i EU. Det skulle dock uppmuntra tredjeländer att minska sina utsläpp av kvicksilver till luften, som orsakar gränsöverskridande förorening i EU och bidrar till kontaminering av den globala livsmedelskedjan.</w:t>
      </w:r>
    </w:p>
    <w:p>
      <w:pPr>
        <w:pStyle w:val="ManualHeading1"/>
        <w:spacing w:before="120"/>
        <w:rPr>
          <w:noProof/>
        </w:rPr>
      </w:pPr>
      <w:r>
        <w:rPr>
          <w:noProof/>
        </w:rPr>
        <w:t>3.</w:t>
      </w:r>
      <w:r>
        <w:rPr>
          <w:noProof/>
        </w:rPr>
        <w:tab/>
        <w:t>FÖRSLAGETS RÄTTSLIGA ASPEKTER</w:t>
      </w:r>
    </w:p>
    <w:p>
      <w:pPr>
        <w:rPr>
          <w:noProof/>
        </w:rPr>
      </w:pPr>
      <w:r>
        <w:rPr>
          <w:noProof/>
        </w:rPr>
        <w:t>Med tanke på att EU:s lagstiftning är i linje med de fyra föreslagna riktlinje-dokumenten bör den ståndpunkt som EU intar vid den mellanstatliga förhandlingskommitténs sjunde möte vara att stödja riktlinjerna så att de provisoriskt antas, och i syfte att främja deras genomförande så snart som möjligt och deras formella och slutliga antagande i partskonferensen vid dess första möte.</w:t>
      </w:r>
    </w:p>
    <w:p>
      <w:pPr>
        <w:pStyle w:val="ManualHeading1"/>
        <w:spacing w:before="120"/>
        <w:rPr>
          <w:noProof/>
        </w:rPr>
      </w:pPr>
      <w:r>
        <w:rPr>
          <w:noProof/>
        </w:rPr>
        <w:t>4.</w:t>
      </w:r>
      <w:r>
        <w:rPr>
          <w:noProof/>
        </w:rPr>
        <w:tab/>
        <w:t>BUDGETKONSEKVENSER</w:t>
      </w:r>
    </w:p>
    <w:p>
      <w:pPr>
        <w:rPr>
          <w:noProof/>
          <w:color w:val="000000"/>
        </w:rPr>
      </w:pPr>
      <w:r>
        <w:rPr>
          <w:noProof/>
          <w:color w:val="000000"/>
        </w:rPr>
        <w:t>Det föreslagna beslutet har inga budgetkonsekvenser för unionen.</w:t>
      </w:r>
    </w:p>
    <w:p>
      <w:pPr>
        <w:rPr>
          <w:noProof/>
          <w:color w:val="000000"/>
        </w:rPr>
      </w:pPr>
      <w:r>
        <w:rPr>
          <w:noProof/>
        </w:rPr>
        <w:br w:type="page"/>
      </w:r>
    </w:p>
    <w:p>
      <w:pPr>
        <w:pStyle w:val="Rfrenceinterinstitutionnelle"/>
        <w:rPr>
          <w:noProof/>
        </w:rPr>
      </w:pPr>
      <w:r>
        <w:rPr>
          <w:noProof/>
        </w:rPr>
        <w:t>2016/0008 (NLE)</w:t>
      </w:r>
    </w:p>
    <w:p>
      <w:pPr>
        <w:pStyle w:val="Statut"/>
        <w:rPr>
          <w:noProof/>
        </w:rPr>
      </w:pPr>
      <w:r>
        <w:rPr>
          <w:noProof/>
        </w:rPr>
        <w:t>Förslag till</w:t>
      </w:r>
    </w:p>
    <w:p>
      <w:pPr>
        <w:pStyle w:val="Typedudocument"/>
        <w:rPr>
          <w:noProof/>
        </w:rPr>
      </w:pPr>
      <w:r>
        <w:rPr>
          <w:noProof/>
        </w:rPr>
        <w:t>RÅDETS BESLUT</w:t>
      </w:r>
    </w:p>
    <w:p>
      <w:pPr>
        <w:pStyle w:val="Titreobjet"/>
        <w:rPr>
          <w:noProof/>
        </w:rPr>
      </w:pPr>
      <w:r>
        <w:rPr>
          <w:noProof/>
        </w:rPr>
        <w:t xml:space="preserve">om den ståndpunkt som ska antas på Europeiska unionens vägnar vid det sjunde mötet i den mellanstatliga förhandlingskommittén om kvicksilver och vid det första mötet i partskonferensen för Minamatakonventionen om kvicksilver, med beaktande av det preliminära och slutliga antagandet av de riktlinjer som avses i artikel 8.8 och 8.9 </w:t>
      </w:r>
    </w:p>
    <w:p>
      <w:pPr>
        <w:pStyle w:val="Institutionquiagit"/>
        <w:rPr>
          <w:noProof/>
        </w:rPr>
      </w:pPr>
      <w:r>
        <w:rPr>
          <w:noProof/>
        </w:rPr>
        <w:t>EUROPEISKA UNIONENS RÅD HAR ANTAGIT DETTA BESLUT</w:t>
      </w:r>
    </w:p>
    <w:p>
      <w:pPr>
        <w:rPr>
          <w:noProof/>
        </w:rPr>
      </w:pPr>
      <w:r>
        <w:rPr>
          <w:noProof/>
        </w:rPr>
        <w:t>med beaktande av fördraget om Europeiska unionens funktionssätt, särskilt artikel 192.1 jämförd med artikel 218.9,</w:t>
      </w:r>
    </w:p>
    <w:p>
      <w:pPr>
        <w:rPr>
          <w:noProof/>
        </w:rPr>
      </w:pPr>
      <w:r>
        <w:rPr>
          <w:noProof/>
        </w:rPr>
        <w:t>med beaktande av Europeiska kommissionens förslag,</w:t>
      </w:r>
    </w:p>
    <w:p>
      <w:pPr>
        <w:rPr>
          <w:noProof/>
        </w:rPr>
      </w:pPr>
      <w:r>
        <w:rPr>
          <w:noProof/>
        </w:rPr>
        <w:t>av följande skäl:</w:t>
      </w:r>
    </w:p>
    <w:p>
      <w:pPr>
        <w:pStyle w:val="ManualConsidrant"/>
        <w:rPr>
          <w:noProof/>
        </w:rPr>
      </w:pPr>
      <w:r>
        <w:t>(1)</w:t>
      </w:r>
      <w:r>
        <w:tab/>
      </w:r>
      <w:r>
        <w:rPr>
          <w:noProof/>
        </w:rPr>
        <w:t>Unionen har undertecknat Minamatakonventionen om kvicksilver</w:t>
      </w:r>
      <w:r>
        <w:rPr>
          <w:rStyle w:val="FootnoteReference"/>
          <w:noProof/>
        </w:rPr>
        <w:footnoteReference w:id="8"/>
      </w:r>
      <w:r>
        <w:rPr>
          <w:noProof/>
        </w:rPr>
        <w:t xml:space="preserve"> (nedan kallad </w:t>
      </w:r>
      <w:r>
        <w:rPr>
          <w:i/>
          <w:noProof/>
        </w:rPr>
        <w:t>konventionen</w:t>
      </w:r>
      <w:r>
        <w:rPr>
          <w:noProof/>
        </w:rPr>
        <w:t>).</w:t>
      </w:r>
    </w:p>
    <w:p>
      <w:pPr>
        <w:pStyle w:val="ManualConsidrant"/>
        <w:rPr>
          <w:noProof/>
        </w:rPr>
      </w:pPr>
      <w:r>
        <w:t>(2)</w:t>
      </w:r>
      <w:r>
        <w:tab/>
      </w:r>
      <w:r>
        <w:rPr>
          <w:noProof/>
        </w:rPr>
        <w:t>Genom artikel 8.4 i konventionen åläggs parterna att se till att nya punktkällor inom de källkategorier som anges i bilaga D använder bästa tillgängliga teknik och bästa miljöpraxis för att kontrollera och, där så är möjligt, minska utsläppen av kvicksilver och kvicksilverföreningar till atmosfären.</w:t>
      </w:r>
    </w:p>
    <w:p>
      <w:pPr>
        <w:pStyle w:val="ManualConsidrant"/>
        <w:rPr>
          <w:noProof/>
        </w:rPr>
      </w:pPr>
      <w:r>
        <w:t>(3)</w:t>
      </w:r>
      <w:r>
        <w:tab/>
      </w:r>
      <w:r>
        <w:rPr>
          <w:noProof/>
        </w:rPr>
        <w:t xml:space="preserve">Enligt artikel 8.5 i konventionen ska parterna kontrollera och om möjligt minska utsläppen av kvicksilver och kvicksilverföreningar från befintliga källor som omfattas av de källkategorier som anges i bilaga D genom att vidta en eller flera av följande åtgärder: användning av bästa tillgängliga teknik och bästa miljöpraxis och/eller upprättandet av kvantifierade mål och/eller utsläppsgränsvärden och/eller en strategi som omfattar flera olika föroreningar och/eller alternativa åtgärder. </w:t>
      </w:r>
    </w:p>
    <w:p>
      <w:pPr>
        <w:pStyle w:val="ManualConsidrant"/>
        <w:rPr>
          <w:noProof/>
        </w:rPr>
      </w:pPr>
      <w:r>
        <w:t>(4)</w:t>
      </w:r>
      <w:r>
        <w:tab/>
      </w:r>
      <w:r>
        <w:rPr>
          <w:noProof/>
        </w:rPr>
        <w:t xml:space="preserve">I artikel 8.7 i konventionen uppmanas parterna att upprätta och upprätthålla en inventering av utsläpp av kvicksilver och kvicksilverföreningar till atmosfären. </w:t>
      </w:r>
    </w:p>
    <w:p>
      <w:pPr>
        <w:pStyle w:val="ManualConsidrant"/>
        <w:rPr>
          <w:noProof/>
        </w:rPr>
      </w:pPr>
      <w:r>
        <w:t>(5)</w:t>
      </w:r>
      <w:r>
        <w:tab/>
      </w:r>
      <w:r>
        <w:rPr>
          <w:noProof/>
        </w:rPr>
        <w:t xml:space="preserve">I artikel 8.8 i konventionen anges att partskonferensen till konventionen vid sitt första möte ska anta riktlinjer om bästa tillgängliga teknik och bästa miljöpraxis, med hänsyn tagen till den eventuella skillnaden mellan nya och befintliga källor och behovet av att minimera tvärmediaeffekter, samt riktlinjer som syftar till att stödja parterna vid genomförandet av deras skyldigheter enligt artikel 8.5, särskilt i fastställandet av mål och av utsläppsgränsvärden. </w:t>
      </w:r>
    </w:p>
    <w:p>
      <w:pPr>
        <w:pStyle w:val="ManualConsidrant"/>
        <w:rPr>
          <w:noProof/>
        </w:rPr>
      </w:pPr>
      <w:r>
        <w:t>(6)</w:t>
      </w:r>
      <w:r>
        <w:tab/>
      </w:r>
      <w:r>
        <w:rPr>
          <w:noProof/>
        </w:rPr>
        <w:t>I artikel 8.9 i konventionen föreskrivs att partskonferensen till konventionen snarast möjligt ska anta riktlinjer om de kriterier som parterna får utarbeta enligt artikel 8.2 b när de väljer att tillämpa kontrollåtgärder för utsläpp av kvicksilver och kvicksilverföreningar till luften endast för de punktkällor som omfattas av vissa källkategorier i bilaga D, förutsatt att minst 75 procent av utsläppen från den berörda kategorin omfattas, och riktlinjer om metoderna för att förbereda inventeringar av utsläpp av kvicksilver och kvicksilverföreningar.</w:t>
      </w:r>
    </w:p>
    <w:p>
      <w:pPr>
        <w:pStyle w:val="ManualConsidrant"/>
        <w:rPr>
          <w:noProof/>
        </w:rPr>
      </w:pPr>
      <w:r>
        <w:t>(7)</w:t>
      </w:r>
      <w:r>
        <w:tab/>
      </w:r>
      <w:r>
        <w:rPr>
          <w:noProof/>
        </w:rPr>
        <w:t>I artikel 8.10 (andra meningen) i konventionen anges att parterna ska ta sådana riktlinjer i beaktande vid tillämpning av bestämmelserna i artikel 8. Sådana riktlinjer kommer därför att ha rättsverkningar.</w:t>
      </w:r>
    </w:p>
    <w:p>
      <w:pPr>
        <w:pStyle w:val="ManualConsidrant"/>
        <w:rPr>
          <w:noProof/>
        </w:rPr>
      </w:pPr>
      <w:bookmarkStart w:id="1" w:name="ControlPages"/>
      <w:bookmarkEnd w:id="1"/>
      <w:r>
        <w:t>(8)</w:t>
      </w:r>
      <w:r>
        <w:tab/>
      </w:r>
      <w:r>
        <w:rPr>
          <w:noProof/>
        </w:rPr>
        <w:t>Texten till de föreslagna fyra riktlinjedokumenten har utarbetats av den expertgrupp som inrättats och fått sitt uppdrag av de befullmäktigade ombudens konferens om konventionen i enlighet med konferensens slutakt, och formellt offentliggjorts av Förenta nationernas miljöprograms sekretariat den [XX/XX/XXXX].</w:t>
      </w:r>
    </w:p>
    <w:p>
      <w:pPr>
        <w:pStyle w:val="ManualConsidrant"/>
        <w:rPr>
          <w:noProof/>
        </w:rPr>
      </w:pPr>
      <w:r>
        <w:t>(9)</w:t>
      </w:r>
      <w:r>
        <w:tab/>
      </w:r>
      <w:r>
        <w:rPr>
          <w:noProof/>
        </w:rPr>
        <w:t xml:space="preserve">Den mellanstatliga förhandlingskommittén för konventionen bör tillfälligt anta de föreslagna fyra riktlinje-dokumenten vid sitt sjunde möte, som kommer att hållas den 10–15 mars 2016 i Jordanien, i syfte att främja deras genomförande så snart som möjligt och att ge partskonferensen till konventionen möjlighet att anta dem formellt vid sitt första möte. </w:t>
      </w:r>
    </w:p>
    <w:p>
      <w:pPr>
        <w:pStyle w:val="ManualConsidrant"/>
        <w:rPr>
          <w:noProof/>
        </w:rPr>
      </w:pPr>
      <w:r>
        <w:t>(10)</w:t>
      </w:r>
      <w:r>
        <w:tab/>
      </w:r>
      <w:r>
        <w:rPr>
          <w:noProof/>
        </w:rPr>
        <w:t>Unionslagstiftningen, inbegripet Europaparlamentets och rådets direktiv 2010/75/EU av den 24 november 2010 om industriutsläpp</w:t>
      </w:r>
      <w:r>
        <w:rPr>
          <w:rStyle w:val="FootnoteReference"/>
          <w:noProof/>
        </w:rPr>
        <w:footnoteReference w:id="9"/>
      </w:r>
      <w:r>
        <w:rPr>
          <w:noProof/>
        </w:rPr>
        <w:t xml:space="preserve"> och Europaparlamentets och rådets förordning (EG) nr 166/2006 av den 18 januari 2006 om upprättande av ett europeiskt register över utsläpp och överföringar av föroreningar och om ändring av direktiven 91/689/EEG och 96/61/EG</w:t>
      </w:r>
      <w:r>
        <w:rPr>
          <w:rStyle w:val="FootnoteReference"/>
          <w:noProof/>
        </w:rPr>
        <w:footnoteReference w:id="10"/>
      </w:r>
      <w:r>
        <w:rPr>
          <w:noProof/>
        </w:rPr>
        <w:t xml:space="preserve"> överensstämmer med bestämmelserna i artikel 8 i konventionen, såsom kompletterad av de föreslagna riktlinjerna.</w:t>
      </w:r>
    </w:p>
    <w:p>
      <w:pPr>
        <w:pStyle w:val="ManualConsidrant"/>
        <w:rPr>
          <w:noProof/>
        </w:rPr>
      </w:pPr>
      <w:r>
        <w:t>(11)</w:t>
      </w:r>
      <w:r>
        <w:tab/>
      </w:r>
      <w:r>
        <w:rPr>
          <w:noProof/>
        </w:rPr>
        <w:t>De föreslagna riktlinjerna bör därför stödjas.</w:t>
      </w:r>
    </w:p>
    <w:p>
      <w:pPr>
        <w:pStyle w:val="Formuledadoption"/>
        <w:rPr>
          <w:noProof/>
        </w:rPr>
      </w:pPr>
      <w:r>
        <w:rPr>
          <w:noProof/>
        </w:rPr>
        <w:t xml:space="preserve">HÄRIGENOM FÖRESKRIVS FÖLJANDE. </w:t>
      </w:r>
    </w:p>
    <w:p>
      <w:pPr>
        <w:pStyle w:val="Titrearticle"/>
        <w:spacing w:before="120"/>
        <w:rPr>
          <w:b/>
          <w:i w:val="0"/>
          <w:noProof/>
        </w:rPr>
      </w:pPr>
      <w:r>
        <w:rPr>
          <w:b/>
          <w:i w:val="0"/>
          <w:noProof/>
        </w:rPr>
        <w:t>Artikel 1</w:t>
      </w:r>
    </w:p>
    <w:p>
      <w:pPr>
        <w:rPr>
          <w:rFonts w:eastAsia="Times New Roman"/>
          <w:noProof/>
          <w:szCs w:val="24"/>
        </w:rPr>
      </w:pPr>
      <w:r>
        <w:rPr>
          <w:noProof/>
        </w:rPr>
        <w:t xml:space="preserve">Europeiska unionen ska vid det sjunde mötet i den mellanstatliga förhandlingskommittén om kvicksilver stödja det preliminära antagandet, av Minamatakonventionen om kvicksilver, av de riktlinjer som avses i artikel 8.8 och 8.9, som färdigställts av gruppen av tekniska experter som bemyndigats för detta ändamål av de befullmäktigade ombudens konferens om konventionen, och som offentliggjorts av Uneps sekretariat den [XX/XX/XXXX], för att främja riktlinjernas genomförande så snart som möjligt och för att ge partskonferensen till konventionen möjlighet att slutligen anta dem vid sitt första möte. </w:t>
      </w:r>
      <w:r>
        <w:rPr>
          <w:noProof/>
          <w:color w:val="000000"/>
        </w:rPr>
        <w:t xml:space="preserve">Europeiska unionen ska också stödja ett sådant senare slutligt antagande. </w:t>
      </w:r>
    </w:p>
    <w:p>
      <w:pPr>
        <w:rPr>
          <w:rFonts w:eastAsia="Times New Roman"/>
          <w:noProof/>
          <w:szCs w:val="24"/>
        </w:rPr>
      </w:pPr>
      <w:r>
        <w:rPr>
          <w:noProof/>
        </w:rPr>
        <w:t xml:space="preserve">Mindre ändringar av riktlinjerna, som är förenliga med unionens regelverk, får godkännas av unionens företrädare utan något nytt beslut av rådet. </w:t>
      </w:r>
    </w:p>
    <w:p>
      <w:pPr>
        <w:keepNext/>
        <w:jc w:val="center"/>
        <w:rPr>
          <w:rFonts w:eastAsia="Times New Roman"/>
          <w:b/>
          <w:noProof/>
          <w:szCs w:val="24"/>
        </w:rPr>
      </w:pPr>
      <w:r>
        <w:rPr>
          <w:b/>
          <w:noProof/>
        </w:rPr>
        <w:t>Artikel 2</w:t>
      </w:r>
    </w:p>
    <w:p>
      <w:pPr>
        <w:rPr>
          <w:rFonts w:eastAsia="Times New Roman"/>
          <w:noProof/>
          <w:szCs w:val="24"/>
        </w:rPr>
      </w:pPr>
      <w:r>
        <w:rPr>
          <w:noProof/>
        </w:rPr>
        <w:t xml:space="preserve">Beslut av partskonferensen för Minamatakonventionen om kvicksilver om antagande av riktlinjerna ska offentliggöras i </w:t>
      </w:r>
      <w:r>
        <w:rPr>
          <w:i/>
          <w:noProof/>
        </w:rPr>
        <w:t>Europeiska unionens officiella tidning</w:t>
      </w:r>
      <w:r>
        <w:rPr>
          <w:noProof/>
        </w:rPr>
        <w:t xml:space="preserve">. </w:t>
      </w:r>
    </w:p>
    <w:p>
      <w:pPr>
        <w:jc w:val="center"/>
        <w:rPr>
          <w:rFonts w:eastAsia="Times New Roman"/>
          <w:b/>
          <w:noProof/>
          <w:szCs w:val="24"/>
        </w:rPr>
      </w:pPr>
      <w:r>
        <w:rPr>
          <w:b/>
          <w:noProof/>
        </w:rPr>
        <w:t>Artikel 3</w:t>
      </w:r>
    </w:p>
    <w:p>
      <w:pPr>
        <w:rPr>
          <w:rFonts w:eastAsia="Times New Roman"/>
          <w:noProof/>
          <w:szCs w:val="24"/>
        </w:rPr>
      </w:pPr>
      <w:r>
        <w:rPr>
          <w:noProof/>
        </w:rPr>
        <w:t>Detta beslut träder i kraft samma dag som det antas.</w:t>
      </w:r>
    </w:p>
    <w:p>
      <w:pPr>
        <w:rPr>
          <w:noProof/>
        </w:rPr>
      </w:pPr>
    </w:p>
    <w:p>
      <w:pPr>
        <w:pStyle w:val="Fait"/>
        <w:rPr>
          <w:noProof/>
        </w:rPr>
      </w:pPr>
      <w:r>
        <w:rPr>
          <w:noProof/>
        </w:rPr>
        <w:t>Utfärdat i Bryssel den</w:t>
      </w:r>
    </w:p>
    <w:p>
      <w:pPr>
        <w:pStyle w:val="Institutionquisigne"/>
        <w:rPr>
          <w:noProof/>
        </w:rPr>
      </w:pPr>
      <w:r>
        <w:rPr>
          <w:noProof/>
        </w:rPr>
        <w:tab/>
        <w:t>På rådets vägnar</w:t>
      </w:r>
    </w:p>
    <w:p>
      <w:pPr>
        <w:pStyle w:val="Personnequisigne"/>
        <w:rPr>
          <w:noProof/>
        </w:rPr>
      </w:pPr>
      <w:r>
        <w:rPr>
          <w:noProof/>
        </w:rPr>
        <w:tab/>
        <w:t>Ordförande</w:t>
      </w:r>
    </w:p>
    <w:sectPr>
      <w:footerReference w:type="default" r:id="rId11"/>
      <w:footerReference w:type="first" r:id="rId12"/>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SV</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Bestyrkt kopia av Minamatakonventionen om kvicksilver, tillgänglig på: </w:t>
      </w:r>
      <w:hyperlink r:id="rId1">
        <w:r>
          <w:rPr>
            <w:rStyle w:val="Hyperlink"/>
          </w:rPr>
          <w:t>https://treaties.un.org/doc/Treaties/2013/10/20131010%2011-16%20AM/CTC-XXVII-17.pdf</w:t>
        </w:r>
      </w:hyperlink>
    </w:p>
  </w:footnote>
  <w:footnote w:id="2">
    <w:p>
      <w:pPr>
        <w:pStyle w:val="FootnoteText"/>
      </w:pPr>
      <w:r>
        <w:rPr>
          <w:rStyle w:val="FootnoteReference"/>
        </w:rPr>
        <w:footnoteRef/>
      </w:r>
      <w:r>
        <w:tab/>
        <w:t xml:space="preserve">Europeiska unionen och tjugoen medlemsstater undertecknade Minamatakonventionen den 10 oktober 2013, Kroatien, Cypern, Lettland och Polen undertecknade den 24 september 2014 och Malta den 8 oktober 2014. Estland och Portugal har inte undertecknat konventionen, de har uttryckt sitt åtagande att ratificera det. </w:t>
      </w:r>
    </w:p>
  </w:footnote>
  <w:footnote w:id="3">
    <w:p>
      <w:pPr>
        <w:pStyle w:val="FootnoteText"/>
      </w:pPr>
      <w:r>
        <w:rPr>
          <w:rStyle w:val="FootnoteReference"/>
        </w:rPr>
        <w:footnoteRef/>
      </w:r>
      <w:r>
        <w:tab/>
        <w:t xml:space="preserve">En ”ny källa är en källa vars konstruktion eller väsentliga modifiering påbörjats minst ett år efter dagen för konventionens ikraftträdande för den berörda parten.     </w:t>
      </w:r>
    </w:p>
  </w:footnote>
  <w:footnote w:id="4">
    <w:p>
      <w:pPr>
        <w:pStyle w:val="FootnoteText"/>
      </w:pPr>
      <w:r>
        <w:rPr>
          <w:rStyle w:val="FootnoteReference"/>
        </w:rPr>
        <w:footnoteRef/>
      </w:r>
      <w:r>
        <w:tab/>
        <w:t>UNEP(DTIE)/Hg/CONF/4, Resolution 1, punkt 10</w:t>
      </w:r>
    </w:p>
  </w:footnote>
  <w:footnote w:id="5">
    <w:p>
      <w:pPr>
        <w:pStyle w:val="FootnoteText"/>
      </w:pPr>
      <w:r>
        <w:rPr>
          <w:rStyle w:val="FootnoteReference"/>
        </w:rPr>
        <w:footnoteRef/>
      </w:r>
      <w:r>
        <w:tab/>
        <w:t xml:space="preserve">Texten till de fyra riktlinjerna, som färdigställts av gruppen av tekniska experter på uppdrag av de befullmäktigade ombudens konferens och offentliggjorts av Uneps sekretariat den [XX/XX/XXXX] finns på [...].   </w:t>
      </w:r>
    </w:p>
  </w:footnote>
  <w:footnote w:id="6">
    <w:p>
      <w:pPr>
        <w:pStyle w:val="FootnoteText"/>
      </w:pPr>
      <w:r>
        <w:rPr>
          <w:rStyle w:val="FootnoteReference"/>
        </w:rPr>
        <w:footnoteRef/>
      </w:r>
      <w:r>
        <w:tab/>
        <w:t>Europaparlamentets och rådets direktiv 2010/75/EU av den 24 november 2010 om industriutsläpp (EUT L 334, 17.12.2010, s. 17).</w:t>
      </w:r>
    </w:p>
  </w:footnote>
  <w:footnote w:id="7">
    <w:p>
      <w:pPr>
        <w:pStyle w:val="FootnoteText"/>
      </w:pPr>
      <w:r>
        <w:rPr>
          <w:rStyle w:val="FootnoteReference"/>
        </w:rPr>
        <w:footnoteRef/>
      </w:r>
      <w:r>
        <w:tab/>
        <w:t>Europaparlamentets och rådets förordning (EG) nr 166/2006 av den 18 januari 2006 om upprättande av ett europeiskt register över utsläpp och överföringar av föroreningar och om ändring av rådets direktiv 91/689/EEG och 96/61/EG, EUT L 33, 4.2.2006, s. 1.</w:t>
      </w:r>
      <w:r>
        <w:rPr>
          <w:noProof/>
          <w:color w:val="000000"/>
        </w:rPr>
        <w:t xml:space="preserve"> </w:t>
      </w:r>
    </w:p>
  </w:footnote>
  <w:footnote w:id="8">
    <w:p>
      <w:pPr>
        <w:pStyle w:val="FootnoteText"/>
        <w:ind w:left="480" w:hanging="480"/>
      </w:pPr>
      <w:r>
        <w:rPr>
          <w:rStyle w:val="FootnoteReference"/>
        </w:rPr>
        <w:footnoteRef/>
      </w:r>
      <w:r>
        <w:tab/>
        <w:t xml:space="preserve">Bestyrkt kopia av Minamatakonventionen om kvicksilver, tillgänglig på: </w:t>
      </w:r>
      <w:hyperlink r:id="rId2">
        <w:r>
          <w:rPr>
            <w:rStyle w:val="Hyperlink"/>
          </w:rPr>
          <w:t>https://treaties.un.org/doc/Treaties/2013/10/20131010%2011-16%20AM/CTC-XXVII-17.pdf</w:t>
        </w:r>
      </w:hyperlink>
    </w:p>
  </w:footnote>
  <w:footnote w:id="9">
    <w:p>
      <w:pPr>
        <w:pStyle w:val="FootnoteText"/>
      </w:pPr>
      <w:r>
        <w:rPr>
          <w:rStyle w:val="FootnoteReference"/>
        </w:rPr>
        <w:footnoteRef/>
      </w:r>
      <w:r>
        <w:tab/>
        <w:t>EUT L 334, 17.12.2010, s. 17.</w:t>
      </w:r>
    </w:p>
  </w:footnote>
  <w:footnote w:id="10">
    <w:p>
      <w:pPr>
        <w:pStyle w:val="FootnoteText"/>
      </w:pPr>
      <w:r>
        <w:rPr>
          <w:rStyle w:val="FootnoteReference"/>
        </w:rPr>
        <w:footnoteRef/>
      </w:r>
      <w:r>
        <w:tab/>
        <w:t>Förordning (EG) nr 166/2006 om upprättande av ett europeiskt register över utsläpp och överföringar av föroreningar och om ändring av rådets direktiv 91/689/EEG och 96/61/EG, EUT L 33, 4.2.2006, s. 1.</w:t>
      </w:r>
      <w:r>
        <w:rPr>
          <w:noProof/>
          <w:color w:val="00000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F522BF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EB6DFB6"/>
    <w:lvl w:ilvl="0">
      <w:start w:val="1"/>
      <w:numFmt w:val="decimal"/>
      <w:pStyle w:val="ListNumber3"/>
      <w:lvlText w:val="%1."/>
      <w:lvlJc w:val="left"/>
      <w:pPr>
        <w:tabs>
          <w:tab w:val="num" w:pos="926"/>
        </w:tabs>
        <w:ind w:left="926" w:hanging="360"/>
      </w:pPr>
    </w:lvl>
  </w:abstractNum>
  <w:abstractNum w:abstractNumId="2">
    <w:nsid w:val="FFFFFF7F"/>
    <w:multiLevelType w:val="singleLevel"/>
    <w:tmpl w:val="C71858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363A969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E3E966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CCC0D9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2156588A"/>
    <w:lvl w:ilvl="0">
      <w:start w:val="1"/>
      <w:numFmt w:val="decimal"/>
      <w:pStyle w:val="ListNumber"/>
      <w:lvlText w:val="%1."/>
      <w:lvlJc w:val="left"/>
      <w:pPr>
        <w:tabs>
          <w:tab w:val="num" w:pos="360"/>
        </w:tabs>
        <w:ind w:left="360" w:hanging="360"/>
      </w:pPr>
    </w:lvl>
  </w:abstractNum>
  <w:abstractNum w:abstractNumId="7">
    <w:nsid w:val="FFFFFF89"/>
    <w:multiLevelType w:val="singleLevel"/>
    <w:tmpl w:val="8B746C9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Moves/>
  <w:defaultTabStop w:val="720"/>
  <w:drawingGridHorizontalSpacing w:val="120"/>
  <w:displayHorizontalDrawingGridEvery w:val="2"/>
  <w:characterSpacingControl w:val="doNotCompress"/>
  <w:hdrShapeDefaults>
    <o:shapedefaults v:ext="edit" spidmax="153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6-01-18 09:49:38"/>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FAA69E9FAB924CF3BD07391665129963"/>
    <w:docVar w:name="LW_CROSSREFERENCE" w:val="&lt;UNUSED&gt;"/>
    <w:docVar w:name="LW_DocType" w:val="COM"/>
    <w:docVar w:name="LW_EMISSION" w:val="18.1.2016"/>
    <w:docVar w:name="LW_EMISSION_ISODATE" w:val="2016-01-18"/>
    <w:docVar w:name="LW_EMISSION_LOCATION" w:val="BRX"/>
    <w:docVar w:name="LW_EMISSION_PREFIX" w:val="Bryssel den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SV"/>
    <w:docVar w:name="LW_MARKING" w:val="&lt;UNUSED&gt;"/>
    <w:docVar w:name="LW_NOM.INST" w:val="EUROPEISKA KOMMISSIONEN"/>
    <w:docVar w:name="LW_NOM.INST_JOINTDOC" w:val="&lt;EMPTY&gt;"/>
    <w:docVar w:name="LW_PART_NBR" w:val="1"/>
    <w:docVar w:name="LW_PART_NBR_TOTAL" w:val="1"/>
    <w:docVar w:name="LW_REF.II.NEW.CP" w:val="NLE"/>
    <w:docVar w:name="LW_REF.II.NEW.CP_NUMBER" w:val="0008"/>
    <w:docVar w:name="LW_REF.II.NEW.CP_YEAR" w:val="2016"/>
    <w:docVar w:name="LW_REF.INST.NEW" w:val="COM"/>
    <w:docVar w:name="LW_REF.INST.NEW_ADOPTED" w:val="final"/>
    <w:docVar w:name="LW_REF.INST.NEW_TEXT" w:val="(2016) 3"/>
    <w:docVar w:name="LW_REF.INTERNE" w:val="&lt;UNUSED&gt;"/>
    <w:docVar w:name="LW_SOUS.TITRE.OBJ.CP" w:val="&lt;UNUSED&gt;"/>
    <w:docVar w:name="LW_STATUT.CP" w:val="Förslag till"/>
    <w:docVar w:name="LW_SUPERTITRE" w:val="&lt;UNUSED&gt;"/>
    <w:docVar w:name="LW_TITRE.OBJ.CP" w:val="om den ståndpunkt som ska antas på Europeiska unionens vägnar vid det sjunde mötet i den mellanstatliga förhandlingskommittén om kvicksilver och vid det första mötet i partskonferensen för Minamatakonventionen om kvicksilver, med beaktande av det preliminära och slutliga antagandet av de riktlinjer som avses i artikel 8.8 och 8.9 "/>
    <w:docVar w:name="LW_TYPE.DOC.CP" w:val="RÅDETS BESLUT"/>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etitreacte">
    <w:name w:val="Annexe titre (acte)"/>
    <w:basedOn w:val="Normal"/>
    <w:next w:val="Normal"/>
    <w:pPr>
      <w:jc w:val="center"/>
    </w:pPr>
    <w:rPr>
      <w:rFonts w:eastAsia="Times New Roman"/>
      <w:b/>
      <w:szCs w:val="20"/>
      <w:u w:val="single"/>
    </w:rPr>
  </w:style>
  <w:style w:type="character" w:customStyle="1" w:styleId="SingleTxtGChar">
    <w:name w:val="_ Single Txt_G Char"/>
    <w:link w:val="SingleTxtG"/>
    <w:uiPriority w:val="99"/>
    <w:locked/>
    <w:rPr>
      <w:lang w:eastAsia="sv-SE"/>
    </w:rPr>
  </w:style>
  <w:style w:type="paragraph" w:customStyle="1" w:styleId="SingleTxtG">
    <w:name w:val="_ Single Txt_G"/>
    <w:basedOn w:val="Normal"/>
    <w:link w:val="SingleTxtGChar"/>
    <w:uiPriority w:val="99"/>
    <w:pPr>
      <w:suppressAutoHyphens/>
      <w:spacing w:before="0" w:line="240" w:lineRule="atLeast"/>
      <w:ind w:left="1134" w:right="1134"/>
    </w:pPr>
    <w:rPr>
      <w:rFonts w:ascii="Calibri" w:hAnsi="Calibri"/>
      <w:sz w:val="20"/>
      <w:szCs w:val="20"/>
    </w:rPr>
  </w:style>
  <w:style w:type="character" w:customStyle="1" w:styleId="HChGChar">
    <w:name w:val="_ H _Ch_G Char"/>
    <w:link w:val="HChG"/>
    <w:uiPriority w:val="99"/>
    <w:locked/>
    <w:rPr>
      <w:b/>
      <w:sz w:val="28"/>
      <w:lang w:eastAsia="sv-SE"/>
    </w:rPr>
  </w:style>
  <w:style w:type="paragraph" w:customStyle="1" w:styleId="HChG">
    <w:name w:val="_ H _Ch_G"/>
    <w:basedOn w:val="Normal"/>
    <w:next w:val="Normal"/>
    <w:link w:val="HChGChar"/>
    <w:uiPriority w:val="99"/>
    <w:pPr>
      <w:keepNext/>
      <w:keepLines/>
      <w:tabs>
        <w:tab w:val="right" w:pos="851"/>
      </w:tabs>
      <w:suppressAutoHyphens/>
      <w:spacing w:before="360" w:after="240" w:line="300" w:lineRule="exact"/>
      <w:ind w:left="1134" w:right="1134" w:hanging="1134"/>
      <w:jc w:val="left"/>
    </w:pPr>
    <w:rPr>
      <w:rFonts w:ascii="Calibri" w:hAnsi="Calibri"/>
      <w:b/>
      <w:sz w:val="28"/>
      <w:szCs w:val="20"/>
    </w:rPr>
  </w:style>
  <w:style w:type="paragraph" w:customStyle="1" w:styleId="H1G">
    <w:name w:val="_ H_1_G"/>
    <w:basedOn w:val="Normal"/>
    <w:next w:val="Normal"/>
    <w:pPr>
      <w:keepNext/>
      <w:keepLines/>
      <w:tabs>
        <w:tab w:val="right" w:pos="851"/>
      </w:tabs>
      <w:suppressAutoHyphens/>
      <w:spacing w:before="360" w:after="240" w:line="270" w:lineRule="exact"/>
      <w:ind w:left="1134" w:right="1134" w:hanging="1134"/>
      <w:jc w:val="left"/>
    </w:pPr>
    <w:rPr>
      <w:rFonts w:eastAsia="Times New Roman"/>
      <w:b/>
      <w:szCs w:val="20"/>
    </w:rPr>
  </w:style>
  <w:style w:type="character" w:customStyle="1" w:styleId="SingleTxtGCar">
    <w:name w:val="_ Single Txt_G Car"/>
    <w:uiPriority w:val="99"/>
    <w:locked/>
    <w:rPr>
      <w:lang w:eastAsia="sv-SE"/>
    </w:rPr>
  </w:style>
  <w:style w:type="character" w:customStyle="1" w:styleId="st">
    <w:name w:val="st"/>
    <w:uiPriority w:val="99"/>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sv-SE"/>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lang w:eastAsia="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eastAsia="sv-SE"/>
    </w:rPr>
  </w:style>
  <w:style w:type="paragraph" w:styleId="Revision">
    <w:name w:val="Revision"/>
    <w:hidden/>
    <w:uiPriority w:val="99"/>
    <w:semiHidden/>
    <w:rPr>
      <w:rFonts w:ascii="Times New Roman" w:hAnsi="Times New Roman"/>
      <w:sz w:val="24"/>
    </w:rPr>
  </w:style>
  <w:style w:type="paragraph" w:customStyle="1" w:styleId="NoteHead">
    <w:name w:val="NoteHead"/>
    <w:basedOn w:val="Normal"/>
    <w:next w:val="Normal"/>
    <w:pPr>
      <w:spacing w:before="720" w:after="720"/>
      <w:jc w:val="center"/>
    </w:pPr>
    <w:rPr>
      <w:rFonts w:eastAsia="Times New Roman"/>
      <w:b/>
      <w:smallCaps/>
      <w:szCs w:val="20"/>
    </w:rPr>
  </w:style>
  <w:style w:type="character" w:styleId="Hyperlink">
    <w:name w:val="Hyperlink"/>
    <w:rPr>
      <w:color w:val="0000FF"/>
      <w:u w:val="single"/>
    </w:rPr>
  </w:style>
  <w:style w:type="paragraph" w:styleId="Caption">
    <w:name w:val="caption"/>
    <w:basedOn w:val="Normal"/>
    <w:next w:val="Normal"/>
    <w:uiPriority w:val="35"/>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Times New Roman" w:hAnsi="Times New Roman"/>
    </w:rPr>
  </w:style>
  <w:style w:type="character" w:styleId="EndnoteReference">
    <w:name w:val="endnote reference"/>
    <w:uiPriority w:val="99"/>
    <w:semiHidden/>
    <w:unhideWhenUsed/>
    <w:rPr>
      <w:vertAlign w:val="superscript"/>
    </w:rPr>
  </w:style>
  <w:style w:type="character" w:styleId="FollowedHyperlink">
    <w:name w:val="FollowedHyperlink"/>
    <w:uiPriority w:val="99"/>
    <w:semiHidden/>
    <w:unhideWhenUsed/>
    <w:rPr>
      <w:color w:val="800080"/>
      <w:u w:val="single"/>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97650">
      <w:bodyDiv w:val="1"/>
      <w:marLeft w:val="0"/>
      <w:marRight w:val="0"/>
      <w:marTop w:val="0"/>
      <w:marBottom w:val="0"/>
      <w:divBdr>
        <w:top w:val="none" w:sz="0" w:space="0" w:color="auto"/>
        <w:left w:val="none" w:sz="0" w:space="0" w:color="auto"/>
        <w:bottom w:val="none" w:sz="0" w:space="0" w:color="auto"/>
        <w:right w:val="none" w:sz="0" w:space="0" w:color="auto"/>
      </w:divBdr>
    </w:div>
    <w:div w:id="920259250">
      <w:bodyDiv w:val="1"/>
      <w:marLeft w:val="0"/>
      <w:marRight w:val="0"/>
      <w:marTop w:val="0"/>
      <w:marBottom w:val="0"/>
      <w:divBdr>
        <w:top w:val="none" w:sz="0" w:space="0" w:color="auto"/>
        <w:left w:val="none" w:sz="0" w:space="0" w:color="auto"/>
        <w:bottom w:val="none" w:sz="0" w:space="0" w:color="auto"/>
        <w:right w:val="none" w:sz="0" w:space="0" w:color="auto"/>
      </w:divBdr>
      <w:divsChild>
        <w:div w:id="1822309148">
          <w:marLeft w:val="0"/>
          <w:marRight w:val="0"/>
          <w:marTop w:val="0"/>
          <w:marBottom w:val="0"/>
          <w:divBdr>
            <w:top w:val="none" w:sz="0" w:space="0" w:color="auto"/>
            <w:left w:val="none" w:sz="0" w:space="0" w:color="auto"/>
            <w:bottom w:val="none" w:sz="0" w:space="0" w:color="auto"/>
            <w:right w:val="none" w:sz="0" w:space="0" w:color="auto"/>
          </w:divBdr>
          <w:divsChild>
            <w:div w:id="812209678">
              <w:marLeft w:val="0"/>
              <w:marRight w:val="0"/>
              <w:marTop w:val="0"/>
              <w:marBottom w:val="0"/>
              <w:divBdr>
                <w:top w:val="none" w:sz="0" w:space="0" w:color="auto"/>
                <w:left w:val="none" w:sz="0" w:space="0" w:color="auto"/>
                <w:bottom w:val="none" w:sz="0" w:space="0" w:color="auto"/>
                <w:right w:val="none" w:sz="0" w:space="0" w:color="auto"/>
              </w:divBdr>
              <w:divsChild>
                <w:div w:id="317420553">
                  <w:marLeft w:val="0"/>
                  <w:marRight w:val="0"/>
                  <w:marTop w:val="0"/>
                  <w:marBottom w:val="0"/>
                  <w:divBdr>
                    <w:top w:val="none" w:sz="0" w:space="0" w:color="auto"/>
                    <w:left w:val="none" w:sz="0" w:space="0" w:color="auto"/>
                    <w:bottom w:val="none" w:sz="0" w:space="0" w:color="auto"/>
                    <w:right w:val="none" w:sz="0" w:space="0" w:color="auto"/>
                  </w:divBdr>
                  <w:divsChild>
                    <w:div w:id="967472176">
                      <w:marLeft w:val="1"/>
                      <w:marRight w:val="1"/>
                      <w:marTop w:val="0"/>
                      <w:marBottom w:val="0"/>
                      <w:divBdr>
                        <w:top w:val="none" w:sz="0" w:space="0" w:color="auto"/>
                        <w:left w:val="none" w:sz="0" w:space="0" w:color="auto"/>
                        <w:bottom w:val="none" w:sz="0" w:space="0" w:color="auto"/>
                        <w:right w:val="none" w:sz="0" w:space="0" w:color="auto"/>
                      </w:divBdr>
                      <w:divsChild>
                        <w:div w:id="1804537491">
                          <w:marLeft w:val="0"/>
                          <w:marRight w:val="0"/>
                          <w:marTop w:val="0"/>
                          <w:marBottom w:val="0"/>
                          <w:divBdr>
                            <w:top w:val="none" w:sz="0" w:space="0" w:color="auto"/>
                            <w:left w:val="none" w:sz="0" w:space="0" w:color="auto"/>
                            <w:bottom w:val="none" w:sz="0" w:space="0" w:color="auto"/>
                            <w:right w:val="none" w:sz="0" w:space="0" w:color="auto"/>
                          </w:divBdr>
                          <w:divsChild>
                            <w:div w:id="1937667557">
                              <w:marLeft w:val="0"/>
                              <w:marRight w:val="0"/>
                              <w:marTop w:val="0"/>
                              <w:marBottom w:val="360"/>
                              <w:divBdr>
                                <w:top w:val="none" w:sz="0" w:space="0" w:color="auto"/>
                                <w:left w:val="none" w:sz="0" w:space="0" w:color="auto"/>
                                <w:bottom w:val="none" w:sz="0" w:space="0" w:color="auto"/>
                                <w:right w:val="none" w:sz="0" w:space="0" w:color="auto"/>
                              </w:divBdr>
                              <w:divsChild>
                                <w:div w:id="436605532">
                                  <w:marLeft w:val="0"/>
                                  <w:marRight w:val="0"/>
                                  <w:marTop w:val="0"/>
                                  <w:marBottom w:val="0"/>
                                  <w:divBdr>
                                    <w:top w:val="none" w:sz="0" w:space="0" w:color="auto"/>
                                    <w:left w:val="none" w:sz="0" w:space="0" w:color="auto"/>
                                    <w:bottom w:val="none" w:sz="0" w:space="0" w:color="auto"/>
                                    <w:right w:val="none" w:sz="0" w:space="0" w:color="auto"/>
                                  </w:divBdr>
                                  <w:divsChild>
                                    <w:div w:id="21197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3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treaties.un.org/doc/Treaties/2013/10/20131010%2011-16%20AM/CTC-XXVII-17.pdf" TargetMode="External"/><Relationship Id="rId1" Type="http://schemas.openxmlformats.org/officeDocument/2006/relationships/hyperlink" Target="https://treaties.un.org/doc/Treaties/2013/10/20131010%2011-16%20AM/CTC-XXVII-1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D2A0D-D689-4BB5-A68F-18F6F110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6</Pages>
  <Words>1498</Words>
  <Characters>9233</Characters>
  <Application>Microsoft Office Word</Application>
  <DocSecurity>0</DocSecurity>
  <Lines>153</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10677</CharactersWithSpaces>
  <SharedDoc>false</SharedDoc>
  <HLinks>
    <vt:vector size="12" baseType="variant">
      <vt:variant>
        <vt:i4>3735672</vt:i4>
      </vt:variant>
      <vt:variant>
        <vt:i4>3</vt:i4>
      </vt:variant>
      <vt:variant>
        <vt:i4>0</vt:i4>
      </vt:variant>
      <vt:variant>
        <vt:i4>5</vt:i4>
      </vt:variant>
      <vt:variant>
        <vt:lpwstr>https://treaties.un.org/doc/Treaties/2013/10/20131010 11-16 AM/CTC-XXVII-17.pdf</vt:lpwstr>
      </vt:variant>
      <vt:variant>
        <vt:lpwstr/>
      </vt:variant>
      <vt:variant>
        <vt:i4>3735672</vt:i4>
      </vt:variant>
      <vt:variant>
        <vt:i4>0</vt:i4>
      </vt:variant>
      <vt:variant>
        <vt:i4>0</vt:i4>
      </vt:variant>
      <vt:variant>
        <vt:i4>5</vt:i4>
      </vt:variant>
      <vt:variant>
        <vt:lpwstr>https://treaties.un.org/doc/Treaties/2013/10/20131010 11-16 AM/CTC-XXVII-17.pdf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18</cp:revision>
  <cp:lastPrinted>2015-12-01T14:05:00Z</cp:lastPrinted>
  <dcterms:created xsi:type="dcterms:W3CDTF">2015-12-23T10:34:00Z</dcterms:created>
  <dcterms:modified xsi:type="dcterms:W3CDTF">2016-01-18T08:49:00Z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20140113</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SJ-019</vt:lpwstr>
  </property>
  <property fmtid="{D5CDD505-2E9C-101B-9397-08002B2CF9AE}" pid="10" name="DQCStatus">
    <vt:lpwstr>Green (DQC version 03)</vt:lpwstr>
  </property>
</Properties>
</file>