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 id="_x0000_i1037" type="#_x0000_t75" alt="1912F74FCA8147FE97E8820EA9FA8161" style="width:450.75pt;height:633.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2"/>
          <w:cols w:space="720"/>
          <w:docGrid w:linePitch="360"/>
        </w:sectPr>
      </w:pPr>
    </w:p>
    <w:p>
      <w:pPr>
        <w:pStyle w:val="Heading1"/>
        <w:rPr>
          <w:noProof/>
        </w:rPr>
      </w:pPr>
      <w:bookmarkStart w:id="1" w:name="_GoBack"/>
      <w:bookmarkEnd w:id="1"/>
      <w:r>
        <w:rPr>
          <w:noProof/>
        </w:rPr>
        <w:lastRenderedPageBreak/>
        <w:t>JOHDANTO</w:t>
      </w:r>
    </w:p>
    <w:p>
      <w:pPr>
        <w:rPr>
          <w:noProof/>
        </w:rPr>
      </w:pPr>
      <w:r>
        <w:rPr>
          <w:noProof/>
        </w:rPr>
        <w:t>Euroopan parlamentin ja neuvoston direktiivi 2009/31/EY hiilidioksidin geologisesta varastoinnista (hiilidioksidin talteenottoa ja varastointia koskeva CCS-direktiivi) hyväksyttiin osana vuoden 2009 ilmasto- ja energiapakettia. Se muodostaa oikeudellisen kehyksen ympäristön kannalta turvalliselle hiilidioksidin (CO</w:t>
      </w:r>
      <w:r>
        <w:rPr>
          <w:noProof/>
          <w:vertAlign w:val="subscript"/>
        </w:rPr>
        <w:t>2</w:t>
      </w:r>
      <w:r>
        <w:rPr>
          <w:noProof/>
        </w:rPr>
        <w:t>) geologiselle varastoinnille. Sen tavoitteena on varmistaa, ettei merkittävää hiilivuodon riskiä synny eikä ihmisten terveydelle tai ympäristölle aiheudu vahinkoa. Lisäksi tavoitteena on ehkäistä mahdolliset siirtoverkon tai varastointipaikkojen turvallisuudelle aiheutuva haittavaikutukset sekä ottaa tällä tavoin huomioon kansalaisten huolenaiheet. CCS-direktiivissä säädetään myös hiilidioksidin talteenotosta ja siirrosta osia, vaikka nämä toimenpiteet kuuluvatkin pääasiassa EU:n voimassa olevan ympäristölainsäädännön, muun muassa ympäristövaikutusten arvioinnista annetun direktiivin</w:t>
      </w:r>
      <w:r>
        <w:rPr>
          <w:rStyle w:val="FootnoteReference"/>
          <w:noProof/>
        </w:rPr>
        <w:footnoteReference w:id="2"/>
      </w:r>
      <w:r>
        <w:rPr>
          <w:noProof/>
        </w:rPr>
        <w:t xml:space="preserve"> ja teollisuuden päästöistä annetun direktiivin</w:t>
      </w:r>
      <w:r>
        <w:rPr>
          <w:rStyle w:val="FootnoteReference"/>
          <w:noProof/>
        </w:rPr>
        <w:footnoteReference w:id="3"/>
      </w:r>
      <w:r>
        <w:rPr>
          <w:noProof/>
        </w:rPr>
        <w:t xml:space="preserve">, soveltamisalaan. </w:t>
      </w:r>
    </w:p>
    <w:p>
      <w:pPr>
        <w:rPr>
          <w:noProof/>
        </w:rPr>
      </w:pPr>
      <w:r>
        <w:rPr>
          <w:noProof/>
        </w:rPr>
        <w:t>Euroopan komission mukaan direktiivin siirtäminen osaksi kansallista lainsäädäntö on kesken enää yhdessä jäsenvaltiossa. Kyseisen jäsenvaltion kanssa käydään tällä hetkellä neuvotteluja. Komissio tarkistaa parhaillaan näiden toimenpiteiden vaatimustenmukaisuutta.</w:t>
      </w:r>
    </w:p>
    <w:p>
      <w:pPr>
        <w:spacing w:after="120"/>
        <w:rPr>
          <w:noProof/>
        </w:rPr>
      </w:pPr>
      <w:r>
        <w:rPr>
          <w:noProof/>
        </w:rPr>
        <w:t xml:space="preserve">CCS-direktiivin 38 artiklan mukaan komissio arvioi direktiivin täytäntöönpanoa ja toimittaa Euroopan parlamentille ja neuvostolle 31. maaliskuuta 2015 mennessä asiaa koskevan kertomuksen ja tekee tarvittaessa ehdotuksen direktiivin tarkistamiseksi. </w:t>
      </w:r>
    </w:p>
    <w:p>
      <w:pPr>
        <w:rPr>
          <w:noProof/>
        </w:rPr>
      </w:pPr>
      <w:r>
        <w:rPr>
          <w:noProof/>
        </w:rPr>
        <w:t>Tässä kertomuksessa arvioidaan lisäksi direktiivin vaikuttavuutta, tehokkuutta, johdonmukaisuutta ja merkityksellisyyttä sekä sen EU:lle tuomaa lisäarvoa komission sääntelyn toimivuutta ja tuloksellisuutta käsittelevän REFIT-ohjelman (Regulatory Fitness and Performance)</w:t>
      </w:r>
      <w:r>
        <w:rPr>
          <w:rStyle w:val="FootnoteReference"/>
          <w:noProof/>
        </w:rPr>
        <w:footnoteReference w:id="4"/>
      </w:r>
      <w:r>
        <w:rPr>
          <w:noProof/>
        </w:rPr>
        <w:t xml:space="preserve"> puitteissa.</w:t>
      </w:r>
    </w:p>
    <w:p>
      <w:pPr>
        <w:rPr>
          <w:noProof/>
        </w:rPr>
      </w:pPr>
      <w:r>
        <w:rPr>
          <w:noProof/>
        </w:rPr>
        <w:t>Siinä tarkastellaan myös CCS-teknologian käyttöönoton laajuutta ja määritellään uusia toimenpiteitä, joihin on ryhdyttävä käyttöönoton nopeuttamiseksi laajempi taloudellinen ja poliittinen ympäristö huomioon ottaen.</w:t>
      </w:r>
    </w:p>
    <w:p>
      <w:pPr>
        <w:pStyle w:val="Heading1"/>
        <w:rPr>
          <w:noProof/>
        </w:rPr>
      </w:pPr>
      <w:r>
        <w:rPr>
          <w:noProof/>
        </w:rPr>
        <w:t>MENETELMÄ</w:t>
      </w:r>
    </w:p>
    <w:p>
      <w:pPr>
        <w:rPr>
          <w:noProof/>
        </w:rPr>
      </w:pPr>
      <w:r>
        <w:rPr>
          <w:noProof/>
        </w:rPr>
        <w:t>Kertomuksen päätelmien tueksi järjestettiin sidosryhmille ja asiantuntijoille suunnattu verkkokysely ja kuuleminen. Kyselyyn saatiin yli sata vastausta teollisuudelta sekä laitoksilta, tutkimusjärjestöiltä ja kansalaisjärjestöiltä. Niitä täydennettiin kohdennetuilla haastatteluilla, kirjallisuuskatsauksilla ja tapaustutkimuksilla. Komissio kuuli lisäksi jäsenvaltioita direktiivin 27 artiklan 2 kohdan mukaisesti perustetun tietojenvaihtoryhmän kautta. Kysely ja analyysi pohjautuvat 38 artiklassa lueteltuihin uudelleentarkastelun aiheisiin sekä REFIT-ohjelman perusteisiin. Lisätietoja annetaan arviointikertomuksessa</w:t>
      </w:r>
      <w:r>
        <w:rPr>
          <w:rStyle w:val="FootnoteReference"/>
          <w:noProof/>
        </w:rPr>
        <w:footnoteReference w:id="5"/>
      </w:r>
      <w:r>
        <w:rPr>
          <w:noProof/>
        </w:rPr>
        <w:t>.</w:t>
      </w:r>
    </w:p>
    <w:p>
      <w:pPr>
        <w:rPr>
          <w:rFonts w:cs="Arial"/>
          <w:noProof/>
          <w:szCs w:val="20"/>
        </w:rPr>
      </w:pPr>
      <w:r>
        <w:rPr>
          <w:noProof/>
        </w:rPr>
        <w:t>Uudelleentarkastelua on rajoittanut se, että toiminnassa olevia CCS-laitoksia (hiilidioksidin talteenotto, siirto ja varastointi) on paljon vähemmän kuin mitä odotettiin direktiiviä hyväksyttäessä. Vain yhdessä hankkeessa – Alankomaissa toteutetulla ROAD-hankkeella</w:t>
      </w:r>
      <w:r>
        <w:rPr>
          <w:rStyle w:val="FootnoteReference"/>
          <w:noProof/>
        </w:rPr>
        <w:footnoteReference w:id="6"/>
      </w:r>
      <w:r>
        <w:rPr>
          <w:noProof/>
        </w:rPr>
        <w:t xml:space="preserve"> – on saatu direktiivistä muuta käytännön kokemusta kuin sellaista, joka liittyy tutkimuslupiin ja mahdollisuuteen jälkiasentaa CCS-teknologiaa suuriin polttolaitoksiin. Jotta voitaisiin testata kattavasti direktiivin toimivuutta ja arvioida perusteellisemmin sen vaikuttavuutta ja tehokkuutta, tarvitaan laajempaa kokemusta direktiivin soveltamisesta ja CCS-teknologiasta yleensä.</w:t>
      </w:r>
    </w:p>
    <w:p>
      <w:pPr>
        <w:pStyle w:val="Heading1"/>
        <w:rPr>
          <w:noProof/>
        </w:rPr>
      </w:pPr>
      <w:r>
        <w:rPr>
          <w:noProof/>
        </w:rPr>
        <w:t>CCS-TEKNOLOGIAN KÄYTTÖÖNOTTO TÄLLÄ HETKELLÄ</w:t>
      </w:r>
    </w:p>
    <w:p>
      <w:pPr>
        <w:rPr>
          <w:noProof/>
        </w:rPr>
      </w:pPr>
      <w:r>
        <w:rPr>
          <w:noProof/>
        </w:rPr>
        <w:t>Eurooppa-neuvosto pyysi kesäkuussa 2008 komissiota tekemään mahdollisimman pian ehdotuksen jäsenvaltioille ja yksityissektorille suunnattavasta kannustavasta mekanismista, jolla taattaisiin jopa kahdentoista CCS-teknologian demonstrointilaitoksen rakentaminen ja toiminta vuoteen 2015 mennessä ja edistettäisiin näin ilmastonmuutoksen torjumista. Tätä tavoitetta ei ole saavutettu, ja Euroopassa toimii ainoastaan kaksi suurta CCS-laitosta (molemmat Norjassa).</w:t>
      </w:r>
    </w:p>
    <w:p>
      <w:pPr>
        <w:rPr>
          <w:noProof/>
        </w:rPr>
      </w:pPr>
      <w:r>
        <w:rPr>
          <w:rFonts w:ascii="TimesNewRoman" w:hAnsi="TimesNewRoman"/>
          <w:noProof/>
        </w:rPr>
        <w:t>Komissio on vahvistanut CCS-teknologiaa koskevan kantansa lukuisissa poliittisissa tiedonannoissa</w:t>
      </w:r>
      <w:r>
        <w:rPr>
          <w:rStyle w:val="FootnoteReference"/>
          <w:rFonts w:ascii="TimesNewRoman" w:hAnsi="TimesNewRoman"/>
          <w:noProof/>
        </w:rPr>
        <w:footnoteReference w:id="7"/>
      </w:r>
      <w:r>
        <w:rPr>
          <w:rFonts w:ascii="TimesNewRoman" w:hAnsi="TimesNewRoman"/>
          <w:noProof/>
        </w:rPr>
        <w:t>. Hiilestä irtautumista koskevien tavoitteiden saavuttamiseksi CCS-teknologiaa on hyödynnettävä noin vuodesta 2030 alkaen fossiilisia polttoaineita käyttävässä sähköntuotannossa.</w:t>
      </w:r>
      <w:r>
        <w:rPr>
          <w:rStyle w:val="FootnoteReference"/>
          <w:rFonts w:ascii="TimesNewRoman" w:hAnsi="TimesNewRoman"/>
          <w:noProof/>
        </w:rPr>
        <w:footnoteReference w:id="8"/>
      </w:r>
      <w:r>
        <w:rPr>
          <w:rFonts w:ascii="TimesNewRoman" w:hAnsi="TimesNewRoman"/>
          <w:noProof/>
        </w:rPr>
        <w:t xml:space="preserve"> </w:t>
      </w:r>
      <w:r>
        <w:rPr>
          <w:noProof/>
        </w:rPr>
        <w:t>Pidemmällä aikavälillä CCS saattaa olla ainoa käytettävissä oleva vaihtoehto suurten teollisuusprosessien suorien päästöjen vähentämiseksi.</w:t>
      </w:r>
      <w:r>
        <w:rPr>
          <w:rStyle w:val="FootnoteReference"/>
          <w:noProof/>
        </w:rPr>
        <w:footnoteReference w:id="9"/>
      </w:r>
    </w:p>
    <w:p>
      <w:pPr>
        <w:rPr>
          <w:noProof/>
        </w:rPr>
      </w:pPr>
      <w:r>
        <w:rPr>
          <w:noProof/>
        </w:rPr>
        <w:t xml:space="preserve">Tähän mennessä tukea on myönnetty yhdelle CCS-hankkeelle. Yhdistyneen kuningaskunnan White Rose </w:t>
      </w:r>
      <w:r>
        <w:rPr>
          <w:noProof/>
        </w:rPr>
        <w:noBreakHyphen/>
        <w:t>hanke sai 300 miljoonaa euroa NER300-ohjelman toisen ehdotuspyynnön puitteissa</w:t>
      </w:r>
      <w:r>
        <w:rPr>
          <w:rStyle w:val="FootnoteReference"/>
          <w:noProof/>
        </w:rPr>
        <w:footnoteReference w:id="10"/>
      </w:r>
      <w:r>
        <w:rPr>
          <w:noProof/>
        </w:rPr>
        <w:t>. Lisäksi Yhdistynyt kuningaskunta on tehnyt tutkimussopimukset White Rose- ja Peterhead-hankkeiden kanssa</w:t>
      </w:r>
      <w:r>
        <w:rPr>
          <w:rStyle w:val="FootnoteReference"/>
          <w:noProof/>
        </w:rPr>
        <w:footnoteReference w:id="11"/>
      </w:r>
      <w:r>
        <w:rPr>
          <w:noProof/>
        </w:rPr>
        <w:t>. Euroopan energia-alan elvytysohjelmasta (EEPR)</w:t>
      </w:r>
      <w:r>
        <w:rPr>
          <w:rStyle w:val="FootnoteReference"/>
          <w:noProof/>
        </w:rPr>
        <w:footnoteReference w:id="12"/>
      </w:r>
      <w:r>
        <w:rPr>
          <w:noProof/>
        </w:rPr>
        <w:t xml:space="preserve"> osoitettiin miljardi euroa CCS-demonstrointihankkeille. Tällä hetkellä käynnissä on kaksi hanketta – ROAD-hanke Alankomaissa ja Don Valley -hanke Yhdistyneessä kuningaskunnassa. EU:ssa on suunnitteluvaiheessa yhteensä neljä hanketta, jotka voitaisiin käynnistää vuoden 2020 vaiheilla. Näistä hankkeista saadaan niiden käynnistymisen jälkeen uusia kokemuksia, jotka täydentäisivät kahdesta norjalaisesta maakaasun tuotantoon liittyvästä kaupallisesta hankkeesta eli Sleipner- ja Snøhvit-hankkeista jo saatuja kokemuksia. Laajamittaisessa CCS-teknologiassa saavutettu edistys on kuitenkin ollut Euroopassa paljon odotettua hitaampaa.</w:t>
      </w:r>
    </w:p>
    <w:p>
      <w:pPr>
        <w:rPr>
          <w:noProof/>
        </w:rPr>
      </w:pPr>
      <w:r>
        <w:rPr>
          <w:noProof/>
        </w:rPr>
        <w:t>EU:n ulkopuolella on tällä hetkellä 20 laajamittaista CCS-hanketta joko käynnissä tai rakenteilla. Suurin osa niistä on teollisuushankkeita, jotka liittyvät tehostettuun öljyn talteenottoon ja lisäävät siten taloudellista hyötyä.</w:t>
      </w:r>
      <w:r>
        <w:rPr>
          <w:rStyle w:val="FootnoteReference"/>
          <w:noProof/>
        </w:rPr>
        <w:footnoteReference w:id="13"/>
      </w:r>
      <w:r>
        <w:rPr>
          <w:noProof/>
        </w:rPr>
        <w:t xml:space="preserve"> </w:t>
      </w:r>
    </w:p>
    <w:p>
      <w:pPr>
        <w:rPr>
          <w:noProof/>
        </w:rPr>
      </w:pPr>
      <w:r>
        <w:rPr>
          <w:noProof/>
        </w:rPr>
        <w:t xml:space="preserve">Hiilidioksidin talteenotto ja käyttö on suhteellisen uusi tekniikka, joka tarjoaa mahdollisuuden hiilidioksidin uudelleenkäyttöön raaka-aineena monissa käyttötarkoituksissa. Hiilidioksidin talteenotolla ja käytöllä uskotaan olevan huomattavasti vähemmän vaikutusta ilmastonmuutoksen lieventämiseen kuin CCS-teknologialla, mutta se tarjoaa mahdollisesti lukuisia hyötyjä, muun muassa lisää CCS-hankkeiden taloudellista arvoa. </w:t>
      </w:r>
    </w:p>
    <w:p>
      <w:pPr>
        <w:pStyle w:val="Heading1"/>
        <w:rPr>
          <w:noProof/>
        </w:rPr>
      </w:pPr>
      <w:r>
        <w:rPr>
          <w:noProof/>
        </w:rPr>
        <w:t>CCS-DIREKTIIVIN UUDELLEENTARKASTELU</w:t>
      </w:r>
    </w:p>
    <w:p>
      <w:pPr>
        <w:rPr>
          <w:noProof/>
        </w:rPr>
      </w:pPr>
      <w:r>
        <w:rPr>
          <w:noProof/>
        </w:rPr>
        <w:t xml:space="preserve">CCS-direktiivi muodostaa lainsäädäntökehyksen hiilidioksidin varastointiin liittyvien ympäristö-, terveys- ja turvallisuuskysymysten käsittelylle. Se yhdenmukaistaa hiilidioksidin talteenoton, siirron ja varastoinnin koko sykliä koskevat hallinnolliset menettelyt kaikissa jäsenvaltioissa ja luo siten investoijille tarvittavaa oikeusvarmuutta suurten hiilidioksidin talteenottolaitosten ja siirtoputkien rakentamista sekä varastointipaikkojen kehittämistä varten. </w:t>
      </w:r>
    </w:p>
    <w:p>
      <w:pPr>
        <w:rPr>
          <w:noProof/>
        </w:rPr>
      </w:pPr>
      <w:r>
        <w:rPr>
          <w:noProof/>
        </w:rPr>
        <w:t xml:space="preserve">Tässä osassa käsitellään erityiskysymyksiä, joihin komissiota on pyydetty vastaamaan REFIT-ohjelman ja direktiivin 38 artiklan mukaisesti. </w:t>
      </w:r>
    </w:p>
    <w:p>
      <w:pPr>
        <w:keepNext/>
        <w:spacing w:after="0"/>
        <w:rPr>
          <w:b/>
          <w:i/>
          <w:noProof/>
        </w:rPr>
      </w:pPr>
      <w:r>
        <w:rPr>
          <w:b/>
          <w:i/>
          <w:noProof/>
        </w:rPr>
        <w:t xml:space="preserve">Vaikuttavuus ja tehokkuus </w:t>
      </w:r>
    </w:p>
    <w:p>
      <w:pPr>
        <w:rPr>
          <w:noProof/>
        </w:rPr>
      </w:pPr>
      <w:r>
        <w:rPr>
          <w:noProof/>
        </w:rPr>
        <w:t>CCS-laitoksia on rakennettu paljon odotettua vähemmän teknologian kaupallistamiseen liittyvien puutteiden vuoksi. Tämä johtuu suurelta osin talouden maailmanlaajuisesta laskusuhdanteesta ja hiilidioksidin alhaisista hinnoista. Teknologiasta ei ole riittävästi käytännön kokemusta, ja siksi on vaikea arvioida edistystä, jota on saavutettu esimerkiksi oikeusvarmuuden luomisessa, sen varmistamisessa, ettei laitoksista aiheudu vaaraa ympäristölle ja ihmisten terveydelle sekä hallinnollisten kulujen tai sääntelyrasitteiden arviointiin perustuvassa tehokkuuden määrittämisessä. Koska vielä ei ole käytettävissä käytännön kokemuksia sellaisista laitoksista, jotka ovat läpikäyneet CCS-direktiivissä kuvatun sääntelymenettelyn, on myös mahdotonta saada tietoja jäsenvaltioille aiheutuvien täytäntöönpanokulujen suuruudesta ja arvioida näin direktiivin tehokkuutta.</w:t>
      </w:r>
    </w:p>
    <w:p>
      <w:pPr>
        <w:keepNext/>
        <w:spacing w:after="0"/>
        <w:rPr>
          <w:b/>
          <w:i/>
          <w:noProof/>
        </w:rPr>
      </w:pPr>
      <w:r>
        <w:rPr>
          <w:b/>
          <w:i/>
          <w:noProof/>
        </w:rPr>
        <w:t>Merkityksellisyys</w:t>
      </w:r>
    </w:p>
    <w:p>
      <w:pPr>
        <w:rPr>
          <w:noProof/>
        </w:rPr>
      </w:pPr>
      <w:r>
        <w:rPr>
          <w:noProof/>
        </w:rPr>
        <w:t>Direktiivissä keskitytään tärkeimpiin kysymyksiin, jotka olisi sisällytettävä CCS-teknologian kehittämisen yhteiseen lähestymistapaan. Päästöjen vähentämiseksi tarvitaan edelleen kipeästi toimia, ja tuoreimmassa analyysissa</w:t>
      </w:r>
      <w:r>
        <w:rPr>
          <w:rStyle w:val="FootnoteReference"/>
          <w:noProof/>
        </w:rPr>
        <w:footnoteReference w:id="14"/>
      </w:r>
      <w:r>
        <w:rPr>
          <w:noProof/>
        </w:rPr>
        <w:t xml:space="preserve"> todetaan, että tästä tarpeesta on tullut yhä pakottavampi.</w:t>
      </w:r>
    </w:p>
    <w:p>
      <w:pPr>
        <w:keepNext/>
        <w:spacing w:after="0"/>
        <w:rPr>
          <w:b/>
          <w:i/>
          <w:noProof/>
        </w:rPr>
      </w:pPr>
      <w:r>
        <w:rPr>
          <w:b/>
          <w:i/>
          <w:noProof/>
        </w:rPr>
        <w:t>Johdonmukaisuus</w:t>
      </w:r>
    </w:p>
    <w:p>
      <w:pPr>
        <w:rPr>
          <w:noProof/>
        </w:rPr>
      </w:pPr>
      <w:r>
        <w:rPr>
          <w:noProof/>
        </w:rPr>
        <w:t xml:space="preserve">CCS-direktiivin säännökset ovat johdonmukaisia toisiinsa nähden, ja direktiivi on yhdenmukainen yleisen ilmasto- ja energiakehyksen kanssa. </w:t>
      </w:r>
    </w:p>
    <w:p>
      <w:pPr>
        <w:keepNext/>
        <w:spacing w:after="0"/>
        <w:rPr>
          <w:b/>
          <w:i/>
          <w:noProof/>
        </w:rPr>
      </w:pPr>
      <w:r>
        <w:rPr>
          <w:b/>
          <w:i/>
          <w:noProof/>
        </w:rPr>
        <w:t>Lisäarvo EU:lle</w:t>
      </w:r>
    </w:p>
    <w:p>
      <w:pPr>
        <w:rPr>
          <w:noProof/>
        </w:rPr>
      </w:pPr>
      <w:r>
        <w:rPr>
          <w:noProof/>
        </w:rPr>
        <w:t xml:space="preserve">Direktiivi muodostaa yleisen kehyksen, kun taas jäsenvaltiot määrittävät CCS-laitosten laitoskohtaiset erityiskysymykset, tekevät niitä koskevat päätökset ja soveltavat niitä. Tähän mennessä on osoittautunut, että lähestymistapa on tarjonnut riittävät vähimmäisvaatimukset ja ohjeet yhteisen lähestymistavan takaamiseksi, samalla kun jäsenvaltioille jää riittävästi vapautta mukauttaa ne kansallisiin olosuhteisiinsa. </w:t>
      </w:r>
    </w:p>
    <w:p>
      <w:pPr>
        <w:keepNext/>
        <w:spacing w:after="0"/>
        <w:rPr>
          <w:b/>
          <w:i/>
          <w:noProof/>
        </w:rPr>
      </w:pPr>
      <w:r>
        <w:rPr>
          <w:b/>
          <w:i/>
          <w:noProof/>
        </w:rPr>
        <w:t>Hiilidioksidin varastoinnin pysyvyys</w:t>
      </w:r>
    </w:p>
    <w:p>
      <w:pPr>
        <w:rPr>
          <w:noProof/>
        </w:rPr>
      </w:pPr>
      <w:r>
        <w:rPr>
          <w:noProof/>
        </w:rPr>
        <w:t>Koska EU:lla on vain rajoitetusti kokemusta CCS-teknologiasta, pysyvää eristämistä ei ole vielä täysimääräisesti demonstroitu laajassa mittakaavassa. Tutkimuksissa käytetyistä varastointipaikoista ja muissa maissa toteutetuista hankkeista, erityisesti Norjassa toteutetuista kahdesta laajasta hankkeesta, joissa hiilidioksidia on injektoitu suolaisiin pohjavesiesiintymiin Pohjanmeren alapuolella (vuodesta 1996 alkaen), on saatu tuloksia, jotka osoittavat, että turvallinen ja pitkäaikainen varastointi ilman vuotoja on mahdollista.</w:t>
      </w:r>
    </w:p>
    <w:p>
      <w:pPr>
        <w:keepNext/>
        <w:spacing w:after="0"/>
        <w:rPr>
          <w:b/>
          <w:i/>
          <w:noProof/>
        </w:rPr>
      </w:pPr>
      <w:r>
        <w:rPr>
          <w:b/>
          <w:i/>
          <w:noProof/>
        </w:rPr>
        <w:t>Komission tarve tarkastella uudelleen varastointilupaluonnoksia ja vastuun siirtämistä koskevia päätösluonnoksia</w:t>
      </w:r>
    </w:p>
    <w:p>
      <w:pPr>
        <w:rPr>
          <w:noProof/>
        </w:rPr>
      </w:pPr>
      <w:r>
        <w:rPr>
          <w:noProof/>
        </w:rPr>
        <w:t>Tähän mennessä direktiivin nojalla on myönnetty ainoastaan yksi lupa, jonka Alankomaiden toimivaltainen viranomainen myönsi ROAD-hankkeelle. Komissio antoi myönteisen lausunnon lupaluonnoksesta</w:t>
      </w:r>
      <w:r>
        <w:rPr>
          <w:rStyle w:val="FootnoteReference"/>
          <w:noProof/>
        </w:rPr>
        <w:footnoteReference w:id="15"/>
      </w:r>
      <w:r>
        <w:rPr>
          <w:noProof/>
        </w:rPr>
        <w:t>. Lupaluonnosten esittäminen komissiolle uudelleentarkastelua varten 10 artiklan mukaisesti ei merkittävästi pidennä luvan saamiseen tarvittavaa aikaa.</w:t>
      </w:r>
    </w:p>
    <w:p>
      <w:pPr>
        <w:rPr>
          <w:noProof/>
        </w:rPr>
      </w:pPr>
      <w:r>
        <w:rPr>
          <w:noProof/>
        </w:rPr>
        <w:t xml:space="preserve">Rahallista vakuutta koskevassa 19 artiklassa ja rahoitusjärjestelmää koskevassa 20 artiklassa annetaan jäsenvaltioille riittävästi liikkumavaraa päättää siitä, miten varastointipaikkojen toiminnanharjoittajien olisi osoitettava pätevyytensä käyttää ja valvoa varastointipaikkaa turvallisesti siihen asti, kunnes vastuu siirretään toimivaltaiselle viranomaiselle. </w:t>
      </w:r>
    </w:p>
    <w:p>
      <w:pPr>
        <w:rPr>
          <w:noProof/>
        </w:rPr>
      </w:pPr>
      <w:r>
        <w:rPr>
          <w:noProof/>
        </w:rPr>
        <w:t>Vastuun siirtoa koskevan 18 artiklan soveltamisesta ei ole käytännön kokemusta. Tämän artiklan soveltamista käsitellään direktiivin seuraavan uudelleentarkastelun yhteydessä.</w:t>
      </w:r>
    </w:p>
    <w:p>
      <w:pPr>
        <w:keepNext/>
        <w:spacing w:after="0"/>
        <w:rPr>
          <w:noProof/>
        </w:rPr>
      </w:pPr>
      <w:r>
        <w:rPr>
          <w:b/>
          <w:i/>
          <w:noProof/>
        </w:rPr>
        <w:t>Hiilidioksidivirran hyväksymisperusteet, 12 artiklassa tarkoitettu menettely, kolmansille osapuolille myönnettävä käyttöoikeus ja rajat ylittävä yhteistyö</w:t>
      </w:r>
    </w:p>
    <w:p>
      <w:pPr>
        <w:rPr>
          <w:noProof/>
        </w:rPr>
      </w:pPr>
      <w:r>
        <w:rPr>
          <w:noProof/>
        </w:rPr>
        <w:t>Näistä vaatimuksista ei ole vielä käytännön kokemusta, joten komissio katsoo, että minkäänlaiset toimenpiteet eivät ole tarpeen tässä vaiheessa. Näitä artikloja käsitellään direktiivin seuraavan uudelleentarkastelun yhteydessä.</w:t>
      </w:r>
    </w:p>
    <w:p>
      <w:pPr>
        <w:keepNext/>
        <w:spacing w:after="0"/>
        <w:rPr>
          <w:b/>
          <w:i/>
          <w:noProof/>
        </w:rPr>
      </w:pPr>
      <w:r>
        <w:rPr>
          <w:b/>
          <w:i/>
          <w:noProof/>
        </w:rPr>
        <w:t xml:space="preserve">Suuria polttolaitoksia koskevien säännösten soveltaminen </w:t>
      </w:r>
    </w:p>
    <w:p>
      <w:pPr>
        <w:rPr>
          <w:noProof/>
        </w:rPr>
      </w:pPr>
      <w:r>
        <w:rPr>
          <w:noProof/>
        </w:rPr>
        <w:t>Tiedot siitä, miten jäsenvaltiot soveltavat hiilidioksidin talteenottolaitteiden jälkiasennuksen toteutettavuutta koskevaa 33 artiklaa, on helposti saatavilla ainoastaan Yhdistyneestä kuningaskunnasta, jossa suurten polttolaitosten toiminnanharjoittajien on osoitettava, että polttolaitoksissa on varattu riittävästi tilaa hiilidioksidin ottamiseksi talteen tulevaisuudessa</w:t>
      </w:r>
      <w:r>
        <w:rPr>
          <w:rStyle w:val="FootnoteReference"/>
          <w:noProof/>
        </w:rPr>
        <w:footnoteReference w:id="16"/>
      </w:r>
      <w:r>
        <w:rPr>
          <w:noProof/>
        </w:rPr>
        <w:t>. Jotkin jäsenvaltiot (esim. Saksa, Ranska, Unkari, Puola, Romania, Slovenia ja Yhdistynyt kuningaskunta) ovat ilmoittaneet, että ne ovat soveltaneet 33 artiklaa myöntäessään lupia uusille fossiilisia polttoaineita käyttäville, yli 300 MW:n voimalaitoksille.</w:t>
      </w:r>
      <w:r>
        <w:rPr>
          <w:rStyle w:val="FootnoteReference"/>
          <w:noProof/>
        </w:rPr>
        <w:footnoteReference w:id="17"/>
      </w:r>
    </w:p>
    <w:p>
      <w:pPr>
        <w:keepNext/>
        <w:spacing w:after="0"/>
        <w:rPr>
          <w:b/>
          <w:i/>
          <w:noProof/>
        </w:rPr>
      </w:pPr>
      <w:r>
        <w:rPr>
          <w:b/>
          <w:i/>
          <w:noProof/>
        </w:rPr>
        <w:t>Hiilidioksidin geologisen varastoinnin tulevaisuudennäkymiä kolmansissa maissa</w:t>
      </w:r>
    </w:p>
    <w:p>
      <w:pPr>
        <w:rPr>
          <w:noProof/>
        </w:rPr>
      </w:pPr>
      <w:r>
        <w:rPr>
          <w:noProof/>
        </w:rPr>
        <w:t>Tällä hetkellä ei ole olemassa suunnitelmia hiilidioksidin varastoimisesta kolmansissa maissa siirtokustannusten ja EU:ssa saatavilla olevien varastointipaikkojen vuoksi.</w:t>
      </w:r>
    </w:p>
    <w:p>
      <w:pPr>
        <w:keepNext/>
        <w:spacing w:after="0"/>
        <w:rPr>
          <w:b/>
          <w:i/>
          <w:noProof/>
        </w:rPr>
      </w:pPr>
      <w:r>
        <w:rPr>
          <w:b/>
          <w:i/>
          <w:noProof/>
        </w:rPr>
        <w:t>Liitteissä I ja II tarkoitetut varastointipaikkojen sopivuutta ja seurantasuunnitelmia koskevat perusteet</w:t>
      </w:r>
    </w:p>
    <w:p>
      <w:pPr>
        <w:rPr>
          <w:noProof/>
        </w:rPr>
      </w:pPr>
      <w:r>
        <w:rPr>
          <w:noProof/>
        </w:rPr>
        <w:t>Direktiivin liitteessä I esitettyjä varastointipaikkojen luonnehtimis- ja arviointiperusteita käytetään määritettäessä geologisten muodostumien sopivuutta varastointipaikaksi. Yleensä sidosryhmät pitävät niitä hyväksyttävinä.</w:t>
      </w:r>
    </w:p>
    <w:p>
      <w:pPr>
        <w:rPr>
          <w:noProof/>
        </w:rPr>
      </w:pPr>
      <w:r>
        <w:rPr>
          <w:noProof/>
        </w:rPr>
        <w:t xml:space="preserve">Muutamat sidosryhmät ovat ilmoittaneet, että öljy- ja kaasuyhtiöiden tutkimista tai käyttämistä alueista on ollut vaikea saada geologisia tietoja. Komissio katsoo, että direktiiviin liittyviä toimia ei tarvita. Uusia tulokkaita kuitenkin auttaisi, jos jäsenvaltiot tarkastelisivat sääntelymenettelyjään suljetuista hiilivetykentistä luopumisen edistämiseksi. </w:t>
      </w:r>
    </w:p>
    <w:p>
      <w:pPr>
        <w:rPr>
          <w:noProof/>
        </w:rPr>
      </w:pPr>
      <w:r>
        <w:rPr>
          <w:noProof/>
        </w:rPr>
        <w:t>Direktiivin liitteessä II esitetään seurantasuunnitelmien laatimista ja päivittämistä koskevat perusteet toimintavaihetta ja sulkemisen jälkeistä vaihetta varten. Näitä perusteita pidetään yleensä toimivina. Komission mukaan on liian aikaista muuttaa voimassa olevia teknisiä vaatimuksia käytännön kokemuksen puutteen vuoksi.</w:t>
      </w:r>
    </w:p>
    <w:p>
      <w:pPr>
        <w:keepNext/>
        <w:spacing w:after="0"/>
        <w:rPr>
          <w:b/>
          <w:i/>
          <w:noProof/>
        </w:rPr>
      </w:pPr>
      <w:r>
        <w:rPr>
          <w:b/>
          <w:i/>
          <w:noProof/>
        </w:rPr>
        <w:t>Kannustimet CCS-teknologian soveltamiseksi biomassaa polttavissa laitoksissa</w:t>
      </w:r>
    </w:p>
    <w:p>
      <w:pPr>
        <w:rPr>
          <w:noProof/>
        </w:rPr>
      </w:pPr>
      <w:r>
        <w:rPr>
          <w:noProof/>
        </w:rPr>
        <w:t>Haasteet, jotka liittyvät hiilidioksidin talteenoton käynnistämiseen biomassalaitoksissa, eivät poikkea merkittävästi niistä, jotka liittyvät CCS-teknologian käyttöön hiilivoimalaitoksissa. Euroopassa ei tällä hetkellä ole käytössä erityisiä kannustimia CCS-teknologian soveltamiseksi biomassaa polttavissa laitoksissa.</w:t>
      </w:r>
    </w:p>
    <w:p>
      <w:pPr>
        <w:keepNext/>
        <w:spacing w:after="0"/>
        <w:rPr>
          <w:b/>
          <w:i/>
          <w:noProof/>
        </w:rPr>
      </w:pPr>
      <w:r>
        <w:rPr>
          <w:b/>
          <w:i/>
          <w:noProof/>
        </w:rPr>
        <w:t>Hiilidioksidin siirtoon liittyvät ympäristöriskit</w:t>
      </w:r>
    </w:p>
    <w:p>
      <w:pPr>
        <w:rPr>
          <w:noProof/>
        </w:rPr>
      </w:pPr>
      <w:r>
        <w:rPr>
          <w:noProof/>
        </w:rPr>
        <w:t xml:space="preserve">Komissio katsoo, ettei hiilidioksidin siirtoa ole tässä vaiheessa tarpeen säännellä enempää. Hiilidioksidin siirtoon liittyvät riskit eivät ole suurempia kuin maakaasun tai öljyn siirron riskit, eivätkä mitkään tapahtumat tai ehdotukset ole antaneet aihetta nykyisten säädösten muuttamiseen. </w:t>
      </w:r>
    </w:p>
    <w:p>
      <w:pPr>
        <w:keepNext/>
        <w:spacing w:after="0"/>
        <w:rPr>
          <w:b/>
          <w:i/>
          <w:noProof/>
        </w:rPr>
      </w:pPr>
      <w:r>
        <w:rPr>
          <w:b/>
          <w:i/>
          <w:noProof/>
        </w:rPr>
        <w:t>Tarve asettaa päästönormit uusille sähköä tuottaville suurille polttolaitoksille</w:t>
      </w:r>
    </w:p>
    <w:p>
      <w:pPr>
        <w:rPr>
          <w:noProof/>
        </w:rPr>
      </w:pPr>
      <w:r>
        <w:rPr>
          <w:noProof/>
        </w:rPr>
        <w:t>Vuonna 2011 komissio tutki päästönormien mahdollisia vaikutuksia äskettäin rakennettuihin voimalaitoksiin sekä niiden vuorovaikutusta päästökauppajärjestelmän kanssa</w:t>
      </w:r>
      <w:r>
        <w:rPr>
          <w:rStyle w:val="FootnoteReference"/>
          <w:noProof/>
        </w:rPr>
        <w:footnoteReference w:id="18"/>
      </w:r>
      <w:r>
        <w:rPr>
          <w:noProof/>
        </w:rPr>
        <w:t xml:space="preserve">. Tutkimuksessa todettiin, että jopa varovaisten EU:n päästökauppajärjestelmän kehittämistä koskevien oletusten mukaan päästönormien täytäntöönpano vuodesta 2020 alkaen ei toimisi lisäkannustimena CCS-teknologian käyttöönotolle. </w:t>
      </w:r>
    </w:p>
    <w:p>
      <w:pPr>
        <w:rPr>
          <w:noProof/>
        </w:rPr>
      </w:pPr>
      <w:r>
        <w:rPr>
          <w:noProof/>
        </w:rPr>
        <w:t>Kun otetaan huomioon Eurooppa-neuvoston lokakuussa 2014 tukemat vuoteen 2030 ulottuvat ilmasto- ja energiapolitiikan puitteet, muun muassa tavoite kasvihuonekaasupäästöjen vähentämisestä 1990-luvun tasoihin verrattuna vähintään 40 prosentilla vuoteen 2030 mennessä, komission mielestä ei ole tarpeen eikä mahdollista asettaa pakollisia päästönormeja uusille voimalaitoksille. EU:n päästökauppajärjestelmän käynnissä oleva uudistus sisältää muun muassa ehdotuksen markkinavakausvarannon käyttöönotosta sekä EU:n päästökauppajärjestelmää koskevia kunnianhimoisia tavoitteita vuoden 2020 jälkeiselle ajalle, kuten tavoitteen päästöjen vähentämisestä vuoden 2005 tasoon verrattuna 43 prosentilla vuoteen 2030 mennessä. Uudistuksen odotetaan ajan mittaan piristävän huomattavasti vähähiilisten teknologioiden investointiympäristöä.</w:t>
      </w:r>
    </w:p>
    <w:p>
      <w:pPr>
        <w:pStyle w:val="Heading1"/>
        <w:rPr>
          <w:noProof/>
        </w:rPr>
      </w:pPr>
      <w:r>
        <w:rPr>
          <w:noProof/>
        </w:rPr>
        <w:t>PÄÄTELMÄT</w:t>
      </w:r>
    </w:p>
    <w:p>
      <w:pPr>
        <w:pStyle w:val="Heading2"/>
        <w:rPr>
          <w:noProof/>
        </w:rPr>
      </w:pPr>
      <w:r>
        <w:rPr>
          <w:noProof/>
        </w:rPr>
        <w:t>CCS-direktiivi</w:t>
      </w:r>
    </w:p>
    <w:p>
      <w:pPr>
        <w:rPr>
          <w:noProof/>
        </w:rPr>
      </w:pPr>
      <w:r>
        <w:rPr>
          <w:noProof/>
        </w:rPr>
        <w:t>Arviointitutkimuksen perusteella komissio katsoo CCS-direktiivin vastaavan tarkoitustaan. Huolimatta siitä, että direktiivin soveltamisesta käytäntöön on tällä hetkellä rajoitetusti tietoa saatavilla, kaiken kaikkiaan sidosryhmät katsovat, että direktiivi tarjoaa tarpeellisen sääntelykehyksen, jolla taataan hiilidioksidin turvallinen talteenotto, siirto ja varastointi, samalla kun jäsenvaltioille sallitaan riittävästi joustovaraa. Sääntelymenettelyyn osallistuvista hankkeista saatujen käytännön kokemusten riittämättömyys estää kuitenkin arvioimasta luotettavasti direktiivin tehokkuutta. Sidosryhmät ovat selvästi huolestuneita siitä, että jos direktiivin käsittely aloitetaan nyt uudelleen, se saattaisi olla haitallista, koska se lisäisi CCS-teknologiaan liittyvää epävarmuutta, mistä ei olisi apua alalla, jolla sijoittajien luottamus on jo alhainen.</w:t>
      </w:r>
    </w:p>
    <w:p>
      <w:pPr>
        <w:rPr>
          <w:noProof/>
        </w:rPr>
      </w:pPr>
      <w:r>
        <w:rPr>
          <w:noProof/>
        </w:rPr>
        <w:t>REFIT-arvioinnin osalta komissio katsoo, että tässä vaiheessa ei ole riittävästi näyttöä, jotta voitaisiin arvioida direktiivin täysimääräistä vaikuttavuutta, suorittaa hallinto- ja sääntelyrasitetta koskeva tehokkuusanalyysi ja tarkastella yksinkertaistamiseen liittyviä näkökohtia. Sidosryhmät ja jäsenvaltiot pitävät direktiiviä tarpeellisena geologisen varastoinnin turvallisuuden kannalta ja katsovat sen antavan oikeusvarmuutta investoijille. Direktiivin säännökset ovat johdonmukaisia sekä sisäisesti että suhteessa aiheeseen liittyvään muuhun lainsäädäntöön. EU:n saaman lisäarvon osalta direktiivin katsotaan yleensä takaavan hyvän tasapainon, sillä siinä esitetään pääpiirteittäin EU:n lähestymistapa, samalla kun jäsenvaltiot laativat tarkat tapauskohtaiset tulkintansa.</w:t>
      </w:r>
    </w:p>
    <w:p>
      <w:pPr>
        <w:rPr>
          <w:noProof/>
        </w:rPr>
      </w:pPr>
      <w:r>
        <w:rPr>
          <w:noProof/>
        </w:rPr>
        <w:t>CCS-direktiiviä tarkastellaan uudelleen seuraavan kerran siinä vaiheessa, kun CCS-teknologiasta on saatu enemmän kokemusta EU:ssa.</w:t>
      </w:r>
    </w:p>
    <w:p>
      <w:pPr>
        <w:pStyle w:val="Heading2"/>
        <w:rPr>
          <w:noProof/>
        </w:rPr>
      </w:pPr>
      <w:r>
        <w:rPr>
          <w:noProof/>
        </w:rPr>
        <w:t xml:space="preserve">Mahdollisuuksia antava politiikka </w:t>
      </w:r>
    </w:p>
    <w:p>
      <w:pPr>
        <w:rPr>
          <w:noProof/>
        </w:rPr>
      </w:pPr>
      <w:r>
        <w:rPr>
          <w:noProof/>
        </w:rPr>
        <w:t>Kaupallisen mittakaavan demonstrointihankkeita on edelleen tuettava sekä energian että teollisuuden aloilla, sillä se on välttämätöntä kokemuksen hankkimiseksi, kustannusten vähentämiseksi sekä hiilidioksidin turvallisen ja luotettavan maanalaisen varastoinnin demonstroimiseksi. EU:n tasolla innovaatiorahastolle varataan EU:n päästökauppajärjestelmästä 450 miljoonaa päästöoikeutta, ja sen on tarkoitus tukea CCS-teknologiaa innovatiivisten uusiutuvien energiamuotojen ja energiaintensiivisen teollisuuden lisäksi.</w:t>
      </w:r>
      <w:r>
        <w:rPr>
          <w:rStyle w:val="FootnoteReference"/>
          <w:noProof/>
        </w:rPr>
        <w:footnoteReference w:id="19"/>
      </w:r>
      <w:r>
        <w:rPr>
          <w:noProof/>
        </w:rPr>
        <w:t xml:space="preserve"> Demonstrointihankkeiden onnistumiselle on välttämätöntä, että jäsenvaltiot antavat EU:n tavoin rahoitustukea ja että yksityissektori saadaan mukaan.</w:t>
      </w:r>
    </w:p>
    <w:p>
      <w:pPr>
        <w:rPr>
          <w:noProof/>
        </w:rPr>
      </w:pPr>
      <w:r>
        <w:rPr>
          <w:noProof/>
        </w:rPr>
        <w:t xml:space="preserve">Sähköntuotantohankkeilla ja muilla teollisilla hankkeilla on pitkät investointisyklit, joten jäsenvaltioiden on otettava CCS-teknologia huomioon pitkän aikavälin suunnittelussa (mieluiten vuoteen 2050 saakka) tulevan energiaunionin hallinnon yhteydessä. </w:t>
      </w:r>
    </w:p>
    <w:p>
      <w:pPr>
        <w:rPr>
          <w:noProof/>
        </w:rPr>
      </w:pPr>
      <w:r>
        <w:rPr>
          <w:noProof/>
        </w:rPr>
        <w:t xml:space="preserve">CCS-teknologian tulevaa käyttöönottoa varten on suunniteltava riittävät infrastruktuurit hiilidioksidin siirtoa ja varastointia varten sekä harkittava infrastruktuurien yhteiskäyttöä kustannusten vähentämiseksi. Tietämyksen lisääminen hiilidioksidin varastointikapasiteetista sekä tärkeimpien varastointipaikkojen ja hiilidioksidilähteiden keskittymien sijainnin kartoittaminen helpottaisivat tulevan siirto- ja varastointiverkon suunnittelua. Verkkojen Eurooppa </w:t>
      </w:r>
      <w:r>
        <w:rPr>
          <w:noProof/>
        </w:rPr>
        <w:noBreakHyphen/>
        <w:t xml:space="preserve">välineellä voidaan tukea rajat ylittäviä siirtoverkkoja ja alueellista yhteistyötä tällä alalla. </w:t>
      </w:r>
    </w:p>
    <w:p>
      <w:pPr>
        <w:rPr>
          <w:noProof/>
        </w:rPr>
      </w:pPr>
      <w:r>
        <w:rPr>
          <w:noProof/>
        </w:rPr>
        <w:t>Tämän alan tutkimus- ja innovaatiotoimien tehostaminen on yksi kymmenestä uudessa strategisessa energiateknologiasuunnitelmassa nimetystä toimesta, joilla pyritään nopeuttamaan energiajärjestelmän muutosta ja luomaan työpaikkoja ja kasvua</w:t>
      </w:r>
      <w:r>
        <w:rPr>
          <w:rStyle w:val="FootnoteReference"/>
          <w:noProof/>
        </w:rPr>
        <w:footnoteReference w:id="20"/>
      </w:r>
      <w:r>
        <w:rPr>
          <w:noProof/>
        </w:rPr>
        <w:t xml:space="preserve">. Tukea annetaan yhä myös EU:n tutkimuksen ja innovoinnin Horisontti 2020 </w:t>
      </w:r>
      <w:r>
        <w:rPr>
          <w:noProof/>
        </w:rPr>
        <w:noBreakHyphen/>
        <w:t>puiteohjelman kautta</w:t>
      </w:r>
      <w:r>
        <w:rPr>
          <w:rStyle w:val="FootnoteReference"/>
          <w:noProof/>
        </w:rPr>
        <w:footnoteReference w:id="21"/>
      </w:r>
      <w:r>
        <w:rPr>
          <w:noProof/>
        </w:rPr>
        <w:t>.</w:t>
      </w:r>
    </w:p>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88786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pPr>
    </w:p>
  </w:footnote>
  <w:footnote w:id="2">
    <w:p>
      <w:pPr>
        <w:pStyle w:val="FootnoteText"/>
        <w:spacing w:after="0"/>
      </w:pPr>
      <w:r>
        <w:rPr>
          <w:rStyle w:val="FootnoteReference"/>
        </w:rPr>
        <w:footnoteRef/>
      </w:r>
      <w:r>
        <w:t xml:space="preserve"> Direktiivi 2011/92/EU tiettyjen julkisten ja yksityisten hankkeiden ympäristövaikutusten arvioinnista.</w:t>
      </w:r>
    </w:p>
  </w:footnote>
  <w:footnote w:id="3">
    <w:p>
      <w:pPr>
        <w:pStyle w:val="FootnoteText"/>
        <w:spacing w:after="0"/>
      </w:pPr>
      <w:r>
        <w:rPr>
          <w:rStyle w:val="FootnoteReference"/>
        </w:rPr>
        <w:footnoteRef/>
      </w:r>
      <w:r>
        <w:t xml:space="preserve"> Direktiivi 2010/75/EU teollisuuden päästöistä (yhtenäistetty ympäristön pilaantumisen ehkäiseminen ja vähentäminen).</w:t>
      </w:r>
    </w:p>
  </w:footnote>
  <w:footnote w:id="4">
    <w:p>
      <w:pPr>
        <w:pStyle w:val="FootnoteText"/>
        <w:spacing w:after="0"/>
      </w:pPr>
      <w:r>
        <w:rPr>
          <w:rStyle w:val="FootnoteReference"/>
        </w:rPr>
        <w:footnoteRef/>
      </w:r>
      <w:r>
        <w:t xml:space="preserve"> CCS-direktiivin REFIT-arviointi sisältyy komission vuoden 2015 työohjelmaan </w:t>
      </w:r>
      <w:r>
        <w:rPr>
          <w:i/>
        </w:rPr>
        <w:t>Uusi alku</w:t>
      </w:r>
      <w:r>
        <w:t>, COM(2014) 910 final.</w:t>
      </w:r>
    </w:p>
  </w:footnote>
  <w:footnote w:id="5">
    <w:p>
      <w:pPr>
        <w:pStyle w:val="FootnoteText"/>
        <w:spacing w:after="0"/>
        <w:rPr>
          <w:lang w:val="en-US"/>
        </w:rPr>
      </w:pPr>
      <w:r>
        <w:rPr>
          <w:rStyle w:val="FootnoteReference"/>
        </w:rPr>
        <w:footnoteRef/>
      </w:r>
      <w:r>
        <w:rPr>
          <w:lang w:val="en-US"/>
        </w:rPr>
        <w:t xml:space="preserve"> </w:t>
      </w:r>
      <w:r>
        <w:rPr>
          <w:i/>
          <w:lang w:val="en-US"/>
        </w:rPr>
        <w:t>Study to support the review of Directive 2009/31/EC on the geological storage of carbon dioxide (CCS Directive)</w:t>
      </w:r>
      <w:r>
        <w:rPr>
          <w:lang w:val="en-US"/>
        </w:rPr>
        <w:t>, Luxemburg: Euroopan unionin julkaisutoimisto, 2015.</w:t>
      </w:r>
    </w:p>
  </w:footnote>
  <w:footnote w:id="6">
    <w:p>
      <w:pPr>
        <w:pStyle w:val="FootnoteText"/>
        <w:spacing w:after="0"/>
      </w:pPr>
      <w:r>
        <w:rPr>
          <w:rStyle w:val="FootnoteReference"/>
        </w:rPr>
        <w:footnoteRef/>
      </w:r>
      <w:r>
        <w:t xml:space="preserve"> Rotterdamin hiilidioksidin talteenottoa ja varastointia koskeva demonstrointihanke, http://road2020.nl/</w:t>
      </w:r>
    </w:p>
  </w:footnote>
  <w:footnote w:id="7">
    <w:p>
      <w:pPr>
        <w:pStyle w:val="FootnoteText"/>
        <w:spacing w:after="0"/>
      </w:pPr>
      <w:r>
        <w:rPr>
          <w:rStyle w:val="FootnoteReference"/>
        </w:rPr>
        <w:footnoteRef/>
      </w:r>
      <w:r>
        <w:t xml:space="preserve"> Esimerkiksi komission tiedonanto: </w:t>
      </w:r>
      <w:r>
        <w:rPr>
          <w:i/>
        </w:rPr>
        <w:t>Hiilidioksidin talteenoton ja varastoinnin tulevaisuus Euroopassa,</w:t>
      </w:r>
      <w:r>
        <w:t xml:space="preserve"> COM(2013) 180 ja komission tiedonanto: </w:t>
      </w:r>
      <w:r>
        <w:rPr>
          <w:i/>
        </w:rPr>
        <w:t>Etenemissuunnitelma – siirtyminen kilpailukykyiseen vähähiiliseen talouteen vuonna 2050</w:t>
      </w:r>
      <w:r>
        <w:t>, KOM(2011) 112.</w:t>
      </w:r>
    </w:p>
  </w:footnote>
  <w:footnote w:id="8">
    <w:p>
      <w:pPr>
        <w:pStyle w:val="FootnoteText"/>
        <w:spacing w:after="0"/>
      </w:pPr>
      <w:r>
        <w:rPr>
          <w:rStyle w:val="FootnoteReference"/>
        </w:rPr>
        <w:footnoteRef/>
      </w:r>
      <w:r>
        <w:t xml:space="preserve"> Energia-alan etenemissuunnitelma 2050, KOM(2011) 885.</w:t>
      </w:r>
    </w:p>
  </w:footnote>
  <w:footnote w:id="9">
    <w:p>
      <w:pPr>
        <w:pStyle w:val="FootnoteText"/>
        <w:spacing w:after="0"/>
      </w:pPr>
      <w:r>
        <w:rPr>
          <w:rStyle w:val="FootnoteReference"/>
        </w:rPr>
        <w:footnoteRef/>
      </w:r>
      <w:r>
        <w:t xml:space="preserve"> Ilmasto- ja energiapolitiikan puitteet vuosille 2020–2030, COM(2014) 15.</w:t>
      </w:r>
    </w:p>
  </w:footnote>
  <w:footnote w:id="10">
    <w:p>
      <w:pPr>
        <w:pStyle w:val="FootnoteText"/>
        <w:spacing w:after="0"/>
      </w:pPr>
      <w:r>
        <w:rPr>
          <w:rStyle w:val="FootnoteReference"/>
        </w:rPr>
        <w:footnoteRef/>
      </w:r>
      <w:r>
        <w:t xml:space="preserve"> NER300-ohjelma on yksi maailman suurimmista innovatiivisten vähähiilistä teknologiaa koskevien demonstrointihankkeiden rahoitusohjelmista, ja siitä on myönnetty yhteensä 2,1 miljardia euroa 38:lle uusiutuvaa energiaa koskevalle hankkeelle ja yhdelle CCS-hankkeelle. Se perustettiin direktiivin 2003/87/EY 10 artiklan a kohdan 8 alakohdan nojalla, ja sitä on rahoitettu myymällä 300 miljoonaa päästöoikeutta uusien osallistujien varannosta, joka on perustettu EU:n päästökauppajärjestelmän kolmatta vaihetta varten. Ks. http://ec.europa.eu/clima/policies/lowcarbon/ner300/</w:t>
      </w:r>
    </w:p>
  </w:footnote>
  <w:footnote w:id="11">
    <w:p>
      <w:pPr>
        <w:pStyle w:val="FootnoteText"/>
        <w:spacing w:after="0"/>
      </w:pPr>
      <w:r>
        <w:rPr>
          <w:rStyle w:val="FootnoteReference"/>
        </w:rPr>
        <w:footnoteRef/>
      </w:r>
      <w:r>
        <w:t xml:space="preserve"> Tarkempia tietoja Yhdistyneen kuningaskunnan CCS-teknologian kaupallistamista koskevasta kilpailusta, ks. https://www.gov.uk/uk-carbon-capture-and-storage-government-funding-and-support</w:t>
      </w:r>
    </w:p>
  </w:footnote>
  <w:footnote w:id="12">
    <w:p>
      <w:pPr>
        <w:pStyle w:val="FootnoteText"/>
        <w:spacing w:after="0"/>
      </w:pPr>
      <w:r>
        <w:rPr>
          <w:rStyle w:val="FootnoteReference"/>
        </w:rPr>
        <w:footnoteRef/>
      </w:r>
      <w:r>
        <w:t xml:space="preserve"> Asetus (EU) N:o 1233/2010 yhteisön rahoitustukea energia-alan hankkeille koskevasta talouden elvytysohjelmasta annetun asetuksen (EY) N:o 663/2009 muuttamisesta.</w:t>
      </w:r>
    </w:p>
  </w:footnote>
  <w:footnote w:id="13">
    <w:p>
      <w:pPr>
        <w:pStyle w:val="FootnoteText"/>
        <w:spacing w:after="0"/>
        <w:rPr>
          <w:lang w:val="en-US"/>
        </w:rPr>
      </w:pPr>
      <w:r>
        <w:rPr>
          <w:rStyle w:val="FootnoteReference"/>
        </w:rPr>
        <w:footnoteRef/>
      </w:r>
      <w:r>
        <w:rPr>
          <w:lang w:val="en-US"/>
        </w:rPr>
        <w:t xml:space="preserve"> </w:t>
      </w:r>
      <w:r>
        <w:rPr>
          <w:i/>
          <w:lang w:val="en-US"/>
        </w:rPr>
        <w:t>The Global Status of CCS</w:t>
      </w:r>
      <w:r>
        <w:rPr>
          <w:lang w:val="en-US"/>
        </w:rPr>
        <w:t>, GCCSI, 2014.</w:t>
      </w:r>
    </w:p>
  </w:footnote>
  <w:footnote w:id="14">
    <w:p>
      <w:pPr>
        <w:pStyle w:val="FootnoteText"/>
        <w:spacing w:after="0"/>
      </w:pPr>
      <w:r>
        <w:rPr>
          <w:rStyle w:val="FootnoteReference"/>
        </w:rPr>
        <w:footnoteRef/>
      </w:r>
      <w:r>
        <w:t xml:space="preserve"> IPCC:n viides arviointikertomus, lokakuu 2014: http://www.ipcc.ch/</w:t>
      </w:r>
    </w:p>
  </w:footnote>
  <w:footnote w:id="15">
    <w:p>
      <w:pPr>
        <w:pStyle w:val="FootnoteText"/>
        <w:spacing w:after="0"/>
      </w:pPr>
      <w:r>
        <w:rPr>
          <w:rStyle w:val="FootnoteReference"/>
        </w:rPr>
        <w:footnoteRef/>
      </w:r>
      <w:r>
        <w:t xml:space="preserve"> Komission lausunto luonnoksesta luvaksi, joka koskee hiilidioksidin pysyvää varastointia Alankomaiden mannerjalustan lohkon P18a lohkoon P18-4, hiilidioksidin geologisesta varastoinnista 23 päivänä huhtikuuta 2009 annetun direktiivin 2009/31/EY 10 artiklan 1 kohdan mukaisesti, C(2012)1236.</w:t>
      </w:r>
    </w:p>
  </w:footnote>
  <w:footnote w:id="16">
    <w:p>
      <w:pPr>
        <w:pStyle w:val="FootnoteText"/>
        <w:spacing w:after="0"/>
      </w:pPr>
      <w:r>
        <w:rPr>
          <w:rStyle w:val="FootnoteReference"/>
        </w:rPr>
        <w:footnoteRef/>
      </w:r>
      <w:r>
        <w:t xml:space="preserve"> Yhdistynyt kuningaskunta on myös laatinut ohjeita, joissa selitetään, mitä laitosten kehittäjien olisi tutkittava ja osoitettava tarkastuksissa, jotka koskevat hiilidioksidin talteenottolaitteiden jälkiasennuksen toteutettavuutta: </w:t>
      </w:r>
      <w:r>
        <w:rPr>
          <w:i/>
        </w:rPr>
        <w:t>Carbon Capture Readiness (CCR) – A guidance note for Section 36 Electricity Act 1989 consent applications</w:t>
      </w:r>
      <w:r>
        <w:t>, URN 09D/810, marraskuu 2009,</w:t>
      </w:r>
      <w:r>
        <w:tab/>
        <w:t xml:space="preserve"> </w:t>
      </w:r>
      <w:hyperlink r:id="rId1">
        <w:r>
          <w:rPr>
            <w:rStyle w:val="Hyperlink"/>
          </w:rPr>
          <w:t>https://www.gov.uk/government/uploads/system/uploads/attachment_data/file/43609/Carbon_capture_readiness_-_guidance.pdf</w:t>
        </w:r>
      </w:hyperlink>
    </w:p>
  </w:footnote>
  <w:footnote w:id="17">
    <w:p>
      <w:pPr>
        <w:pStyle w:val="FootnoteText"/>
        <w:spacing w:after="0"/>
      </w:pPr>
      <w:r>
        <w:rPr>
          <w:rStyle w:val="FootnoteReference"/>
        </w:rPr>
        <w:footnoteRef/>
      </w:r>
      <w:r>
        <w:t xml:space="preserve"> Kertomus hiilidioksidin geologista varastointia koskevan direktiivin 2009/31/EY täytäntöönpanosta, COM(2014) 99.</w:t>
      </w:r>
    </w:p>
  </w:footnote>
  <w:footnote w:id="18">
    <w:p>
      <w:pPr>
        <w:pStyle w:val="FootnoteText"/>
        <w:spacing w:after="0"/>
        <w:rPr>
          <w:lang w:val="en-US"/>
        </w:rPr>
      </w:pPr>
      <w:r>
        <w:rPr>
          <w:rStyle w:val="FootnoteReference"/>
        </w:rPr>
        <w:footnoteRef/>
      </w:r>
      <w:r>
        <w:rPr>
          <w:lang w:val="en-US"/>
        </w:rPr>
        <w:t xml:space="preserve"> </w:t>
      </w:r>
      <w:r>
        <w:rPr>
          <w:i/>
          <w:lang w:val="en-US"/>
        </w:rPr>
        <w:t>Emission performance standards: Impacts of power plant CO</w:t>
      </w:r>
      <w:r>
        <w:rPr>
          <w:i/>
          <w:vertAlign w:val="subscript"/>
          <w:lang w:val="en-US"/>
        </w:rPr>
        <w:t>2</w:t>
      </w:r>
      <w:r>
        <w:rPr>
          <w:i/>
          <w:lang w:val="en-US"/>
        </w:rPr>
        <w:t xml:space="preserve"> emission performance standards in the context of the European carbon market, </w:t>
      </w:r>
      <w:r>
        <w:rPr>
          <w:lang w:val="en-US"/>
        </w:rPr>
        <w:t>Bloomberg New Energy Finance, 2011, http://ec.europa.eu/clima/policies/lowcarbon/ccs/docs/impacts_en.pdf</w:t>
      </w:r>
    </w:p>
  </w:footnote>
  <w:footnote w:id="19">
    <w:p>
      <w:pPr>
        <w:pStyle w:val="FootnoteText"/>
        <w:spacing w:after="0"/>
      </w:pPr>
      <w:r>
        <w:rPr>
          <w:rStyle w:val="FootnoteReference"/>
        </w:rPr>
        <w:footnoteRef/>
      </w:r>
      <w:r>
        <w:t xml:space="preserve"> Ehdotus direktiivin 2003/87/EY muuttamisesta kustannustehokkaiden päästövähennysten ja vähähiilisyyttä edistävien investointien edistämiseksi, COM(2015) 337.</w:t>
      </w:r>
    </w:p>
  </w:footnote>
  <w:footnote w:id="20">
    <w:p>
      <w:pPr>
        <w:pStyle w:val="FootnoteText"/>
        <w:spacing w:after="0"/>
        <w:rPr>
          <w:lang w:val="en-US"/>
        </w:rPr>
      </w:pPr>
      <w:r>
        <w:rPr>
          <w:rStyle w:val="FootnoteReference"/>
        </w:rPr>
        <w:footnoteRef/>
      </w:r>
      <w:r>
        <w:rPr>
          <w:lang w:val="en-US"/>
        </w:rPr>
        <w:t xml:space="preserve"> Komission tiedonanto </w:t>
      </w:r>
      <w:r>
        <w:rPr>
          <w:i/>
          <w:lang w:val="en-US"/>
        </w:rPr>
        <w:t>Towards an Integrated Strategic Energy Technology (SET) Plan: Accelerating the European Energy System Transformation</w:t>
      </w:r>
      <w:r>
        <w:rPr>
          <w:lang w:val="en-US"/>
        </w:rPr>
        <w:t>, C(2015) 6317 final.</w:t>
      </w:r>
    </w:p>
  </w:footnote>
  <w:footnote w:id="21">
    <w:p>
      <w:pPr>
        <w:pStyle w:val="FootnoteText"/>
        <w:spacing w:after="0"/>
      </w:pPr>
      <w:r>
        <w:rPr>
          <w:rStyle w:val="FootnoteReference"/>
        </w:rPr>
        <w:footnoteRef/>
      </w:r>
      <w:r>
        <w:t xml:space="preserve"> Asetus (EU) N:o 1291/2013 tutkimuksen ja innovoinnin puiteohjelmasta ”Horisontti 2020” (2014–2020).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art3066"/>
      </v:shape>
    </w:pict>
  </w:numPicBullet>
  <w:abstractNum w:abstractNumId="0">
    <w:nsid w:val="095C5284"/>
    <w:multiLevelType w:val="multilevel"/>
    <w:tmpl w:val="196492F8"/>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6941" w:hanging="42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42EB048E"/>
    <w:multiLevelType w:val="hybridMultilevel"/>
    <w:tmpl w:val="B762D76C"/>
    <w:lvl w:ilvl="0" w:tplc="C3C86EEA">
      <w:start w:val="1"/>
      <w:numFmt w:val="bullet"/>
      <w:lvlText w:val=""/>
      <w:lvlPicBulletId w:val="0"/>
      <w:lvlJc w:val="left"/>
      <w:pPr>
        <w:tabs>
          <w:tab w:val="num" w:pos="720"/>
        </w:tabs>
        <w:ind w:left="720" w:hanging="360"/>
      </w:pPr>
      <w:rPr>
        <w:rFonts w:ascii="Symbol" w:hAnsi="Symbol" w:hint="default"/>
      </w:rPr>
    </w:lvl>
    <w:lvl w:ilvl="1" w:tplc="7EB8EE10">
      <w:start w:val="1"/>
      <w:numFmt w:val="bullet"/>
      <w:lvlText w:val=""/>
      <w:lvlPicBulletId w:val="0"/>
      <w:lvlJc w:val="left"/>
      <w:pPr>
        <w:tabs>
          <w:tab w:val="num" w:pos="1440"/>
        </w:tabs>
        <w:ind w:left="1440" w:hanging="360"/>
      </w:pPr>
      <w:rPr>
        <w:rFonts w:ascii="Symbol" w:hAnsi="Symbol" w:hint="default"/>
      </w:rPr>
    </w:lvl>
    <w:lvl w:ilvl="2" w:tplc="6D2832B0" w:tentative="1">
      <w:start w:val="1"/>
      <w:numFmt w:val="bullet"/>
      <w:lvlText w:val=""/>
      <w:lvlPicBulletId w:val="0"/>
      <w:lvlJc w:val="left"/>
      <w:pPr>
        <w:tabs>
          <w:tab w:val="num" w:pos="2160"/>
        </w:tabs>
        <w:ind w:left="2160" w:hanging="360"/>
      </w:pPr>
      <w:rPr>
        <w:rFonts w:ascii="Symbol" w:hAnsi="Symbol" w:hint="default"/>
      </w:rPr>
    </w:lvl>
    <w:lvl w:ilvl="3" w:tplc="FE92F33E" w:tentative="1">
      <w:start w:val="1"/>
      <w:numFmt w:val="bullet"/>
      <w:lvlText w:val=""/>
      <w:lvlPicBulletId w:val="0"/>
      <w:lvlJc w:val="left"/>
      <w:pPr>
        <w:tabs>
          <w:tab w:val="num" w:pos="2880"/>
        </w:tabs>
        <w:ind w:left="2880" w:hanging="360"/>
      </w:pPr>
      <w:rPr>
        <w:rFonts w:ascii="Symbol" w:hAnsi="Symbol" w:hint="default"/>
      </w:rPr>
    </w:lvl>
    <w:lvl w:ilvl="4" w:tplc="3A4A976C" w:tentative="1">
      <w:start w:val="1"/>
      <w:numFmt w:val="bullet"/>
      <w:lvlText w:val=""/>
      <w:lvlPicBulletId w:val="0"/>
      <w:lvlJc w:val="left"/>
      <w:pPr>
        <w:tabs>
          <w:tab w:val="num" w:pos="3600"/>
        </w:tabs>
        <w:ind w:left="3600" w:hanging="360"/>
      </w:pPr>
      <w:rPr>
        <w:rFonts w:ascii="Symbol" w:hAnsi="Symbol" w:hint="default"/>
      </w:rPr>
    </w:lvl>
    <w:lvl w:ilvl="5" w:tplc="72FCBA96" w:tentative="1">
      <w:start w:val="1"/>
      <w:numFmt w:val="bullet"/>
      <w:lvlText w:val=""/>
      <w:lvlPicBulletId w:val="0"/>
      <w:lvlJc w:val="left"/>
      <w:pPr>
        <w:tabs>
          <w:tab w:val="num" w:pos="4320"/>
        </w:tabs>
        <w:ind w:left="4320" w:hanging="360"/>
      </w:pPr>
      <w:rPr>
        <w:rFonts w:ascii="Symbol" w:hAnsi="Symbol" w:hint="default"/>
      </w:rPr>
    </w:lvl>
    <w:lvl w:ilvl="6" w:tplc="87FA1226" w:tentative="1">
      <w:start w:val="1"/>
      <w:numFmt w:val="bullet"/>
      <w:lvlText w:val=""/>
      <w:lvlPicBulletId w:val="0"/>
      <w:lvlJc w:val="left"/>
      <w:pPr>
        <w:tabs>
          <w:tab w:val="num" w:pos="5040"/>
        </w:tabs>
        <w:ind w:left="5040" w:hanging="360"/>
      </w:pPr>
      <w:rPr>
        <w:rFonts w:ascii="Symbol" w:hAnsi="Symbol" w:hint="default"/>
      </w:rPr>
    </w:lvl>
    <w:lvl w:ilvl="7" w:tplc="A34ABC22" w:tentative="1">
      <w:start w:val="1"/>
      <w:numFmt w:val="bullet"/>
      <w:lvlText w:val=""/>
      <w:lvlPicBulletId w:val="0"/>
      <w:lvlJc w:val="left"/>
      <w:pPr>
        <w:tabs>
          <w:tab w:val="num" w:pos="5760"/>
        </w:tabs>
        <w:ind w:left="5760" w:hanging="360"/>
      </w:pPr>
      <w:rPr>
        <w:rFonts w:ascii="Symbol" w:hAnsi="Symbol" w:hint="default"/>
      </w:rPr>
    </w:lvl>
    <w:lvl w:ilvl="8" w:tplc="1D825BCE"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4E0605B9"/>
    <w:multiLevelType w:val="hybridMultilevel"/>
    <w:tmpl w:val="11ECD22C"/>
    <w:lvl w:ilvl="0" w:tplc="E196DB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4735D7A"/>
    <w:multiLevelType w:val="hybridMultilevel"/>
    <w:tmpl w:val="CB086D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3DD2A18"/>
    <w:multiLevelType w:val="hybridMultilevel"/>
    <w:tmpl w:val="1E2C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oNotTrackMove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VERPAGE_EXISTS" w:val="True"/>
    <w:docVar w:name="DocStatus" w:val="Green"/>
    <w:docVar w:name="LW_ACCOMPAGNANT.CP" w:val="oheisasiakirja asiakirjaan"/>
    <w:docVar w:name="LW_ANNEX_NBR_FIRST" w:val="2"/>
    <w:docVar w:name="LW_ANNEX_NBR_LAST" w:val="2"/>
    <w:docVar w:name="LW_CONFIDENCE" w:val=" "/>
    <w:docVar w:name="LW_CONST_RESTREINT_UE" w:val="RESTREINT UE"/>
    <w:docVar w:name="LW_CORRIGENDUM" w:val="&lt;UNUSED&gt;"/>
    <w:docVar w:name="LW_COVERPAGE_GUID" w:val="1912F74FCA8147FE97E8820EA9FA8161"/>
    <w:docVar w:name="LW_CROSSREFERENCE" w:val="{SWD(2015) 246 final}"/>
    <w:docVar w:name="LW_DocType" w:val="NORMAL"/>
    <w:docVar w:name="LW_EMISSION" w:val="18.11.2015"/>
    <w:docVar w:name="LW_EMISSION_ISODATE" w:val="2015-11-18"/>
    <w:docVar w:name="LW_EMISSION_LOCATION" w:val="BRX"/>
    <w:docVar w:name="LW_EMISSION_PREFIX" w:val="Bryssel "/>
    <w:docVar w:name="LW_EMISSION_SUFFIX" w:val=" "/>
    <w:docVar w:name="LW_ID_DOCTYPE_NONLW" w:val="CP-039"/>
    <w:docVar w:name="LW_LANGUE" w:val="FI"/>
    <w:docVar w:name="LW_MARKING" w:val="&lt;UNUSED&gt;"/>
    <w:docVar w:name="LW_NOM.INST" w:val="EUROOPAN KOMISSIO"/>
    <w:docVar w:name="LW_NOM.INST_JOINTDOC" w:val="&lt;EMPTY&gt;"/>
    <w:docVar w:name="LW_OBJETACTEPRINCIPAL.CP" w:val="Kertomus edistymisestä ilmastotoimissa ja sen oheisasiakirjoina kertomus Euroopan hiilimarkkinoiden toiminnasta ja kertomus hiilidioksidin geologisesta varastoinnista annetun direktiivin 2009/38/EY tarkistamisesta_x000b_(Järjestelmästä kasvihuonekaasupäästöjen seuraamiseksi ja niistä raportoimiseksi sekä muista ilmastonmuutosta koskevista tiedoista raportoimiseksi kansallisella ja unionin tasolla ja päätöksen N:o 280/2004/EY kumoamisesta 21 päivänä toukokuuta 2013 annetun Euroopan parlamentin ja neuvoston asetuksen (EU) N:o 525/2013 21 artiklassa, kasvihuonekaasujen päästöoikeuksien kaupan järjestelmän toteuttamisesta yhteisössä ja neuvoston direktiivin 96/61/EY muuttamisesta 13 päivänä lokakuuta 2003 annetun Euroopan parlamentin ja neuvoston direktiivin 2003/87/EY 10 artiklan 5 kohdassa ja 21 artiklan 2 kohdassa sekä hiilidioksidin geologisesta varastoinnista annetun Euroopan parlamentin ja neuvoston direktiivin 2009/38/EY 38 artiklassa edellytetty kertomus)_x000b_ _x000b__x000b_"/>
    <w:docVar w:name="LW_PART_NBR" w:val="1"/>
    <w:docVar w:name="LW_PART_NBR_TOTAL" w:val="1"/>
    <w:docVar w:name="LW_REF.INST.NEW" w:val="COM"/>
    <w:docVar w:name="LW_REF.INST.NEW_ADOPTED" w:val="final"/>
    <w:docVar w:name="LW_REF.INST.NEW_TEXT" w:val="(2015) 576"/>
    <w:docVar w:name="LW_REF.INTERNE" w:val="&lt;UNUSED&gt;"/>
    <w:docVar w:name="LW_SUPERTITRE" w:val="&lt;UNUSED&gt;"/>
    <w:docVar w:name="LW_TITRE.OBJ.CP" w:val="Kertomus hiilidioksidin geologisesta varastoinnista annetun direktiivin 2009/31/EY tarkistamisesta"/>
    <w:docVar w:name="LW_TYPE.DOC.CP" w:val="LIITE_x000b_"/>
    <w:docVar w:name="LW_TYPEACTEPRINCIPAL.CP" w:val="KOMISSIO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both"/>
    </w:pPr>
    <w:rPr>
      <w:rFonts w:ascii="Times New Roman" w:hAnsi="Times New Roman"/>
      <w:sz w:val="24"/>
      <w:szCs w:val="24"/>
    </w:rPr>
  </w:style>
  <w:style w:type="paragraph" w:styleId="Heading1">
    <w:name w:val="heading 1"/>
    <w:basedOn w:val="Normal"/>
    <w:next w:val="Normal"/>
    <w:link w:val="Heading1Char"/>
    <w:uiPriority w:val="9"/>
    <w:qFormat/>
    <w:pPr>
      <w:keepNext/>
      <w:numPr>
        <w:numId w:val="3"/>
      </w:numPr>
      <w:outlineLvl w:val="0"/>
    </w:pPr>
    <w:rPr>
      <w:b/>
    </w:rPr>
  </w:style>
  <w:style w:type="paragraph" w:styleId="Heading2">
    <w:name w:val="heading 2"/>
    <w:basedOn w:val="Normal"/>
    <w:next w:val="Normal"/>
    <w:link w:val="Heading2Char"/>
    <w:uiPriority w:val="9"/>
    <w:unhideWhenUsed/>
    <w:qFormat/>
    <w:pPr>
      <w:keepNext/>
      <w:numPr>
        <w:ilvl w:val="1"/>
        <w:numId w:val="3"/>
      </w:numPr>
      <w:ind w:left="418" w:hanging="418"/>
      <w:outlineLvl w:val="1"/>
    </w:pPr>
    <w:rPr>
      <w:b/>
    </w:rPr>
  </w:style>
  <w:style w:type="paragraph" w:styleId="Heading3">
    <w:name w:val="heading 3"/>
    <w:basedOn w:val="Heading2"/>
    <w:next w:val="Normal"/>
    <w:link w:val="Heading3Char"/>
    <w:uiPriority w:val="9"/>
    <w:unhideWhenUsed/>
    <w:qFormat/>
    <w:pPr>
      <w:numPr>
        <w:ilvl w:val="2"/>
      </w:numPr>
      <w:outlineLvl w:val="2"/>
    </w:pPr>
    <w:rPr>
      <w:b w:val="0"/>
      <w:i/>
    </w:rPr>
  </w:style>
  <w:style w:type="paragraph" w:styleId="Heading4">
    <w:name w:val="heading 4"/>
    <w:basedOn w:val="Normal"/>
    <w:next w:val="Normal"/>
    <w:link w:val="Heading4Char"/>
    <w:uiPriority w:val="9"/>
    <w:unhideWhenUsed/>
    <w:qFormat/>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fi-FI"/>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fi-FI"/>
    </w:rPr>
  </w:style>
  <w:style w:type="paragraph" w:customStyle="1" w:styleId="Typedudocument">
    <w:name w:val="Type du document"/>
    <w:basedOn w:val="Normal"/>
    <w:next w:val="Normal"/>
    <w:link w:val="TypedudocumentChar"/>
    <w:pPr>
      <w:spacing w:before="360" w:after="0"/>
      <w:jc w:val="center"/>
    </w:pPr>
    <w:rPr>
      <w:b/>
    </w:rPr>
  </w:style>
  <w:style w:type="paragraph" w:customStyle="1" w:styleId="Titreobjet">
    <w:name w:val="Titre objet"/>
    <w:basedOn w:val="Normal"/>
    <w:next w:val="Normal"/>
    <w:pPr>
      <w:spacing w:before="360" w:after="360"/>
      <w:jc w:val="center"/>
    </w:pPr>
    <w:rPr>
      <w: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2"/>
    </w:rPr>
  </w:style>
  <w:style w:type="character" w:customStyle="1" w:styleId="TypedudocumentChar">
    <w:name w:val="Type du document Char"/>
    <w:link w:val="Typedudocument"/>
    <w:rPr>
      <w:rFonts w:ascii="Times New Roman" w:eastAsia="Calibri" w:hAnsi="Times New Roman"/>
      <w:b/>
      <w:sz w:val="24"/>
      <w:szCs w:val="22"/>
      <w:lang w:eastAsia="fi-FI"/>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pPr>
    <w:rPr>
      <w:szCs w:val="22"/>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Times New Roman" w:hAnsi="Times New Roman"/>
      <w:b/>
      <w:sz w:val="24"/>
      <w:szCs w:val="24"/>
      <w:lang w:val="fi-FI"/>
    </w:rPr>
  </w:style>
  <w:style w:type="character" w:customStyle="1" w:styleId="Heading2Char">
    <w:name w:val="Heading 2 Char"/>
    <w:link w:val="Heading2"/>
    <w:uiPriority w:val="9"/>
    <w:rPr>
      <w:rFonts w:ascii="Times New Roman" w:hAnsi="Times New Roman"/>
      <w:b/>
      <w:sz w:val="24"/>
      <w:szCs w:val="24"/>
      <w:lang w:val="fi-FI"/>
    </w:rPr>
  </w:style>
  <w:style w:type="character" w:customStyle="1" w:styleId="Heading3Char">
    <w:name w:val="Heading 3 Char"/>
    <w:link w:val="Heading3"/>
    <w:uiPriority w:val="9"/>
    <w:rPr>
      <w:rFonts w:ascii="Times New Roman" w:hAnsi="Times New Roman"/>
      <w:i/>
      <w:sz w:val="24"/>
      <w:szCs w:val="24"/>
      <w:lang w:eastAsia="fi-FI"/>
    </w:rPr>
  </w:style>
  <w:style w:type="character" w:customStyle="1" w:styleId="Heading4Char">
    <w:name w:val="Heading 4 Char"/>
    <w:link w:val="Heading4"/>
    <w:uiPriority w:val="9"/>
    <w:rPr>
      <w:rFonts w:ascii="Calibri" w:eastAsia="Times New Roman" w:hAnsi="Calibri" w:cs="Times New Roman"/>
      <w:b/>
      <w:bCs/>
      <w:sz w:val="28"/>
      <w:szCs w:val="28"/>
      <w:lang w:eastAsia="fi-FI"/>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Times New Roman" w:hAnsi="Times New Roman"/>
      <w:lang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fi-FI"/>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i-FI"/>
    </w:rPr>
  </w:style>
  <w:style w:type="paragraph" w:styleId="Revision">
    <w:name w:val="Revision"/>
    <w:hidden/>
    <w:uiPriority w:val="99"/>
    <w:semiHidden/>
    <w:rPr>
      <w:sz w:val="22"/>
      <w:szCs w:val="22"/>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val="fi-FI"/>
    </w:rPr>
  </w:style>
  <w:style w:type="character" w:styleId="FootnoteReference">
    <w:name w:val="footnote reference"/>
    <w:uiPriority w:val="99"/>
    <w:unhideWhenUsed/>
    <w:rPr>
      <w:vertAlign w:val="superscript"/>
    </w:rPr>
  </w:style>
  <w:style w:type="paragraph" w:styleId="ListParagraph">
    <w:name w:val="List Paragraph"/>
    <w:basedOn w:val="Normal"/>
    <w:uiPriority w:val="34"/>
    <w:qFormat/>
    <w:pPr>
      <w:spacing w:after="0" w:line="300" w:lineRule="atLeast"/>
      <w:ind w:left="720"/>
      <w:contextualSpacing/>
      <w:jc w:val="left"/>
    </w:pPr>
    <w:rPr>
      <w:rFonts w:ascii="Trebuchet MS" w:hAnsi="Trebuchet MS"/>
      <w:sz w:val="18"/>
      <w:szCs w:val="22"/>
    </w:rPr>
  </w:style>
  <w:style w:type="character" w:styleId="Hyperlink">
    <w:name w:val="Hyperlink"/>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rPr>
  </w:style>
  <w:style w:type="character" w:customStyle="1" w:styleId="at2">
    <w:name w:val="a__t2"/>
  </w:style>
  <w:style w:type="character" w:customStyle="1" w:styleId="at3">
    <w:name w:val="a__t3"/>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Accompagnant">
    <w:name w:val="Accompagnant"/>
    <w:basedOn w:val="Normal"/>
    <w:next w:val="Normal"/>
    <w:pPr>
      <w:spacing w:after="240"/>
      <w:jc w:val="center"/>
    </w:pPr>
    <w:rPr>
      <w:rFonts w:eastAsiaTheme="minorHAnsi"/>
      <w:b/>
      <w:i/>
      <w:szCs w:val="22"/>
    </w:rPr>
  </w:style>
  <w:style w:type="paragraph" w:customStyle="1" w:styleId="Typeacteprincipal">
    <w:name w:val="Type acte principal"/>
    <w:basedOn w:val="Normal"/>
    <w:next w:val="Normal"/>
    <w:pPr>
      <w:spacing w:after="240"/>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3D"/>
    <w:pPr>
      <w:spacing w:after="200"/>
      <w:jc w:val="both"/>
    </w:pPr>
    <w:rPr>
      <w:rFonts w:ascii="Times New Roman" w:hAnsi="Times New Roman"/>
      <w:sz w:val="24"/>
      <w:szCs w:val="24"/>
      <w:lang w:eastAsia="en-US"/>
    </w:rPr>
  </w:style>
  <w:style w:type="paragraph" w:styleId="Heading1">
    <w:name w:val="heading 1"/>
    <w:basedOn w:val="Normal"/>
    <w:next w:val="Normal"/>
    <w:link w:val="Heading1Char"/>
    <w:uiPriority w:val="9"/>
    <w:qFormat/>
    <w:rsid w:val="0067437F"/>
    <w:pPr>
      <w:keepNext/>
      <w:numPr>
        <w:numId w:val="3"/>
      </w:numPr>
      <w:outlineLvl w:val="0"/>
    </w:pPr>
    <w:rPr>
      <w:b/>
    </w:rPr>
  </w:style>
  <w:style w:type="paragraph" w:styleId="Heading2">
    <w:name w:val="heading 2"/>
    <w:basedOn w:val="Normal"/>
    <w:next w:val="Normal"/>
    <w:link w:val="Heading2Char"/>
    <w:uiPriority w:val="9"/>
    <w:unhideWhenUsed/>
    <w:qFormat/>
    <w:rsid w:val="00BA3B8B"/>
    <w:pPr>
      <w:keepNext/>
      <w:numPr>
        <w:ilvl w:val="1"/>
        <w:numId w:val="3"/>
      </w:numPr>
      <w:ind w:left="418" w:hanging="418"/>
      <w:outlineLvl w:val="1"/>
    </w:pPr>
    <w:rPr>
      <w:b/>
    </w:rPr>
  </w:style>
  <w:style w:type="paragraph" w:styleId="Heading3">
    <w:name w:val="heading 3"/>
    <w:basedOn w:val="Heading2"/>
    <w:next w:val="Normal"/>
    <w:link w:val="Heading3Char"/>
    <w:uiPriority w:val="9"/>
    <w:unhideWhenUsed/>
    <w:qFormat/>
    <w:rsid w:val="00EA4485"/>
    <w:pPr>
      <w:numPr>
        <w:ilvl w:val="2"/>
      </w:numPr>
      <w:outlineLvl w:val="2"/>
    </w:pPr>
    <w:rPr>
      <w:b w:val="0"/>
      <w:i/>
    </w:rPr>
  </w:style>
  <w:style w:type="paragraph" w:styleId="Heading4">
    <w:name w:val="heading 4"/>
    <w:basedOn w:val="Normal"/>
    <w:next w:val="Normal"/>
    <w:link w:val="Heading4Char"/>
    <w:uiPriority w:val="9"/>
    <w:unhideWhenUsed/>
    <w:qFormat/>
    <w:rsid w:val="00AD70FD"/>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sid w:val="004E6B72"/>
    <w:rPr>
      <w:color w:val="0000FF"/>
      <w:shd w:val="clear" w:color="auto" w:fill="auto"/>
    </w:rPr>
  </w:style>
  <w:style w:type="paragraph" w:customStyle="1" w:styleId="Pagedecouverture">
    <w:name w:val="Page de couverture"/>
    <w:basedOn w:val="Normal"/>
    <w:next w:val="Normal"/>
    <w:rsid w:val="004E6B72"/>
    <w:pPr>
      <w:spacing w:after="0"/>
    </w:pPr>
  </w:style>
  <w:style w:type="paragraph" w:styleId="Header">
    <w:name w:val="header"/>
    <w:basedOn w:val="Normal"/>
    <w:link w:val="HeaderChar"/>
    <w:uiPriority w:val="99"/>
    <w:unhideWhenUsed/>
    <w:rsid w:val="004E6B72"/>
    <w:pPr>
      <w:tabs>
        <w:tab w:val="center" w:pos="4536"/>
        <w:tab w:val="right" w:pos="9072"/>
      </w:tabs>
    </w:pPr>
  </w:style>
  <w:style w:type="character" w:customStyle="1" w:styleId="HeaderChar">
    <w:name w:val="Header Char"/>
    <w:link w:val="Header"/>
    <w:uiPriority w:val="99"/>
    <w:rsid w:val="004E6B72"/>
    <w:rPr>
      <w:sz w:val="22"/>
      <w:szCs w:val="22"/>
      <w:lang w:eastAsia="en-US"/>
    </w:rPr>
  </w:style>
  <w:style w:type="paragraph" w:styleId="Footer">
    <w:name w:val="footer"/>
    <w:basedOn w:val="Normal"/>
    <w:link w:val="FooterChar"/>
    <w:uiPriority w:val="99"/>
    <w:unhideWhenUsed/>
    <w:rsid w:val="004E6B72"/>
    <w:pPr>
      <w:tabs>
        <w:tab w:val="center" w:pos="4536"/>
        <w:tab w:val="right" w:pos="9072"/>
      </w:tabs>
    </w:pPr>
  </w:style>
  <w:style w:type="character" w:customStyle="1" w:styleId="FooterChar">
    <w:name w:val="Footer Char"/>
    <w:link w:val="Footer"/>
    <w:uiPriority w:val="99"/>
    <w:rsid w:val="004E6B72"/>
    <w:rPr>
      <w:sz w:val="22"/>
      <w:szCs w:val="22"/>
      <w:lang w:eastAsia="en-US"/>
    </w:rPr>
  </w:style>
  <w:style w:type="paragraph" w:customStyle="1" w:styleId="Typedudocument">
    <w:name w:val="Type du document"/>
    <w:basedOn w:val="Normal"/>
    <w:next w:val="Normal"/>
    <w:link w:val="TypedudocumentChar"/>
    <w:rsid w:val="004E6B72"/>
    <w:pPr>
      <w:spacing w:before="360" w:after="0"/>
      <w:jc w:val="center"/>
    </w:pPr>
    <w:rPr>
      <w:b/>
    </w:rPr>
  </w:style>
  <w:style w:type="paragraph" w:customStyle="1" w:styleId="Titreobjet">
    <w:name w:val="Titre objet"/>
    <w:basedOn w:val="Normal"/>
    <w:next w:val="Normal"/>
    <w:rsid w:val="004E6B72"/>
    <w:pPr>
      <w:spacing w:before="360" w:after="360"/>
      <w:jc w:val="center"/>
    </w:pPr>
    <w:rPr>
      <w:b/>
    </w:rPr>
  </w:style>
  <w:style w:type="paragraph" w:customStyle="1" w:styleId="FooterCoverPage">
    <w:name w:val="Footer Cover Page"/>
    <w:basedOn w:val="Normal"/>
    <w:link w:val="FooterCoverPageChar"/>
    <w:rsid w:val="004E6B72"/>
    <w:pPr>
      <w:tabs>
        <w:tab w:val="center" w:pos="4535"/>
        <w:tab w:val="right" w:pos="9071"/>
        <w:tab w:val="right" w:pos="9921"/>
      </w:tabs>
      <w:spacing w:before="360" w:after="0"/>
      <w:ind w:left="-850" w:right="-850"/>
      <w:jc w:val="left"/>
    </w:pPr>
    <w:rPr>
      <w:szCs w:val="22"/>
    </w:rPr>
  </w:style>
  <w:style w:type="character" w:customStyle="1" w:styleId="TypedudocumentChar">
    <w:name w:val="Type du document Char"/>
    <w:link w:val="Typedudocument"/>
    <w:rsid w:val="004E6B72"/>
    <w:rPr>
      <w:rFonts w:ascii="Times New Roman" w:eastAsia="Calibri" w:hAnsi="Times New Roman"/>
      <w:b/>
      <w:sz w:val="24"/>
      <w:szCs w:val="22"/>
      <w:lang w:eastAsia="en-US"/>
    </w:rPr>
  </w:style>
  <w:style w:type="character" w:customStyle="1" w:styleId="FooterCoverPageChar">
    <w:name w:val="Footer Cover Page Char"/>
    <w:link w:val="FooterCoverPage"/>
    <w:rsid w:val="004E6B72"/>
    <w:rPr>
      <w:rFonts w:ascii="Times New Roman" w:hAnsi="Times New Roman"/>
      <w:sz w:val="24"/>
      <w:szCs w:val="22"/>
      <w:lang w:eastAsia="en-US"/>
    </w:rPr>
  </w:style>
  <w:style w:type="paragraph" w:customStyle="1" w:styleId="HeaderCoverPage">
    <w:name w:val="Header Cover Page"/>
    <w:basedOn w:val="Normal"/>
    <w:link w:val="HeaderCoverPageChar"/>
    <w:rsid w:val="004E6B72"/>
    <w:pPr>
      <w:tabs>
        <w:tab w:val="center" w:pos="4535"/>
        <w:tab w:val="right" w:pos="9071"/>
      </w:tabs>
      <w:spacing w:after="120"/>
    </w:pPr>
    <w:rPr>
      <w:szCs w:val="22"/>
    </w:rPr>
  </w:style>
  <w:style w:type="character" w:customStyle="1" w:styleId="HeaderCoverPageChar">
    <w:name w:val="Header Cover Page Char"/>
    <w:link w:val="HeaderCoverPage"/>
    <w:rsid w:val="004E6B72"/>
    <w:rPr>
      <w:rFonts w:ascii="Times New Roman" w:hAnsi="Times New Roman"/>
      <w:sz w:val="24"/>
      <w:szCs w:val="22"/>
      <w:lang w:eastAsia="en-US"/>
    </w:rPr>
  </w:style>
  <w:style w:type="character" w:customStyle="1" w:styleId="Heading1Char">
    <w:name w:val="Heading 1 Char"/>
    <w:link w:val="Heading1"/>
    <w:uiPriority w:val="9"/>
    <w:rsid w:val="0067437F"/>
    <w:rPr>
      <w:rFonts w:ascii="Times New Roman" w:hAnsi="Times New Roman"/>
      <w:b/>
      <w:sz w:val="24"/>
      <w:szCs w:val="24"/>
      <w:lang w:val="en-GB"/>
    </w:rPr>
  </w:style>
  <w:style w:type="character" w:customStyle="1" w:styleId="Heading2Char">
    <w:name w:val="Heading 2 Char"/>
    <w:link w:val="Heading2"/>
    <w:uiPriority w:val="9"/>
    <w:rsid w:val="00BA3B8B"/>
    <w:rPr>
      <w:rFonts w:ascii="Times New Roman" w:hAnsi="Times New Roman"/>
      <w:b/>
      <w:sz w:val="24"/>
      <w:szCs w:val="24"/>
      <w:lang w:val="en-GB"/>
    </w:rPr>
  </w:style>
  <w:style w:type="character" w:customStyle="1" w:styleId="Heading3Char">
    <w:name w:val="Heading 3 Char"/>
    <w:link w:val="Heading3"/>
    <w:uiPriority w:val="9"/>
    <w:rsid w:val="00EA4485"/>
    <w:rPr>
      <w:rFonts w:ascii="Times New Roman" w:hAnsi="Times New Roman"/>
      <w:i/>
      <w:sz w:val="24"/>
      <w:szCs w:val="24"/>
      <w:lang w:eastAsia="en-US"/>
    </w:rPr>
  </w:style>
  <w:style w:type="character" w:customStyle="1" w:styleId="Heading4Char">
    <w:name w:val="Heading 4 Char"/>
    <w:link w:val="Heading4"/>
    <w:uiPriority w:val="9"/>
    <w:rsid w:val="00AD70FD"/>
    <w:rPr>
      <w:rFonts w:ascii="Calibri" w:eastAsia="Times New Roman" w:hAnsi="Calibri" w:cs="Times New Roman"/>
      <w:b/>
      <w:bCs/>
      <w:sz w:val="28"/>
      <w:szCs w:val="28"/>
      <w:lang w:eastAsia="en-US"/>
    </w:rPr>
  </w:style>
  <w:style w:type="character" w:styleId="CommentReference">
    <w:name w:val="annotation reference"/>
    <w:uiPriority w:val="99"/>
    <w:semiHidden/>
    <w:unhideWhenUsed/>
    <w:rsid w:val="00EA2EA7"/>
    <w:rPr>
      <w:sz w:val="16"/>
      <w:szCs w:val="16"/>
    </w:rPr>
  </w:style>
  <w:style w:type="paragraph" w:styleId="CommentText">
    <w:name w:val="annotation text"/>
    <w:basedOn w:val="Normal"/>
    <w:link w:val="CommentTextChar"/>
    <w:uiPriority w:val="99"/>
    <w:unhideWhenUsed/>
    <w:rsid w:val="00904B75"/>
    <w:rPr>
      <w:sz w:val="20"/>
      <w:szCs w:val="20"/>
    </w:rPr>
  </w:style>
  <w:style w:type="character" w:customStyle="1" w:styleId="CommentTextChar">
    <w:name w:val="Comment Text Char"/>
    <w:link w:val="CommentText"/>
    <w:uiPriority w:val="99"/>
    <w:rsid w:val="00EA2EA7"/>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A2EA7"/>
    <w:rPr>
      <w:b/>
      <w:bCs/>
    </w:rPr>
  </w:style>
  <w:style w:type="character" w:customStyle="1" w:styleId="CommentSubjectChar">
    <w:name w:val="Comment Subject Char"/>
    <w:link w:val="CommentSubject"/>
    <w:uiPriority w:val="99"/>
    <w:semiHidden/>
    <w:rsid w:val="00EA2EA7"/>
    <w:rPr>
      <w:b/>
      <w:bCs/>
      <w:lang w:eastAsia="en-US"/>
    </w:rPr>
  </w:style>
  <w:style w:type="paragraph" w:styleId="BalloonText">
    <w:name w:val="Balloon Text"/>
    <w:basedOn w:val="Normal"/>
    <w:link w:val="BalloonTextChar"/>
    <w:uiPriority w:val="99"/>
    <w:semiHidden/>
    <w:unhideWhenUsed/>
    <w:rsid w:val="00EA2EA7"/>
    <w:pPr>
      <w:spacing w:after="0"/>
    </w:pPr>
    <w:rPr>
      <w:rFonts w:ascii="Tahoma" w:hAnsi="Tahoma" w:cs="Tahoma"/>
      <w:sz w:val="16"/>
      <w:szCs w:val="16"/>
    </w:rPr>
  </w:style>
  <w:style w:type="character" w:customStyle="1" w:styleId="BalloonTextChar">
    <w:name w:val="Balloon Text Char"/>
    <w:link w:val="BalloonText"/>
    <w:uiPriority w:val="99"/>
    <w:semiHidden/>
    <w:rsid w:val="00EA2EA7"/>
    <w:rPr>
      <w:rFonts w:ascii="Tahoma" w:hAnsi="Tahoma" w:cs="Tahoma"/>
      <w:sz w:val="16"/>
      <w:szCs w:val="16"/>
      <w:lang w:eastAsia="en-US"/>
    </w:rPr>
  </w:style>
  <w:style w:type="paragraph" w:styleId="Revision">
    <w:name w:val="Revision"/>
    <w:hidden/>
    <w:uiPriority w:val="99"/>
    <w:semiHidden/>
    <w:rsid w:val="006A27A3"/>
    <w:rPr>
      <w:sz w:val="22"/>
      <w:szCs w:val="22"/>
      <w:lang w:eastAsia="en-US"/>
    </w:rPr>
  </w:style>
  <w:style w:type="paragraph" w:styleId="FootnoteText">
    <w:name w:val="footnote text"/>
    <w:basedOn w:val="Normal"/>
    <w:link w:val="FootnoteTextChar"/>
    <w:uiPriority w:val="99"/>
    <w:unhideWhenUsed/>
    <w:rsid w:val="000E492C"/>
    <w:rPr>
      <w:sz w:val="20"/>
      <w:szCs w:val="20"/>
    </w:rPr>
  </w:style>
  <w:style w:type="character" w:customStyle="1" w:styleId="FootnoteTextChar">
    <w:name w:val="Footnote Text Char"/>
    <w:link w:val="FootnoteText"/>
    <w:uiPriority w:val="99"/>
    <w:rsid w:val="000E492C"/>
    <w:rPr>
      <w:lang w:val="en-GB"/>
    </w:rPr>
  </w:style>
  <w:style w:type="character" w:styleId="FootnoteReference">
    <w:name w:val="footnote reference"/>
    <w:uiPriority w:val="99"/>
    <w:unhideWhenUsed/>
    <w:rsid w:val="000E492C"/>
    <w:rPr>
      <w:vertAlign w:val="superscript"/>
    </w:rPr>
  </w:style>
  <w:style w:type="paragraph" w:styleId="ListParagraph">
    <w:name w:val="List Paragraph"/>
    <w:basedOn w:val="Normal"/>
    <w:uiPriority w:val="34"/>
    <w:qFormat/>
    <w:rsid w:val="00625F98"/>
    <w:pPr>
      <w:spacing w:after="0" w:line="300" w:lineRule="atLeast"/>
      <w:ind w:left="720"/>
      <w:contextualSpacing/>
      <w:jc w:val="left"/>
    </w:pPr>
    <w:rPr>
      <w:rFonts w:ascii="Trebuchet MS" w:hAnsi="Trebuchet MS"/>
      <w:sz w:val="18"/>
      <w:szCs w:val="22"/>
    </w:rPr>
  </w:style>
  <w:style w:type="character" w:styleId="Hyperlink">
    <w:name w:val="Hyperlink"/>
    <w:uiPriority w:val="99"/>
    <w:unhideWhenUsed/>
    <w:rsid w:val="00BE08FE"/>
    <w:rPr>
      <w:color w:val="0000FF"/>
      <w:u w:val="single"/>
    </w:rPr>
  </w:style>
  <w:style w:type="paragraph" w:styleId="NormalWeb">
    <w:name w:val="Normal (Web)"/>
    <w:basedOn w:val="Normal"/>
    <w:uiPriority w:val="99"/>
    <w:semiHidden/>
    <w:unhideWhenUsed/>
    <w:rsid w:val="00FF3293"/>
    <w:pPr>
      <w:spacing w:before="100" w:beforeAutospacing="1" w:after="100" w:afterAutospacing="1"/>
      <w:jc w:val="left"/>
    </w:pPr>
    <w:rPr>
      <w:rFonts w:eastAsia="Times New Roman"/>
      <w:lang w:val="en-US"/>
    </w:rPr>
  </w:style>
  <w:style w:type="character" w:customStyle="1" w:styleId="at2">
    <w:name w:val="a__t2"/>
    <w:rsid w:val="00A23160"/>
  </w:style>
  <w:style w:type="character" w:customStyle="1" w:styleId="at3">
    <w:name w:val="a__t3"/>
    <w:rsid w:val="00A23160"/>
  </w:style>
  <w:style w:type="character" w:styleId="FollowedHyperlink">
    <w:name w:val="FollowedHyperlink"/>
    <w:basedOn w:val="DefaultParagraphFont"/>
    <w:uiPriority w:val="99"/>
    <w:semiHidden/>
    <w:unhideWhenUsed/>
    <w:rsid w:val="00577C4E"/>
    <w:rPr>
      <w:color w:val="800080" w:themeColor="followedHyperlink"/>
      <w:u w:val="single"/>
    </w:rPr>
  </w:style>
  <w:style w:type="paragraph" w:customStyle="1" w:styleId="Accompagnant">
    <w:name w:val="Accompagnant"/>
    <w:basedOn w:val="Normal"/>
    <w:next w:val="Normal"/>
    <w:rsid w:val="0047193A"/>
    <w:pPr>
      <w:spacing w:after="240"/>
      <w:jc w:val="center"/>
    </w:pPr>
    <w:rPr>
      <w:rFonts w:eastAsiaTheme="minorHAnsi"/>
      <w:b/>
      <w:i/>
      <w:szCs w:val="22"/>
    </w:rPr>
  </w:style>
  <w:style w:type="paragraph" w:customStyle="1" w:styleId="Typeacteprincipal">
    <w:name w:val="Type acte principal"/>
    <w:basedOn w:val="Normal"/>
    <w:next w:val="Normal"/>
    <w:rsid w:val="005A6572"/>
    <w:pPr>
      <w:spacing w:after="240"/>
      <w:jc w:val="center"/>
    </w:pPr>
    <w:rPr>
      <w:rFonts w:eastAsiaTheme="minorHAnsi"/>
      <w:b/>
      <w:szCs w:val="22"/>
    </w:rPr>
  </w:style>
  <w:style w:type="paragraph" w:customStyle="1" w:styleId="Objetacteprincipal">
    <w:name w:val="Objet acte principal"/>
    <w:basedOn w:val="Normal"/>
    <w:next w:val="Normal"/>
    <w:rsid w:val="005A6572"/>
    <w:pPr>
      <w:spacing w:after="360"/>
      <w:jc w:val="center"/>
    </w:pPr>
    <w:rPr>
      <w:rFonts w:eastAsiaTheme="minorHAns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402">
      <w:bodyDiv w:val="1"/>
      <w:marLeft w:val="0"/>
      <w:marRight w:val="0"/>
      <w:marTop w:val="0"/>
      <w:marBottom w:val="0"/>
      <w:divBdr>
        <w:top w:val="none" w:sz="0" w:space="0" w:color="auto"/>
        <w:left w:val="none" w:sz="0" w:space="0" w:color="auto"/>
        <w:bottom w:val="none" w:sz="0" w:space="0" w:color="auto"/>
        <w:right w:val="none" w:sz="0" w:space="0" w:color="auto"/>
      </w:divBdr>
    </w:div>
    <w:div w:id="104741773">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24736845">
      <w:bodyDiv w:val="1"/>
      <w:marLeft w:val="0"/>
      <w:marRight w:val="0"/>
      <w:marTop w:val="0"/>
      <w:marBottom w:val="0"/>
      <w:divBdr>
        <w:top w:val="none" w:sz="0" w:space="0" w:color="auto"/>
        <w:left w:val="none" w:sz="0" w:space="0" w:color="auto"/>
        <w:bottom w:val="none" w:sz="0" w:space="0" w:color="auto"/>
        <w:right w:val="none" w:sz="0" w:space="0" w:color="auto"/>
      </w:divBdr>
    </w:div>
    <w:div w:id="342518844">
      <w:bodyDiv w:val="1"/>
      <w:marLeft w:val="0"/>
      <w:marRight w:val="0"/>
      <w:marTop w:val="0"/>
      <w:marBottom w:val="0"/>
      <w:divBdr>
        <w:top w:val="none" w:sz="0" w:space="0" w:color="auto"/>
        <w:left w:val="none" w:sz="0" w:space="0" w:color="auto"/>
        <w:bottom w:val="none" w:sz="0" w:space="0" w:color="auto"/>
        <w:right w:val="none" w:sz="0" w:space="0" w:color="auto"/>
      </w:divBdr>
    </w:div>
    <w:div w:id="385952950">
      <w:bodyDiv w:val="1"/>
      <w:marLeft w:val="0"/>
      <w:marRight w:val="0"/>
      <w:marTop w:val="0"/>
      <w:marBottom w:val="0"/>
      <w:divBdr>
        <w:top w:val="none" w:sz="0" w:space="0" w:color="auto"/>
        <w:left w:val="none" w:sz="0" w:space="0" w:color="auto"/>
        <w:bottom w:val="none" w:sz="0" w:space="0" w:color="auto"/>
        <w:right w:val="none" w:sz="0" w:space="0" w:color="auto"/>
      </w:divBdr>
      <w:divsChild>
        <w:div w:id="128517263">
          <w:marLeft w:val="547"/>
          <w:marRight w:val="0"/>
          <w:marTop w:val="96"/>
          <w:marBottom w:val="0"/>
          <w:divBdr>
            <w:top w:val="none" w:sz="0" w:space="0" w:color="auto"/>
            <w:left w:val="none" w:sz="0" w:space="0" w:color="auto"/>
            <w:bottom w:val="none" w:sz="0" w:space="0" w:color="auto"/>
            <w:right w:val="none" w:sz="0" w:space="0" w:color="auto"/>
          </w:divBdr>
        </w:div>
        <w:div w:id="576405709">
          <w:marLeft w:val="547"/>
          <w:marRight w:val="0"/>
          <w:marTop w:val="96"/>
          <w:marBottom w:val="0"/>
          <w:divBdr>
            <w:top w:val="none" w:sz="0" w:space="0" w:color="auto"/>
            <w:left w:val="none" w:sz="0" w:space="0" w:color="auto"/>
            <w:bottom w:val="none" w:sz="0" w:space="0" w:color="auto"/>
            <w:right w:val="none" w:sz="0" w:space="0" w:color="auto"/>
          </w:divBdr>
        </w:div>
        <w:div w:id="609237545">
          <w:marLeft w:val="547"/>
          <w:marRight w:val="0"/>
          <w:marTop w:val="96"/>
          <w:marBottom w:val="0"/>
          <w:divBdr>
            <w:top w:val="none" w:sz="0" w:space="0" w:color="auto"/>
            <w:left w:val="none" w:sz="0" w:space="0" w:color="auto"/>
            <w:bottom w:val="none" w:sz="0" w:space="0" w:color="auto"/>
            <w:right w:val="none" w:sz="0" w:space="0" w:color="auto"/>
          </w:divBdr>
        </w:div>
        <w:div w:id="916404557">
          <w:marLeft w:val="1166"/>
          <w:marRight w:val="0"/>
          <w:marTop w:val="96"/>
          <w:marBottom w:val="0"/>
          <w:divBdr>
            <w:top w:val="none" w:sz="0" w:space="0" w:color="auto"/>
            <w:left w:val="none" w:sz="0" w:space="0" w:color="auto"/>
            <w:bottom w:val="none" w:sz="0" w:space="0" w:color="auto"/>
            <w:right w:val="none" w:sz="0" w:space="0" w:color="auto"/>
          </w:divBdr>
        </w:div>
        <w:div w:id="978530170">
          <w:marLeft w:val="547"/>
          <w:marRight w:val="0"/>
          <w:marTop w:val="96"/>
          <w:marBottom w:val="0"/>
          <w:divBdr>
            <w:top w:val="none" w:sz="0" w:space="0" w:color="auto"/>
            <w:left w:val="none" w:sz="0" w:space="0" w:color="auto"/>
            <w:bottom w:val="none" w:sz="0" w:space="0" w:color="auto"/>
            <w:right w:val="none" w:sz="0" w:space="0" w:color="auto"/>
          </w:divBdr>
        </w:div>
        <w:div w:id="982849535">
          <w:marLeft w:val="1166"/>
          <w:marRight w:val="0"/>
          <w:marTop w:val="96"/>
          <w:marBottom w:val="0"/>
          <w:divBdr>
            <w:top w:val="none" w:sz="0" w:space="0" w:color="auto"/>
            <w:left w:val="none" w:sz="0" w:space="0" w:color="auto"/>
            <w:bottom w:val="none" w:sz="0" w:space="0" w:color="auto"/>
            <w:right w:val="none" w:sz="0" w:space="0" w:color="auto"/>
          </w:divBdr>
        </w:div>
        <w:div w:id="1145970210">
          <w:marLeft w:val="547"/>
          <w:marRight w:val="0"/>
          <w:marTop w:val="96"/>
          <w:marBottom w:val="0"/>
          <w:divBdr>
            <w:top w:val="none" w:sz="0" w:space="0" w:color="auto"/>
            <w:left w:val="none" w:sz="0" w:space="0" w:color="auto"/>
            <w:bottom w:val="none" w:sz="0" w:space="0" w:color="auto"/>
            <w:right w:val="none" w:sz="0" w:space="0" w:color="auto"/>
          </w:divBdr>
        </w:div>
        <w:div w:id="1543858393">
          <w:marLeft w:val="1166"/>
          <w:marRight w:val="0"/>
          <w:marTop w:val="96"/>
          <w:marBottom w:val="0"/>
          <w:divBdr>
            <w:top w:val="none" w:sz="0" w:space="0" w:color="auto"/>
            <w:left w:val="none" w:sz="0" w:space="0" w:color="auto"/>
            <w:bottom w:val="none" w:sz="0" w:space="0" w:color="auto"/>
            <w:right w:val="none" w:sz="0" w:space="0" w:color="auto"/>
          </w:divBdr>
        </w:div>
      </w:divsChild>
    </w:div>
    <w:div w:id="461382379">
      <w:bodyDiv w:val="1"/>
      <w:marLeft w:val="0"/>
      <w:marRight w:val="0"/>
      <w:marTop w:val="0"/>
      <w:marBottom w:val="0"/>
      <w:divBdr>
        <w:top w:val="none" w:sz="0" w:space="0" w:color="auto"/>
        <w:left w:val="none" w:sz="0" w:space="0" w:color="auto"/>
        <w:bottom w:val="none" w:sz="0" w:space="0" w:color="auto"/>
        <w:right w:val="none" w:sz="0" w:space="0" w:color="auto"/>
      </w:divBdr>
      <w:divsChild>
        <w:div w:id="37321837">
          <w:marLeft w:val="720"/>
          <w:marRight w:val="0"/>
          <w:marTop w:val="86"/>
          <w:marBottom w:val="0"/>
          <w:divBdr>
            <w:top w:val="none" w:sz="0" w:space="0" w:color="auto"/>
            <w:left w:val="none" w:sz="0" w:space="0" w:color="auto"/>
            <w:bottom w:val="none" w:sz="0" w:space="0" w:color="auto"/>
            <w:right w:val="none" w:sz="0" w:space="0" w:color="auto"/>
          </w:divBdr>
        </w:div>
      </w:divsChild>
    </w:div>
    <w:div w:id="488985896">
      <w:bodyDiv w:val="1"/>
      <w:marLeft w:val="0"/>
      <w:marRight w:val="0"/>
      <w:marTop w:val="0"/>
      <w:marBottom w:val="0"/>
      <w:divBdr>
        <w:top w:val="none" w:sz="0" w:space="0" w:color="auto"/>
        <w:left w:val="none" w:sz="0" w:space="0" w:color="auto"/>
        <w:bottom w:val="none" w:sz="0" w:space="0" w:color="auto"/>
        <w:right w:val="none" w:sz="0" w:space="0" w:color="auto"/>
      </w:divBdr>
      <w:divsChild>
        <w:div w:id="1514613196">
          <w:marLeft w:val="720"/>
          <w:marRight w:val="0"/>
          <w:marTop w:val="86"/>
          <w:marBottom w:val="0"/>
          <w:divBdr>
            <w:top w:val="none" w:sz="0" w:space="0" w:color="auto"/>
            <w:left w:val="none" w:sz="0" w:space="0" w:color="auto"/>
            <w:bottom w:val="none" w:sz="0" w:space="0" w:color="auto"/>
            <w:right w:val="none" w:sz="0" w:space="0" w:color="auto"/>
          </w:divBdr>
        </w:div>
      </w:divsChild>
    </w:div>
    <w:div w:id="571702435">
      <w:bodyDiv w:val="1"/>
      <w:marLeft w:val="0"/>
      <w:marRight w:val="0"/>
      <w:marTop w:val="0"/>
      <w:marBottom w:val="0"/>
      <w:divBdr>
        <w:top w:val="none" w:sz="0" w:space="0" w:color="auto"/>
        <w:left w:val="none" w:sz="0" w:space="0" w:color="auto"/>
        <w:bottom w:val="none" w:sz="0" w:space="0" w:color="auto"/>
        <w:right w:val="none" w:sz="0" w:space="0" w:color="auto"/>
      </w:divBdr>
    </w:div>
    <w:div w:id="593974968">
      <w:bodyDiv w:val="1"/>
      <w:marLeft w:val="0"/>
      <w:marRight w:val="0"/>
      <w:marTop w:val="0"/>
      <w:marBottom w:val="0"/>
      <w:divBdr>
        <w:top w:val="none" w:sz="0" w:space="0" w:color="auto"/>
        <w:left w:val="none" w:sz="0" w:space="0" w:color="auto"/>
        <w:bottom w:val="none" w:sz="0" w:space="0" w:color="auto"/>
        <w:right w:val="none" w:sz="0" w:space="0" w:color="auto"/>
      </w:divBdr>
      <w:divsChild>
        <w:div w:id="667289948">
          <w:marLeft w:val="547"/>
          <w:marRight w:val="0"/>
          <w:marTop w:val="96"/>
          <w:marBottom w:val="0"/>
          <w:divBdr>
            <w:top w:val="none" w:sz="0" w:space="0" w:color="auto"/>
            <w:left w:val="none" w:sz="0" w:space="0" w:color="auto"/>
            <w:bottom w:val="none" w:sz="0" w:space="0" w:color="auto"/>
            <w:right w:val="none" w:sz="0" w:space="0" w:color="auto"/>
          </w:divBdr>
        </w:div>
        <w:div w:id="1397585077">
          <w:marLeft w:val="547"/>
          <w:marRight w:val="0"/>
          <w:marTop w:val="96"/>
          <w:marBottom w:val="0"/>
          <w:divBdr>
            <w:top w:val="none" w:sz="0" w:space="0" w:color="auto"/>
            <w:left w:val="none" w:sz="0" w:space="0" w:color="auto"/>
            <w:bottom w:val="none" w:sz="0" w:space="0" w:color="auto"/>
            <w:right w:val="none" w:sz="0" w:space="0" w:color="auto"/>
          </w:divBdr>
        </w:div>
        <w:div w:id="1743408179">
          <w:marLeft w:val="547"/>
          <w:marRight w:val="0"/>
          <w:marTop w:val="96"/>
          <w:marBottom w:val="0"/>
          <w:divBdr>
            <w:top w:val="none" w:sz="0" w:space="0" w:color="auto"/>
            <w:left w:val="none" w:sz="0" w:space="0" w:color="auto"/>
            <w:bottom w:val="none" w:sz="0" w:space="0" w:color="auto"/>
            <w:right w:val="none" w:sz="0" w:space="0" w:color="auto"/>
          </w:divBdr>
        </w:div>
      </w:divsChild>
    </w:div>
    <w:div w:id="597058300">
      <w:bodyDiv w:val="1"/>
      <w:marLeft w:val="0"/>
      <w:marRight w:val="0"/>
      <w:marTop w:val="0"/>
      <w:marBottom w:val="0"/>
      <w:divBdr>
        <w:top w:val="none" w:sz="0" w:space="0" w:color="auto"/>
        <w:left w:val="none" w:sz="0" w:space="0" w:color="auto"/>
        <w:bottom w:val="none" w:sz="0" w:space="0" w:color="auto"/>
        <w:right w:val="none" w:sz="0" w:space="0" w:color="auto"/>
      </w:divBdr>
      <w:divsChild>
        <w:div w:id="1003241134">
          <w:marLeft w:val="1166"/>
          <w:marRight w:val="0"/>
          <w:marTop w:val="96"/>
          <w:marBottom w:val="0"/>
          <w:divBdr>
            <w:top w:val="none" w:sz="0" w:space="0" w:color="auto"/>
            <w:left w:val="none" w:sz="0" w:space="0" w:color="auto"/>
            <w:bottom w:val="none" w:sz="0" w:space="0" w:color="auto"/>
            <w:right w:val="none" w:sz="0" w:space="0" w:color="auto"/>
          </w:divBdr>
        </w:div>
        <w:div w:id="1192837221">
          <w:marLeft w:val="547"/>
          <w:marRight w:val="0"/>
          <w:marTop w:val="96"/>
          <w:marBottom w:val="0"/>
          <w:divBdr>
            <w:top w:val="none" w:sz="0" w:space="0" w:color="auto"/>
            <w:left w:val="none" w:sz="0" w:space="0" w:color="auto"/>
            <w:bottom w:val="none" w:sz="0" w:space="0" w:color="auto"/>
            <w:right w:val="none" w:sz="0" w:space="0" w:color="auto"/>
          </w:divBdr>
        </w:div>
        <w:div w:id="1828593897">
          <w:marLeft w:val="1166"/>
          <w:marRight w:val="0"/>
          <w:marTop w:val="96"/>
          <w:marBottom w:val="0"/>
          <w:divBdr>
            <w:top w:val="none" w:sz="0" w:space="0" w:color="auto"/>
            <w:left w:val="none" w:sz="0" w:space="0" w:color="auto"/>
            <w:bottom w:val="none" w:sz="0" w:space="0" w:color="auto"/>
            <w:right w:val="none" w:sz="0" w:space="0" w:color="auto"/>
          </w:divBdr>
        </w:div>
      </w:divsChild>
    </w:div>
    <w:div w:id="634020060">
      <w:bodyDiv w:val="1"/>
      <w:marLeft w:val="0"/>
      <w:marRight w:val="0"/>
      <w:marTop w:val="0"/>
      <w:marBottom w:val="0"/>
      <w:divBdr>
        <w:top w:val="none" w:sz="0" w:space="0" w:color="auto"/>
        <w:left w:val="none" w:sz="0" w:space="0" w:color="auto"/>
        <w:bottom w:val="none" w:sz="0" w:space="0" w:color="auto"/>
        <w:right w:val="none" w:sz="0" w:space="0" w:color="auto"/>
      </w:divBdr>
      <w:divsChild>
        <w:div w:id="1312247489">
          <w:marLeft w:val="547"/>
          <w:marRight w:val="0"/>
          <w:marTop w:val="96"/>
          <w:marBottom w:val="0"/>
          <w:divBdr>
            <w:top w:val="none" w:sz="0" w:space="0" w:color="auto"/>
            <w:left w:val="none" w:sz="0" w:space="0" w:color="auto"/>
            <w:bottom w:val="none" w:sz="0" w:space="0" w:color="auto"/>
            <w:right w:val="none" w:sz="0" w:space="0" w:color="auto"/>
          </w:divBdr>
        </w:div>
        <w:div w:id="1858424955">
          <w:marLeft w:val="547"/>
          <w:marRight w:val="0"/>
          <w:marTop w:val="96"/>
          <w:marBottom w:val="0"/>
          <w:divBdr>
            <w:top w:val="none" w:sz="0" w:space="0" w:color="auto"/>
            <w:left w:val="none" w:sz="0" w:space="0" w:color="auto"/>
            <w:bottom w:val="none" w:sz="0" w:space="0" w:color="auto"/>
            <w:right w:val="none" w:sz="0" w:space="0" w:color="auto"/>
          </w:divBdr>
        </w:div>
        <w:div w:id="1978755977">
          <w:marLeft w:val="547"/>
          <w:marRight w:val="0"/>
          <w:marTop w:val="96"/>
          <w:marBottom w:val="0"/>
          <w:divBdr>
            <w:top w:val="none" w:sz="0" w:space="0" w:color="auto"/>
            <w:left w:val="none" w:sz="0" w:space="0" w:color="auto"/>
            <w:bottom w:val="none" w:sz="0" w:space="0" w:color="auto"/>
            <w:right w:val="none" w:sz="0" w:space="0" w:color="auto"/>
          </w:divBdr>
        </w:div>
      </w:divsChild>
    </w:div>
    <w:div w:id="705830007">
      <w:bodyDiv w:val="1"/>
      <w:marLeft w:val="0"/>
      <w:marRight w:val="0"/>
      <w:marTop w:val="0"/>
      <w:marBottom w:val="0"/>
      <w:divBdr>
        <w:top w:val="none" w:sz="0" w:space="0" w:color="auto"/>
        <w:left w:val="none" w:sz="0" w:space="0" w:color="auto"/>
        <w:bottom w:val="none" w:sz="0" w:space="0" w:color="auto"/>
        <w:right w:val="none" w:sz="0" w:space="0" w:color="auto"/>
      </w:divBdr>
      <w:divsChild>
        <w:div w:id="2822635">
          <w:marLeft w:val="547"/>
          <w:marRight w:val="0"/>
          <w:marTop w:val="86"/>
          <w:marBottom w:val="0"/>
          <w:divBdr>
            <w:top w:val="none" w:sz="0" w:space="0" w:color="auto"/>
            <w:left w:val="none" w:sz="0" w:space="0" w:color="auto"/>
            <w:bottom w:val="none" w:sz="0" w:space="0" w:color="auto"/>
            <w:right w:val="none" w:sz="0" w:space="0" w:color="auto"/>
          </w:divBdr>
        </w:div>
        <w:div w:id="1724864126">
          <w:marLeft w:val="547"/>
          <w:marRight w:val="0"/>
          <w:marTop w:val="86"/>
          <w:marBottom w:val="0"/>
          <w:divBdr>
            <w:top w:val="none" w:sz="0" w:space="0" w:color="auto"/>
            <w:left w:val="none" w:sz="0" w:space="0" w:color="auto"/>
            <w:bottom w:val="none" w:sz="0" w:space="0" w:color="auto"/>
            <w:right w:val="none" w:sz="0" w:space="0" w:color="auto"/>
          </w:divBdr>
        </w:div>
        <w:div w:id="1730033312">
          <w:marLeft w:val="547"/>
          <w:marRight w:val="0"/>
          <w:marTop w:val="86"/>
          <w:marBottom w:val="0"/>
          <w:divBdr>
            <w:top w:val="none" w:sz="0" w:space="0" w:color="auto"/>
            <w:left w:val="none" w:sz="0" w:space="0" w:color="auto"/>
            <w:bottom w:val="none" w:sz="0" w:space="0" w:color="auto"/>
            <w:right w:val="none" w:sz="0" w:space="0" w:color="auto"/>
          </w:divBdr>
        </w:div>
        <w:div w:id="1961179515">
          <w:marLeft w:val="547"/>
          <w:marRight w:val="0"/>
          <w:marTop w:val="86"/>
          <w:marBottom w:val="0"/>
          <w:divBdr>
            <w:top w:val="none" w:sz="0" w:space="0" w:color="auto"/>
            <w:left w:val="none" w:sz="0" w:space="0" w:color="auto"/>
            <w:bottom w:val="none" w:sz="0" w:space="0" w:color="auto"/>
            <w:right w:val="none" w:sz="0" w:space="0" w:color="auto"/>
          </w:divBdr>
        </w:div>
      </w:divsChild>
    </w:div>
    <w:div w:id="729497439">
      <w:bodyDiv w:val="1"/>
      <w:marLeft w:val="0"/>
      <w:marRight w:val="0"/>
      <w:marTop w:val="0"/>
      <w:marBottom w:val="0"/>
      <w:divBdr>
        <w:top w:val="none" w:sz="0" w:space="0" w:color="auto"/>
        <w:left w:val="none" w:sz="0" w:space="0" w:color="auto"/>
        <w:bottom w:val="none" w:sz="0" w:space="0" w:color="auto"/>
        <w:right w:val="none" w:sz="0" w:space="0" w:color="auto"/>
      </w:divBdr>
      <w:divsChild>
        <w:div w:id="472134818">
          <w:marLeft w:val="1166"/>
          <w:marRight w:val="0"/>
          <w:marTop w:val="96"/>
          <w:marBottom w:val="0"/>
          <w:divBdr>
            <w:top w:val="none" w:sz="0" w:space="0" w:color="auto"/>
            <w:left w:val="none" w:sz="0" w:space="0" w:color="auto"/>
            <w:bottom w:val="none" w:sz="0" w:space="0" w:color="auto"/>
            <w:right w:val="none" w:sz="0" w:space="0" w:color="auto"/>
          </w:divBdr>
        </w:div>
        <w:div w:id="693768232">
          <w:marLeft w:val="1166"/>
          <w:marRight w:val="0"/>
          <w:marTop w:val="96"/>
          <w:marBottom w:val="0"/>
          <w:divBdr>
            <w:top w:val="none" w:sz="0" w:space="0" w:color="auto"/>
            <w:left w:val="none" w:sz="0" w:space="0" w:color="auto"/>
            <w:bottom w:val="none" w:sz="0" w:space="0" w:color="auto"/>
            <w:right w:val="none" w:sz="0" w:space="0" w:color="auto"/>
          </w:divBdr>
        </w:div>
        <w:div w:id="2055349699">
          <w:marLeft w:val="1166"/>
          <w:marRight w:val="0"/>
          <w:marTop w:val="96"/>
          <w:marBottom w:val="0"/>
          <w:divBdr>
            <w:top w:val="none" w:sz="0" w:space="0" w:color="auto"/>
            <w:left w:val="none" w:sz="0" w:space="0" w:color="auto"/>
            <w:bottom w:val="none" w:sz="0" w:space="0" w:color="auto"/>
            <w:right w:val="none" w:sz="0" w:space="0" w:color="auto"/>
          </w:divBdr>
        </w:div>
      </w:divsChild>
    </w:div>
    <w:div w:id="975256752">
      <w:bodyDiv w:val="1"/>
      <w:marLeft w:val="0"/>
      <w:marRight w:val="0"/>
      <w:marTop w:val="0"/>
      <w:marBottom w:val="0"/>
      <w:divBdr>
        <w:top w:val="none" w:sz="0" w:space="0" w:color="auto"/>
        <w:left w:val="none" w:sz="0" w:space="0" w:color="auto"/>
        <w:bottom w:val="none" w:sz="0" w:space="0" w:color="auto"/>
        <w:right w:val="none" w:sz="0" w:space="0" w:color="auto"/>
      </w:divBdr>
      <w:divsChild>
        <w:div w:id="614798399">
          <w:marLeft w:val="274"/>
          <w:marRight w:val="0"/>
          <w:marTop w:val="86"/>
          <w:marBottom w:val="0"/>
          <w:divBdr>
            <w:top w:val="none" w:sz="0" w:space="0" w:color="auto"/>
            <w:left w:val="none" w:sz="0" w:space="0" w:color="auto"/>
            <w:bottom w:val="none" w:sz="0" w:space="0" w:color="auto"/>
            <w:right w:val="none" w:sz="0" w:space="0" w:color="auto"/>
          </w:divBdr>
        </w:div>
        <w:div w:id="1029261717">
          <w:marLeft w:val="274"/>
          <w:marRight w:val="0"/>
          <w:marTop w:val="86"/>
          <w:marBottom w:val="0"/>
          <w:divBdr>
            <w:top w:val="none" w:sz="0" w:space="0" w:color="auto"/>
            <w:left w:val="none" w:sz="0" w:space="0" w:color="auto"/>
            <w:bottom w:val="none" w:sz="0" w:space="0" w:color="auto"/>
            <w:right w:val="none" w:sz="0" w:space="0" w:color="auto"/>
          </w:divBdr>
        </w:div>
        <w:div w:id="1869836011">
          <w:marLeft w:val="274"/>
          <w:marRight w:val="0"/>
          <w:marTop w:val="86"/>
          <w:marBottom w:val="0"/>
          <w:divBdr>
            <w:top w:val="none" w:sz="0" w:space="0" w:color="auto"/>
            <w:left w:val="none" w:sz="0" w:space="0" w:color="auto"/>
            <w:bottom w:val="none" w:sz="0" w:space="0" w:color="auto"/>
            <w:right w:val="none" w:sz="0" w:space="0" w:color="auto"/>
          </w:divBdr>
        </w:div>
      </w:divsChild>
    </w:div>
    <w:div w:id="1002466518">
      <w:bodyDiv w:val="1"/>
      <w:marLeft w:val="0"/>
      <w:marRight w:val="0"/>
      <w:marTop w:val="0"/>
      <w:marBottom w:val="0"/>
      <w:divBdr>
        <w:top w:val="none" w:sz="0" w:space="0" w:color="auto"/>
        <w:left w:val="none" w:sz="0" w:space="0" w:color="auto"/>
        <w:bottom w:val="none" w:sz="0" w:space="0" w:color="auto"/>
        <w:right w:val="none" w:sz="0" w:space="0" w:color="auto"/>
      </w:divBdr>
    </w:div>
    <w:div w:id="1064446815">
      <w:bodyDiv w:val="1"/>
      <w:marLeft w:val="0"/>
      <w:marRight w:val="0"/>
      <w:marTop w:val="0"/>
      <w:marBottom w:val="0"/>
      <w:divBdr>
        <w:top w:val="none" w:sz="0" w:space="0" w:color="auto"/>
        <w:left w:val="none" w:sz="0" w:space="0" w:color="auto"/>
        <w:bottom w:val="none" w:sz="0" w:space="0" w:color="auto"/>
        <w:right w:val="none" w:sz="0" w:space="0" w:color="auto"/>
      </w:divBdr>
      <w:divsChild>
        <w:div w:id="1800417031">
          <w:marLeft w:val="720"/>
          <w:marRight w:val="0"/>
          <w:marTop w:val="86"/>
          <w:marBottom w:val="0"/>
          <w:divBdr>
            <w:top w:val="none" w:sz="0" w:space="0" w:color="auto"/>
            <w:left w:val="none" w:sz="0" w:space="0" w:color="auto"/>
            <w:bottom w:val="none" w:sz="0" w:space="0" w:color="auto"/>
            <w:right w:val="none" w:sz="0" w:space="0" w:color="auto"/>
          </w:divBdr>
        </w:div>
      </w:divsChild>
    </w:div>
    <w:div w:id="1082067250">
      <w:bodyDiv w:val="1"/>
      <w:marLeft w:val="0"/>
      <w:marRight w:val="0"/>
      <w:marTop w:val="0"/>
      <w:marBottom w:val="0"/>
      <w:divBdr>
        <w:top w:val="none" w:sz="0" w:space="0" w:color="auto"/>
        <w:left w:val="none" w:sz="0" w:space="0" w:color="auto"/>
        <w:bottom w:val="none" w:sz="0" w:space="0" w:color="auto"/>
        <w:right w:val="none" w:sz="0" w:space="0" w:color="auto"/>
      </w:divBdr>
      <w:divsChild>
        <w:div w:id="105393159">
          <w:marLeft w:val="547"/>
          <w:marRight w:val="0"/>
          <w:marTop w:val="96"/>
          <w:marBottom w:val="0"/>
          <w:divBdr>
            <w:top w:val="none" w:sz="0" w:space="0" w:color="auto"/>
            <w:left w:val="none" w:sz="0" w:space="0" w:color="auto"/>
            <w:bottom w:val="none" w:sz="0" w:space="0" w:color="auto"/>
            <w:right w:val="none" w:sz="0" w:space="0" w:color="auto"/>
          </w:divBdr>
        </w:div>
        <w:div w:id="295141344">
          <w:marLeft w:val="547"/>
          <w:marRight w:val="0"/>
          <w:marTop w:val="96"/>
          <w:marBottom w:val="0"/>
          <w:divBdr>
            <w:top w:val="none" w:sz="0" w:space="0" w:color="auto"/>
            <w:left w:val="none" w:sz="0" w:space="0" w:color="auto"/>
            <w:bottom w:val="none" w:sz="0" w:space="0" w:color="auto"/>
            <w:right w:val="none" w:sz="0" w:space="0" w:color="auto"/>
          </w:divBdr>
        </w:div>
        <w:div w:id="725952233">
          <w:marLeft w:val="547"/>
          <w:marRight w:val="0"/>
          <w:marTop w:val="96"/>
          <w:marBottom w:val="0"/>
          <w:divBdr>
            <w:top w:val="none" w:sz="0" w:space="0" w:color="auto"/>
            <w:left w:val="none" w:sz="0" w:space="0" w:color="auto"/>
            <w:bottom w:val="none" w:sz="0" w:space="0" w:color="auto"/>
            <w:right w:val="none" w:sz="0" w:space="0" w:color="auto"/>
          </w:divBdr>
        </w:div>
        <w:div w:id="2132892697">
          <w:marLeft w:val="1166"/>
          <w:marRight w:val="0"/>
          <w:marTop w:val="96"/>
          <w:marBottom w:val="0"/>
          <w:divBdr>
            <w:top w:val="none" w:sz="0" w:space="0" w:color="auto"/>
            <w:left w:val="none" w:sz="0" w:space="0" w:color="auto"/>
            <w:bottom w:val="none" w:sz="0" w:space="0" w:color="auto"/>
            <w:right w:val="none" w:sz="0" w:space="0" w:color="auto"/>
          </w:divBdr>
        </w:div>
        <w:div w:id="2136941055">
          <w:marLeft w:val="547"/>
          <w:marRight w:val="0"/>
          <w:marTop w:val="96"/>
          <w:marBottom w:val="0"/>
          <w:divBdr>
            <w:top w:val="none" w:sz="0" w:space="0" w:color="auto"/>
            <w:left w:val="none" w:sz="0" w:space="0" w:color="auto"/>
            <w:bottom w:val="none" w:sz="0" w:space="0" w:color="auto"/>
            <w:right w:val="none" w:sz="0" w:space="0" w:color="auto"/>
          </w:divBdr>
        </w:div>
      </w:divsChild>
    </w:div>
    <w:div w:id="1116220244">
      <w:bodyDiv w:val="1"/>
      <w:marLeft w:val="0"/>
      <w:marRight w:val="0"/>
      <w:marTop w:val="0"/>
      <w:marBottom w:val="0"/>
      <w:divBdr>
        <w:top w:val="none" w:sz="0" w:space="0" w:color="auto"/>
        <w:left w:val="none" w:sz="0" w:space="0" w:color="auto"/>
        <w:bottom w:val="none" w:sz="0" w:space="0" w:color="auto"/>
        <w:right w:val="none" w:sz="0" w:space="0" w:color="auto"/>
      </w:divBdr>
    </w:div>
    <w:div w:id="1129981085">
      <w:bodyDiv w:val="1"/>
      <w:marLeft w:val="0"/>
      <w:marRight w:val="0"/>
      <w:marTop w:val="0"/>
      <w:marBottom w:val="0"/>
      <w:divBdr>
        <w:top w:val="none" w:sz="0" w:space="0" w:color="auto"/>
        <w:left w:val="none" w:sz="0" w:space="0" w:color="auto"/>
        <w:bottom w:val="none" w:sz="0" w:space="0" w:color="auto"/>
        <w:right w:val="none" w:sz="0" w:space="0" w:color="auto"/>
      </w:divBdr>
      <w:divsChild>
        <w:div w:id="112788584">
          <w:marLeft w:val="547"/>
          <w:marRight w:val="0"/>
          <w:marTop w:val="96"/>
          <w:marBottom w:val="0"/>
          <w:divBdr>
            <w:top w:val="none" w:sz="0" w:space="0" w:color="auto"/>
            <w:left w:val="none" w:sz="0" w:space="0" w:color="auto"/>
            <w:bottom w:val="none" w:sz="0" w:space="0" w:color="auto"/>
            <w:right w:val="none" w:sz="0" w:space="0" w:color="auto"/>
          </w:divBdr>
        </w:div>
        <w:div w:id="1015230157">
          <w:marLeft w:val="547"/>
          <w:marRight w:val="0"/>
          <w:marTop w:val="96"/>
          <w:marBottom w:val="0"/>
          <w:divBdr>
            <w:top w:val="none" w:sz="0" w:space="0" w:color="auto"/>
            <w:left w:val="none" w:sz="0" w:space="0" w:color="auto"/>
            <w:bottom w:val="none" w:sz="0" w:space="0" w:color="auto"/>
            <w:right w:val="none" w:sz="0" w:space="0" w:color="auto"/>
          </w:divBdr>
        </w:div>
        <w:div w:id="1028338927">
          <w:marLeft w:val="547"/>
          <w:marRight w:val="0"/>
          <w:marTop w:val="96"/>
          <w:marBottom w:val="0"/>
          <w:divBdr>
            <w:top w:val="none" w:sz="0" w:space="0" w:color="auto"/>
            <w:left w:val="none" w:sz="0" w:space="0" w:color="auto"/>
            <w:bottom w:val="none" w:sz="0" w:space="0" w:color="auto"/>
            <w:right w:val="none" w:sz="0" w:space="0" w:color="auto"/>
          </w:divBdr>
        </w:div>
        <w:div w:id="2045867481">
          <w:marLeft w:val="547"/>
          <w:marRight w:val="0"/>
          <w:marTop w:val="96"/>
          <w:marBottom w:val="0"/>
          <w:divBdr>
            <w:top w:val="none" w:sz="0" w:space="0" w:color="auto"/>
            <w:left w:val="none" w:sz="0" w:space="0" w:color="auto"/>
            <w:bottom w:val="none" w:sz="0" w:space="0" w:color="auto"/>
            <w:right w:val="none" w:sz="0" w:space="0" w:color="auto"/>
          </w:divBdr>
        </w:div>
      </w:divsChild>
    </w:div>
    <w:div w:id="1218130537">
      <w:bodyDiv w:val="1"/>
      <w:marLeft w:val="0"/>
      <w:marRight w:val="0"/>
      <w:marTop w:val="0"/>
      <w:marBottom w:val="0"/>
      <w:divBdr>
        <w:top w:val="none" w:sz="0" w:space="0" w:color="auto"/>
        <w:left w:val="none" w:sz="0" w:space="0" w:color="auto"/>
        <w:bottom w:val="none" w:sz="0" w:space="0" w:color="auto"/>
        <w:right w:val="none" w:sz="0" w:space="0" w:color="auto"/>
      </w:divBdr>
    </w:div>
    <w:div w:id="1265071645">
      <w:bodyDiv w:val="1"/>
      <w:marLeft w:val="0"/>
      <w:marRight w:val="0"/>
      <w:marTop w:val="0"/>
      <w:marBottom w:val="0"/>
      <w:divBdr>
        <w:top w:val="none" w:sz="0" w:space="0" w:color="auto"/>
        <w:left w:val="none" w:sz="0" w:space="0" w:color="auto"/>
        <w:bottom w:val="none" w:sz="0" w:space="0" w:color="auto"/>
        <w:right w:val="none" w:sz="0" w:space="0" w:color="auto"/>
      </w:divBdr>
      <w:divsChild>
        <w:div w:id="448475271">
          <w:marLeft w:val="547"/>
          <w:marRight w:val="0"/>
          <w:marTop w:val="96"/>
          <w:marBottom w:val="0"/>
          <w:divBdr>
            <w:top w:val="none" w:sz="0" w:space="0" w:color="auto"/>
            <w:left w:val="none" w:sz="0" w:space="0" w:color="auto"/>
            <w:bottom w:val="none" w:sz="0" w:space="0" w:color="auto"/>
            <w:right w:val="none" w:sz="0" w:space="0" w:color="auto"/>
          </w:divBdr>
        </w:div>
        <w:div w:id="1280378190">
          <w:marLeft w:val="547"/>
          <w:marRight w:val="0"/>
          <w:marTop w:val="96"/>
          <w:marBottom w:val="0"/>
          <w:divBdr>
            <w:top w:val="none" w:sz="0" w:space="0" w:color="auto"/>
            <w:left w:val="none" w:sz="0" w:space="0" w:color="auto"/>
            <w:bottom w:val="none" w:sz="0" w:space="0" w:color="auto"/>
            <w:right w:val="none" w:sz="0" w:space="0" w:color="auto"/>
          </w:divBdr>
        </w:div>
        <w:div w:id="1419054907">
          <w:marLeft w:val="547"/>
          <w:marRight w:val="0"/>
          <w:marTop w:val="96"/>
          <w:marBottom w:val="0"/>
          <w:divBdr>
            <w:top w:val="none" w:sz="0" w:space="0" w:color="auto"/>
            <w:left w:val="none" w:sz="0" w:space="0" w:color="auto"/>
            <w:bottom w:val="none" w:sz="0" w:space="0" w:color="auto"/>
            <w:right w:val="none" w:sz="0" w:space="0" w:color="auto"/>
          </w:divBdr>
        </w:div>
        <w:div w:id="2039117244">
          <w:marLeft w:val="547"/>
          <w:marRight w:val="0"/>
          <w:marTop w:val="96"/>
          <w:marBottom w:val="0"/>
          <w:divBdr>
            <w:top w:val="none" w:sz="0" w:space="0" w:color="auto"/>
            <w:left w:val="none" w:sz="0" w:space="0" w:color="auto"/>
            <w:bottom w:val="none" w:sz="0" w:space="0" w:color="auto"/>
            <w:right w:val="none" w:sz="0" w:space="0" w:color="auto"/>
          </w:divBdr>
        </w:div>
      </w:divsChild>
    </w:div>
    <w:div w:id="1321344457">
      <w:bodyDiv w:val="1"/>
      <w:marLeft w:val="0"/>
      <w:marRight w:val="0"/>
      <w:marTop w:val="0"/>
      <w:marBottom w:val="0"/>
      <w:divBdr>
        <w:top w:val="none" w:sz="0" w:space="0" w:color="auto"/>
        <w:left w:val="none" w:sz="0" w:space="0" w:color="auto"/>
        <w:bottom w:val="none" w:sz="0" w:space="0" w:color="auto"/>
        <w:right w:val="none" w:sz="0" w:space="0" w:color="auto"/>
      </w:divBdr>
      <w:divsChild>
        <w:div w:id="864558327">
          <w:marLeft w:val="1166"/>
          <w:marRight w:val="0"/>
          <w:marTop w:val="96"/>
          <w:marBottom w:val="0"/>
          <w:divBdr>
            <w:top w:val="none" w:sz="0" w:space="0" w:color="auto"/>
            <w:left w:val="none" w:sz="0" w:space="0" w:color="auto"/>
            <w:bottom w:val="none" w:sz="0" w:space="0" w:color="auto"/>
            <w:right w:val="none" w:sz="0" w:space="0" w:color="auto"/>
          </w:divBdr>
        </w:div>
        <w:div w:id="1008605036">
          <w:marLeft w:val="1166"/>
          <w:marRight w:val="0"/>
          <w:marTop w:val="96"/>
          <w:marBottom w:val="0"/>
          <w:divBdr>
            <w:top w:val="none" w:sz="0" w:space="0" w:color="auto"/>
            <w:left w:val="none" w:sz="0" w:space="0" w:color="auto"/>
            <w:bottom w:val="none" w:sz="0" w:space="0" w:color="auto"/>
            <w:right w:val="none" w:sz="0" w:space="0" w:color="auto"/>
          </w:divBdr>
        </w:div>
      </w:divsChild>
    </w:div>
    <w:div w:id="1384524327">
      <w:bodyDiv w:val="1"/>
      <w:marLeft w:val="0"/>
      <w:marRight w:val="0"/>
      <w:marTop w:val="0"/>
      <w:marBottom w:val="0"/>
      <w:divBdr>
        <w:top w:val="none" w:sz="0" w:space="0" w:color="auto"/>
        <w:left w:val="none" w:sz="0" w:space="0" w:color="auto"/>
        <w:bottom w:val="none" w:sz="0" w:space="0" w:color="auto"/>
        <w:right w:val="none" w:sz="0" w:space="0" w:color="auto"/>
      </w:divBdr>
      <w:divsChild>
        <w:div w:id="1089161559">
          <w:marLeft w:val="547"/>
          <w:marRight w:val="0"/>
          <w:marTop w:val="96"/>
          <w:marBottom w:val="0"/>
          <w:divBdr>
            <w:top w:val="none" w:sz="0" w:space="0" w:color="auto"/>
            <w:left w:val="none" w:sz="0" w:space="0" w:color="auto"/>
            <w:bottom w:val="none" w:sz="0" w:space="0" w:color="auto"/>
            <w:right w:val="none" w:sz="0" w:space="0" w:color="auto"/>
          </w:divBdr>
        </w:div>
        <w:div w:id="1749812466">
          <w:marLeft w:val="547"/>
          <w:marRight w:val="0"/>
          <w:marTop w:val="96"/>
          <w:marBottom w:val="0"/>
          <w:divBdr>
            <w:top w:val="none" w:sz="0" w:space="0" w:color="auto"/>
            <w:left w:val="none" w:sz="0" w:space="0" w:color="auto"/>
            <w:bottom w:val="none" w:sz="0" w:space="0" w:color="auto"/>
            <w:right w:val="none" w:sz="0" w:space="0" w:color="auto"/>
          </w:divBdr>
        </w:div>
        <w:div w:id="1769504512">
          <w:marLeft w:val="547"/>
          <w:marRight w:val="0"/>
          <w:marTop w:val="96"/>
          <w:marBottom w:val="0"/>
          <w:divBdr>
            <w:top w:val="none" w:sz="0" w:space="0" w:color="auto"/>
            <w:left w:val="none" w:sz="0" w:space="0" w:color="auto"/>
            <w:bottom w:val="none" w:sz="0" w:space="0" w:color="auto"/>
            <w:right w:val="none" w:sz="0" w:space="0" w:color="auto"/>
          </w:divBdr>
        </w:div>
      </w:divsChild>
    </w:div>
    <w:div w:id="1454909801">
      <w:bodyDiv w:val="1"/>
      <w:marLeft w:val="0"/>
      <w:marRight w:val="0"/>
      <w:marTop w:val="0"/>
      <w:marBottom w:val="0"/>
      <w:divBdr>
        <w:top w:val="none" w:sz="0" w:space="0" w:color="auto"/>
        <w:left w:val="none" w:sz="0" w:space="0" w:color="auto"/>
        <w:bottom w:val="none" w:sz="0" w:space="0" w:color="auto"/>
        <w:right w:val="none" w:sz="0" w:space="0" w:color="auto"/>
      </w:divBdr>
      <w:divsChild>
        <w:div w:id="531922562">
          <w:marLeft w:val="720"/>
          <w:marRight w:val="0"/>
          <w:marTop w:val="86"/>
          <w:marBottom w:val="0"/>
          <w:divBdr>
            <w:top w:val="none" w:sz="0" w:space="0" w:color="auto"/>
            <w:left w:val="none" w:sz="0" w:space="0" w:color="auto"/>
            <w:bottom w:val="none" w:sz="0" w:space="0" w:color="auto"/>
            <w:right w:val="none" w:sz="0" w:space="0" w:color="auto"/>
          </w:divBdr>
        </w:div>
        <w:div w:id="691616237">
          <w:marLeft w:val="720"/>
          <w:marRight w:val="0"/>
          <w:marTop w:val="86"/>
          <w:marBottom w:val="0"/>
          <w:divBdr>
            <w:top w:val="none" w:sz="0" w:space="0" w:color="auto"/>
            <w:left w:val="none" w:sz="0" w:space="0" w:color="auto"/>
            <w:bottom w:val="none" w:sz="0" w:space="0" w:color="auto"/>
            <w:right w:val="none" w:sz="0" w:space="0" w:color="auto"/>
          </w:divBdr>
        </w:div>
        <w:div w:id="2109541192">
          <w:marLeft w:val="720"/>
          <w:marRight w:val="0"/>
          <w:marTop w:val="86"/>
          <w:marBottom w:val="0"/>
          <w:divBdr>
            <w:top w:val="none" w:sz="0" w:space="0" w:color="auto"/>
            <w:left w:val="none" w:sz="0" w:space="0" w:color="auto"/>
            <w:bottom w:val="none" w:sz="0" w:space="0" w:color="auto"/>
            <w:right w:val="none" w:sz="0" w:space="0" w:color="auto"/>
          </w:divBdr>
        </w:div>
      </w:divsChild>
    </w:div>
    <w:div w:id="1475175665">
      <w:bodyDiv w:val="1"/>
      <w:marLeft w:val="0"/>
      <w:marRight w:val="0"/>
      <w:marTop w:val="0"/>
      <w:marBottom w:val="0"/>
      <w:divBdr>
        <w:top w:val="none" w:sz="0" w:space="0" w:color="auto"/>
        <w:left w:val="none" w:sz="0" w:space="0" w:color="auto"/>
        <w:bottom w:val="none" w:sz="0" w:space="0" w:color="auto"/>
        <w:right w:val="none" w:sz="0" w:space="0" w:color="auto"/>
      </w:divBdr>
    </w:div>
    <w:div w:id="1480800817">
      <w:bodyDiv w:val="1"/>
      <w:marLeft w:val="0"/>
      <w:marRight w:val="0"/>
      <w:marTop w:val="0"/>
      <w:marBottom w:val="0"/>
      <w:divBdr>
        <w:top w:val="none" w:sz="0" w:space="0" w:color="auto"/>
        <w:left w:val="none" w:sz="0" w:space="0" w:color="auto"/>
        <w:bottom w:val="none" w:sz="0" w:space="0" w:color="auto"/>
        <w:right w:val="none" w:sz="0" w:space="0" w:color="auto"/>
      </w:divBdr>
    </w:div>
    <w:div w:id="1547138329">
      <w:bodyDiv w:val="1"/>
      <w:marLeft w:val="0"/>
      <w:marRight w:val="0"/>
      <w:marTop w:val="0"/>
      <w:marBottom w:val="0"/>
      <w:divBdr>
        <w:top w:val="none" w:sz="0" w:space="0" w:color="auto"/>
        <w:left w:val="none" w:sz="0" w:space="0" w:color="auto"/>
        <w:bottom w:val="none" w:sz="0" w:space="0" w:color="auto"/>
        <w:right w:val="none" w:sz="0" w:space="0" w:color="auto"/>
      </w:divBdr>
    </w:div>
    <w:div w:id="1620650444">
      <w:bodyDiv w:val="1"/>
      <w:marLeft w:val="0"/>
      <w:marRight w:val="0"/>
      <w:marTop w:val="0"/>
      <w:marBottom w:val="0"/>
      <w:divBdr>
        <w:top w:val="none" w:sz="0" w:space="0" w:color="auto"/>
        <w:left w:val="none" w:sz="0" w:space="0" w:color="auto"/>
        <w:bottom w:val="none" w:sz="0" w:space="0" w:color="auto"/>
        <w:right w:val="none" w:sz="0" w:space="0" w:color="auto"/>
      </w:divBdr>
    </w:div>
    <w:div w:id="1724865670">
      <w:bodyDiv w:val="1"/>
      <w:marLeft w:val="0"/>
      <w:marRight w:val="0"/>
      <w:marTop w:val="0"/>
      <w:marBottom w:val="0"/>
      <w:divBdr>
        <w:top w:val="none" w:sz="0" w:space="0" w:color="auto"/>
        <w:left w:val="none" w:sz="0" w:space="0" w:color="auto"/>
        <w:bottom w:val="none" w:sz="0" w:space="0" w:color="auto"/>
        <w:right w:val="none" w:sz="0" w:space="0" w:color="auto"/>
      </w:divBdr>
      <w:divsChild>
        <w:div w:id="20592410">
          <w:marLeft w:val="547"/>
          <w:marRight w:val="0"/>
          <w:marTop w:val="96"/>
          <w:marBottom w:val="0"/>
          <w:divBdr>
            <w:top w:val="none" w:sz="0" w:space="0" w:color="auto"/>
            <w:left w:val="none" w:sz="0" w:space="0" w:color="auto"/>
            <w:bottom w:val="none" w:sz="0" w:space="0" w:color="auto"/>
            <w:right w:val="none" w:sz="0" w:space="0" w:color="auto"/>
          </w:divBdr>
        </w:div>
        <w:div w:id="263273943">
          <w:marLeft w:val="547"/>
          <w:marRight w:val="0"/>
          <w:marTop w:val="96"/>
          <w:marBottom w:val="0"/>
          <w:divBdr>
            <w:top w:val="none" w:sz="0" w:space="0" w:color="auto"/>
            <w:left w:val="none" w:sz="0" w:space="0" w:color="auto"/>
            <w:bottom w:val="none" w:sz="0" w:space="0" w:color="auto"/>
            <w:right w:val="none" w:sz="0" w:space="0" w:color="auto"/>
          </w:divBdr>
        </w:div>
        <w:div w:id="277637915">
          <w:marLeft w:val="547"/>
          <w:marRight w:val="0"/>
          <w:marTop w:val="96"/>
          <w:marBottom w:val="0"/>
          <w:divBdr>
            <w:top w:val="none" w:sz="0" w:space="0" w:color="auto"/>
            <w:left w:val="none" w:sz="0" w:space="0" w:color="auto"/>
            <w:bottom w:val="none" w:sz="0" w:space="0" w:color="auto"/>
            <w:right w:val="none" w:sz="0" w:space="0" w:color="auto"/>
          </w:divBdr>
        </w:div>
        <w:div w:id="709183654">
          <w:marLeft w:val="547"/>
          <w:marRight w:val="0"/>
          <w:marTop w:val="96"/>
          <w:marBottom w:val="0"/>
          <w:divBdr>
            <w:top w:val="none" w:sz="0" w:space="0" w:color="auto"/>
            <w:left w:val="none" w:sz="0" w:space="0" w:color="auto"/>
            <w:bottom w:val="none" w:sz="0" w:space="0" w:color="auto"/>
            <w:right w:val="none" w:sz="0" w:space="0" w:color="auto"/>
          </w:divBdr>
        </w:div>
        <w:div w:id="787629662">
          <w:marLeft w:val="1166"/>
          <w:marRight w:val="0"/>
          <w:marTop w:val="96"/>
          <w:marBottom w:val="0"/>
          <w:divBdr>
            <w:top w:val="none" w:sz="0" w:space="0" w:color="auto"/>
            <w:left w:val="none" w:sz="0" w:space="0" w:color="auto"/>
            <w:bottom w:val="none" w:sz="0" w:space="0" w:color="auto"/>
            <w:right w:val="none" w:sz="0" w:space="0" w:color="auto"/>
          </w:divBdr>
        </w:div>
        <w:div w:id="1057389246">
          <w:marLeft w:val="1166"/>
          <w:marRight w:val="0"/>
          <w:marTop w:val="96"/>
          <w:marBottom w:val="0"/>
          <w:divBdr>
            <w:top w:val="none" w:sz="0" w:space="0" w:color="auto"/>
            <w:left w:val="none" w:sz="0" w:space="0" w:color="auto"/>
            <w:bottom w:val="none" w:sz="0" w:space="0" w:color="auto"/>
            <w:right w:val="none" w:sz="0" w:space="0" w:color="auto"/>
          </w:divBdr>
        </w:div>
        <w:div w:id="1263874240">
          <w:marLeft w:val="547"/>
          <w:marRight w:val="0"/>
          <w:marTop w:val="96"/>
          <w:marBottom w:val="0"/>
          <w:divBdr>
            <w:top w:val="none" w:sz="0" w:space="0" w:color="auto"/>
            <w:left w:val="none" w:sz="0" w:space="0" w:color="auto"/>
            <w:bottom w:val="none" w:sz="0" w:space="0" w:color="auto"/>
            <w:right w:val="none" w:sz="0" w:space="0" w:color="auto"/>
          </w:divBdr>
        </w:div>
        <w:div w:id="2025547379">
          <w:marLeft w:val="547"/>
          <w:marRight w:val="0"/>
          <w:marTop w:val="96"/>
          <w:marBottom w:val="0"/>
          <w:divBdr>
            <w:top w:val="none" w:sz="0" w:space="0" w:color="auto"/>
            <w:left w:val="none" w:sz="0" w:space="0" w:color="auto"/>
            <w:bottom w:val="none" w:sz="0" w:space="0" w:color="auto"/>
            <w:right w:val="none" w:sz="0" w:space="0" w:color="auto"/>
          </w:divBdr>
        </w:div>
      </w:divsChild>
    </w:div>
    <w:div w:id="1860042835">
      <w:bodyDiv w:val="1"/>
      <w:marLeft w:val="0"/>
      <w:marRight w:val="0"/>
      <w:marTop w:val="0"/>
      <w:marBottom w:val="0"/>
      <w:divBdr>
        <w:top w:val="none" w:sz="0" w:space="0" w:color="auto"/>
        <w:left w:val="none" w:sz="0" w:space="0" w:color="auto"/>
        <w:bottom w:val="none" w:sz="0" w:space="0" w:color="auto"/>
        <w:right w:val="none" w:sz="0" w:space="0" w:color="auto"/>
      </w:divBdr>
    </w:div>
    <w:div w:id="1875074415">
      <w:bodyDiv w:val="1"/>
      <w:marLeft w:val="0"/>
      <w:marRight w:val="0"/>
      <w:marTop w:val="0"/>
      <w:marBottom w:val="0"/>
      <w:divBdr>
        <w:top w:val="none" w:sz="0" w:space="0" w:color="auto"/>
        <w:left w:val="none" w:sz="0" w:space="0" w:color="auto"/>
        <w:bottom w:val="none" w:sz="0" w:space="0" w:color="auto"/>
        <w:right w:val="none" w:sz="0" w:space="0" w:color="auto"/>
      </w:divBdr>
    </w:div>
    <w:div w:id="1896817579">
      <w:bodyDiv w:val="1"/>
      <w:marLeft w:val="0"/>
      <w:marRight w:val="0"/>
      <w:marTop w:val="0"/>
      <w:marBottom w:val="0"/>
      <w:divBdr>
        <w:top w:val="none" w:sz="0" w:space="0" w:color="auto"/>
        <w:left w:val="none" w:sz="0" w:space="0" w:color="auto"/>
        <w:bottom w:val="none" w:sz="0" w:space="0" w:color="auto"/>
        <w:right w:val="none" w:sz="0" w:space="0" w:color="auto"/>
      </w:divBdr>
      <w:divsChild>
        <w:div w:id="436607885">
          <w:marLeft w:val="720"/>
          <w:marRight w:val="0"/>
          <w:marTop w:val="86"/>
          <w:marBottom w:val="0"/>
          <w:divBdr>
            <w:top w:val="none" w:sz="0" w:space="0" w:color="auto"/>
            <w:left w:val="none" w:sz="0" w:space="0" w:color="auto"/>
            <w:bottom w:val="none" w:sz="0" w:space="0" w:color="auto"/>
            <w:right w:val="none" w:sz="0" w:space="0" w:color="auto"/>
          </w:divBdr>
        </w:div>
        <w:div w:id="1452672436">
          <w:marLeft w:val="720"/>
          <w:marRight w:val="0"/>
          <w:marTop w:val="86"/>
          <w:marBottom w:val="0"/>
          <w:divBdr>
            <w:top w:val="none" w:sz="0" w:space="0" w:color="auto"/>
            <w:left w:val="none" w:sz="0" w:space="0" w:color="auto"/>
            <w:bottom w:val="none" w:sz="0" w:space="0" w:color="auto"/>
            <w:right w:val="none" w:sz="0" w:space="0" w:color="auto"/>
          </w:divBdr>
        </w:div>
        <w:div w:id="1746536028">
          <w:marLeft w:val="720"/>
          <w:marRight w:val="0"/>
          <w:marTop w:val="86"/>
          <w:marBottom w:val="0"/>
          <w:divBdr>
            <w:top w:val="none" w:sz="0" w:space="0" w:color="auto"/>
            <w:left w:val="none" w:sz="0" w:space="0" w:color="auto"/>
            <w:bottom w:val="none" w:sz="0" w:space="0" w:color="auto"/>
            <w:right w:val="none" w:sz="0" w:space="0" w:color="auto"/>
          </w:divBdr>
        </w:div>
      </w:divsChild>
    </w:div>
    <w:div w:id="1971277770">
      <w:bodyDiv w:val="1"/>
      <w:marLeft w:val="0"/>
      <w:marRight w:val="0"/>
      <w:marTop w:val="0"/>
      <w:marBottom w:val="0"/>
      <w:divBdr>
        <w:top w:val="none" w:sz="0" w:space="0" w:color="auto"/>
        <w:left w:val="none" w:sz="0" w:space="0" w:color="auto"/>
        <w:bottom w:val="none" w:sz="0" w:space="0" w:color="auto"/>
        <w:right w:val="none" w:sz="0" w:space="0" w:color="auto"/>
      </w:divBdr>
    </w:div>
    <w:div w:id="2002541837">
      <w:bodyDiv w:val="1"/>
      <w:marLeft w:val="0"/>
      <w:marRight w:val="0"/>
      <w:marTop w:val="0"/>
      <w:marBottom w:val="0"/>
      <w:divBdr>
        <w:top w:val="none" w:sz="0" w:space="0" w:color="auto"/>
        <w:left w:val="none" w:sz="0" w:space="0" w:color="auto"/>
        <w:bottom w:val="none" w:sz="0" w:space="0" w:color="auto"/>
        <w:right w:val="none" w:sz="0" w:space="0" w:color="auto"/>
      </w:divBdr>
    </w:div>
    <w:div w:id="2021420328">
      <w:bodyDiv w:val="1"/>
      <w:marLeft w:val="0"/>
      <w:marRight w:val="0"/>
      <w:marTop w:val="0"/>
      <w:marBottom w:val="0"/>
      <w:divBdr>
        <w:top w:val="none" w:sz="0" w:space="0" w:color="auto"/>
        <w:left w:val="none" w:sz="0" w:space="0" w:color="auto"/>
        <w:bottom w:val="none" w:sz="0" w:space="0" w:color="auto"/>
        <w:right w:val="none" w:sz="0" w:space="0" w:color="auto"/>
      </w:divBdr>
      <w:divsChild>
        <w:div w:id="981423506">
          <w:marLeft w:val="547"/>
          <w:marRight w:val="0"/>
          <w:marTop w:val="86"/>
          <w:marBottom w:val="0"/>
          <w:divBdr>
            <w:top w:val="none" w:sz="0" w:space="0" w:color="auto"/>
            <w:left w:val="none" w:sz="0" w:space="0" w:color="auto"/>
            <w:bottom w:val="none" w:sz="0" w:space="0" w:color="auto"/>
            <w:right w:val="none" w:sz="0" w:space="0" w:color="auto"/>
          </w:divBdr>
        </w:div>
        <w:div w:id="1421946109">
          <w:marLeft w:val="547"/>
          <w:marRight w:val="0"/>
          <w:marTop w:val="86"/>
          <w:marBottom w:val="0"/>
          <w:divBdr>
            <w:top w:val="none" w:sz="0" w:space="0" w:color="auto"/>
            <w:left w:val="none" w:sz="0" w:space="0" w:color="auto"/>
            <w:bottom w:val="none" w:sz="0" w:space="0" w:color="auto"/>
            <w:right w:val="none" w:sz="0" w:space="0" w:color="auto"/>
          </w:divBdr>
        </w:div>
        <w:div w:id="1439064494">
          <w:marLeft w:val="1166"/>
          <w:marRight w:val="0"/>
          <w:marTop w:val="96"/>
          <w:marBottom w:val="0"/>
          <w:divBdr>
            <w:top w:val="none" w:sz="0" w:space="0" w:color="auto"/>
            <w:left w:val="none" w:sz="0" w:space="0" w:color="auto"/>
            <w:bottom w:val="none" w:sz="0" w:space="0" w:color="auto"/>
            <w:right w:val="none" w:sz="0" w:space="0" w:color="auto"/>
          </w:divBdr>
        </w:div>
        <w:div w:id="1588004338">
          <w:marLeft w:val="547"/>
          <w:marRight w:val="0"/>
          <w:marTop w:val="86"/>
          <w:marBottom w:val="0"/>
          <w:divBdr>
            <w:top w:val="none" w:sz="0" w:space="0" w:color="auto"/>
            <w:left w:val="none" w:sz="0" w:space="0" w:color="auto"/>
            <w:bottom w:val="none" w:sz="0" w:space="0" w:color="auto"/>
            <w:right w:val="none" w:sz="0" w:space="0" w:color="auto"/>
          </w:divBdr>
        </w:div>
        <w:div w:id="1756903262">
          <w:marLeft w:val="547"/>
          <w:marRight w:val="0"/>
          <w:marTop w:val="86"/>
          <w:marBottom w:val="0"/>
          <w:divBdr>
            <w:top w:val="none" w:sz="0" w:space="0" w:color="auto"/>
            <w:left w:val="none" w:sz="0" w:space="0" w:color="auto"/>
            <w:bottom w:val="none" w:sz="0" w:space="0" w:color="auto"/>
            <w:right w:val="none" w:sz="0" w:space="0" w:color="auto"/>
          </w:divBdr>
        </w:div>
      </w:divsChild>
    </w:div>
    <w:div w:id="2056157986">
      <w:bodyDiv w:val="1"/>
      <w:marLeft w:val="0"/>
      <w:marRight w:val="0"/>
      <w:marTop w:val="0"/>
      <w:marBottom w:val="0"/>
      <w:divBdr>
        <w:top w:val="none" w:sz="0" w:space="0" w:color="auto"/>
        <w:left w:val="none" w:sz="0" w:space="0" w:color="auto"/>
        <w:bottom w:val="none" w:sz="0" w:space="0" w:color="auto"/>
        <w:right w:val="none" w:sz="0" w:space="0" w:color="auto"/>
      </w:divBdr>
      <w:divsChild>
        <w:div w:id="442000781">
          <w:marLeft w:val="1166"/>
          <w:marRight w:val="0"/>
          <w:marTop w:val="96"/>
          <w:marBottom w:val="0"/>
          <w:divBdr>
            <w:top w:val="none" w:sz="0" w:space="0" w:color="auto"/>
            <w:left w:val="none" w:sz="0" w:space="0" w:color="auto"/>
            <w:bottom w:val="none" w:sz="0" w:space="0" w:color="auto"/>
            <w:right w:val="none" w:sz="0" w:space="0" w:color="auto"/>
          </w:divBdr>
        </w:div>
        <w:div w:id="885067542">
          <w:marLeft w:val="1166"/>
          <w:marRight w:val="0"/>
          <w:marTop w:val="96"/>
          <w:marBottom w:val="0"/>
          <w:divBdr>
            <w:top w:val="none" w:sz="0" w:space="0" w:color="auto"/>
            <w:left w:val="none" w:sz="0" w:space="0" w:color="auto"/>
            <w:bottom w:val="none" w:sz="0" w:space="0" w:color="auto"/>
            <w:right w:val="none" w:sz="0" w:space="0" w:color="auto"/>
          </w:divBdr>
        </w:div>
        <w:div w:id="1100223861">
          <w:marLeft w:val="547"/>
          <w:marRight w:val="0"/>
          <w:marTop w:val="96"/>
          <w:marBottom w:val="0"/>
          <w:divBdr>
            <w:top w:val="none" w:sz="0" w:space="0" w:color="auto"/>
            <w:left w:val="none" w:sz="0" w:space="0" w:color="auto"/>
            <w:bottom w:val="none" w:sz="0" w:space="0" w:color="auto"/>
            <w:right w:val="none" w:sz="0" w:space="0" w:color="auto"/>
          </w:divBdr>
        </w:div>
        <w:div w:id="1120296239">
          <w:marLeft w:val="547"/>
          <w:marRight w:val="0"/>
          <w:marTop w:val="96"/>
          <w:marBottom w:val="0"/>
          <w:divBdr>
            <w:top w:val="none" w:sz="0" w:space="0" w:color="auto"/>
            <w:left w:val="none" w:sz="0" w:space="0" w:color="auto"/>
            <w:bottom w:val="none" w:sz="0" w:space="0" w:color="auto"/>
            <w:right w:val="none" w:sz="0" w:space="0" w:color="auto"/>
          </w:divBdr>
        </w:div>
      </w:divsChild>
    </w:div>
    <w:div w:id="2078478406">
      <w:bodyDiv w:val="1"/>
      <w:marLeft w:val="0"/>
      <w:marRight w:val="0"/>
      <w:marTop w:val="0"/>
      <w:marBottom w:val="0"/>
      <w:divBdr>
        <w:top w:val="none" w:sz="0" w:space="0" w:color="auto"/>
        <w:left w:val="none" w:sz="0" w:space="0" w:color="auto"/>
        <w:bottom w:val="none" w:sz="0" w:space="0" w:color="auto"/>
        <w:right w:val="none" w:sz="0" w:space="0" w:color="auto"/>
      </w:divBdr>
      <w:divsChild>
        <w:div w:id="994143616">
          <w:marLeft w:val="547"/>
          <w:marRight w:val="0"/>
          <w:marTop w:val="96"/>
          <w:marBottom w:val="0"/>
          <w:divBdr>
            <w:top w:val="none" w:sz="0" w:space="0" w:color="auto"/>
            <w:left w:val="none" w:sz="0" w:space="0" w:color="auto"/>
            <w:bottom w:val="none" w:sz="0" w:space="0" w:color="auto"/>
            <w:right w:val="none" w:sz="0" w:space="0" w:color="auto"/>
          </w:divBdr>
        </w:div>
        <w:div w:id="1664357528">
          <w:marLeft w:val="547"/>
          <w:marRight w:val="0"/>
          <w:marTop w:val="96"/>
          <w:marBottom w:val="0"/>
          <w:divBdr>
            <w:top w:val="none" w:sz="0" w:space="0" w:color="auto"/>
            <w:left w:val="none" w:sz="0" w:space="0" w:color="auto"/>
            <w:bottom w:val="none" w:sz="0" w:space="0" w:color="auto"/>
            <w:right w:val="none" w:sz="0" w:space="0" w:color="auto"/>
          </w:divBdr>
        </w:div>
        <w:div w:id="2081710680">
          <w:marLeft w:val="547"/>
          <w:marRight w:val="0"/>
          <w:marTop w:val="96"/>
          <w:marBottom w:val="0"/>
          <w:divBdr>
            <w:top w:val="none" w:sz="0" w:space="0" w:color="auto"/>
            <w:left w:val="none" w:sz="0" w:space="0" w:color="auto"/>
            <w:bottom w:val="none" w:sz="0" w:space="0" w:color="auto"/>
            <w:right w:val="none" w:sz="0" w:space="0" w:color="auto"/>
          </w:divBdr>
        </w:div>
      </w:divsChild>
    </w:div>
    <w:div w:id="2118215396">
      <w:bodyDiv w:val="1"/>
      <w:marLeft w:val="0"/>
      <w:marRight w:val="0"/>
      <w:marTop w:val="0"/>
      <w:marBottom w:val="0"/>
      <w:divBdr>
        <w:top w:val="none" w:sz="0" w:space="0" w:color="auto"/>
        <w:left w:val="none" w:sz="0" w:space="0" w:color="auto"/>
        <w:bottom w:val="none" w:sz="0" w:space="0" w:color="auto"/>
        <w:right w:val="none" w:sz="0" w:space="0" w:color="auto"/>
      </w:divBdr>
      <w:divsChild>
        <w:div w:id="2021811931">
          <w:marLeft w:val="1166"/>
          <w:marRight w:val="0"/>
          <w:marTop w:val="96"/>
          <w:marBottom w:val="0"/>
          <w:divBdr>
            <w:top w:val="none" w:sz="0" w:space="0" w:color="auto"/>
            <w:left w:val="none" w:sz="0" w:space="0" w:color="auto"/>
            <w:bottom w:val="none" w:sz="0" w:space="0" w:color="auto"/>
            <w:right w:val="none" w:sz="0" w:space="0" w:color="auto"/>
          </w:divBdr>
        </w:div>
      </w:divsChild>
    </w:div>
    <w:div w:id="2118282319">
      <w:bodyDiv w:val="1"/>
      <w:marLeft w:val="0"/>
      <w:marRight w:val="0"/>
      <w:marTop w:val="0"/>
      <w:marBottom w:val="0"/>
      <w:divBdr>
        <w:top w:val="none" w:sz="0" w:space="0" w:color="auto"/>
        <w:left w:val="none" w:sz="0" w:space="0" w:color="auto"/>
        <w:bottom w:val="none" w:sz="0" w:space="0" w:color="auto"/>
        <w:right w:val="none" w:sz="0" w:space="0" w:color="auto"/>
      </w:divBdr>
      <w:divsChild>
        <w:div w:id="27950929">
          <w:marLeft w:val="1166"/>
          <w:marRight w:val="0"/>
          <w:marTop w:val="96"/>
          <w:marBottom w:val="0"/>
          <w:divBdr>
            <w:top w:val="none" w:sz="0" w:space="0" w:color="auto"/>
            <w:left w:val="none" w:sz="0" w:space="0" w:color="auto"/>
            <w:bottom w:val="none" w:sz="0" w:space="0" w:color="auto"/>
            <w:right w:val="none" w:sz="0" w:space="0" w:color="auto"/>
          </w:divBdr>
        </w:div>
        <w:div w:id="513542547">
          <w:marLeft w:val="1166"/>
          <w:marRight w:val="0"/>
          <w:marTop w:val="96"/>
          <w:marBottom w:val="0"/>
          <w:divBdr>
            <w:top w:val="none" w:sz="0" w:space="0" w:color="auto"/>
            <w:left w:val="none" w:sz="0" w:space="0" w:color="auto"/>
            <w:bottom w:val="none" w:sz="0" w:space="0" w:color="auto"/>
            <w:right w:val="none" w:sz="0" w:space="0" w:color="auto"/>
          </w:divBdr>
        </w:div>
        <w:div w:id="573466478">
          <w:marLeft w:val="1166"/>
          <w:marRight w:val="0"/>
          <w:marTop w:val="96"/>
          <w:marBottom w:val="0"/>
          <w:divBdr>
            <w:top w:val="none" w:sz="0" w:space="0" w:color="auto"/>
            <w:left w:val="none" w:sz="0" w:space="0" w:color="auto"/>
            <w:bottom w:val="none" w:sz="0" w:space="0" w:color="auto"/>
            <w:right w:val="none" w:sz="0" w:space="0" w:color="auto"/>
          </w:divBdr>
        </w:div>
        <w:div w:id="929508417">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2.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43609/Carbon_capture_readiness_-_guidanc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6C6E60332134D86478D117040D3A9" ma:contentTypeVersion="0" ma:contentTypeDescription="Create a new document." ma:contentTypeScope="" ma:versionID="2f3b705f1a79d7a7fda28174a87551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0A6F2-0B99-44D2-BC2E-CAC79571BA8B}">
  <ds:schemaRef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46DA4AE6-947B-4807-A646-7B87DD206224}">
  <ds:schemaRefs>
    <ds:schemaRef ds:uri="http://schemas.microsoft.com/sharepoint/v3/contenttype/forms"/>
  </ds:schemaRefs>
</ds:datastoreItem>
</file>

<file path=customXml/itemProps3.xml><?xml version="1.0" encoding="utf-8"?>
<ds:datastoreItem xmlns:ds="http://schemas.openxmlformats.org/officeDocument/2006/customXml" ds:itemID="{948EE0F9-C917-4319-89FC-FE1018F03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97AC362-10C0-42FE-BE70-14F296F7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1785</Words>
  <Characters>16083</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17803</CharactersWithSpaces>
  <SharedDoc>false</SharedDoc>
  <HLinks>
    <vt:vector size="12" baseType="variant">
      <vt:variant>
        <vt:i4>5767264</vt:i4>
      </vt:variant>
      <vt:variant>
        <vt:i4>3</vt:i4>
      </vt:variant>
      <vt:variant>
        <vt:i4>0</vt:i4>
      </vt:variant>
      <vt:variant>
        <vt:i4>5</vt:i4>
      </vt:variant>
      <vt:variant>
        <vt:lpwstr>https://www.gov.uk/government/uploads/system/uploads/attachment_data/file/43609/Carbon_capture_readiness_-_guidance.pdf</vt:lpwstr>
      </vt:variant>
      <vt:variant>
        <vt:lpwstr/>
      </vt:variant>
      <vt:variant>
        <vt:i4>6750240</vt:i4>
      </vt:variant>
      <vt:variant>
        <vt:i4>0</vt:i4>
      </vt:variant>
      <vt:variant>
        <vt:i4>0</vt:i4>
      </vt:variant>
      <vt:variant>
        <vt:i4>5</vt:i4>
      </vt:variant>
      <vt:variant>
        <vt:lpwstr>http://www.ipcc.ch/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2015-11-24T08:15:00Z</dcterms:created>
  <dcterms:modified xsi:type="dcterms:W3CDTF">2016-01-12T08:48:00Z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2</vt:lpwstr>
  </property>
  <property fmtid="{D5CDD505-2E9C-101B-9397-08002B2CF9AE}" pid="3" name="Last annex">
    <vt:lpwstr>2</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ContentTypeId">
    <vt:lpwstr>0x010100F976C6E60332134D86478D117040D3A9</vt:lpwstr>
  </property>
  <property fmtid="{D5CDD505-2E9C-101B-9397-08002B2CF9AE}" pid="8" name="DocStatus">
    <vt:lpwstr>Green</vt:lpwstr>
  </property>
</Properties>
</file>