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alt="4EFF8A7009844BF9B01AAFB425C2752F" style="width:450.8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ANNEXES</w:t>
      </w:r>
    </w:p>
    <w:p>
      <w:pPr>
        <w:pStyle w:val="Accompagnant"/>
        <w:rPr>
          <w:noProof/>
        </w:rPr>
      </w:pPr>
      <w:r>
        <w:rPr>
          <w:noProof/>
        </w:rPr>
        <w:t xml:space="preserve">à la proposition de </w:t>
      </w:r>
    </w:p>
    <w:p>
      <w:pPr>
        <w:pStyle w:val="Typeacteprincipal"/>
        <w:rPr>
          <w:noProof/>
        </w:rPr>
      </w:pPr>
      <w:r>
        <w:rPr>
          <w:noProof/>
        </w:rPr>
        <w:t>RÈGLEMENT DU PARLEMENT EUROPÉEN ET DU CONSEIL</w:t>
      </w:r>
    </w:p>
    <w:p>
      <w:pPr>
        <w:pStyle w:val="Objetacteprincipal"/>
        <w:rPr>
          <w:noProof/>
        </w:rPr>
      </w:pPr>
      <w:r>
        <w:rPr>
          <w:noProof/>
        </w:rPr>
        <w:t>relatif à la réception et à la surveillance du marché des véhicules à moteur et de leurs remorques, ainsi que des systèmes, composants et entités techniques distinctes destinés à ces véhicules</w:t>
      </w:r>
    </w:p>
    <w:p>
      <w:pPr>
        <w:pStyle w:val="Title"/>
        <w:rPr>
          <w:rFonts w:ascii="Times New Roman" w:hAnsi="Times New Roman"/>
          <w:noProof/>
        </w:rPr>
      </w:pPr>
      <w:r>
        <w:rPr>
          <w:rFonts w:ascii="Times New Roman" w:hAnsi="Times New Roman"/>
          <w:noProof/>
        </w:rPr>
        <w:t>LISTE DES ANNEXES</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45"/>
        <w:gridCol w:w="281"/>
        <w:gridCol w:w="7992"/>
      </w:tblGrid>
      <w:tr>
        <w:trPr>
          <w:tblCellSpacing w:w="0" w:type="dxa"/>
        </w:trPr>
        <w:tc>
          <w:tcPr>
            <w:tcW w:w="871" w:type="pct"/>
            <w:hideMark/>
          </w:tcPr>
          <w:p>
            <w:pPr>
              <w:spacing w:after="0"/>
              <w:jc w:val="left"/>
              <w:rPr>
                <w:rFonts w:eastAsia="Arial Unicode MS"/>
                <w:noProof/>
                <w:szCs w:val="24"/>
              </w:rPr>
            </w:pPr>
            <w:r>
              <w:rPr>
                <w:noProof/>
                <w:sz w:val="22"/>
              </w:rPr>
              <w:t>Annexe I</w:t>
            </w:r>
          </w:p>
        </w:tc>
        <w:tc>
          <w:tcPr>
            <w:tcW w:w="4129" w:type="pct"/>
            <w:gridSpan w:val="2"/>
            <w:hideMark/>
          </w:tcPr>
          <w:p>
            <w:pPr>
              <w:spacing w:after="0"/>
              <w:ind w:left="98"/>
              <w:rPr>
                <w:rFonts w:eastAsia="Arial Unicode MS"/>
                <w:noProof/>
                <w:szCs w:val="24"/>
              </w:rPr>
            </w:pPr>
            <w:r>
              <w:rPr>
                <w:noProof/>
                <w:sz w:val="22"/>
              </w:rPr>
              <w:t>Fiche de renseignements - Liste exhaustive de renseignements aux fins de la réception UE par type de véhicules, de systèmes, de composants ou d’entités techniques distinctes</w:t>
            </w:r>
          </w:p>
        </w:tc>
      </w:tr>
      <w:tr>
        <w:trPr>
          <w:tblCellSpacing w:w="0" w:type="dxa"/>
        </w:trPr>
        <w:tc>
          <w:tcPr>
            <w:tcW w:w="871" w:type="pct"/>
            <w:hideMark/>
          </w:tcPr>
          <w:p>
            <w:pPr>
              <w:spacing w:after="0"/>
              <w:jc w:val="left"/>
              <w:rPr>
                <w:rFonts w:eastAsia="Arial Unicode MS"/>
                <w:noProof/>
                <w:szCs w:val="24"/>
              </w:rPr>
            </w:pPr>
            <w:r>
              <w:rPr>
                <w:noProof/>
                <w:sz w:val="22"/>
              </w:rPr>
              <w:t>Annexe II</w:t>
            </w:r>
          </w:p>
        </w:tc>
        <w:tc>
          <w:tcPr>
            <w:tcW w:w="4129" w:type="pct"/>
            <w:gridSpan w:val="2"/>
            <w:hideMark/>
          </w:tcPr>
          <w:p>
            <w:pPr>
              <w:spacing w:after="0"/>
              <w:ind w:left="98"/>
              <w:rPr>
                <w:rFonts w:eastAsia="Arial Unicode MS"/>
                <w:noProof/>
                <w:szCs w:val="24"/>
              </w:rPr>
            </w:pPr>
            <w:r>
              <w:rPr>
                <w:noProof/>
                <w:sz w:val="22"/>
              </w:rPr>
              <w:t>Définitions générales, critères pour la classification des véhicules, types de véhicule et types de carrosserie</w:t>
            </w:r>
          </w:p>
        </w:tc>
      </w:tr>
      <w:tr>
        <w:trPr>
          <w:tblCellSpacing w:w="0" w:type="dxa"/>
        </w:trPr>
        <w:tc>
          <w:tcPr>
            <w:tcW w:w="871" w:type="pct"/>
            <w:hideMark/>
          </w:tcPr>
          <w:p>
            <w:pPr>
              <w:spacing w:after="0"/>
              <w:ind w:left="284"/>
              <w:jc w:val="left"/>
              <w:rPr>
                <w:rFonts w:eastAsia="Arial Unicode MS"/>
                <w:noProof/>
                <w:szCs w:val="24"/>
              </w:rPr>
            </w:pPr>
            <w:r>
              <w:rPr>
                <w:noProof/>
                <w:sz w:val="22"/>
              </w:rPr>
              <w:t>Appendice 1:</w:t>
            </w:r>
          </w:p>
        </w:tc>
        <w:tc>
          <w:tcPr>
            <w:tcW w:w="4129" w:type="pct"/>
            <w:gridSpan w:val="2"/>
            <w:hideMark/>
          </w:tcPr>
          <w:p>
            <w:pPr>
              <w:spacing w:after="0"/>
              <w:ind w:left="98"/>
              <w:rPr>
                <w:rFonts w:eastAsia="Arial Unicode MS"/>
                <w:noProof/>
                <w:szCs w:val="24"/>
              </w:rPr>
            </w:pPr>
            <w:r>
              <w:rPr>
                <w:noProof/>
                <w:sz w:val="22"/>
              </w:rPr>
              <w:t>Procédure à suivre pour vérifier si un véhicule peut être classé dans la catégorie des véhicules hors route</w:t>
            </w:r>
          </w:p>
        </w:tc>
      </w:tr>
      <w:tr>
        <w:trPr>
          <w:tblCellSpacing w:w="0" w:type="dxa"/>
        </w:trPr>
        <w:tc>
          <w:tcPr>
            <w:tcW w:w="871" w:type="pct"/>
            <w:hideMark/>
          </w:tcPr>
          <w:p>
            <w:pPr>
              <w:spacing w:after="0"/>
              <w:ind w:left="284"/>
              <w:jc w:val="left"/>
              <w:rPr>
                <w:rFonts w:eastAsia="Arial Unicode MS"/>
                <w:noProof/>
                <w:szCs w:val="24"/>
              </w:rPr>
            </w:pPr>
            <w:r>
              <w:rPr>
                <w:noProof/>
                <w:sz w:val="22"/>
              </w:rPr>
              <w:t>Appendice 2:</w:t>
            </w:r>
          </w:p>
        </w:tc>
        <w:tc>
          <w:tcPr>
            <w:tcW w:w="4129" w:type="pct"/>
            <w:gridSpan w:val="2"/>
            <w:hideMark/>
          </w:tcPr>
          <w:p>
            <w:pPr>
              <w:spacing w:after="0"/>
              <w:ind w:left="98"/>
              <w:rPr>
                <w:rFonts w:eastAsia="Arial Unicode MS"/>
                <w:noProof/>
                <w:szCs w:val="24"/>
              </w:rPr>
            </w:pPr>
            <w:r>
              <w:rPr>
                <w:noProof/>
                <w:sz w:val="22"/>
              </w:rPr>
              <w:t>Chiffres utilisés pour compléter les codes à utiliser pour divers types de carrosserie</w:t>
            </w:r>
          </w:p>
        </w:tc>
      </w:tr>
      <w:tr>
        <w:trPr>
          <w:tblCellSpacing w:w="0" w:type="dxa"/>
        </w:trPr>
        <w:tc>
          <w:tcPr>
            <w:tcW w:w="871" w:type="pct"/>
            <w:hideMark/>
          </w:tcPr>
          <w:p>
            <w:pPr>
              <w:spacing w:after="0"/>
              <w:jc w:val="left"/>
              <w:rPr>
                <w:rFonts w:eastAsia="Arial Unicode MS"/>
                <w:noProof/>
                <w:szCs w:val="24"/>
              </w:rPr>
            </w:pPr>
            <w:r>
              <w:rPr>
                <w:noProof/>
                <w:sz w:val="22"/>
              </w:rPr>
              <w:t>Annexe III</w:t>
            </w:r>
          </w:p>
        </w:tc>
        <w:tc>
          <w:tcPr>
            <w:tcW w:w="4129" w:type="pct"/>
            <w:gridSpan w:val="2"/>
            <w:hideMark/>
          </w:tcPr>
          <w:p>
            <w:pPr>
              <w:spacing w:after="0"/>
              <w:ind w:left="98"/>
              <w:rPr>
                <w:rFonts w:eastAsia="Arial Unicode MS"/>
                <w:noProof/>
                <w:szCs w:val="24"/>
              </w:rPr>
            </w:pPr>
            <w:r>
              <w:rPr>
                <w:noProof/>
                <w:sz w:val="22"/>
              </w:rPr>
              <w:t>Fiche de renseignements aux fins de la réception UE par type de véhicules</w:t>
            </w:r>
          </w:p>
        </w:tc>
      </w:tr>
      <w:tr>
        <w:trPr>
          <w:tblCellSpacing w:w="0" w:type="dxa"/>
        </w:trPr>
        <w:tc>
          <w:tcPr>
            <w:tcW w:w="871" w:type="pct"/>
            <w:hideMark/>
          </w:tcPr>
          <w:p>
            <w:pPr>
              <w:spacing w:after="0"/>
              <w:jc w:val="left"/>
              <w:rPr>
                <w:rFonts w:eastAsia="Arial Unicode MS"/>
                <w:noProof/>
                <w:szCs w:val="24"/>
              </w:rPr>
            </w:pPr>
            <w:r>
              <w:rPr>
                <w:noProof/>
                <w:sz w:val="22"/>
              </w:rPr>
              <w:t>Annexe IV</w:t>
            </w:r>
          </w:p>
        </w:tc>
        <w:tc>
          <w:tcPr>
            <w:tcW w:w="4129" w:type="pct"/>
            <w:gridSpan w:val="2"/>
            <w:hideMark/>
          </w:tcPr>
          <w:p>
            <w:pPr>
              <w:spacing w:after="0"/>
              <w:ind w:left="98"/>
              <w:rPr>
                <w:rFonts w:eastAsia="Arial Unicode MS"/>
                <w:noProof/>
                <w:szCs w:val="24"/>
              </w:rPr>
            </w:pPr>
            <w:r>
              <w:rPr>
                <w:noProof/>
                <w:sz w:val="22"/>
              </w:rPr>
              <w:t>Prescriptions aux fins de la réception UE de véhicules, de systèmes, de composants ou d’entités techniques distinctes</w:t>
            </w:r>
          </w:p>
        </w:tc>
      </w:tr>
      <w:tr>
        <w:trPr>
          <w:tblCellSpacing w:w="0" w:type="dxa"/>
        </w:trPr>
        <w:tc>
          <w:tcPr>
            <w:tcW w:w="871" w:type="pct"/>
          </w:tcPr>
          <w:p>
            <w:pPr>
              <w:spacing w:after="0"/>
              <w:ind w:left="142"/>
              <w:jc w:val="left"/>
              <w:rPr>
                <w:rFonts w:eastAsia="Arial Unicode MS"/>
                <w:noProof/>
                <w:szCs w:val="24"/>
              </w:rPr>
            </w:pPr>
            <w:r>
              <w:rPr>
                <w:noProof/>
                <w:sz w:val="22"/>
              </w:rPr>
              <w:t>Partie I</w:t>
            </w:r>
          </w:p>
        </w:tc>
        <w:tc>
          <w:tcPr>
            <w:tcW w:w="4129" w:type="pct"/>
            <w:gridSpan w:val="2"/>
          </w:tcPr>
          <w:p>
            <w:pPr>
              <w:spacing w:after="0"/>
              <w:ind w:left="98"/>
              <w:rPr>
                <w:rFonts w:eastAsia="Arial Unicode MS"/>
                <w:noProof/>
                <w:szCs w:val="24"/>
              </w:rPr>
            </w:pPr>
            <w:r>
              <w:rPr>
                <w:noProof/>
                <w:sz w:val="22"/>
              </w:rPr>
              <w:t>Actes réglementaires applicables aux fins de la réception UE par type de véhicules produits en séries illimitées</w:t>
            </w:r>
          </w:p>
        </w:tc>
      </w:tr>
      <w:tr>
        <w:trPr>
          <w:tblCellSpacing w:w="0" w:type="dxa"/>
        </w:trPr>
        <w:tc>
          <w:tcPr>
            <w:tcW w:w="871" w:type="pct"/>
            <w:hideMark/>
          </w:tcPr>
          <w:p>
            <w:pPr>
              <w:spacing w:after="0"/>
              <w:ind w:left="284"/>
              <w:jc w:val="left"/>
              <w:rPr>
                <w:rFonts w:eastAsia="Arial Unicode MS"/>
                <w:noProof/>
                <w:szCs w:val="24"/>
              </w:rPr>
            </w:pPr>
            <w:r>
              <w:rPr>
                <w:noProof/>
                <w:sz w:val="22"/>
              </w:rPr>
              <w:t>Appendice 1:</w:t>
            </w:r>
          </w:p>
        </w:tc>
        <w:tc>
          <w:tcPr>
            <w:tcW w:w="4129" w:type="pct"/>
            <w:gridSpan w:val="2"/>
            <w:hideMark/>
          </w:tcPr>
          <w:p>
            <w:pPr>
              <w:spacing w:after="0"/>
              <w:ind w:left="98"/>
              <w:rPr>
                <w:rFonts w:eastAsia="Arial Unicode MS"/>
                <w:noProof/>
                <w:szCs w:val="24"/>
              </w:rPr>
            </w:pPr>
            <w:r>
              <w:rPr>
                <w:noProof/>
                <w:sz w:val="22"/>
              </w:rPr>
              <w:t>Actes réglementaires applicables aux fins de la réception UE par type de véhicules produits en petites séries en vertu de l'article 39</w:t>
            </w:r>
          </w:p>
        </w:tc>
      </w:tr>
      <w:tr>
        <w:trPr>
          <w:tblCellSpacing w:w="0" w:type="dxa"/>
        </w:trPr>
        <w:tc>
          <w:tcPr>
            <w:tcW w:w="871" w:type="pct"/>
          </w:tcPr>
          <w:p>
            <w:pPr>
              <w:spacing w:after="0"/>
              <w:ind w:left="142"/>
              <w:jc w:val="left"/>
              <w:rPr>
                <w:noProof/>
                <w:sz w:val="22"/>
              </w:rPr>
            </w:pPr>
            <w:r>
              <w:rPr>
                <w:noProof/>
                <w:sz w:val="22"/>
              </w:rPr>
              <w:t>Appendice 2:</w:t>
            </w:r>
          </w:p>
        </w:tc>
        <w:tc>
          <w:tcPr>
            <w:tcW w:w="4129" w:type="pct"/>
            <w:gridSpan w:val="2"/>
          </w:tcPr>
          <w:p>
            <w:pPr>
              <w:spacing w:after="0"/>
              <w:ind w:left="98"/>
              <w:rPr>
                <w:noProof/>
                <w:sz w:val="22"/>
              </w:rPr>
            </w:pPr>
            <w:r>
              <w:rPr>
                <w:noProof/>
                <w:sz w:val="22"/>
              </w:rPr>
              <w:t>Prescriptions applicables aux fins de la réception UE individuelle de véhicules en vertu de l'article 42</w:t>
            </w:r>
          </w:p>
        </w:tc>
      </w:tr>
      <w:tr>
        <w:trPr>
          <w:tblCellSpacing w:w="0" w:type="dxa"/>
        </w:trPr>
        <w:tc>
          <w:tcPr>
            <w:tcW w:w="871" w:type="pct"/>
          </w:tcPr>
          <w:p>
            <w:pPr>
              <w:spacing w:after="0"/>
              <w:ind w:left="142"/>
              <w:jc w:val="left"/>
              <w:rPr>
                <w:rFonts w:eastAsia="Arial Unicode MS"/>
                <w:noProof/>
                <w:szCs w:val="24"/>
              </w:rPr>
            </w:pPr>
            <w:r>
              <w:rPr>
                <w:noProof/>
                <w:sz w:val="22"/>
              </w:rPr>
              <w:t>Partie II</w:t>
            </w:r>
          </w:p>
        </w:tc>
        <w:tc>
          <w:tcPr>
            <w:tcW w:w="4129" w:type="pct"/>
            <w:gridSpan w:val="2"/>
          </w:tcPr>
          <w:p>
            <w:pPr>
              <w:spacing w:after="0"/>
              <w:ind w:left="98"/>
              <w:rPr>
                <w:rFonts w:eastAsia="Arial Unicode MS"/>
                <w:noProof/>
                <w:szCs w:val="24"/>
              </w:rPr>
            </w:pPr>
            <w:r>
              <w:rPr>
                <w:noProof/>
                <w:sz w:val="22"/>
              </w:rPr>
              <w:t>Liste des règlements de la CEE-ONU reconnus comme une alternative aux directives ou règlements visés dans la partie I</w:t>
            </w:r>
          </w:p>
        </w:tc>
      </w:tr>
      <w:tr>
        <w:trPr>
          <w:tblCellSpacing w:w="0" w:type="dxa"/>
        </w:trPr>
        <w:tc>
          <w:tcPr>
            <w:tcW w:w="871" w:type="pct"/>
          </w:tcPr>
          <w:p>
            <w:pPr>
              <w:spacing w:after="0"/>
              <w:ind w:left="142"/>
              <w:jc w:val="left"/>
              <w:rPr>
                <w:rFonts w:eastAsia="Arial Unicode MS"/>
                <w:noProof/>
                <w:szCs w:val="24"/>
              </w:rPr>
            </w:pPr>
            <w:r>
              <w:rPr>
                <w:noProof/>
                <w:sz w:val="22"/>
              </w:rPr>
              <w:t>Partie III</w:t>
            </w:r>
          </w:p>
        </w:tc>
        <w:tc>
          <w:tcPr>
            <w:tcW w:w="4129" w:type="pct"/>
            <w:gridSpan w:val="2"/>
          </w:tcPr>
          <w:p>
            <w:pPr>
              <w:spacing w:after="0"/>
              <w:ind w:left="98"/>
              <w:rPr>
                <w:rFonts w:eastAsia="Arial Unicode MS"/>
                <w:noProof/>
                <w:szCs w:val="24"/>
              </w:rPr>
            </w:pPr>
            <w:r>
              <w:rPr>
                <w:noProof/>
                <w:sz w:val="22"/>
              </w:rPr>
              <w:t>Liste des actes réglementaires énonçant les prescriptions applicables aux fins de la réception UE par type de véhicules à usage spécial</w:t>
            </w:r>
          </w:p>
        </w:tc>
      </w:tr>
      <w:tr>
        <w:trPr>
          <w:tblCellSpacing w:w="0" w:type="dxa"/>
        </w:trPr>
        <w:tc>
          <w:tcPr>
            <w:tcW w:w="871" w:type="pct"/>
            <w:hideMark/>
          </w:tcPr>
          <w:p>
            <w:pPr>
              <w:spacing w:after="0"/>
              <w:ind w:left="284"/>
              <w:jc w:val="left"/>
              <w:rPr>
                <w:rFonts w:eastAsia="Arial Unicode MS"/>
                <w:noProof/>
                <w:szCs w:val="24"/>
              </w:rPr>
            </w:pPr>
            <w:r>
              <w:rPr>
                <w:noProof/>
                <w:sz w:val="22"/>
              </w:rPr>
              <w:t>Appendice 1:</w:t>
            </w:r>
          </w:p>
        </w:tc>
        <w:tc>
          <w:tcPr>
            <w:tcW w:w="4129" w:type="pct"/>
            <w:gridSpan w:val="2"/>
            <w:hideMark/>
          </w:tcPr>
          <w:p>
            <w:pPr>
              <w:spacing w:after="0"/>
              <w:ind w:left="98"/>
              <w:rPr>
                <w:rFonts w:eastAsia="Arial Unicode MS"/>
                <w:noProof/>
                <w:szCs w:val="24"/>
              </w:rPr>
            </w:pPr>
            <w:r>
              <w:rPr>
                <w:noProof/>
                <w:sz w:val="22"/>
              </w:rPr>
              <w:t>Autocaravanes, ambulances et corbillards</w:t>
            </w:r>
          </w:p>
        </w:tc>
      </w:tr>
      <w:tr>
        <w:trPr>
          <w:tblCellSpacing w:w="0" w:type="dxa"/>
        </w:trPr>
        <w:tc>
          <w:tcPr>
            <w:tcW w:w="871" w:type="pct"/>
            <w:hideMark/>
          </w:tcPr>
          <w:p>
            <w:pPr>
              <w:spacing w:after="0"/>
              <w:ind w:left="284"/>
              <w:jc w:val="left"/>
              <w:rPr>
                <w:rFonts w:eastAsia="Arial Unicode MS"/>
                <w:noProof/>
                <w:szCs w:val="24"/>
              </w:rPr>
            </w:pPr>
            <w:r>
              <w:rPr>
                <w:noProof/>
                <w:sz w:val="22"/>
              </w:rPr>
              <w:t>Appendice 2:</w:t>
            </w:r>
          </w:p>
        </w:tc>
        <w:tc>
          <w:tcPr>
            <w:tcW w:w="4129" w:type="pct"/>
            <w:gridSpan w:val="2"/>
            <w:hideMark/>
          </w:tcPr>
          <w:p>
            <w:pPr>
              <w:spacing w:after="0"/>
              <w:ind w:left="98"/>
              <w:rPr>
                <w:rFonts w:eastAsia="Arial Unicode MS"/>
                <w:noProof/>
                <w:szCs w:val="24"/>
              </w:rPr>
            </w:pPr>
            <w:r>
              <w:rPr>
                <w:noProof/>
                <w:sz w:val="22"/>
              </w:rPr>
              <w:t>Véhicules blindés</w:t>
            </w:r>
          </w:p>
        </w:tc>
      </w:tr>
      <w:tr>
        <w:trPr>
          <w:tblCellSpacing w:w="0" w:type="dxa"/>
        </w:trPr>
        <w:tc>
          <w:tcPr>
            <w:tcW w:w="871" w:type="pct"/>
            <w:hideMark/>
          </w:tcPr>
          <w:p>
            <w:pPr>
              <w:spacing w:after="0"/>
              <w:ind w:left="284"/>
              <w:jc w:val="left"/>
              <w:rPr>
                <w:rFonts w:eastAsia="Arial Unicode MS"/>
                <w:noProof/>
                <w:szCs w:val="24"/>
              </w:rPr>
            </w:pPr>
            <w:r>
              <w:rPr>
                <w:noProof/>
                <w:sz w:val="22"/>
              </w:rPr>
              <w:t>Appendice 3:</w:t>
            </w:r>
          </w:p>
        </w:tc>
        <w:tc>
          <w:tcPr>
            <w:tcW w:w="4129" w:type="pct"/>
            <w:gridSpan w:val="2"/>
            <w:hideMark/>
          </w:tcPr>
          <w:p>
            <w:pPr>
              <w:spacing w:after="0"/>
              <w:ind w:left="98"/>
              <w:rPr>
                <w:rFonts w:eastAsia="Arial Unicode MS"/>
                <w:noProof/>
                <w:szCs w:val="24"/>
              </w:rPr>
            </w:pPr>
            <w:r>
              <w:rPr>
                <w:noProof/>
                <w:sz w:val="22"/>
              </w:rPr>
              <w:t>Véhicules accessibles en fauteuil roulant</w:t>
            </w:r>
          </w:p>
        </w:tc>
      </w:tr>
      <w:tr>
        <w:trPr>
          <w:tblCellSpacing w:w="0" w:type="dxa"/>
        </w:trPr>
        <w:tc>
          <w:tcPr>
            <w:tcW w:w="871" w:type="pct"/>
            <w:hideMark/>
          </w:tcPr>
          <w:p>
            <w:pPr>
              <w:spacing w:after="0"/>
              <w:ind w:left="284"/>
              <w:jc w:val="left"/>
              <w:rPr>
                <w:rFonts w:eastAsia="Arial Unicode MS"/>
                <w:noProof/>
                <w:szCs w:val="24"/>
              </w:rPr>
            </w:pPr>
            <w:r>
              <w:rPr>
                <w:noProof/>
                <w:sz w:val="22"/>
              </w:rPr>
              <w:t>Appendice 4:</w:t>
            </w:r>
          </w:p>
        </w:tc>
        <w:tc>
          <w:tcPr>
            <w:tcW w:w="4129" w:type="pct"/>
            <w:gridSpan w:val="2"/>
            <w:hideMark/>
          </w:tcPr>
          <w:p>
            <w:pPr>
              <w:spacing w:after="0"/>
              <w:ind w:left="98"/>
              <w:rPr>
                <w:rFonts w:eastAsia="Arial Unicode MS"/>
                <w:noProof/>
                <w:szCs w:val="24"/>
              </w:rPr>
            </w:pPr>
            <w:r>
              <w:rPr>
                <w:noProof/>
                <w:sz w:val="22"/>
              </w:rPr>
              <w:t>Autres véhicules à usage spécial (y compris groupe spécial, véhicules porte-équipements et caravanes)</w:t>
            </w:r>
          </w:p>
        </w:tc>
      </w:tr>
      <w:tr>
        <w:trPr>
          <w:tblCellSpacing w:w="0" w:type="dxa"/>
        </w:trPr>
        <w:tc>
          <w:tcPr>
            <w:tcW w:w="871" w:type="pct"/>
            <w:hideMark/>
          </w:tcPr>
          <w:p>
            <w:pPr>
              <w:spacing w:after="0"/>
              <w:ind w:left="284"/>
              <w:jc w:val="left"/>
              <w:rPr>
                <w:rFonts w:eastAsia="Arial Unicode MS"/>
                <w:noProof/>
                <w:szCs w:val="24"/>
              </w:rPr>
            </w:pPr>
            <w:r>
              <w:rPr>
                <w:noProof/>
                <w:sz w:val="22"/>
              </w:rPr>
              <w:t>Appendice 5:</w:t>
            </w:r>
          </w:p>
        </w:tc>
        <w:tc>
          <w:tcPr>
            <w:tcW w:w="4129" w:type="pct"/>
            <w:gridSpan w:val="2"/>
            <w:hideMark/>
          </w:tcPr>
          <w:p>
            <w:pPr>
              <w:spacing w:after="0"/>
              <w:ind w:left="98"/>
              <w:rPr>
                <w:rFonts w:eastAsia="Arial Unicode MS"/>
                <w:noProof/>
                <w:szCs w:val="24"/>
              </w:rPr>
            </w:pPr>
            <w:r>
              <w:rPr>
                <w:noProof/>
                <w:sz w:val="22"/>
              </w:rPr>
              <w:t>Grues mobiles</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Appendice 6:</w:t>
            </w:r>
          </w:p>
        </w:tc>
        <w:tc>
          <w:tcPr>
            <w:tcW w:w="4129" w:type="pct"/>
            <w:gridSpan w:val="2"/>
            <w:hideMark/>
          </w:tcPr>
          <w:p>
            <w:pPr>
              <w:spacing w:after="0"/>
              <w:ind w:left="98"/>
              <w:rPr>
                <w:rFonts w:eastAsia="Arial Unicode MS"/>
                <w:noProof/>
                <w:szCs w:val="24"/>
              </w:rPr>
            </w:pPr>
            <w:r>
              <w:rPr>
                <w:noProof/>
                <w:sz w:val="22"/>
              </w:rPr>
              <w:t>Remorques de transport de charges exceptionnelles</w:t>
            </w:r>
          </w:p>
        </w:tc>
      </w:tr>
      <w:tr>
        <w:trPr>
          <w:tblCellSpacing w:w="0" w:type="dxa"/>
        </w:trPr>
        <w:tc>
          <w:tcPr>
            <w:tcW w:w="871" w:type="pct"/>
            <w:hideMark/>
          </w:tcPr>
          <w:p>
            <w:pPr>
              <w:spacing w:after="0"/>
              <w:jc w:val="left"/>
              <w:rPr>
                <w:rFonts w:eastAsia="Arial Unicode MS"/>
                <w:noProof/>
                <w:szCs w:val="24"/>
              </w:rPr>
            </w:pPr>
            <w:r>
              <w:rPr>
                <w:noProof/>
                <w:sz w:val="22"/>
              </w:rPr>
              <w:t>Annexe V</w:t>
            </w:r>
          </w:p>
        </w:tc>
        <w:tc>
          <w:tcPr>
            <w:tcW w:w="4129" w:type="pct"/>
            <w:gridSpan w:val="2"/>
            <w:hideMark/>
          </w:tcPr>
          <w:p>
            <w:pPr>
              <w:spacing w:after="0"/>
              <w:ind w:left="98"/>
              <w:rPr>
                <w:rFonts w:eastAsia="Arial Unicode MS"/>
                <w:noProof/>
                <w:szCs w:val="24"/>
              </w:rPr>
            </w:pPr>
            <w:r>
              <w:rPr>
                <w:noProof/>
                <w:sz w:val="22"/>
              </w:rPr>
              <w:t>Procédures à suivre pour la réception UE par type</w:t>
            </w:r>
          </w:p>
        </w:tc>
      </w:tr>
      <w:tr>
        <w:trPr>
          <w:tblCellSpacing w:w="0" w:type="dxa"/>
        </w:trPr>
        <w:tc>
          <w:tcPr>
            <w:tcW w:w="1011" w:type="pct"/>
            <w:gridSpan w:val="2"/>
            <w:hideMark/>
          </w:tcPr>
          <w:p>
            <w:pPr>
              <w:spacing w:after="0"/>
              <w:ind w:left="284"/>
              <w:rPr>
                <w:rFonts w:eastAsia="Arial Unicode MS"/>
                <w:noProof/>
                <w:szCs w:val="24"/>
              </w:rPr>
            </w:pPr>
            <w:r>
              <w:rPr>
                <w:noProof/>
                <w:sz w:val="22"/>
              </w:rPr>
              <w:t>Appendice 1:</w:t>
            </w:r>
          </w:p>
        </w:tc>
        <w:tc>
          <w:tcPr>
            <w:tcW w:w="3989" w:type="pct"/>
            <w:hideMark/>
          </w:tcPr>
          <w:p>
            <w:pPr>
              <w:spacing w:after="0"/>
              <w:ind w:left="98"/>
              <w:rPr>
                <w:rFonts w:eastAsia="Arial Unicode MS"/>
                <w:noProof/>
                <w:szCs w:val="24"/>
              </w:rPr>
            </w:pPr>
            <w:r>
              <w:rPr>
                <w:noProof/>
                <w:sz w:val="22"/>
              </w:rPr>
              <w:t>Normes auxquelles les entités visées à l'article 72 doivent se conformer</w:t>
            </w:r>
          </w:p>
        </w:tc>
      </w:tr>
      <w:tr>
        <w:trPr>
          <w:tblCellSpacing w:w="0" w:type="dxa"/>
        </w:trPr>
        <w:tc>
          <w:tcPr>
            <w:tcW w:w="1011" w:type="pct"/>
            <w:gridSpan w:val="2"/>
            <w:hideMark/>
          </w:tcPr>
          <w:p>
            <w:pPr>
              <w:spacing w:after="0"/>
              <w:ind w:left="284"/>
              <w:rPr>
                <w:rFonts w:eastAsia="Arial Unicode MS"/>
                <w:noProof/>
                <w:szCs w:val="24"/>
              </w:rPr>
            </w:pPr>
            <w:r>
              <w:rPr>
                <w:noProof/>
                <w:sz w:val="22"/>
              </w:rPr>
              <w:t>Appendice 2:</w:t>
            </w:r>
          </w:p>
        </w:tc>
        <w:tc>
          <w:tcPr>
            <w:tcW w:w="3989" w:type="pct"/>
            <w:hideMark/>
          </w:tcPr>
          <w:p>
            <w:pPr>
              <w:spacing w:after="0"/>
              <w:ind w:left="98"/>
              <w:rPr>
                <w:rFonts w:eastAsia="Arial Unicode MS"/>
                <w:noProof/>
                <w:szCs w:val="24"/>
              </w:rPr>
            </w:pPr>
            <w:r>
              <w:rPr>
                <w:noProof/>
                <w:sz w:val="22"/>
              </w:rPr>
              <w:t>Procédure d’évaluation des services techniques</w:t>
            </w:r>
          </w:p>
        </w:tc>
      </w:tr>
      <w:tr>
        <w:trPr>
          <w:tblCellSpacing w:w="0" w:type="dxa"/>
        </w:trPr>
        <w:tc>
          <w:tcPr>
            <w:tcW w:w="1011" w:type="pct"/>
            <w:gridSpan w:val="2"/>
            <w:hideMark/>
          </w:tcPr>
          <w:p>
            <w:pPr>
              <w:spacing w:after="0"/>
              <w:ind w:left="284"/>
              <w:rPr>
                <w:rFonts w:eastAsia="Arial Unicode MS"/>
                <w:noProof/>
                <w:szCs w:val="24"/>
              </w:rPr>
            </w:pPr>
            <w:r>
              <w:rPr>
                <w:noProof/>
                <w:sz w:val="22"/>
              </w:rPr>
              <w:t>Appendice 3:</w:t>
            </w:r>
          </w:p>
        </w:tc>
        <w:tc>
          <w:tcPr>
            <w:tcW w:w="3989" w:type="pct"/>
            <w:hideMark/>
          </w:tcPr>
          <w:p>
            <w:pPr>
              <w:spacing w:after="0"/>
              <w:ind w:left="98"/>
              <w:rPr>
                <w:rFonts w:eastAsia="Arial Unicode MS"/>
                <w:noProof/>
                <w:szCs w:val="24"/>
              </w:rPr>
            </w:pPr>
            <w:r>
              <w:rPr>
                <w:noProof/>
                <w:sz w:val="22"/>
              </w:rPr>
              <w:t>Prescriptions générales concernant le format des rapports d’essais</w:t>
            </w:r>
          </w:p>
        </w:tc>
      </w:tr>
      <w:tr>
        <w:trPr>
          <w:tblCellSpacing w:w="0" w:type="dxa"/>
        </w:trPr>
        <w:tc>
          <w:tcPr>
            <w:tcW w:w="871" w:type="pct"/>
            <w:hideMark/>
          </w:tcPr>
          <w:p>
            <w:pPr>
              <w:spacing w:after="0"/>
              <w:jc w:val="left"/>
              <w:rPr>
                <w:rFonts w:eastAsia="Arial Unicode MS"/>
                <w:noProof/>
                <w:szCs w:val="24"/>
              </w:rPr>
            </w:pPr>
            <w:r>
              <w:rPr>
                <w:noProof/>
                <w:sz w:val="22"/>
              </w:rPr>
              <w:t>Annexe VI</w:t>
            </w:r>
          </w:p>
        </w:tc>
        <w:tc>
          <w:tcPr>
            <w:tcW w:w="4129" w:type="pct"/>
            <w:gridSpan w:val="2"/>
            <w:hideMark/>
          </w:tcPr>
          <w:p>
            <w:pPr>
              <w:spacing w:after="0"/>
              <w:ind w:left="98"/>
              <w:rPr>
                <w:rFonts w:eastAsia="Arial Unicode MS"/>
                <w:noProof/>
                <w:szCs w:val="24"/>
              </w:rPr>
            </w:pPr>
            <w:r>
              <w:rPr>
                <w:noProof/>
                <w:sz w:val="22"/>
              </w:rPr>
              <w:t>Modèles de la fiche de réception UE par type</w:t>
            </w:r>
          </w:p>
        </w:tc>
      </w:tr>
      <w:tr>
        <w:trPr>
          <w:tblCellSpacing w:w="0" w:type="dxa"/>
        </w:trPr>
        <w:tc>
          <w:tcPr>
            <w:tcW w:w="871" w:type="pct"/>
            <w:hideMark/>
          </w:tcPr>
          <w:p>
            <w:pPr>
              <w:spacing w:after="0"/>
              <w:ind w:left="284"/>
              <w:jc w:val="left"/>
              <w:rPr>
                <w:rFonts w:eastAsia="Arial Unicode MS"/>
                <w:noProof/>
                <w:szCs w:val="24"/>
              </w:rPr>
            </w:pPr>
            <w:r>
              <w:rPr>
                <w:noProof/>
                <w:sz w:val="22"/>
              </w:rPr>
              <w:t>Appendice:</w:t>
            </w:r>
          </w:p>
        </w:tc>
        <w:tc>
          <w:tcPr>
            <w:tcW w:w="4129" w:type="pct"/>
            <w:gridSpan w:val="2"/>
            <w:hideMark/>
          </w:tcPr>
          <w:p>
            <w:pPr>
              <w:spacing w:after="0"/>
              <w:ind w:left="98"/>
              <w:rPr>
                <w:rFonts w:eastAsia="Arial Unicode MS"/>
                <w:noProof/>
                <w:szCs w:val="24"/>
              </w:rPr>
            </w:pPr>
            <w:r>
              <w:rPr>
                <w:noProof/>
                <w:sz w:val="22"/>
              </w:rPr>
              <w:t>Liste des actes réglementaires auxquels le type de véhicule est conforme</w:t>
            </w:r>
          </w:p>
        </w:tc>
      </w:tr>
      <w:tr>
        <w:trPr>
          <w:tblCellSpacing w:w="0" w:type="dxa"/>
        </w:trPr>
        <w:tc>
          <w:tcPr>
            <w:tcW w:w="871" w:type="pct"/>
            <w:hideMark/>
          </w:tcPr>
          <w:p>
            <w:pPr>
              <w:spacing w:after="0"/>
              <w:jc w:val="left"/>
              <w:rPr>
                <w:rFonts w:eastAsia="Arial Unicode MS"/>
                <w:noProof/>
                <w:szCs w:val="24"/>
              </w:rPr>
            </w:pPr>
            <w:r>
              <w:rPr>
                <w:noProof/>
                <w:sz w:val="22"/>
              </w:rPr>
              <w:t>Annexe VII</w:t>
            </w:r>
          </w:p>
        </w:tc>
        <w:tc>
          <w:tcPr>
            <w:tcW w:w="4129" w:type="pct"/>
            <w:gridSpan w:val="2"/>
            <w:hideMark/>
          </w:tcPr>
          <w:p>
            <w:pPr>
              <w:spacing w:after="0"/>
              <w:ind w:left="98"/>
              <w:rPr>
                <w:rFonts w:eastAsia="Arial Unicode MS"/>
                <w:noProof/>
                <w:szCs w:val="24"/>
              </w:rPr>
            </w:pPr>
            <w:r>
              <w:rPr>
                <w:noProof/>
                <w:sz w:val="22"/>
              </w:rPr>
              <w:t>Système de numérotation des fiches de réception UE par type</w:t>
            </w:r>
          </w:p>
        </w:tc>
      </w:tr>
      <w:tr>
        <w:trPr>
          <w:tblCellSpacing w:w="0" w:type="dxa"/>
        </w:trPr>
        <w:tc>
          <w:tcPr>
            <w:tcW w:w="871" w:type="pct"/>
            <w:hideMark/>
          </w:tcPr>
          <w:p>
            <w:pPr>
              <w:spacing w:after="0"/>
              <w:ind w:left="284"/>
              <w:jc w:val="left"/>
              <w:rPr>
                <w:rFonts w:eastAsia="Arial Unicode MS"/>
                <w:noProof/>
                <w:szCs w:val="24"/>
              </w:rPr>
            </w:pPr>
            <w:r>
              <w:rPr>
                <w:noProof/>
                <w:sz w:val="22"/>
              </w:rPr>
              <w:t>Appendice:</w:t>
            </w:r>
          </w:p>
        </w:tc>
        <w:tc>
          <w:tcPr>
            <w:tcW w:w="4129" w:type="pct"/>
            <w:gridSpan w:val="2"/>
            <w:hideMark/>
          </w:tcPr>
          <w:p>
            <w:pPr>
              <w:spacing w:after="0"/>
              <w:ind w:left="98"/>
              <w:rPr>
                <w:rFonts w:eastAsia="Arial Unicode MS"/>
                <w:noProof/>
                <w:szCs w:val="24"/>
              </w:rPr>
            </w:pPr>
            <w:r>
              <w:rPr>
                <w:noProof/>
                <w:sz w:val="22"/>
              </w:rPr>
              <w:t>Marque de réception UE par type d’un composant ou d’une entité technique distincte</w:t>
            </w:r>
          </w:p>
        </w:tc>
      </w:tr>
      <w:tr>
        <w:trPr>
          <w:tblCellSpacing w:w="0" w:type="dxa"/>
        </w:trPr>
        <w:tc>
          <w:tcPr>
            <w:tcW w:w="871" w:type="pct"/>
            <w:hideMark/>
          </w:tcPr>
          <w:p>
            <w:pPr>
              <w:spacing w:after="0"/>
              <w:jc w:val="left"/>
              <w:rPr>
                <w:rFonts w:eastAsia="Arial Unicode MS"/>
                <w:noProof/>
                <w:szCs w:val="24"/>
              </w:rPr>
            </w:pPr>
            <w:r>
              <w:rPr>
                <w:noProof/>
                <w:sz w:val="22"/>
              </w:rPr>
              <w:t>Annexe VIII</w:t>
            </w:r>
          </w:p>
        </w:tc>
        <w:tc>
          <w:tcPr>
            <w:tcW w:w="4129" w:type="pct"/>
            <w:gridSpan w:val="2"/>
            <w:hideMark/>
          </w:tcPr>
          <w:p>
            <w:pPr>
              <w:spacing w:after="0"/>
              <w:ind w:left="98"/>
              <w:rPr>
                <w:rFonts w:eastAsia="Arial Unicode MS"/>
                <w:noProof/>
                <w:szCs w:val="24"/>
              </w:rPr>
            </w:pPr>
            <w:r>
              <w:rPr>
                <w:noProof/>
                <w:sz w:val="22"/>
              </w:rPr>
              <w:t>Résultats d’essais</w:t>
            </w:r>
          </w:p>
        </w:tc>
      </w:tr>
      <w:tr>
        <w:trPr>
          <w:tblCellSpacing w:w="0" w:type="dxa"/>
        </w:trPr>
        <w:tc>
          <w:tcPr>
            <w:tcW w:w="871" w:type="pct"/>
            <w:hideMark/>
          </w:tcPr>
          <w:p>
            <w:pPr>
              <w:spacing w:after="0"/>
              <w:jc w:val="left"/>
              <w:rPr>
                <w:rFonts w:eastAsia="Arial Unicode MS"/>
                <w:noProof/>
                <w:szCs w:val="24"/>
              </w:rPr>
            </w:pPr>
            <w:r>
              <w:rPr>
                <w:noProof/>
                <w:sz w:val="22"/>
              </w:rPr>
              <w:t>Annexe IX</w:t>
            </w:r>
          </w:p>
        </w:tc>
        <w:tc>
          <w:tcPr>
            <w:tcW w:w="4129" w:type="pct"/>
            <w:gridSpan w:val="2"/>
            <w:hideMark/>
          </w:tcPr>
          <w:p>
            <w:pPr>
              <w:spacing w:after="0"/>
              <w:ind w:left="98"/>
              <w:rPr>
                <w:rFonts w:eastAsia="Arial Unicode MS"/>
                <w:noProof/>
                <w:szCs w:val="24"/>
              </w:rPr>
            </w:pPr>
            <w:r>
              <w:rPr>
                <w:noProof/>
                <w:sz w:val="22"/>
              </w:rPr>
              <w:t>Certificat de conformité</w:t>
            </w:r>
          </w:p>
        </w:tc>
      </w:tr>
      <w:tr>
        <w:trPr>
          <w:tblCellSpacing w:w="0" w:type="dxa"/>
        </w:trPr>
        <w:tc>
          <w:tcPr>
            <w:tcW w:w="871" w:type="pct"/>
            <w:hideMark/>
          </w:tcPr>
          <w:p>
            <w:pPr>
              <w:spacing w:after="0"/>
              <w:jc w:val="left"/>
              <w:rPr>
                <w:rFonts w:eastAsia="Arial Unicode MS"/>
                <w:noProof/>
                <w:szCs w:val="24"/>
              </w:rPr>
            </w:pPr>
            <w:r>
              <w:rPr>
                <w:noProof/>
                <w:sz w:val="22"/>
              </w:rPr>
              <w:t>Annexe X</w:t>
            </w:r>
          </w:p>
        </w:tc>
        <w:tc>
          <w:tcPr>
            <w:tcW w:w="4129" w:type="pct"/>
            <w:gridSpan w:val="2"/>
            <w:hideMark/>
          </w:tcPr>
          <w:p>
            <w:pPr>
              <w:spacing w:after="0"/>
              <w:ind w:left="98"/>
              <w:rPr>
                <w:rFonts w:eastAsia="Arial Unicode MS"/>
                <w:noProof/>
                <w:szCs w:val="24"/>
              </w:rPr>
            </w:pPr>
            <w:r>
              <w:rPr>
                <w:noProof/>
                <w:sz w:val="22"/>
              </w:rPr>
              <w:t>Procédures de contrôle de la conformité de la production</w:t>
            </w:r>
          </w:p>
        </w:tc>
      </w:tr>
      <w:tr>
        <w:trPr>
          <w:tblCellSpacing w:w="0" w:type="dxa"/>
        </w:trPr>
        <w:tc>
          <w:tcPr>
            <w:tcW w:w="871" w:type="pct"/>
            <w:hideMark/>
          </w:tcPr>
          <w:p>
            <w:pPr>
              <w:spacing w:after="0"/>
              <w:jc w:val="left"/>
              <w:rPr>
                <w:rFonts w:eastAsia="Arial Unicode MS"/>
                <w:noProof/>
                <w:szCs w:val="24"/>
              </w:rPr>
            </w:pPr>
            <w:r>
              <w:rPr>
                <w:noProof/>
                <w:sz w:val="22"/>
              </w:rPr>
              <w:t>Annexe XI</w:t>
            </w:r>
          </w:p>
        </w:tc>
        <w:tc>
          <w:tcPr>
            <w:tcW w:w="4129" w:type="pct"/>
            <w:gridSpan w:val="2"/>
            <w:hideMark/>
          </w:tcPr>
          <w:p>
            <w:pPr>
              <w:spacing w:after="0"/>
              <w:ind w:left="98"/>
              <w:rPr>
                <w:rFonts w:eastAsia="Arial Unicode MS"/>
                <w:noProof/>
                <w:sz w:val="22"/>
              </w:rPr>
            </w:pPr>
            <w:r>
              <w:rPr>
                <w:noProof/>
                <w:sz w:val="22"/>
              </w:rPr>
              <w:t>Modèle et système de numérotation pour le certificat autorisant la mise sur le marché et la mise en service de pièces ou d’équipements susceptibles de présenter un risque grave pour le bon fonctionnement de systèmes essentiels</w:t>
            </w:r>
          </w:p>
        </w:tc>
      </w:tr>
      <w:tr>
        <w:trPr>
          <w:tblCellSpacing w:w="0" w:type="dxa"/>
        </w:trPr>
        <w:tc>
          <w:tcPr>
            <w:tcW w:w="871" w:type="pct"/>
          </w:tcPr>
          <w:p>
            <w:pPr>
              <w:spacing w:after="0"/>
              <w:ind w:left="284"/>
              <w:jc w:val="left"/>
              <w:rPr>
                <w:rFonts w:eastAsia="Arial Unicode MS"/>
                <w:noProof/>
                <w:szCs w:val="24"/>
              </w:rPr>
            </w:pPr>
            <w:r>
              <w:rPr>
                <w:noProof/>
                <w:sz w:val="22"/>
              </w:rPr>
              <w:t>Appendice:</w:t>
            </w:r>
          </w:p>
        </w:tc>
        <w:tc>
          <w:tcPr>
            <w:tcW w:w="4129" w:type="pct"/>
            <w:gridSpan w:val="2"/>
          </w:tcPr>
          <w:p>
            <w:pPr>
              <w:spacing w:after="0"/>
              <w:ind w:left="98"/>
              <w:rPr>
                <w:rFonts w:eastAsia="Arial Unicode MS"/>
                <w:noProof/>
                <w:szCs w:val="24"/>
              </w:rPr>
            </w:pPr>
            <w:r>
              <w:rPr>
                <w:noProof/>
                <w:sz w:val="22"/>
              </w:rPr>
              <w:t>Modèle du certificat d’autorisation UE</w:t>
            </w:r>
          </w:p>
        </w:tc>
      </w:tr>
      <w:tr>
        <w:trPr>
          <w:tblCellSpacing w:w="0" w:type="dxa"/>
        </w:trPr>
        <w:tc>
          <w:tcPr>
            <w:tcW w:w="871" w:type="pct"/>
            <w:hideMark/>
          </w:tcPr>
          <w:p>
            <w:pPr>
              <w:spacing w:after="0"/>
              <w:jc w:val="left"/>
              <w:rPr>
                <w:rFonts w:eastAsia="Arial Unicode MS"/>
                <w:noProof/>
                <w:szCs w:val="24"/>
              </w:rPr>
            </w:pPr>
            <w:r>
              <w:rPr>
                <w:noProof/>
                <w:sz w:val="22"/>
              </w:rPr>
              <w:t>Annexe XII</w:t>
            </w:r>
          </w:p>
        </w:tc>
        <w:tc>
          <w:tcPr>
            <w:tcW w:w="4129" w:type="pct"/>
            <w:gridSpan w:val="2"/>
            <w:hideMark/>
          </w:tcPr>
          <w:p>
            <w:pPr>
              <w:spacing w:after="0"/>
              <w:ind w:left="98"/>
              <w:rPr>
                <w:rFonts w:eastAsia="Arial Unicode MS"/>
                <w:noProof/>
                <w:szCs w:val="24"/>
              </w:rPr>
            </w:pPr>
            <w:r>
              <w:rPr>
                <w:noProof/>
                <w:sz w:val="22"/>
              </w:rPr>
              <w:t>Limites applicables aux petites séries</w:t>
            </w:r>
          </w:p>
        </w:tc>
      </w:tr>
      <w:tr>
        <w:trPr>
          <w:tblCellSpacing w:w="0" w:type="dxa"/>
        </w:trPr>
        <w:tc>
          <w:tcPr>
            <w:tcW w:w="871" w:type="pct"/>
            <w:hideMark/>
          </w:tcPr>
          <w:p>
            <w:pPr>
              <w:spacing w:after="0"/>
              <w:jc w:val="left"/>
              <w:rPr>
                <w:rFonts w:eastAsia="Arial Unicode MS"/>
                <w:noProof/>
                <w:szCs w:val="24"/>
              </w:rPr>
            </w:pPr>
            <w:r>
              <w:rPr>
                <w:noProof/>
                <w:sz w:val="22"/>
              </w:rPr>
              <w:t>Annexe XIII</w:t>
            </w:r>
          </w:p>
        </w:tc>
        <w:tc>
          <w:tcPr>
            <w:tcW w:w="4129" w:type="pct"/>
            <w:gridSpan w:val="2"/>
            <w:hideMark/>
          </w:tcPr>
          <w:p>
            <w:pPr>
              <w:spacing w:after="0"/>
              <w:ind w:left="98"/>
              <w:rPr>
                <w:rFonts w:eastAsia="Arial Unicode MS"/>
                <w:noProof/>
                <w:sz w:val="22"/>
              </w:rPr>
            </w:pPr>
            <w:r>
              <w:rPr>
                <w:noProof/>
                <w:sz w:val="22"/>
              </w:rPr>
              <w:t>Liste des pièces ou équipements susceptibles de présenter un risque important pour le bon fonctionnement de systèmes essentiels à la sécurité du véhicule ou à sa performance environnementale, ainsi que des prescriptions fonctionnelles applicables à ces pièces et équipements, des procédures d’essai appropriées et des dispositions relatives à leur marquage et à leur conditionnement</w:t>
            </w:r>
          </w:p>
        </w:tc>
      </w:tr>
      <w:tr>
        <w:trPr>
          <w:tblCellSpacing w:w="0" w:type="dxa"/>
        </w:trPr>
        <w:tc>
          <w:tcPr>
            <w:tcW w:w="871" w:type="pct"/>
            <w:hideMark/>
          </w:tcPr>
          <w:p>
            <w:pPr>
              <w:spacing w:after="0"/>
              <w:jc w:val="left"/>
              <w:rPr>
                <w:rFonts w:eastAsia="Arial Unicode MS"/>
                <w:noProof/>
                <w:szCs w:val="24"/>
              </w:rPr>
            </w:pPr>
            <w:r>
              <w:rPr>
                <w:noProof/>
                <w:sz w:val="22"/>
              </w:rPr>
              <w:t>Annexe XIV</w:t>
            </w:r>
          </w:p>
        </w:tc>
        <w:tc>
          <w:tcPr>
            <w:tcW w:w="4129" w:type="pct"/>
            <w:gridSpan w:val="2"/>
            <w:hideMark/>
          </w:tcPr>
          <w:p>
            <w:pPr>
              <w:spacing w:after="0"/>
              <w:ind w:left="98"/>
              <w:rPr>
                <w:rFonts w:eastAsia="Arial Unicode MS"/>
                <w:noProof/>
                <w:szCs w:val="24"/>
              </w:rPr>
            </w:pPr>
            <w:r>
              <w:rPr>
                <w:noProof/>
                <w:sz w:val="22"/>
              </w:rPr>
              <w:t>Liste des réceptions UE par type accordées, refusées ou retirées conformément aux actes réglementaires applicables</w:t>
            </w:r>
          </w:p>
        </w:tc>
      </w:tr>
      <w:tr>
        <w:trPr>
          <w:tblCellSpacing w:w="0" w:type="dxa"/>
        </w:trPr>
        <w:tc>
          <w:tcPr>
            <w:tcW w:w="871" w:type="pct"/>
            <w:hideMark/>
          </w:tcPr>
          <w:p>
            <w:pPr>
              <w:spacing w:after="0"/>
              <w:jc w:val="left"/>
              <w:rPr>
                <w:rFonts w:eastAsia="Arial Unicode MS"/>
                <w:noProof/>
                <w:szCs w:val="24"/>
              </w:rPr>
            </w:pPr>
            <w:r>
              <w:rPr>
                <w:noProof/>
                <w:sz w:val="22"/>
              </w:rPr>
              <w:t>Annexe XV</w:t>
            </w:r>
          </w:p>
        </w:tc>
        <w:tc>
          <w:tcPr>
            <w:tcW w:w="4129" w:type="pct"/>
            <w:gridSpan w:val="2"/>
            <w:hideMark/>
          </w:tcPr>
          <w:p>
            <w:pPr>
              <w:spacing w:after="0"/>
              <w:ind w:left="98"/>
              <w:rPr>
                <w:rFonts w:eastAsia="Arial Unicode MS"/>
                <w:noProof/>
                <w:szCs w:val="24"/>
              </w:rPr>
            </w:pPr>
            <w:r>
              <w:rPr>
                <w:noProof/>
                <w:sz w:val="22"/>
              </w:rPr>
              <w:t>Actes réglementaires pour lesquels un constructeur peut être désigné en tant que service technique</w:t>
            </w:r>
          </w:p>
        </w:tc>
      </w:tr>
      <w:tr>
        <w:trPr>
          <w:tblCellSpacing w:w="0" w:type="dxa"/>
        </w:trPr>
        <w:tc>
          <w:tcPr>
            <w:tcW w:w="871" w:type="pct"/>
            <w:hideMark/>
          </w:tcPr>
          <w:p>
            <w:pPr>
              <w:spacing w:after="0"/>
              <w:ind w:left="284"/>
              <w:jc w:val="left"/>
              <w:rPr>
                <w:rFonts w:eastAsia="Arial Unicode MS"/>
                <w:noProof/>
                <w:szCs w:val="24"/>
              </w:rPr>
            </w:pPr>
            <w:r>
              <w:rPr>
                <w:noProof/>
                <w:sz w:val="22"/>
              </w:rPr>
              <w:t>Appendice:</w:t>
            </w:r>
          </w:p>
        </w:tc>
        <w:tc>
          <w:tcPr>
            <w:tcW w:w="4129" w:type="pct"/>
            <w:gridSpan w:val="2"/>
            <w:hideMark/>
          </w:tcPr>
          <w:p>
            <w:pPr>
              <w:spacing w:after="0"/>
              <w:ind w:left="98"/>
              <w:rPr>
                <w:rFonts w:eastAsia="Arial Unicode MS"/>
                <w:noProof/>
                <w:szCs w:val="24"/>
              </w:rPr>
            </w:pPr>
            <w:r>
              <w:rPr>
                <w:noProof/>
                <w:sz w:val="22"/>
              </w:rPr>
              <w:t>Désignation d’un constructeur en tant que service technique et sous-traitance</w:t>
            </w:r>
          </w:p>
        </w:tc>
      </w:tr>
      <w:tr>
        <w:trPr>
          <w:tblCellSpacing w:w="0" w:type="dxa"/>
        </w:trPr>
        <w:tc>
          <w:tcPr>
            <w:tcW w:w="871" w:type="pct"/>
            <w:hideMark/>
          </w:tcPr>
          <w:p>
            <w:pPr>
              <w:spacing w:after="0"/>
              <w:jc w:val="left"/>
              <w:rPr>
                <w:rFonts w:eastAsia="Arial Unicode MS"/>
                <w:noProof/>
                <w:szCs w:val="24"/>
              </w:rPr>
            </w:pPr>
            <w:r>
              <w:rPr>
                <w:noProof/>
                <w:sz w:val="22"/>
              </w:rPr>
              <w:t>Annexe XVI</w:t>
            </w:r>
          </w:p>
        </w:tc>
        <w:tc>
          <w:tcPr>
            <w:tcW w:w="4129" w:type="pct"/>
            <w:gridSpan w:val="2"/>
            <w:hideMark/>
          </w:tcPr>
          <w:p>
            <w:pPr>
              <w:spacing w:after="0"/>
              <w:ind w:left="98"/>
              <w:rPr>
                <w:rFonts w:eastAsia="Arial Unicode MS"/>
                <w:noProof/>
                <w:szCs w:val="24"/>
              </w:rPr>
            </w:pPr>
            <w:r>
              <w:rPr>
                <w:noProof/>
                <w:sz w:val="22"/>
              </w:rPr>
              <w:t>Conditions d’utilisation de méthodes d’essai virtuel par un constructeur ou un service technique</w:t>
            </w:r>
          </w:p>
        </w:tc>
      </w:tr>
      <w:tr>
        <w:trPr>
          <w:tblCellSpacing w:w="0" w:type="dxa"/>
        </w:trPr>
        <w:tc>
          <w:tcPr>
            <w:tcW w:w="871" w:type="pct"/>
            <w:hideMark/>
          </w:tcPr>
          <w:p>
            <w:pPr>
              <w:spacing w:after="0"/>
              <w:ind w:left="284"/>
              <w:jc w:val="left"/>
              <w:rPr>
                <w:rFonts w:eastAsia="Arial Unicode MS"/>
                <w:noProof/>
                <w:szCs w:val="24"/>
              </w:rPr>
            </w:pPr>
            <w:r>
              <w:rPr>
                <w:noProof/>
                <w:sz w:val="22"/>
              </w:rPr>
              <w:t>Appendice 1:</w:t>
            </w:r>
          </w:p>
        </w:tc>
        <w:tc>
          <w:tcPr>
            <w:tcW w:w="4129" w:type="pct"/>
            <w:gridSpan w:val="2"/>
            <w:hideMark/>
          </w:tcPr>
          <w:p>
            <w:pPr>
              <w:spacing w:after="0"/>
              <w:ind w:left="98"/>
              <w:rPr>
                <w:rFonts w:eastAsia="Arial Unicode MS"/>
                <w:noProof/>
                <w:szCs w:val="24"/>
              </w:rPr>
            </w:pPr>
            <w:r>
              <w:rPr>
                <w:noProof/>
                <w:sz w:val="22"/>
              </w:rPr>
              <w:t>Conditions générales pour l’utilisation de méthodes d’essai virtuel</w:t>
            </w:r>
          </w:p>
        </w:tc>
      </w:tr>
      <w:tr>
        <w:trPr>
          <w:tblCellSpacing w:w="0" w:type="dxa"/>
        </w:trPr>
        <w:tc>
          <w:tcPr>
            <w:tcW w:w="871" w:type="pct"/>
            <w:hideMark/>
          </w:tcPr>
          <w:p>
            <w:pPr>
              <w:spacing w:after="0"/>
              <w:ind w:left="284"/>
              <w:jc w:val="left"/>
              <w:rPr>
                <w:rFonts w:eastAsia="Arial Unicode MS"/>
                <w:noProof/>
                <w:szCs w:val="24"/>
              </w:rPr>
            </w:pPr>
            <w:r>
              <w:rPr>
                <w:noProof/>
                <w:sz w:val="22"/>
              </w:rPr>
              <w:t>Appendice 2:</w:t>
            </w:r>
          </w:p>
        </w:tc>
        <w:tc>
          <w:tcPr>
            <w:tcW w:w="4129" w:type="pct"/>
            <w:gridSpan w:val="2"/>
            <w:hideMark/>
          </w:tcPr>
          <w:p>
            <w:pPr>
              <w:spacing w:after="0"/>
              <w:ind w:left="98"/>
              <w:rPr>
                <w:rFonts w:eastAsia="Arial Unicode MS"/>
                <w:noProof/>
                <w:szCs w:val="24"/>
              </w:rPr>
            </w:pPr>
            <w:r>
              <w:rPr>
                <w:noProof/>
                <w:sz w:val="22"/>
              </w:rPr>
              <w:t>Conditions spécifiques pour l’utilisation de méthodes d’essai virtuel</w:t>
            </w:r>
          </w:p>
        </w:tc>
      </w:tr>
      <w:tr>
        <w:trPr>
          <w:tblCellSpacing w:w="0" w:type="dxa"/>
        </w:trPr>
        <w:tc>
          <w:tcPr>
            <w:tcW w:w="871" w:type="pct"/>
            <w:hideMark/>
          </w:tcPr>
          <w:p>
            <w:pPr>
              <w:spacing w:after="0"/>
              <w:ind w:left="284"/>
              <w:jc w:val="left"/>
              <w:rPr>
                <w:rFonts w:eastAsia="Arial Unicode MS"/>
                <w:noProof/>
                <w:szCs w:val="24"/>
              </w:rPr>
            </w:pPr>
            <w:r>
              <w:rPr>
                <w:noProof/>
                <w:sz w:val="22"/>
              </w:rPr>
              <w:t>Appendice 3:</w:t>
            </w:r>
          </w:p>
        </w:tc>
        <w:tc>
          <w:tcPr>
            <w:tcW w:w="4129" w:type="pct"/>
            <w:gridSpan w:val="2"/>
            <w:hideMark/>
          </w:tcPr>
          <w:p>
            <w:pPr>
              <w:spacing w:after="0"/>
              <w:ind w:left="98"/>
              <w:rPr>
                <w:rFonts w:eastAsia="Arial Unicode MS"/>
                <w:noProof/>
                <w:szCs w:val="24"/>
              </w:rPr>
            </w:pPr>
            <w:r>
              <w:rPr>
                <w:noProof/>
                <w:sz w:val="22"/>
              </w:rPr>
              <w:t>Processus de validation</w:t>
            </w:r>
          </w:p>
        </w:tc>
      </w:tr>
      <w:tr>
        <w:trPr>
          <w:tblCellSpacing w:w="0" w:type="dxa"/>
        </w:trPr>
        <w:tc>
          <w:tcPr>
            <w:tcW w:w="871" w:type="pct"/>
            <w:hideMark/>
          </w:tcPr>
          <w:p>
            <w:pPr>
              <w:spacing w:after="0"/>
              <w:jc w:val="left"/>
              <w:rPr>
                <w:rFonts w:eastAsia="Arial Unicode MS"/>
                <w:noProof/>
                <w:szCs w:val="24"/>
              </w:rPr>
            </w:pPr>
            <w:r>
              <w:rPr>
                <w:noProof/>
                <w:sz w:val="22"/>
              </w:rPr>
              <w:t>Annexe XVII</w:t>
            </w:r>
          </w:p>
        </w:tc>
        <w:tc>
          <w:tcPr>
            <w:tcW w:w="4129" w:type="pct"/>
            <w:gridSpan w:val="2"/>
            <w:hideMark/>
          </w:tcPr>
          <w:p>
            <w:pPr>
              <w:spacing w:after="0"/>
              <w:ind w:left="98"/>
              <w:rPr>
                <w:rFonts w:eastAsia="Arial Unicode MS"/>
                <w:noProof/>
                <w:szCs w:val="24"/>
              </w:rPr>
            </w:pPr>
            <w:r>
              <w:rPr>
                <w:noProof/>
                <w:sz w:val="22"/>
              </w:rPr>
              <w:t>Procédures à suivre au cours de la réception UE par type multi-étapes</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Appendice:</w:t>
            </w:r>
          </w:p>
        </w:tc>
        <w:tc>
          <w:tcPr>
            <w:tcW w:w="4129" w:type="pct"/>
            <w:gridSpan w:val="2"/>
            <w:hideMark/>
          </w:tcPr>
          <w:p>
            <w:pPr>
              <w:spacing w:after="0"/>
              <w:ind w:left="98"/>
              <w:rPr>
                <w:rFonts w:eastAsia="Arial Unicode MS"/>
                <w:noProof/>
                <w:szCs w:val="24"/>
              </w:rPr>
            </w:pPr>
            <w:r>
              <w:rPr>
                <w:noProof/>
                <w:sz w:val="22"/>
              </w:rPr>
              <w:t>Modèle de la plaque supplémentaire du constructeur</w:t>
            </w:r>
          </w:p>
        </w:tc>
      </w:tr>
      <w:tr>
        <w:trPr>
          <w:tblCellSpacing w:w="0" w:type="dxa"/>
        </w:trPr>
        <w:tc>
          <w:tcPr>
            <w:tcW w:w="871" w:type="pct"/>
            <w:hideMark/>
          </w:tcPr>
          <w:p>
            <w:pPr>
              <w:spacing w:after="0"/>
              <w:jc w:val="left"/>
              <w:rPr>
                <w:rFonts w:eastAsia="Arial Unicode MS"/>
                <w:noProof/>
                <w:szCs w:val="24"/>
              </w:rPr>
            </w:pPr>
            <w:r>
              <w:rPr>
                <w:noProof/>
                <w:sz w:val="22"/>
              </w:rPr>
              <w:t>Annexe XVIII</w:t>
            </w:r>
          </w:p>
        </w:tc>
        <w:tc>
          <w:tcPr>
            <w:tcW w:w="4129" w:type="pct"/>
            <w:gridSpan w:val="2"/>
            <w:hideMark/>
          </w:tcPr>
          <w:p>
            <w:pPr>
              <w:spacing w:after="0"/>
              <w:ind w:left="98"/>
              <w:rPr>
                <w:rFonts w:eastAsia="Arial Unicode MS"/>
                <w:noProof/>
                <w:szCs w:val="24"/>
              </w:rPr>
            </w:pPr>
            <w:r>
              <w:rPr>
                <w:noProof/>
                <w:sz w:val="22"/>
              </w:rPr>
              <w:t>Accès aux informations du système OBD des véhicules et aux informations sur la réparation et l’entretien des véhicules</w:t>
            </w:r>
          </w:p>
        </w:tc>
      </w:tr>
      <w:tr>
        <w:trPr>
          <w:tblCellSpacing w:w="0" w:type="dxa"/>
        </w:trPr>
        <w:tc>
          <w:tcPr>
            <w:tcW w:w="871" w:type="pct"/>
            <w:hideMark/>
          </w:tcPr>
          <w:p>
            <w:pPr>
              <w:spacing w:after="0"/>
              <w:ind w:left="284"/>
              <w:jc w:val="left"/>
              <w:rPr>
                <w:rFonts w:eastAsia="Arial Unicode MS"/>
                <w:noProof/>
                <w:szCs w:val="24"/>
              </w:rPr>
            </w:pPr>
            <w:r>
              <w:rPr>
                <w:noProof/>
                <w:sz w:val="22"/>
              </w:rPr>
              <w:t>Appendice 1:</w:t>
            </w:r>
          </w:p>
        </w:tc>
        <w:tc>
          <w:tcPr>
            <w:tcW w:w="4129" w:type="pct"/>
            <w:gridSpan w:val="2"/>
          </w:tcPr>
          <w:p>
            <w:pPr>
              <w:spacing w:after="0"/>
              <w:ind w:left="98"/>
              <w:rPr>
                <w:rFonts w:eastAsia="Arial Unicode MS"/>
                <w:noProof/>
              </w:rPr>
            </w:pPr>
            <w:r>
              <w:rPr>
                <w:noProof/>
                <w:sz w:val="22"/>
              </w:rPr>
              <w:t>Certificat du constructeur concernant l’accès aux informations du système OBD des véhicules et aux informations sur la réparation et l’entretien des véhicules</w:t>
            </w:r>
          </w:p>
        </w:tc>
      </w:tr>
      <w:tr>
        <w:trPr>
          <w:tblCellSpacing w:w="0" w:type="dxa"/>
        </w:trPr>
        <w:tc>
          <w:tcPr>
            <w:tcW w:w="871" w:type="pct"/>
            <w:hideMark/>
          </w:tcPr>
          <w:p>
            <w:pPr>
              <w:spacing w:after="0"/>
              <w:ind w:left="284"/>
              <w:jc w:val="left"/>
              <w:rPr>
                <w:rFonts w:eastAsia="Arial Unicode MS"/>
                <w:noProof/>
                <w:szCs w:val="24"/>
              </w:rPr>
            </w:pPr>
            <w:r>
              <w:rPr>
                <w:noProof/>
                <w:sz w:val="22"/>
              </w:rPr>
              <w:t>Appendice 2:</w:t>
            </w:r>
          </w:p>
        </w:tc>
        <w:tc>
          <w:tcPr>
            <w:tcW w:w="4129" w:type="pct"/>
            <w:gridSpan w:val="2"/>
          </w:tcPr>
          <w:p>
            <w:pPr>
              <w:spacing w:after="0"/>
              <w:ind w:left="98"/>
              <w:rPr>
                <w:rFonts w:eastAsia="Arial Unicode MS"/>
                <w:noProof/>
              </w:rPr>
            </w:pPr>
            <w:r>
              <w:rPr>
                <w:noProof/>
                <w:sz w:val="22"/>
              </w:rPr>
              <w:t>Informations du système OBD des véhicules</w:t>
            </w:r>
          </w:p>
        </w:tc>
      </w:tr>
      <w:tr>
        <w:trPr>
          <w:tblCellSpacing w:w="0" w:type="dxa"/>
        </w:trPr>
        <w:tc>
          <w:tcPr>
            <w:tcW w:w="871" w:type="pct"/>
          </w:tcPr>
          <w:p>
            <w:pPr>
              <w:spacing w:after="0"/>
              <w:jc w:val="left"/>
              <w:rPr>
                <w:rFonts w:eastAsia="Arial Unicode MS"/>
                <w:noProof/>
                <w:szCs w:val="24"/>
              </w:rPr>
            </w:pPr>
            <w:r>
              <w:rPr>
                <w:noProof/>
                <w:sz w:val="22"/>
              </w:rPr>
              <w:t>Annexe XIX</w:t>
            </w:r>
          </w:p>
        </w:tc>
        <w:tc>
          <w:tcPr>
            <w:tcW w:w="4129" w:type="pct"/>
            <w:gridSpan w:val="2"/>
          </w:tcPr>
          <w:p>
            <w:pPr>
              <w:spacing w:after="0"/>
              <w:ind w:left="98"/>
              <w:rPr>
                <w:rFonts w:eastAsia="Arial Unicode MS"/>
                <w:noProof/>
                <w:szCs w:val="24"/>
              </w:rPr>
            </w:pPr>
            <w:r>
              <w:rPr>
                <w:noProof/>
                <w:sz w:val="22"/>
              </w:rPr>
              <w:t>Tableau de correspondance</w:t>
            </w:r>
          </w:p>
        </w:tc>
      </w:tr>
    </w:tbl>
    <w:p>
      <w:pPr>
        <w:pStyle w:val="Annexetitre"/>
        <w:rPr>
          <w:noProof/>
        </w:rPr>
      </w:pPr>
      <w:r>
        <w:rPr>
          <w:noProof/>
        </w:rPr>
        <w:br w:type="page"/>
      </w:r>
      <w:r>
        <w:rPr>
          <w:noProof/>
        </w:rPr>
        <w:lastRenderedPageBreak/>
        <w:t>ANNEXE I</w:t>
      </w:r>
    </w:p>
    <w:p>
      <w:pPr>
        <w:jc w:val="center"/>
        <w:rPr>
          <w:b/>
          <w:noProof/>
        </w:rPr>
      </w:pPr>
      <w:r>
        <w:rPr>
          <w:b/>
          <w:noProof/>
        </w:rPr>
        <w:t xml:space="preserve">FICHE DE RENSEIGNEMENTS - LISTE EXHAUSTIVE DE RENSEIGNEMENTS AUX FINS DE LA RÉCEPTION UE PAR TYPE DE VÉHICULES, </w:t>
      </w:r>
      <w:r>
        <w:rPr>
          <w:b/>
          <w:caps/>
          <w:noProof/>
        </w:rPr>
        <w:t>DE SYSTèmes, DE COMPOSANTS OU D’ENTITÉS TECHNIQUES DISTINCTES</w:t>
      </w:r>
      <w:r>
        <w:rPr>
          <w:b/>
          <w:noProof/>
        </w:rPr>
        <w:t xml:space="preserve"> (</w:t>
      </w:r>
      <w:r>
        <w:rPr>
          <w:b/>
          <w:noProof/>
          <w:vertAlign w:val="superscript"/>
        </w:rPr>
        <w:t>a</w:t>
      </w:r>
      <w:r>
        <w:rPr>
          <w:b/>
          <w:noProof/>
        </w:rPr>
        <w:t xml:space="preserve">) </w:t>
      </w:r>
    </w:p>
    <w:p>
      <w:pPr>
        <w:spacing w:before="240" w:after="240"/>
        <w:jc w:val="center"/>
        <w:rPr>
          <w:b/>
          <w:noProof/>
        </w:rPr>
      </w:pPr>
      <w:r>
        <w:rPr>
          <w:b/>
          <w:noProof/>
        </w:rPr>
        <w:t>PARTIE I</w:t>
      </w:r>
    </w:p>
    <w:p>
      <w:pPr>
        <w:rPr>
          <w:noProof/>
        </w:rPr>
      </w:pPr>
      <w:r>
        <w:rPr>
          <w:noProof/>
        </w:rPr>
        <w:t>Les fiches de renseignements aux fins de la réception UE par type de véhicules, de systèmes, de composants ou d’entités techniques distinctes requises par le présent règlement et par les actes réglementaires visés dans l’annexe IV sont constituées exclusivement d’extraits de la présente liste exhaustive et en respectent le système de numérotation.</w:t>
      </w:r>
    </w:p>
    <w:p>
      <w:pPr>
        <w:rPr>
          <w:noProof/>
        </w:rPr>
      </w:pPr>
      <w:r>
        <w:rPr>
          <w:noProof/>
        </w:rPr>
        <w:t>Les informations figurant ci-après sont fournies en triple exemplaire et sont accompagnées d’une liste des éléments inclus. Les dessins sont fournis à une échelle appropriée et avec suffisamment de détails, en format A4 ou sur un dépliant de ce format. Les photographies, s’il en existe, doivent être suffisamment détaillées.</w:t>
      </w:r>
    </w:p>
    <w:p>
      <w:pPr>
        <w:rPr>
          <w:noProof/>
        </w:rPr>
      </w:pPr>
      <w:r>
        <w:rPr>
          <w:noProof/>
        </w:rPr>
        <w:t>Si les systèmes, composants ou entités techniques distinctes visés dans la présente annexe ont des fonctions à commande électronique, des informations concernant leurs performances sont fournies.</w:t>
      </w:r>
    </w:p>
    <w:p>
      <w:pPr>
        <w:spacing w:before="240" w:after="240"/>
        <w:ind w:left="1418" w:hanging="1418"/>
        <w:jc w:val="left"/>
        <w:rPr>
          <w:rFonts w:eastAsia="Arial Unicode MS"/>
          <w:b/>
          <w:bCs/>
          <w:noProof/>
          <w:szCs w:val="24"/>
        </w:rPr>
      </w:pPr>
      <w:r>
        <w:rPr>
          <w:noProof/>
        </w:rPr>
        <w:t>1.</w:t>
      </w:r>
      <w:r>
        <w:rPr>
          <w:noProof/>
        </w:rPr>
        <w:tab/>
      </w:r>
      <w:r>
        <w:rPr>
          <w:b/>
          <w:noProof/>
        </w:rPr>
        <w:t xml:space="preserve">GÉNÉRALITÉS </w:t>
      </w:r>
    </w:p>
    <w:p>
      <w:pPr>
        <w:spacing w:after="0"/>
        <w:ind w:left="1418" w:hanging="1418"/>
        <w:rPr>
          <w:rFonts w:eastAsia="Arial Unicode MS"/>
          <w:noProof/>
          <w:szCs w:val="24"/>
        </w:rPr>
      </w:pPr>
      <w:r>
        <w:rPr>
          <w:noProof/>
        </w:rPr>
        <w:t>1.1.</w:t>
      </w:r>
      <w:r>
        <w:rPr>
          <w:noProof/>
        </w:rPr>
        <w:tab/>
        <w:t>Marque (dénomination commerciale du constructeur): …</w:t>
      </w:r>
    </w:p>
    <w:p>
      <w:pPr>
        <w:spacing w:after="0"/>
        <w:ind w:left="1418" w:hanging="1418"/>
        <w:rPr>
          <w:rFonts w:eastAsia="Arial Unicode MS"/>
          <w:noProof/>
          <w:szCs w:val="24"/>
        </w:rPr>
      </w:pPr>
      <w:r>
        <w:rPr>
          <w:noProof/>
        </w:rPr>
        <w:t>1.2.</w:t>
      </w:r>
      <w:r>
        <w:rPr>
          <w:noProof/>
        </w:rPr>
        <w:tab/>
        <w:t>Type: …</w:t>
      </w:r>
    </w:p>
    <w:p>
      <w:pPr>
        <w:spacing w:after="0"/>
        <w:ind w:left="1418" w:hanging="1418"/>
        <w:rPr>
          <w:rFonts w:eastAsia="Arial Unicode MS"/>
          <w:noProof/>
          <w:szCs w:val="24"/>
        </w:rPr>
      </w:pPr>
      <w:r>
        <w:rPr>
          <w:noProof/>
        </w:rPr>
        <w:t>1.2.0.1.</w:t>
      </w:r>
      <w:r>
        <w:rPr>
          <w:noProof/>
        </w:rPr>
        <w:tab/>
        <w:t>Châssis: …</w:t>
      </w:r>
    </w:p>
    <w:p>
      <w:pPr>
        <w:spacing w:after="0"/>
        <w:ind w:left="1418" w:hanging="1418"/>
        <w:rPr>
          <w:rFonts w:eastAsia="Arial Unicode MS"/>
          <w:noProof/>
          <w:szCs w:val="24"/>
        </w:rPr>
      </w:pPr>
      <w:r>
        <w:rPr>
          <w:noProof/>
        </w:rPr>
        <w:t>1.2.0.2.</w:t>
      </w:r>
      <w:r>
        <w:rPr>
          <w:noProof/>
        </w:rPr>
        <w:tab/>
        <w:t>Carrosserie/véhicule complet: …</w:t>
      </w:r>
    </w:p>
    <w:p>
      <w:pPr>
        <w:spacing w:after="0"/>
        <w:ind w:left="1418" w:hanging="1418"/>
        <w:rPr>
          <w:rFonts w:eastAsia="Arial Unicode MS"/>
          <w:noProof/>
          <w:szCs w:val="24"/>
        </w:rPr>
      </w:pPr>
      <w:r>
        <w:rPr>
          <w:noProof/>
        </w:rPr>
        <w:t>1.2.1.</w:t>
      </w:r>
      <w:r>
        <w:rPr>
          <w:noProof/>
        </w:rPr>
        <w:tab/>
        <w:t>Appellation(s) commerciale(s) (le cas échéant): …</w:t>
      </w:r>
    </w:p>
    <w:p>
      <w:pPr>
        <w:spacing w:after="0"/>
        <w:ind w:left="1418" w:hanging="1418"/>
        <w:rPr>
          <w:rFonts w:eastAsia="Arial Unicode MS"/>
          <w:noProof/>
          <w:szCs w:val="24"/>
        </w:rPr>
      </w:pPr>
      <w:r>
        <w:rPr>
          <w:noProof/>
        </w:rPr>
        <w:t>1.2.2.</w:t>
      </w:r>
      <w:r>
        <w:rPr>
          <w:noProof/>
        </w:rPr>
        <w:tab/>
        <w:t>Pour les véhicules faisant l’objet d’une réception par type multi-étapes, informations relatives à la réception par type du véhicule de base/véhicule de l’étape antérieure (énumérer les informations pour chaque étape. Ceci peut être fait sous forme de matrice.)</w:t>
      </w:r>
    </w:p>
    <w:p>
      <w:pPr>
        <w:spacing w:after="0"/>
        <w:ind w:left="1418"/>
        <w:rPr>
          <w:rFonts w:eastAsia="Arial Unicode MS"/>
          <w:noProof/>
          <w:szCs w:val="24"/>
        </w:rPr>
      </w:pPr>
      <w:r>
        <w:rPr>
          <w:noProof/>
        </w:rPr>
        <w:t>Type: …………………………………………………………………………</w:t>
      </w:r>
    </w:p>
    <w:p>
      <w:pPr>
        <w:spacing w:after="0"/>
        <w:ind w:left="1418"/>
        <w:rPr>
          <w:rFonts w:eastAsia="Arial Unicode MS"/>
          <w:noProof/>
          <w:szCs w:val="24"/>
        </w:rPr>
      </w:pPr>
      <w:r>
        <w:rPr>
          <w:noProof/>
        </w:rPr>
        <w:t>Variante(s): …………………………………………………………………..</w:t>
      </w:r>
    </w:p>
    <w:p>
      <w:pPr>
        <w:spacing w:after="0"/>
        <w:ind w:left="1418"/>
        <w:rPr>
          <w:rFonts w:eastAsia="Arial Unicode MS"/>
          <w:noProof/>
          <w:szCs w:val="24"/>
        </w:rPr>
      </w:pPr>
      <w:r>
        <w:rPr>
          <w:noProof/>
        </w:rPr>
        <w:t>Version(s): …………………………………………………………………...</w:t>
      </w:r>
    </w:p>
    <w:p>
      <w:pPr>
        <w:spacing w:after="0"/>
        <w:ind w:left="1418"/>
        <w:rPr>
          <w:rFonts w:eastAsia="Arial Unicode MS"/>
          <w:noProof/>
          <w:szCs w:val="24"/>
        </w:rPr>
      </w:pPr>
      <w:r>
        <w:rPr>
          <w:noProof/>
        </w:rPr>
        <w:t>Numéro de réception par type, y compris le numéro d’extension: ……………………….</w:t>
      </w:r>
    </w:p>
    <w:p>
      <w:pPr>
        <w:spacing w:after="0"/>
        <w:ind w:left="1418" w:hanging="1418"/>
        <w:rPr>
          <w:rFonts w:eastAsia="Arial Unicode MS"/>
          <w:noProof/>
          <w:szCs w:val="24"/>
        </w:rPr>
      </w:pPr>
      <w:r>
        <w:rPr>
          <w:noProof/>
        </w:rPr>
        <w:t>1.3.</w:t>
      </w:r>
      <w:r>
        <w:rPr>
          <w:noProof/>
        </w:rPr>
        <w:tab/>
        <w:t>Moyens d’identifier le type, s’il est indiqué sur le véhicule/le composant/l’entité technique distincte (</w:t>
      </w:r>
      <w:r>
        <w:rPr>
          <w:noProof/>
          <w:vertAlign w:val="superscript"/>
        </w:rPr>
        <w:t>1</w:t>
      </w:r>
      <w:r>
        <w:rPr>
          <w:noProof/>
        </w:rPr>
        <w:t>) (</w:t>
      </w:r>
      <w:r>
        <w:rPr>
          <w:noProof/>
          <w:vertAlign w:val="superscript"/>
        </w:rPr>
        <w:t>b</w:t>
      </w:r>
      <w:r>
        <w:rPr>
          <w:noProof/>
        </w:rPr>
        <w:t>): …</w:t>
      </w:r>
    </w:p>
    <w:p>
      <w:pPr>
        <w:spacing w:after="0"/>
        <w:ind w:left="1418" w:hanging="1418"/>
        <w:rPr>
          <w:rFonts w:eastAsia="Arial Unicode MS"/>
          <w:noProof/>
          <w:szCs w:val="24"/>
        </w:rPr>
      </w:pPr>
      <w:r>
        <w:rPr>
          <w:noProof/>
        </w:rPr>
        <w:t>1.3.0.1.</w:t>
      </w:r>
      <w:r>
        <w:rPr>
          <w:noProof/>
        </w:rPr>
        <w:tab/>
        <w:t>Châssis: …</w:t>
      </w:r>
    </w:p>
    <w:p>
      <w:pPr>
        <w:spacing w:after="0"/>
        <w:ind w:left="1418" w:hanging="1418"/>
        <w:rPr>
          <w:rFonts w:eastAsia="Arial Unicode MS"/>
          <w:noProof/>
          <w:szCs w:val="24"/>
        </w:rPr>
      </w:pPr>
      <w:r>
        <w:rPr>
          <w:noProof/>
        </w:rPr>
        <w:t>1.3.0.2.</w:t>
      </w:r>
      <w:r>
        <w:rPr>
          <w:noProof/>
        </w:rPr>
        <w:tab/>
        <w:t>Carrosserie/véhicule complet: …</w:t>
      </w:r>
    </w:p>
    <w:p>
      <w:pPr>
        <w:spacing w:after="0"/>
        <w:ind w:left="1418" w:hanging="1418"/>
        <w:rPr>
          <w:rFonts w:eastAsia="Arial Unicode MS"/>
          <w:noProof/>
          <w:szCs w:val="24"/>
        </w:rPr>
      </w:pPr>
      <w:r>
        <w:rPr>
          <w:noProof/>
        </w:rPr>
        <w:t>1.3.1.</w:t>
      </w:r>
      <w:r>
        <w:rPr>
          <w:noProof/>
        </w:rPr>
        <w:tab/>
        <w:t>Emplacement de ce marquage: …</w:t>
      </w:r>
    </w:p>
    <w:p>
      <w:pPr>
        <w:spacing w:after="0"/>
        <w:ind w:left="1418" w:hanging="1418"/>
        <w:rPr>
          <w:rFonts w:eastAsia="Arial Unicode MS"/>
          <w:noProof/>
          <w:szCs w:val="24"/>
        </w:rPr>
      </w:pPr>
      <w:r>
        <w:rPr>
          <w:noProof/>
        </w:rPr>
        <w:t>1.3.1.1.</w:t>
      </w:r>
      <w:r>
        <w:rPr>
          <w:noProof/>
        </w:rPr>
        <w:tab/>
        <w:t>Châssis: …</w:t>
      </w:r>
    </w:p>
    <w:p>
      <w:pPr>
        <w:spacing w:after="0"/>
        <w:ind w:left="1418" w:hanging="1418"/>
        <w:rPr>
          <w:rFonts w:eastAsia="Arial Unicode MS"/>
          <w:noProof/>
          <w:szCs w:val="24"/>
        </w:rPr>
      </w:pPr>
      <w:r>
        <w:rPr>
          <w:noProof/>
        </w:rPr>
        <w:lastRenderedPageBreak/>
        <w:t>1.3.1.2.</w:t>
      </w:r>
      <w:r>
        <w:rPr>
          <w:noProof/>
        </w:rPr>
        <w:tab/>
        <w:t>Carrosserie/véhicule complet: …</w:t>
      </w:r>
    </w:p>
    <w:p>
      <w:pPr>
        <w:spacing w:after="0"/>
        <w:ind w:left="1418" w:hanging="1418"/>
        <w:rPr>
          <w:rFonts w:eastAsia="Arial Unicode MS"/>
          <w:noProof/>
          <w:szCs w:val="24"/>
        </w:rPr>
      </w:pPr>
      <w:r>
        <w:rPr>
          <w:noProof/>
        </w:rPr>
        <w:t>1.4.</w:t>
      </w:r>
      <w:r>
        <w:rPr>
          <w:noProof/>
        </w:rPr>
        <w:tab/>
        <w:t>Catégorie de véhicule(</w:t>
      </w:r>
      <w:r>
        <w:rPr>
          <w:noProof/>
          <w:vertAlign w:val="superscript"/>
        </w:rPr>
        <w:t>c</w:t>
      </w:r>
      <w:r>
        <w:rPr>
          <w:noProof/>
        </w:rPr>
        <w:t>): …</w:t>
      </w:r>
    </w:p>
    <w:p>
      <w:pPr>
        <w:spacing w:after="0"/>
        <w:ind w:left="1418" w:hanging="1418"/>
        <w:rPr>
          <w:rFonts w:eastAsia="Arial Unicode MS"/>
          <w:noProof/>
          <w:szCs w:val="24"/>
        </w:rPr>
      </w:pPr>
      <w:r>
        <w:rPr>
          <w:noProof/>
        </w:rPr>
        <w:t>1.4.1.</w:t>
      </w:r>
      <w:r>
        <w:rPr>
          <w:noProof/>
        </w:rPr>
        <w:tab/>
        <w:t>Classification(s) en fonction des marchandises dangereuses pour le transport desquelles le véhicule est conçu: …</w:t>
      </w:r>
    </w:p>
    <w:p>
      <w:pPr>
        <w:spacing w:after="0"/>
        <w:ind w:left="1418" w:hanging="1418"/>
        <w:rPr>
          <w:rFonts w:eastAsia="Arial Unicode MS"/>
          <w:noProof/>
          <w:szCs w:val="24"/>
        </w:rPr>
      </w:pPr>
      <w:r>
        <w:rPr>
          <w:noProof/>
        </w:rPr>
        <w:t>1.5.</w:t>
      </w:r>
      <w:r>
        <w:rPr>
          <w:noProof/>
        </w:rPr>
        <w:tab/>
        <w:t>Raison sociale et adresse du constructeur: …</w:t>
      </w:r>
    </w:p>
    <w:p>
      <w:pPr>
        <w:spacing w:after="0"/>
        <w:ind w:left="1418" w:hanging="1418"/>
        <w:rPr>
          <w:rFonts w:eastAsia="Arial Unicode MS"/>
          <w:noProof/>
          <w:szCs w:val="24"/>
        </w:rPr>
      </w:pPr>
      <w:r>
        <w:rPr>
          <w:noProof/>
        </w:rPr>
        <w:t>1.5.1.</w:t>
      </w:r>
      <w:r>
        <w:rPr>
          <w:noProof/>
        </w:rPr>
        <w:tab/>
        <w:t>Pour les véhicules faisant l’objet d’une réception par type multi-étapes, raison sociale et adresse du constructeur du véhicule de base/véhicule de la ou des étapes antérieures: ..........</w:t>
      </w:r>
    </w:p>
    <w:p>
      <w:pPr>
        <w:spacing w:after="0"/>
        <w:ind w:left="1418" w:hanging="1418"/>
        <w:rPr>
          <w:rFonts w:eastAsia="Arial Unicode MS"/>
          <w:noProof/>
          <w:szCs w:val="24"/>
        </w:rPr>
      </w:pPr>
      <w:r>
        <w:rPr>
          <w:noProof/>
        </w:rPr>
        <w:t>1.6.</w:t>
      </w:r>
      <w:r>
        <w:rPr>
          <w:noProof/>
        </w:rPr>
        <w:tab/>
        <w:t>Emplacement et méthode de fixation des plaques réglementaires et emplacement du numéro d’identification du véhicule: …</w:t>
      </w:r>
    </w:p>
    <w:p>
      <w:pPr>
        <w:spacing w:after="0"/>
        <w:ind w:left="1418" w:hanging="1418"/>
        <w:rPr>
          <w:rFonts w:eastAsia="Arial Unicode MS"/>
          <w:noProof/>
          <w:szCs w:val="24"/>
        </w:rPr>
      </w:pPr>
      <w:r>
        <w:rPr>
          <w:noProof/>
        </w:rPr>
        <w:t>1.6.1.</w:t>
      </w:r>
      <w:r>
        <w:rPr>
          <w:noProof/>
        </w:rPr>
        <w:tab/>
        <w:t>Sur le châssis: …</w:t>
      </w:r>
    </w:p>
    <w:p>
      <w:pPr>
        <w:spacing w:after="0"/>
        <w:ind w:left="1418" w:hanging="1418"/>
        <w:rPr>
          <w:rFonts w:eastAsia="Arial Unicode MS"/>
          <w:noProof/>
          <w:szCs w:val="24"/>
        </w:rPr>
      </w:pPr>
      <w:r>
        <w:rPr>
          <w:noProof/>
        </w:rPr>
        <w:t>1.6.2.</w:t>
      </w:r>
      <w:r>
        <w:rPr>
          <w:noProof/>
        </w:rPr>
        <w:tab/>
        <w:t>Sur la carrosserie: …</w:t>
      </w:r>
    </w:p>
    <w:p>
      <w:pPr>
        <w:spacing w:after="0"/>
        <w:ind w:left="1418" w:hanging="1418"/>
        <w:rPr>
          <w:rFonts w:eastAsia="Arial Unicode MS"/>
          <w:noProof/>
          <w:szCs w:val="24"/>
        </w:rPr>
      </w:pPr>
      <w:r>
        <w:rPr>
          <w:noProof/>
        </w:rPr>
        <w:t>1.7.</w:t>
      </w:r>
      <w:r>
        <w:rPr>
          <w:noProof/>
        </w:rPr>
        <w:tab/>
        <w:t>(Non attribué)</w:t>
      </w:r>
    </w:p>
    <w:p>
      <w:pPr>
        <w:spacing w:after="0"/>
        <w:ind w:left="1418" w:hanging="1418"/>
        <w:rPr>
          <w:rFonts w:eastAsia="Arial Unicode MS"/>
          <w:noProof/>
          <w:szCs w:val="24"/>
        </w:rPr>
      </w:pPr>
      <w:r>
        <w:rPr>
          <w:noProof/>
        </w:rPr>
        <w:t>1.8.</w:t>
      </w:r>
      <w:r>
        <w:rPr>
          <w:noProof/>
        </w:rPr>
        <w:tab/>
        <w:t>Nom(s) et adresse(s) de la (des) usine(s) d’assemblage: …</w:t>
      </w:r>
    </w:p>
    <w:p>
      <w:pPr>
        <w:spacing w:after="0"/>
        <w:ind w:left="1418" w:hanging="1418"/>
        <w:rPr>
          <w:rFonts w:eastAsia="Arial Unicode MS"/>
          <w:noProof/>
          <w:szCs w:val="24"/>
        </w:rPr>
      </w:pPr>
      <w:r>
        <w:rPr>
          <w:noProof/>
        </w:rPr>
        <w:t>1.9.</w:t>
      </w:r>
      <w:r>
        <w:rPr>
          <w:noProof/>
        </w:rPr>
        <w:tab/>
        <w:t>Nom et adresse du mandataire du constructeur (le cas échéant): …</w:t>
      </w:r>
    </w:p>
    <w:p>
      <w:pPr>
        <w:spacing w:before="240" w:after="240"/>
        <w:ind w:left="1418" w:hanging="1418"/>
        <w:jc w:val="left"/>
        <w:rPr>
          <w:rFonts w:eastAsia="Arial Unicode MS"/>
          <w:b/>
          <w:bCs/>
          <w:noProof/>
          <w:szCs w:val="24"/>
        </w:rPr>
      </w:pPr>
      <w:r>
        <w:rPr>
          <w:noProof/>
        </w:rPr>
        <w:t>2.</w:t>
      </w:r>
      <w:r>
        <w:rPr>
          <w:noProof/>
        </w:rPr>
        <w:tab/>
      </w:r>
      <w:r>
        <w:rPr>
          <w:b/>
          <w:noProof/>
        </w:rPr>
        <w:t xml:space="preserve">CARACTÉRISTIQUES GÉNÉRALES DE CONSTRUCTION </w:t>
      </w:r>
    </w:p>
    <w:p>
      <w:pPr>
        <w:spacing w:after="0"/>
        <w:ind w:left="1418" w:hanging="1418"/>
        <w:rPr>
          <w:rFonts w:eastAsia="Arial Unicode MS"/>
          <w:noProof/>
          <w:szCs w:val="24"/>
        </w:rPr>
      </w:pPr>
      <w:r>
        <w:rPr>
          <w:noProof/>
        </w:rPr>
        <w:t>2.1.</w:t>
      </w:r>
      <w:r>
        <w:rPr>
          <w:noProof/>
        </w:rPr>
        <w:tab/>
        <w:t>Photos et/ou dessins d’un véhicule/d’un composant/d’une entité technique distincte représentatif(tive) (</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Schéma coté du véhicule entier: …</w:t>
      </w:r>
    </w:p>
    <w:p>
      <w:pPr>
        <w:spacing w:after="0"/>
        <w:ind w:left="1418" w:hanging="1418"/>
        <w:rPr>
          <w:rFonts w:eastAsia="Arial Unicode MS"/>
          <w:noProof/>
          <w:szCs w:val="24"/>
        </w:rPr>
      </w:pPr>
      <w:r>
        <w:rPr>
          <w:noProof/>
        </w:rPr>
        <w:t>2.3.</w:t>
      </w:r>
      <w:r>
        <w:rPr>
          <w:noProof/>
        </w:rPr>
        <w:tab/>
        <w:t>Nombre d’essieux et de roues: …</w:t>
      </w:r>
    </w:p>
    <w:p>
      <w:pPr>
        <w:spacing w:after="0"/>
        <w:ind w:left="1418" w:hanging="1418"/>
        <w:rPr>
          <w:rFonts w:eastAsia="Arial Unicode MS"/>
          <w:noProof/>
          <w:szCs w:val="24"/>
        </w:rPr>
      </w:pPr>
      <w:r>
        <w:rPr>
          <w:noProof/>
        </w:rPr>
        <w:t>2.3.1.</w:t>
      </w:r>
      <w:r>
        <w:rPr>
          <w:noProof/>
        </w:rPr>
        <w:tab/>
        <w:t>Nombre et emplacement des essieux à roues jumelées: …</w:t>
      </w:r>
    </w:p>
    <w:p>
      <w:pPr>
        <w:spacing w:after="0"/>
        <w:ind w:left="1418" w:hanging="1418"/>
        <w:rPr>
          <w:rFonts w:eastAsia="Arial Unicode MS"/>
          <w:noProof/>
          <w:szCs w:val="24"/>
        </w:rPr>
      </w:pPr>
      <w:r>
        <w:rPr>
          <w:noProof/>
        </w:rPr>
        <w:t>2.3.2.</w:t>
      </w:r>
      <w:r>
        <w:rPr>
          <w:noProof/>
        </w:rPr>
        <w:tab/>
        <w:t>Nombre et emplacement des essieux directeurs: …</w:t>
      </w:r>
    </w:p>
    <w:p>
      <w:pPr>
        <w:spacing w:after="0"/>
        <w:ind w:left="1418" w:hanging="1418"/>
        <w:rPr>
          <w:rFonts w:eastAsia="Arial Unicode MS"/>
          <w:noProof/>
          <w:szCs w:val="24"/>
        </w:rPr>
      </w:pPr>
      <w:r>
        <w:rPr>
          <w:noProof/>
        </w:rPr>
        <w:t>2.3.3.</w:t>
      </w:r>
      <w:r>
        <w:rPr>
          <w:noProof/>
        </w:rPr>
        <w:tab/>
        <w:t>Essieux moteurs (nombre, emplacement, crabotage d’un autre essieu): …</w:t>
      </w:r>
    </w:p>
    <w:p>
      <w:pPr>
        <w:spacing w:after="0"/>
        <w:ind w:left="1418" w:hanging="1418"/>
        <w:rPr>
          <w:rFonts w:eastAsia="Arial Unicode MS"/>
          <w:noProof/>
          <w:szCs w:val="24"/>
        </w:rPr>
      </w:pPr>
      <w:r>
        <w:rPr>
          <w:noProof/>
        </w:rPr>
        <w:t>2.4.</w:t>
      </w:r>
      <w:r>
        <w:rPr>
          <w:noProof/>
        </w:rPr>
        <w:tab/>
        <w:t>Châssis (le cas échéant) (dessin d’ensemble): …</w:t>
      </w:r>
    </w:p>
    <w:p>
      <w:pPr>
        <w:spacing w:after="0"/>
        <w:ind w:left="1418" w:hanging="1418"/>
        <w:rPr>
          <w:rFonts w:eastAsia="Arial Unicode MS"/>
          <w:noProof/>
          <w:szCs w:val="24"/>
        </w:rPr>
      </w:pPr>
      <w:r>
        <w:rPr>
          <w:noProof/>
        </w:rPr>
        <w:t>2.5.</w:t>
      </w:r>
      <w:r>
        <w:rPr>
          <w:noProof/>
        </w:rPr>
        <w:tab/>
        <w:t>Matériau des longerons (</w:t>
      </w:r>
      <w:r>
        <w:rPr>
          <w:noProof/>
          <w:vertAlign w:val="superscript"/>
        </w:rPr>
        <w:t>d</w:t>
      </w:r>
      <w:r>
        <w:rPr>
          <w:noProof/>
        </w:rPr>
        <w:t>): …</w:t>
      </w:r>
    </w:p>
    <w:p>
      <w:pPr>
        <w:spacing w:after="0"/>
        <w:ind w:left="1418" w:hanging="1418"/>
        <w:rPr>
          <w:rFonts w:eastAsia="Arial Unicode MS"/>
          <w:noProof/>
          <w:szCs w:val="24"/>
        </w:rPr>
      </w:pPr>
      <w:r>
        <w:rPr>
          <w:noProof/>
        </w:rPr>
        <w:t>2.6.</w:t>
      </w:r>
      <w:r>
        <w:rPr>
          <w:noProof/>
        </w:rPr>
        <w:tab/>
        <w:t>Emplacement et disposition du moteur: …</w:t>
      </w:r>
    </w:p>
    <w:p>
      <w:pPr>
        <w:spacing w:after="0"/>
        <w:ind w:left="1418" w:hanging="1418"/>
        <w:rPr>
          <w:rFonts w:eastAsia="Arial Unicode MS"/>
          <w:noProof/>
          <w:szCs w:val="24"/>
        </w:rPr>
      </w:pPr>
      <w:r>
        <w:rPr>
          <w:noProof/>
        </w:rPr>
        <w:t>2.7.</w:t>
      </w:r>
      <w:r>
        <w:rPr>
          <w:noProof/>
        </w:rPr>
        <w:tab/>
        <w:t>Cabine de conduite (avancée ou à capot) (</w:t>
      </w:r>
      <w:r>
        <w:rPr>
          <w:noProof/>
          <w:vertAlign w:val="superscript"/>
        </w:rPr>
        <w:t>e</w:t>
      </w:r>
      <w:r>
        <w:rPr>
          <w:noProof/>
        </w:rPr>
        <w:t>): …</w:t>
      </w:r>
    </w:p>
    <w:p>
      <w:pPr>
        <w:spacing w:after="0"/>
        <w:ind w:left="1418" w:hanging="1418"/>
        <w:rPr>
          <w:rFonts w:eastAsia="Arial Unicode MS"/>
          <w:noProof/>
          <w:szCs w:val="24"/>
        </w:rPr>
      </w:pPr>
      <w:r>
        <w:rPr>
          <w:noProof/>
        </w:rPr>
        <w:t>2.8.</w:t>
      </w:r>
      <w:r>
        <w:rPr>
          <w:noProof/>
        </w:rPr>
        <w:tab/>
        <w:t>Côté de conduite: gauche/droite (</w:t>
      </w:r>
      <w:r>
        <w:rPr>
          <w:noProof/>
          <w:vertAlign w:val="superscript"/>
        </w:rPr>
        <w:t>1</w:t>
      </w:r>
      <w:r>
        <w:rPr>
          <w:noProof/>
        </w:rPr>
        <w:t>)</w:t>
      </w:r>
    </w:p>
    <w:p>
      <w:pPr>
        <w:spacing w:after="0"/>
        <w:ind w:left="1418" w:hanging="1418"/>
        <w:rPr>
          <w:rFonts w:eastAsia="Arial Unicode MS"/>
          <w:noProof/>
          <w:szCs w:val="24"/>
        </w:rPr>
      </w:pPr>
      <w:r>
        <w:rPr>
          <w:noProof/>
        </w:rPr>
        <w:t>2.8.1.</w:t>
      </w:r>
      <w:r>
        <w:rPr>
          <w:noProof/>
        </w:rPr>
        <w:tab/>
        <w:t>Le véhicule est équipé pour la conduite à droite/à gauche (</w:t>
      </w:r>
      <w:r>
        <w:rPr>
          <w:noProof/>
          <w:vertAlign w:val="superscript"/>
        </w:rPr>
        <w:t>1</w:t>
      </w:r>
      <w:r>
        <w:rPr>
          <w:noProof/>
        </w:rPr>
        <w:t>).</w:t>
      </w:r>
    </w:p>
    <w:p>
      <w:pPr>
        <w:spacing w:after="0"/>
        <w:ind w:left="1418" w:hanging="1418"/>
        <w:rPr>
          <w:rFonts w:eastAsia="Arial Unicode MS"/>
          <w:noProof/>
          <w:szCs w:val="24"/>
        </w:rPr>
      </w:pPr>
      <w:r>
        <w:rPr>
          <w:noProof/>
        </w:rPr>
        <w:t>2.9.</w:t>
      </w:r>
      <w:r>
        <w:rPr>
          <w:noProof/>
        </w:rPr>
        <w:tab/>
        <w:t>Préciser si le véhicule tracteur est conçu pour tracter des semi-remorques ou d’autres remorques et si la remorque est une semi-remorque, une remorque à timon, une remorque à essieu central ou une remorque à timon rigide: …</w:t>
      </w:r>
    </w:p>
    <w:p>
      <w:pPr>
        <w:spacing w:after="0"/>
        <w:ind w:left="1418" w:hanging="1418"/>
        <w:rPr>
          <w:rFonts w:eastAsia="Arial Unicode MS"/>
          <w:noProof/>
          <w:szCs w:val="24"/>
        </w:rPr>
      </w:pPr>
      <w:r>
        <w:rPr>
          <w:noProof/>
        </w:rPr>
        <w:t>2.10.</w:t>
      </w:r>
      <w:r>
        <w:rPr>
          <w:noProof/>
        </w:rPr>
        <w:tab/>
        <w:t>Préciser si le véhicule est spécialement conçu pour le transport de marchandises sous température contrôlée: …</w:t>
      </w:r>
    </w:p>
    <w:p>
      <w:pPr>
        <w:spacing w:before="240" w:after="240"/>
        <w:ind w:left="1418" w:hanging="1418"/>
        <w:jc w:val="left"/>
        <w:rPr>
          <w:rFonts w:eastAsia="Arial Unicode MS"/>
          <w:b/>
          <w:bCs/>
          <w:noProof/>
          <w:szCs w:val="24"/>
        </w:rPr>
      </w:pPr>
      <w:r>
        <w:rPr>
          <w:noProof/>
        </w:rPr>
        <w:t>3.</w:t>
      </w:r>
      <w:r>
        <w:rPr>
          <w:noProof/>
        </w:rPr>
        <w:tab/>
      </w:r>
      <w:r>
        <w:rPr>
          <w:b/>
          <w:noProof/>
        </w:rPr>
        <w:t xml:space="preserve">MASSES ET DIMENSIONS </w:t>
      </w:r>
      <w:r>
        <w:rPr>
          <w:noProof/>
        </w:rPr>
        <w:t>(</w:t>
      </w:r>
      <w:r>
        <w:rPr>
          <w:noProof/>
          <w:vertAlign w:val="superscript"/>
        </w:rPr>
        <w:t>f</w:t>
      </w:r>
      <w:r>
        <w:rPr>
          <w:noProof/>
        </w:rPr>
        <w:t>)</w:t>
      </w:r>
      <w:r>
        <w:rPr>
          <w:b/>
          <w:noProof/>
        </w:rPr>
        <w:t xml:space="preserve"> </w:t>
      </w:r>
      <w:r>
        <w:rPr>
          <w:noProof/>
        </w:rPr>
        <w:t>(</w:t>
      </w:r>
      <w:hyperlink r:id="rId16" w:anchor="E0021">
        <w:r>
          <w:rPr>
            <w:noProof/>
            <w:vertAlign w:val="superscript"/>
          </w:rPr>
          <w:t>g</w:t>
        </w:r>
      </w:hyperlink>
      <w:r>
        <w:rPr>
          <w:noProof/>
        </w:rPr>
        <w:t>)</w:t>
      </w:r>
      <w:r>
        <w:rPr>
          <w:b/>
          <w:noProof/>
        </w:rPr>
        <w:t xml:space="preserve"> </w:t>
      </w:r>
      <w:r>
        <w:rPr>
          <w:noProof/>
        </w:rPr>
        <w:t>(</w:t>
      </w:r>
      <w:hyperlink r:id="rId17" w:anchor="E0022">
        <w:r>
          <w:rPr>
            <w:noProof/>
            <w:vertAlign w:val="superscript"/>
          </w:rPr>
          <w:t>6</w:t>
        </w:r>
      </w:hyperlink>
      <w:r>
        <w:rPr>
          <w:noProof/>
        </w:rPr>
        <w:t>)</w:t>
      </w:r>
      <w:r>
        <w:rPr>
          <w:b/>
          <w:noProof/>
        </w:rPr>
        <w:t xml:space="preserve"> </w:t>
      </w:r>
    </w:p>
    <w:p>
      <w:pPr>
        <w:spacing w:after="0"/>
        <w:ind w:left="1418" w:hanging="1418"/>
        <w:rPr>
          <w:rFonts w:eastAsia="Arial Unicode MS"/>
          <w:noProof/>
          <w:szCs w:val="24"/>
        </w:rPr>
      </w:pPr>
      <w:r>
        <w:rPr>
          <w:noProof/>
        </w:rPr>
        <w:tab/>
        <w:t>(en kg et mm) (se référer à des dessins, le cas échéant)</w:t>
      </w:r>
    </w:p>
    <w:p>
      <w:pPr>
        <w:ind w:left="1418" w:hanging="1418"/>
        <w:jc w:val="left"/>
        <w:rPr>
          <w:rFonts w:eastAsia="Arial Unicode MS"/>
          <w:b/>
          <w:bCs/>
          <w:noProof/>
          <w:szCs w:val="24"/>
        </w:rPr>
      </w:pPr>
      <w:r>
        <w:rPr>
          <w:noProof/>
        </w:rPr>
        <w:t>3.1.</w:t>
      </w:r>
      <w:r>
        <w:rPr>
          <w:noProof/>
        </w:rPr>
        <w:tab/>
      </w:r>
      <w:r>
        <w:rPr>
          <w:b/>
          <w:noProof/>
        </w:rPr>
        <w:t xml:space="preserve">Empattement(s) (à pleine charge) </w:t>
      </w:r>
      <w:r>
        <w:rPr>
          <w:noProof/>
        </w:rPr>
        <w:t>(</w:t>
      </w:r>
      <w:r>
        <w:rPr>
          <w:noProof/>
          <w:vertAlign w:val="superscript"/>
        </w:rPr>
        <w:t>g1</w:t>
      </w:r>
      <w:r>
        <w:rPr>
          <w:noProof/>
        </w:rPr>
        <w:t>)</w:t>
      </w:r>
      <w:r>
        <w:rPr>
          <w:b/>
          <w:noProof/>
        </w:rPr>
        <w:t xml:space="preserve">: </w:t>
      </w:r>
    </w:p>
    <w:p>
      <w:pPr>
        <w:spacing w:after="0"/>
        <w:ind w:left="1418" w:hanging="1418"/>
        <w:rPr>
          <w:rFonts w:eastAsia="Arial Unicode MS"/>
          <w:noProof/>
          <w:szCs w:val="24"/>
        </w:rPr>
      </w:pPr>
      <w:r>
        <w:rPr>
          <w:noProof/>
        </w:rPr>
        <w:t>3.1.1.</w:t>
      </w:r>
      <w:r>
        <w:rPr>
          <w:noProof/>
        </w:rPr>
        <w:tab/>
        <w:t>Véhicules à deux essieux: …</w:t>
      </w:r>
    </w:p>
    <w:p>
      <w:pPr>
        <w:spacing w:after="0"/>
        <w:ind w:left="1418" w:hanging="1418"/>
        <w:rPr>
          <w:rFonts w:eastAsia="Arial Unicode MS"/>
          <w:noProof/>
          <w:szCs w:val="24"/>
        </w:rPr>
      </w:pPr>
      <w:r>
        <w:rPr>
          <w:noProof/>
        </w:rPr>
        <w:t>3.1.2.</w:t>
      </w:r>
      <w:r>
        <w:rPr>
          <w:noProof/>
        </w:rPr>
        <w:tab/>
        <w:t>Véhicules à trois essieux ou plus</w:t>
      </w:r>
    </w:p>
    <w:p>
      <w:pPr>
        <w:spacing w:after="0"/>
        <w:ind w:left="1418" w:hanging="1418"/>
        <w:rPr>
          <w:rFonts w:eastAsia="Arial Unicode MS"/>
          <w:noProof/>
          <w:szCs w:val="24"/>
        </w:rPr>
      </w:pPr>
      <w:r>
        <w:rPr>
          <w:noProof/>
        </w:rPr>
        <w:t>3.1.2.1.</w:t>
      </w:r>
      <w:r>
        <w:rPr>
          <w:noProof/>
        </w:rPr>
        <w:tab/>
        <w:t>Distance entre essieux consécutifs, de celui situé le plus à l’avant à celui situé le plus à l’arrière: …</w:t>
      </w:r>
    </w:p>
    <w:p>
      <w:pPr>
        <w:spacing w:after="0"/>
        <w:ind w:left="1418" w:hanging="1418"/>
        <w:rPr>
          <w:rFonts w:eastAsia="Arial Unicode MS"/>
          <w:noProof/>
          <w:szCs w:val="24"/>
        </w:rPr>
      </w:pPr>
      <w:r>
        <w:rPr>
          <w:noProof/>
        </w:rPr>
        <w:t>3.1.2.2.</w:t>
      </w:r>
      <w:r>
        <w:rPr>
          <w:noProof/>
        </w:rPr>
        <w:tab/>
        <w:t>Distance totale entre les essieux: …</w:t>
      </w:r>
    </w:p>
    <w:p>
      <w:pPr>
        <w:ind w:left="1418" w:hanging="1418"/>
        <w:jc w:val="left"/>
        <w:rPr>
          <w:rFonts w:eastAsia="Arial Unicode MS"/>
          <w:b/>
          <w:bCs/>
          <w:noProof/>
          <w:szCs w:val="24"/>
        </w:rPr>
      </w:pPr>
      <w:r>
        <w:rPr>
          <w:noProof/>
        </w:rPr>
        <w:t>3.2.</w:t>
      </w:r>
      <w:r>
        <w:rPr>
          <w:noProof/>
        </w:rPr>
        <w:tab/>
      </w:r>
      <w:r>
        <w:rPr>
          <w:b/>
          <w:noProof/>
        </w:rPr>
        <w:t>Sellette d’attelage</w:t>
      </w:r>
    </w:p>
    <w:p>
      <w:pPr>
        <w:spacing w:after="0"/>
        <w:ind w:left="1418" w:hanging="1418"/>
        <w:rPr>
          <w:rFonts w:eastAsia="Arial Unicode MS"/>
          <w:noProof/>
          <w:szCs w:val="24"/>
        </w:rPr>
      </w:pPr>
      <w:r>
        <w:rPr>
          <w:noProof/>
        </w:rPr>
        <w:t>3.2.1.</w:t>
      </w:r>
      <w:r>
        <w:rPr>
          <w:noProof/>
        </w:rPr>
        <w:tab/>
        <w:t>Dans le cas des semi-remorques</w:t>
      </w:r>
    </w:p>
    <w:p>
      <w:pPr>
        <w:spacing w:after="0"/>
        <w:ind w:left="1418" w:hanging="1418"/>
        <w:rPr>
          <w:rFonts w:eastAsia="Arial Unicode MS"/>
          <w:noProof/>
          <w:szCs w:val="24"/>
        </w:rPr>
      </w:pPr>
      <w:r>
        <w:rPr>
          <w:noProof/>
        </w:rPr>
        <w:t>3.2.1.1.</w:t>
      </w:r>
      <w:r>
        <w:rPr>
          <w:noProof/>
        </w:rPr>
        <w:tab/>
        <w:t>Distance entre l’axe du pivot d’attelage et l’extrémité arrière de la semi-remorque: …</w:t>
      </w:r>
    </w:p>
    <w:p>
      <w:pPr>
        <w:spacing w:after="0"/>
        <w:ind w:left="1418" w:hanging="1418"/>
        <w:rPr>
          <w:rFonts w:eastAsia="Arial Unicode MS"/>
          <w:noProof/>
          <w:szCs w:val="24"/>
        </w:rPr>
      </w:pPr>
      <w:r>
        <w:rPr>
          <w:noProof/>
        </w:rPr>
        <w:t>3.2.1.2.</w:t>
      </w:r>
      <w:r>
        <w:rPr>
          <w:noProof/>
        </w:rPr>
        <w:tab/>
        <w:t>Distance maximale entre l’axe du pivot d’attelage et un point quelconque sur l’avant de la semi-remorque: …</w:t>
      </w:r>
    </w:p>
    <w:p>
      <w:pPr>
        <w:spacing w:after="0"/>
        <w:ind w:left="1418" w:hanging="1418"/>
        <w:rPr>
          <w:rFonts w:eastAsia="Arial Unicode MS"/>
          <w:noProof/>
          <w:szCs w:val="24"/>
        </w:rPr>
      </w:pPr>
      <w:r>
        <w:rPr>
          <w:noProof/>
        </w:rPr>
        <w:t>3.2.1.3.</w:t>
      </w:r>
      <w:r>
        <w:rPr>
          <w:noProof/>
        </w:rPr>
        <w:tab/>
        <w:t>Empattement de référence de la semi-remorque (comme requis au point 3.2 de la partie D de l’annexe I du règlement (UE) n</w:t>
      </w:r>
      <w:r>
        <w:rPr>
          <w:noProof/>
          <w:vertAlign w:val="superscript"/>
        </w:rPr>
        <w:t>o</w:t>
      </w:r>
      <w:r>
        <w:rPr>
          <w:noProof/>
        </w:rPr>
        <w:t> 1230/2012 de la Commission</w:t>
      </w:r>
      <w:r>
        <w:rPr>
          <w:rStyle w:val="FootnoteReference"/>
          <w:noProof/>
        </w:rPr>
        <w:footnoteReference w:id="1"/>
      </w:r>
      <w:r>
        <w:rPr>
          <w:noProof/>
        </w:rPr>
        <w:t>): …</w:t>
      </w:r>
    </w:p>
    <w:p>
      <w:pPr>
        <w:spacing w:after="0"/>
        <w:ind w:left="1418" w:hanging="1418"/>
        <w:rPr>
          <w:rFonts w:eastAsia="Arial Unicode MS"/>
          <w:noProof/>
          <w:szCs w:val="24"/>
        </w:rPr>
      </w:pPr>
      <w:r>
        <w:rPr>
          <w:noProof/>
        </w:rPr>
        <w:t>3.2.2.</w:t>
      </w:r>
      <w:r>
        <w:rPr>
          <w:noProof/>
        </w:rPr>
        <w:tab/>
        <w:t>Dans le cas des véhicules tracteurs de semi-remorques</w:t>
      </w:r>
    </w:p>
    <w:p>
      <w:pPr>
        <w:spacing w:after="0"/>
        <w:ind w:left="1418" w:hanging="1418"/>
        <w:rPr>
          <w:rFonts w:eastAsia="Arial Unicode MS"/>
          <w:noProof/>
          <w:szCs w:val="24"/>
        </w:rPr>
      </w:pPr>
      <w:r>
        <w:rPr>
          <w:noProof/>
        </w:rPr>
        <w:t>3.2.2.1.</w:t>
      </w:r>
      <w:r>
        <w:rPr>
          <w:noProof/>
        </w:rPr>
        <w:tab/>
        <w:t>Avancée de la sellette d’attelage (maximale et minimale; indiquer les valeurs admissibles dans le cas d’un véhicule incomplet) (</w:t>
      </w:r>
      <w:r>
        <w:rPr>
          <w:noProof/>
          <w:vertAlign w:val="superscript"/>
        </w:rPr>
        <w:t>g2</w:t>
      </w:r>
      <w:r>
        <w:rPr>
          <w:noProof/>
        </w:rPr>
        <w:t>): …</w:t>
      </w:r>
    </w:p>
    <w:p>
      <w:pPr>
        <w:spacing w:after="240"/>
        <w:ind w:left="1418" w:hanging="1418"/>
        <w:rPr>
          <w:rFonts w:eastAsia="Arial Unicode MS"/>
          <w:noProof/>
          <w:szCs w:val="24"/>
        </w:rPr>
      </w:pPr>
      <w:r>
        <w:rPr>
          <w:noProof/>
        </w:rPr>
        <w:t>3.2.2.2.</w:t>
      </w:r>
      <w:r>
        <w:rPr>
          <w:noProof/>
        </w:rPr>
        <w:tab/>
        <w:t>Hauteur maximale de la sellette (normalisée) (</w:t>
      </w:r>
      <w:r>
        <w:rPr>
          <w:noProof/>
          <w:vertAlign w:val="superscript"/>
        </w:rPr>
        <w:t>g3</w:t>
      </w:r>
      <w:r>
        <w:rPr>
          <w:noProof/>
        </w:rPr>
        <w:t>): …</w:t>
      </w:r>
    </w:p>
    <w:p>
      <w:pPr>
        <w:ind w:left="1418" w:hanging="1418"/>
        <w:jc w:val="left"/>
        <w:rPr>
          <w:rFonts w:eastAsia="Arial Unicode MS"/>
          <w:b/>
          <w:bCs/>
          <w:noProof/>
          <w:szCs w:val="24"/>
        </w:rPr>
      </w:pPr>
      <w:r>
        <w:rPr>
          <w:noProof/>
        </w:rPr>
        <w:t>3.3.</w:t>
      </w:r>
      <w:r>
        <w:rPr>
          <w:noProof/>
        </w:rPr>
        <w:tab/>
      </w:r>
      <w:r>
        <w:rPr>
          <w:b/>
          <w:noProof/>
        </w:rPr>
        <w:t xml:space="preserve">Voie(s) et largeur(s) des essieux </w:t>
      </w:r>
    </w:p>
    <w:p>
      <w:pPr>
        <w:spacing w:after="0"/>
        <w:ind w:left="1418" w:hanging="1418"/>
        <w:rPr>
          <w:rFonts w:eastAsia="Arial Unicode MS"/>
          <w:noProof/>
          <w:szCs w:val="24"/>
        </w:rPr>
      </w:pPr>
      <w:r>
        <w:rPr>
          <w:noProof/>
        </w:rPr>
        <w:t>3.3.1.</w:t>
      </w:r>
      <w:r>
        <w:rPr>
          <w:noProof/>
        </w:rPr>
        <w:tab/>
        <w:t>Voie de chaque essieu directeur (</w:t>
      </w:r>
      <w:r>
        <w:rPr>
          <w:noProof/>
          <w:vertAlign w:val="superscript"/>
        </w:rPr>
        <w:t>g4</w:t>
      </w:r>
      <w:r>
        <w:rPr>
          <w:noProof/>
        </w:rPr>
        <w:t>): …</w:t>
      </w:r>
    </w:p>
    <w:p>
      <w:pPr>
        <w:spacing w:after="0"/>
        <w:ind w:left="1418" w:hanging="1418"/>
        <w:rPr>
          <w:rFonts w:eastAsia="Arial Unicode MS"/>
          <w:noProof/>
          <w:szCs w:val="24"/>
        </w:rPr>
      </w:pPr>
      <w:r>
        <w:rPr>
          <w:noProof/>
        </w:rPr>
        <w:t>3.3.2.</w:t>
      </w:r>
      <w:r>
        <w:rPr>
          <w:noProof/>
        </w:rPr>
        <w:tab/>
        <w:t>Voie de tous les autres essieux (</w:t>
      </w:r>
      <w:r>
        <w:rPr>
          <w:noProof/>
          <w:vertAlign w:val="superscript"/>
        </w:rPr>
        <w:t>g4</w:t>
      </w:r>
      <w:r>
        <w:rPr>
          <w:noProof/>
        </w:rPr>
        <w:t>): …</w:t>
      </w:r>
    </w:p>
    <w:p>
      <w:pPr>
        <w:spacing w:after="0"/>
        <w:ind w:left="1418" w:hanging="1418"/>
        <w:rPr>
          <w:rFonts w:eastAsia="Arial Unicode MS"/>
          <w:noProof/>
          <w:szCs w:val="24"/>
        </w:rPr>
      </w:pPr>
      <w:r>
        <w:rPr>
          <w:noProof/>
        </w:rPr>
        <w:t>3.3.3.</w:t>
      </w:r>
      <w:r>
        <w:rPr>
          <w:noProof/>
        </w:rPr>
        <w:tab/>
        <w:t>Largeur de l’essieu arrière le plus large: …</w:t>
      </w:r>
    </w:p>
    <w:p>
      <w:pPr>
        <w:spacing w:after="0"/>
        <w:ind w:left="1418" w:hanging="1418"/>
        <w:rPr>
          <w:rFonts w:eastAsia="Arial Unicode MS"/>
          <w:noProof/>
          <w:szCs w:val="24"/>
        </w:rPr>
      </w:pPr>
      <w:r>
        <w:rPr>
          <w:noProof/>
        </w:rPr>
        <w:t>3.3.4.</w:t>
      </w:r>
      <w:r>
        <w:rPr>
          <w:noProof/>
        </w:rPr>
        <w:tab/>
        <w:t>Largeur de l’essieu le plus en avant (mesurée à la partie la plus extérieure des pneumatiques, sans tenir compte du renflement des pneumatiques au voisinage du sol): …</w:t>
      </w:r>
    </w:p>
    <w:p>
      <w:pPr>
        <w:ind w:left="1418" w:hanging="1418"/>
        <w:jc w:val="left"/>
        <w:rPr>
          <w:rFonts w:eastAsia="Arial Unicode MS"/>
          <w:b/>
          <w:bCs/>
          <w:noProof/>
          <w:szCs w:val="24"/>
        </w:rPr>
      </w:pPr>
      <w:r>
        <w:rPr>
          <w:noProof/>
        </w:rPr>
        <w:t>3.4.</w:t>
      </w:r>
      <w:r>
        <w:rPr>
          <w:noProof/>
        </w:rPr>
        <w:tab/>
      </w:r>
      <w:r>
        <w:rPr>
          <w:b/>
          <w:noProof/>
        </w:rPr>
        <w:t xml:space="preserve">Plage de dimensions du véhicule (hors tout) </w:t>
      </w:r>
    </w:p>
    <w:p>
      <w:pPr>
        <w:spacing w:after="0"/>
        <w:ind w:left="1418" w:hanging="1418"/>
        <w:rPr>
          <w:rFonts w:eastAsia="Arial Unicode MS"/>
          <w:noProof/>
          <w:szCs w:val="24"/>
        </w:rPr>
      </w:pPr>
      <w:r>
        <w:rPr>
          <w:noProof/>
        </w:rPr>
        <w:t>3.4.1.</w:t>
      </w:r>
      <w:r>
        <w:rPr>
          <w:noProof/>
        </w:rPr>
        <w:tab/>
        <w:t>Pour les châssis non carrossés</w:t>
      </w:r>
    </w:p>
    <w:p>
      <w:pPr>
        <w:spacing w:after="0"/>
        <w:ind w:left="1418" w:hanging="1418"/>
        <w:rPr>
          <w:rFonts w:eastAsia="Arial Unicode MS"/>
          <w:noProof/>
          <w:szCs w:val="24"/>
        </w:rPr>
      </w:pPr>
      <w:r>
        <w:rPr>
          <w:noProof/>
        </w:rPr>
        <w:t>3.4.1.1.</w:t>
      </w:r>
      <w:r>
        <w:rPr>
          <w:noProof/>
        </w:rPr>
        <w:tab/>
        <w:t>Longueur (</w:t>
      </w:r>
      <w:r>
        <w:rPr>
          <w:noProof/>
          <w:vertAlign w:val="superscript"/>
        </w:rPr>
        <w:t>g5</w:t>
      </w:r>
      <w:r>
        <w:rPr>
          <w:noProof/>
        </w:rPr>
        <w:t>): …</w:t>
      </w:r>
    </w:p>
    <w:p>
      <w:pPr>
        <w:spacing w:after="0"/>
        <w:ind w:left="1418" w:hanging="1418"/>
        <w:rPr>
          <w:rFonts w:eastAsia="Arial Unicode MS"/>
          <w:noProof/>
          <w:szCs w:val="24"/>
        </w:rPr>
      </w:pPr>
      <w:r>
        <w:rPr>
          <w:noProof/>
        </w:rPr>
        <w:lastRenderedPageBreak/>
        <w:t>3.4.1.1.1.</w:t>
      </w:r>
      <w:r>
        <w:rPr>
          <w:noProof/>
        </w:rPr>
        <w:tab/>
        <w:t>Longueur maximale admissible: …</w:t>
      </w:r>
    </w:p>
    <w:p>
      <w:pPr>
        <w:spacing w:after="0"/>
        <w:ind w:left="1418" w:hanging="1418"/>
        <w:rPr>
          <w:rFonts w:eastAsia="Arial Unicode MS"/>
          <w:noProof/>
          <w:szCs w:val="24"/>
        </w:rPr>
      </w:pPr>
      <w:r>
        <w:rPr>
          <w:noProof/>
        </w:rPr>
        <w:t>3.4.1.1.2.</w:t>
      </w:r>
      <w:r>
        <w:rPr>
          <w:noProof/>
        </w:rPr>
        <w:tab/>
        <w:t>Longueur minimale admissible: …</w:t>
      </w:r>
    </w:p>
    <w:p>
      <w:pPr>
        <w:spacing w:after="0"/>
        <w:ind w:left="1418" w:hanging="1418"/>
        <w:rPr>
          <w:rFonts w:eastAsia="Arial Unicode MS"/>
          <w:noProof/>
          <w:szCs w:val="24"/>
        </w:rPr>
      </w:pPr>
      <w:r>
        <w:rPr>
          <w:noProof/>
        </w:rPr>
        <w:t>3.4.1.1.3.</w:t>
      </w:r>
      <w:r>
        <w:rPr>
          <w:noProof/>
        </w:rPr>
        <w:tab/>
        <w:t>Dans le cas des remorques, longueur maximale admissible du timon (</w:t>
      </w:r>
      <w:r>
        <w:rPr>
          <w:noProof/>
          <w:vertAlign w:val="superscript"/>
        </w:rPr>
        <w:t>g6</w:t>
      </w:r>
      <w:r>
        <w:rPr>
          <w:noProof/>
        </w:rPr>
        <w:t>): …</w:t>
      </w:r>
    </w:p>
    <w:p>
      <w:pPr>
        <w:spacing w:after="0"/>
        <w:ind w:left="1418" w:hanging="1418"/>
        <w:rPr>
          <w:rFonts w:eastAsia="Arial Unicode MS"/>
          <w:noProof/>
          <w:szCs w:val="24"/>
        </w:rPr>
      </w:pPr>
      <w:r>
        <w:rPr>
          <w:noProof/>
        </w:rPr>
        <w:t>3.4.1.2.</w:t>
      </w:r>
      <w:r>
        <w:rPr>
          <w:noProof/>
        </w:rPr>
        <w:tab/>
        <w:t>Largeur (</w:t>
      </w:r>
      <w:r>
        <w:rPr>
          <w:noProof/>
          <w:vertAlign w:val="superscript"/>
        </w:rPr>
        <w:t>g7</w:t>
      </w:r>
      <w:r>
        <w:rPr>
          <w:noProof/>
        </w:rPr>
        <w:t>): …</w:t>
      </w:r>
    </w:p>
    <w:p>
      <w:pPr>
        <w:spacing w:after="0"/>
        <w:ind w:left="1418" w:hanging="1418"/>
        <w:rPr>
          <w:rFonts w:eastAsia="Arial Unicode MS"/>
          <w:noProof/>
          <w:szCs w:val="24"/>
        </w:rPr>
      </w:pPr>
      <w:r>
        <w:rPr>
          <w:noProof/>
        </w:rPr>
        <w:t>3.4.1.2.1.</w:t>
      </w:r>
      <w:r>
        <w:rPr>
          <w:noProof/>
        </w:rPr>
        <w:tab/>
        <w:t>Largeur maximale admissible: …</w:t>
      </w:r>
    </w:p>
    <w:p>
      <w:pPr>
        <w:spacing w:after="0"/>
        <w:ind w:left="1418" w:hanging="1418"/>
        <w:rPr>
          <w:rFonts w:eastAsia="Arial Unicode MS"/>
          <w:noProof/>
          <w:szCs w:val="24"/>
        </w:rPr>
      </w:pPr>
      <w:r>
        <w:rPr>
          <w:noProof/>
        </w:rPr>
        <w:t>3.4.1.2.2.</w:t>
      </w:r>
      <w:r>
        <w:rPr>
          <w:noProof/>
        </w:rPr>
        <w:tab/>
        <w:t>Largeur minimale admissible: …</w:t>
      </w:r>
    </w:p>
    <w:p>
      <w:pPr>
        <w:spacing w:after="0"/>
        <w:ind w:left="1418" w:hanging="1418"/>
        <w:rPr>
          <w:rFonts w:eastAsia="Arial Unicode MS"/>
          <w:noProof/>
          <w:szCs w:val="24"/>
        </w:rPr>
      </w:pPr>
      <w:r>
        <w:rPr>
          <w:noProof/>
        </w:rPr>
        <w:t>3.4.1.3.</w:t>
      </w:r>
      <w:r>
        <w:rPr>
          <w:noProof/>
        </w:rPr>
        <w:tab/>
        <w:t>Hauteur (en ordre de marche) (</w:t>
      </w:r>
      <w:r>
        <w:rPr>
          <w:noProof/>
          <w:vertAlign w:val="superscript"/>
        </w:rPr>
        <w:t>g8</w:t>
      </w:r>
      <w:r>
        <w:rPr>
          <w:noProof/>
        </w:rPr>
        <w:t>) (lorsque la suspension est réglable en hauteur, indiquer la position de marche normale): …</w:t>
      </w:r>
    </w:p>
    <w:p>
      <w:pPr>
        <w:spacing w:after="0"/>
        <w:ind w:left="1418" w:hanging="1418"/>
        <w:rPr>
          <w:rFonts w:eastAsia="Arial Unicode MS"/>
          <w:noProof/>
          <w:szCs w:val="24"/>
        </w:rPr>
      </w:pPr>
      <w:r>
        <w:rPr>
          <w:noProof/>
        </w:rPr>
        <w:t>3.4.1.4.</w:t>
      </w:r>
      <w:r>
        <w:rPr>
          <w:noProof/>
        </w:rPr>
        <w:tab/>
        <w:t>Porte-à-faux avant (</w:t>
      </w:r>
      <w:r>
        <w:rPr>
          <w:noProof/>
          <w:vertAlign w:val="superscript"/>
        </w:rPr>
        <w:t>g9</w:t>
      </w:r>
      <w:r>
        <w:rPr>
          <w:noProof/>
        </w:rPr>
        <w:t>): …</w:t>
      </w:r>
    </w:p>
    <w:p>
      <w:pPr>
        <w:spacing w:after="0"/>
        <w:ind w:left="1418" w:hanging="1418"/>
        <w:rPr>
          <w:rFonts w:eastAsia="Arial Unicode MS"/>
          <w:noProof/>
          <w:szCs w:val="24"/>
        </w:rPr>
      </w:pPr>
      <w:r>
        <w:rPr>
          <w:noProof/>
        </w:rPr>
        <w:t>3.4.1.4.1.</w:t>
      </w:r>
      <w:r>
        <w:rPr>
          <w:noProof/>
        </w:rPr>
        <w:tab/>
        <w:t>Angle d’attaque (</w:t>
      </w:r>
      <w:r>
        <w:rPr>
          <w:noProof/>
          <w:vertAlign w:val="superscript"/>
        </w:rPr>
        <w:t>g10</w:t>
      </w:r>
      <w:r>
        <w:rPr>
          <w:noProof/>
        </w:rPr>
        <w:t>): … degrés</w:t>
      </w:r>
    </w:p>
    <w:p>
      <w:pPr>
        <w:spacing w:after="0"/>
        <w:ind w:left="1418" w:hanging="1418"/>
        <w:rPr>
          <w:rFonts w:eastAsia="Arial Unicode MS"/>
          <w:noProof/>
          <w:szCs w:val="24"/>
        </w:rPr>
      </w:pPr>
      <w:r>
        <w:rPr>
          <w:noProof/>
        </w:rPr>
        <w:t>3.4.1.5.</w:t>
      </w:r>
      <w:r>
        <w:rPr>
          <w:noProof/>
        </w:rPr>
        <w:tab/>
        <w:t>Porte-à-faux arrière (</w:t>
      </w:r>
      <w:r>
        <w:rPr>
          <w:noProof/>
          <w:vertAlign w:val="superscript"/>
        </w:rPr>
        <w:t>g11</w:t>
      </w:r>
      <w:r>
        <w:rPr>
          <w:noProof/>
        </w:rPr>
        <w:t>): …</w:t>
      </w:r>
    </w:p>
    <w:p>
      <w:pPr>
        <w:spacing w:after="0"/>
        <w:ind w:left="1418" w:hanging="1418"/>
        <w:rPr>
          <w:rFonts w:eastAsia="Arial Unicode MS"/>
          <w:noProof/>
          <w:szCs w:val="24"/>
        </w:rPr>
      </w:pPr>
      <w:r>
        <w:rPr>
          <w:noProof/>
        </w:rPr>
        <w:t>3.4.1.5.1.</w:t>
      </w:r>
      <w:r>
        <w:rPr>
          <w:noProof/>
        </w:rPr>
        <w:tab/>
        <w:t>Angle de fuite (</w:t>
      </w:r>
      <w:r>
        <w:rPr>
          <w:noProof/>
          <w:vertAlign w:val="superscript"/>
        </w:rPr>
        <w:t>g12</w:t>
      </w:r>
      <w:r>
        <w:rPr>
          <w:noProof/>
        </w:rPr>
        <w:t>): … degrés</w:t>
      </w:r>
    </w:p>
    <w:p>
      <w:pPr>
        <w:spacing w:after="0"/>
        <w:ind w:left="1418" w:hanging="1418"/>
        <w:rPr>
          <w:rFonts w:eastAsia="Arial Unicode MS"/>
          <w:noProof/>
          <w:szCs w:val="24"/>
        </w:rPr>
      </w:pPr>
      <w:r>
        <w:rPr>
          <w:noProof/>
        </w:rPr>
        <w:t>3.4.1.5.2.</w:t>
      </w:r>
      <w:r>
        <w:rPr>
          <w:noProof/>
        </w:rPr>
        <w:tab/>
        <w:t>Porte-à-faux minimal et maximal admissibles du point d’attelage (</w:t>
      </w:r>
      <w:r>
        <w:rPr>
          <w:noProof/>
          <w:vertAlign w:val="superscript"/>
        </w:rPr>
        <w:t>g13</w:t>
      </w:r>
      <w:r>
        <w:rPr>
          <w:noProof/>
        </w:rPr>
        <w:t>): …</w:t>
      </w:r>
    </w:p>
    <w:p>
      <w:pPr>
        <w:spacing w:after="0"/>
        <w:ind w:left="1418" w:hanging="1418"/>
        <w:rPr>
          <w:rFonts w:eastAsia="Arial Unicode MS"/>
          <w:noProof/>
          <w:szCs w:val="24"/>
        </w:rPr>
      </w:pPr>
      <w:r>
        <w:rPr>
          <w:noProof/>
        </w:rPr>
        <w:t>3.4.1.6.</w:t>
      </w:r>
      <w:r>
        <w:rPr>
          <w:noProof/>
        </w:rPr>
        <w:tab/>
        <w:t xml:space="preserve">Garde au sol (mesurée conformément à la section 3 de l’appendice 1 de l’annexe II) </w:t>
      </w:r>
    </w:p>
    <w:p>
      <w:pPr>
        <w:spacing w:after="0"/>
        <w:ind w:left="1418" w:hanging="1418"/>
        <w:rPr>
          <w:rFonts w:eastAsia="Arial Unicode MS"/>
          <w:noProof/>
          <w:szCs w:val="24"/>
        </w:rPr>
      </w:pPr>
      <w:r>
        <w:rPr>
          <w:noProof/>
        </w:rPr>
        <w:t>3.4.1.6.1.</w:t>
      </w:r>
      <w:r>
        <w:rPr>
          <w:noProof/>
        </w:rPr>
        <w:tab/>
        <w:t>Entre les essieux: …</w:t>
      </w:r>
    </w:p>
    <w:p>
      <w:pPr>
        <w:spacing w:after="0"/>
        <w:ind w:left="1418" w:hanging="1418"/>
        <w:rPr>
          <w:rFonts w:eastAsia="Arial Unicode MS"/>
          <w:noProof/>
          <w:szCs w:val="24"/>
        </w:rPr>
      </w:pPr>
      <w:r>
        <w:rPr>
          <w:noProof/>
        </w:rPr>
        <w:t>3.4.1.6.2.</w:t>
      </w:r>
      <w:r>
        <w:rPr>
          <w:noProof/>
        </w:rPr>
        <w:tab/>
        <w:t>Sous le ou les essieux avant: …</w:t>
      </w:r>
    </w:p>
    <w:p>
      <w:pPr>
        <w:spacing w:after="0"/>
        <w:ind w:left="1418" w:hanging="1418"/>
        <w:rPr>
          <w:rFonts w:eastAsia="Arial Unicode MS"/>
          <w:noProof/>
          <w:szCs w:val="24"/>
        </w:rPr>
      </w:pPr>
      <w:r>
        <w:rPr>
          <w:noProof/>
        </w:rPr>
        <w:t>3.4.1.6.3.</w:t>
      </w:r>
      <w:r>
        <w:rPr>
          <w:noProof/>
        </w:rPr>
        <w:tab/>
        <w:t>Sous le ou les essieux arrière: …</w:t>
      </w:r>
    </w:p>
    <w:p>
      <w:pPr>
        <w:spacing w:after="0"/>
        <w:ind w:left="1418" w:hanging="1418"/>
        <w:rPr>
          <w:rFonts w:eastAsia="Arial Unicode MS"/>
          <w:noProof/>
          <w:szCs w:val="24"/>
        </w:rPr>
      </w:pPr>
      <w:r>
        <w:rPr>
          <w:noProof/>
        </w:rPr>
        <w:t>3.4.1.7.</w:t>
      </w:r>
      <w:r>
        <w:rPr>
          <w:noProof/>
        </w:rPr>
        <w:tab/>
        <w:t>Angle de rampe (</w:t>
      </w:r>
      <w:r>
        <w:rPr>
          <w:noProof/>
          <w:vertAlign w:val="superscript"/>
        </w:rPr>
        <w:t>g14</w:t>
      </w:r>
      <w:r>
        <w:rPr>
          <w:noProof/>
        </w:rPr>
        <w:t>): … degrés</w:t>
      </w:r>
    </w:p>
    <w:p>
      <w:pPr>
        <w:spacing w:after="0"/>
        <w:ind w:left="1418" w:hanging="1418"/>
        <w:rPr>
          <w:rFonts w:eastAsia="Arial Unicode MS"/>
          <w:noProof/>
          <w:szCs w:val="24"/>
        </w:rPr>
      </w:pPr>
      <w:r>
        <w:rPr>
          <w:noProof/>
        </w:rPr>
        <w:t>3.4.1.8.</w:t>
      </w:r>
      <w:r>
        <w:rPr>
          <w:noProof/>
        </w:rPr>
        <w:tab/>
        <w:t>Positions extrêmes admissibles du centre de gravité de la carrosserie et/ou des aménagements intérieurs et/ou des équipements et/ou de la charge utile: …</w:t>
      </w:r>
    </w:p>
    <w:p>
      <w:pPr>
        <w:spacing w:after="0"/>
        <w:ind w:left="1418" w:hanging="1418"/>
        <w:rPr>
          <w:rFonts w:eastAsia="Arial Unicode MS"/>
          <w:noProof/>
          <w:szCs w:val="24"/>
        </w:rPr>
      </w:pPr>
      <w:r>
        <w:rPr>
          <w:noProof/>
        </w:rPr>
        <w:t>3.4.2.</w:t>
      </w:r>
      <w:r>
        <w:rPr>
          <w:noProof/>
        </w:rPr>
        <w:tab/>
        <w:t>Pour les châssis carrossés</w:t>
      </w:r>
    </w:p>
    <w:p>
      <w:pPr>
        <w:spacing w:after="0"/>
        <w:ind w:left="1418" w:hanging="1418"/>
        <w:rPr>
          <w:rFonts w:eastAsia="Arial Unicode MS"/>
          <w:noProof/>
          <w:szCs w:val="24"/>
        </w:rPr>
      </w:pPr>
      <w:r>
        <w:rPr>
          <w:noProof/>
        </w:rPr>
        <w:t>3.4.2.1.</w:t>
      </w:r>
      <w:r>
        <w:rPr>
          <w:noProof/>
        </w:rPr>
        <w:tab/>
        <w:t>Longueur (</w:t>
      </w:r>
      <w:r>
        <w:rPr>
          <w:noProof/>
          <w:vertAlign w:val="superscript"/>
        </w:rPr>
        <w:t>g5</w:t>
      </w:r>
      <w:r>
        <w:rPr>
          <w:noProof/>
        </w:rPr>
        <w:t>): …</w:t>
      </w:r>
    </w:p>
    <w:p>
      <w:pPr>
        <w:spacing w:after="0"/>
        <w:ind w:left="1418" w:hanging="1418"/>
        <w:rPr>
          <w:rFonts w:eastAsia="Arial Unicode MS"/>
          <w:noProof/>
          <w:szCs w:val="24"/>
        </w:rPr>
      </w:pPr>
      <w:r>
        <w:rPr>
          <w:noProof/>
        </w:rPr>
        <w:t>3.4.2.1.1.</w:t>
      </w:r>
      <w:r>
        <w:rPr>
          <w:noProof/>
        </w:rPr>
        <w:tab/>
        <w:t>Longueur de la zone de chargement: …</w:t>
      </w:r>
    </w:p>
    <w:p>
      <w:pPr>
        <w:spacing w:after="0"/>
        <w:ind w:left="1418" w:hanging="1418"/>
        <w:rPr>
          <w:rFonts w:eastAsia="Arial Unicode MS"/>
          <w:noProof/>
          <w:szCs w:val="24"/>
        </w:rPr>
      </w:pPr>
      <w:r>
        <w:rPr>
          <w:noProof/>
        </w:rPr>
        <w:t>3.4.2.1.2.</w:t>
      </w:r>
      <w:r>
        <w:rPr>
          <w:noProof/>
        </w:rPr>
        <w:tab/>
        <w:t>Dans le cas des remorques, longueur maximale admissible du timon (</w:t>
      </w:r>
      <w:r>
        <w:rPr>
          <w:noProof/>
          <w:vertAlign w:val="superscript"/>
        </w:rPr>
        <w:t>g6</w:t>
      </w:r>
      <w:r>
        <w:rPr>
          <w:noProof/>
        </w:rPr>
        <w:t>): …</w:t>
      </w:r>
    </w:p>
    <w:p>
      <w:pPr>
        <w:spacing w:after="0"/>
        <w:ind w:left="1418" w:hanging="1418"/>
        <w:rPr>
          <w:rFonts w:eastAsia="Arial Unicode MS"/>
          <w:noProof/>
          <w:szCs w:val="24"/>
        </w:rPr>
      </w:pPr>
      <w:r>
        <w:rPr>
          <w:noProof/>
        </w:rPr>
        <w:t>3.4.2.2.</w:t>
      </w:r>
      <w:r>
        <w:rPr>
          <w:noProof/>
        </w:rPr>
        <w:tab/>
        <w:t>Largeur (</w:t>
      </w:r>
      <w:r>
        <w:rPr>
          <w:noProof/>
          <w:vertAlign w:val="superscript"/>
        </w:rPr>
        <w:t>g7</w:t>
      </w:r>
      <w:r>
        <w:rPr>
          <w:noProof/>
        </w:rPr>
        <w:t>): …</w:t>
      </w:r>
    </w:p>
    <w:p>
      <w:pPr>
        <w:spacing w:after="0"/>
        <w:ind w:left="1418" w:hanging="1418"/>
        <w:rPr>
          <w:rFonts w:eastAsia="Arial Unicode MS"/>
          <w:noProof/>
          <w:szCs w:val="24"/>
        </w:rPr>
      </w:pPr>
      <w:r>
        <w:rPr>
          <w:noProof/>
        </w:rPr>
        <w:t>3.4.2.2.1.</w:t>
      </w:r>
      <w:r>
        <w:rPr>
          <w:noProof/>
        </w:rPr>
        <w:tab/>
        <w:t>Épaisseur des parois (dans le cas d’un véhicule prévu pour le transport de marchandises sous température contrôlée): …</w:t>
      </w:r>
    </w:p>
    <w:p>
      <w:pPr>
        <w:spacing w:after="0"/>
        <w:ind w:left="1418" w:hanging="1418"/>
        <w:rPr>
          <w:rFonts w:eastAsia="Arial Unicode MS"/>
          <w:noProof/>
          <w:szCs w:val="24"/>
        </w:rPr>
      </w:pPr>
      <w:r>
        <w:rPr>
          <w:noProof/>
        </w:rPr>
        <w:t>3.4.2.3.</w:t>
      </w:r>
      <w:r>
        <w:rPr>
          <w:noProof/>
        </w:rPr>
        <w:tab/>
        <w:t>Hauteur (en ordre de marche) (</w:t>
      </w:r>
      <w:r>
        <w:rPr>
          <w:noProof/>
          <w:vertAlign w:val="superscript"/>
        </w:rPr>
        <w:t>g8</w:t>
      </w:r>
      <w:r>
        <w:rPr>
          <w:noProof/>
        </w:rPr>
        <w:t>) (lorsque la suspension est réglable en hauteur, indiquer la position de marche normale): …</w:t>
      </w:r>
    </w:p>
    <w:p>
      <w:pPr>
        <w:spacing w:after="0"/>
        <w:ind w:left="1418" w:hanging="1418"/>
        <w:rPr>
          <w:rFonts w:eastAsia="Arial Unicode MS"/>
          <w:noProof/>
          <w:szCs w:val="24"/>
        </w:rPr>
      </w:pPr>
      <w:r>
        <w:rPr>
          <w:noProof/>
        </w:rPr>
        <w:t>3.4.2.4.</w:t>
      </w:r>
      <w:r>
        <w:rPr>
          <w:noProof/>
        </w:rPr>
        <w:tab/>
        <w:t>Porte-à-faux avant (</w:t>
      </w:r>
      <w:r>
        <w:rPr>
          <w:noProof/>
          <w:vertAlign w:val="superscript"/>
        </w:rPr>
        <w:t>g9</w:t>
      </w:r>
      <w:r>
        <w:rPr>
          <w:noProof/>
        </w:rPr>
        <w:t>): …</w:t>
      </w:r>
    </w:p>
    <w:p>
      <w:pPr>
        <w:spacing w:after="0"/>
        <w:ind w:left="1418" w:hanging="1418"/>
        <w:rPr>
          <w:rFonts w:eastAsia="Arial Unicode MS"/>
          <w:noProof/>
          <w:szCs w:val="24"/>
        </w:rPr>
      </w:pPr>
      <w:r>
        <w:rPr>
          <w:noProof/>
        </w:rPr>
        <w:t>3.4.2.4.1.</w:t>
      </w:r>
      <w:r>
        <w:rPr>
          <w:noProof/>
        </w:rPr>
        <w:tab/>
        <w:t>Angle d’attaque (</w:t>
      </w:r>
      <w:r>
        <w:rPr>
          <w:noProof/>
          <w:vertAlign w:val="superscript"/>
        </w:rPr>
        <w:t>g10</w:t>
      </w:r>
      <w:r>
        <w:rPr>
          <w:noProof/>
        </w:rPr>
        <w:t>): … degrés</w:t>
      </w:r>
    </w:p>
    <w:p>
      <w:pPr>
        <w:spacing w:after="0"/>
        <w:ind w:left="1418" w:hanging="1418"/>
        <w:rPr>
          <w:rFonts w:eastAsia="Arial Unicode MS"/>
          <w:noProof/>
          <w:szCs w:val="24"/>
        </w:rPr>
      </w:pPr>
      <w:r>
        <w:rPr>
          <w:noProof/>
        </w:rPr>
        <w:t>3.4.2.5.</w:t>
      </w:r>
      <w:r>
        <w:rPr>
          <w:noProof/>
        </w:rPr>
        <w:tab/>
        <w:t>Porte-à-faux arrière (</w:t>
      </w:r>
      <w:r>
        <w:rPr>
          <w:noProof/>
          <w:vertAlign w:val="superscript"/>
        </w:rPr>
        <w:t>g11</w:t>
      </w:r>
      <w:r>
        <w:rPr>
          <w:noProof/>
        </w:rPr>
        <w:t>): …</w:t>
      </w:r>
    </w:p>
    <w:p>
      <w:pPr>
        <w:spacing w:after="0"/>
        <w:ind w:left="1418" w:hanging="1418"/>
        <w:rPr>
          <w:rFonts w:eastAsia="Arial Unicode MS"/>
          <w:noProof/>
          <w:szCs w:val="24"/>
        </w:rPr>
      </w:pPr>
      <w:r>
        <w:rPr>
          <w:noProof/>
        </w:rPr>
        <w:t>3.4.2.5.1.</w:t>
      </w:r>
      <w:r>
        <w:rPr>
          <w:noProof/>
        </w:rPr>
        <w:tab/>
        <w:t>Angle de fuite (</w:t>
      </w:r>
      <w:r>
        <w:rPr>
          <w:noProof/>
          <w:vertAlign w:val="superscript"/>
        </w:rPr>
        <w:t>g12</w:t>
      </w:r>
      <w:r>
        <w:rPr>
          <w:noProof/>
        </w:rPr>
        <w:t>): … degrés</w:t>
      </w:r>
    </w:p>
    <w:p>
      <w:pPr>
        <w:spacing w:after="0"/>
        <w:ind w:left="1418" w:hanging="1418"/>
        <w:rPr>
          <w:rFonts w:eastAsia="Arial Unicode MS"/>
          <w:noProof/>
          <w:szCs w:val="24"/>
        </w:rPr>
      </w:pPr>
      <w:r>
        <w:rPr>
          <w:noProof/>
        </w:rPr>
        <w:t>3.4.2.5.2.</w:t>
      </w:r>
      <w:r>
        <w:rPr>
          <w:noProof/>
        </w:rPr>
        <w:tab/>
        <w:t>Porte-à-faux minimal et maximal admissibles du point d’attelage (</w:t>
      </w:r>
      <w:r>
        <w:rPr>
          <w:noProof/>
          <w:vertAlign w:val="superscript"/>
        </w:rPr>
        <w:t>g13</w:t>
      </w:r>
      <w:r>
        <w:rPr>
          <w:noProof/>
        </w:rPr>
        <w:t>): …</w:t>
      </w:r>
    </w:p>
    <w:p>
      <w:pPr>
        <w:spacing w:after="0"/>
        <w:ind w:left="1418" w:hanging="1418"/>
        <w:rPr>
          <w:rFonts w:eastAsia="Arial Unicode MS"/>
          <w:noProof/>
          <w:szCs w:val="24"/>
        </w:rPr>
      </w:pPr>
      <w:r>
        <w:rPr>
          <w:noProof/>
        </w:rPr>
        <w:lastRenderedPageBreak/>
        <w:t>3.4.2.6.</w:t>
      </w:r>
      <w:r>
        <w:rPr>
          <w:noProof/>
        </w:rPr>
        <w:tab/>
        <w:t xml:space="preserve">Garde au sol (mesurée conformément à la section 3 de l’appendice 1 de l’annexe II) </w:t>
      </w:r>
    </w:p>
    <w:p>
      <w:pPr>
        <w:spacing w:after="0"/>
        <w:ind w:left="1418" w:hanging="1418"/>
        <w:rPr>
          <w:rFonts w:eastAsia="Arial Unicode MS"/>
          <w:noProof/>
          <w:szCs w:val="24"/>
        </w:rPr>
      </w:pPr>
      <w:r>
        <w:rPr>
          <w:noProof/>
        </w:rPr>
        <w:t>3.4.2.6.1.</w:t>
      </w:r>
      <w:r>
        <w:rPr>
          <w:noProof/>
        </w:rPr>
        <w:tab/>
        <w:t>Entre les essieux: …</w:t>
      </w:r>
    </w:p>
    <w:p>
      <w:pPr>
        <w:spacing w:after="0"/>
        <w:ind w:left="1418" w:hanging="1418"/>
        <w:rPr>
          <w:rFonts w:eastAsia="Arial Unicode MS"/>
          <w:noProof/>
          <w:szCs w:val="24"/>
        </w:rPr>
      </w:pPr>
      <w:r>
        <w:rPr>
          <w:noProof/>
        </w:rPr>
        <w:t>3.4.2.6.2.</w:t>
      </w:r>
      <w:r>
        <w:rPr>
          <w:noProof/>
        </w:rPr>
        <w:tab/>
        <w:t>Sous le ou les essieux avant: …</w:t>
      </w:r>
    </w:p>
    <w:p>
      <w:pPr>
        <w:spacing w:after="0"/>
        <w:ind w:left="1418" w:hanging="1418"/>
        <w:rPr>
          <w:rFonts w:eastAsia="Arial Unicode MS"/>
          <w:noProof/>
          <w:szCs w:val="24"/>
        </w:rPr>
      </w:pPr>
      <w:r>
        <w:rPr>
          <w:noProof/>
        </w:rPr>
        <w:t>3.4.2.6.3.</w:t>
      </w:r>
      <w:r>
        <w:rPr>
          <w:noProof/>
        </w:rPr>
        <w:tab/>
        <w:t>Sous le ou les essieux arrière: …</w:t>
      </w:r>
    </w:p>
    <w:p>
      <w:pPr>
        <w:spacing w:after="0"/>
        <w:ind w:left="1418" w:hanging="1418"/>
        <w:rPr>
          <w:rFonts w:eastAsia="Arial Unicode MS"/>
          <w:noProof/>
          <w:szCs w:val="24"/>
        </w:rPr>
      </w:pPr>
      <w:r>
        <w:rPr>
          <w:noProof/>
        </w:rPr>
        <w:t>3.4.2.7.</w:t>
      </w:r>
      <w:r>
        <w:rPr>
          <w:noProof/>
        </w:rPr>
        <w:tab/>
        <w:t>Angle de rampe (</w:t>
      </w:r>
      <w:r>
        <w:rPr>
          <w:noProof/>
          <w:vertAlign w:val="superscript"/>
        </w:rPr>
        <w:t>g14</w:t>
      </w:r>
      <w:r>
        <w:rPr>
          <w:noProof/>
        </w:rPr>
        <w:t>): … degrés</w:t>
      </w:r>
    </w:p>
    <w:p>
      <w:pPr>
        <w:spacing w:after="0"/>
        <w:ind w:left="1418" w:hanging="1418"/>
        <w:rPr>
          <w:rFonts w:eastAsia="Arial Unicode MS"/>
          <w:noProof/>
          <w:szCs w:val="24"/>
        </w:rPr>
      </w:pPr>
      <w:r>
        <w:rPr>
          <w:noProof/>
        </w:rPr>
        <w:t>3.4.2.8.</w:t>
      </w:r>
      <w:r>
        <w:rPr>
          <w:noProof/>
        </w:rPr>
        <w:tab/>
        <w:t>Positions extrêmes admissibles du centre de gravité de la charge utile (en cas de charge non uniforme): …</w:t>
      </w:r>
    </w:p>
    <w:p>
      <w:pPr>
        <w:spacing w:after="0"/>
        <w:ind w:left="1418" w:hanging="1418"/>
        <w:rPr>
          <w:rFonts w:eastAsia="Arial Unicode MS"/>
          <w:noProof/>
          <w:szCs w:val="24"/>
        </w:rPr>
      </w:pPr>
      <w:r>
        <w:rPr>
          <w:noProof/>
        </w:rPr>
        <w:t>3.4.2.9.</w:t>
      </w:r>
      <w:r>
        <w:rPr>
          <w:noProof/>
        </w:rPr>
        <w:tab/>
        <w:t>Position du centre de gravité du véhicule (M</w:t>
      </w:r>
      <w:r>
        <w:rPr>
          <w:noProof/>
          <w:vertAlign w:val="subscript"/>
        </w:rPr>
        <w:t>2</w:t>
      </w:r>
      <w:r>
        <w:rPr>
          <w:noProof/>
        </w:rPr>
        <w:t xml:space="preserve"> et M</w:t>
      </w:r>
      <w:r>
        <w:rPr>
          <w:noProof/>
          <w:vertAlign w:val="subscript"/>
        </w:rPr>
        <w:t>3</w:t>
      </w:r>
      <w:r>
        <w:rPr>
          <w:noProof/>
        </w:rPr>
        <w:t>) à sa masse en charge maximale techniquement admissible dans les directions longitudinale, transversale et verticale: …</w:t>
      </w:r>
    </w:p>
    <w:p>
      <w:pPr>
        <w:spacing w:after="0"/>
        <w:ind w:left="1418" w:hanging="1418"/>
        <w:rPr>
          <w:rFonts w:eastAsia="Arial Unicode MS"/>
          <w:noProof/>
          <w:szCs w:val="24"/>
        </w:rPr>
      </w:pPr>
      <w:r>
        <w:rPr>
          <w:noProof/>
        </w:rPr>
        <w:t>3.4.3.</w:t>
      </w:r>
      <w:r>
        <w:rPr>
          <w:noProof/>
        </w:rPr>
        <w:tab/>
        <w:t>Pour les carrosseries réceptionnées sans châssis (véhicules M</w:t>
      </w:r>
      <w:r>
        <w:rPr>
          <w:noProof/>
          <w:vertAlign w:val="subscript"/>
        </w:rPr>
        <w:t>2</w:t>
      </w:r>
      <w:r>
        <w:rPr>
          <w:noProof/>
        </w:rPr>
        <w:t xml:space="preserve"> et M</w:t>
      </w:r>
      <w:r>
        <w:rPr>
          <w:noProof/>
          <w:vertAlign w:val="subscript"/>
        </w:rPr>
        <w:t>3</w:t>
      </w:r>
      <w:r>
        <w:rPr>
          <w:noProof/>
        </w:rPr>
        <w:t>)</w:t>
      </w:r>
    </w:p>
    <w:p>
      <w:pPr>
        <w:spacing w:after="0"/>
        <w:ind w:left="1418" w:hanging="1418"/>
        <w:rPr>
          <w:rFonts w:eastAsia="Arial Unicode MS"/>
          <w:noProof/>
          <w:szCs w:val="24"/>
        </w:rPr>
      </w:pPr>
      <w:r>
        <w:rPr>
          <w:noProof/>
        </w:rPr>
        <w:t>3.4.3.1.</w:t>
      </w:r>
      <w:r>
        <w:rPr>
          <w:noProof/>
        </w:rPr>
        <w:tab/>
        <w:t>Longueur (</w:t>
      </w:r>
      <w:r>
        <w:rPr>
          <w:noProof/>
          <w:vertAlign w:val="superscript"/>
        </w:rPr>
        <w:t>g5</w:t>
      </w:r>
      <w:r>
        <w:rPr>
          <w:noProof/>
        </w:rPr>
        <w:t>): …</w:t>
      </w:r>
    </w:p>
    <w:p>
      <w:pPr>
        <w:spacing w:after="0"/>
        <w:ind w:left="1418" w:hanging="1418"/>
        <w:rPr>
          <w:rFonts w:eastAsia="Arial Unicode MS"/>
          <w:noProof/>
          <w:szCs w:val="24"/>
        </w:rPr>
      </w:pPr>
      <w:r>
        <w:rPr>
          <w:noProof/>
        </w:rPr>
        <w:t>3.4.3.2.</w:t>
      </w:r>
      <w:r>
        <w:rPr>
          <w:noProof/>
        </w:rPr>
        <w:tab/>
        <w:t>Largeur (</w:t>
      </w:r>
      <w:r>
        <w:rPr>
          <w:noProof/>
          <w:vertAlign w:val="superscript"/>
        </w:rPr>
        <w:t>g7</w:t>
      </w:r>
      <w:r>
        <w:rPr>
          <w:noProof/>
        </w:rPr>
        <w:t>): …</w:t>
      </w:r>
    </w:p>
    <w:p>
      <w:pPr>
        <w:spacing w:after="0"/>
        <w:ind w:left="1418" w:hanging="1418"/>
        <w:rPr>
          <w:rFonts w:eastAsia="Arial Unicode MS"/>
          <w:noProof/>
          <w:szCs w:val="24"/>
        </w:rPr>
      </w:pPr>
      <w:r>
        <w:rPr>
          <w:noProof/>
        </w:rPr>
        <w:t>3.4.3.3.</w:t>
      </w:r>
      <w:r>
        <w:rPr>
          <w:noProof/>
        </w:rPr>
        <w:tab/>
        <w:t>Hauteur nominale (en ordre de marche) (</w:t>
      </w:r>
      <w:r>
        <w:rPr>
          <w:noProof/>
          <w:vertAlign w:val="superscript"/>
        </w:rPr>
        <w:t>g8</w:t>
      </w:r>
      <w:r>
        <w:rPr>
          <w:noProof/>
        </w:rPr>
        <w:t>) sur le(s) type(s) de châssis prévu(s) (lorsque la suspension est réglable en hauteur, indiquer la position de marche normale): …</w:t>
      </w:r>
    </w:p>
    <w:p>
      <w:pPr>
        <w:ind w:left="1418" w:hanging="1418"/>
        <w:jc w:val="left"/>
        <w:rPr>
          <w:rFonts w:eastAsia="Arial Unicode MS"/>
          <w:noProof/>
          <w:szCs w:val="24"/>
        </w:rPr>
      </w:pPr>
      <w:r>
        <w:rPr>
          <w:noProof/>
        </w:rPr>
        <w:t>3.5.</w:t>
      </w:r>
      <w:r>
        <w:rPr>
          <w:noProof/>
        </w:rPr>
        <w:tab/>
      </w:r>
      <w:r>
        <w:rPr>
          <w:b/>
          <w:noProof/>
        </w:rPr>
        <w:t>Masse minimale sur le ou les essieux directeurs pour les véhicules incomplets:</w:t>
      </w:r>
      <w:r>
        <w:rPr>
          <w:noProof/>
        </w:rPr>
        <w:t xml:space="preserve"> …</w:t>
      </w:r>
    </w:p>
    <w:p>
      <w:pPr>
        <w:spacing w:before="240"/>
        <w:ind w:left="1418" w:hanging="1418"/>
        <w:jc w:val="left"/>
        <w:rPr>
          <w:rFonts w:eastAsia="Arial Unicode MS"/>
          <w:noProof/>
          <w:szCs w:val="24"/>
        </w:rPr>
      </w:pPr>
      <w:r>
        <w:rPr>
          <w:noProof/>
        </w:rPr>
        <w:t>3.6.</w:t>
      </w:r>
      <w:r>
        <w:rPr>
          <w:noProof/>
        </w:rPr>
        <w:tab/>
      </w:r>
      <w:r>
        <w:rPr>
          <w:b/>
          <w:noProof/>
        </w:rPr>
        <w:t>Masse en ordre de marche</w:t>
      </w:r>
      <w:r>
        <w:rPr>
          <w:noProof/>
        </w:rPr>
        <w:t xml:space="preserve"> (</w:t>
      </w:r>
      <w:r>
        <w:rPr>
          <w:noProof/>
          <w:vertAlign w:val="superscript"/>
        </w:rPr>
        <w:t>h</w:t>
      </w:r>
      <w:r>
        <w:rPr>
          <w:noProof/>
        </w:rPr>
        <w:t xml:space="preserve">) </w:t>
      </w:r>
    </w:p>
    <w:p>
      <w:pPr>
        <w:ind w:left="1985" w:hanging="567"/>
        <w:jc w:val="left"/>
        <w:rPr>
          <w:rFonts w:eastAsia="Arial Unicode MS"/>
          <w:noProof/>
          <w:szCs w:val="24"/>
        </w:rPr>
      </w:pPr>
      <w:r>
        <w:rPr>
          <w:noProof/>
        </w:rPr>
        <w:t>a)</w:t>
      </w:r>
      <w:r>
        <w:rPr>
          <w:noProof/>
        </w:rPr>
        <w:tab/>
        <w:t>minimum et maximum pour chaque variante: …</w:t>
      </w:r>
    </w:p>
    <w:p>
      <w:pPr>
        <w:ind w:left="1985" w:hanging="567"/>
        <w:jc w:val="left"/>
        <w:rPr>
          <w:rFonts w:eastAsia="Arial Unicode MS"/>
          <w:noProof/>
          <w:szCs w:val="24"/>
        </w:rPr>
      </w:pPr>
      <w:r>
        <w:rPr>
          <w:noProof/>
        </w:rPr>
        <w:t>b)</w:t>
      </w:r>
      <w:r>
        <w:rPr>
          <w:noProof/>
        </w:rPr>
        <w:tab/>
        <w:t>masse de chaque version (une matrice doit être fournie): …</w:t>
      </w:r>
    </w:p>
    <w:p>
      <w:pPr>
        <w:ind w:left="1418" w:hanging="1418"/>
        <w:rPr>
          <w:rFonts w:eastAsia="Arial Unicode MS"/>
          <w:noProof/>
          <w:szCs w:val="24"/>
        </w:rPr>
      </w:pPr>
      <w:r>
        <w:rPr>
          <w:noProof/>
        </w:rPr>
        <w:t>3.6.1.</w:t>
      </w:r>
      <w:r>
        <w:rPr>
          <w:noProof/>
        </w:rPr>
        <w:tab/>
        <w:t>Répartition de cette masse entre les essieux et, dans le cas d’une semi-remorque, d’une remorque à essieu central ou d’une remorque à timon rigide, la masse au point d’attelage: …</w:t>
      </w:r>
    </w:p>
    <w:p>
      <w:pPr>
        <w:ind w:left="1985" w:hanging="567"/>
        <w:jc w:val="left"/>
        <w:rPr>
          <w:rFonts w:eastAsia="Arial Unicode MS"/>
          <w:noProof/>
          <w:szCs w:val="24"/>
        </w:rPr>
      </w:pPr>
      <w:r>
        <w:rPr>
          <w:noProof/>
        </w:rPr>
        <w:t>a)</w:t>
      </w:r>
      <w:r>
        <w:rPr>
          <w:noProof/>
        </w:rPr>
        <w:tab/>
        <w:t>minimum et maximum pour chaque variante: …</w:t>
      </w:r>
    </w:p>
    <w:p>
      <w:pPr>
        <w:ind w:left="1985" w:hanging="567"/>
        <w:jc w:val="left"/>
        <w:rPr>
          <w:rFonts w:eastAsia="Arial Unicode MS"/>
          <w:noProof/>
          <w:szCs w:val="24"/>
        </w:rPr>
      </w:pPr>
      <w:r>
        <w:rPr>
          <w:noProof/>
        </w:rPr>
        <w:t>b)</w:t>
      </w:r>
      <w:r>
        <w:rPr>
          <w:noProof/>
        </w:rPr>
        <w:tab/>
        <w:t>masse de chaque version (une matrice doit être fournie): …</w:t>
      </w:r>
    </w:p>
    <w:p>
      <w:pPr>
        <w:ind w:left="1418" w:hanging="1418"/>
        <w:rPr>
          <w:rFonts w:eastAsia="Arial Unicode MS"/>
          <w:noProof/>
          <w:szCs w:val="24"/>
        </w:rPr>
      </w:pPr>
      <w:r>
        <w:rPr>
          <w:noProof/>
        </w:rPr>
        <w:t>3.6.2.</w:t>
      </w:r>
      <w:r>
        <w:rPr>
          <w:noProof/>
        </w:rPr>
        <w:tab/>
        <w:t>Masse des équipements en option [voir la définition donnée à l’article 2, points 4 et 5, du règlement (UE) n</w:t>
      </w:r>
      <w:r>
        <w:rPr>
          <w:noProof/>
          <w:vertAlign w:val="superscript"/>
        </w:rPr>
        <w:t>o</w:t>
      </w:r>
      <w:r>
        <w:rPr>
          <w:noProof/>
        </w:rPr>
        <w:t> 1230/2012]: …</w:t>
      </w:r>
    </w:p>
    <w:p>
      <w:pPr>
        <w:spacing w:before="240" w:after="0"/>
        <w:ind w:left="1418" w:hanging="1418"/>
        <w:rPr>
          <w:rFonts w:eastAsia="Arial Unicode MS"/>
          <w:noProof/>
          <w:szCs w:val="24"/>
        </w:rPr>
      </w:pPr>
      <w:r>
        <w:rPr>
          <w:noProof/>
        </w:rPr>
        <w:t>3.7.</w:t>
      </w:r>
      <w:r>
        <w:rPr>
          <w:noProof/>
        </w:rPr>
        <w:tab/>
      </w:r>
      <w:r>
        <w:rPr>
          <w:b/>
          <w:noProof/>
        </w:rPr>
        <w:t>Masse minimale du véhicule complété</w:t>
      </w:r>
      <w:r>
        <w:rPr>
          <w:noProof/>
        </w:rPr>
        <w:t xml:space="preserve"> déclarée par le constructeur, dans le cas d’un véhicule incomplet: …</w:t>
      </w:r>
    </w:p>
    <w:p>
      <w:pPr>
        <w:ind w:left="1418" w:hanging="1418"/>
        <w:rPr>
          <w:rFonts w:eastAsia="Arial Unicode MS"/>
          <w:noProof/>
          <w:szCs w:val="24"/>
        </w:rPr>
      </w:pPr>
      <w:r>
        <w:rPr>
          <w:noProof/>
        </w:rPr>
        <w:t>3.7.1.</w:t>
      </w:r>
      <w:r>
        <w:rPr>
          <w:noProof/>
        </w:rPr>
        <w:tab/>
        <w:t>Répartition de cette masse entre les essieux et, dans le cas d’une semi-remorque ou d’une remorque à essieu central, charge au point d’attelage: …</w:t>
      </w:r>
    </w:p>
    <w:p>
      <w:pPr>
        <w:spacing w:before="240"/>
        <w:ind w:left="1418" w:hanging="1418"/>
        <w:rPr>
          <w:rFonts w:eastAsia="Arial Unicode MS"/>
          <w:noProof/>
          <w:szCs w:val="24"/>
        </w:rPr>
      </w:pPr>
      <w:r>
        <w:rPr>
          <w:noProof/>
        </w:rPr>
        <w:t>3.8.</w:t>
      </w:r>
      <w:r>
        <w:rPr>
          <w:noProof/>
        </w:rPr>
        <w:tab/>
      </w:r>
      <w:r>
        <w:rPr>
          <w:b/>
          <w:noProof/>
        </w:rPr>
        <w:t>Masse en charge maximale techniquement admissible</w:t>
      </w:r>
      <w:r>
        <w:rPr>
          <w:noProof/>
        </w:rPr>
        <w:t xml:space="preserve"> déclarée par le constructeur (</w:t>
      </w:r>
      <w:r>
        <w:rPr>
          <w:noProof/>
          <w:vertAlign w:val="superscript"/>
        </w:rPr>
        <w:t>i</w:t>
      </w:r>
      <w:r>
        <w:rPr>
          <w:noProof/>
        </w:rPr>
        <w:t>) (</w:t>
      </w:r>
      <w:r>
        <w:rPr>
          <w:noProof/>
          <w:vertAlign w:val="superscript"/>
        </w:rPr>
        <w:t>3</w:t>
      </w:r>
      <w:r>
        <w:rPr>
          <w:noProof/>
        </w:rPr>
        <w:t>): …</w:t>
      </w:r>
    </w:p>
    <w:p>
      <w:pPr>
        <w:ind w:left="1418" w:hanging="1418"/>
        <w:rPr>
          <w:rFonts w:eastAsia="Arial Unicode MS"/>
          <w:noProof/>
          <w:szCs w:val="24"/>
        </w:rPr>
      </w:pPr>
      <w:r>
        <w:rPr>
          <w:noProof/>
        </w:rPr>
        <w:t>3.8.1.</w:t>
      </w:r>
      <w:r>
        <w:rPr>
          <w:noProof/>
        </w:rPr>
        <w:tab/>
        <w:t>Répartition de cette masse entre les essieux et, dans le cas d’une semi-remorque ou d’une remorque à essieu central, charge au point d’attelage (</w:t>
      </w:r>
      <w:r>
        <w:rPr>
          <w:noProof/>
          <w:vertAlign w:val="superscript"/>
        </w:rPr>
        <w:t>3</w:t>
      </w:r>
      <w:r>
        <w:rPr>
          <w:noProof/>
        </w:rPr>
        <w:t>): …</w:t>
      </w:r>
    </w:p>
    <w:p>
      <w:pPr>
        <w:spacing w:before="240" w:after="0"/>
        <w:ind w:left="1418" w:hanging="1418"/>
        <w:jc w:val="left"/>
        <w:rPr>
          <w:rFonts w:eastAsia="Arial Unicode MS"/>
          <w:noProof/>
          <w:szCs w:val="24"/>
        </w:rPr>
      </w:pPr>
      <w:r>
        <w:rPr>
          <w:noProof/>
        </w:rPr>
        <w:lastRenderedPageBreak/>
        <w:t>3.9.</w:t>
      </w:r>
      <w:r>
        <w:rPr>
          <w:noProof/>
        </w:rPr>
        <w:tab/>
      </w:r>
      <w:r>
        <w:rPr>
          <w:b/>
          <w:noProof/>
        </w:rPr>
        <w:t>Masse maximale techniquement admissible sur chaque essieu:</w:t>
      </w:r>
      <w:r>
        <w:rPr>
          <w:noProof/>
        </w:rPr>
        <w:t xml:space="preserve"> …</w:t>
      </w:r>
    </w:p>
    <w:p>
      <w:pPr>
        <w:spacing w:before="240" w:after="0"/>
        <w:ind w:left="1418" w:hanging="1418"/>
        <w:rPr>
          <w:rFonts w:eastAsia="Arial Unicode MS"/>
          <w:noProof/>
          <w:szCs w:val="24"/>
        </w:rPr>
      </w:pPr>
      <w:r>
        <w:rPr>
          <w:noProof/>
        </w:rPr>
        <w:t>3.10.</w:t>
      </w:r>
      <w:r>
        <w:rPr>
          <w:noProof/>
        </w:rPr>
        <w:tab/>
      </w:r>
      <w:r>
        <w:rPr>
          <w:b/>
          <w:noProof/>
        </w:rPr>
        <w:t>Masse techniquement admissible sur chaque groupe d’essieux:</w:t>
      </w:r>
      <w:r>
        <w:rPr>
          <w:noProof/>
        </w:rPr>
        <w:t xml:space="preserve"> …</w:t>
      </w:r>
    </w:p>
    <w:p>
      <w:pPr>
        <w:spacing w:before="240" w:after="0"/>
        <w:ind w:left="1418" w:hanging="1418"/>
        <w:rPr>
          <w:rFonts w:eastAsia="Arial Unicode MS"/>
          <w:noProof/>
          <w:szCs w:val="24"/>
        </w:rPr>
      </w:pPr>
      <w:r>
        <w:rPr>
          <w:noProof/>
        </w:rPr>
        <w:t>3.11.</w:t>
      </w:r>
      <w:r>
        <w:rPr>
          <w:noProof/>
        </w:rPr>
        <w:tab/>
      </w:r>
      <w:r>
        <w:rPr>
          <w:b/>
          <w:noProof/>
        </w:rPr>
        <w:t>Masse tractable maximale techniquement admissible du véhicule tracteur</w:t>
      </w:r>
      <w:r>
        <w:rPr>
          <w:noProof/>
        </w:rPr>
        <w:t xml:space="preserve"> </w:t>
      </w:r>
    </w:p>
    <w:p>
      <w:pPr>
        <w:spacing w:after="0"/>
        <w:ind w:left="1418"/>
        <w:rPr>
          <w:rFonts w:eastAsia="Arial Unicode MS"/>
          <w:noProof/>
          <w:szCs w:val="24"/>
        </w:rPr>
      </w:pPr>
      <w:r>
        <w:rPr>
          <w:noProof/>
        </w:rPr>
        <w:t>dans le cas:</w:t>
      </w:r>
    </w:p>
    <w:p>
      <w:pPr>
        <w:spacing w:after="0"/>
        <w:ind w:left="1418" w:hanging="1418"/>
        <w:rPr>
          <w:rFonts w:eastAsia="Arial Unicode MS"/>
          <w:noProof/>
          <w:szCs w:val="24"/>
        </w:rPr>
      </w:pPr>
      <w:r>
        <w:rPr>
          <w:noProof/>
        </w:rPr>
        <w:t>3.11.1.</w:t>
      </w:r>
      <w:r>
        <w:rPr>
          <w:noProof/>
        </w:rPr>
        <w:tab/>
        <w:t>d’une remorque à timon: …</w:t>
      </w:r>
    </w:p>
    <w:p>
      <w:pPr>
        <w:spacing w:after="0"/>
        <w:ind w:left="1418" w:hanging="1418"/>
        <w:rPr>
          <w:rFonts w:eastAsia="Arial Unicode MS"/>
          <w:noProof/>
          <w:szCs w:val="24"/>
        </w:rPr>
      </w:pPr>
      <w:r>
        <w:rPr>
          <w:noProof/>
        </w:rPr>
        <w:t>3.11.2.</w:t>
      </w:r>
      <w:r>
        <w:rPr>
          <w:noProof/>
        </w:rPr>
        <w:tab/>
        <w:t>d’une semi-remorque: …</w:t>
      </w:r>
    </w:p>
    <w:p>
      <w:pPr>
        <w:spacing w:after="0"/>
        <w:ind w:left="1418" w:hanging="1418"/>
        <w:rPr>
          <w:rFonts w:eastAsia="Arial Unicode MS"/>
          <w:noProof/>
          <w:szCs w:val="24"/>
        </w:rPr>
      </w:pPr>
      <w:r>
        <w:rPr>
          <w:noProof/>
        </w:rPr>
        <w:t>3.11.3.</w:t>
      </w:r>
      <w:r>
        <w:rPr>
          <w:noProof/>
        </w:rPr>
        <w:tab/>
        <w:t>d’une remorque à essieu central: …</w:t>
      </w:r>
    </w:p>
    <w:p>
      <w:pPr>
        <w:spacing w:after="0"/>
        <w:ind w:left="1418" w:hanging="1418"/>
        <w:rPr>
          <w:rFonts w:eastAsia="Arial Unicode MS"/>
          <w:noProof/>
          <w:szCs w:val="24"/>
        </w:rPr>
      </w:pPr>
      <w:r>
        <w:rPr>
          <w:noProof/>
        </w:rPr>
        <w:t>3.11.3.1.</w:t>
      </w:r>
      <w:r>
        <w:rPr>
          <w:noProof/>
        </w:rPr>
        <w:tab/>
        <w:t>Rapport maximal entre le porte-à-faux d’attelage (</w:t>
      </w:r>
      <w:r>
        <w:rPr>
          <w:noProof/>
          <w:vertAlign w:val="superscript"/>
        </w:rPr>
        <w:t>j</w:t>
      </w:r>
      <w:r>
        <w:rPr>
          <w:noProof/>
        </w:rPr>
        <w:t>) et l’empattement: …</w:t>
      </w:r>
    </w:p>
    <w:p>
      <w:pPr>
        <w:spacing w:after="0"/>
        <w:ind w:left="1418" w:hanging="1418"/>
        <w:rPr>
          <w:rFonts w:eastAsia="Arial Unicode MS"/>
          <w:noProof/>
          <w:szCs w:val="24"/>
        </w:rPr>
      </w:pPr>
      <w:r>
        <w:rPr>
          <w:noProof/>
        </w:rPr>
        <w:t>3.11.3.2.</w:t>
      </w:r>
      <w:r>
        <w:rPr>
          <w:noProof/>
        </w:rPr>
        <w:tab/>
        <w:t>Valeur V maximale: …… kN.</w:t>
      </w:r>
    </w:p>
    <w:p>
      <w:pPr>
        <w:spacing w:after="0"/>
        <w:ind w:left="1418" w:hanging="1418"/>
        <w:rPr>
          <w:rFonts w:eastAsia="Arial Unicode MS"/>
          <w:noProof/>
          <w:szCs w:val="24"/>
        </w:rPr>
      </w:pPr>
      <w:r>
        <w:rPr>
          <w:noProof/>
        </w:rPr>
        <w:t>3.11.4.</w:t>
      </w:r>
      <w:r>
        <w:rPr>
          <w:noProof/>
        </w:rPr>
        <w:tab/>
        <w:t>d’une remorque à timon rigide: …</w:t>
      </w:r>
    </w:p>
    <w:p>
      <w:pPr>
        <w:spacing w:after="0"/>
        <w:ind w:left="1418" w:hanging="1418"/>
        <w:rPr>
          <w:rFonts w:eastAsia="Arial Unicode MS"/>
          <w:noProof/>
          <w:szCs w:val="24"/>
        </w:rPr>
      </w:pPr>
      <w:r>
        <w:rPr>
          <w:noProof/>
        </w:rPr>
        <w:t>3.11.5.</w:t>
      </w:r>
      <w:r>
        <w:rPr>
          <w:noProof/>
        </w:rPr>
        <w:tab/>
        <w:t>Masse en charge maximale techniquement admissible de l’ensemble(</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Masse maximale de la remorque non freinée: …</w:t>
      </w:r>
    </w:p>
    <w:p>
      <w:pPr>
        <w:ind w:left="1418" w:hanging="1418"/>
        <w:jc w:val="left"/>
        <w:rPr>
          <w:rFonts w:eastAsia="Arial Unicode MS"/>
          <w:noProof/>
          <w:szCs w:val="24"/>
        </w:rPr>
      </w:pPr>
      <w:r>
        <w:rPr>
          <w:noProof/>
        </w:rPr>
        <w:t>3.12.</w:t>
      </w:r>
      <w:r>
        <w:rPr>
          <w:noProof/>
        </w:rPr>
        <w:tab/>
      </w:r>
      <w:r>
        <w:rPr>
          <w:b/>
          <w:noProof/>
        </w:rPr>
        <w:t xml:space="preserve">Masse maximale techniquement admissible au point d’attelage: </w:t>
      </w:r>
    </w:p>
    <w:p>
      <w:pPr>
        <w:ind w:left="1418" w:hanging="1418"/>
        <w:jc w:val="left"/>
        <w:rPr>
          <w:rFonts w:eastAsia="Arial Unicode MS"/>
          <w:noProof/>
          <w:szCs w:val="24"/>
        </w:rPr>
      </w:pPr>
      <w:r>
        <w:rPr>
          <w:noProof/>
        </w:rPr>
        <w:t>3.12.1.</w:t>
      </w:r>
      <w:r>
        <w:rPr>
          <w:noProof/>
        </w:rPr>
        <w:tab/>
        <w:t>d’un véhicule tracteur: …</w:t>
      </w:r>
    </w:p>
    <w:p>
      <w:pPr>
        <w:ind w:left="1418" w:hanging="1418"/>
        <w:rPr>
          <w:rFonts w:eastAsia="Arial Unicode MS"/>
          <w:noProof/>
          <w:szCs w:val="24"/>
        </w:rPr>
      </w:pPr>
      <w:r>
        <w:rPr>
          <w:noProof/>
        </w:rPr>
        <w:t>3.12.2.</w:t>
      </w:r>
      <w:r>
        <w:rPr>
          <w:noProof/>
        </w:rPr>
        <w:tab/>
        <w:t>d’une semi-remorque, d’une remorque à essieu central ou d’une remorque à timon rigide: …</w:t>
      </w:r>
    </w:p>
    <w:p>
      <w:pPr>
        <w:ind w:left="1418" w:hanging="1418"/>
        <w:rPr>
          <w:rFonts w:eastAsia="Arial Unicode MS"/>
          <w:noProof/>
          <w:szCs w:val="24"/>
        </w:rPr>
      </w:pPr>
      <w:r>
        <w:rPr>
          <w:noProof/>
        </w:rPr>
        <w:t>3.12.3.</w:t>
      </w:r>
      <w:r>
        <w:rPr>
          <w:noProof/>
        </w:rPr>
        <w:tab/>
        <w:t>Masse maximale admissible du dispositif d’attelage (s’il n’est pas installé par le constructeur): …</w:t>
      </w:r>
    </w:p>
    <w:p>
      <w:pPr>
        <w:ind w:left="1418" w:hanging="1418"/>
        <w:rPr>
          <w:rFonts w:eastAsia="Arial Unicode MS"/>
          <w:noProof/>
          <w:szCs w:val="24"/>
        </w:rPr>
      </w:pPr>
      <w:r>
        <w:rPr>
          <w:noProof/>
        </w:rPr>
        <w:t>3.13.</w:t>
      </w:r>
      <w:r>
        <w:rPr>
          <w:noProof/>
        </w:rPr>
        <w:tab/>
      </w:r>
      <w:r>
        <w:rPr>
          <w:b/>
          <w:noProof/>
        </w:rPr>
        <w:t>Débordement arrière</w:t>
      </w:r>
      <w:r>
        <w:rPr>
          <w:noProof/>
        </w:rPr>
        <w:t xml:space="preserve"> (annexe I, partie C, sections 6 et 7, du règlement (UE) n</w:t>
      </w:r>
      <w:r>
        <w:rPr>
          <w:noProof/>
          <w:vertAlign w:val="superscript"/>
        </w:rPr>
        <w:t>o</w:t>
      </w:r>
      <w:r>
        <w:rPr>
          <w:noProof/>
        </w:rPr>
        <w:t> 1230/2012): …</w:t>
      </w:r>
    </w:p>
    <w:p>
      <w:pPr>
        <w:ind w:left="1418" w:hanging="1418"/>
        <w:jc w:val="left"/>
        <w:rPr>
          <w:rFonts w:eastAsia="Arial Unicode MS"/>
          <w:noProof/>
          <w:szCs w:val="24"/>
        </w:rPr>
      </w:pPr>
      <w:r>
        <w:rPr>
          <w:noProof/>
        </w:rPr>
        <w:t>3.14.</w:t>
      </w:r>
      <w:r>
        <w:rPr>
          <w:noProof/>
        </w:rPr>
        <w:tab/>
      </w:r>
      <w:r>
        <w:rPr>
          <w:b/>
          <w:noProof/>
        </w:rPr>
        <w:t>Rapport entre la puissance du moteur et la masse maximale</w:t>
      </w:r>
      <w:r>
        <w:rPr>
          <w:noProof/>
        </w:rPr>
        <w:t>: …… kW/kg.</w:t>
      </w:r>
    </w:p>
    <w:p>
      <w:pPr>
        <w:ind w:left="1418" w:hanging="1418"/>
        <w:rPr>
          <w:rFonts w:eastAsia="Arial Unicode MS"/>
          <w:noProof/>
          <w:szCs w:val="24"/>
        </w:rPr>
      </w:pPr>
      <w:r>
        <w:rPr>
          <w:noProof/>
        </w:rPr>
        <w:t>3.14.1.</w:t>
      </w:r>
      <w:r>
        <w:rPr>
          <w:noProof/>
        </w:rPr>
        <w:tab/>
        <w:t>Rapport puissance du moteur/masse en charge maximale techniquement admissible de l’ensemble (annexe I, partie C, section 5, du règlement (UE) n</w:t>
      </w:r>
      <w:r>
        <w:rPr>
          <w:noProof/>
          <w:vertAlign w:val="superscript"/>
        </w:rPr>
        <w:t>o</w:t>
      </w:r>
      <w:r>
        <w:rPr>
          <w:noProof/>
        </w:rPr>
        <w:t> 1230/2012): ……kW/kg.</w:t>
      </w:r>
    </w:p>
    <w:p>
      <w:pPr>
        <w:ind w:left="1418" w:hanging="1418"/>
        <w:jc w:val="left"/>
        <w:rPr>
          <w:rFonts w:eastAsia="Arial Unicode MS"/>
          <w:noProof/>
          <w:szCs w:val="24"/>
        </w:rPr>
      </w:pPr>
      <w:r>
        <w:rPr>
          <w:noProof/>
        </w:rPr>
        <w:t>3.15.</w:t>
      </w:r>
      <w:r>
        <w:rPr>
          <w:noProof/>
        </w:rPr>
        <w:tab/>
      </w:r>
      <w:r>
        <w:rPr>
          <w:b/>
          <w:noProof/>
        </w:rPr>
        <w:t>Capacité de démarrage en côte</w:t>
      </w:r>
      <w:r>
        <w:rPr>
          <w:noProof/>
        </w:rPr>
        <w:t xml:space="preserve"> (véhicule seul)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Masses maximales admissibles à l’immatriculation/en service (facultatif)</w:t>
      </w:r>
      <w:r>
        <w:rPr>
          <w:noProof/>
        </w:rPr>
        <w:t xml:space="preserve"> </w:t>
      </w:r>
    </w:p>
    <w:p>
      <w:pPr>
        <w:spacing w:after="0"/>
        <w:ind w:left="1418" w:hanging="1418"/>
        <w:rPr>
          <w:rFonts w:eastAsia="Arial Unicode MS"/>
          <w:noProof/>
          <w:szCs w:val="24"/>
        </w:rPr>
      </w:pPr>
      <w:r>
        <w:rPr>
          <w:noProof/>
        </w:rPr>
        <w:t>3.16.1.</w:t>
      </w:r>
      <w:r>
        <w:rPr>
          <w:noProof/>
        </w:rPr>
        <w:tab/>
        <w:t>Masse en charge maximale admissible à l’immatriculation/en service: …</w:t>
      </w:r>
    </w:p>
    <w:p>
      <w:pPr>
        <w:spacing w:after="0"/>
        <w:ind w:left="1418" w:hanging="1418"/>
        <w:rPr>
          <w:rFonts w:eastAsia="Arial Unicode MS"/>
          <w:noProof/>
          <w:szCs w:val="24"/>
        </w:rPr>
      </w:pPr>
      <w:r>
        <w:rPr>
          <w:noProof/>
        </w:rPr>
        <w:t>3.16.2.</w:t>
      </w:r>
      <w:r>
        <w:rPr>
          <w:noProof/>
        </w:rPr>
        <w:tab/>
        <w:t>Masse maximale admissible à l’immatriculation/en service sur chaque essieu et, dans le cas d’une semi-remorque ou d’une remorque à essieu central, charge prévue au point d’attelage déclarée par le constructeur lorsqu’elle est inférieure à la masse maximale techniquement admissible au point d’attelage: …</w:t>
      </w:r>
    </w:p>
    <w:p>
      <w:pPr>
        <w:spacing w:after="0"/>
        <w:ind w:left="1418" w:hanging="1418"/>
        <w:rPr>
          <w:rFonts w:eastAsia="Arial Unicode MS"/>
          <w:noProof/>
          <w:szCs w:val="24"/>
        </w:rPr>
      </w:pPr>
      <w:r>
        <w:rPr>
          <w:noProof/>
        </w:rPr>
        <w:t>3.16.3.</w:t>
      </w:r>
      <w:r>
        <w:rPr>
          <w:noProof/>
        </w:rPr>
        <w:tab/>
        <w:t>Masse maximale admissible à l’immatriculation/en service sur chaque groupe d’essieux: …</w:t>
      </w:r>
    </w:p>
    <w:p>
      <w:pPr>
        <w:spacing w:after="0"/>
        <w:ind w:left="1418" w:hanging="1418"/>
        <w:rPr>
          <w:rFonts w:eastAsia="Arial Unicode MS"/>
          <w:noProof/>
          <w:szCs w:val="24"/>
        </w:rPr>
      </w:pPr>
      <w:r>
        <w:rPr>
          <w:noProof/>
        </w:rPr>
        <w:t>3.16.4.</w:t>
      </w:r>
      <w:r>
        <w:rPr>
          <w:noProof/>
        </w:rPr>
        <w:tab/>
        <w:t>Masse tractable maximale admissible à l’immatriculation/en service: …</w:t>
      </w:r>
    </w:p>
    <w:p>
      <w:pPr>
        <w:spacing w:after="0"/>
        <w:ind w:left="1418" w:hanging="1418"/>
        <w:jc w:val="left"/>
        <w:rPr>
          <w:rFonts w:eastAsia="Arial Unicode MS"/>
          <w:b/>
          <w:bCs/>
          <w:noProof/>
          <w:szCs w:val="24"/>
        </w:rPr>
      </w:pPr>
      <w:r>
        <w:rPr>
          <w:noProof/>
        </w:rPr>
        <w:t>3.16.5.</w:t>
      </w:r>
      <w:r>
        <w:rPr>
          <w:noProof/>
        </w:rPr>
        <w:tab/>
        <w:t>Masse maximale admissible à l’immatriculation/en service de l’ensemble: …</w:t>
      </w:r>
    </w:p>
    <w:p>
      <w:pPr>
        <w:spacing w:after="0"/>
        <w:ind w:left="1418" w:hanging="1418"/>
        <w:jc w:val="left"/>
        <w:rPr>
          <w:rFonts w:eastAsia="Arial Unicode MS"/>
          <w:bCs/>
          <w:noProof/>
          <w:szCs w:val="24"/>
        </w:rPr>
      </w:pPr>
      <w:r>
        <w:rPr>
          <w:noProof/>
        </w:rPr>
        <w:lastRenderedPageBreak/>
        <w:t>3.17.</w:t>
      </w:r>
      <w:r>
        <w:rPr>
          <w:noProof/>
        </w:rPr>
        <w:tab/>
        <w:t>Véhicule soumis à la réception par type multi-étapes [uniquement dans le cas des véhicules incomplets ou complétés de catégorie N</w:t>
      </w:r>
      <w:r>
        <w:rPr>
          <w:noProof/>
          <w:vertAlign w:val="subscript"/>
        </w:rPr>
        <w:t>1</w:t>
      </w:r>
      <w:r>
        <w:rPr>
          <w:noProof/>
        </w:rPr>
        <w:t xml:space="preserve"> relevant du règlement (CE) n</w:t>
      </w:r>
      <w:r>
        <w:rPr>
          <w:noProof/>
          <w:vertAlign w:val="superscript"/>
        </w:rPr>
        <w:t>o</w:t>
      </w:r>
      <w:r>
        <w:rPr>
          <w:noProof/>
        </w:rPr>
        <w:t> 715/2007]: oui/non (</w:t>
      </w:r>
      <w:r>
        <w:rPr>
          <w:noProof/>
          <w:vertAlign w:val="superscript"/>
        </w:rPr>
        <w:t>1</w:t>
      </w:r>
      <w:r>
        <w:rPr>
          <w:noProof/>
        </w:rPr>
        <w:t>)</w:t>
      </w:r>
    </w:p>
    <w:p>
      <w:pPr>
        <w:spacing w:after="0"/>
        <w:ind w:left="1418" w:hanging="1418"/>
        <w:jc w:val="left"/>
        <w:rPr>
          <w:rFonts w:eastAsia="Arial Unicode MS"/>
          <w:bCs/>
          <w:noProof/>
          <w:szCs w:val="24"/>
        </w:rPr>
      </w:pPr>
      <w:r>
        <w:rPr>
          <w:noProof/>
        </w:rPr>
        <w:t>3.17.1.</w:t>
      </w:r>
      <w:r>
        <w:rPr>
          <w:noProof/>
        </w:rPr>
        <w:tab/>
        <w:t>Masse en ordre de marche du véhicule de base: …kg.</w:t>
      </w:r>
    </w:p>
    <w:p>
      <w:pPr>
        <w:spacing w:after="0"/>
        <w:ind w:left="1418" w:hanging="1418"/>
        <w:jc w:val="left"/>
        <w:rPr>
          <w:rFonts w:eastAsia="Arial Unicode MS"/>
          <w:bCs/>
          <w:noProof/>
          <w:szCs w:val="24"/>
        </w:rPr>
      </w:pPr>
      <w:r>
        <w:rPr>
          <w:noProof/>
        </w:rPr>
        <w:t>3.17.2.</w:t>
      </w:r>
      <w:r>
        <w:rPr>
          <w:noProof/>
        </w:rPr>
        <w:tab/>
        <w:t>Masse ajoutée par défaut, calculée conformément au point 5 de l’annexe XII du règlement (CE) n</w:t>
      </w:r>
      <w:r>
        <w:rPr>
          <w:noProof/>
          <w:vertAlign w:val="superscript"/>
        </w:rPr>
        <w:t>o</w:t>
      </w:r>
      <w:r>
        <w:rPr>
          <w:noProof/>
        </w:rPr>
        <w:t> 692/2008: …kg.</w:t>
      </w:r>
    </w:p>
    <w:p>
      <w:pPr>
        <w:ind w:left="1418" w:hanging="1418"/>
        <w:jc w:val="left"/>
        <w:rPr>
          <w:rFonts w:eastAsia="Arial Unicode MS"/>
          <w:b/>
          <w:bCs/>
          <w:noProof/>
          <w:szCs w:val="24"/>
        </w:rPr>
      </w:pPr>
      <w:r>
        <w:rPr>
          <w:noProof/>
        </w:rPr>
        <w:t>4.</w:t>
      </w:r>
      <w:r>
        <w:rPr>
          <w:noProof/>
        </w:rPr>
        <w:tab/>
      </w:r>
      <w:r>
        <w:rPr>
          <w:b/>
          <w:noProof/>
        </w:rPr>
        <w:t>GROUPE MOTEUR</w:t>
      </w:r>
      <w:r>
        <w:rPr>
          <w:noProof/>
        </w:rPr>
        <w:t xml:space="preserve"> (</w:t>
      </w:r>
      <w:r>
        <w:rPr>
          <w:noProof/>
          <w:vertAlign w:val="superscript"/>
        </w:rPr>
        <w:t>k</w:t>
      </w:r>
      <w:r>
        <w:rPr>
          <w:noProof/>
        </w:rPr>
        <w:t>)</w:t>
      </w:r>
      <w:r>
        <w:rPr>
          <w:b/>
          <w:noProof/>
        </w:rPr>
        <w:t xml:space="preserve"> </w:t>
      </w:r>
    </w:p>
    <w:p>
      <w:pPr>
        <w:ind w:left="1418" w:hanging="1418"/>
        <w:jc w:val="left"/>
        <w:rPr>
          <w:rFonts w:eastAsia="Arial Unicode MS"/>
          <w:b/>
          <w:bCs/>
          <w:noProof/>
          <w:szCs w:val="24"/>
        </w:rPr>
      </w:pPr>
      <w:r>
        <w:rPr>
          <w:noProof/>
        </w:rPr>
        <w:t>4.1.</w:t>
      </w:r>
      <w:r>
        <w:rPr>
          <w:noProof/>
        </w:rPr>
        <w:tab/>
      </w:r>
      <w:r>
        <w:rPr>
          <w:b/>
          <w:noProof/>
        </w:rPr>
        <w:t xml:space="preserve">Constructeur du moteur: </w:t>
      </w:r>
      <w:r>
        <w:rPr>
          <w:noProof/>
        </w:rPr>
        <w:t>…</w:t>
      </w:r>
      <w:r>
        <w:rPr>
          <w:b/>
          <w:noProof/>
        </w:rPr>
        <w:t xml:space="preserve"> </w:t>
      </w:r>
    </w:p>
    <w:p>
      <w:pPr>
        <w:spacing w:after="0"/>
        <w:ind w:left="1418" w:hanging="1418"/>
        <w:rPr>
          <w:rFonts w:eastAsia="Arial Unicode MS"/>
          <w:noProof/>
          <w:szCs w:val="24"/>
        </w:rPr>
      </w:pPr>
      <w:r>
        <w:rPr>
          <w:noProof/>
        </w:rPr>
        <w:t>4.1.1.</w:t>
      </w:r>
      <w:r>
        <w:rPr>
          <w:noProof/>
        </w:rPr>
        <w:tab/>
        <w:t>Code moteur du constructeur (inscrit sur le moteur) ou autre moyen d’identification: …</w:t>
      </w:r>
    </w:p>
    <w:p>
      <w:pPr>
        <w:spacing w:after="0"/>
        <w:ind w:left="1418" w:hanging="1418"/>
        <w:rPr>
          <w:rFonts w:eastAsia="Arial Unicode MS"/>
          <w:noProof/>
          <w:szCs w:val="24"/>
        </w:rPr>
      </w:pPr>
      <w:r>
        <w:rPr>
          <w:noProof/>
        </w:rPr>
        <w:t>4.1.2.</w:t>
      </w:r>
      <w:r>
        <w:rPr>
          <w:noProof/>
        </w:rPr>
        <w:tab/>
        <w:t>Numéro de réception (le cas échéant), avec marquage d’identification du carburant: …</w:t>
      </w:r>
    </w:p>
    <w:p>
      <w:pPr>
        <w:ind w:left="1418"/>
        <w:rPr>
          <w:rFonts w:eastAsia="Arial Unicode MS"/>
          <w:noProof/>
          <w:szCs w:val="24"/>
        </w:rPr>
      </w:pPr>
      <w:r>
        <w:rPr>
          <w:noProof/>
        </w:rPr>
        <w:t>(véhicules lourds uniquement)</w:t>
      </w:r>
    </w:p>
    <w:p>
      <w:pPr>
        <w:ind w:left="1418" w:hanging="1418"/>
        <w:jc w:val="left"/>
        <w:rPr>
          <w:rFonts w:eastAsia="Arial Unicode MS"/>
          <w:b/>
          <w:bCs/>
          <w:noProof/>
          <w:szCs w:val="24"/>
        </w:rPr>
      </w:pPr>
      <w:r>
        <w:rPr>
          <w:noProof/>
        </w:rPr>
        <w:t>4.2.</w:t>
      </w:r>
      <w:r>
        <w:rPr>
          <w:noProof/>
        </w:rPr>
        <w:tab/>
      </w:r>
      <w:r>
        <w:rPr>
          <w:b/>
          <w:noProof/>
        </w:rPr>
        <w:t xml:space="preserve">Moteur à combustion interne </w:t>
      </w:r>
    </w:p>
    <w:p>
      <w:pPr>
        <w:ind w:left="1418" w:hanging="1418"/>
        <w:jc w:val="left"/>
        <w:rPr>
          <w:rFonts w:eastAsia="Arial Unicode MS"/>
          <w:b/>
          <w:bCs/>
          <w:noProof/>
          <w:szCs w:val="24"/>
        </w:rPr>
      </w:pPr>
      <w:r>
        <w:rPr>
          <w:noProof/>
        </w:rPr>
        <w:t>4.2.1.</w:t>
      </w:r>
      <w:r>
        <w:rPr>
          <w:noProof/>
        </w:rPr>
        <w:tab/>
      </w:r>
      <w:r>
        <w:rPr>
          <w:i/>
          <w:noProof/>
        </w:rPr>
        <w:t>Informations spécifiques au moteur</w:t>
      </w:r>
      <w:r>
        <w:rPr>
          <w:b/>
          <w:noProof/>
        </w:rPr>
        <w:t xml:space="preserve"> </w:t>
      </w:r>
    </w:p>
    <w:p>
      <w:pPr>
        <w:spacing w:after="0"/>
        <w:ind w:left="1418" w:hanging="1418"/>
        <w:rPr>
          <w:rFonts w:eastAsia="Arial Unicode MS"/>
          <w:noProof/>
          <w:szCs w:val="24"/>
        </w:rPr>
      </w:pPr>
      <w:r>
        <w:rPr>
          <w:noProof/>
        </w:rPr>
        <w:t>4.2.1.1.</w:t>
      </w:r>
      <w:r>
        <w:rPr>
          <w:noProof/>
        </w:rPr>
        <w:tab/>
        <w:t>Principe de fonctionnement: allumage commandé/allumage par compression/à double carburant (</w:t>
      </w:r>
      <w:r>
        <w:rPr>
          <w:noProof/>
          <w:vertAlign w:val="superscript"/>
        </w:rPr>
        <w:t>1</w:t>
      </w:r>
      <w:r>
        <w:rPr>
          <w:noProof/>
        </w:rPr>
        <w:t>)</w:t>
      </w:r>
    </w:p>
    <w:p>
      <w:pPr>
        <w:ind w:left="1418"/>
        <w:rPr>
          <w:rFonts w:eastAsia="Arial Unicode MS"/>
          <w:bCs/>
          <w:noProof/>
          <w:szCs w:val="24"/>
        </w:rPr>
      </w:pPr>
      <w:r>
        <w:rPr>
          <w:noProof/>
        </w:rPr>
        <w:t>Cycle: quatre temps/deux temps/rotatif (</w:t>
      </w:r>
      <w:r>
        <w:rPr>
          <w:noProof/>
          <w:vertAlign w:val="superscript"/>
        </w:rPr>
        <w:t>1</w:t>
      </w:r>
      <w:r>
        <w:rPr>
          <w:noProof/>
        </w:rPr>
        <w:t>)</w:t>
      </w:r>
    </w:p>
    <w:p>
      <w:pPr>
        <w:ind w:left="1418" w:hanging="1418"/>
        <w:rPr>
          <w:rFonts w:eastAsia="Arial Unicode MS"/>
          <w:noProof/>
          <w:szCs w:val="24"/>
        </w:rPr>
      </w:pPr>
      <w:r>
        <w:rPr>
          <w:noProof/>
        </w:rPr>
        <w:t>4.2.1.1.1.</w:t>
      </w:r>
      <w:r>
        <w:rPr>
          <w:noProof/>
        </w:rPr>
        <w:tab/>
        <w:t>Type de moteur à double carburant</w:t>
      </w:r>
      <w:r>
        <w:rPr>
          <w:i/>
          <w:noProof/>
        </w:rPr>
        <w:t>:</w:t>
      </w:r>
      <w:r>
        <w:rPr>
          <w:noProof/>
        </w:rPr>
        <w:t xml:space="preserve"> Type 1A/Type 1B/Type 2A/Type 2B/Type 3B (</w:t>
      </w:r>
      <w:r>
        <w:rPr>
          <w:noProof/>
          <w:vertAlign w:val="superscript"/>
        </w:rPr>
        <w:t>1</w:t>
      </w:r>
      <w:r>
        <w:rPr>
          <w:noProof/>
        </w:rPr>
        <w:t>) (</w:t>
      </w:r>
      <w:r>
        <w:rPr>
          <w:noProof/>
          <w:vertAlign w:val="superscript"/>
        </w:rPr>
        <w:t>x1</w:t>
      </w:r>
      <w:r>
        <w:rPr>
          <w:noProof/>
        </w:rPr>
        <w:t>)</w:t>
      </w:r>
    </w:p>
    <w:p>
      <w:pPr>
        <w:ind w:left="1418" w:hanging="1418"/>
        <w:rPr>
          <w:rFonts w:eastAsia="Arial Unicode MS"/>
          <w:noProof/>
          <w:szCs w:val="24"/>
        </w:rPr>
      </w:pPr>
      <w:r>
        <w:rPr>
          <w:noProof/>
        </w:rPr>
        <w:t>4.2.1.1.2.</w:t>
      </w:r>
      <w:r>
        <w:rPr>
          <w:noProof/>
        </w:rPr>
        <w:tab/>
        <w:t>Rapport énergétique du gaz lors de la partie démarrage à chaud du cycle d’essais WHTC: … %</w:t>
      </w:r>
    </w:p>
    <w:p>
      <w:pPr>
        <w:spacing w:after="0"/>
        <w:ind w:left="1418" w:hanging="1418"/>
        <w:rPr>
          <w:rFonts w:eastAsia="Arial Unicode MS"/>
          <w:noProof/>
          <w:szCs w:val="24"/>
        </w:rPr>
      </w:pPr>
      <w:r>
        <w:rPr>
          <w:noProof/>
        </w:rPr>
        <w:t>4.2.1.2.</w:t>
      </w:r>
      <w:r>
        <w:rPr>
          <w:noProof/>
        </w:rPr>
        <w:tab/>
        <w:t>Nombre et disposition des cylindres: …</w:t>
      </w:r>
    </w:p>
    <w:p>
      <w:pPr>
        <w:spacing w:after="0"/>
        <w:ind w:left="1418" w:hanging="1418"/>
        <w:rPr>
          <w:rFonts w:eastAsia="Arial Unicode MS"/>
          <w:noProof/>
          <w:szCs w:val="24"/>
        </w:rPr>
      </w:pPr>
      <w:r>
        <w:rPr>
          <w:noProof/>
        </w:rPr>
        <w:t>4.2.1.2.1.</w:t>
      </w:r>
      <w:r>
        <w:rPr>
          <w:noProof/>
        </w:rPr>
        <w:tab/>
        <w:t>Alésage (</w:t>
      </w:r>
      <w:r>
        <w:rPr>
          <w:noProof/>
          <w:vertAlign w:val="superscript"/>
        </w:rPr>
        <w:t>l</w:t>
      </w:r>
      <w:r>
        <w:rPr>
          <w:noProof/>
        </w:rPr>
        <w:t>): …… mm</w:t>
      </w:r>
    </w:p>
    <w:p>
      <w:pPr>
        <w:spacing w:after="0"/>
        <w:ind w:left="1418" w:hanging="1418"/>
        <w:rPr>
          <w:rFonts w:eastAsia="Arial Unicode MS"/>
          <w:noProof/>
          <w:szCs w:val="24"/>
        </w:rPr>
      </w:pPr>
      <w:r>
        <w:rPr>
          <w:noProof/>
        </w:rPr>
        <w:t>4.2.1.2.2.</w:t>
      </w:r>
      <w:r>
        <w:rPr>
          <w:noProof/>
        </w:rPr>
        <w:tab/>
        <w:t>Course (</w:t>
      </w:r>
      <w:r>
        <w:rPr>
          <w:noProof/>
          <w:vertAlign w:val="superscript"/>
        </w:rPr>
        <w:t>l</w:t>
      </w:r>
      <w:r>
        <w:rPr>
          <w:noProof/>
        </w:rPr>
        <w:t>): …… mm</w:t>
      </w:r>
    </w:p>
    <w:p>
      <w:pPr>
        <w:spacing w:after="0"/>
        <w:ind w:left="1418" w:hanging="1418"/>
        <w:rPr>
          <w:rFonts w:eastAsia="Arial Unicode MS"/>
          <w:noProof/>
          <w:szCs w:val="24"/>
        </w:rPr>
      </w:pPr>
      <w:r>
        <w:rPr>
          <w:noProof/>
        </w:rPr>
        <w:t>4.2.1.2.3.</w:t>
      </w:r>
      <w:r>
        <w:rPr>
          <w:noProof/>
        </w:rPr>
        <w:tab/>
        <w:t>Ordre d’allumage: …</w:t>
      </w:r>
    </w:p>
    <w:p>
      <w:pPr>
        <w:spacing w:after="0"/>
        <w:ind w:left="1418" w:hanging="1418"/>
        <w:rPr>
          <w:rFonts w:eastAsia="Arial Unicode MS"/>
          <w:noProof/>
          <w:szCs w:val="24"/>
        </w:rPr>
      </w:pPr>
      <w:r>
        <w:rPr>
          <w:noProof/>
        </w:rPr>
        <w:t>4.2.1.3.</w:t>
      </w:r>
      <w:r>
        <w:rPr>
          <w:noProof/>
        </w:rPr>
        <w:tab/>
        <w:t>Cylindrée (</w:t>
      </w:r>
      <w:r>
        <w:rPr>
          <w:noProof/>
          <w:vertAlign w:val="superscript"/>
        </w:rPr>
        <w:t>m</w:t>
      </w:r>
      <w:r>
        <w:rPr>
          <w:noProof/>
        </w:rPr>
        <w:t>): …… cm</w:t>
      </w:r>
      <w:r>
        <w:rPr>
          <w:noProof/>
          <w:vertAlign w:val="superscript"/>
        </w:rPr>
        <w:t>3</w:t>
      </w:r>
      <w:r>
        <w:rPr>
          <w:noProof/>
        </w:rPr>
        <w:t xml:space="preserve"> </w:t>
      </w:r>
    </w:p>
    <w:p>
      <w:pPr>
        <w:spacing w:after="0"/>
        <w:ind w:left="1418" w:hanging="1418"/>
        <w:rPr>
          <w:rFonts w:eastAsia="Arial Unicode MS"/>
          <w:noProof/>
          <w:szCs w:val="24"/>
        </w:rPr>
      </w:pPr>
      <w:r>
        <w:rPr>
          <w:noProof/>
        </w:rPr>
        <w:t>4.2.1.4.</w:t>
      </w:r>
      <w:r>
        <w:rPr>
          <w:noProof/>
        </w:rPr>
        <w:tab/>
        <w:t>Taux de compression volumétrique(</w:t>
      </w:r>
      <w:r>
        <w:rPr>
          <w:noProof/>
          <w:vertAlign w:val="superscript"/>
        </w:rPr>
        <w:t>2</w:t>
      </w:r>
      <w:r>
        <w:rPr>
          <w:noProof/>
        </w:rPr>
        <w:t>): …</w:t>
      </w:r>
    </w:p>
    <w:p>
      <w:pPr>
        <w:spacing w:after="0"/>
        <w:ind w:left="1418" w:hanging="1418"/>
        <w:rPr>
          <w:rFonts w:eastAsia="Arial Unicode MS"/>
          <w:noProof/>
          <w:szCs w:val="24"/>
        </w:rPr>
      </w:pPr>
      <w:r>
        <w:rPr>
          <w:noProof/>
        </w:rPr>
        <w:t>4.2.1.5.</w:t>
      </w:r>
      <w:r>
        <w:rPr>
          <w:noProof/>
        </w:rPr>
        <w:tab/>
        <w:t>Dessins de la chambre de combustion, de la tête de piston et, dans le cas d’un moteur à allumage commandé, des segments: …</w:t>
      </w:r>
    </w:p>
    <w:p>
      <w:pPr>
        <w:spacing w:after="0"/>
        <w:ind w:left="1418" w:hanging="1418"/>
        <w:rPr>
          <w:rFonts w:eastAsia="Arial Unicode MS"/>
          <w:noProof/>
          <w:szCs w:val="24"/>
        </w:rPr>
      </w:pPr>
      <w:r>
        <w:rPr>
          <w:noProof/>
        </w:rPr>
        <w:t>4.2.1.6.</w:t>
      </w:r>
      <w:r>
        <w:rPr>
          <w:noProof/>
        </w:rPr>
        <w:tab/>
        <w:t>Régime de ralenti normal (</w:t>
      </w:r>
      <w:r>
        <w:rPr>
          <w:noProof/>
          <w:vertAlign w:val="superscript"/>
        </w:rPr>
        <w:t>2</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Régime de ralenti accéléré (</w:t>
      </w:r>
      <w:r>
        <w:rPr>
          <w:noProof/>
          <w:vertAlign w:val="superscript"/>
        </w:rPr>
        <w:t>2</w:t>
      </w:r>
      <w:r>
        <w:rPr>
          <w:noProof/>
        </w:rPr>
        <w:t>): …… min</w:t>
      </w:r>
      <w:r>
        <w:rPr>
          <w:noProof/>
          <w:vertAlign w:val="superscript"/>
        </w:rPr>
        <w:t>-1</w:t>
      </w:r>
    </w:p>
    <w:p>
      <w:pPr>
        <w:spacing w:after="0"/>
        <w:ind w:left="1418" w:hanging="1418"/>
        <w:rPr>
          <w:rFonts w:eastAsia="Arial Unicode MS"/>
          <w:noProof/>
          <w:szCs w:val="24"/>
        </w:rPr>
      </w:pPr>
      <w:r>
        <w:rPr>
          <w:noProof/>
        </w:rPr>
        <w:t>4.2.1.6.2.</w:t>
      </w:r>
      <w:r>
        <w:rPr>
          <w:noProof/>
        </w:rPr>
        <w:tab/>
        <w:t>Ralenti en mode diesel: oui/non (</w:t>
      </w:r>
      <w:r>
        <w:rPr>
          <w:noProof/>
          <w:vertAlign w:val="superscript"/>
        </w:rPr>
        <w:t>1</w:t>
      </w:r>
      <w:r>
        <w:rPr>
          <w:noProof/>
        </w:rPr>
        <w:t>) (</w:t>
      </w:r>
      <w:r>
        <w:rPr>
          <w:noProof/>
          <w:vertAlign w:val="superscript"/>
        </w:rPr>
        <w:t>x1</w:t>
      </w:r>
      <w:r>
        <w:rPr>
          <w:noProof/>
        </w:rPr>
        <w:t>)</w:t>
      </w:r>
    </w:p>
    <w:p>
      <w:pPr>
        <w:spacing w:after="0"/>
        <w:ind w:left="1418" w:hanging="1418"/>
        <w:rPr>
          <w:rFonts w:eastAsia="Arial Unicode MS"/>
          <w:noProof/>
          <w:szCs w:val="24"/>
        </w:rPr>
      </w:pPr>
      <w:r>
        <w:rPr>
          <w:noProof/>
        </w:rPr>
        <w:t>4.2.1.7.</w:t>
      </w:r>
      <w:r>
        <w:rPr>
          <w:noProof/>
        </w:rPr>
        <w:tab/>
        <w:t>Teneur volumique en monoxyde de carbone des gaz d’échappement, le moteur tournant au ralenti (</w:t>
      </w:r>
      <w:r>
        <w:rPr>
          <w:noProof/>
          <w:vertAlign w:val="superscript"/>
        </w:rPr>
        <w:t>2</w:t>
      </w:r>
      <w:r>
        <w:rPr>
          <w:noProof/>
        </w:rPr>
        <w:t>) : …… % selon déclaration du constructeur (moteurs à allumage commandé uniquement)</w:t>
      </w:r>
    </w:p>
    <w:p>
      <w:pPr>
        <w:spacing w:after="0"/>
        <w:ind w:left="1418" w:hanging="1418"/>
        <w:rPr>
          <w:rFonts w:eastAsia="Arial Unicode MS"/>
          <w:noProof/>
          <w:szCs w:val="24"/>
        </w:rPr>
      </w:pPr>
      <w:r>
        <w:rPr>
          <w:noProof/>
        </w:rPr>
        <w:t>4.2.1.8.</w:t>
      </w:r>
      <w:r>
        <w:rPr>
          <w:noProof/>
        </w:rPr>
        <w:tab/>
        <w:t>Puissance nette maximale (</w:t>
      </w:r>
      <w:r>
        <w:rPr>
          <w:noProof/>
          <w:vertAlign w:val="superscript"/>
        </w:rPr>
        <w:t>n</w:t>
      </w:r>
      <w:r>
        <w:rPr>
          <w:noProof/>
        </w:rPr>
        <w:t>): …… kW à …… min</w:t>
      </w:r>
      <w:r>
        <w:rPr>
          <w:noProof/>
          <w:vertAlign w:val="superscript"/>
        </w:rPr>
        <w:t>-1</w:t>
      </w:r>
      <w:r>
        <w:rPr>
          <w:noProof/>
        </w:rPr>
        <w:t xml:space="preserve"> (valeur déclarée par le constructeur)</w:t>
      </w:r>
    </w:p>
    <w:p>
      <w:pPr>
        <w:spacing w:after="0"/>
        <w:ind w:left="1418" w:hanging="1418"/>
        <w:rPr>
          <w:rFonts w:eastAsia="Arial Unicode MS"/>
          <w:noProof/>
          <w:szCs w:val="24"/>
        </w:rPr>
      </w:pPr>
      <w:r>
        <w:rPr>
          <w:noProof/>
        </w:rPr>
        <w:lastRenderedPageBreak/>
        <w:t>4.2.1.9.</w:t>
      </w:r>
      <w:r>
        <w:rPr>
          <w:noProof/>
        </w:rPr>
        <w:tab/>
        <w:t>Régime maximal autorisé déclaré par le constructeur: … min</w:t>
      </w:r>
      <w:r>
        <w:rPr>
          <w:noProof/>
          <w:vertAlign w:val="superscript"/>
        </w:rPr>
        <w:t>-1</w:t>
      </w:r>
      <w:r>
        <w:rPr>
          <w:noProof/>
        </w:rPr>
        <w:t xml:space="preserve"> </w:t>
      </w:r>
    </w:p>
    <w:p>
      <w:pPr>
        <w:spacing w:after="0"/>
        <w:ind w:left="1418" w:hanging="1418"/>
        <w:rPr>
          <w:rFonts w:eastAsia="Arial Unicode MS"/>
          <w:noProof/>
          <w:szCs w:val="24"/>
        </w:rPr>
      </w:pPr>
      <w:r>
        <w:rPr>
          <w:noProof/>
        </w:rPr>
        <w:t>4.2.1.10.</w:t>
      </w:r>
      <w:r>
        <w:rPr>
          <w:noProof/>
        </w:rPr>
        <w:tab/>
        <w:t>Couple net maximal (</w:t>
      </w:r>
      <w:r>
        <w:rPr>
          <w:noProof/>
          <w:vertAlign w:val="superscript"/>
        </w:rPr>
        <w:t>n</w:t>
      </w:r>
      <w:r>
        <w:rPr>
          <w:noProof/>
        </w:rPr>
        <w:t>): … Nm à … min</w:t>
      </w:r>
      <w:r>
        <w:rPr>
          <w:noProof/>
          <w:vertAlign w:val="superscript"/>
        </w:rPr>
        <w:t>-1</w:t>
      </w:r>
      <w:r>
        <w:rPr>
          <w:noProof/>
        </w:rPr>
        <w:t xml:space="preserve"> (valeur déclarée par le constructeur)</w:t>
      </w:r>
    </w:p>
    <w:p>
      <w:pPr>
        <w:spacing w:after="0"/>
        <w:ind w:left="1418" w:hanging="1418"/>
        <w:rPr>
          <w:rFonts w:eastAsia="Arial Unicode MS"/>
          <w:noProof/>
          <w:szCs w:val="24"/>
        </w:rPr>
      </w:pPr>
      <w:r>
        <w:rPr>
          <w:noProof/>
        </w:rPr>
        <w:t>4.2.1.11.</w:t>
      </w:r>
      <w:r>
        <w:rPr>
          <w:noProof/>
        </w:rPr>
        <w:tab/>
        <w:t>(Euro VI uniquement) Références du constructeur au dossier de documentation requis par les articles 5, 7 et 9 du règlement (UE) n</w:t>
      </w:r>
      <w:r>
        <w:rPr>
          <w:noProof/>
          <w:vertAlign w:val="superscript"/>
        </w:rPr>
        <w:t>o</w:t>
      </w:r>
      <w:r>
        <w:rPr>
          <w:noProof/>
        </w:rPr>
        <w:t> 582/2011 permettant à l’autorité compétente en matière de réception d’évaluer les stratégies de maîtrise des émissions et les systèmes présents sur le moteur pour assurer le fonctionnement correct des mesures de contrôle des NO</w:t>
      </w:r>
      <w:r>
        <w:rPr>
          <w:noProof/>
          <w:vertAlign w:val="subscript"/>
        </w:rPr>
        <w:t>x</w:t>
      </w:r>
    </w:p>
    <w:p>
      <w:pPr>
        <w:ind w:left="1418" w:hanging="1418"/>
        <w:jc w:val="left"/>
        <w:rPr>
          <w:rFonts w:eastAsia="Arial Unicode MS"/>
          <w:bCs/>
          <w:noProof/>
          <w:szCs w:val="24"/>
        </w:rPr>
      </w:pPr>
      <w:r>
        <w:rPr>
          <w:noProof/>
        </w:rPr>
        <w:t>4.2.2.</w:t>
      </w:r>
      <w:r>
        <w:rPr>
          <w:noProof/>
        </w:rPr>
        <w:tab/>
      </w:r>
      <w:r>
        <w:rPr>
          <w:i/>
          <w:noProof/>
        </w:rPr>
        <w:t>Carburant</w:t>
      </w:r>
      <w:r>
        <w:rPr>
          <w:noProof/>
        </w:rPr>
        <w:t xml:space="preserve"> </w:t>
      </w:r>
    </w:p>
    <w:p>
      <w:pPr>
        <w:spacing w:after="0"/>
        <w:ind w:left="1418" w:hanging="1418"/>
        <w:rPr>
          <w:rFonts w:eastAsia="Arial Unicode MS"/>
          <w:noProof/>
          <w:szCs w:val="24"/>
        </w:rPr>
      </w:pPr>
      <w:r>
        <w:rPr>
          <w:noProof/>
        </w:rPr>
        <w:t>4.2.2.1.</w:t>
      </w:r>
      <w:r>
        <w:rPr>
          <w:noProof/>
        </w:rPr>
        <w:tab/>
        <w:t>Véhicules légers: gazole/essence/GPL/GN ou biométhane/éthanol (E85)/biogazole/hydrogène/H</w:t>
      </w:r>
      <w:r>
        <w:rPr>
          <w:noProof/>
          <w:vertAlign w:val="subscript"/>
        </w:rPr>
        <w:t>2</w:t>
      </w:r>
      <w:r>
        <w:rPr>
          <w:noProof/>
        </w:rPr>
        <w:t>GN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Véhicules lourds: gazole/essence/GPL/GN-H/GN-L/GN-HL/éthanol (ED95)/éthanol (E85)/GNL/GNL</w:t>
      </w:r>
      <w:r>
        <w:rPr>
          <w:noProof/>
          <w:vertAlign w:val="subscript"/>
        </w:rPr>
        <w:t>20</w:t>
      </w:r>
      <w:r>
        <w:rPr>
          <w:noProof/>
        </w:rPr>
        <w:t>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4.2.2.2.1.</w:t>
      </w:r>
      <w:r>
        <w:rPr>
          <w:noProof/>
        </w:rPr>
        <w:tab/>
        <w:t>(Euro VI uniquement) Carburants compatibles pour utilisation avec le moteur déclarés par le constructeur conformément au point 1.1.2 de l’annexe I du règlement (UE) n</w:t>
      </w:r>
      <w:r>
        <w:rPr>
          <w:noProof/>
          <w:vertAlign w:val="superscript"/>
        </w:rPr>
        <w:t>o</w:t>
      </w:r>
      <w:r>
        <w:rPr>
          <w:noProof/>
        </w:rPr>
        <w:t> 582/2011 (le cas échéant)</w:t>
      </w:r>
    </w:p>
    <w:p>
      <w:pPr>
        <w:spacing w:after="0"/>
        <w:ind w:left="1418" w:hanging="1418"/>
        <w:rPr>
          <w:rFonts w:eastAsia="Arial Unicode MS"/>
          <w:noProof/>
          <w:szCs w:val="24"/>
        </w:rPr>
      </w:pPr>
      <w:r>
        <w:rPr>
          <w:noProof/>
        </w:rPr>
        <w:t>4.2.2.3.</w:t>
      </w:r>
      <w:r>
        <w:rPr>
          <w:noProof/>
        </w:rPr>
        <w:tab/>
        <w:t>Orifice du réservoir de carburant: orifice restreint/étiquette (</w:t>
      </w:r>
      <w:r>
        <w:rPr>
          <w:noProof/>
          <w:vertAlign w:val="superscript"/>
        </w:rPr>
        <w:t>1</w:t>
      </w:r>
      <w:r>
        <w:rPr>
          <w:noProof/>
        </w:rPr>
        <w:t>)</w:t>
      </w:r>
    </w:p>
    <w:p>
      <w:pPr>
        <w:spacing w:after="0"/>
        <w:ind w:left="1418" w:hanging="1418"/>
        <w:rPr>
          <w:rFonts w:eastAsia="Arial Unicode MS"/>
          <w:noProof/>
          <w:szCs w:val="24"/>
        </w:rPr>
      </w:pPr>
      <w:r>
        <w:rPr>
          <w:noProof/>
        </w:rPr>
        <w:t>4.2.2.4.</w:t>
      </w:r>
      <w:r>
        <w:rPr>
          <w:noProof/>
        </w:rPr>
        <w:tab/>
        <w:t>Type de carburant du véhicule: monocarburant/bicarburant/polycarburant (</w:t>
      </w:r>
      <w:r>
        <w:rPr>
          <w:noProof/>
          <w:vertAlign w:val="superscript"/>
        </w:rPr>
        <w:t>1</w:t>
      </w:r>
      <w:r>
        <w:rPr>
          <w:noProof/>
        </w:rPr>
        <w:t>)</w:t>
      </w:r>
    </w:p>
    <w:p>
      <w:pPr>
        <w:spacing w:after="0"/>
        <w:ind w:left="1418" w:hanging="1418"/>
        <w:rPr>
          <w:rFonts w:eastAsia="Arial Unicode MS"/>
          <w:noProof/>
          <w:szCs w:val="24"/>
        </w:rPr>
      </w:pPr>
      <w:r>
        <w:rPr>
          <w:noProof/>
        </w:rPr>
        <w:t>4.2.2.5.</w:t>
      </w:r>
      <w:r>
        <w:rPr>
          <w:noProof/>
        </w:rPr>
        <w:tab/>
        <w:t>Quantité maximale de biocarburant acceptable dans le carburant (valeur déclarée par le constructeur): … % en volume</w:t>
      </w:r>
    </w:p>
    <w:p>
      <w:pPr>
        <w:ind w:left="1418" w:hanging="1418"/>
        <w:jc w:val="left"/>
        <w:rPr>
          <w:rFonts w:eastAsia="Arial Unicode MS"/>
          <w:bCs/>
          <w:noProof/>
          <w:szCs w:val="24"/>
        </w:rPr>
      </w:pPr>
      <w:r>
        <w:rPr>
          <w:noProof/>
        </w:rPr>
        <w:t>4.2.3.</w:t>
      </w:r>
      <w:r>
        <w:rPr>
          <w:noProof/>
        </w:rPr>
        <w:tab/>
      </w:r>
      <w:r>
        <w:rPr>
          <w:i/>
          <w:noProof/>
        </w:rPr>
        <w:t>Réservoir(s) de carburant</w:t>
      </w:r>
      <w:r>
        <w:rPr>
          <w:noProof/>
        </w:rPr>
        <w:t xml:space="preserve"> </w:t>
      </w:r>
    </w:p>
    <w:p>
      <w:pPr>
        <w:spacing w:after="0"/>
        <w:ind w:left="1418" w:hanging="1418"/>
        <w:rPr>
          <w:rFonts w:eastAsia="Arial Unicode MS"/>
          <w:noProof/>
          <w:szCs w:val="24"/>
        </w:rPr>
      </w:pPr>
      <w:r>
        <w:rPr>
          <w:noProof/>
        </w:rPr>
        <w:t>4.2.3.1.</w:t>
      </w:r>
      <w:r>
        <w:rPr>
          <w:noProof/>
        </w:rPr>
        <w:tab/>
        <w:t>Réservoir(s) de carburant de service</w:t>
      </w:r>
    </w:p>
    <w:p>
      <w:pPr>
        <w:spacing w:after="0"/>
        <w:ind w:left="1418" w:hanging="1418"/>
        <w:rPr>
          <w:rFonts w:eastAsia="Arial Unicode MS"/>
          <w:noProof/>
          <w:szCs w:val="24"/>
        </w:rPr>
      </w:pPr>
      <w:r>
        <w:rPr>
          <w:noProof/>
        </w:rPr>
        <w:t>4.2.3.1.1.</w:t>
      </w:r>
      <w:r>
        <w:rPr>
          <w:noProof/>
        </w:rPr>
        <w:tab/>
        <w:t>Nombre de réservoirs et contenance de chacun: …</w:t>
      </w:r>
    </w:p>
    <w:p>
      <w:pPr>
        <w:spacing w:after="0"/>
        <w:ind w:left="1418" w:hanging="1418"/>
        <w:rPr>
          <w:rFonts w:eastAsia="Arial Unicode MS"/>
          <w:noProof/>
          <w:szCs w:val="24"/>
        </w:rPr>
      </w:pPr>
      <w:r>
        <w:rPr>
          <w:noProof/>
        </w:rPr>
        <w:t>4.2.3.1.1.1.</w:t>
      </w:r>
      <w:r>
        <w:rPr>
          <w:noProof/>
        </w:rPr>
        <w:tab/>
        <w:t>Matériau: …</w:t>
      </w:r>
    </w:p>
    <w:p>
      <w:pPr>
        <w:spacing w:after="0"/>
        <w:ind w:left="1418" w:hanging="1418"/>
        <w:rPr>
          <w:rFonts w:eastAsia="Arial Unicode MS"/>
          <w:noProof/>
          <w:szCs w:val="24"/>
        </w:rPr>
      </w:pPr>
      <w:r>
        <w:rPr>
          <w:noProof/>
        </w:rPr>
        <w:t>4.2.3.1.2.</w:t>
      </w:r>
      <w:r>
        <w:rPr>
          <w:noProof/>
        </w:rPr>
        <w:tab/>
        <w:t>Dessin et description technique du ou des réservoirs, incluant l’ensemble des joints et canalisations du système de ventilation et d’aération, les bouchons, les soupapes et les dispositifs de fixation: …</w:t>
      </w:r>
    </w:p>
    <w:p>
      <w:pPr>
        <w:spacing w:after="0"/>
        <w:ind w:left="1418" w:hanging="1418"/>
        <w:rPr>
          <w:rFonts w:eastAsia="Arial Unicode MS"/>
          <w:noProof/>
          <w:szCs w:val="24"/>
        </w:rPr>
      </w:pPr>
      <w:r>
        <w:rPr>
          <w:noProof/>
        </w:rPr>
        <w:t>4.2.3.1.3.</w:t>
      </w:r>
      <w:r>
        <w:rPr>
          <w:noProof/>
        </w:rPr>
        <w:tab/>
        <w:t>Dessin montrant clairement l’emplacement du ou des réservoirs sur le véhicule: …</w:t>
      </w:r>
    </w:p>
    <w:p>
      <w:pPr>
        <w:spacing w:after="0"/>
        <w:ind w:left="1418" w:hanging="1418"/>
        <w:rPr>
          <w:rFonts w:eastAsia="Arial Unicode MS"/>
          <w:noProof/>
          <w:szCs w:val="24"/>
        </w:rPr>
      </w:pPr>
      <w:r>
        <w:rPr>
          <w:noProof/>
        </w:rPr>
        <w:t>4.2.3.2.</w:t>
      </w:r>
      <w:r>
        <w:rPr>
          <w:noProof/>
        </w:rPr>
        <w:tab/>
        <w:t>Réservoir(s) de carburant de réserve</w:t>
      </w:r>
    </w:p>
    <w:p>
      <w:pPr>
        <w:spacing w:after="0"/>
        <w:ind w:left="1418" w:hanging="1418"/>
        <w:rPr>
          <w:rFonts w:eastAsia="Arial Unicode MS"/>
          <w:noProof/>
          <w:szCs w:val="24"/>
        </w:rPr>
      </w:pPr>
      <w:r>
        <w:rPr>
          <w:noProof/>
        </w:rPr>
        <w:t>4.2.3.2.1.</w:t>
      </w:r>
      <w:r>
        <w:rPr>
          <w:noProof/>
        </w:rPr>
        <w:tab/>
        <w:t>Nombre de réservoirs et contenance de chacun: …</w:t>
      </w:r>
    </w:p>
    <w:p>
      <w:pPr>
        <w:spacing w:after="0"/>
        <w:ind w:left="1418" w:hanging="1418"/>
        <w:rPr>
          <w:rFonts w:eastAsia="Arial Unicode MS"/>
          <w:noProof/>
          <w:szCs w:val="24"/>
        </w:rPr>
      </w:pPr>
      <w:r>
        <w:rPr>
          <w:noProof/>
        </w:rPr>
        <w:t>4.2.3.2.1.1.</w:t>
      </w:r>
      <w:r>
        <w:rPr>
          <w:noProof/>
        </w:rPr>
        <w:tab/>
        <w:t>Matériau: …</w:t>
      </w:r>
    </w:p>
    <w:p>
      <w:pPr>
        <w:spacing w:after="0"/>
        <w:ind w:left="1418" w:hanging="1418"/>
        <w:rPr>
          <w:rFonts w:eastAsia="Arial Unicode MS"/>
          <w:noProof/>
          <w:szCs w:val="24"/>
        </w:rPr>
      </w:pPr>
      <w:r>
        <w:rPr>
          <w:noProof/>
        </w:rPr>
        <w:t>4.2.3.2.2.</w:t>
      </w:r>
      <w:r>
        <w:rPr>
          <w:noProof/>
        </w:rPr>
        <w:tab/>
        <w:t>Dessin et description technique du ou des réservoirs, incluant l’ensemble des joints et canalisations du système de ventilation et d’aération, les bouchons, les soupapes et les dispositifs de fixation: …</w:t>
      </w:r>
    </w:p>
    <w:p>
      <w:pPr>
        <w:spacing w:after="0"/>
        <w:ind w:left="1418" w:hanging="1418"/>
        <w:rPr>
          <w:rFonts w:eastAsia="Arial Unicode MS"/>
          <w:noProof/>
          <w:szCs w:val="24"/>
        </w:rPr>
      </w:pPr>
      <w:r>
        <w:rPr>
          <w:noProof/>
        </w:rPr>
        <w:t>4.2.3.2.3.</w:t>
      </w:r>
      <w:r>
        <w:rPr>
          <w:noProof/>
        </w:rPr>
        <w:tab/>
        <w:t>Dessin montrant clairement l’emplacement du ou des réservoirs sur le véhicule: …</w:t>
      </w:r>
    </w:p>
    <w:p>
      <w:pPr>
        <w:ind w:left="1418" w:hanging="1418"/>
        <w:jc w:val="left"/>
        <w:rPr>
          <w:rFonts w:eastAsia="Arial Unicode MS"/>
          <w:bCs/>
          <w:noProof/>
          <w:szCs w:val="24"/>
        </w:rPr>
      </w:pPr>
      <w:r>
        <w:rPr>
          <w:noProof/>
        </w:rPr>
        <w:t>4.2.4.</w:t>
      </w:r>
      <w:r>
        <w:rPr>
          <w:noProof/>
        </w:rPr>
        <w:tab/>
      </w:r>
      <w:r>
        <w:rPr>
          <w:i/>
          <w:noProof/>
        </w:rPr>
        <w:t>Alimentation en carburant</w:t>
      </w:r>
      <w:r>
        <w:rPr>
          <w:noProof/>
        </w:rPr>
        <w:t xml:space="preserve"> </w:t>
      </w:r>
    </w:p>
    <w:p>
      <w:pPr>
        <w:spacing w:after="0"/>
        <w:ind w:left="1418" w:hanging="1418"/>
        <w:rPr>
          <w:rFonts w:eastAsia="Arial Unicode MS"/>
          <w:noProof/>
          <w:szCs w:val="24"/>
        </w:rPr>
      </w:pPr>
      <w:r>
        <w:rPr>
          <w:noProof/>
        </w:rPr>
        <w:t>4.2.4.1.</w:t>
      </w:r>
      <w:r>
        <w:rPr>
          <w:noProof/>
        </w:rPr>
        <w:tab/>
        <w:t>Par carburateur(s): oui/non (</w:t>
      </w:r>
      <w:r>
        <w:rPr>
          <w:noProof/>
          <w:vertAlign w:val="superscript"/>
        </w:rPr>
        <w:t>1</w:t>
      </w:r>
      <w:r>
        <w:rPr>
          <w:noProof/>
        </w:rPr>
        <w:t>)</w:t>
      </w:r>
    </w:p>
    <w:p>
      <w:pPr>
        <w:spacing w:after="0"/>
        <w:ind w:left="1418" w:hanging="1418"/>
        <w:rPr>
          <w:rFonts w:eastAsia="Arial Unicode MS"/>
          <w:noProof/>
          <w:szCs w:val="24"/>
        </w:rPr>
      </w:pPr>
      <w:r>
        <w:rPr>
          <w:noProof/>
        </w:rPr>
        <w:lastRenderedPageBreak/>
        <w:t>4.2.4.2.</w:t>
      </w:r>
      <w:r>
        <w:rPr>
          <w:noProof/>
        </w:rPr>
        <w:tab/>
        <w:t>Par injection de carburant (allumage par compression ou double carburant</w:t>
      </w:r>
      <w:r>
        <w:rPr>
          <w:i/>
          <w:noProof/>
        </w:rPr>
        <w:t xml:space="preserve"> </w:t>
      </w:r>
      <w:r>
        <w:rPr>
          <w:noProof/>
        </w:rPr>
        <w:t>uniquement): oui/non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Description du système: …</w:t>
      </w:r>
    </w:p>
    <w:p>
      <w:pPr>
        <w:spacing w:after="0"/>
        <w:ind w:left="1418" w:hanging="1418"/>
        <w:rPr>
          <w:rFonts w:eastAsia="Arial Unicode MS"/>
          <w:noProof/>
          <w:szCs w:val="24"/>
        </w:rPr>
      </w:pPr>
      <w:r>
        <w:rPr>
          <w:noProof/>
        </w:rPr>
        <w:t>4.2.4.2.2.</w:t>
      </w:r>
      <w:r>
        <w:rPr>
          <w:noProof/>
        </w:rPr>
        <w:tab/>
        <w:t>Principe de fonctionnement: injection directe/chambre de précombustion/chambre de turbulence (</w:t>
      </w:r>
      <w:r>
        <w:rPr>
          <w:noProof/>
          <w:vertAlign w:val="superscript"/>
        </w:rPr>
        <w:t>1</w:t>
      </w:r>
      <w:r>
        <w:rPr>
          <w:noProof/>
        </w:rPr>
        <w:t>)</w:t>
      </w:r>
    </w:p>
    <w:p>
      <w:pPr>
        <w:spacing w:after="0"/>
        <w:ind w:left="1418" w:hanging="1418"/>
        <w:rPr>
          <w:rFonts w:eastAsia="Arial Unicode MS"/>
          <w:noProof/>
          <w:szCs w:val="24"/>
        </w:rPr>
      </w:pPr>
      <w:r>
        <w:rPr>
          <w:noProof/>
        </w:rPr>
        <w:t>4.2.4.2.3.</w:t>
      </w:r>
      <w:r>
        <w:rPr>
          <w:noProof/>
        </w:rPr>
        <w:tab/>
        <w:t>Pompe d’injection</w:t>
      </w:r>
    </w:p>
    <w:p>
      <w:pPr>
        <w:spacing w:after="0"/>
        <w:ind w:left="1418" w:hanging="1418"/>
        <w:rPr>
          <w:rFonts w:eastAsia="Arial Unicode MS"/>
          <w:noProof/>
          <w:szCs w:val="24"/>
        </w:rPr>
      </w:pPr>
      <w:r>
        <w:rPr>
          <w:noProof/>
        </w:rPr>
        <w:t>4.2.4.2.3.1.</w:t>
      </w:r>
      <w:r>
        <w:rPr>
          <w:noProof/>
        </w:rPr>
        <w:tab/>
        <w:t>Marque(s): …</w:t>
      </w:r>
    </w:p>
    <w:p>
      <w:pPr>
        <w:spacing w:after="0"/>
        <w:ind w:left="1418" w:hanging="1418"/>
        <w:rPr>
          <w:rFonts w:eastAsia="Arial Unicode MS"/>
          <w:noProof/>
          <w:szCs w:val="24"/>
        </w:rPr>
      </w:pPr>
      <w:r>
        <w:rPr>
          <w:noProof/>
        </w:rPr>
        <w:t>4.2.4.2.3.2.</w:t>
      </w:r>
      <w:r>
        <w:rPr>
          <w:noProof/>
        </w:rPr>
        <w:tab/>
        <w:t>Type(s): …</w:t>
      </w:r>
    </w:p>
    <w:p>
      <w:pPr>
        <w:spacing w:after="0"/>
        <w:ind w:left="1418" w:hanging="1418"/>
        <w:rPr>
          <w:rFonts w:eastAsia="Arial Unicode MS"/>
          <w:noProof/>
          <w:szCs w:val="24"/>
        </w:rPr>
      </w:pPr>
      <w:r>
        <w:rPr>
          <w:noProof/>
        </w:rPr>
        <w:t>4.2.4.2.3.3.</w:t>
      </w:r>
      <w:r>
        <w:rPr>
          <w:noProof/>
        </w:rPr>
        <w:tab/>
        <w:t>Débit maximal de carburant (</w:t>
      </w:r>
      <w:r>
        <w:rPr>
          <w:noProof/>
          <w:vertAlign w:val="superscript"/>
        </w:rPr>
        <w:t>1</w:t>
      </w:r>
      <w:r>
        <w:rPr>
          <w:noProof/>
        </w:rPr>
        <w:t>) (</w:t>
      </w:r>
      <w:r>
        <w:rPr>
          <w:noProof/>
          <w:vertAlign w:val="superscript"/>
        </w:rPr>
        <w:t>2</w:t>
      </w:r>
      <w:r>
        <w:rPr>
          <w:noProof/>
        </w:rPr>
        <w:t>) : …… mm</w:t>
      </w:r>
      <w:r>
        <w:rPr>
          <w:noProof/>
          <w:vertAlign w:val="superscript"/>
        </w:rPr>
        <w:t>3</w:t>
      </w:r>
      <w:r>
        <w:rPr>
          <w:noProof/>
        </w:rPr>
        <w:t>/course ou cycle au régime moteur de: … min</w:t>
      </w:r>
      <w:r>
        <w:rPr>
          <w:noProof/>
          <w:vertAlign w:val="superscript"/>
        </w:rPr>
        <w:t>-1</w:t>
      </w:r>
      <w:r>
        <w:rPr>
          <w:noProof/>
        </w:rPr>
        <w:t xml:space="preserve"> ou, à défaut, diagramme caractéristique: …</w:t>
      </w:r>
    </w:p>
    <w:p>
      <w:pPr>
        <w:ind w:left="1418" w:hanging="1418"/>
        <w:rPr>
          <w:rFonts w:eastAsia="Arial Unicode MS"/>
          <w:noProof/>
          <w:szCs w:val="24"/>
        </w:rPr>
      </w:pPr>
      <w:r>
        <w:rPr>
          <w:noProof/>
        </w:rPr>
        <w:tab/>
        <w:t>(S’il existe une gestion de la pression de suralimentation, indiquer les valeurs caractéristiques de débit de carburant et de pression de suralimentation en fonction du régime moteur)</w:t>
      </w:r>
    </w:p>
    <w:p>
      <w:pPr>
        <w:spacing w:after="0"/>
        <w:ind w:left="1418" w:hanging="1418"/>
        <w:rPr>
          <w:rFonts w:eastAsia="Arial Unicode MS"/>
          <w:noProof/>
          <w:szCs w:val="24"/>
        </w:rPr>
      </w:pPr>
      <w:r>
        <w:rPr>
          <w:noProof/>
        </w:rPr>
        <w:t>4.2.4.2.3.4.</w:t>
      </w:r>
      <w:r>
        <w:rPr>
          <w:noProof/>
        </w:rPr>
        <w:tab/>
        <w:t>Calage statique de l’injection (</w:t>
      </w:r>
      <w:r>
        <w:rPr>
          <w:noProof/>
          <w:vertAlign w:val="superscript"/>
        </w:rPr>
        <w:t>2</w:t>
      </w:r>
      <w:r>
        <w:rPr>
          <w:noProof/>
        </w:rPr>
        <w:t>): …</w:t>
      </w:r>
    </w:p>
    <w:p>
      <w:pPr>
        <w:spacing w:after="0"/>
        <w:ind w:left="1418" w:hanging="1418"/>
        <w:rPr>
          <w:rFonts w:eastAsia="Arial Unicode MS"/>
          <w:noProof/>
          <w:szCs w:val="24"/>
        </w:rPr>
      </w:pPr>
      <w:r>
        <w:rPr>
          <w:noProof/>
        </w:rPr>
        <w:t>4.2.4.2.3.5.</w:t>
      </w:r>
      <w:r>
        <w:rPr>
          <w:noProof/>
        </w:rPr>
        <w:tab/>
        <w:t>Courbe d’avance à l’injection (</w:t>
      </w:r>
      <w:r>
        <w:rPr>
          <w:noProof/>
          <w:vertAlign w:val="superscript"/>
        </w:rPr>
        <w:t>2</w:t>
      </w:r>
      <w:r>
        <w:rPr>
          <w:noProof/>
        </w:rPr>
        <w:t>): …</w:t>
      </w:r>
    </w:p>
    <w:p>
      <w:pPr>
        <w:spacing w:after="0"/>
        <w:ind w:left="1418" w:hanging="1418"/>
        <w:rPr>
          <w:rFonts w:eastAsia="Arial Unicode MS"/>
          <w:noProof/>
          <w:szCs w:val="24"/>
        </w:rPr>
      </w:pPr>
      <w:r>
        <w:rPr>
          <w:noProof/>
        </w:rPr>
        <w:t>4.2.4.2.3.6.</w:t>
      </w:r>
      <w:r>
        <w:rPr>
          <w:noProof/>
        </w:rPr>
        <w:tab/>
        <w:t>Procédure d’étalonnage: banc d’essai/moteur (</w:t>
      </w:r>
      <w:r>
        <w:rPr>
          <w:noProof/>
          <w:vertAlign w:val="superscript"/>
        </w:rPr>
        <w:t>1</w:t>
      </w:r>
      <w:r>
        <w:rPr>
          <w:noProof/>
        </w:rPr>
        <w:t>)</w:t>
      </w:r>
    </w:p>
    <w:p>
      <w:pPr>
        <w:spacing w:after="0"/>
        <w:ind w:left="1418" w:hanging="1418"/>
        <w:rPr>
          <w:rFonts w:eastAsia="Arial Unicode MS"/>
          <w:noProof/>
          <w:szCs w:val="24"/>
        </w:rPr>
      </w:pPr>
      <w:r>
        <w:rPr>
          <w:noProof/>
        </w:rPr>
        <w:t>4.2.4.2.4.</w:t>
      </w:r>
      <w:r>
        <w:rPr>
          <w:noProof/>
        </w:rPr>
        <w:tab/>
        <w:t>Régulateur</w:t>
      </w:r>
    </w:p>
    <w:p>
      <w:pPr>
        <w:spacing w:after="0"/>
        <w:ind w:left="1418" w:hanging="1418"/>
        <w:rPr>
          <w:rFonts w:eastAsia="Arial Unicode MS"/>
          <w:noProof/>
          <w:szCs w:val="24"/>
        </w:rPr>
      </w:pPr>
      <w:r>
        <w:rPr>
          <w:noProof/>
        </w:rPr>
        <w:t>4.2.4.2.4.1.</w:t>
      </w:r>
      <w:r>
        <w:rPr>
          <w:noProof/>
        </w:rPr>
        <w:tab/>
        <w:t>Type: …</w:t>
      </w:r>
    </w:p>
    <w:p>
      <w:pPr>
        <w:spacing w:after="0"/>
        <w:ind w:left="1418" w:hanging="1418"/>
        <w:rPr>
          <w:rFonts w:eastAsia="Arial Unicode MS"/>
          <w:noProof/>
          <w:szCs w:val="24"/>
        </w:rPr>
      </w:pPr>
      <w:r>
        <w:rPr>
          <w:noProof/>
        </w:rPr>
        <w:t>4.2.4.2.4.2.</w:t>
      </w:r>
      <w:r>
        <w:rPr>
          <w:noProof/>
        </w:rPr>
        <w:tab/>
        <w:t>Point de coupure</w:t>
      </w:r>
    </w:p>
    <w:p>
      <w:pPr>
        <w:spacing w:after="0"/>
        <w:ind w:left="1418" w:hanging="1418"/>
        <w:rPr>
          <w:rFonts w:eastAsia="Arial Unicode MS"/>
          <w:noProof/>
          <w:szCs w:val="24"/>
        </w:rPr>
      </w:pPr>
      <w:r>
        <w:rPr>
          <w:noProof/>
        </w:rPr>
        <w:t>4.2.4.2.4.2.1.</w:t>
      </w:r>
      <w:r>
        <w:rPr>
          <w:noProof/>
        </w:rPr>
        <w:tab/>
        <w:t>Régime de début de coupure en charge: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Régime maximal à vide: …… min</w:t>
      </w:r>
      <w:r>
        <w:rPr>
          <w:noProof/>
          <w:vertAlign w:val="superscript"/>
        </w:rPr>
        <w:t>-1</w:t>
      </w:r>
      <w:r>
        <w:rPr>
          <w:noProof/>
        </w:rPr>
        <w:t xml:space="preserve"> </w:t>
      </w:r>
    </w:p>
    <w:p>
      <w:pPr>
        <w:spacing w:after="0"/>
        <w:ind w:left="1418" w:hanging="1418"/>
        <w:rPr>
          <w:rFonts w:eastAsia="Arial Unicode MS"/>
          <w:noProof/>
          <w:szCs w:val="24"/>
        </w:rPr>
      </w:pPr>
      <w:r>
        <w:rPr>
          <w:noProof/>
        </w:rPr>
        <w:t>4.2.4.2.4.2.3.</w:t>
      </w:r>
      <w:r>
        <w:rPr>
          <w:noProof/>
        </w:rPr>
        <w:tab/>
        <w:t>Régime de ralenti: ….. min</w:t>
      </w:r>
      <w:r>
        <w:rPr>
          <w:noProof/>
          <w:vertAlign w:val="superscript"/>
        </w:rPr>
        <w:t>-1</w:t>
      </w:r>
      <w:r>
        <w:rPr>
          <w:noProof/>
        </w:rPr>
        <w:t xml:space="preserve"> </w:t>
      </w:r>
    </w:p>
    <w:p>
      <w:pPr>
        <w:spacing w:after="0"/>
        <w:ind w:left="1418" w:hanging="1418"/>
        <w:rPr>
          <w:rFonts w:eastAsia="Arial Unicode MS"/>
          <w:noProof/>
          <w:szCs w:val="24"/>
        </w:rPr>
      </w:pPr>
      <w:r>
        <w:rPr>
          <w:noProof/>
        </w:rPr>
        <w:t>4.2.4.2.5.</w:t>
      </w:r>
      <w:r>
        <w:rPr>
          <w:noProof/>
        </w:rPr>
        <w:tab/>
        <w:t>Tuyauterie d’injection (véhicules lourds uniquement)</w:t>
      </w:r>
    </w:p>
    <w:p>
      <w:pPr>
        <w:spacing w:after="0"/>
        <w:ind w:left="1418" w:hanging="1418"/>
        <w:rPr>
          <w:rFonts w:eastAsia="Arial Unicode MS"/>
          <w:noProof/>
          <w:szCs w:val="24"/>
        </w:rPr>
      </w:pPr>
      <w:r>
        <w:rPr>
          <w:noProof/>
        </w:rPr>
        <w:t>4.2.4.2.5.1.</w:t>
      </w:r>
      <w:r>
        <w:rPr>
          <w:noProof/>
        </w:rPr>
        <w:tab/>
        <w:t>Longueur: …… mm</w:t>
      </w:r>
    </w:p>
    <w:p>
      <w:pPr>
        <w:spacing w:after="0"/>
        <w:ind w:left="1418" w:hanging="1418"/>
        <w:rPr>
          <w:rFonts w:eastAsia="Arial Unicode MS"/>
          <w:noProof/>
          <w:szCs w:val="24"/>
        </w:rPr>
      </w:pPr>
      <w:r>
        <w:rPr>
          <w:noProof/>
        </w:rPr>
        <w:t>4.2.4.2.5.2.</w:t>
      </w:r>
      <w:r>
        <w:rPr>
          <w:noProof/>
        </w:rPr>
        <w:tab/>
        <w:t>Diamètre interne: …… mm</w:t>
      </w:r>
    </w:p>
    <w:p>
      <w:pPr>
        <w:spacing w:after="0"/>
        <w:ind w:left="1418" w:hanging="1418"/>
        <w:rPr>
          <w:rFonts w:eastAsia="Arial Unicode MS"/>
          <w:noProof/>
          <w:szCs w:val="24"/>
        </w:rPr>
      </w:pPr>
      <w:r>
        <w:rPr>
          <w:noProof/>
        </w:rPr>
        <w:t>4.2.4.2.5.3.</w:t>
      </w:r>
      <w:r>
        <w:rPr>
          <w:noProof/>
        </w:rPr>
        <w:tab/>
        <w:t>Rampe commune, marque et type: …</w:t>
      </w:r>
    </w:p>
    <w:p>
      <w:pPr>
        <w:spacing w:after="0"/>
        <w:ind w:left="1418" w:hanging="1418"/>
        <w:rPr>
          <w:rFonts w:eastAsia="Arial Unicode MS"/>
          <w:noProof/>
          <w:szCs w:val="24"/>
        </w:rPr>
      </w:pPr>
      <w:r>
        <w:rPr>
          <w:noProof/>
        </w:rPr>
        <w:t>4.2.4.2.6.</w:t>
      </w:r>
      <w:r>
        <w:rPr>
          <w:noProof/>
        </w:rPr>
        <w:tab/>
        <w:t>Injecteurs(s)</w:t>
      </w:r>
    </w:p>
    <w:p>
      <w:pPr>
        <w:spacing w:after="0"/>
        <w:ind w:left="1418" w:hanging="1418"/>
        <w:rPr>
          <w:rFonts w:eastAsia="Arial Unicode MS"/>
          <w:noProof/>
          <w:szCs w:val="24"/>
        </w:rPr>
      </w:pPr>
      <w:r>
        <w:rPr>
          <w:noProof/>
        </w:rPr>
        <w:t>4.2.4.2.6.1.</w:t>
      </w:r>
      <w:r>
        <w:rPr>
          <w:noProof/>
        </w:rPr>
        <w:tab/>
        <w:t>Marque(s): …</w:t>
      </w:r>
    </w:p>
    <w:p>
      <w:pPr>
        <w:spacing w:after="0"/>
        <w:ind w:left="1418" w:hanging="1418"/>
        <w:rPr>
          <w:rFonts w:eastAsia="Arial Unicode MS"/>
          <w:noProof/>
          <w:szCs w:val="24"/>
        </w:rPr>
      </w:pPr>
      <w:r>
        <w:rPr>
          <w:noProof/>
        </w:rPr>
        <w:t>4.2.4.2.6.2.</w:t>
      </w:r>
      <w:r>
        <w:rPr>
          <w:noProof/>
        </w:rPr>
        <w:tab/>
        <w:t>Type(s): …</w:t>
      </w:r>
    </w:p>
    <w:p>
      <w:pPr>
        <w:spacing w:after="0"/>
        <w:ind w:left="1418" w:hanging="1418"/>
        <w:rPr>
          <w:rFonts w:eastAsia="Arial Unicode MS"/>
          <w:noProof/>
          <w:szCs w:val="24"/>
        </w:rPr>
      </w:pPr>
      <w:r>
        <w:rPr>
          <w:noProof/>
        </w:rPr>
        <w:t>4.2.4.2.6.3.</w:t>
      </w:r>
      <w:r>
        <w:rPr>
          <w:noProof/>
        </w:rPr>
        <w:tab/>
        <w:t>Pression d’ouverture (</w:t>
      </w:r>
      <w:r>
        <w:rPr>
          <w:noProof/>
          <w:vertAlign w:val="superscript"/>
        </w:rPr>
        <w:t>2</w:t>
      </w:r>
      <w:r>
        <w:rPr>
          <w:noProof/>
        </w:rPr>
        <w:t>): … kPa, ou diagramme caractéristique (</w:t>
      </w:r>
      <w:r>
        <w:rPr>
          <w:noProof/>
          <w:vertAlign w:val="superscript"/>
        </w:rPr>
        <w:t>é</w:t>
      </w:r>
      <w:r>
        <w:rPr>
          <w:noProof/>
        </w:rPr>
        <w:t>): …</w:t>
      </w:r>
    </w:p>
    <w:p>
      <w:pPr>
        <w:spacing w:after="0"/>
        <w:ind w:left="1418" w:hanging="1418"/>
        <w:rPr>
          <w:rFonts w:eastAsia="Arial Unicode MS"/>
          <w:noProof/>
          <w:szCs w:val="24"/>
        </w:rPr>
      </w:pPr>
      <w:r>
        <w:rPr>
          <w:noProof/>
        </w:rPr>
        <w:t>4.2.4.2.7.</w:t>
      </w:r>
      <w:r>
        <w:rPr>
          <w:noProof/>
        </w:rPr>
        <w:tab/>
        <w:t>Système de démarrage à froid</w:t>
      </w:r>
    </w:p>
    <w:p>
      <w:pPr>
        <w:spacing w:after="0"/>
        <w:ind w:left="1418" w:hanging="1418"/>
        <w:rPr>
          <w:rFonts w:eastAsia="Arial Unicode MS"/>
          <w:noProof/>
          <w:szCs w:val="24"/>
        </w:rPr>
      </w:pPr>
      <w:r>
        <w:rPr>
          <w:noProof/>
        </w:rPr>
        <w:t>4.2.4.2.7.1.</w:t>
      </w:r>
      <w:r>
        <w:rPr>
          <w:noProof/>
        </w:rPr>
        <w:tab/>
        <w:t>Marque(s): …</w:t>
      </w:r>
    </w:p>
    <w:p>
      <w:pPr>
        <w:spacing w:after="0"/>
        <w:ind w:left="1418" w:hanging="1418"/>
        <w:rPr>
          <w:rFonts w:eastAsia="Arial Unicode MS"/>
          <w:noProof/>
          <w:szCs w:val="24"/>
        </w:rPr>
      </w:pPr>
      <w:r>
        <w:rPr>
          <w:noProof/>
        </w:rPr>
        <w:t>4.2.4.2.7.2.</w:t>
      </w:r>
      <w:r>
        <w:rPr>
          <w:noProof/>
        </w:rPr>
        <w:tab/>
        <w:t>Type(s): …</w:t>
      </w:r>
    </w:p>
    <w:p>
      <w:pPr>
        <w:spacing w:after="0"/>
        <w:ind w:left="1418" w:hanging="1418"/>
        <w:rPr>
          <w:rFonts w:eastAsia="Arial Unicode MS"/>
          <w:noProof/>
          <w:szCs w:val="24"/>
        </w:rPr>
      </w:pPr>
      <w:r>
        <w:rPr>
          <w:noProof/>
        </w:rPr>
        <w:t>4.2.4.2.7.3.</w:t>
      </w:r>
      <w:r>
        <w:rPr>
          <w:noProof/>
        </w:rPr>
        <w:tab/>
        <w:t>Description: …</w:t>
      </w:r>
    </w:p>
    <w:p>
      <w:pPr>
        <w:spacing w:after="0"/>
        <w:ind w:left="1418" w:hanging="1418"/>
        <w:rPr>
          <w:rFonts w:eastAsia="Arial Unicode MS"/>
          <w:noProof/>
          <w:szCs w:val="24"/>
        </w:rPr>
      </w:pPr>
      <w:r>
        <w:rPr>
          <w:noProof/>
        </w:rPr>
        <w:t>4.2.4.2.8.</w:t>
      </w:r>
      <w:r>
        <w:rPr>
          <w:noProof/>
        </w:rPr>
        <w:tab/>
        <w:t>Dispositif auxiliaire de démarrage</w:t>
      </w:r>
    </w:p>
    <w:p>
      <w:pPr>
        <w:spacing w:after="0"/>
        <w:ind w:left="1418" w:hanging="1418"/>
        <w:rPr>
          <w:rFonts w:eastAsia="Arial Unicode MS"/>
          <w:noProof/>
          <w:szCs w:val="24"/>
        </w:rPr>
      </w:pPr>
      <w:r>
        <w:rPr>
          <w:noProof/>
        </w:rPr>
        <w:lastRenderedPageBreak/>
        <w:t>4.2.4.2.8.1.</w:t>
      </w:r>
      <w:r>
        <w:rPr>
          <w:noProof/>
        </w:rPr>
        <w:tab/>
        <w:t>Marque(s): …</w:t>
      </w:r>
    </w:p>
    <w:p>
      <w:pPr>
        <w:spacing w:after="0"/>
        <w:ind w:left="1418" w:hanging="1418"/>
        <w:rPr>
          <w:rFonts w:eastAsia="Arial Unicode MS"/>
          <w:noProof/>
          <w:szCs w:val="24"/>
        </w:rPr>
      </w:pPr>
      <w:r>
        <w:rPr>
          <w:noProof/>
        </w:rPr>
        <w:t>4.2.4.2.8.2.</w:t>
      </w:r>
      <w:r>
        <w:rPr>
          <w:noProof/>
        </w:rPr>
        <w:tab/>
        <w:t>Type(s): …</w:t>
      </w:r>
    </w:p>
    <w:p>
      <w:pPr>
        <w:spacing w:after="0"/>
        <w:ind w:left="1418" w:hanging="1418"/>
        <w:rPr>
          <w:rFonts w:eastAsia="Arial Unicode MS"/>
          <w:noProof/>
          <w:szCs w:val="24"/>
        </w:rPr>
      </w:pPr>
      <w:r>
        <w:rPr>
          <w:noProof/>
        </w:rPr>
        <w:t>4.2.4.2.8.3.</w:t>
      </w:r>
      <w:r>
        <w:rPr>
          <w:noProof/>
        </w:rPr>
        <w:tab/>
        <w:t>Description du système: …</w:t>
      </w:r>
    </w:p>
    <w:p>
      <w:pPr>
        <w:spacing w:after="0"/>
        <w:ind w:left="1418" w:hanging="1418"/>
        <w:rPr>
          <w:rFonts w:eastAsia="Arial Unicode MS"/>
          <w:noProof/>
          <w:szCs w:val="24"/>
        </w:rPr>
      </w:pPr>
      <w:r>
        <w:rPr>
          <w:noProof/>
        </w:rPr>
        <w:t>4.2.4.2.9.</w:t>
      </w:r>
      <w:r>
        <w:rPr>
          <w:noProof/>
        </w:rPr>
        <w:tab/>
        <w:t>Injection à commande électronique: oui/non (</w:t>
      </w:r>
      <w:r>
        <w:rPr>
          <w:noProof/>
          <w:vertAlign w:val="superscript"/>
        </w:rPr>
        <w:t>1</w:t>
      </w:r>
      <w:r>
        <w:rPr>
          <w:noProof/>
        </w:rPr>
        <w:t>)</w:t>
      </w:r>
    </w:p>
    <w:p>
      <w:pPr>
        <w:spacing w:after="0"/>
        <w:ind w:left="1418" w:hanging="1418"/>
        <w:rPr>
          <w:rFonts w:eastAsia="Arial Unicode MS"/>
          <w:noProof/>
          <w:szCs w:val="24"/>
        </w:rPr>
      </w:pPr>
      <w:r>
        <w:rPr>
          <w:noProof/>
        </w:rPr>
        <w:t>4.2.4.2.9.1.</w:t>
      </w:r>
      <w:r>
        <w:rPr>
          <w:noProof/>
        </w:rPr>
        <w:tab/>
        <w:t>Marque(s): …</w:t>
      </w:r>
    </w:p>
    <w:p>
      <w:pPr>
        <w:spacing w:after="0"/>
        <w:ind w:left="1418" w:hanging="1418"/>
        <w:rPr>
          <w:rFonts w:eastAsia="Arial Unicode MS"/>
          <w:noProof/>
          <w:szCs w:val="24"/>
        </w:rPr>
      </w:pPr>
      <w:r>
        <w:rPr>
          <w:noProof/>
        </w:rPr>
        <w:t>4.2.4.2.9.2.</w:t>
      </w:r>
      <w:r>
        <w:rPr>
          <w:noProof/>
        </w:rPr>
        <w:tab/>
        <w:t>Type(s):</w:t>
      </w:r>
    </w:p>
    <w:p>
      <w:pPr>
        <w:spacing w:after="0"/>
        <w:ind w:left="1418" w:hanging="1418"/>
        <w:rPr>
          <w:rFonts w:eastAsia="Arial Unicode MS"/>
          <w:noProof/>
          <w:szCs w:val="24"/>
        </w:rPr>
      </w:pPr>
      <w:r>
        <w:rPr>
          <w:noProof/>
        </w:rPr>
        <w:t>4.2.4.2.9.3.</w:t>
      </w:r>
      <w:r>
        <w:rPr>
          <w:noProof/>
        </w:rPr>
        <w:tab/>
        <w:t>Description du système (dans le cas de systèmes autres que l’injection continue, fournir les données correspondantes): …</w:t>
      </w:r>
    </w:p>
    <w:p>
      <w:pPr>
        <w:spacing w:after="0"/>
        <w:ind w:left="1418" w:hanging="1418"/>
        <w:rPr>
          <w:rFonts w:eastAsia="Arial Unicode MS"/>
          <w:noProof/>
          <w:szCs w:val="24"/>
        </w:rPr>
      </w:pPr>
      <w:r>
        <w:rPr>
          <w:noProof/>
        </w:rPr>
        <w:t>4.2.4.2.9.3.1.</w:t>
      </w:r>
      <w:r>
        <w:rPr>
          <w:noProof/>
        </w:rPr>
        <w:tab/>
        <w:t>Marque et type de l’unité de commande électronique (ECU): …</w:t>
      </w:r>
    </w:p>
    <w:p>
      <w:pPr>
        <w:spacing w:after="0"/>
        <w:ind w:left="1418" w:hanging="1418"/>
        <w:rPr>
          <w:rFonts w:eastAsia="Arial Unicode MS"/>
          <w:noProof/>
          <w:szCs w:val="24"/>
        </w:rPr>
      </w:pPr>
      <w:r>
        <w:rPr>
          <w:noProof/>
        </w:rPr>
        <w:t>4.2.4.2.9.3.2.</w:t>
      </w:r>
      <w:r>
        <w:rPr>
          <w:noProof/>
        </w:rPr>
        <w:tab/>
        <w:t>Marque et type du régulateur de carburant: …</w:t>
      </w:r>
    </w:p>
    <w:p>
      <w:pPr>
        <w:spacing w:after="0"/>
        <w:ind w:left="1418" w:hanging="1418"/>
        <w:rPr>
          <w:rFonts w:eastAsia="Arial Unicode MS"/>
          <w:noProof/>
          <w:szCs w:val="24"/>
        </w:rPr>
      </w:pPr>
      <w:r>
        <w:rPr>
          <w:noProof/>
        </w:rPr>
        <w:t>4.2.4.2.9.3.3.</w:t>
      </w:r>
      <w:r>
        <w:rPr>
          <w:noProof/>
        </w:rPr>
        <w:tab/>
        <w:t>Marque et type du capteur de débit d’air: …</w:t>
      </w:r>
    </w:p>
    <w:p>
      <w:pPr>
        <w:spacing w:after="0"/>
        <w:ind w:left="1418" w:hanging="1418"/>
        <w:rPr>
          <w:rFonts w:eastAsia="Arial Unicode MS"/>
          <w:noProof/>
          <w:szCs w:val="24"/>
        </w:rPr>
      </w:pPr>
      <w:r>
        <w:rPr>
          <w:noProof/>
        </w:rPr>
        <w:t>4.2.4.2.9.3.4.</w:t>
      </w:r>
      <w:r>
        <w:rPr>
          <w:noProof/>
        </w:rPr>
        <w:tab/>
        <w:t>Marque et type du distributeur de carburant: …</w:t>
      </w:r>
    </w:p>
    <w:p>
      <w:pPr>
        <w:spacing w:after="0"/>
        <w:ind w:left="1418" w:hanging="1418"/>
        <w:rPr>
          <w:rFonts w:eastAsia="Arial Unicode MS"/>
          <w:noProof/>
          <w:szCs w:val="24"/>
        </w:rPr>
      </w:pPr>
      <w:r>
        <w:rPr>
          <w:noProof/>
        </w:rPr>
        <w:t>4.2.4.2.9.3.5.</w:t>
      </w:r>
      <w:r>
        <w:rPr>
          <w:noProof/>
        </w:rPr>
        <w:tab/>
        <w:t>Marque et type du boîtier de commande des gaz: …</w:t>
      </w:r>
    </w:p>
    <w:p>
      <w:pPr>
        <w:spacing w:after="0"/>
        <w:ind w:left="1418" w:hanging="1418"/>
        <w:rPr>
          <w:rFonts w:eastAsia="Arial Unicode MS"/>
          <w:noProof/>
          <w:szCs w:val="24"/>
        </w:rPr>
      </w:pPr>
      <w:r>
        <w:rPr>
          <w:noProof/>
        </w:rPr>
        <w:t>4.2.4.2.9.3.6.</w:t>
      </w:r>
      <w:r>
        <w:rPr>
          <w:noProof/>
        </w:rPr>
        <w:tab/>
        <w:t>Marque et type du capteur de température d’eau: …</w:t>
      </w:r>
    </w:p>
    <w:p>
      <w:pPr>
        <w:spacing w:after="0"/>
        <w:ind w:left="1418" w:hanging="1418"/>
        <w:rPr>
          <w:rFonts w:eastAsia="Arial Unicode MS"/>
          <w:noProof/>
          <w:szCs w:val="24"/>
        </w:rPr>
      </w:pPr>
      <w:r>
        <w:rPr>
          <w:noProof/>
        </w:rPr>
        <w:t>4.2.4.2.9.3.7.</w:t>
      </w:r>
      <w:r>
        <w:rPr>
          <w:noProof/>
        </w:rPr>
        <w:tab/>
        <w:t>Marque et type du capteur de température d’air: …</w:t>
      </w:r>
    </w:p>
    <w:p>
      <w:pPr>
        <w:spacing w:after="0"/>
        <w:ind w:left="1418" w:hanging="1418"/>
        <w:rPr>
          <w:rFonts w:eastAsia="Arial Unicode MS"/>
          <w:noProof/>
          <w:szCs w:val="24"/>
        </w:rPr>
      </w:pPr>
      <w:r>
        <w:rPr>
          <w:noProof/>
        </w:rPr>
        <w:t>4.2.4.2.9.3.8.</w:t>
      </w:r>
      <w:r>
        <w:rPr>
          <w:noProof/>
        </w:rPr>
        <w:tab/>
        <w:t>Marque et type du capteur de pression atmosphérique: …</w:t>
      </w:r>
    </w:p>
    <w:p>
      <w:pPr>
        <w:spacing w:after="0"/>
        <w:ind w:left="1418" w:hanging="1418"/>
        <w:rPr>
          <w:rFonts w:eastAsia="Arial Unicode MS"/>
          <w:noProof/>
          <w:szCs w:val="24"/>
        </w:rPr>
      </w:pPr>
      <w:r>
        <w:rPr>
          <w:noProof/>
        </w:rPr>
        <w:t>4.2.4.2.9.3.9.</w:t>
      </w:r>
      <w:r>
        <w:rPr>
          <w:noProof/>
        </w:rPr>
        <w:tab/>
        <w:t>Numéro(s) d’étalonnage du logiciel: …</w:t>
      </w:r>
    </w:p>
    <w:p>
      <w:pPr>
        <w:spacing w:after="0"/>
        <w:ind w:left="1418" w:hanging="1418"/>
        <w:rPr>
          <w:rFonts w:eastAsia="Arial Unicode MS"/>
          <w:noProof/>
          <w:szCs w:val="24"/>
        </w:rPr>
      </w:pPr>
      <w:r>
        <w:rPr>
          <w:noProof/>
        </w:rPr>
        <w:t>4.2.4.3.</w:t>
      </w:r>
      <w:r>
        <w:rPr>
          <w:noProof/>
        </w:rPr>
        <w:tab/>
        <w:t>Par injection de carburant (allumage commandé uniquement): oui/non (</w:t>
      </w:r>
      <w:r>
        <w:rPr>
          <w:noProof/>
          <w:vertAlign w:val="superscript"/>
        </w:rPr>
        <w:t>1</w:t>
      </w:r>
      <w:r>
        <w:rPr>
          <w:noProof/>
        </w:rPr>
        <w:t>)</w:t>
      </w:r>
    </w:p>
    <w:p>
      <w:pPr>
        <w:spacing w:after="0"/>
        <w:ind w:left="1418" w:hanging="1418"/>
        <w:rPr>
          <w:rFonts w:eastAsia="Arial Unicode MS"/>
          <w:noProof/>
          <w:szCs w:val="24"/>
        </w:rPr>
      </w:pPr>
      <w:r>
        <w:rPr>
          <w:noProof/>
        </w:rPr>
        <w:t>4.2.4.3.1.</w:t>
      </w:r>
      <w:r>
        <w:rPr>
          <w:noProof/>
        </w:rPr>
        <w:tab/>
        <w:t>Principe de fonctionnement: injection dans le collecteur d’admission [simple/multiple/injection directe (</w:t>
      </w:r>
      <w:r>
        <w:rPr>
          <w:noProof/>
          <w:vertAlign w:val="superscript"/>
        </w:rPr>
        <w:t>1</w:t>
      </w:r>
      <w:r>
        <w:rPr>
          <w:noProof/>
        </w:rPr>
        <w:t>) /autres (préciser)]: …</w:t>
      </w:r>
    </w:p>
    <w:p>
      <w:pPr>
        <w:spacing w:after="0"/>
        <w:ind w:left="1418" w:hanging="1418"/>
        <w:rPr>
          <w:rFonts w:eastAsia="Arial Unicode MS"/>
          <w:noProof/>
          <w:szCs w:val="24"/>
        </w:rPr>
      </w:pPr>
      <w:r>
        <w:rPr>
          <w:noProof/>
        </w:rPr>
        <w:t>4.2.4.3.2.</w:t>
      </w:r>
      <w:r>
        <w:rPr>
          <w:noProof/>
        </w:rPr>
        <w:tab/>
        <w:t>Marque(s): …</w:t>
      </w:r>
    </w:p>
    <w:p>
      <w:pPr>
        <w:spacing w:after="0"/>
        <w:ind w:left="1418" w:hanging="1418"/>
        <w:rPr>
          <w:rFonts w:eastAsia="Arial Unicode MS"/>
          <w:noProof/>
          <w:szCs w:val="24"/>
        </w:rPr>
      </w:pPr>
      <w:r>
        <w:rPr>
          <w:noProof/>
        </w:rPr>
        <w:t>4.2.4.3.3.</w:t>
      </w:r>
      <w:r>
        <w:rPr>
          <w:noProof/>
        </w:rPr>
        <w:tab/>
        <w:t>Type(s): …</w:t>
      </w:r>
    </w:p>
    <w:p>
      <w:pPr>
        <w:spacing w:after="0"/>
        <w:ind w:left="1418" w:hanging="1418"/>
        <w:rPr>
          <w:rFonts w:eastAsia="Arial Unicode MS"/>
          <w:noProof/>
          <w:szCs w:val="24"/>
        </w:rPr>
      </w:pPr>
      <w:r>
        <w:rPr>
          <w:noProof/>
        </w:rPr>
        <w:t>4.2.4.3.4.</w:t>
      </w:r>
      <w:r>
        <w:rPr>
          <w:noProof/>
        </w:rPr>
        <w:tab/>
        <w:t>Description du système (dans le cas de systèmes autres que l’injection continue, fournir les données correspondantes): …</w:t>
      </w:r>
    </w:p>
    <w:p>
      <w:pPr>
        <w:spacing w:after="0"/>
        <w:ind w:left="1418" w:hanging="1418"/>
        <w:rPr>
          <w:rFonts w:eastAsia="Arial Unicode MS"/>
          <w:noProof/>
          <w:szCs w:val="24"/>
        </w:rPr>
      </w:pPr>
      <w:r>
        <w:rPr>
          <w:noProof/>
        </w:rPr>
        <w:t>4.2.4.3.4.1.</w:t>
      </w:r>
      <w:r>
        <w:rPr>
          <w:noProof/>
        </w:rPr>
        <w:tab/>
        <w:t>Marque et type de l’unité de commande électronique (ECU): …</w:t>
      </w:r>
    </w:p>
    <w:p>
      <w:pPr>
        <w:spacing w:after="0"/>
        <w:ind w:left="1418" w:hanging="1418"/>
        <w:rPr>
          <w:rFonts w:eastAsia="Arial Unicode MS"/>
          <w:noProof/>
          <w:szCs w:val="24"/>
        </w:rPr>
      </w:pPr>
      <w:r>
        <w:rPr>
          <w:noProof/>
        </w:rPr>
        <w:t>4.2.4.3.4.2.</w:t>
      </w:r>
      <w:r>
        <w:rPr>
          <w:noProof/>
        </w:rPr>
        <w:tab/>
        <w:t>Marque et type du régulateur de carburant: …</w:t>
      </w:r>
    </w:p>
    <w:p>
      <w:pPr>
        <w:spacing w:after="0"/>
        <w:ind w:left="1418" w:hanging="1418"/>
        <w:rPr>
          <w:rFonts w:eastAsia="Arial Unicode MS"/>
          <w:noProof/>
          <w:szCs w:val="24"/>
        </w:rPr>
      </w:pPr>
      <w:r>
        <w:rPr>
          <w:noProof/>
        </w:rPr>
        <w:t>4.2.4.3.4.3.</w:t>
      </w:r>
      <w:r>
        <w:rPr>
          <w:noProof/>
        </w:rPr>
        <w:tab/>
        <w:t>Marque et type du capteur de débit d’air: …</w:t>
      </w:r>
    </w:p>
    <w:p>
      <w:pPr>
        <w:spacing w:after="0"/>
        <w:ind w:left="1418" w:hanging="1418"/>
        <w:rPr>
          <w:rFonts w:eastAsia="Arial Unicode MS"/>
          <w:noProof/>
          <w:szCs w:val="24"/>
        </w:rPr>
      </w:pPr>
      <w:r>
        <w:rPr>
          <w:noProof/>
        </w:rPr>
        <w:t>4.2.4.3.4.4.</w:t>
      </w:r>
      <w:r>
        <w:rPr>
          <w:noProof/>
        </w:rPr>
        <w:tab/>
        <w:t>Marque et type du distributeur de carburant: …</w:t>
      </w:r>
    </w:p>
    <w:p>
      <w:pPr>
        <w:spacing w:after="0"/>
        <w:ind w:left="1418" w:hanging="1418"/>
        <w:rPr>
          <w:rFonts w:eastAsia="Arial Unicode MS"/>
          <w:noProof/>
          <w:szCs w:val="24"/>
        </w:rPr>
      </w:pPr>
      <w:r>
        <w:rPr>
          <w:noProof/>
        </w:rPr>
        <w:t>4.2.4.3.4.5.</w:t>
      </w:r>
      <w:r>
        <w:rPr>
          <w:noProof/>
        </w:rPr>
        <w:tab/>
        <w:t>Marque et type du régulateur de pression: …</w:t>
      </w:r>
    </w:p>
    <w:p>
      <w:pPr>
        <w:spacing w:after="0"/>
        <w:ind w:left="1418" w:hanging="1418"/>
        <w:rPr>
          <w:rFonts w:eastAsia="Arial Unicode MS"/>
          <w:noProof/>
          <w:szCs w:val="24"/>
        </w:rPr>
      </w:pPr>
      <w:r>
        <w:rPr>
          <w:noProof/>
        </w:rPr>
        <w:t>4.2.4.3.4.6.</w:t>
      </w:r>
      <w:r>
        <w:rPr>
          <w:noProof/>
        </w:rPr>
        <w:tab/>
        <w:t>Marque et type du minirupteur: …</w:t>
      </w:r>
    </w:p>
    <w:p>
      <w:pPr>
        <w:spacing w:after="0"/>
        <w:ind w:left="1418" w:hanging="1418"/>
        <w:rPr>
          <w:rFonts w:eastAsia="Arial Unicode MS"/>
          <w:noProof/>
          <w:szCs w:val="24"/>
        </w:rPr>
      </w:pPr>
      <w:r>
        <w:rPr>
          <w:noProof/>
        </w:rPr>
        <w:t>4.2.4.3.4.7.</w:t>
      </w:r>
      <w:r>
        <w:rPr>
          <w:noProof/>
        </w:rPr>
        <w:tab/>
        <w:t>Marque et type de la vis de réglage du ralenti: …</w:t>
      </w:r>
    </w:p>
    <w:p>
      <w:pPr>
        <w:spacing w:after="0"/>
        <w:ind w:left="1418" w:hanging="1418"/>
        <w:rPr>
          <w:rFonts w:eastAsia="Arial Unicode MS"/>
          <w:noProof/>
          <w:szCs w:val="24"/>
        </w:rPr>
      </w:pPr>
      <w:r>
        <w:rPr>
          <w:noProof/>
        </w:rPr>
        <w:t>4.2.4.3.4.8.</w:t>
      </w:r>
      <w:r>
        <w:rPr>
          <w:noProof/>
        </w:rPr>
        <w:tab/>
        <w:t>Marque et type du boîtier de commande des gaz: …</w:t>
      </w:r>
    </w:p>
    <w:p>
      <w:pPr>
        <w:spacing w:after="0"/>
        <w:ind w:left="1418" w:hanging="1418"/>
        <w:rPr>
          <w:rFonts w:eastAsia="Arial Unicode MS"/>
          <w:noProof/>
          <w:szCs w:val="24"/>
        </w:rPr>
      </w:pPr>
      <w:r>
        <w:rPr>
          <w:noProof/>
        </w:rPr>
        <w:t>4.2.4.3.4.9.</w:t>
      </w:r>
      <w:r>
        <w:rPr>
          <w:noProof/>
        </w:rPr>
        <w:tab/>
        <w:t>Marque et type du capteur de température d’eau: …</w:t>
      </w:r>
    </w:p>
    <w:p>
      <w:pPr>
        <w:spacing w:after="0"/>
        <w:ind w:left="1418" w:hanging="1418"/>
        <w:rPr>
          <w:rFonts w:eastAsia="Arial Unicode MS"/>
          <w:noProof/>
          <w:szCs w:val="24"/>
        </w:rPr>
      </w:pPr>
      <w:r>
        <w:rPr>
          <w:noProof/>
        </w:rPr>
        <w:t>4.2.4.3.4.10.</w:t>
      </w:r>
      <w:r>
        <w:rPr>
          <w:noProof/>
        </w:rPr>
        <w:tab/>
        <w:t>Marque et type du capteur de température d’air: …</w:t>
      </w:r>
    </w:p>
    <w:p>
      <w:pPr>
        <w:spacing w:after="0"/>
        <w:ind w:left="1418" w:hanging="1418"/>
        <w:rPr>
          <w:rFonts w:eastAsia="Arial Unicode MS"/>
          <w:noProof/>
          <w:szCs w:val="24"/>
        </w:rPr>
      </w:pPr>
      <w:r>
        <w:rPr>
          <w:noProof/>
        </w:rPr>
        <w:t>4.2.4.3.4.11.</w:t>
      </w:r>
      <w:r>
        <w:rPr>
          <w:noProof/>
        </w:rPr>
        <w:tab/>
        <w:t>Marque et type du capteur de pression atmosphérique: …</w:t>
      </w:r>
    </w:p>
    <w:p>
      <w:pPr>
        <w:spacing w:after="0"/>
        <w:ind w:left="1418" w:hanging="1418"/>
        <w:rPr>
          <w:rFonts w:eastAsia="Arial Unicode MS"/>
          <w:noProof/>
          <w:szCs w:val="24"/>
        </w:rPr>
      </w:pPr>
      <w:r>
        <w:rPr>
          <w:noProof/>
        </w:rPr>
        <w:lastRenderedPageBreak/>
        <w:t>4.2.4.3.4.12.</w:t>
      </w:r>
      <w:r>
        <w:rPr>
          <w:noProof/>
        </w:rPr>
        <w:tab/>
        <w:t>Numéro(s) d’étalonnage du logiciel: …</w:t>
      </w:r>
    </w:p>
    <w:p>
      <w:pPr>
        <w:spacing w:after="0"/>
        <w:ind w:left="1418" w:hanging="1418"/>
        <w:rPr>
          <w:rFonts w:eastAsia="Arial Unicode MS"/>
          <w:noProof/>
          <w:szCs w:val="24"/>
        </w:rPr>
      </w:pPr>
      <w:r>
        <w:rPr>
          <w:noProof/>
        </w:rPr>
        <w:t>4.2.4.3.5.</w:t>
      </w:r>
      <w:r>
        <w:rPr>
          <w:noProof/>
        </w:rPr>
        <w:tab/>
        <w:t>Injecteurs: pression d’ouverture (</w:t>
      </w:r>
      <w:r>
        <w:rPr>
          <w:noProof/>
          <w:vertAlign w:val="superscript"/>
        </w:rPr>
        <w:t>2</w:t>
      </w:r>
      <w:r>
        <w:rPr>
          <w:noProof/>
        </w:rPr>
        <w:t>): … kPa ou diagramme caractéristique: …</w:t>
      </w:r>
    </w:p>
    <w:p>
      <w:pPr>
        <w:spacing w:after="0"/>
        <w:ind w:left="1418" w:hanging="1418"/>
        <w:rPr>
          <w:rFonts w:eastAsia="Arial Unicode MS"/>
          <w:noProof/>
          <w:szCs w:val="24"/>
        </w:rPr>
      </w:pPr>
      <w:r>
        <w:rPr>
          <w:noProof/>
        </w:rPr>
        <w:t>4.2.4.3.5.1.</w:t>
      </w:r>
      <w:r>
        <w:rPr>
          <w:noProof/>
        </w:rPr>
        <w:tab/>
        <w:t>Marque: …</w:t>
      </w:r>
    </w:p>
    <w:p>
      <w:pPr>
        <w:spacing w:after="0"/>
        <w:ind w:left="1418" w:hanging="1418"/>
        <w:rPr>
          <w:rFonts w:eastAsia="Arial Unicode MS"/>
          <w:noProof/>
          <w:szCs w:val="24"/>
        </w:rPr>
      </w:pPr>
      <w:r>
        <w:rPr>
          <w:noProof/>
        </w:rPr>
        <w:t>4.2.4.3.5.2.</w:t>
      </w:r>
      <w:r>
        <w:rPr>
          <w:noProof/>
        </w:rPr>
        <w:tab/>
        <w:t>Type: …</w:t>
      </w:r>
    </w:p>
    <w:p>
      <w:pPr>
        <w:spacing w:after="0"/>
        <w:ind w:left="1418" w:hanging="1418"/>
        <w:rPr>
          <w:rFonts w:eastAsia="Arial Unicode MS"/>
          <w:noProof/>
          <w:szCs w:val="24"/>
        </w:rPr>
      </w:pPr>
      <w:r>
        <w:rPr>
          <w:noProof/>
        </w:rPr>
        <w:t>4.2.4.3.6.</w:t>
      </w:r>
      <w:r>
        <w:rPr>
          <w:noProof/>
        </w:rPr>
        <w:tab/>
        <w:t>Calage de l’injection: …</w:t>
      </w:r>
    </w:p>
    <w:p>
      <w:pPr>
        <w:spacing w:after="0"/>
        <w:ind w:left="1418" w:hanging="1418"/>
        <w:rPr>
          <w:rFonts w:eastAsia="Arial Unicode MS"/>
          <w:noProof/>
          <w:szCs w:val="24"/>
        </w:rPr>
      </w:pPr>
      <w:r>
        <w:rPr>
          <w:noProof/>
        </w:rPr>
        <w:t>4.2.4.3.7.</w:t>
      </w:r>
      <w:r>
        <w:rPr>
          <w:noProof/>
        </w:rPr>
        <w:tab/>
        <w:t>Système de démarrage à froid</w:t>
      </w:r>
    </w:p>
    <w:p>
      <w:pPr>
        <w:spacing w:after="0"/>
        <w:ind w:left="1418" w:hanging="1418"/>
        <w:rPr>
          <w:rFonts w:eastAsia="Arial Unicode MS"/>
          <w:noProof/>
          <w:szCs w:val="24"/>
        </w:rPr>
      </w:pPr>
      <w:r>
        <w:rPr>
          <w:noProof/>
        </w:rPr>
        <w:t>4.2.4.3.7.1.</w:t>
      </w:r>
      <w:r>
        <w:rPr>
          <w:noProof/>
        </w:rPr>
        <w:tab/>
        <w:t>Principe(s) de fonctionnement: …</w:t>
      </w:r>
    </w:p>
    <w:p>
      <w:pPr>
        <w:spacing w:after="0"/>
        <w:ind w:left="1418" w:hanging="1418"/>
        <w:rPr>
          <w:rFonts w:eastAsia="Arial Unicode MS"/>
          <w:noProof/>
          <w:szCs w:val="24"/>
        </w:rPr>
      </w:pPr>
      <w:r>
        <w:rPr>
          <w:noProof/>
        </w:rPr>
        <w:t>4.2.4.3.7.2.</w:t>
      </w:r>
      <w:r>
        <w:rPr>
          <w:noProof/>
        </w:rPr>
        <w:tab/>
        <w:t>Limites de fonctionnement/réglages (</w:t>
      </w:r>
      <w:r>
        <w:rPr>
          <w:noProof/>
          <w:vertAlign w:val="superscript"/>
        </w:rPr>
        <w:t>1</w:t>
      </w:r>
      <w:r>
        <w:rPr>
          <w:noProof/>
        </w:rPr>
        <w:t>) (</w:t>
      </w:r>
      <w:r>
        <w:rPr>
          <w:noProof/>
          <w:vertAlign w:val="superscript"/>
        </w:rPr>
        <w:t>2</w:t>
      </w:r>
      <w:r>
        <w:rPr>
          <w:noProof/>
        </w:rPr>
        <w:t>): …</w:t>
      </w:r>
    </w:p>
    <w:p>
      <w:pPr>
        <w:spacing w:after="0"/>
        <w:ind w:left="1418" w:hanging="1418"/>
        <w:rPr>
          <w:rFonts w:eastAsia="Arial Unicode MS"/>
          <w:noProof/>
          <w:szCs w:val="24"/>
        </w:rPr>
      </w:pPr>
      <w:r>
        <w:rPr>
          <w:noProof/>
        </w:rPr>
        <w:t>4.2.4.4.</w:t>
      </w:r>
      <w:r>
        <w:rPr>
          <w:noProof/>
        </w:rPr>
        <w:tab/>
        <w:t>Pompe d’alimentation</w:t>
      </w:r>
    </w:p>
    <w:p>
      <w:pPr>
        <w:spacing w:after="0"/>
        <w:ind w:left="1418" w:hanging="1418"/>
        <w:rPr>
          <w:rFonts w:eastAsia="Arial Unicode MS"/>
          <w:noProof/>
          <w:szCs w:val="24"/>
        </w:rPr>
      </w:pPr>
      <w:r>
        <w:rPr>
          <w:noProof/>
        </w:rPr>
        <w:t>4.2.4.4.1.</w:t>
      </w:r>
      <w:r>
        <w:rPr>
          <w:noProof/>
        </w:rPr>
        <w:tab/>
        <w:t>Pression (</w:t>
      </w:r>
      <w:r>
        <w:rPr>
          <w:noProof/>
          <w:vertAlign w:val="superscript"/>
        </w:rPr>
        <w:t>2</w:t>
      </w:r>
      <w:r>
        <w:rPr>
          <w:noProof/>
        </w:rPr>
        <w:t>): … kPa ou diagramme caractéristique (</w:t>
      </w:r>
      <w:r>
        <w:rPr>
          <w:noProof/>
          <w:vertAlign w:val="superscript"/>
        </w:rPr>
        <w:t>2</w:t>
      </w:r>
      <w:r>
        <w:rPr>
          <w:noProof/>
        </w:rPr>
        <w:t>): …</w:t>
      </w:r>
    </w:p>
    <w:p>
      <w:pPr>
        <w:spacing w:before="240"/>
        <w:ind w:left="1418" w:hanging="1418"/>
        <w:jc w:val="left"/>
        <w:rPr>
          <w:rFonts w:eastAsia="Arial Unicode MS"/>
          <w:bCs/>
          <w:noProof/>
          <w:szCs w:val="24"/>
        </w:rPr>
      </w:pPr>
      <w:r>
        <w:rPr>
          <w:noProof/>
        </w:rPr>
        <w:t>4.2.5.</w:t>
      </w:r>
      <w:r>
        <w:rPr>
          <w:noProof/>
        </w:rPr>
        <w:tab/>
      </w:r>
      <w:r>
        <w:rPr>
          <w:i/>
          <w:noProof/>
        </w:rPr>
        <w:t>Système électrique</w:t>
      </w:r>
      <w:r>
        <w:rPr>
          <w:noProof/>
        </w:rPr>
        <w:t xml:space="preserve"> </w:t>
      </w:r>
    </w:p>
    <w:p>
      <w:pPr>
        <w:spacing w:after="0"/>
        <w:ind w:left="1418" w:hanging="1418"/>
        <w:rPr>
          <w:rFonts w:eastAsia="Arial Unicode MS"/>
          <w:noProof/>
          <w:szCs w:val="24"/>
        </w:rPr>
      </w:pPr>
      <w:r>
        <w:rPr>
          <w:noProof/>
        </w:rPr>
        <w:t>4.2.5.1.</w:t>
      </w:r>
      <w:r>
        <w:rPr>
          <w:noProof/>
        </w:rPr>
        <w:tab/>
        <w:t>Tension nominale: … V, mise à la masse positive/négative (</w:t>
      </w:r>
      <w:r>
        <w:rPr>
          <w:noProof/>
          <w:vertAlign w:val="superscript"/>
        </w:rPr>
        <w:t>1)</w:t>
      </w:r>
    </w:p>
    <w:p>
      <w:pPr>
        <w:spacing w:after="0"/>
        <w:ind w:left="1418" w:hanging="1418"/>
        <w:rPr>
          <w:rFonts w:eastAsia="Arial Unicode MS"/>
          <w:noProof/>
          <w:szCs w:val="24"/>
        </w:rPr>
      </w:pPr>
      <w:r>
        <w:rPr>
          <w:noProof/>
        </w:rPr>
        <w:t>4.2.5.2.</w:t>
      </w:r>
      <w:r>
        <w:rPr>
          <w:noProof/>
        </w:rPr>
        <w:tab/>
        <w:t>Générateur</w:t>
      </w:r>
    </w:p>
    <w:p>
      <w:pPr>
        <w:spacing w:after="0"/>
        <w:ind w:left="1418" w:hanging="1418"/>
        <w:rPr>
          <w:rFonts w:eastAsia="Arial Unicode MS"/>
          <w:noProof/>
          <w:szCs w:val="24"/>
        </w:rPr>
      </w:pPr>
      <w:r>
        <w:rPr>
          <w:noProof/>
        </w:rPr>
        <w:t>4.2.5.2.1.</w:t>
      </w:r>
      <w:r>
        <w:rPr>
          <w:noProof/>
        </w:rPr>
        <w:tab/>
        <w:t>Type: …</w:t>
      </w:r>
    </w:p>
    <w:p>
      <w:pPr>
        <w:spacing w:after="0"/>
        <w:ind w:left="1418" w:hanging="1418"/>
        <w:rPr>
          <w:rFonts w:eastAsia="Arial Unicode MS"/>
          <w:noProof/>
          <w:szCs w:val="24"/>
        </w:rPr>
      </w:pPr>
      <w:r>
        <w:rPr>
          <w:noProof/>
        </w:rPr>
        <w:t>4.2.5.2.2.</w:t>
      </w:r>
      <w:r>
        <w:rPr>
          <w:noProof/>
        </w:rPr>
        <w:tab/>
        <w:t>Puissance nominale: …… VA</w:t>
      </w:r>
    </w:p>
    <w:p>
      <w:pPr>
        <w:spacing w:before="240"/>
        <w:ind w:left="1418" w:hanging="1418"/>
        <w:rPr>
          <w:rFonts w:eastAsia="Arial Unicode MS"/>
          <w:bCs/>
          <w:noProof/>
          <w:szCs w:val="24"/>
        </w:rPr>
      </w:pPr>
      <w:r>
        <w:rPr>
          <w:noProof/>
        </w:rPr>
        <w:t>4.2.6.</w:t>
      </w:r>
      <w:r>
        <w:rPr>
          <w:noProof/>
        </w:rPr>
        <w:tab/>
      </w:r>
      <w:r>
        <w:rPr>
          <w:i/>
          <w:noProof/>
        </w:rPr>
        <w:t>Système d’allumage (moteurs à allumage par étincelle uniquement)</w:t>
      </w:r>
      <w:r>
        <w:rPr>
          <w:noProof/>
        </w:rPr>
        <w:t xml:space="preserve"> </w:t>
      </w:r>
    </w:p>
    <w:p>
      <w:pPr>
        <w:spacing w:after="0"/>
        <w:ind w:left="1418" w:hanging="1418"/>
        <w:rPr>
          <w:rFonts w:eastAsia="Arial Unicode MS"/>
          <w:noProof/>
          <w:szCs w:val="24"/>
        </w:rPr>
      </w:pPr>
      <w:r>
        <w:rPr>
          <w:noProof/>
        </w:rPr>
        <w:t>4.2.6.1.</w:t>
      </w:r>
      <w:r>
        <w:rPr>
          <w:noProof/>
        </w:rPr>
        <w:tab/>
        <w:t>Marque(s): …</w:t>
      </w:r>
    </w:p>
    <w:p>
      <w:pPr>
        <w:spacing w:after="0"/>
        <w:ind w:left="1418" w:hanging="1418"/>
        <w:rPr>
          <w:rFonts w:eastAsia="Arial Unicode MS"/>
          <w:noProof/>
          <w:szCs w:val="24"/>
        </w:rPr>
      </w:pPr>
      <w:r>
        <w:rPr>
          <w:noProof/>
        </w:rPr>
        <w:t>4.2.6.2.</w:t>
      </w:r>
      <w:r>
        <w:rPr>
          <w:noProof/>
        </w:rPr>
        <w:tab/>
        <w:t>Type(s): …</w:t>
      </w:r>
    </w:p>
    <w:p>
      <w:pPr>
        <w:spacing w:after="0"/>
        <w:ind w:left="1418" w:hanging="1418"/>
        <w:rPr>
          <w:rFonts w:eastAsia="Arial Unicode MS"/>
          <w:noProof/>
          <w:szCs w:val="24"/>
        </w:rPr>
      </w:pPr>
      <w:r>
        <w:rPr>
          <w:noProof/>
        </w:rPr>
        <w:t>4.2.6.3.</w:t>
      </w:r>
      <w:r>
        <w:rPr>
          <w:noProof/>
        </w:rPr>
        <w:tab/>
        <w:t>Principe de fonctionnement: …</w:t>
      </w:r>
    </w:p>
    <w:p>
      <w:pPr>
        <w:spacing w:after="0"/>
        <w:ind w:left="1418" w:hanging="1418"/>
        <w:rPr>
          <w:rFonts w:eastAsia="Arial Unicode MS"/>
          <w:noProof/>
          <w:szCs w:val="24"/>
        </w:rPr>
      </w:pPr>
      <w:r>
        <w:rPr>
          <w:noProof/>
        </w:rPr>
        <w:t>4.2.6.4.</w:t>
      </w:r>
      <w:r>
        <w:rPr>
          <w:noProof/>
        </w:rPr>
        <w:tab/>
        <w:t>Courbe ou cartographie d’avance à l’allumage (</w:t>
      </w:r>
      <w:r>
        <w:rPr>
          <w:noProof/>
          <w:vertAlign w:val="superscript"/>
        </w:rPr>
        <w:t>2</w:t>
      </w:r>
      <w:r>
        <w:rPr>
          <w:noProof/>
        </w:rPr>
        <w:t>): …</w:t>
      </w:r>
    </w:p>
    <w:p>
      <w:pPr>
        <w:spacing w:after="0"/>
        <w:ind w:left="1418" w:hanging="1418"/>
        <w:rPr>
          <w:rFonts w:eastAsia="Arial Unicode MS"/>
          <w:noProof/>
          <w:szCs w:val="24"/>
        </w:rPr>
      </w:pPr>
      <w:r>
        <w:rPr>
          <w:noProof/>
        </w:rPr>
        <w:t>4.2.6.5.</w:t>
      </w:r>
      <w:r>
        <w:rPr>
          <w:noProof/>
        </w:rPr>
        <w:tab/>
        <w:t>Calage statique (</w:t>
      </w:r>
      <w:r>
        <w:rPr>
          <w:noProof/>
          <w:vertAlign w:val="superscript"/>
        </w:rPr>
        <w:t>2</w:t>
      </w:r>
      <w:r>
        <w:rPr>
          <w:noProof/>
        </w:rPr>
        <w:t>): …… degrés avant PMH</w:t>
      </w:r>
    </w:p>
    <w:p>
      <w:pPr>
        <w:spacing w:after="0"/>
        <w:ind w:left="1418" w:hanging="1418"/>
        <w:rPr>
          <w:rFonts w:eastAsia="Arial Unicode MS"/>
          <w:noProof/>
          <w:szCs w:val="24"/>
        </w:rPr>
      </w:pPr>
      <w:r>
        <w:rPr>
          <w:noProof/>
        </w:rPr>
        <w:t>4.2.6.6.</w:t>
      </w:r>
      <w:r>
        <w:rPr>
          <w:noProof/>
        </w:rPr>
        <w:tab/>
        <w:t>Bougies d’allumage</w:t>
      </w:r>
    </w:p>
    <w:p>
      <w:pPr>
        <w:spacing w:after="0"/>
        <w:ind w:left="1418" w:hanging="1418"/>
        <w:rPr>
          <w:rFonts w:eastAsia="Arial Unicode MS"/>
          <w:noProof/>
          <w:szCs w:val="24"/>
        </w:rPr>
      </w:pPr>
      <w:r>
        <w:rPr>
          <w:noProof/>
        </w:rPr>
        <w:t>4.2.6.6.1.</w:t>
      </w:r>
      <w:r>
        <w:rPr>
          <w:noProof/>
        </w:rPr>
        <w:tab/>
        <w:t>Marque: …</w:t>
      </w:r>
    </w:p>
    <w:p>
      <w:pPr>
        <w:spacing w:after="0"/>
        <w:ind w:left="1418" w:hanging="1418"/>
        <w:rPr>
          <w:rFonts w:eastAsia="Arial Unicode MS"/>
          <w:noProof/>
          <w:szCs w:val="24"/>
        </w:rPr>
      </w:pPr>
      <w:r>
        <w:rPr>
          <w:noProof/>
        </w:rPr>
        <w:t>4.2.6.6.2.</w:t>
      </w:r>
      <w:r>
        <w:rPr>
          <w:noProof/>
        </w:rPr>
        <w:tab/>
        <w:t>Type: …</w:t>
      </w:r>
    </w:p>
    <w:p>
      <w:pPr>
        <w:spacing w:after="0"/>
        <w:ind w:left="1418" w:hanging="1418"/>
        <w:rPr>
          <w:rFonts w:eastAsia="Arial Unicode MS"/>
          <w:noProof/>
          <w:szCs w:val="24"/>
        </w:rPr>
      </w:pPr>
      <w:r>
        <w:rPr>
          <w:noProof/>
        </w:rPr>
        <w:t>4.2.6.6.3.</w:t>
      </w:r>
      <w:r>
        <w:rPr>
          <w:noProof/>
        </w:rPr>
        <w:tab/>
        <w:t>Écartement des électrodes: ……mm</w:t>
      </w:r>
    </w:p>
    <w:p>
      <w:pPr>
        <w:spacing w:after="0"/>
        <w:ind w:left="1418" w:hanging="1418"/>
        <w:rPr>
          <w:rFonts w:eastAsia="Arial Unicode MS"/>
          <w:noProof/>
          <w:szCs w:val="24"/>
        </w:rPr>
      </w:pPr>
      <w:r>
        <w:rPr>
          <w:noProof/>
        </w:rPr>
        <w:t>4.2.6.7.</w:t>
      </w:r>
      <w:r>
        <w:rPr>
          <w:noProof/>
        </w:rPr>
        <w:tab/>
        <w:t>Bobine(s) d’allumage</w:t>
      </w:r>
    </w:p>
    <w:p>
      <w:pPr>
        <w:spacing w:after="0"/>
        <w:ind w:left="1418" w:hanging="1418"/>
        <w:rPr>
          <w:rFonts w:eastAsia="Arial Unicode MS"/>
          <w:noProof/>
          <w:szCs w:val="24"/>
        </w:rPr>
      </w:pPr>
      <w:r>
        <w:rPr>
          <w:noProof/>
        </w:rPr>
        <w:t>4.2.6.7.1.</w:t>
      </w:r>
      <w:r>
        <w:rPr>
          <w:noProof/>
        </w:rPr>
        <w:tab/>
        <w:t>Marque: …</w:t>
      </w:r>
    </w:p>
    <w:p>
      <w:pPr>
        <w:spacing w:after="0"/>
        <w:ind w:left="1418" w:hanging="1418"/>
        <w:rPr>
          <w:rFonts w:eastAsia="Arial Unicode MS"/>
          <w:noProof/>
          <w:szCs w:val="24"/>
        </w:rPr>
      </w:pPr>
      <w:r>
        <w:rPr>
          <w:noProof/>
        </w:rPr>
        <w:t>4.2.6.7.2.</w:t>
      </w:r>
      <w:r>
        <w:rPr>
          <w:noProof/>
        </w:rPr>
        <w:tab/>
        <w:t>Type: …</w:t>
      </w:r>
    </w:p>
    <w:p>
      <w:pPr>
        <w:spacing w:before="240"/>
        <w:ind w:left="1418" w:hanging="1418"/>
        <w:jc w:val="left"/>
        <w:rPr>
          <w:rFonts w:eastAsia="Arial Unicode MS"/>
          <w:bCs/>
          <w:noProof/>
          <w:szCs w:val="24"/>
        </w:rPr>
      </w:pPr>
      <w:r>
        <w:rPr>
          <w:noProof/>
        </w:rPr>
        <w:t>4.2.7.</w:t>
      </w:r>
      <w:r>
        <w:rPr>
          <w:noProof/>
        </w:rPr>
        <w:tab/>
      </w:r>
      <w:r>
        <w:rPr>
          <w:i/>
          <w:noProof/>
        </w:rPr>
        <w:t>Système de refroidissement: par liquide/par air</w:t>
      </w:r>
      <w:r>
        <w:rPr>
          <w:noProof/>
        </w:rPr>
        <w:t xml:space="preserve"> (</w:t>
      </w:r>
      <w:r>
        <w:rPr>
          <w:noProof/>
          <w:vertAlign w:val="superscript"/>
        </w:rPr>
        <w:t>1</w:t>
      </w:r>
      <w:r>
        <w:rPr>
          <w:noProof/>
        </w:rPr>
        <w:t xml:space="preserve">) </w:t>
      </w:r>
    </w:p>
    <w:p>
      <w:pPr>
        <w:spacing w:after="0"/>
        <w:ind w:left="1418" w:hanging="1418"/>
        <w:rPr>
          <w:rFonts w:eastAsia="Arial Unicode MS"/>
          <w:noProof/>
          <w:szCs w:val="24"/>
        </w:rPr>
      </w:pPr>
      <w:r>
        <w:rPr>
          <w:noProof/>
        </w:rPr>
        <w:t>4.2.7.1.</w:t>
      </w:r>
      <w:r>
        <w:rPr>
          <w:noProof/>
        </w:rPr>
        <w:tab/>
        <w:t>Réglage nominal du mécanisme de contrôle de la température du moteur: …</w:t>
      </w:r>
    </w:p>
    <w:p>
      <w:pPr>
        <w:spacing w:after="0"/>
        <w:ind w:left="1418" w:hanging="1418"/>
        <w:rPr>
          <w:rFonts w:eastAsia="Arial Unicode MS"/>
          <w:noProof/>
          <w:szCs w:val="24"/>
        </w:rPr>
      </w:pPr>
      <w:r>
        <w:rPr>
          <w:noProof/>
        </w:rPr>
        <w:t>4.2.7.2.</w:t>
      </w:r>
      <w:r>
        <w:rPr>
          <w:noProof/>
        </w:rPr>
        <w:tab/>
        <w:t>Liquide</w:t>
      </w:r>
    </w:p>
    <w:p>
      <w:pPr>
        <w:spacing w:after="0"/>
        <w:ind w:left="1418" w:hanging="1418"/>
        <w:rPr>
          <w:rFonts w:eastAsia="Arial Unicode MS"/>
          <w:noProof/>
          <w:szCs w:val="24"/>
        </w:rPr>
      </w:pPr>
      <w:r>
        <w:rPr>
          <w:noProof/>
        </w:rPr>
        <w:t>4.2.7.2.1.</w:t>
      </w:r>
      <w:r>
        <w:rPr>
          <w:noProof/>
        </w:rPr>
        <w:tab/>
        <w:t>Nature du liquide: …</w:t>
      </w:r>
    </w:p>
    <w:p>
      <w:pPr>
        <w:spacing w:after="0"/>
        <w:ind w:left="1418" w:hanging="1418"/>
        <w:rPr>
          <w:rFonts w:eastAsia="Arial Unicode MS"/>
          <w:noProof/>
          <w:szCs w:val="24"/>
        </w:rPr>
      </w:pPr>
      <w:r>
        <w:rPr>
          <w:noProof/>
        </w:rPr>
        <w:t>4.2.7.2.2.</w:t>
      </w:r>
      <w:r>
        <w:rPr>
          <w:noProof/>
        </w:rPr>
        <w:tab/>
        <w:t>Pompe(s) de circulation: oui/non (</w:t>
      </w:r>
      <w:r>
        <w:rPr>
          <w:noProof/>
          <w:vertAlign w:val="superscript"/>
        </w:rPr>
        <w:t>1</w:t>
      </w:r>
      <w:r>
        <w:rPr>
          <w:noProof/>
        </w:rPr>
        <w:t>)</w:t>
      </w:r>
    </w:p>
    <w:p>
      <w:pPr>
        <w:spacing w:after="0"/>
        <w:ind w:left="1418" w:hanging="1418"/>
        <w:rPr>
          <w:rFonts w:eastAsia="Arial Unicode MS"/>
          <w:noProof/>
          <w:szCs w:val="24"/>
        </w:rPr>
      </w:pPr>
      <w:r>
        <w:rPr>
          <w:noProof/>
        </w:rPr>
        <w:lastRenderedPageBreak/>
        <w:t>4.2.7.2.3.</w:t>
      </w:r>
      <w:r>
        <w:rPr>
          <w:noProof/>
        </w:rPr>
        <w:tab/>
        <w:t>Caractéristiques: ……….ou</w:t>
      </w:r>
    </w:p>
    <w:p>
      <w:pPr>
        <w:spacing w:after="0"/>
        <w:ind w:left="1418" w:hanging="1418"/>
        <w:rPr>
          <w:rFonts w:eastAsia="Arial Unicode MS"/>
          <w:noProof/>
          <w:szCs w:val="24"/>
        </w:rPr>
      </w:pPr>
      <w:r>
        <w:rPr>
          <w:noProof/>
        </w:rPr>
        <w:t>4.2.7.2.3.1.</w:t>
      </w:r>
      <w:r>
        <w:rPr>
          <w:noProof/>
        </w:rPr>
        <w:tab/>
        <w:t>Marque(s): …</w:t>
      </w:r>
    </w:p>
    <w:p>
      <w:pPr>
        <w:spacing w:after="0"/>
        <w:ind w:left="1418" w:hanging="1418"/>
        <w:rPr>
          <w:rFonts w:eastAsia="Arial Unicode MS"/>
          <w:noProof/>
          <w:szCs w:val="24"/>
        </w:rPr>
      </w:pPr>
      <w:r>
        <w:rPr>
          <w:noProof/>
        </w:rPr>
        <w:t>4.2.7.2.3.2.</w:t>
      </w:r>
      <w:r>
        <w:rPr>
          <w:noProof/>
        </w:rPr>
        <w:tab/>
        <w:t>Type(s): …</w:t>
      </w:r>
    </w:p>
    <w:p>
      <w:pPr>
        <w:spacing w:after="0"/>
        <w:ind w:left="1418" w:hanging="1418"/>
        <w:rPr>
          <w:rFonts w:eastAsia="Arial Unicode MS"/>
          <w:noProof/>
          <w:szCs w:val="24"/>
        </w:rPr>
      </w:pPr>
      <w:r>
        <w:rPr>
          <w:noProof/>
        </w:rPr>
        <w:t>4.2.7.2.4.</w:t>
      </w:r>
      <w:r>
        <w:rPr>
          <w:noProof/>
        </w:rPr>
        <w:tab/>
        <w:t>Rapport(s) d’entraînement: …</w:t>
      </w:r>
    </w:p>
    <w:p>
      <w:pPr>
        <w:spacing w:after="0"/>
        <w:ind w:left="1418" w:hanging="1418"/>
        <w:rPr>
          <w:rFonts w:eastAsia="Arial Unicode MS"/>
          <w:noProof/>
          <w:szCs w:val="24"/>
        </w:rPr>
      </w:pPr>
      <w:r>
        <w:rPr>
          <w:noProof/>
        </w:rPr>
        <w:t>4.2.7.2.5.</w:t>
      </w:r>
      <w:r>
        <w:rPr>
          <w:noProof/>
        </w:rPr>
        <w:tab/>
        <w:t>Description du ventilateur et de son mécanisme d’entraînement: …</w:t>
      </w:r>
    </w:p>
    <w:p>
      <w:pPr>
        <w:spacing w:after="0"/>
        <w:ind w:left="1418" w:hanging="1418"/>
        <w:rPr>
          <w:rFonts w:eastAsia="Arial Unicode MS"/>
          <w:noProof/>
          <w:szCs w:val="24"/>
        </w:rPr>
      </w:pPr>
      <w:r>
        <w:rPr>
          <w:noProof/>
        </w:rPr>
        <w:t>4.2.7.3.</w:t>
      </w:r>
      <w:r>
        <w:rPr>
          <w:noProof/>
        </w:rPr>
        <w:tab/>
        <w:t>Air</w:t>
      </w:r>
    </w:p>
    <w:p>
      <w:pPr>
        <w:spacing w:after="0"/>
        <w:ind w:left="1418" w:hanging="1418"/>
        <w:rPr>
          <w:rFonts w:eastAsia="Arial Unicode MS"/>
          <w:noProof/>
          <w:szCs w:val="24"/>
        </w:rPr>
      </w:pPr>
      <w:r>
        <w:rPr>
          <w:noProof/>
        </w:rPr>
        <w:t>4.2.7.3.1.</w:t>
      </w:r>
      <w:r>
        <w:rPr>
          <w:noProof/>
        </w:rPr>
        <w:tab/>
        <w:t>Ventilateur: oui/non (</w:t>
      </w:r>
      <w:r>
        <w:rPr>
          <w:noProof/>
          <w:vertAlign w:val="superscript"/>
        </w:rPr>
        <w:t>1</w:t>
      </w:r>
      <w:r>
        <w:rPr>
          <w:noProof/>
        </w:rPr>
        <w:t>)</w:t>
      </w:r>
    </w:p>
    <w:p>
      <w:pPr>
        <w:spacing w:after="0"/>
        <w:ind w:left="1418" w:hanging="1418"/>
        <w:rPr>
          <w:rFonts w:eastAsia="Arial Unicode MS"/>
          <w:noProof/>
          <w:szCs w:val="24"/>
        </w:rPr>
      </w:pPr>
      <w:r>
        <w:rPr>
          <w:noProof/>
        </w:rPr>
        <w:t>4.2.7.3.2.</w:t>
      </w:r>
      <w:r>
        <w:rPr>
          <w:noProof/>
        </w:rPr>
        <w:tab/>
        <w:t>Caractéristiques: …….ou</w:t>
      </w:r>
    </w:p>
    <w:p>
      <w:pPr>
        <w:spacing w:after="0"/>
        <w:ind w:left="1418" w:hanging="1418"/>
        <w:rPr>
          <w:rFonts w:eastAsia="Arial Unicode MS"/>
          <w:noProof/>
          <w:szCs w:val="24"/>
        </w:rPr>
      </w:pPr>
      <w:r>
        <w:rPr>
          <w:noProof/>
        </w:rPr>
        <w:t>4.2.7.3.2.1.</w:t>
      </w:r>
      <w:r>
        <w:rPr>
          <w:noProof/>
        </w:rPr>
        <w:tab/>
        <w:t>Marque(s): …</w:t>
      </w:r>
    </w:p>
    <w:p>
      <w:pPr>
        <w:spacing w:after="0"/>
        <w:ind w:left="1418" w:hanging="1418"/>
        <w:rPr>
          <w:rFonts w:eastAsia="Arial Unicode MS"/>
          <w:noProof/>
          <w:szCs w:val="24"/>
        </w:rPr>
      </w:pPr>
      <w:r>
        <w:rPr>
          <w:noProof/>
        </w:rPr>
        <w:t>4.2.7.3.2.2.</w:t>
      </w:r>
      <w:r>
        <w:rPr>
          <w:noProof/>
        </w:rPr>
        <w:tab/>
        <w:t>Type(s): …</w:t>
      </w:r>
    </w:p>
    <w:p>
      <w:pPr>
        <w:spacing w:after="0"/>
        <w:ind w:left="1418" w:hanging="1418"/>
        <w:rPr>
          <w:rFonts w:eastAsia="Arial Unicode MS"/>
          <w:noProof/>
          <w:szCs w:val="24"/>
        </w:rPr>
      </w:pPr>
      <w:r>
        <w:rPr>
          <w:noProof/>
        </w:rPr>
        <w:t>4.2.7.3.3.</w:t>
      </w:r>
      <w:r>
        <w:rPr>
          <w:noProof/>
        </w:rPr>
        <w:tab/>
        <w:t>Rapport(s) d’entraînement: …</w:t>
      </w:r>
    </w:p>
    <w:p>
      <w:pPr>
        <w:spacing w:before="240"/>
        <w:ind w:left="1418" w:hanging="1418"/>
        <w:jc w:val="left"/>
        <w:rPr>
          <w:rFonts w:eastAsia="Arial Unicode MS"/>
          <w:bCs/>
          <w:noProof/>
          <w:szCs w:val="24"/>
        </w:rPr>
      </w:pPr>
      <w:r>
        <w:rPr>
          <w:noProof/>
        </w:rPr>
        <w:t>4.2.8.</w:t>
      </w:r>
      <w:r>
        <w:rPr>
          <w:noProof/>
        </w:rPr>
        <w:tab/>
      </w:r>
      <w:r>
        <w:rPr>
          <w:i/>
          <w:noProof/>
        </w:rPr>
        <w:t>Système d’admission</w:t>
      </w:r>
      <w:r>
        <w:rPr>
          <w:noProof/>
        </w:rPr>
        <w:t xml:space="preserve"> </w:t>
      </w:r>
    </w:p>
    <w:p>
      <w:pPr>
        <w:spacing w:after="0"/>
        <w:ind w:left="1418" w:hanging="1418"/>
        <w:rPr>
          <w:rFonts w:eastAsia="Arial Unicode MS"/>
          <w:noProof/>
          <w:szCs w:val="24"/>
        </w:rPr>
      </w:pPr>
      <w:r>
        <w:rPr>
          <w:noProof/>
        </w:rPr>
        <w:t>4.2.8.1.</w:t>
      </w:r>
      <w:r>
        <w:rPr>
          <w:noProof/>
        </w:rPr>
        <w:tab/>
        <w:t>Suralimentation: oui/non (</w:t>
      </w:r>
      <w:r>
        <w:rPr>
          <w:noProof/>
          <w:vertAlign w:val="superscript"/>
        </w:rPr>
        <w:t>1</w:t>
      </w:r>
      <w:r>
        <w:rPr>
          <w:noProof/>
        </w:rPr>
        <w:t>)</w:t>
      </w:r>
    </w:p>
    <w:p>
      <w:pPr>
        <w:spacing w:after="0"/>
        <w:ind w:left="1418" w:hanging="1418"/>
        <w:rPr>
          <w:rFonts w:eastAsia="Arial Unicode MS"/>
          <w:noProof/>
          <w:szCs w:val="24"/>
        </w:rPr>
      </w:pPr>
      <w:r>
        <w:rPr>
          <w:noProof/>
        </w:rPr>
        <w:t>4.2.8.1.1.</w:t>
      </w:r>
      <w:r>
        <w:rPr>
          <w:noProof/>
        </w:rPr>
        <w:tab/>
        <w:t>Marque(s): …</w:t>
      </w:r>
    </w:p>
    <w:p>
      <w:pPr>
        <w:spacing w:after="0"/>
        <w:ind w:left="1418" w:hanging="1418"/>
        <w:rPr>
          <w:rFonts w:eastAsia="Arial Unicode MS"/>
          <w:noProof/>
          <w:szCs w:val="24"/>
        </w:rPr>
      </w:pPr>
      <w:r>
        <w:rPr>
          <w:noProof/>
        </w:rPr>
        <w:t>4.2.8.1.2.</w:t>
      </w:r>
      <w:r>
        <w:rPr>
          <w:noProof/>
        </w:rPr>
        <w:tab/>
        <w:t>Type(s): …</w:t>
      </w:r>
    </w:p>
    <w:p>
      <w:pPr>
        <w:spacing w:after="0"/>
        <w:ind w:left="1418" w:hanging="1418"/>
        <w:rPr>
          <w:rFonts w:eastAsia="Arial Unicode MS"/>
          <w:noProof/>
          <w:szCs w:val="24"/>
        </w:rPr>
      </w:pPr>
      <w:r>
        <w:rPr>
          <w:noProof/>
        </w:rPr>
        <w:t>4.2.8.1.3.</w:t>
      </w:r>
      <w:r>
        <w:rPr>
          <w:noProof/>
        </w:rPr>
        <w:tab/>
        <w:t>Description du système (par exemple, pression de charge maximale: …… kPa; soupape de décharge, s’il y a lieu): …</w:t>
      </w:r>
    </w:p>
    <w:p>
      <w:pPr>
        <w:spacing w:after="0"/>
        <w:ind w:left="1418" w:hanging="1418"/>
        <w:rPr>
          <w:rFonts w:eastAsia="Arial Unicode MS"/>
          <w:noProof/>
          <w:szCs w:val="24"/>
        </w:rPr>
      </w:pPr>
      <w:r>
        <w:rPr>
          <w:noProof/>
        </w:rPr>
        <w:t>4.2.8.2.</w:t>
      </w:r>
      <w:r>
        <w:rPr>
          <w:noProof/>
        </w:rPr>
        <w:tab/>
        <w:t>Refroidisseur intermédiaire: oui/non (</w:t>
      </w:r>
      <w:r>
        <w:rPr>
          <w:noProof/>
          <w:vertAlign w:val="superscript"/>
        </w:rPr>
        <w:t>1</w:t>
      </w:r>
      <w:r>
        <w:rPr>
          <w:noProof/>
        </w:rPr>
        <w:t>)</w:t>
      </w:r>
    </w:p>
    <w:p>
      <w:pPr>
        <w:spacing w:after="0"/>
        <w:ind w:left="1418" w:hanging="1418"/>
        <w:rPr>
          <w:rFonts w:eastAsia="Arial Unicode MS"/>
          <w:noProof/>
          <w:szCs w:val="24"/>
        </w:rPr>
      </w:pPr>
      <w:r>
        <w:rPr>
          <w:noProof/>
        </w:rPr>
        <w:t>4.2.8.2.1.</w:t>
      </w:r>
      <w:r>
        <w:rPr>
          <w:noProof/>
        </w:rPr>
        <w:tab/>
        <w:t>Type: air-air/air-eau (</w:t>
      </w:r>
      <w:r>
        <w:rPr>
          <w:noProof/>
          <w:vertAlign w:val="superscript"/>
        </w:rPr>
        <w:t>1</w:t>
      </w:r>
      <w:r>
        <w:rPr>
          <w:noProof/>
        </w:rPr>
        <w:t>)</w:t>
      </w:r>
    </w:p>
    <w:p>
      <w:pPr>
        <w:spacing w:after="0"/>
        <w:ind w:left="1418" w:hanging="1418"/>
        <w:rPr>
          <w:rFonts w:eastAsia="Arial Unicode MS"/>
          <w:noProof/>
          <w:szCs w:val="24"/>
        </w:rPr>
      </w:pPr>
      <w:r>
        <w:rPr>
          <w:noProof/>
        </w:rPr>
        <w:t>4.2.8.3.</w:t>
      </w:r>
      <w:r>
        <w:rPr>
          <w:noProof/>
        </w:rPr>
        <w:tab/>
        <w:t>Dépression à l’admission au régime nominal du moteur et à 100 % de charge (moteurs à allumage par compression uniquement)</w:t>
      </w:r>
    </w:p>
    <w:p>
      <w:pPr>
        <w:spacing w:after="0"/>
        <w:ind w:left="1418" w:hanging="1418"/>
        <w:rPr>
          <w:rFonts w:eastAsia="Arial Unicode MS"/>
          <w:noProof/>
          <w:szCs w:val="24"/>
        </w:rPr>
      </w:pPr>
      <w:r>
        <w:rPr>
          <w:noProof/>
        </w:rPr>
        <w:t>4.2.8.3.1.</w:t>
      </w:r>
      <w:r>
        <w:rPr>
          <w:noProof/>
        </w:rPr>
        <w:tab/>
        <w:t>Minimum autorisé: ………. kPa</w:t>
      </w:r>
    </w:p>
    <w:p>
      <w:pPr>
        <w:spacing w:after="0"/>
        <w:ind w:left="1418" w:hanging="1418"/>
        <w:rPr>
          <w:rFonts w:eastAsia="Arial Unicode MS"/>
          <w:noProof/>
          <w:szCs w:val="24"/>
        </w:rPr>
      </w:pPr>
      <w:r>
        <w:rPr>
          <w:noProof/>
        </w:rPr>
        <w:t>4.2.8.3.2.</w:t>
      </w:r>
      <w:r>
        <w:rPr>
          <w:noProof/>
        </w:rPr>
        <w:tab/>
        <w:t>Maximum autorisé: ……… kPa</w:t>
      </w:r>
    </w:p>
    <w:p>
      <w:pPr>
        <w:spacing w:after="0"/>
        <w:ind w:left="1418" w:hanging="1418"/>
        <w:rPr>
          <w:rFonts w:eastAsia="Arial Unicode MS"/>
          <w:noProof/>
          <w:szCs w:val="24"/>
        </w:rPr>
      </w:pPr>
      <w:r>
        <w:rPr>
          <w:noProof/>
        </w:rPr>
        <w:t>4.2.8.3.3.</w:t>
      </w:r>
      <w:r>
        <w:rPr>
          <w:noProof/>
        </w:rPr>
        <w:tab/>
        <w:t>(Euro VI uniquement) Dépression effective du système d’admission au régime nominal du moteur et à 100 % de charge sur le véhicule: … kPa</w:t>
      </w:r>
    </w:p>
    <w:p>
      <w:pPr>
        <w:spacing w:after="0"/>
        <w:ind w:left="1418" w:hanging="1418"/>
        <w:rPr>
          <w:rFonts w:eastAsia="Arial Unicode MS"/>
          <w:noProof/>
          <w:szCs w:val="24"/>
        </w:rPr>
      </w:pPr>
      <w:r>
        <w:rPr>
          <w:noProof/>
        </w:rPr>
        <w:t>4.2.8.4.</w:t>
      </w:r>
      <w:r>
        <w:rPr>
          <w:noProof/>
        </w:rPr>
        <w:tab/>
        <w:t>Description et dessins des tubulures d’admission et de leurs accessoires (collecteurs d’air d’aspiration, dispositifs de réchauffage, prises d’air supplémentaires, etc.): …</w:t>
      </w:r>
    </w:p>
    <w:p>
      <w:pPr>
        <w:spacing w:after="0"/>
        <w:ind w:left="1418" w:hanging="1418"/>
        <w:rPr>
          <w:rFonts w:eastAsia="Arial Unicode MS"/>
          <w:noProof/>
          <w:szCs w:val="24"/>
        </w:rPr>
      </w:pPr>
      <w:r>
        <w:rPr>
          <w:noProof/>
        </w:rPr>
        <w:t>4.2.8.4.1.</w:t>
      </w:r>
      <w:r>
        <w:rPr>
          <w:noProof/>
        </w:rPr>
        <w:tab/>
        <w:t>Description du collecteur d’admission (avec dessins et/ou photos): …</w:t>
      </w:r>
    </w:p>
    <w:p>
      <w:pPr>
        <w:spacing w:after="0"/>
        <w:ind w:left="1418" w:hanging="1418"/>
        <w:rPr>
          <w:rFonts w:eastAsia="Arial Unicode MS"/>
          <w:noProof/>
          <w:szCs w:val="24"/>
        </w:rPr>
      </w:pPr>
      <w:r>
        <w:rPr>
          <w:noProof/>
        </w:rPr>
        <w:t>4.2.8.4.2.</w:t>
      </w:r>
      <w:r>
        <w:rPr>
          <w:noProof/>
        </w:rPr>
        <w:tab/>
        <w:t>Filtre à air, dessins: … ou</w:t>
      </w:r>
    </w:p>
    <w:p>
      <w:pPr>
        <w:spacing w:after="0"/>
        <w:ind w:left="1418" w:hanging="1418"/>
        <w:rPr>
          <w:rFonts w:eastAsia="Arial Unicode MS"/>
          <w:noProof/>
          <w:szCs w:val="24"/>
        </w:rPr>
      </w:pPr>
      <w:r>
        <w:rPr>
          <w:noProof/>
        </w:rPr>
        <w:t>4.2.8.4.2.1.</w:t>
      </w:r>
      <w:r>
        <w:rPr>
          <w:noProof/>
        </w:rPr>
        <w:tab/>
        <w:t>Marque(s): …</w:t>
      </w:r>
    </w:p>
    <w:p>
      <w:pPr>
        <w:spacing w:after="0"/>
        <w:ind w:left="1418" w:hanging="1418"/>
        <w:rPr>
          <w:rFonts w:eastAsia="Arial Unicode MS"/>
          <w:noProof/>
          <w:szCs w:val="24"/>
        </w:rPr>
      </w:pPr>
      <w:r>
        <w:rPr>
          <w:noProof/>
        </w:rPr>
        <w:t>4.2.8.4.2.2.</w:t>
      </w:r>
      <w:r>
        <w:rPr>
          <w:noProof/>
        </w:rPr>
        <w:tab/>
        <w:t>Type(s): …</w:t>
      </w:r>
    </w:p>
    <w:p>
      <w:pPr>
        <w:spacing w:after="0"/>
        <w:ind w:left="1418" w:hanging="1418"/>
        <w:rPr>
          <w:rFonts w:eastAsia="Arial Unicode MS"/>
          <w:noProof/>
          <w:szCs w:val="24"/>
        </w:rPr>
      </w:pPr>
      <w:r>
        <w:rPr>
          <w:noProof/>
        </w:rPr>
        <w:t>4.2.8.4.3.</w:t>
      </w:r>
      <w:r>
        <w:rPr>
          <w:noProof/>
        </w:rPr>
        <w:tab/>
        <w:t>Silencieux d’admission, dessins: … ou</w:t>
      </w:r>
    </w:p>
    <w:p>
      <w:pPr>
        <w:spacing w:after="0"/>
        <w:ind w:left="1418" w:hanging="1418"/>
        <w:rPr>
          <w:rFonts w:eastAsia="Arial Unicode MS"/>
          <w:noProof/>
          <w:szCs w:val="24"/>
        </w:rPr>
      </w:pPr>
      <w:r>
        <w:rPr>
          <w:noProof/>
        </w:rPr>
        <w:t>4.2.8.4.3.1.</w:t>
      </w:r>
      <w:r>
        <w:rPr>
          <w:noProof/>
        </w:rPr>
        <w:tab/>
        <w:t>Marque(s): …</w:t>
      </w:r>
    </w:p>
    <w:p>
      <w:pPr>
        <w:spacing w:after="0"/>
        <w:ind w:left="1418" w:hanging="1418"/>
        <w:rPr>
          <w:rFonts w:eastAsia="Arial Unicode MS"/>
          <w:noProof/>
          <w:szCs w:val="24"/>
        </w:rPr>
      </w:pPr>
      <w:r>
        <w:rPr>
          <w:noProof/>
        </w:rPr>
        <w:t>4.2.8.4.3.2.</w:t>
      </w:r>
      <w:r>
        <w:rPr>
          <w:noProof/>
        </w:rPr>
        <w:tab/>
        <w:t>Type(s): …</w:t>
      </w:r>
    </w:p>
    <w:p>
      <w:pPr>
        <w:spacing w:before="240"/>
        <w:ind w:left="1418" w:hanging="1418"/>
        <w:jc w:val="left"/>
        <w:rPr>
          <w:rFonts w:eastAsia="Arial Unicode MS"/>
          <w:bCs/>
          <w:noProof/>
          <w:szCs w:val="24"/>
        </w:rPr>
      </w:pPr>
      <w:r>
        <w:rPr>
          <w:noProof/>
        </w:rPr>
        <w:lastRenderedPageBreak/>
        <w:t>4.2.9.</w:t>
      </w:r>
      <w:r>
        <w:rPr>
          <w:noProof/>
        </w:rPr>
        <w:tab/>
      </w:r>
      <w:r>
        <w:rPr>
          <w:i/>
          <w:noProof/>
        </w:rPr>
        <w:t>Système d’échappement</w:t>
      </w:r>
      <w:r>
        <w:rPr>
          <w:noProof/>
        </w:rPr>
        <w:t xml:space="preserve"> </w:t>
      </w:r>
    </w:p>
    <w:p>
      <w:pPr>
        <w:spacing w:after="0"/>
        <w:ind w:left="1418" w:hanging="1418"/>
        <w:rPr>
          <w:rFonts w:eastAsia="Arial Unicode MS"/>
          <w:noProof/>
          <w:szCs w:val="24"/>
        </w:rPr>
      </w:pPr>
      <w:r>
        <w:rPr>
          <w:noProof/>
        </w:rPr>
        <w:t>4.2.9.1.</w:t>
      </w:r>
      <w:r>
        <w:rPr>
          <w:noProof/>
        </w:rPr>
        <w:tab/>
        <w:t>Description et/ou dessin du collecteur d’échappement: …</w:t>
      </w:r>
    </w:p>
    <w:p>
      <w:pPr>
        <w:spacing w:after="0"/>
        <w:ind w:left="1418" w:hanging="1418"/>
        <w:rPr>
          <w:rFonts w:eastAsia="Arial Unicode MS"/>
          <w:noProof/>
          <w:szCs w:val="24"/>
        </w:rPr>
      </w:pPr>
      <w:r>
        <w:rPr>
          <w:noProof/>
        </w:rPr>
        <w:t>4.2.9.2.</w:t>
      </w:r>
      <w:r>
        <w:rPr>
          <w:noProof/>
        </w:rPr>
        <w:tab/>
        <w:t>Description et/ou dessin du système d’échappement: …</w:t>
      </w:r>
    </w:p>
    <w:p>
      <w:pPr>
        <w:spacing w:after="0"/>
        <w:ind w:left="1418" w:hanging="1418"/>
        <w:rPr>
          <w:rFonts w:eastAsia="Arial Unicode MS"/>
          <w:noProof/>
          <w:szCs w:val="24"/>
        </w:rPr>
      </w:pPr>
      <w:r>
        <w:rPr>
          <w:noProof/>
        </w:rPr>
        <w:t>4.2.9.2.1.</w:t>
      </w:r>
      <w:r>
        <w:rPr>
          <w:noProof/>
        </w:rPr>
        <w:tab/>
        <w:t>(Euro VI uniquement) Description et/ou dessin des éléments du système d’échappement qui font partie du système moteur</w:t>
      </w:r>
    </w:p>
    <w:p>
      <w:pPr>
        <w:spacing w:after="0"/>
        <w:ind w:left="1418" w:hanging="1440"/>
        <w:rPr>
          <w:rFonts w:eastAsia="Arial Unicode MS"/>
          <w:noProof/>
          <w:szCs w:val="24"/>
        </w:rPr>
      </w:pPr>
      <w:r>
        <w:rPr>
          <w:noProof/>
        </w:rPr>
        <w:t>4.2.9.3.</w:t>
      </w:r>
      <w:r>
        <w:rPr>
          <w:noProof/>
        </w:rPr>
        <w:tab/>
        <w:t>Contrepression à l’échappement maximale admissible au régime nominal du moteur et à 100 % de charge (moteurs à allumage par compression uniquement): …… kPa</w:t>
      </w:r>
    </w:p>
    <w:p>
      <w:pPr>
        <w:spacing w:after="0"/>
        <w:ind w:left="1418" w:hanging="1440"/>
        <w:rPr>
          <w:rFonts w:eastAsia="Arial Unicode MS"/>
          <w:noProof/>
          <w:szCs w:val="24"/>
        </w:rPr>
      </w:pPr>
      <w:r>
        <w:rPr>
          <w:noProof/>
        </w:rPr>
        <w:t>4.2.9.3.1.</w:t>
      </w:r>
      <w:r>
        <w:rPr>
          <w:noProof/>
        </w:rPr>
        <w:tab/>
        <w:t>(Euro VI uniquement) Contrepression effective à l’échappement au régime nominal du moteur et à 100 % de charge sur le véhicule (moteurs à allumage par compression uniquement): … kPa</w:t>
      </w:r>
    </w:p>
    <w:p>
      <w:pPr>
        <w:spacing w:after="0"/>
        <w:ind w:left="1418" w:hanging="1440"/>
        <w:rPr>
          <w:rFonts w:eastAsia="Arial Unicode MS"/>
          <w:noProof/>
          <w:szCs w:val="24"/>
        </w:rPr>
      </w:pPr>
      <w:r>
        <w:rPr>
          <w:noProof/>
        </w:rPr>
        <w:t>4.2.9.4.</w:t>
      </w:r>
      <w:r>
        <w:rPr>
          <w:noProof/>
        </w:rPr>
        <w:tab/>
        <w:t>Type, marque du ou des silencieux d’échappement: …</w:t>
      </w:r>
    </w:p>
    <w:p>
      <w:pPr>
        <w:spacing w:after="100" w:afterAutospacing="1"/>
        <w:ind w:left="1417" w:hanging="1440"/>
        <w:rPr>
          <w:rFonts w:eastAsia="Arial Unicode MS"/>
          <w:noProof/>
          <w:szCs w:val="24"/>
        </w:rPr>
      </w:pPr>
      <w:r>
        <w:rPr>
          <w:noProof/>
        </w:rPr>
        <w:tab/>
        <w:t>En ce qui concerne le bruit extérieur, mesures de réduction dans le compartiment moteur et sur le moteur: …</w:t>
      </w:r>
    </w:p>
    <w:p>
      <w:pPr>
        <w:spacing w:after="0"/>
        <w:ind w:left="1418" w:hanging="1440"/>
        <w:rPr>
          <w:rFonts w:eastAsia="Arial Unicode MS"/>
          <w:noProof/>
          <w:szCs w:val="24"/>
        </w:rPr>
      </w:pPr>
      <w:r>
        <w:rPr>
          <w:noProof/>
        </w:rPr>
        <w:t>4.2.9.5.</w:t>
      </w:r>
      <w:r>
        <w:rPr>
          <w:noProof/>
        </w:rPr>
        <w:tab/>
        <w:t>Emplacement de la sortie des gaz d’échappement: …</w:t>
      </w:r>
    </w:p>
    <w:p>
      <w:pPr>
        <w:spacing w:after="0"/>
        <w:ind w:left="1418" w:hanging="1440"/>
        <w:rPr>
          <w:rFonts w:eastAsia="Arial Unicode MS"/>
          <w:noProof/>
          <w:szCs w:val="24"/>
        </w:rPr>
      </w:pPr>
      <w:r>
        <w:rPr>
          <w:noProof/>
        </w:rPr>
        <w:t>4.2.9.6.</w:t>
      </w:r>
      <w:r>
        <w:rPr>
          <w:noProof/>
        </w:rPr>
        <w:tab/>
        <w:t>Silencieux d’échappement contenant des matériaux fibreux: …</w:t>
      </w:r>
    </w:p>
    <w:p>
      <w:pPr>
        <w:spacing w:after="0"/>
        <w:ind w:left="1418" w:hanging="1440"/>
        <w:rPr>
          <w:rFonts w:eastAsia="Arial Unicode MS"/>
          <w:noProof/>
          <w:szCs w:val="24"/>
        </w:rPr>
      </w:pPr>
      <w:r>
        <w:rPr>
          <w:noProof/>
        </w:rPr>
        <w:t>4.2.9.7.</w:t>
      </w:r>
      <w:r>
        <w:rPr>
          <w:noProof/>
        </w:rPr>
        <w:tab/>
        <w:t>Volume du système d’échappement complet: …… dm</w:t>
      </w:r>
      <w:r>
        <w:rPr>
          <w:noProof/>
          <w:vertAlign w:val="superscript"/>
        </w:rPr>
        <w:t>3</w:t>
      </w:r>
    </w:p>
    <w:p>
      <w:pPr>
        <w:spacing w:after="0"/>
        <w:ind w:left="1418" w:hanging="1440"/>
        <w:rPr>
          <w:rFonts w:eastAsia="Arial Unicode MS"/>
          <w:noProof/>
          <w:szCs w:val="24"/>
        </w:rPr>
      </w:pPr>
      <w:r>
        <w:rPr>
          <w:noProof/>
        </w:rPr>
        <w:t>4.2.9.7.1.</w:t>
      </w:r>
      <w:r>
        <w:rPr>
          <w:noProof/>
        </w:rPr>
        <w:tab/>
        <w:t>(Euro VI uniquement) Volume du système d’échappement acceptable: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(EURO VI uniquement) Volume du système d’échappement qui fait partie du système moteur: … dm</w:t>
      </w:r>
      <w:r>
        <w:rPr>
          <w:noProof/>
          <w:vertAlign w:val="superscript"/>
        </w:rPr>
        <w:t>3</w:t>
      </w:r>
    </w:p>
    <w:p>
      <w:pPr>
        <w:spacing w:after="0"/>
        <w:ind w:left="1418" w:hanging="1418"/>
        <w:rPr>
          <w:rFonts w:eastAsia="Arial Unicode MS"/>
          <w:noProof/>
          <w:szCs w:val="24"/>
        </w:rPr>
      </w:pPr>
      <w:r>
        <w:rPr>
          <w:noProof/>
        </w:rPr>
        <w:t>4.2.10.</w:t>
      </w:r>
      <w:r>
        <w:rPr>
          <w:noProof/>
        </w:rPr>
        <w:tab/>
      </w:r>
      <w:r>
        <w:rPr>
          <w:i/>
          <w:noProof/>
        </w:rPr>
        <w:t>Sections minimales des orifices d’admission et d’échappement:</w:t>
      </w:r>
      <w:r>
        <w:rPr>
          <w:noProof/>
        </w:rPr>
        <w:t xml:space="preserve"> …</w:t>
      </w:r>
    </w:p>
    <w:p>
      <w:pPr>
        <w:spacing w:before="240"/>
        <w:ind w:left="1418" w:hanging="1418"/>
        <w:jc w:val="left"/>
        <w:rPr>
          <w:rFonts w:eastAsia="Arial Unicode MS"/>
          <w:bCs/>
          <w:noProof/>
          <w:szCs w:val="24"/>
        </w:rPr>
      </w:pPr>
      <w:r>
        <w:rPr>
          <w:noProof/>
        </w:rPr>
        <w:t>4.2.11.</w:t>
      </w:r>
      <w:r>
        <w:rPr>
          <w:noProof/>
        </w:rPr>
        <w:tab/>
      </w:r>
      <w:r>
        <w:rPr>
          <w:i/>
          <w:noProof/>
        </w:rPr>
        <w:t>Réglage de la distribution ou données équivalentes</w:t>
      </w:r>
      <w:r>
        <w:rPr>
          <w:noProof/>
        </w:rPr>
        <w:t xml:space="preserve"> </w:t>
      </w:r>
    </w:p>
    <w:p>
      <w:pPr>
        <w:spacing w:after="0"/>
        <w:ind w:left="1418" w:hanging="1418"/>
        <w:rPr>
          <w:rFonts w:eastAsia="Arial Unicode MS"/>
          <w:noProof/>
          <w:szCs w:val="24"/>
        </w:rPr>
      </w:pPr>
      <w:r>
        <w:rPr>
          <w:noProof/>
        </w:rPr>
        <w:t>4.2.11.1.</w:t>
      </w:r>
      <w:r>
        <w:rPr>
          <w:noProof/>
        </w:rPr>
        <w:tab/>
        <w:t>Levée maximale des soupapes, angles d’ouverture et de fermeture, ou caractéristiques de réglage d’autres systèmes de distribution, par rapport aux points morts. Dans le cas d’un système à réglage variable, positions de réglage minimale et maximale: …</w:t>
      </w:r>
    </w:p>
    <w:p>
      <w:pPr>
        <w:spacing w:after="0"/>
        <w:ind w:left="1418" w:hanging="1418"/>
        <w:rPr>
          <w:rFonts w:eastAsia="Arial Unicode MS"/>
          <w:noProof/>
          <w:szCs w:val="24"/>
        </w:rPr>
      </w:pPr>
      <w:r>
        <w:rPr>
          <w:noProof/>
        </w:rPr>
        <w:t>4.2.11.2.</w:t>
      </w:r>
      <w:r>
        <w:rPr>
          <w:noProof/>
        </w:rPr>
        <w:tab/>
        <w:t>Points de calage et/ou gammes de réglage (</w:t>
      </w:r>
      <w:r>
        <w:rPr>
          <w:noProof/>
          <w:vertAlign w:val="superscript"/>
        </w:rPr>
        <w:t>1</w:t>
      </w:r>
      <w:r>
        <w:rPr>
          <w:noProof/>
        </w:rPr>
        <w:t>): …</w:t>
      </w:r>
    </w:p>
    <w:p>
      <w:pPr>
        <w:spacing w:before="240"/>
        <w:ind w:left="1418" w:hanging="1418"/>
        <w:jc w:val="left"/>
        <w:rPr>
          <w:rFonts w:eastAsia="Arial Unicode MS"/>
          <w:bCs/>
          <w:noProof/>
          <w:szCs w:val="24"/>
        </w:rPr>
      </w:pPr>
      <w:r>
        <w:rPr>
          <w:noProof/>
        </w:rPr>
        <w:t>4.2.12.</w:t>
      </w:r>
      <w:r>
        <w:rPr>
          <w:noProof/>
        </w:rPr>
        <w:tab/>
      </w:r>
      <w:r>
        <w:rPr>
          <w:i/>
          <w:noProof/>
        </w:rPr>
        <w:t>Mesures prises pour lutter contre la pollution de l’air</w:t>
      </w:r>
      <w:r>
        <w:rPr>
          <w:noProof/>
        </w:rPr>
        <w:t xml:space="preserve"> </w:t>
      </w:r>
    </w:p>
    <w:p>
      <w:pPr>
        <w:spacing w:after="0"/>
        <w:ind w:left="1418" w:hanging="1418"/>
        <w:rPr>
          <w:rFonts w:eastAsia="Arial Unicode MS"/>
          <w:noProof/>
          <w:szCs w:val="24"/>
        </w:rPr>
      </w:pPr>
      <w:r>
        <w:rPr>
          <w:noProof/>
        </w:rPr>
        <w:t>4.2.12.1.</w:t>
      </w:r>
      <w:r>
        <w:rPr>
          <w:noProof/>
        </w:rPr>
        <w:tab/>
        <w:t>Dispositif de recyclage des gaz de carter (description et dessins): …</w:t>
      </w:r>
    </w:p>
    <w:p>
      <w:pPr>
        <w:spacing w:after="0"/>
        <w:ind w:left="1418" w:hanging="1418"/>
        <w:rPr>
          <w:rFonts w:eastAsia="Arial Unicode MS"/>
          <w:noProof/>
          <w:szCs w:val="24"/>
        </w:rPr>
      </w:pPr>
      <w:r>
        <w:rPr>
          <w:noProof/>
        </w:rPr>
        <w:t>4.2.12.1.1.</w:t>
      </w:r>
      <w:r>
        <w:rPr>
          <w:noProof/>
        </w:rPr>
        <w:tab/>
        <w:t>(Euro VI uniquement) Dispositif pour recycler les gaz de carter: oui/non (</w:t>
      </w:r>
      <w:r>
        <w:rPr>
          <w:noProof/>
          <w:vertAlign w:val="superscript"/>
        </w:rPr>
        <w:t>2</w:t>
      </w:r>
      <w:r>
        <w:rPr>
          <w:noProof/>
        </w:rPr>
        <w:t>)</w:t>
      </w:r>
    </w:p>
    <w:p>
      <w:pPr>
        <w:ind w:left="2909" w:hanging="1491"/>
        <w:rPr>
          <w:rFonts w:eastAsia="Arial Unicode MS"/>
          <w:noProof/>
          <w:szCs w:val="24"/>
        </w:rPr>
      </w:pPr>
      <w:r>
        <w:rPr>
          <w:noProof/>
        </w:rPr>
        <w:t>Si oui, description et dessins:</w:t>
      </w:r>
    </w:p>
    <w:p>
      <w:pPr>
        <w:spacing w:before="0"/>
        <w:ind w:left="2909" w:hanging="1491"/>
        <w:rPr>
          <w:rFonts w:eastAsia="Arial Unicode MS"/>
          <w:noProof/>
          <w:szCs w:val="24"/>
        </w:rPr>
      </w:pPr>
      <w:r>
        <w:rPr>
          <w:noProof/>
        </w:rPr>
        <w:t>Si non, conformité à l’annexe V du règlement (UE) n</w:t>
      </w:r>
      <w:r>
        <w:rPr>
          <w:noProof/>
          <w:vertAlign w:val="superscript"/>
        </w:rPr>
        <w:t>o</w:t>
      </w:r>
      <w:r>
        <w:rPr>
          <w:noProof/>
        </w:rPr>
        <w:t> 582/2011 requise</w:t>
      </w:r>
    </w:p>
    <w:p>
      <w:pPr>
        <w:spacing w:after="0"/>
        <w:ind w:left="1701" w:hanging="1701"/>
        <w:rPr>
          <w:rFonts w:eastAsia="Arial Unicode MS"/>
          <w:noProof/>
          <w:szCs w:val="24"/>
        </w:rPr>
      </w:pPr>
      <w:r>
        <w:rPr>
          <w:noProof/>
        </w:rPr>
        <w:t>4.2.12.2.</w:t>
      </w:r>
      <w:r>
        <w:rPr>
          <w:noProof/>
        </w:rPr>
        <w:tab/>
        <w:t>Dispositifs antipollution supplémentaires (s’ils existent et s’ils ne sont pas couverts par une autre rubrique)</w:t>
      </w:r>
    </w:p>
    <w:p>
      <w:pPr>
        <w:spacing w:after="0"/>
        <w:ind w:left="1701" w:hanging="1701"/>
        <w:rPr>
          <w:rFonts w:eastAsia="Arial Unicode MS"/>
          <w:noProof/>
          <w:szCs w:val="24"/>
        </w:rPr>
      </w:pPr>
      <w:r>
        <w:rPr>
          <w:noProof/>
        </w:rPr>
        <w:t>4.2.12.2.1.</w:t>
      </w:r>
      <w:r>
        <w:rPr>
          <w:noProof/>
        </w:rPr>
        <w:tab/>
        <w:t>Convertisseur catalytique: oui/non (</w:t>
      </w:r>
      <w:r>
        <w:rPr>
          <w:noProof/>
          <w:vertAlign w:val="superscript"/>
        </w:rPr>
        <w:t>1</w:t>
      </w:r>
      <w:r>
        <w:rPr>
          <w:noProof/>
        </w:rPr>
        <w:t>)</w:t>
      </w:r>
    </w:p>
    <w:p>
      <w:pPr>
        <w:spacing w:after="0"/>
        <w:ind w:left="1701" w:hanging="1701"/>
        <w:rPr>
          <w:rFonts w:eastAsia="Arial Unicode MS"/>
          <w:noProof/>
          <w:szCs w:val="24"/>
        </w:rPr>
      </w:pPr>
      <w:r>
        <w:rPr>
          <w:noProof/>
        </w:rPr>
        <w:t>4.2.12.2.1.1.</w:t>
      </w:r>
      <w:r>
        <w:rPr>
          <w:noProof/>
        </w:rPr>
        <w:tab/>
        <w:t>Nombre de convertisseurs catalytiques et d’éléments (renseignements à fournir pour chaque unité séparément dans les points suivants): …</w:t>
      </w:r>
    </w:p>
    <w:p>
      <w:pPr>
        <w:spacing w:after="0"/>
        <w:ind w:left="1701" w:hanging="1701"/>
        <w:rPr>
          <w:rFonts w:eastAsia="Arial Unicode MS"/>
          <w:noProof/>
          <w:szCs w:val="24"/>
        </w:rPr>
      </w:pPr>
      <w:r>
        <w:rPr>
          <w:noProof/>
        </w:rPr>
        <w:lastRenderedPageBreak/>
        <w:t>4.2.12.2.1.2.</w:t>
      </w:r>
      <w:r>
        <w:rPr>
          <w:noProof/>
        </w:rPr>
        <w:tab/>
        <w:t>Dimensions, forme et volume du ou des convertisseurs catalytiques: …</w:t>
      </w:r>
    </w:p>
    <w:p>
      <w:pPr>
        <w:spacing w:after="0"/>
        <w:ind w:left="1701" w:hanging="1701"/>
        <w:rPr>
          <w:rFonts w:eastAsia="Arial Unicode MS"/>
          <w:noProof/>
          <w:szCs w:val="24"/>
        </w:rPr>
      </w:pPr>
      <w:r>
        <w:rPr>
          <w:noProof/>
        </w:rPr>
        <w:t>4.2.12.2.1.3.</w:t>
      </w:r>
      <w:r>
        <w:rPr>
          <w:noProof/>
        </w:rPr>
        <w:tab/>
        <w:t>Type d’action catalytique: …</w:t>
      </w:r>
    </w:p>
    <w:p>
      <w:pPr>
        <w:spacing w:after="0"/>
        <w:ind w:left="1701" w:hanging="1701"/>
        <w:rPr>
          <w:rFonts w:eastAsia="Arial Unicode MS"/>
          <w:noProof/>
          <w:szCs w:val="24"/>
        </w:rPr>
      </w:pPr>
      <w:r>
        <w:rPr>
          <w:noProof/>
        </w:rPr>
        <w:t>4.2.12.2.1.4.</w:t>
      </w:r>
      <w:r>
        <w:rPr>
          <w:noProof/>
        </w:rPr>
        <w:tab/>
        <w:t>Charge totale en métaux précieux: …</w:t>
      </w:r>
    </w:p>
    <w:p>
      <w:pPr>
        <w:spacing w:after="0"/>
        <w:ind w:left="1701" w:hanging="1701"/>
        <w:rPr>
          <w:rFonts w:eastAsia="Arial Unicode MS"/>
          <w:noProof/>
          <w:szCs w:val="24"/>
        </w:rPr>
      </w:pPr>
      <w:r>
        <w:rPr>
          <w:noProof/>
        </w:rPr>
        <w:t>4.2.12.2.1.5.</w:t>
      </w:r>
      <w:r>
        <w:rPr>
          <w:noProof/>
        </w:rPr>
        <w:tab/>
        <w:t>Concentration relative: …</w:t>
      </w:r>
    </w:p>
    <w:p>
      <w:pPr>
        <w:spacing w:after="0"/>
        <w:ind w:left="1701" w:hanging="1701"/>
        <w:rPr>
          <w:rFonts w:eastAsia="Arial Unicode MS"/>
          <w:noProof/>
          <w:szCs w:val="24"/>
        </w:rPr>
      </w:pPr>
      <w:r>
        <w:rPr>
          <w:noProof/>
        </w:rPr>
        <w:t>4.2.12.2.1.6.</w:t>
      </w:r>
      <w:r>
        <w:rPr>
          <w:noProof/>
        </w:rPr>
        <w:tab/>
        <w:t>Substrat (structure et matériau): …</w:t>
      </w:r>
    </w:p>
    <w:p>
      <w:pPr>
        <w:spacing w:after="0"/>
        <w:ind w:left="1701" w:hanging="1701"/>
        <w:rPr>
          <w:rFonts w:eastAsia="Arial Unicode MS"/>
          <w:noProof/>
          <w:szCs w:val="24"/>
        </w:rPr>
      </w:pPr>
      <w:r>
        <w:rPr>
          <w:noProof/>
        </w:rPr>
        <w:t>4.2.12.2.1.7.</w:t>
      </w:r>
      <w:r>
        <w:rPr>
          <w:noProof/>
        </w:rPr>
        <w:tab/>
        <w:t>Densité alvéolaire: …</w:t>
      </w:r>
    </w:p>
    <w:p>
      <w:pPr>
        <w:spacing w:after="0"/>
        <w:ind w:left="1701" w:hanging="1701"/>
        <w:rPr>
          <w:rFonts w:eastAsia="Arial Unicode MS"/>
          <w:noProof/>
          <w:szCs w:val="24"/>
        </w:rPr>
      </w:pPr>
      <w:r>
        <w:rPr>
          <w:noProof/>
        </w:rPr>
        <w:t>4.2.12.2.1.8.</w:t>
      </w:r>
      <w:r>
        <w:rPr>
          <w:noProof/>
        </w:rPr>
        <w:tab/>
        <w:t>Type de carter pour le ou les convertisseurs catalytiques: …</w:t>
      </w:r>
    </w:p>
    <w:p>
      <w:pPr>
        <w:spacing w:after="0"/>
        <w:ind w:left="1701" w:hanging="1701"/>
        <w:rPr>
          <w:rFonts w:eastAsia="Arial Unicode MS"/>
          <w:noProof/>
          <w:szCs w:val="24"/>
        </w:rPr>
      </w:pPr>
      <w:r>
        <w:rPr>
          <w:noProof/>
        </w:rPr>
        <w:t>4.2.12.2.1.9.</w:t>
      </w:r>
      <w:r>
        <w:rPr>
          <w:noProof/>
        </w:rPr>
        <w:tab/>
        <w:t>Emplacement du ou des convertisseurs catalytiques (endroit et distance de référence le long du système d’échappement): …</w:t>
      </w:r>
    </w:p>
    <w:p>
      <w:pPr>
        <w:spacing w:after="0"/>
        <w:ind w:left="1701" w:hanging="1701"/>
        <w:rPr>
          <w:rFonts w:eastAsia="Arial Unicode MS"/>
          <w:noProof/>
          <w:szCs w:val="24"/>
        </w:rPr>
      </w:pPr>
      <w:r>
        <w:rPr>
          <w:noProof/>
        </w:rPr>
        <w:t>4.2.12.2.1.10.</w:t>
      </w:r>
      <w:r>
        <w:rPr>
          <w:noProof/>
        </w:rPr>
        <w:tab/>
        <w:t>Écran thermique: oui/non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Systèmes/méthodes de régénération des systèmes de post-traitement des gaz d’échappement, description: …</w:t>
      </w:r>
    </w:p>
    <w:p>
      <w:pPr>
        <w:spacing w:after="0"/>
        <w:ind w:left="1701" w:hanging="1701"/>
        <w:rPr>
          <w:rFonts w:eastAsia="Arial Unicode MS"/>
          <w:noProof/>
          <w:szCs w:val="24"/>
        </w:rPr>
      </w:pPr>
      <w:r>
        <w:rPr>
          <w:noProof/>
        </w:rPr>
        <w:t>4.2.12.2.1.11.1.</w:t>
      </w:r>
      <w:r>
        <w:rPr>
          <w:noProof/>
        </w:rPr>
        <w:tab/>
        <w:t>Nombre de cycles de fonctionnement de type I (ou de cycles équivalents sur banc-moteur) entre deux cycles où se produit une régénération dans les conditions équivalentes à l’essai du type I (distance «D» dans la figure 1 de l’annexe 13 du règlement n</w:t>
      </w:r>
      <w:r>
        <w:rPr>
          <w:noProof/>
          <w:vertAlign w:val="superscript"/>
        </w:rPr>
        <w:t>o</w:t>
      </w:r>
      <w:r>
        <w:rPr>
          <w:noProof/>
        </w:rPr>
        <w:t> 83 de la CEE-ONU): …</w:t>
      </w:r>
    </w:p>
    <w:p>
      <w:pPr>
        <w:spacing w:after="0"/>
        <w:ind w:left="1701" w:hanging="1701"/>
        <w:rPr>
          <w:rFonts w:eastAsia="Arial Unicode MS"/>
          <w:noProof/>
          <w:szCs w:val="24"/>
        </w:rPr>
      </w:pPr>
      <w:r>
        <w:rPr>
          <w:noProof/>
        </w:rPr>
        <w:t>4.2.12.2.1.11.2.</w:t>
      </w:r>
      <w:r>
        <w:rPr>
          <w:noProof/>
        </w:rPr>
        <w:tab/>
        <w:t>Description de la méthode employée pour déterminer le nombre de cycles entre deux cycles où se produit une régénération: …</w:t>
      </w:r>
    </w:p>
    <w:p>
      <w:pPr>
        <w:spacing w:after="0"/>
        <w:ind w:left="1701" w:hanging="1701"/>
        <w:rPr>
          <w:rFonts w:eastAsia="Arial Unicode MS"/>
          <w:noProof/>
          <w:szCs w:val="24"/>
        </w:rPr>
      </w:pPr>
      <w:r>
        <w:rPr>
          <w:noProof/>
        </w:rPr>
        <w:t>4.2.12.2.1.11.3.</w:t>
      </w:r>
      <w:r>
        <w:rPr>
          <w:noProof/>
        </w:rPr>
        <w:tab/>
        <w:t>Paramètres déterminant le niveau d’encrassement requis avant que la régénération se produise (c’est-à-dire température, pression, etc.): …</w:t>
      </w:r>
    </w:p>
    <w:p>
      <w:pPr>
        <w:spacing w:after="0"/>
        <w:ind w:left="1701" w:hanging="1701"/>
        <w:rPr>
          <w:rFonts w:eastAsia="Arial Unicode MS"/>
          <w:noProof/>
          <w:szCs w:val="24"/>
        </w:rPr>
      </w:pPr>
      <w:r>
        <w:rPr>
          <w:noProof/>
        </w:rPr>
        <w:t>4.2.12.2.1.11.4.</w:t>
      </w:r>
      <w:r>
        <w:rPr>
          <w:noProof/>
        </w:rPr>
        <w:tab/>
        <w:t>Description de la méthode appliquée pour réaliser l’encrassement du système dans la procédure d’essai décrite au paragraphe 3.1 de l’annexe 13 du règlement n</w:t>
      </w:r>
      <w:r>
        <w:rPr>
          <w:noProof/>
          <w:vertAlign w:val="superscript"/>
        </w:rPr>
        <w:t>o</w:t>
      </w:r>
      <w:r>
        <w:rPr>
          <w:noProof/>
        </w:rPr>
        <w:t> 83 de la CEE-ONU: …</w:t>
      </w:r>
    </w:p>
    <w:p>
      <w:pPr>
        <w:spacing w:after="0"/>
        <w:ind w:left="1701" w:hanging="1701"/>
        <w:rPr>
          <w:rFonts w:eastAsia="Arial Unicode MS"/>
          <w:noProof/>
          <w:szCs w:val="24"/>
        </w:rPr>
      </w:pPr>
      <w:r>
        <w:rPr>
          <w:noProof/>
        </w:rPr>
        <w:t>4.2.12.2.1.11.5.</w:t>
      </w:r>
      <w:r>
        <w:rPr>
          <w:noProof/>
        </w:rPr>
        <w:tab/>
        <w:t>Plage des températures normales de fonctionnement: ……… K</w:t>
      </w:r>
    </w:p>
    <w:p>
      <w:pPr>
        <w:spacing w:after="0"/>
        <w:ind w:left="1701" w:hanging="1701"/>
        <w:rPr>
          <w:rFonts w:eastAsia="Arial Unicode MS"/>
          <w:noProof/>
          <w:szCs w:val="24"/>
        </w:rPr>
      </w:pPr>
      <w:r>
        <w:rPr>
          <w:noProof/>
        </w:rPr>
        <w:t>4.2.12.2.1.11.6.</w:t>
      </w:r>
      <w:r>
        <w:rPr>
          <w:noProof/>
        </w:rPr>
        <w:tab/>
        <w:t>Réactifs consommables: oui/non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Type et concentration du réactif nécessaire à l’action catalytique: …</w:t>
      </w:r>
    </w:p>
    <w:p>
      <w:pPr>
        <w:spacing w:after="0"/>
        <w:ind w:left="1701" w:hanging="1701"/>
        <w:rPr>
          <w:rFonts w:eastAsia="Arial Unicode MS"/>
          <w:noProof/>
          <w:szCs w:val="24"/>
        </w:rPr>
      </w:pPr>
      <w:r>
        <w:rPr>
          <w:noProof/>
        </w:rPr>
        <w:t>4.2.12.2.1.11.8.</w:t>
      </w:r>
      <w:r>
        <w:rPr>
          <w:noProof/>
        </w:rPr>
        <w:tab/>
        <w:t>Plage des températures normales de fonctionnement du réactif: ……… K</w:t>
      </w:r>
    </w:p>
    <w:p>
      <w:pPr>
        <w:spacing w:after="0"/>
        <w:ind w:left="1701" w:hanging="1701"/>
        <w:rPr>
          <w:rFonts w:eastAsia="Arial Unicode MS"/>
          <w:noProof/>
          <w:szCs w:val="24"/>
        </w:rPr>
      </w:pPr>
      <w:r>
        <w:rPr>
          <w:noProof/>
        </w:rPr>
        <w:t>4.2.12.2.1.11.9.</w:t>
      </w:r>
      <w:r>
        <w:rPr>
          <w:noProof/>
        </w:rPr>
        <w:tab/>
        <w:t>Norme internationale: …</w:t>
      </w:r>
    </w:p>
    <w:p>
      <w:pPr>
        <w:spacing w:after="0"/>
        <w:ind w:left="1701" w:hanging="1701"/>
        <w:rPr>
          <w:rFonts w:eastAsia="Arial Unicode MS"/>
          <w:noProof/>
          <w:szCs w:val="24"/>
        </w:rPr>
      </w:pPr>
      <w:r>
        <w:rPr>
          <w:noProof/>
        </w:rPr>
        <w:t>4.2.12.2.1.11.10.</w:t>
      </w:r>
      <w:r>
        <w:rPr>
          <w:noProof/>
        </w:rPr>
        <w:tab/>
        <w:t>Fréquence de recharge du réactif: continue /entretien (</w:t>
      </w:r>
      <w:r>
        <w:rPr>
          <w:noProof/>
          <w:vertAlign w:val="superscript"/>
        </w:rPr>
        <w:t>1</w:t>
      </w:r>
      <w:r>
        <w:rPr>
          <w:noProof/>
        </w:rPr>
        <w:t>)</w:t>
      </w:r>
    </w:p>
    <w:p>
      <w:pPr>
        <w:spacing w:after="0"/>
        <w:ind w:left="1701" w:hanging="1701"/>
        <w:rPr>
          <w:rFonts w:eastAsia="Arial Unicode MS"/>
          <w:noProof/>
          <w:szCs w:val="24"/>
        </w:rPr>
      </w:pPr>
      <w:r>
        <w:rPr>
          <w:noProof/>
        </w:rPr>
        <w:t>4.2.12.2.1.12.</w:t>
      </w:r>
      <w:r>
        <w:rPr>
          <w:noProof/>
        </w:rPr>
        <w:tab/>
        <w:t>Marque du convertisseur catalytique: …</w:t>
      </w:r>
    </w:p>
    <w:p>
      <w:pPr>
        <w:spacing w:after="0"/>
        <w:ind w:left="1701" w:hanging="1701"/>
        <w:rPr>
          <w:rFonts w:eastAsia="Arial Unicode MS"/>
          <w:noProof/>
          <w:szCs w:val="24"/>
        </w:rPr>
      </w:pPr>
      <w:r>
        <w:rPr>
          <w:noProof/>
        </w:rPr>
        <w:t>4.2.12.2.1.13.</w:t>
      </w:r>
      <w:r>
        <w:rPr>
          <w:noProof/>
        </w:rPr>
        <w:tab/>
        <w:t>Numéro d’identification de la pièce: …</w:t>
      </w:r>
    </w:p>
    <w:p>
      <w:pPr>
        <w:spacing w:after="0"/>
        <w:ind w:left="1701" w:hanging="1701"/>
        <w:rPr>
          <w:rFonts w:eastAsia="Arial Unicode MS"/>
          <w:noProof/>
          <w:szCs w:val="24"/>
        </w:rPr>
      </w:pPr>
      <w:r>
        <w:rPr>
          <w:noProof/>
        </w:rPr>
        <w:t>4.2.12.2.2.</w:t>
      </w:r>
      <w:r>
        <w:rPr>
          <w:noProof/>
        </w:rPr>
        <w:tab/>
        <w:t>Capteur(s) d’oxygène: oui/non (</w:t>
      </w:r>
      <w:r>
        <w:rPr>
          <w:noProof/>
          <w:vertAlign w:val="superscript"/>
        </w:rPr>
        <w:t>1</w:t>
      </w:r>
      <w:r>
        <w:rPr>
          <w:noProof/>
        </w:rPr>
        <w:t>)</w:t>
      </w:r>
    </w:p>
    <w:p>
      <w:pPr>
        <w:spacing w:after="0"/>
        <w:ind w:left="1701" w:hanging="1701"/>
        <w:rPr>
          <w:rFonts w:eastAsia="Arial Unicode MS"/>
          <w:noProof/>
          <w:szCs w:val="24"/>
        </w:rPr>
      </w:pPr>
      <w:r>
        <w:rPr>
          <w:noProof/>
        </w:rPr>
        <w:t>4.2.12.2.2.1.</w:t>
      </w:r>
      <w:r>
        <w:rPr>
          <w:noProof/>
        </w:rPr>
        <w:tab/>
        <w:t>Marque: …</w:t>
      </w:r>
    </w:p>
    <w:p>
      <w:pPr>
        <w:spacing w:after="0"/>
        <w:ind w:left="1701" w:hanging="1701"/>
        <w:rPr>
          <w:rFonts w:eastAsia="Arial Unicode MS"/>
          <w:noProof/>
          <w:szCs w:val="24"/>
        </w:rPr>
      </w:pPr>
      <w:r>
        <w:rPr>
          <w:noProof/>
        </w:rPr>
        <w:t>4.2.12.2.2.2.</w:t>
      </w:r>
      <w:r>
        <w:rPr>
          <w:noProof/>
        </w:rPr>
        <w:tab/>
        <w:t>Emplacement: …</w:t>
      </w:r>
    </w:p>
    <w:p>
      <w:pPr>
        <w:spacing w:after="0"/>
        <w:ind w:left="1701" w:hanging="1701"/>
        <w:rPr>
          <w:rFonts w:eastAsia="Arial Unicode MS"/>
          <w:noProof/>
          <w:szCs w:val="24"/>
        </w:rPr>
      </w:pPr>
      <w:r>
        <w:rPr>
          <w:noProof/>
        </w:rPr>
        <w:t>4.2.12.2.2.3.</w:t>
      </w:r>
      <w:r>
        <w:rPr>
          <w:noProof/>
        </w:rPr>
        <w:tab/>
        <w:t>Plage de sensibilité: …</w:t>
      </w:r>
    </w:p>
    <w:p>
      <w:pPr>
        <w:spacing w:after="0"/>
        <w:ind w:left="1701" w:hanging="1701"/>
        <w:rPr>
          <w:rFonts w:eastAsia="Arial Unicode MS"/>
          <w:noProof/>
          <w:szCs w:val="24"/>
        </w:rPr>
      </w:pPr>
      <w:r>
        <w:rPr>
          <w:noProof/>
        </w:rPr>
        <w:t>4.2.12.2.2.4.</w:t>
      </w:r>
      <w:r>
        <w:rPr>
          <w:noProof/>
        </w:rPr>
        <w:tab/>
        <w:t>Type: …</w:t>
      </w:r>
    </w:p>
    <w:p>
      <w:pPr>
        <w:spacing w:after="0"/>
        <w:ind w:left="1701" w:hanging="1701"/>
        <w:rPr>
          <w:rFonts w:eastAsia="Arial Unicode MS"/>
          <w:noProof/>
          <w:szCs w:val="24"/>
        </w:rPr>
      </w:pPr>
      <w:r>
        <w:rPr>
          <w:noProof/>
        </w:rPr>
        <w:t>4.2.12.2.2.5.</w:t>
      </w:r>
      <w:r>
        <w:rPr>
          <w:noProof/>
        </w:rPr>
        <w:tab/>
        <w:t>Numéro d’identification de la pièce: …</w:t>
      </w:r>
    </w:p>
    <w:p>
      <w:pPr>
        <w:spacing w:after="0"/>
        <w:ind w:left="1701" w:hanging="1701"/>
        <w:rPr>
          <w:rFonts w:eastAsia="Arial Unicode MS"/>
          <w:noProof/>
          <w:szCs w:val="24"/>
        </w:rPr>
      </w:pPr>
      <w:r>
        <w:rPr>
          <w:noProof/>
        </w:rPr>
        <w:lastRenderedPageBreak/>
        <w:t>4.2.12.2.3.</w:t>
      </w:r>
      <w:r>
        <w:rPr>
          <w:noProof/>
        </w:rPr>
        <w:tab/>
        <w:t>Injection d’air: oui/non (</w:t>
      </w:r>
      <w:r>
        <w:rPr>
          <w:noProof/>
          <w:vertAlign w:val="superscript"/>
        </w:rPr>
        <w:t>1</w:t>
      </w:r>
      <w:r>
        <w:rPr>
          <w:noProof/>
        </w:rPr>
        <w:t>)</w:t>
      </w:r>
    </w:p>
    <w:p>
      <w:pPr>
        <w:spacing w:after="0"/>
        <w:ind w:left="1701" w:hanging="1701"/>
        <w:rPr>
          <w:rFonts w:eastAsia="Arial Unicode MS"/>
          <w:noProof/>
          <w:szCs w:val="24"/>
        </w:rPr>
      </w:pPr>
      <w:r>
        <w:rPr>
          <w:noProof/>
        </w:rPr>
        <w:t>4.2.12.2.3.1.</w:t>
      </w:r>
      <w:r>
        <w:rPr>
          <w:noProof/>
        </w:rPr>
        <w:tab/>
        <w:t>Type (air pulsé, pompe à air, etc.): …</w:t>
      </w:r>
    </w:p>
    <w:p>
      <w:pPr>
        <w:spacing w:after="0"/>
        <w:ind w:left="1701" w:hanging="1701"/>
        <w:rPr>
          <w:rFonts w:eastAsia="Arial Unicode MS"/>
          <w:noProof/>
          <w:szCs w:val="24"/>
        </w:rPr>
      </w:pPr>
      <w:r>
        <w:rPr>
          <w:noProof/>
        </w:rPr>
        <w:t>4.2.12.2.4.</w:t>
      </w:r>
      <w:r>
        <w:rPr>
          <w:noProof/>
        </w:rPr>
        <w:tab/>
        <w:t>Recirculation des gaz d’échappement (EGR): oui/non (</w:t>
      </w:r>
      <w:r>
        <w:rPr>
          <w:noProof/>
          <w:vertAlign w:val="superscript"/>
        </w:rPr>
        <w:t>1</w:t>
      </w:r>
      <w:r>
        <w:rPr>
          <w:noProof/>
        </w:rPr>
        <w:t>)</w:t>
      </w:r>
    </w:p>
    <w:p>
      <w:pPr>
        <w:spacing w:after="0"/>
        <w:ind w:left="1701" w:hanging="1701"/>
        <w:rPr>
          <w:rFonts w:eastAsia="Arial Unicode MS"/>
          <w:noProof/>
          <w:szCs w:val="24"/>
        </w:rPr>
      </w:pPr>
      <w:r>
        <w:rPr>
          <w:noProof/>
        </w:rPr>
        <w:t>4.2.12.2.4.1.</w:t>
      </w:r>
      <w:r>
        <w:rPr>
          <w:noProof/>
        </w:rPr>
        <w:tab/>
        <w:t>Caractéristiques (marque, type, débit, etc.): …</w:t>
      </w:r>
    </w:p>
    <w:p>
      <w:pPr>
        <w:spacing w:after="0"/>
        <w:ind w:left="1701" w:hanging="1701"/>
        <w:rPr>
          <w:rFonts w:eastAsia="Arial Unicode MS"/>
          <w:noProof/>
          <w:szCs w:val="24"/>
        </w:rPr>
      </w:pPr>
      <w:r>
        <w:rPr>
          <w:noProof/>
        </w:rPr>
        <w:t>4.2.12.2.4.2.</w:t>
      </w:r>
      <w:r>
        <w:rPr>
          <w:noProof/>
        </w:rPr>
        <w:tab/>
        <w:t>Système de refroidissement par eau: oui/non (</w:t>
      </w:r>
      <w:r>
        <w:rPr>
          <w:noProof/>
          <w:vertAlign w:val="superscript"/>
        </w:rPr>
        <w:t>1</w:t>
      </w:r>
      <w:r>
        <w:rPr>
          <w:noProof/>
        </w:rPr>
        <w:t>)</w:t>
      </w:r>
    </w:p>
    <w:p>
      <w:pPr>
        <w:spacing w:after="0"/>
        <w:ind w:left="1701" w:hanging="1701"/>
        <w:rPr>
          <w:rFonts w:eastAsia="Arial Unicode MS"/>
          <w:noProof/>
          <w:szCs w:val="24"/>
        </w:rPr>
      </w:pPr>
      <w:r>
        <w:rPr>
          <w:noProof/>
        </w:rPr>
        <w:t>4.2.12.2.5.</w:t>
      </w:r>
      <w:r>
        <w:rPr>
          <w:noProof/>
        </w:rPr>
        <w:tab/>
        <w:t>Système de contrôle des émissions par évaporation: oui/non (</w:t>
      </w:r>
      <w:r>
        <w:rPr>
          <w:noProof/>
          <w:vertAlign w:val="superscript"/>
        </w:rPr>
        <w:t>1</w:t>
      </w:r>
      <w:r>
        <w:rPr>
          <w:noProof/>
        </w:rPr>
        <w:t>)</w:t>
      </w:r>
    </w:p>
    <w:p>
      <w:pPr>
        <w:spacing w:after="0"/>
        <w:ind w:left="1701" w:hanging="1701"/>
        <w:rPr>
          <w:rFonts w:eastAsia="Arial Unicode MS"/>
          <w:noProof/>
          <w:szCs w:val="24"/>
        </w:rPr>
      </w:pPr>
      <w:r>
        <w:rPr>
          <w:noProof/>
        </w:rPr>
        <w:t>4.2.12.2.5.1.</w:t>
      </w:r>
      <w:r>
        <w:rPr>
          <w:noProof/>
        </w:rPr>
        <w:tab/>
        <w:t>Description détaillée des dispositifs et de leur réglage: …</w:t>
      </w:r>
    </w:p>
    <w:p>
      <w:pPr>
        <w:spacing w:after="0"/>
        <w:ind w:left="1701" w:hanging="1701"/>
        <w:rPr>
          <w:rFonts w:eastAsia="Arial Unicode MS"/>
          <w:noProof/>
          <w:szCs w:val="24"/>
        </w:rPr>
      </w:pPr>
      <w:r>
        <w:rPr>
          <w:noProof/>
        </w:rPr>
        <w:t>4.2.12.2.5.2.</w:t>
      </w:r>
      <w:r>
        <w:rPr>
          <w:noProof/>
        </w:rPr>
        <w:tab/>
        <w:t>Dessin du système de contrôle des émissions par évaporation: …</w:t>
      </w:r>
    </w:p>
    <w:p>
      <w:pPr>
        <w:spacing w:after="0"/>
        <w:ind w:left="1701" w:hanging="1701"/>
        <w:rPr>
          <w:rFonts w:eastAsia="Arial Unicode MS"/>
          <w:noProof/>
          <w:szCs w:val="24"/>
        </w:rPr>
      </w:pPr>
      <w:r>
        <w:rPr>
          <w:noProof/>
        </w:rPr>
        <w:t>4.2.12.2.5.3.</w:t>
      </w:r>
      <w:r>
        <w:rPr>
          <w:noProof/>
        </w:rPr>
        <w:tab/>
        <w:t>Dessin de la cartouche de carbone: …</w:t>
      </w:r>
    </w:p>
    <w:p>
      <w:pPr>
        <w:spacing w:after="0"/>
        <w:ind w:left="1701" w:hanging="1701"/>
        <w:rPr>
          <w:rFonts w:eastAsia="Arial Unicode MS"/>
          <w:noProof/>
          <w:szCs w:val="24"/>
        </w:rPr>
      </w:pPr>
      <w:r>
        <w:rPr>
          <w:noProof/>
        </w:rPr>
        <w:t>4.2.12.2.5.4.</w:t>
      </w:r>
      <w:r>
        <w:rPr>
          <w:noProof/>
        </w:rPr>
        <w:tab/>
        <w:t>Masse du charbon sec: …… g</w:t>
      </w:r>
    </w:p>
    <w:p>
      <w:pPr>
        <w:spacing w:after="0"/>
        <w:ind w:left="1701" w:hanging="1701"/>
        <w:rPr>
          <w:rFonts w:eastAsia="Arial Unicode MS"/>
          <w:noProof/>
          <w:szCs w:val="24"/>
        </w:rPr>
      </w:pPr>
      <w:r>
        <w:rPr>
          <w:noProof/>
        </w:rPr>
        <w:t>4.2.12.2.5.5.</w:t>
      </w:r>
      <w:r>
        <w:rPr>
          <w:noProof/>
        </w:rPr>
        <w:tab/>
        <w:t>Schéma du réservoir de carburant, avec indication de la contenance et du matériau utilisé: …</w:t>
      </w:r>
    </w:p>
    <w:p>
      <w:pPr>
        <w:spacing w:after="0"/>
        <w:ind w:left="1701" w:hanging="1701"/>
        <w:rPr>
          <w:rFonts w:eastAsia="Arial Unicode MS"/>
          <w:noProof/>
          <w:szCs w:val="24"/>
        </w:rPr>
      </w:pPr>
      <w:r>
        <w:rPr>
          <w:noProof/>
        </w:rPr>
        <w:t>4.2.12.2.5.6.</w:t>
      </w:r>
      <w:r>
        <w:rPr>
          <w:noProof/>
        </w:rPr>
        <w:tab/>
        <w:t>Dessin de l’écran thermique entre le réservoir et le système d’échappement: …</w:t>
      </w:r>
    </w:p>
    <w:p>
      <w:pPr>
        <w:spacing w:after="0"/>
        <w:ind w:left="1701" w:hanging="1701"/>
        <w:rPr>
          <w:rFonts w:eastAsia="Arial Unicode MS"/>
          <w:noProof/>
          <w:szCs w:val="24"/>
        </w:rPr>
      </w:pPr>
      <w:r>
        <w:rPr>
          <w:noProof/>
        </w:rPr>
        <w:t>4.2.12.2.6.</w:t>
      </w:r>
      <w:r>
        <w:rPr>
          <w:noProof/>
        </w:rPr>
        <w:tab/>
        <w:t>Piège à particules (PT): oui/non (</w:t>
      </w:r>
      <w:r>
        <w:rPr>
          <w:noProof/>
          <w:vertAlign w:val="superscript"/>
        </w:rPr>
        <w:t>1</w:t>
      </w:r>
      <w:r>
        <w:rPr>
          <w:noProof/>
        </w:rPr>
        <w:t>)</w:t>
      </w:r>
    </w:p>
    <w:p>
      <w:pPr>
        <w:spacing w:after="0"/>
        <w:ind w:left="1701" w:hanging="1701"/>
        <w:rPr>
          <w:rFonts w:eastAsia="Arial Unicode MS"/>
          <w:noProof/>
          <w:szCs w:val="24"/>
        </w:rPr>
      </w:pPr>
      <w:r>
        <w:rPr>
          <w:noProof/>
        </w:rPr>
        <w:t>4.2.12.2.6.1.</w:t>
      </w:r>
      <w:r>
        <w:rPr>
          <w:noProof/>
        </w:rPr>
        <w:tab/>
        <w:t>Dimensions, forme et contenance du piège à particules: …</w:t>
      </w:r>
    </w:p>
    <w:p>
      <w:pPr>
        <w:spacing w:after="0"/>
        <w:ind w:left="1701" w:hanging="1701"/>
        <w:rPr>
          <w:rFonts w:eastAsia="Arial Unicode MS"/>
          <w:noProof/>
          <w:szCs w:val="24"/>
        </w:rPr>
      </w:pPr>
      <w:r>
        <w:rPr>
          <w:noProof/>
        </w:rPr>
        <w:t>4.2.12.2.6.2.</w:t>
      </w:r>
      <w:r>
        <w:rPr>
          <w:noProof/>
        </w:rPr>
        <w:tab/>
        <w:t>Conception du piège à particules: …</w:t>
      </w:r>
    </w:p>
    <w:p>
      <w:pPr>
        <w:spacing w:after="0"/>
        <w:ind w:left="1701" w:hanging="1701"/>
        <w:rPr>
          <w:rFonts w:eastAsia="Arial Unicode MS"/>
          <w:noProof/>
          <w:szCs w:val="24"/>
        </w:rPr>
      </w:pPr>
      <w:r>
        <w:rPr>
          <w:noProof/>
        </w:rPr>
        <w:t>4.2.12.2.6.3.</w:t>
      </w:r>
      <w:r>
        <w:rPr>
          <w:noProof/>
        </w:rPr>
        <w:tab/>
        <w:t>Emplacement (distance de référence le long du système d’échappement): …</w:t>
      </w:r>
    </w:p>
    <w:p>
      <w:pPr>
        <w:spacing w:after="0"/>
        <w:ind w:left="1701" w:hanging="1701"/>
        <w:rPr>
          <w:rFonts w:eastAsia="Arial Unicode MS"/>
          <w:noProof/>
          <w:szCs w:val="24"/>
        </w:rPr>
      </w:pPr>
      <w:r>
        <w:rPr>
          <w:noProof/>
        </w:rPr>
        <w:t>4.2.12.2.6.4.</w:t>
      </w:r>
      <w:r>
        <w:rPr>
          <w:noProof/>
        </w:rPr>
        <w:tab/>
        <w:t>Méthode ou système de régénération, description et/ou dessin: …</w:t>
      </w:r>
    </w:p>
    <w:p>
      <w:pPr>
        <w:spacing w:after="0"/>
        <w:ind w:left="1701" w:hanging="1701"/>
        <w:rPr>
          <w:rFonts w:eastAsia="Arial Unicode MS"/>
          <w:noProof/>
          <w:szCs w:val="24"/>
        </w:rPr>
      </w:pPr>
      <w:r>
        <w:rPr>
          <w:noProof/>
        </w:rPr>
        <w:t>4.2.12.2.6.4.1.</w:t>
      </w:r>
      <w:r>
        <w:rPr>
          <w:noProof/>
        </w:rPr>
        <w:tab/>
        <w:t>Nombre de cycles de fonctionnement de type I (ou de cycles équivalents sur banc-moteur) entre deux cycles où se produit une régénération dans les conditions équivalentes à l’essai du type I (distance «D» dans la figure 1 de l’annexe 13 du règlement n</w:t>
      </w:r>
      <w:r>
        <w:rPr>
          <w:noProof/>
          <w:vertAlign w:val="superscript"/>
        </w:rPr>
        <w:t>o</w:t>
      </w:r>
      <w:r>
        <w:rPr>
          <w:noProof/>
        </w:rPr>
        <w:t> 83 de la CEE-ONU): …</w:t>
      </w:r>
    </w:p>
    <w:p>
      <w:pPr>
        <w:spacing w:after="0"/>
        <w:ind w:left="1701" w:hanging="1701"/>
        <w:rPr>
          <w:rFonts w:eastAsia="Arial Unicode MS"/>
          <w:noProof/>
          <w:szCs w:val="24"/>
        </w:rPr>
      </w:pPr>
      <w:r>
        <w:rPr>
          <w:noProof/>
        </w:rPr>
        <w:t>4.2.12.2.6.4.2.</w:t>
      </w:r>
      <w:r>
        <w:rPr>
          <w:noProof/>
        </w:rPr>
        <w:tab/>
        <w:t>Description de la méthode employée pour déterminer le nombre de cycles entre deux cycles où se produit une régénération: …</w:t>
      </w:r>
    </w:p>
    <w:p>
      <w:pPr>
        <w:spacing w:after="0"/>
        <w:ind w:left="1701" w:hanging="1701"/>
        <w:rPr>
          <w:rFonts w:eastAsia="Arial Unicode MS"/>
          <w:noProof/>
          <w:szCs w:val="24"/>
        </w:rPr>
      </w:pPr>
      <w:r>
        <w:rPr>
          <w:noProof/>
        </w:rPr>
        <w:t>4.2.12.2.6.4.3.</w:t>
      </w:r>
      <w:r>
        <w:rPr>
          <w:noProof/>
        </w:rPr>
        <w:tab/>
        <w:t>Paramètres déterminant le niveau d’encrassement requis avant que la régénération se produise (c’est-à-dire température, pression, etc.): …</w:t>
      </w:r>
    </w:p>
    <w:p>
      <w:pPr>
        <w:spacing w:after="0"/>
        <w:ind w:left="1701" w:hanging="1701"/>
        <w:rPr>
          <w:rFonts w:eastAsia="Arial Unicode MS"/>
          <w:noProof/>
          <w:szCs w:val="24"/>
        </w:rPr>
      </w:pPr>
      <w:r>
        <w:rPr>
          <w:noProof/>
        </w:rPr>
        <w:t>4.2.12.2.6.4.4.</w:t>
      </w:r>
      <w:r>
        <w:rPr>
          <w:noProof/>
        </w:rPr>
        <w:tab/>
        <w:t>Description de la méthode appliquée pour réaliser l’encrassement du système dans la procédure d’essai décrite au paragraphe 3.1 de l’annexe 13 du règlement n</w:t>
      </w:r>
      <w:r>
        <w:rPr>
          <w:noProof/>
          <w:vertAlign w:val="superscript"/>
        </w:rPr>
        <w:t>o</w:t>
      </w:r>
      <w:r>
        <w:rPr>
          <w:noProof/>
        </w:rPr>
        <w:t> 83 de la CEE-ONU: …</w:t>
      </w:r>
    </w:p>
    <w:p>
      <w:pPr>
        <w:spacing w:after="0"/>
        <w:ind w:left="1701" w:hanging="1701"/>
        <w:rPr>
          <w:rFonts w:eastAsia="Arial Unicode MS"/>
          <w:noProof/>
          <w:szCs w:val="24"/>
        </w:rPr>
      </w:pPr>
      <w:r>
        <w:rPr>
          <w:noProof/>
        </w:rPr>
        <w:t>4.2.12.2.6.5.</w:t>
      </w:r>
      <w:r>
        <w:rPr>
          <w:noProof/>
        </w:rPr>
        <w:tab/>
        <w:t>Marque du piège à particules: …</w:t>
      </w:r>
    </w:p>
    <w:p>
      <w:pPr>
        <w:spacing w:after="0"/>
        <w:ind w:left="1701" w:hanging="1701"/>
        <w:rPr>
          <w:rFonts w:eastAsia="Arial Unicode MS"/>
          <w:noProof/>
          <w:szCs w:val="24"/>
        </w:rPr>
      </w:pPr>
      <w:r>
        <w:rPr>
          <w:noProof/>
        </w:rPr>
        <w:t>4.2.12.2.6.6.</w:t>
      </w:r>
      <w:r>
        <w:rPr>
          <w:noProof/>
        </w:rPr>
        <w:tab/>
        <w:t>Numéro d’identification de la pièce: …</w:t>
      </w:r>
    </w:p>
    <w:p>
      <w:pPr>
        <w:spacing w:after="0"/>
        <w:ind w:left="1701" w:hanging="1701"/>
        <w:rPr>
          <w:rFonts w:eastAsia="Arial Unicode MS"/>
          <w:noProof/>
          <w:szCs w:val="24"/>
        </w:rPr>
      </w:pPr>
      <w:r>
        <w:rPr>
          <w:noProof/>
        </w:rPr>
        <w:t>4.2.12.2.6.7.</w:t>
      </w:r>
      <w:r>
        <w:rPr>
          <w:noProof/>
        </w:rPr>
        <w:tab/>
        <w:t>Plage des températures: … K et des pressions: ... (kPa) normales de fonctionnement</w:t>
      </w:r>
    </w:p>
    <w:p>
      <w:pPr>
        <w:ind w:left="1701" w:hanging="1701"/>
        <w:rPr>
          <w:rFonts w:eastAsia="Arial Unicode MS"/>
          <w:noProof/>
          <w:szCs w:val="24"/>
        </w:rPr>
      </w:pPr>
      <w:r>
        <w:rPr>
          <w:noProof/>
        </w:rPr>
        <w:tab/>
        <w:t>(véhicules lourds uniquement)</w:t>
      </w:r>
    </w:p>
    <w:p>
      <w:pPr>
        <w:spacing w:after="0"/>
        <w:ind w:left="1701" w:hanging="1701"/>
        <w:rPr>
          <w:rFonts w:eastAsia="Arial Unicode MS"/>
          <w:noProof/>
          <w:szCs w:val="24"/>
        </w:rPr>
      </w:pPr>
      <w:r>
        <w:rPr>
          <w:noProof/>
        </w:rPr>
        <w:t>4.2.12.2.6.8.</w:t>
      </w:r>
      <w:r>
        <w:rPr>
          <w:noProof/>
        </w:rPr>
        <w:tab/>
        <w:t>En cas de régénération périodique (véhicules lourds uniquement)</w:t>
      </w:r>
    </w:p>
    <w:p>
      <w:pPr>
        <w:spacing w:after="0"/>
        <w:ind w:left="1701" w:hanging="1701"/>
        <w:rPr>
          <w:rFonts w:eastAsia="Arial Unicode MS"/>
          <w:noProof/>
          <w:szCs w:val="24"/>
        </w:rPr>
      </w:pPr>
      <w:r>
        <w:rPr>
          <w:noProof/>
        </w:rPr>
        <w:lastRenderedPageBreak/>
        <w:t>4.2.12.2.6.8.1.</w:t>
      </w:r>
      <w:r>
        <w:rPr>
          <w:noProof/>
        </w:rPr>
        <w:tab/>
        <w:t>Nombre de cycles d’essai ETC entre 2 régénérations (n1): ... (non applicable à Euro VI)</w:t>
      </w:r>
    </w:p>
    <w:p>
      <w:pPr>
        <w:spacing w:after="0"/>
        <w:ind w:left="1701" w:hanging="1701"/>
        <w:rPr>
          <w:rFonts w:eastAsia="Arial Unicode MS"/>
          <w:noProof/>
          <w:szCs w:val="24"/>
        </w:rPr>
      </w:pPr>
      <w:r>
        <w:rPr>
          <w:noProof/>
        </w:rPr>
        <w:t>4.2.12.2.6.8.1.1.</w:t>
      </w:r>
      <w:r>
        <w:rPr>
          <w:noProof/>
        </w:rPr>
        <w:tab/>
        <w:t>(Euro VI uniquement) Nombre de cycles d’essai WHTC sans régénération (n):</w:t>
      </w:r>
    </w:p>
    <w:p>
      <w:pPr>
        <w:spacing w:after="0"/>
        <w:ind w:left="1701" w:hanging="1701"/>
        <w:rPr>
          <w:rFonts w:eastAsia="Arial Unicode MS"/>
          <w:noProof/>
          <w:szCs w:val="24"/>
        </w:rPr>
      </w:pPr>
      <w:r>
        <w:rPr>
          <w:noProof/>
        </w:rPr>
        <w:t>4.2.12.2.6.8.2.</w:t>
      </w:r>
      <w:r>
        <w:rPr>
          <w:noProof/>
        </w:rPr>
        <w:tab/>
        <w:t>Nombre de cycles d’essai ETC au cours de la régénération (n2): ... (non applicable à Euro VI)</w:t>
      </w:r>
      <w:r>
        <w:rPr>
          <w:b/>
          <w:noProof/>
        </w:rPr>
        <w:t xml:space="preserve"> </w:t>
      </w:r>
    </w:p>
    <w:p>
      <w:pPr>
        <w:spacing w:after="0"/>
        <w:ind w:left="1701" w:hanging="1701"/>
        <w:rPr>
          <w:rFonts w:eastAsia="Arial Unicode MS"/>
          <w:noProof/>
          <w:szCs w:val="24"/>
        </w:rPr>
      </w:pPr>
      <w:r>
        <w:rPr>
          <w:noProof/>
        </w:rPr>
        <w:t>4.2.12.2.6.8.2.1.</w:t>
      </w:r>
      <w:r>
        <w:rPr>
          <w:noProof/>
        </w:rPr>
        <w:tab/>
        <w:t>(Euro VI uniquement) Nombre de cycles d’essai WHTC avec régénération (n</w:t>
      </w:r>
      <w:r>
        <w:rPr>
          <w:noProof/>
          <w:vertAlign w:val="subscript"/>
        </w:rPr>
        <w:t>R</w:t>
      </w:r>
      <w:r>
        <w:rPr>
          <w:noProof/>
        </w:rPr>
        <w:t>):</w:t>
      </w:r>
    </w:p>
    <w:p>
      <w:pPr>
        <w:spacing w:after="0"/>
        <w:ind w:left="1701" w:hanging="1701"/>
        <w:rPr>
          <w:rFonts w:eastAsia="Arial Unicode MS"/>
          <w:noProof/>
          <w:szCs w:val="24"/>
        </w:rPr>
      </w:pPr>
      <w:r>
        <w:rPr>
          <w:noProof/>
        </w:rPr>
        <w:t>4.2.12.2.6.9.</w:t>
      </w:r>
      <w:r>
        <w:rPr>
          <w:noProof/>
        </w:rPr>
        <w:tab/>
        <w:t>Autres systèmes: oui/non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Description et fonctionnement</w:t>
      </w:r>
    </w:p>
    <w:p>
      <w:pPr>
        <w:spacing w:after="0"/>
        <w:ind w:left="1701" w:hanging="1701"/>
        <w:rPr>
          <w:rFonts w:eastAsia="Arial Unicode MS"/>
          <w:noProof/>
          <w:szCs w:val="24"/>
        </w:rPr>
      </w:pPr>
      <w:r>
        <w:rPr>
          <w:noProof/>
        </w:rPr>
        <w:t>4.2.12.2.7.1.</w:t>
      </w:r>
      <w:r>
        <w:rPr>
          <w:noProof/>
        </w:rPr>
        <w:tab/>
        <w:t>Système de diagnostic embarqué (OBD): oui/non (</w:t>
      </w:r>
      <w:r>
        <w:rPr>
          <w:noProof/>
          <w:vertAlign w:val="superscript"/>
        </w:rPr>
        <w:t>1</w:t>
      </w:r>
      <w:r>
        <w:rPr>
          <w:noProof/>
        </w:rPr>
        <w:t>): …</w:t>
      </w:r>
    </w:p>
    <w:p>
      <w:pPr>
        <w:spacing w:after="0"/>
        <w:ind w:left="1701" w:hanging="1701"/>
        <w:rPr>
          <w:rFonts w:eastAsia="Arial Unicode MS"/>
          <w:noProof/>
          <w:szCs w:val="24"/>
        </w:rPr>
      </w:pPr>
      <w:r>
        <w:rPr>
          <w:noProof/>
        </w:rPr>
        <w:t>4.2.12.2.7.1.1.</w:t>
      </w:r>
      <w:r>
        <w:rPr>
          <w:noProof/>
        </w:rPr>
        <w:tab/>
        <w:t xml:space="preserve">(Euro VI uniquement) Nombre de familles de moteurs OBD au sein de la famille de moteurs </w:t>
      </w:r>
    </w:p>
    <w:p>
      <w:pPr>
        <w:spacing w:after="0"/>
        <w:ind w:left="1701" w:hanging="1701"/>
        <w:rPr>
          <w:rFonts w:eastAsia="Arial Unicode MS"/>
          <w:noProof/>
          <w:szCs w:val="24"/>
        </w:rPr>
      </w:pPr>
      <w:r>
        <w:rPr>
          <w:noProof/>
        </w:rPr>
        <w:t>4.2.12.2.7.1.2.</w:t>
      </w:r>
      <w:r>
        <w:rPr>
          <w:noProof/>
        </w:rPr>
        <w:tab/>
        <w:t>Liste des familles de moteurs OBD (le cas échéant)</w:t>
      </w:r>
    </w:p>
    <w:p>
      <w:pPr>
        <w:spacing w:after="0"/>
        <w:ind w:left="1701" w:hanging="1701"/>
        <w:rPr>
          <w:rFonts w:eastAsia="Arial Unicode MS"/>
          <w:noProof/>
          <w:szCs w:val="24"/>
        </w:rPr>
      </w:pPr>
      <w:r>
        <w:rPr>
          <w:noProof/>
        </w:rPr>
        <w:t>4.2.12.2.7.1.3.</w:t>
      </w:r>
      <w:r>
        <w:rPr>
          <w:noProof/>
        </w:rPr>
        <w:tab/>
        <w:t>Numéro de la famille de moteurs OBD à laquelle le moteur parent / le moteur membre appartient:</w:t>
      </w:r>
    </w:p>
    <w:p>
      <w:pPr>
        <w:spacing w:after="0"/>
        <w:ind w:left="1701" w:hanging="1701"/>
        <w:rPr>
          <w:rFonts w:eastAsia="Arial Unicode MS"/>
          <w:noProof/>
          <w:szCs w:val="24"/>
        </w:rPr>
      </w:pPr>
      <w:r>
        <w:rPr>
          <w:noProof/>
        </w:rPr>
        <w:t>4.2.12.2.7.1.4.</w:t>
      </w:r>
      <w:r>
        <w:rPr>
          <w:noProof/>
        </w:rPr>
        <w:tab/>
        <w:t>Références du constructeur à la documentation OBD requise par l’article 5, paragraphe 4, point c), et l’article 9, paragraphe 4, du règlement (UE) n</w:t>
      </w:r>
      <w:r>
        <w:rPr>
          <w:noProof/>
          <w:vertAlign w:val="superscript"/>
        </w:rPr>
        <w:t>o</w:t>
      </w:r>
      <w:r>
        <w:rPr>
          <w:noProof/>
        </w:rPr>
        <w:t> 582/2011 et spécifiée dans l’annexe X de ce règlement pour les besoins de la réception du système OBD</w:t>
      </w:r>
    </w:p>
    <w:p>
      <w:pPr>
        <w:spacing w:after="0"/>
        <w:ind w:left="1701" w:hanging="1701"/>
        <w:rPr>
          <w:rFonts w:eastAsia="Arial Unicode MS"/>
          <w:noProof/>
          <w:szCs w:val="24"/>
        </w:rPr>
      </w:pPr>
      <w:r>
        <w:rPr>
          <w:noProof/>
        </w:rPr>
        <w:t>4.2.12.2.7.1.5.</w:t>
      </w:r>
      <w:r>
        <w:rPr>
          <w:noProof/>
        </w:rPr>
        <w:tab/>
        <w:t>Le cas échéant, référence du constructeur à la documentation pour le montage sur un véhicule d’un moteur équipé d’un système OBD</w:t>
      </w:r>
    </w:p>
    <w:p>
      <w:pPr>
        <w:spacing w:after="0"/>
        <w:ind w:left="1701" w:hanging="1701"/>
        <w:rPr>
          <w:rFonts w:eastAsia="Arial Unicode MS"/>
          <w:noProof/>
          <w:szCs w:val="24"/>
        </w:rPr>
      </w:pPr>
      <w:r>
        <w:rPr>
          <w:noProof/>
        </w:rPr>
        <w:t>4.2.12.2.7.1.6.</w:t>
      </w:r>
      <w:r>
        <w:rPr>
          <w:noProof/>
        </w:rPr>
        <w:tab/>
        <w:t>Le cas échéant, référence du constructeur au dossier de documentation relatif au montage sur le véhicule du système OBD d’un moteur réceptionné</w:t>
      </w:r>
    </w:p>
    <w:p>
      <w:pPr>
        <w:spacing w:after="0"/>
        <w:ind w:left="1701" w:hanging="1701"/>
        <w:rPr>
          <w:rFonts w:eastAsia="Arial Unicode MS"/>
          <w:noProof/>
          <w:szCs w:val="24"/>
        </w:rPr>
      </w:pPr>
      <w:r>
        <w:rPr>
          <w:noProof/>
        </w:rPr>
        <w:t>4.2.12.2.7.2.</w:t>
      </w:r>
      <w:r>
        <w:rPr>
          <w:noProof/>
        </w:rPr>
        <w:tab/>
        <w:t>Description écrite et/ou dessin de l’indicateur de défaut de fonctionnement (MI): …</w:t>
      </w:r>
    </w:p>
    <w:p>
      <w:pPr>
        <w:spacing w:after="0"/>
        <w:ind w:left="1701" w:hanging="1701"/>
        <w:rPr>
          <w:rFonts w:eastAsia="Arial Unicode MS"/>
          <w:noProof/>
          <w:szCs w:val="24"/>
        </w:rPr>
      </w:pPr>
      <w:r>
        <w:rPr>
          <w:noProof/>
        </w:rPr>
        <w:t>4.2.12.2.7.3.</w:t>
      </w:r>
      <w:r>
        <w:rPr>
          <w:noProof/>
        </w:rPr>
        <w:tab/>
        <w:t>Liste et fonction de tous les composants surveillés par le système OBD: …</w:t>
      </w:r>
    </w:p>
    <w:p>
      <w:pPr>
        <w:spacing w:after="0"/>
        <w:ind w:left="1701" w:hanging="1701"/>
        <w:rPr>
          <w:rFonts w:eastAsia="Arial Unicode MS"/>
          <w:noProof/>
          <w:szCs w:val="24"/>
        </w:rPr>
      </w:pPr>
      <w:r>
        <w:rPr>
          <w:noProof/>
        </w:rPr>
        <w:t>4.2.12.2.7.4.</w:t>
      </w:r>
      <w:r>
        <w:rPr>
          <w:noProof/>
        </w:rPr>
        <w:tab/>
        <w:t>Description écrite (principes généraux de fonctionnement) des éléments suivants:</w:t>
      </w:r>
    </w:p>
    <w:p>
      <w:pPr>
        <w:spacing w:after="0"/>
        <w:ind w:left="1701" w:hanging="1701"/>
        <w:rPr>
          <w:rFonts w:eastAsia="Arial Unicode MS"/>
          <w:noProof/>
          <w:szCs w:val="24"/>
        </w:rPr>
      </w:pPr>
      <w:r>
        <w:rPr>
          <w:noProof/>
        </w:rPr>
        <w:t>4.2.12.2.7.4.1.</w:t>
      </w:r>
      <w:r>
        <w:rPr>
          <w:noProof/>
        </w:rPr>
        <w:tab/>
        <w:t>Moteurs à allumage commandé</w:t>
      </w:r>
    </w:p>
    <w:p>
      <w:pPr>
        <w:spacing w:after="0"/>
        <w:ind w:left="1701" w:hanging="1701"/>
        <w:rPr>
          <w:rFonts w:eastAsia="Arial Unicode MS"/>
          <w:noProof/>
          <w:szCs w:val="24"/>
        </w:rPr>
      </w:pPr>
      <w:r>
        <w:rPr>
          <w:noProof/>
        </w:rPr>
        <w:t>4.2.12.2.7.4.1.1.</w:t>
      </w:r>
      <w:r>
        <w:rPr>
          <w:noProof/>
        </w:rPr>
        <w:tab/>
        <w:t>Surveillance du catalyseur: …</w:t>
      </w:r>
    </w:p>
    <w:p>
      <w:pPr>
        <w:spacing w:after="0"/>
        <w:ind w:left="1701" w:hanging="1701"/>
        <w:rPr>
          <w:rFonts w:eastAsia="Arial Unicode MS"/>
          <w:noProof/>
          <w:szCs w:val="24"/>
        </w:rPr>
      </w:pPr>
      <w:r>
        <w:rPr>
          <w:noProof/>
        </w:rPr>
        <w:t>4.2.12.2.7.4.1.2.</w:t>
      </w:r>
      <w:r>
        <w:rPr>
          <w:noProof/>
        </w:rPr>
        <w:tab/>
        <w:t>Détection des ratés d’allumage: …</w:t>
      </w:r>
    </w:p>
    <w:p>
      <w:pPr>
        <w:spacing w:after="0"/>
        <w:ind w:left="1701" w:hanging="1701"/>
        <w:rPr>
          <w:rFonts w:eastAsia="Arial Unicode MS"/>
          <w:noProof/>
          <w:szCs w:val="24"/>
        </w:rPr>
      </w:pPr>
      <w:r>
        <w:rPr>
          <w:noProof/>
        </w:rPr>
        <w:t>4.2.12.2.7.4.1.3.</w:t>
      </w:r>
      <w:r>
        <w:rPr>
          <w:noProof/>
        </w:rPr>
        <w:tab/>
        <w:t>Surveillance du capteur d’oxygène: …</w:t>
      </w:r>
    </w:p>
    <w:p>
      <w:pPr>
        <w:spacing w:after="0"/>
        <w:ind w:left="1701" w:hanging="1701"/>
        <w:rPr>
          <w:rFonts w:eastAsia="Arial Unicode MS"/>
          <w:noProof/>
          <w:szCs w:val="24"/>
        </w:rPr>
      </w:pPr>
      <w:r>
        <w:rPr>
          <w:noProof/>
        </w:rPr>
        <w:t>4.2.12.2.7.4.1.4.</w:t>
      </w:r>
      <w:r>
        <w:rPr>
          <w:noProof/>
        </w:rPr>
        <w:tab/>
        <w:t>Autres composants surveillés par le système OBD: …</w:t>
      </w:r>
    </w:p>
    <w:p>
      <w:pPr>
        <w:spacing w:after="0"/>
        <w:ind w:left="1701" w:hanging="1701"/>
        <w:rPr>
          <w:rFonts w:eastAsia="Arial Unicode MS"/>
          <w:noProof/>
          <w:szCs w:val="24"/>
        </w:rPr>
      </w:pPr>
      <w:r>
        <w:rPr>
          <w:noProof/>
        </w:rPr>
        <w:t>4.2.12.2.7.4.2.</w:t>
      </w:r>
      <w:r>
        <w:rPr>
          <w:noProof/>
        </w:rPr>
        <w:tab/>
        <w:t>Moteurs à allumage par compression: …</w:t>
      </w:r>
    </w:p>
    <w:p>
      <w:pPr>
        <w:spacing w:after="0"/>
        <w:ind w:left="1701" w:hanging="1701"/>
        <w:rPr>
          <w:rFonts w:eastAsia="Arial Unicode MS"/>
          <w:noProof/>
          <w:szCs w:val="24"/>
        </w:rPr>
      </w:pPr>
      <w:r>
        <w:rPr>
          <w:noProof/>
        </w:rPr>
        <w:t>4.2.12.2.7.4.2.1.</w:t>
      </w:r>
      <w:r>
        <w:rPr>
          <w:noProof/>
        </w:rPr>
        <w:tab/>
        <w:t>Surveillance du catalyseur: …</w:t>
      </w:r>
    </w:p>
    <w:p>
      <w:pPr>
        <w:spacing w:after="0"/>
        <w:ind w:left="1701" w:hanging="1701"/>
        <w:rPr>
          <w:rFonts w:eastAsia="Arial Unicode MS"/>
          <w:noProof/>
          <w:szCs w:val="24"/>
        </w:rPr>
      </w:pPr>
      <w:r>
        <w:rPr>
          <w:noProof/>
        </w:rPr>
        <w:t>4.2.12.2.7.4.2.2.</w:t>
      </w:r>
      <w:r>
        <w:rPr>
          <w:noProof/>
        </w:rPr>
        <w:tab/>
        <w:t>Surveillance du piège à particules: …</w:t>
      </w:r>
    </w:p>
    <w:p>
      <w:pPr>
        <w:spacing w:after="0"/>
        <w:ind w:left="1701" w:hanging="1701"/>
        <w:rPr>
          <w:rFonts w:eastAsia="Arial Unicode MS"/>
          <w:noProof/>
          <w:szCs w:val="24"/>
        </w:rPr>
      </w:pPr>
      <w:r>
        <w:rPr>
          <w:noProof/>
        </w:rPr>
        <w:t>4.2.12.2.7.4.2.3.</w:t>
      </w:r>
      <w:r>
        <w:rPr>
          <w:noProof/>
        </w:rPr>
        <w:tab/>
        <w:t>Surveillance du système d’alimentation électronique: …</w:t>
      </w:r>
    </w:p>
    <w:p>
      <w:pPr>
        <w:spacing w:after="0"/>
        <w:ind w:left="1701" w:hanging="1701"/>
        <w:rPr>
          <w:rFonts w:eastAsia="Arial Unicode MS"/>
          <w:noProof/>
          <w:szCs w:val="24"/>
        </w:rPr>
      </w:pPr>
      <w:r>
        <w:rPr>
          <w:noProof/>
        </w:rPr>
        <w:lastRenderedPageBreak/>
        <w:t>4.2.12.2.7.4.2.4.</w:t>
      </w:r>
      <w:r>
        <w:rPr>
          <w:noProof/>
        </w:rPr>
        <w:tab/>
        <w:t>Surveillance du système de dénitrification: …</w:t>
      </w:r>
    </w:p>
    <w:p>
      <w:pPr>
        <w:spacing w:after="0"/>
        <w:ind w:left="1701" w:hanging="1701"/>
        <w:rPr>
          <w:rFonts w:eastAsia="Arial Unicode MS"/>
          <w:noProof/>
          <w:szCs w:val="24"/>
        </w:rPr>
      </w:pPr>
      <w:r>
        <w:rPr>
          <w:noProof/>
        </w:rPr>
        <w:t>4.2.12.2.7.4.2.5.</w:t>
      </w:r>
      <w:r>
        <w:rPr>
          <w:noProof/>
        </w:rPr>
        <w:tab/>
        <w:t>Autres composants surveillés par le système OBD: …</w:t>
      </w:r>
    </w:p>
    <w:p>
      <w:pPr>
        <w:spacing w:after="0"/>
        <w:ind w:left="1701" w:hanging="1701"/>
        <w:rPr>
          <w:rFonts w:eastAsia="Arial Unicode MS"/>
          <w:noProof/>
          <w:szCs w:val="24"/>
        </w:rPr>
      </w:pPr>
      <w:r>
        <w:rPr>
          <w:noProof/>
        </w:rPr>
        <w:t>4.2.12.2.7.5.</w:t>
      </w:r>
      <w:r>
        <w:rPr>
          <w:noProof/>
        </w:rPr>
        <w:tab/>
        <w:t>Critères d’activation de l’indicateur de défaut (nombre fixe de cycles de conduite ou méthode statistique): …</w:t>
      </w:r>
    </w:p>
    <w:p>
      <w:pPr>
        <w:spacing w:after="0"/>
        <w:ind w:left="1701" w:hanging="1701"/>
        <w:rPr>
          <w:rFonts w:eastAsia="Arial Unicode MS"/>
          <w:noProof/>
          <w:szCs w:val="24"/>
        </w:rPr>
      </w:pPr>
      <w:r>
        <w:rPr>
          <w:noProof/>
        </w:rPr>
        <w:t>4.2.12.2.7.6.</w:t>
      </w:r>
      <w:r>
        <w:rPr>
          <w:noProof/>
        </w:rPr>
        <w:tab/>
        <w:t>Liste de tous les codes OBD affichés et formats utilisés (avec explication pour chacun): …</w:t>
      </w:r>
    </w:p>
    <w:p>
      <w:pPr>
        <w:spacing w:after="0"/>
        <w:ind w:left="1701" w:hanging="1701"/>
        <w:rPr>
          <w:rFonts w:eastAsia="Arial Unicode MS"/>
          <w:noProof/>
          <w:szCs w:val="24"/>
        </w:rPr>
      </w:pPr>
      <w:r>
        <w:rPr>
          <w:noProof/>
        </w:rPr>
        <w:t>4.2.12.2.7.7.</w:t>
      </w:r>
      <w:r>
        <w:rPr>
          <w:noProof/>
        </w:rPr>
        <w:tab/>
        <w:t>Les informations supplémentaires suivantes doivent être fournies par le constructeur du véhicule afin de permettre la fabrication de pièces de rechange ou d’entretien, d’outils de diagnostic et d’équipements d’essai compatibles avec le système OBD:</w:t>
      </w:r>
    </w:p>
    <w:p>
      <w:pPr>
        <w:spacing w:after="0"/>
        <w:ind w:left="1701" w:hanging="1701"/>
        <w:rPr>
          <w:rFonts w:eastAsia="Arial Unicode MS"/>
          <w:noProof/>
          <w:szCs w:val="24"/>
        </w:rPr>
      </w:pPr>
      <w:r>
        <w:rPr>
          <w:noProof/>
        </w:rPr>
        <w:t>4.2.12.2.7.7.1.</w:t>
      </w:r>
      <w:r>
        <w:rPr>
          <w:noProof/>
        </w:rPr>
        <w:tab/>
        <w:t>une description du type et le nombre de cycles de préconditionnement utilisés pour la réception par type initiale du véhicule;</w:t>
      </w:r>
    </w:p>
    <w:p>
      <w:pPr>
        <w:spacing w:after="0"/>
        <w:ind w:left="1701" w:hanging="1701"/>
        <w:rPr>
          <w:rFonts w:eastAsia="Arial Unicode MS"/>
          <w:noProof/>
          <w:szCs w:val="24"/>
        </w:rPr>
      </w:pPr>
      <w:r>
        <w:rPr>
          <w:noProof/>
        </w:rPr>
        <w:t>4.2.12.2.7.7.2.</w:t>
      </w:r>
      <w:r>
        <w:rPr>
          <w:noProof/>
        </w:rPr>
        <w:tab/>
        <w:t>une description du type de cycle de démonstration du système OBD utilisé pour la réception par type initiale du véhicule en ce qui concerne le composant surveillé par le système OBD;</w:t>
      </w:r>
    </w:p>
    <w:p>
      <w:pPr>
        <w:spacing w:after="0"/>
        <w:ind w:left="1701" w:hanging="1701"/>
        <w:rPr>
          <w:rFonts w:eastAsia="Arial Unicode MS"/>
          <w:noProof/>
          <w:szCs w:val="24"/>
        </w:rPr>
      </w:pPr>
      <w:r>
        <w:rPr>
          <w:noProof/>
        </w:rPr>
        <w:t>4.2.12.2.7.7.3.</w:t>
      </w:r>
      <w:r>
        <w:rPr>
          <w:noProof/>
        </w:rPr>
        <w:tab/>
        <w:t>un document exhaustif décrivant tous les composants surveillés et la stratégie de détection des défauts et d’activation de l’indicateur MI (nombre fixe de cycles de conduite ou méthode statistique), y compris une liste des paramètres secondaires pertinents mesurés pour chacun des composants surveillés par le système OBD; une liste de tous les codes de sortie et formats OBD (accompagnée d’une explication pour chacun) utilisés pour les différents composants du groupe motopropulseur liés aux émissions ainsi que pour les différents composants non liés aux émissions, lorsque la surveillance du composant concerné intervient dans l’activation de l’indicateur MI, y compris, en particulier, une explication détaillée pour les données du service $05 (test ID $21 à FF) et pour les données du service $06.</w:t>
      </w:r>
    </w:p>
    <w:p>
      <w:pPr>
        <w:spacing w:before="100" w:beforeAutospacing="1" w:after="100" w:afterAutospacing="1"/>
        <w:ind w:left="1701"/>
        <w:rPr>
          <w:rFonts w:eastAsia="Arial Unicode MS"/>
          <w:noProof/>
          <w:szCs w:val="24"/>
        </w:rPr>
      </w:pPr>
      <w:r>
        <w:rPr>
          <w:noProof/>
        </w:rPr>
        <w:t>Dans le cas de types de véhicule utilisant une liaison de communication selon la norme ISO 15765-4 «Véhicules routiers — Systèmes de diagnostic sur CAN — Partie 4: Exigences pour les systèmes relatifs aux émissions», une explication exhaustive des données correspondant au service $06 (test ID $00 à FF) doit être fournie pour chaque ID de moniteur:</w:t>
      </w:r>
    </w:p>
    <w:p>
      <w:pPr>
        <w:spacing w:after="0"/>
        <w:ind w:left="1701" w:hanging="1701"/>
        <w:rPr>
          <w:rFonts w:eastAsia="Arial Unicode MS"/>
          <w:noProof/>
          <w:szCs w:val="24"/>
        </w:rPr>
      </w:pPr>
      <w:r>
        <w:rPr>
          <w:noProof/>
        </w:rPr>
        <w:t>4.2.12.2.7.7.4.</w:t>
      </w:r>
      <w:r>
        <w:rPr>
          <w:noProof/>
        </w:rPr>
        <w:tab/>
        <w:t>Les informations visées au point 4.2.12.2.7.7.3 peuvent être fournies en complétant un tableau, comme décrit aux points 4.2.12.2.7.7.4.1. et 4.2.12.2.7.7.4.2.</w:t>
      </w:r>
    </w:p>
    <w:p>
      <w:pPr>
        <w:spacing w:after="0"/>
        <w:ind w:left="1701" w:hanging="1701"/>
        <w:rPr>
          <w:rFonts w:eastAsia="Arial Unicode MS"/>
          <w:noProof/>
          <w:szCs w:val="24"/>
        </w:rPr>
      </w:pPr>
      <w:r>
        <w:rPr>
          <w:noProof/>
        </w:rPr>
        <w:t>4.2.12.2.7.7.4.1.</w:t>
      </w:r>
      <w:r>
        <w:rPr>
          <w:noProof/>
        </w:rPr>
        <w:tab/>
        <w:t>Véhicules légers</w:t>
      </w:r>
    </w:p>
    <w:tbl>
      <w:tblPr>
        <w:tblpPr w:leftFromText="180" w:rightFromText="180" w:vertAnchor="text" w:horzAnchor="margin" w:tblpXSpec="center" w:tblpY="267"/>
        <w:tblW w:w="8805"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31"/>
        <w:gridCol w:w="653"/>
        <w:gridCol w:w="1121"/>
        <w:gridCol w:w="967"/>
        <w:gridCol w:w="1046"/>
        <w:gridCol w:w="1107"/>
        <w:gridCol w:w="1680"/>
        <w:gridCol w:w="1200"/>
      </w:tblGrid>
      <w:tr>
        <w:trPr>
          <w:cantSplit/>
          <w:tblCellSpacing w:w="0" w:type="dxa"/>
        </w:trPr>
        <w:tc>
          <w:tcPr>
            <w:tcW w:w="10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Composant</w:t>
            </w:r>
          </w:p>
        </w:tc>
        <w:tc>
          <w:tcPr>
            <w:tcW w:w="65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Code de défaut</w:t>
            </w:r>
          </w:p>
        </w:tc>
        <w:tc>
          <w:tcPr>
            <w:tcW w:w="11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Stratégie de surveillance</w:t>
            </w:r>
          </w:p>
        </w:tc>
        <w:tc>
          <w:tcPr>
            <w:tcW w:w="96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Critères de détection des défauts</w:t>
            </w:r>
          </w:p>
        </w:tc>
        <w:tc>
          <w:tcPr>
            <w:tcW w:w="1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Critères d’activation de l’indicateur MI</w:t>
            </w:r>
          </w:p>
        </w:tc>
        <w:tc>
          <w:tcPr>
            <w:tcW w:w="11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Paramètres secondaires</w:t>
            </w:r>
          </w:p>
        </w:tc>
        <w:tc>
          <w:tcPr>
            <w:tcW w:w="16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9"/>
                <w:szCs w:val="19"/>
              </w:rPr>
            </w:pPr>
            <w:r>
              <w:rPr>
                <w:noProof/>
                <w:sz w:val="19"/>
                <w:szCs w:val="19"/>
              </w:rPr>
              <w:t>Préconditionnement</w:t>
            </w:r>
          </w:p>
        </w:tc>
        <w:tc>
          <w:tcPr>
            <w:tcW w:w="12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9"/>
                <w:szCs w:val="19"/>
              </w:rPr>
            </w:pPr>
            <w:r>
              <w:rPr>
                <w:noProof/>
                <w:sz w:val="19"/>
                <w:szCs w:val="19"/>
              </w:rPr>
              <w:t>Essai de démonstration</w:t>
            </w:r>
          </w:p>
        </w:tc>
      </w:tr>
      <w:tr>
        <w:trPr>
          <w:cantSplit/>
          <w:tblCellSpacing w:w="0" w:type="dxa"/>
        </w:trPr>
        <w:tc>
          <w:tcPr>
            <w:tcW w:w="103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lastRenderedPageBreak/>
              <w:t>Catalyseur</w:t>
            </w:r>
          </w:p>
        </w:tc>
        <w:tc>
          <w:tcPr>
            <w:tcW w:w="65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P0420</w:t>
            </w:r>
          </w:p>
        </w:tc>
        <w:tc>
          <w:tcPr>
            <w:tcW w:w="11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Signaux des capteurs d’oxygène 1 et 2</w:t>
            </w:r>
          </w:p>
        </w:tc>
        <w:tc>
          <w:tcPr>
            <w:tcW w:w="96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Différence entre les signaux des capteurs 1 et 2</w:t>
            </w:r>
          </w:p>
        </w:tc>
        <w:tc>
          <w:tcPr>
            <w:tcW w:w="104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3</w:t>
            </w:r>
            <w:r>
              <w:rPr>
                <w:noProof/>
                <w:sz w:val="22"/>
                <w:vertAlign w:val="superscript"/>
              </w:rPr>
              <w:t>e</w:t>
            </w:r>
            <w:r>
              <w:rPr>
                <w:noProof/>
                <w:sz w:val="22"/>
              </w:rPr>
              <w:t xml:space="preserve"> cycle</w:t>
            </w:r>
          </w:p>
        </w:tc>
        <w:tc>
          <w:tcPr>
            <w:tcW w:w="110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9"/>
                <w:szCs w:val="19"/>
              </w:rPr>
            </w:pPr>
            <w:r>
              <w:rPr>
                <w:noProof/>
                <w:sz w:val="19"/>
                <w:szCs w:val="19"/>
              </w:rPr>
              <w:t>Régime du moteur, charge du moteur, mode A/F, température du catalyseur</w:t>
            </w:r>
          </w:p>
        </w:tc>
        <w:tc>
          <w:tcPr>
            <w:tcW w:w="168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Deux cycles de type I</w:t>
            </w:r>
          </w:p>
        </w:tc>
        <w:tc>
          <w:tcPr>
            <w:tcW w:w="12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Type I</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4.2.12.2.7.7.4.2.</w:t>
      </w:r>
      <w:r>
        <w:rPr>
          <w:noProof/>
        </w:rPr>
        <w:tab/>
        <w:t>Véhicules lourds</w:t>
      </w:r>
    </w:p>
    <w:tbl>
      <w:tblPr>
        <w:tblpPr w:leftFromText="180" w:rightFromText="180" w:vertAnchor="text" w:horzAnchor="margin" w:tblpXSpec="center" w:tblpY="301"/>
        <w:tblW w:w="8805"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41"/>
        <w:gridCol w:w="684"/>
        <w:gridCol w:w="1080"/>
        <w:gridCol w:w="930"/>
        <w:gridCol w:w="30"/>
        <w:gridCol w:w="1080"/>
        <w:gridCol w:w="1080"/>
        <w:gridCol w:w="1680"/>
        <w:gridCol w:w="1200"/>
      </w:tblGrid>
      <w:tr>
        <w:trPr>
          <w:tblCellSpacing w:w="0" w:type="dxa"/>
        </w:trPr>
        <w:tc>
          <w:tcPr>
            <w:tcW w:w="10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Composant</w:t>
            </w:r>
          </w:p>
        </w:tc>
        <w:tc>
          <w:tcPr>
            <w:tcW w:w="68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Code de défaut</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Stratégie de surveillance</w:t>
            </w:r>
          </w:p>
        </w:tc>
        <w:tc>
          <w:tcPr>
            <w:tcW w:w="960"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Critères de détection des défauts</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Critères d’activation de l’indicateur MI</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Paramètres secondaires</w:t>
            </w:r>
          </w:p>
        </w:tc>
        <w:tc>
          <w:tcPr>
            <w:tcW w:w="16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9"/>
                <w:szCs w:val="19"/>
              </w:rPr>
            </w:pPr>
            <w:r>
              <w:rPr>
                <w:noProof/>
                <w:sz w:val="19"/>
                <w:szCs w:val="19"/>
              </w:rPr>
              <w:t>Préconditionnement</w:t>
            </w:r>
          </w:p>
        </w:tc>
        <w:tc>
          <w:tcPr>
            <w:tcW w:w="12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9"/>
                <w:szCs w:val="19"/>
              </w:rPr>
            </w:pPr>
            <w:r>
              <w:rPr>
                <w:noProof/>
                <w:sz w:val="19"/>
                <w:szCs w:val="19"/>
              </w:rPr>
              <w:t>Essai de démonstration</w:t>
            </w:r>
          </w:p>
        </w:tc>
      </w:tr>
      <w:tr>
        <w:trPr>
          <w:tblCellSpacing w:w="0" w:type="dxa"/>
        </w:trPr>
        <w:tc>
          <w:tcPr>
            <w:tcW w:w="10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Catalyseur SCR</w:t>
            </w:r>
          </w:p>
        </w:tc>
        <w:tc>
          <w:tcPr>
            <w:tcW w:w="68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Pxxx</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Signaux des capteurs de NO</w:t>
            </w:r>
            <w:r>
              <w:rPr>
                <w:noProof/>
                <w:sz w:val="22"/>
                <w:vertAlign w:val="subscript"/>
              </w:rPr>
              <w:t>x</w:t>
            </w:r>
            <w:r>
              <w:rPr>
                <w:noProof/>
                <w:sz w:val="22"/>
              </w:rPr>
              <w:t xml:space="preserve"> 1 et 2</w:t>
            </w:r>
          </w:p>
        </w:tc>
        <w:tc>
          <w:tcPr>
            <w:tcW w:w="93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Différence entre les signaux des capteurs 1 et 2</w:t>
            </w:r>
          </w:p>
        </w:tc>
        <w:tc>
          <w:tcPr>
            <w:tcW w:w="111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3</w:t>
            </w:r>
            <w:r>
              <w:rPr>
                <w:noProof/>
                <w:sz w:val="22"/>
                <w:vertAlign w:val="superscript"/>
              </w:rPr>
              <w:t>e</w:t>
            </w:r>
            <w:r>
              <w:rPr>
                <w:noProof/>
                <w:sz w:val="22"/>
              </w:rPr>
              <w:t xml:space="preserve"> cycle</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Régime du moteur, charge du moteur, température du catalyseur, activité du réactif</w:t>
            </w:r>
          </w:p>
        </w:tc>
        <w:tc>
          <w:tcPr>
            <w:tcW w:w="168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Trois cycles d’essai du système OBD (3 cycles ESC courts)</w:t>
            </w:r>
          </w:p>
        </w:tc>
        <w:tc>
          <w:tcPr>
            <w:tcW w:w="12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sz w:val="22"/>
              </w:rPr>
              <w:t>Cycle d’essai du système OBD (cycle ESC court)</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(Euro VI uniquement) Norme du protocole de communication OBD: (</w:t>
      </w:r>
      <w:r>
        <w:rPr>
          <w:noProof/>
          <w:vertAlign w:val="superscript"/>
        </w:rPr>
        <w:t>7</w:t>
      </w:r>
      <w:r>
        <w:rPr>
          <w:noProof/>
        </w:rPr>
        <w:t>)</w:t>
      </w:r>
    </w:p>
    <w:p>
      <w:pPr>
        <w:spacing w:after="0"/>
        <w:ind w:left="1701" w:hanging="1701"/>
        <w:rPr>
          <w:rFonts w:eastAsia="Arial Unicode MS"/>
          <w:noProof/>
          <w:szCs w:val="24"/>
        </w:rPr>
      </w:pPr>
      <w:r>
        <w:rPr>
          <w:noProof/>
        </w:rPr>
        <w:t>4.2.12.2.7.8.</w:t>
      </w:r>
      <w:r>
        <w:rPr>
          <w:noProof/>
        </w:rPr>
        <w:tab/>
        <w:t>(EuroVI uniquement) Référence du constructeur aux informations relatives au système OBD requises par l’article 5, paragraphe 4, point d), et l’article 9, paragraphe 4, du règlement (UE) n</w:t>
      </w:r>
      <w:r>
        <w:rPr>
          <w:noProof/>
          <w:vertAlign w:val="superscript"/>
        </w:rPr>
        <w:t>o </w:t>
      </w:r>
      <w:r>
        <w:rPr>
          <w:noProof/>
        </w:rPr>
        <w:t>582/2011 pour satisfaire aux dispositions concernant l’accès aux informations du système OBD des véhicules et aux informations sur la réparation et l’entretien des véhicules, ou</w:t>
      </w:r>
    </w:p>
    <w:p>
      <w:pPr>
        <w:spacing w:after="0"/>
        <w:ind w:left="1701" w:hanging="1701"/>
        <w:rPr>
          <w:rFonts w:eastAsia="Arial Unicode MS"/>
          <w:noProof/>
          <w:szCs w:val="24"/>
        </w:rPr>
      </w:pPr>
      <w:r>
        <w:rPr>
          <w:noProof/>
        </w:rPr>
        <w:t>4.2.12.2.7.8.1.</w:t>
      </w:r>
      <w:r>
        <w:rPr>
          <w:noProof/>
        </w:rPr>
        <w:tab/>
        <w:t>Au lieu de la référence du constructeur visée au point 3.2.12.2.7.7, référence au document joint au document d’information indiqué à l’appendice 4 de l’annexe I du règlement (UE) n</w:t>
      </w:r>
      <w:r>
        <w:rPr>
          <w:noProof/>
          <w:vertAlign w:val="superscript"/>
        </w:rPr>
        <w:t>o</w:t>
      </w:r>
      <w:r>
        <w:rPr>
          <w:noProof/>
        </w:rPr>
        <w:t> 582/2011 qui contient le tableau suivant, une fois complété conformément à l’exemple donné:</w:t>
      </w:r>
    </w:p>
    <w:p>
      <w:pPr>
        <w:spacing w:after="0"/>
        <w:ind w:left="1701"/>
        <w:rPr>
          <w:rFonts w:eastAsia="Arial Unicode MS"/>
          <w:noProof/>
          <w:szCs w:val="24"/>
        </w:rPr>
      </w:pPr>
      <w:r>
        <w:rPr>
          <w:noProof/>
        </w:rPr>
        <w:t>Composant – Code d’anomalie – Stratégie de surveillance – Critères de détection des anomalies – Critères d’activation MI – Paramètres secondaires – Préconditionnement – Essai de démonstration</w:t>
      </w:r>
    </w:p>
    <w:p>
      <w:pPr>
        <w:spacing w:after="0"/>
        <w:ind w:left="1701"/>
        <w:rPr>
          <w:rFonts w:eastAsia="Arial Unicode MS"/>
          <w:noProof/>
          <w:szCs w:val="24"/>
        </w:rPr>
      </w:pPr>
      <w:r>
        <w:rPr>
          <w:noProof/>
        </w:rPr>
        <w:t>Catalyseur – P0420 – Signaux des capteurs d’oxygène 1 et 2 – Différence entre les signaux des capteurs 1 et 2 – 3</w:t>
      </w:r>
      <w:r>
        <w:rPr>
          <w:noProof/>
          <w:vertAlign w:val="superscript"/>
        </w:rPr>
        <w:t>e</w:t>
      </w:r>
      <w:r>
        <w:rPr>
          <w:noProof/>
        </w:rPr>
        <w:t xml:space="preserve"> cycle – Régime du moteur, charge du moteur, mode A/F, température du catalyseur – Deux cycles de type 1 – Type 1</w:t>
      </w:r>
    </w:p>
    <w:p>
      <w:pPr>
        <w:spacing w:after="0"/>
        <w:ind w:left="1701" w:hanging="1701"/>
        <w:rPr>
          <w:rFonts w:eastAsia="Arial Unicode MS"/>
          <w:noProof/>
          <w:szCs w:val="24"/>
        </w:rPr>
      </w:pPr>
      <w:r>
        <w:rPr>
          <w:noProof/>
        </w:rPr>
        <w:t>4.2.12.2.7.9.</w:t>
      </w:r>
      <w:r>
        <w:rPr>
          <w:noProof/>
        </w:rPr>
        <w:tab/>
        <w:t>(EURO VI uniquement) Composants OBD présents sur le véhicule</w:t>
      </w:r>
    </w:p>
    <w:p>
      <w:pPr>
        <w:spacing w:after="0"/>
        <w:ind w:left="1701" w:hanging="1701"/>
        <w:rPr>
          <w:rFonts w:eastAsia="Arial Unicode MS"/>
          <w:noProof/>
          <w:szCs w:val="24"/>
        </w:rPr>
      </w:pPr>
      <w:r>
        <w:rPr>
          <w:noProof/>
        </w:rPr>
        <w:lastRenderedPageBreak/>
        <w:t>4.2.12.2.7.9.1.</w:t>
      </w:r>
      <w:r>
        <w:rPr>
          <w:noProof/>
        </w:rPr>
        <w:tab/>
        <w:t>Utilisation d’une réception alternative, telle que définie au point 2.4.1 de l’annexe X du règlement (UE) n</w:t>
      </w:r>
      <w:r>
        <w:rPr>
          <w:noProof/>
          <w:vertAlign w:val="superscript"/>
        </w:rPr>
        <w:t>o</w:t>
      </w:r>
      <w:r>
        <w:rPr>
          <w:noProof/>
        </w:rPr>
        <w:t> 582/2011: oui/non (</w:t>
      </w:r>
      <w:r>
        <w:rPr>
          <w:noProof/>
          <w:vertAlign w:val="superscript"/>
        </w:rPr>
        <w:t>1</w:t>
      </w:r>
      <w:r>
        <w:rPr>
          <w:noProof/>
        </w:rPr>
        <w:t>)</w:t>
      </w:r>
    </w:p>
    <w:p>
      <w:pPr>
        <w:spacing w:after="0"/>
        <w:ind w:left="1701" w:hanging="1701"/>
        <w:rPr>
          <w:rFonts w:eastAsia="Arial Unicode MS"/>
          <w:noProof/>
          <w:szCs w:val="24"/>
        </w:rPr>
      </w:pPr>
      <w:r>
        <w:rPr>
          <w:noProof/>
        </w:rPr>
        <w:t>4.2.12.2.7.9.2.</w:t>
      </w:r>
      <w:r>
        <w:rPr>
          <w:noProof/>
        </w:rPr>
        <w:tab/>
        <w:t>Liste des composants OBD présents sur le véhicule</w:t>
      </w:r>
    </w:p>
    <w:p>
      <w:pPr>
        <w:spacing w:after="0"/>
        <w:ind w:left="1701" w:hanging="1701"/>
        <w:rPr>
          <w:rFonts w:eastAsia="Arial Unicode MS"/>
          <w:noProof/>
          <w:szCs w:val="24"/>
        </w:rPr>
      </w:pPr>
      <w:r>
        <w:rPr>
          <w:noProof/>
        </w:rPr>
        <w:t>4.2.12.2.7.9.3.</w:t>
      </w:r>
      <w:r>
        <w:rPr>
          <w:noProof/>
        </w:rPr>
        <w:tab/>
        <w:t>Description écrite et/ou dessin de l’indicateur de défaut de fonctionnement MI (</w:t>
      </w:r>
      <w:r>
        <w:rPr>
          <w:noProof/>
          <w:vertAlign w:val="superscript"/>
        </w:rPr>
        <w:t>9</w:t>
      </w:r>
      <w:r>
        <w:rPr>
          <w:noProof/>
        </w:rPr>
        <w:t>):</w:t>
      </w:r>
    </w:p>
    <w:p>
      <w:pPr>
        <w:spacing w:after="0"/>
        <w:ind w:left="1701" w:hanging="1701"/>
        <w:rPr>
          <w:rFonts w:eastAsia="Arial Unicode MS"/>
          <w:noProof/>
          <w:szCs w:val="24"/>
        </w:rPr>
      </w:pPr>
      <w:r>
        <w:rPr>
          <w:noProof/>
        </w:rPr>
        <w:t>4.2.12.2.7.9.4.</w:t>
      </w:r>
      <w:r>
        <w:rPr>
          <w:noProof/>
        </w:rPr>
        <w:tab/>
        <w:t>Description écrite et/ou dessin de l’interface de communication OBD hors véhicule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Autres systèmes (description et fonctionnement): …</w:t>
      </w:r>
    </w:p>
    <w:p>
      <w:pPr>
        <w:spacing w:after="0"/>
        <w:ind w:left="1701" w:hanging="1701"/>
        <w:rPr>
          <w:rFonts w:eastAsia="Arial Unicode MS"/>
          <w:noProof/>
          <w:szCs w:val="24"/>
        </w:rPr>
      </w:pPr>
      <w:r>
        <w:rPr>
          <w:noProof/>
        </w:rPr>
        <w:t>4.2.12.2.8.1.</w:t>
      </w:r>
      <w:r>
        <w:rPr>
          <w:noProof/>
        </w:rPr>
        <w:tab/>
        <w:t>(Euro VI uniquement) Systèmes permettant d’assurer le fonctionnement correct des mesures de contrôle des NO</w:t>
      </w:r>
      <w:r>
        <w:rPr>
          <w:noProof/>
          <w:vertAlign w:val="subscript"/>
        </w:rPr>
        <w:t>x</w:t>
      </w:r>
    </w:p>
    <w:p>
      <w:pPr>
        <w:spacing w:after="0"/>
        <w:ind w:left="1701" w:hanging="1701"/>
        <w:rPr>
          <w:rFonts w:eastAsia="Arial Unicode MS"/>
          <w:noProof/>
          <w:szCs w:val="24"/>
        </w:rPr>
      </w:pPr>
      <w:r>
        <w:rPr>
          <w:noProof/>
        </w:rPr>
        <w:t>4.2.12.2.8.2.</w:t>
      </w:r>
      <w:r>
        <w:rPr>
          <w:noProof/>
        </w:rPr>
        <w:tab/>
        <w:t>Système d’incitation du conducteur</w:t>
      </w:r>
    </w:p>
    <w:p>
      <w:pPr>
        <w:spacing w:after="0"/>
        <w:ind w:left="1701" w:hanging="1701"/>
        <w:rPr>
          <w:rFonts w:eastAsia="Arial Unicode MS"/>
          <w:noProof/>
          <w:szCs w:val="24"/>
        </w:rPr>
      </w:pPr>
      <w:r>
        <w:rPr>
          <w:noProof/>
        </w:rPr>
        <w:t>4.2.12.2.8.2.1.</w:t>
      </w:r>
      <w:r>
        <w:rPr>
          <w:noProof/>
        </w:rPr>
        <w:tab/>
        <w:t>(Euro VI uniquement) Moteur avec désactivation permanente de l’incitation du conducteur, destiné à être utilisé par les services de secours ou sur les véhicules spécifiés au point b) de l’article 2, paragraphe 3: oui/non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Activation du mode «marche lente»</w:t>
      </w:r>
    </w:p>
    <w:p>
      <w:pPr>
        <w:spacing w:after="0"/>
        <w:ind w:left="1701"/>
        <w:rPr>
          <w:rFonts w:eastAsia="Arial Unicode MS"/>
          <w:noProof/>
          <w:szCs w:val="24"/>
        </w:rPr>
      </w:pPr>
      <w:r>
        <w:rPr>
          <w:noProof/>
        </w:rPr>
        <w:t>«neutralisation après redémarrage»/«neutralisation après ravitaillement en carburant»/«neutralisation après stationnement» (</w:t>
      </w:r>
      <w:r>
        <w:rPr>
          <w:noProof/>
          <w:vertAlign w:val="superscript"/>
        </w:rPr>
        <w:t>1</w:t>
      </w:r>
      <w:r>
        <w:rPr>
          <w:noProof/>
        </w:rPr>
        <w:t>) (</w:t>
      </w:r>
      <w:r>
        <w:rPr>
          <w:noProof/>
          <w:vertAlign w:val="superscript"/>
        </w:rPr>
        <w:t>7</w:t>
      </w:r>
      <w:r>
        <w:rPr>
          <w:noProof/>
        </w:rPr>
        <w:t>)</w:t>
      </w:r>
    </w:p>
    <w:p>
      <w:pPr>
        <w:spacing w:after="0"/>
        <w:ind w:left="1701" w:hanging="1701"/>
        <w:rPr>
          <w:rFonts w:eastAsia="Arial Unicode MS"/>
          <w:noProof/>
          <w:szCs w:val="24"/>
        </w:rPr>
      </w:pPr>
      <w:r>
        <w:rPr>
          <w:noProof/>
        </w:rPr>
        <w:t>4.2.12.2.8.3.</w:t>
      </w:r>
      <w:r>
        <w:rPr>
          <w:noProof/>
        </w:rPr>
        <w:tab/>
        <w:t>(Euro VI uniquement) Nombre de familles de moteurs OBD au sein de la famille de moteurs considérée aux fins d’assurer le fonctionnement correct des mesures de contrôle des NO</w:t>
      </w:r>
      <w:r>
        <w:rPr>
          <w:noProof/>
          <w:vertAlign w:val="subscript"/>
        </w:rPr>
        <w:t>x</w:t>
      </w:r>
    </w:p>
    <w:p>
      <w:pPr>
        <w:spacing w:after="0"/>
        <w:ind w:left="1701" w:hanging="1701"/>
        <w:rPr>
          <w:rFonts w:eastAsia="Arial Unicode MS"/>
          <w:noProof/>
          <w:szCs w:val="24"/>
        </w:rPr>
      </w:pPr>
      <w:r>
        <w:rPr>
          <w:noProof/>
        </w:rPr>
        <w:t>4.2.12.2.8.3.1.</w:t>
      </w:r>
      <w:r>
        <w:rPr>
          <w:noProof/>
        </w:rPr>
        <w:tab/>
        <w:t>(Euro VI uniquement) Liste des familles de moteurs OBD au sein de la famille de moteurs considérée aux fins d’assurer le fonctionnement correct des mesures de contrôle des NO</w:t>
      </w:r>
      <w:r>
        <w:rPr>
          <w:noProof/>
          <w:vertAlign w:val="subscript"/>
        </w:rPr>
        <w:t>x</w:t>
      </w:r>
      <w:r>
        <w:rPr>
          <w:noProof/>
        </w:rPr>
        <w:t xml:space="preserve"> (le cas échéant)</w:t>
      </w:r>
    </w:p>
    <w:p>
      <w:pPr>
        <w:spacing w:after="0"/>
        <w:ind w:left="1701" w:hanging="1701"/>
        <w:rPr>
          <w:rFonts w:eastAsia="Arial Unicode MS"/>
          <w:noProof/>
          <w:szCs w:val="24"/>
        </w:rPr>
      </w:pPr>
      <w:r>
        <w:rPr>
          <w:noProof/>
        </w:rPr>
        <w:t>4.2.12.2.8.3.2.</w:t>
      </w:r>
      <w:r>
        <w:rPr>
          <w:noProof/>
        </w:rPr>
        <w:tab/>
        <w:t>(Euro VI uniquement) Numéro de la famille de moteurs OBD à laquelle le moteur parent / le moteur membre appartient</w:t>
      </w:r>
    </w:p>
    <w:p>
      <w:pPr>
        <w:spacing w:after="0"/>
        <w:ind w:left="1701" w:hanging="1701"/>
        <w:rPr>
          <w:rFonts w:eastAsia="Arial Unicode MS"/>
          <w:noProof/>
          <w:szCs w:val="24"/>
        </w:rPr>
      </w:pPr>
      <w:r>
        <w:rPr>
          <w:noProof/>
        </w:rPr>
        <w:t>4.2.12.2.8.4.</w:t>
      </w:r>
      <w:r>
        <w:rPr>
          <w:noProof/>
        </w:rPr>
        <w:tab/>
        <w:t>(Euro VI uniquement) Concentration la plus faible de l’ingrédient actif présent dans le réactif qui n’active pas le système d’avertissement (CD</w:t>
      </w:r>
      <w:r>
        <w:rPr>
          <w:noProof/>
          <w:vertAlign w:val="subscript"/>
        </w:rPr>
        <w:t>min</w:t>
      </w:r>
      <w:r>
        <w:rPr>
          <w:noProof/>
        </w:rPr>
        <w:t>): (% vol.)</w:t>
      </w:r>
    </w:p>
    <w:p>
      <w:pPr>
        <w:spacing w:after="0"/>
        <w:ind w:left="1701" w:hanging="1701"/>
        <w:rPr>
          <w:rFonts w:eastAsia="Arial Unicode MS"/>
          <w:noProof/>
          <w:szCs w:val="24"/>
        </w:rPr>
      </w:pPr>
      <w:r>
        <w:rPr>
          <w:noProof/>
        </w:rPr>
        <w:t>4.2.12.2.8.5.</w:t>
      </w:r>
      <w:r>
        <w:rPr>
          <w:noProof/>
        </w:rPr>
        <w:tab/>
        <w:t>(Euro VI uniquement) Le cas échéant, référence du constructeur à la documentation pour le montage sur un véhicule des systèmes destinés à assurer le fonctionnement correct des mesures de contrôle des NO</w:t>
      </w:r>
      <w:r>
        <w:rPr>
          <w:noProof/>
          <w:vertAlign w:val="subscript"/>
        </w:rPr>
        <w:t>x</w:t>
      </w:r>
    </w:p>
    <w:p>
      <w:pPr>
        <w:spacing w:after="0"/>
        <w:ind w:left="1701" w:hanging="1701"/>
        <w:rPr>
          <w:rFonts w:eastAsia="Arial Unicode MS"/>
          <w:noProof/>
          <w:szCs w:val="24"/>
        </w:rPr>
      </w:pPr>
      <w:r>
        <w:rPr>
          <w:noProof/>
        </w:rPr>
        <w:t>4.2.12.2.8.6.</w:t>
      </w:r>
      <w:r>
        <w:rPr>
          <w:noProof/>
        </w:rPr>
        <w:tab/>
        <w:t>(Euro VI uniquement) Composants, présents sur le véhicule, des systèmes assurant le fonctionnement correct des mesures de contrôle des NO</w:t>
      </w:r>
      <w:r>
        <w:rPr>
          <w:noProof/>
          <w:vertAlign w:val="subscript"/>
        </w:rPr>
        <w:t>x</w:t>
      </w:r>
    </w:p>
    <w:p>
      <w:pPr>
        <w:spacing w:after="0"/>
        <w:ind w:left="1701" w:hanging="1701"/>
        <w:rPr>
          <w:rFonts w:eastAsia="Arial Unicode MS"/>
          <w:noProof/>
          <w:szCs w:val="24"/>
        </w:rPr>
      </w:pPr>
      <w:r>
        <w:rPr>
          <w:noProof/>
        </w:rPr>
        <w:t>4.2.12.2.8.6.1.</w:t>
      </w:r>
      <w:r>
        <w:rPr>
          <w:noProof/>
        </w:rPr>
        <w:tab/>
        <w:t>Liste des composants, présents sur le véhicule, des systèmes assurant le fonctionnement correct des mesures de contrôle des NO</w:t>
      </w:r>
      <w:r>
        <w:rPr>
          <w:noProof/>
          <w:vertAlign w:val="subscript"/>
        </w:rPr>
        <w:t>x</w:t>
      </w:r>
    </w:p>
    <w:p>
      <w:pPr>
        <w:spacing w:after="0"/>
        <w:ind w:left="1701" w:hanging="1701"/>
        <w:rPr>
          <w:rFonts w:eastAsia="Arial Unicode MS"/>
          <w:noProof/>
          <w:szCs w:val="24"/>
        </w:rPr>
      </w:pPr>
      <w:r>
        <w:rPr>
          <w:noProof/>
        </w:rPr>
        <w:t>4.2.12.2.8.6.2.</w:t>
      </w:r>
      <w:r>
        <w:rPr>
          <w:noProof/>
        </w:rPr>
        <w:tab/>
        <w:t>Le cas échéant, référence du constructeur au dossier de documentation relatif au montage sur le véhicule du système permettant d’assurer le fonctionnement correct des mesures de contrôle des NO</w:t>
      </w:r>
      <w:r>
        <w:rPr>
          <w:noProof/>
          <w:vertAlign w:val="subscript"/>
        </w:rPr>
        <w:t>x</w:t>
      </w:r>
      <w:r>
        <w:rPr>
          <w:noProof/>
        </w:rPr>
        <w:t xml:space="preserve"> d’un moteur réceptionné</w:t>
      </w:r>
    </w:p>
    <w:p>
      <w:pPr>
        <w:spacing w:after="0"/>
        <w:ind w:left="1701" w:hanging="1701"/>
        <w:rPr>
          <w:rFonts w:eastAsia="Arial Unicode MS"/>
          <w:noProof/>
          <w:szCs w:val="24"/>
        </w:rPr>
      </w:pPr>
      <w:r>
        <w:rPr>
          <w:noProof/>
        </w:rPr>
        <w:t>4.2.12.2.8.6.3.</w:t>
      </w:r>
      <w:r>
        <w:rPr>
          <w:noProof/>
        </w:rPr>
        <w:tab/>
        <w:t>Description écrite et/ou dessin du signal d’avertissement (</w:t>
      </w:r>
      <w:r>
        <w:rPr>
          <w:noProof/>
          <w:vertAlign w:val="superscript"/>
        </w:rPr>
        <w:t>9</w:t>
      </w:r>
      <w:r>
        <w:rPr>
          <w:noProof/>
        </w:rPr>
        <w:t>):</w:t>
      </w:r>
    </w:p>
    <w:p>
      <w:pPr>
        <w:spacing w:after="0"/>
        <w:ind w:left="1701" w:hanging="1701"/>
        <w:rPr>
          <w:rFonts w:eastAsia="Arial Unicode MS"/>
          <w:noProof/>
          <w:szCs w:val="24"/>
        </w:rPr>
      </w:pPr>
      <w:r>
        <w:rPr>
          <w:noProof/>
        </w:rPr>
        <w:lastRenderedPageBreak/>
        <w:t>4.2.12.2.8.6.4.</w:t>
      </w:r>
      <w:r>
        <w:rPr>
          <w:noProof/>
        </w:rPr>
        <w:tab/>
        <w:t>Utilisation d’une réception alternative, telle que définie au point 2.1 de l’annexe XIII du règlement (UE) n</w:t>
      </w:r>
      <w:r>
        <w:rPr>
          <w:noProof/>
          <w:vertAlign w:val="superscript"/>
        </w:rPr>
        <w:t>o</w:t>
      </w:r>
      <w:r>
        <w:rPr>
          <w:noProof/>
        </w:rPr>
        <w:t> 582/2011: oui/non (</w:t>
      </w:r>
      <w:r>
        <w:rPr>
          <w:noProof/>
          <w:vertAlign w:val="superscript"/>
        </w:rPr>
        <w:t>1</w:t>
      </w:r>
      <w:r>
        <w:rPr>
          <w:noProof/>
        </w:rPr>
        <w:t>)</w:t>
      </w:r>
    </w:p>
    <w:p>
      <w:pPr>
        <w:spacing w:after="0"/>
        <w:ind w:left="1701" w:hanging="1701"/>
        <w:rPr>
          <w:rFonts w:eastAsia="Arial Unicode MS"/>
          <w:noProof/>
          <w:szCs w:val="24"/>
        </w:rPr>
      </w:pPr>
      <w:r>
        <w:rPr>
          <w:noProof/>
        </w:rPr>
        <w:t>4.2.12.2.8.6.5.</w:t>
      </w:r>
      <w:r>
        <w:rPr>
          <w:noProof/>
        </w:rPr>
        <w:tab/>
        <w:t>Réservoir de réactif et système de dosage chauffés/non chauffés (voir paragraphe 2.4 de l’annexe 11 du règlement n</w:t>
      </w:r>
      <w:r>
        <w:rPr>
          <w:noProof/>
          <w:vertAlign w:val="superscript"/>
        </w:rPr>
        <w:t>o</w:t>
      </w:r>
      <w:r>
        <w:rPr>
          <w:noProof/>
        </w:rPr>
        <w:t> 49 de la CEE-ONU)</w:t>
      </w:r>
    </w:p>
    <w:p>
      <w:pPr>
        <w:spacing w:after="0"/>
        <w:ind w:left="1701" w:hanging="1701"/>
        <w:rPr>
          <w:rFonts w:eastAsia="Arial Unicode MS"/>
          <w:noProof/>
          <w:szCs w:val="24"/>
        </w:rPr>
      </w:pPr>
      <w:r>
        <w:rPr>
          <w:noProof/>
        </w:rPr>
        <w:t>4.2.12.2.9.</w:t>
      </w:r>
      <w:r>
        <w:rPr>
          <w:noProof/>
        </w:rPr>
        <w:tab/>
        <w:t>Limiteur de couple: oui/non (</w:t>
      </w:r>
      <w:r>
        <w:rPr>
          <w:noProof/>
          <w:vertAlign w:val="superscript"/>
        </w:rPr>
        <w:t>1</w:t>
      </w:r>
      <w:r>
        <w:rPr>
          <w:noProof/>
        </w:rPr>
        <w:t>)</w:t>
      </w:r>
    </w:p>
    <w:p>
      <w:pPr>
        <w:spacing w:after="0"/>
        <w:ind w:left="1701" w:hanging="1701"/>
        <w:rPr>
          <w:rFonts w:eastAsia="Arial Unicode MS"/>
          <w:noProof/>
          <w:szCs w:val="24"/>
        </w:rPr>
      </w:pPr>
      <w:r>
        <w:rPr>
          <w:noProof/>
        </w:rPr>
        <w:t>4.2.12.2.9.1.</w:t>
      </w:r>
      <w:r>
        <w:rPr>
          <w:noProof/>
        </w:rPr>
        <w:tab/>
        <w:t>Description de l’activation du limiteur de couple (véhicules lourds uniquement): …</w:t>
      </w:r>
    </w:p>
    <w:p>
      <w:pPr>
        <w:spacing w:after="0"/>
        <w:ind w:left="1701" w:hanging="1701"/>
        <w:rPr>
          <w:rFonts w:eastAsia="Arial Unicode MS"/>
          <w:noProof/>
          <w:szCs w:val="24"/>
        </w:rPr>
      </w:pPr>
      <w:r>
        <w:rPr>
          <w:noProof/>
        </w:rPr>
        <w:t>4.2.12.2.9.2.</w:t>
      </w:r>
      <w:r>
        <w:rPr>
          <w:noProof/>
        </w:rPr>
        <w:tab/>
        <w:t>Description de la limitation de courbe à pleine charge (véhicules lourds uniquement): …</w:t>
      </w:r>
    </w:p>
    <w:p>
      <w:pPr>
        <w:spacing w:before="240"/>
        <w:ind w:left="1701" w:hanging="1701"/>
        <w:jc w:val="left"/>
        <w:rPr>
          <w:rFonts w:eastAsia="Arial Unicode MS"/>
          <w:bCs/>
          <w:noProof/>
          <w:szCs w:val="24"/>
        </w:rPr>
      </w:pPr>
      <w:r>
        <w:rPr>
          <w:noProof/>
        </w:rPr>
        <w:t>4.2.13.</w:t>
      </w:r>
      <w:r>
        <w:rPr>
          <w:noProof/>
        </w:rPr>
        <w:tab/>
      </w:r>
      <w:r>
        <w:rPr>
          <w:i/>
          <w:noProof/>
        </w:rPr>
        <w:t>Opacité des fumées</w:t>
      </w:r>
      <w:r>
        <w:rPr>
          <w:noProof/>
        </w:rPr>
        <w:t xml:space="preserve"> </w:t>
      </w:r>
    </w:p>
    <w:p>
      <w:pPr>
        <w:spacing w:before="240"/>
        <w:ind w:left="1701" w:hanging="1701"/>
        <w:jc w:val="left"/>
        <w:rPr>
          <w:rFonts w:eastAsia="Arial Unicode MS"/>
          <w:noProof/>
          <w:szCs w:val="24"/>
        </w:rPr>
      </w:pPr>
      <w:r>
        <w:rPr>
          <w:noProof/>
        </w:rPr>
        <w:t>4.2.13.1.</w:t>
      </w:r>
      <w:r>
        <w:rPr>
          <w:noProof/>
        </w:rPr>
        <w:tab/>
        <w:t>Emplacement du symbole du coefficient d’absorption (moteurs à allumage par compression uniquement): …</w:t>
      </w:r>
    </w:p>
    <w:p>
      <w:pPr>
        <w:spacing w:after="0"/>
        <w:ind w:left="1701" w:hanging="1701"/>
        <w:rPr>
          <w:rFonts w:eastAsia="Arial Unicode MS"/>
          <w:noProof/>
          <w:szCs w:val="24"/>
        </w:rPr>
      </w:pPr>
      <w:r>
        <w:rPr>
          <w:noProof/>
        </w:rPr>
        <w:t>4.2.13.2.</w:t>
      </w:r>
      <w:r>
        <w:rPr>
          <w:noProof/>
        </w:rPr>
        <w:tab/>
        <w:t>Puissance aux six points de mesure (voir règlement n</w:t>
      </w:r>
      <w:r>
        <w:rPr>
          <w:noProof/>
          <w:vertAlign w:val="superscript"/>
        </w:rPr>
        <w:t>o</w:t>
      </w:r>
      <w:r>
        <w:rPr>
          <w:noProof/>
        </w:rPr>
        <w:t xml:space="preserve"> 24 de la CEE-ONU) </w:t>
      </w:r>
    </w:p>
    <w:p>
      <w:pPr>
        <w:spacing w:after="0"/>
        <w:ind w:left="1701" w:hanging="1701"/>
        <w:rPr>
          <w:rFonts w:eastAsia="Arial Unicode MS"/>
          <w:noProof/>
          <w:szCs w:val="24"/>
        </w:rPr>
      </w:pPr>
      <w:r>
        <w:rPr>
          <w:noProof/>
        </w:rPr>
        <w:t>4.2.13.3.</w:t>
      </w:r>
      <w:r>
        <w:rPr>
          <w:noProof/>
        </w:rPr>
        <w:tab/>
        <w:t>Puissance du moteur mesurée au banc d’essai/sur le véhicule (</w:t>
      </w:r>
      <w:r>
        <w:rPr>
          <w:noProof/>
          <w:vertAlign w:val="superscript"/>
        </w:rPr>
        <w:t>1</w:t>
      </w:r>
      <w:r>
        <w:rPr>
          <w:noProof/>
        </w:rPr>
        <w:t>)</w:t>
      </w:r>
    </w:p>
    <w:p>
      <w:pPr>
        <w:ind w:left="1701" w:hanging="1701"/>
        <w:rPr>
          <w:rFonts w:eastAsia="Arial Unicode MS"/>
          <w:noProof/>
          <w:szCs w:val="24"/>
        </w:rPr>
      </w:pPr>
      <w:r>
        <w:rPr>
          <w:noProof/>
        </w:rPr>
        <w:t>4.2.13.3.1.</w:t>
      </w:r>
      <w:r>
        <w:rPr>
          <w:noProof/>
        </w:rPr>
        <w:tab/>
        <w:t>Régimes et puissances déclarés</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Points de mesure</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Régime moteur (min</w:t>
            </w:r>
            <w:r>
              <w:rPr>
                <w:noProof/>
                <w:sz w:val="20"/>
                <w:vertAlign w:val="superscript"/>
              </w:rPr>
              <w:t>-1</w:t>
            </w:r>
            <w:r>
              <w:rPr>
                <w:noProof/>
                <w:sz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Puissance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r>
      <w:r>
        <w:rPr>
          <w:i/>
          <w:noProof/>
        </w:rPr>
        <w:t>Caractéristiques des dispositifs destinés à réduire la consommation de carburant</w:t>
      </w:r>
      <w:r>
        <w:rPr>
          <w:noProof/>
        </w:rPr>
        <w:t xml:space="preserve"> (s’ils ne sont pas couverts par une autre rubrique): …</w:t>
      </w:r>
    </w:p>
    <w:p>
      <w:pPr>
        <w:spacing w:before="240"/>
        <w:ind w:left="1701" w:hanging="1701"/>
        <w:jc w:val="left"/>
        <w:rPr>
          <w:rFonts w:eastAsia="Arial Unicode MS"/>
          <w:bCs/>
          <w:noProof/>
          <w:szCs w:val="24"/>
        </w:rPr>
      </w:pPr>
      <w:r>
        <w:rPr>
          <w:noProof/>
        </w:rPr>
        <w:t>4.2.15.</w:t>
      </w:r>
      <w:r>
        <w:rPr>
          <w:noProof/>
        </w:rPr>
        <w:tab/>
      </w:r>
      <w:r>
        <w:rPr>
          <w:i/>
          <w:noProof/>
        </w:rPr>
        <w:t>Système d’alimentation au GPL: oui/non</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4.2.15.1.</w:t>
      </w:r>
      <w:r>
        <w:rPr>
          <w:noProof/>
        </w:rPr>
        <w:tab/>
        <w:t>Numéro d’homologation au titre du règlement n</w:t>
      </w:r>
      <w:r>
        <w:rPr>
          <w:noProof/>
          <w:vertAlign w:val="superscript"/>
        </w:rPr>
        <w:t>o</w:t>
      </w:r>
      <w:r>
        <w:rPr>
          <w:noProof/>
        </w:rPr>
        <w:t> 34 de la CEE-ONU: …</w:t>
      </w:r>
    </w:p>
    <w:p>
      <w:pPr>
        <w:spacing w:after="0"/>
        <w:ind w:left="1701" w:hanging="1701"/>
        <w:rPr>
          <w:rFonts w:eastAsia="Arial Unicode MS"/>
          <w:noProof/>
          <w:szCs w:val="24"/>
        </w:rPr>
      </w:pPr>
      <w:r>
        <w:rPr>
          <w:noProof/>
        </w:rPr>
        <w:t>4.2.15.2.</w:t>
      </w:r>
      <w:r>
        <w:rPr>
          <w:noProof/>
        </w:rPr>
        <w:tab/>
        <w:t>Unité de commande électronique de gestion du moteur pour l’alimentation au GPL</w:t>
      </w:r>
    </w:p>
    <w:p>
      <w:pPr>
        <w:spacing w:after="0"/>
        <w:ind w:left="1701" w:hanging="1701"/>
        <w:rPr>
          <w:rFonts w:eastAsia="Arial Unicode MS"/>
          <w:noProof/>
          <w:szCs w:val="24"/>
        </w:rPr>
      </w:pPr>
      <w:r>
        <w:rPr>
          <w:noProof/>
        </w:rPr>
        <w:t>4.2.15.2.1.</w:t>
      </w:r>
      <w:r>
        <w:rPr>
          <w:noProof/>
        </w:rPr>
        <w:tab/>
        <w:t>Marque(s): …</w:t>
      </w:r>
    </w:p>
    <w:p>
      <w:pPr>
        <w:spacing w:after="0"/>
        <w:ind w:left="1701" w:hanging="1701"/>
        <w:rPr>
          <w:rFonts w:eastAsia="Arial Unicode MS"/>
          <w:noProof/>
          <w:szCs w:val="24"/>
        </w:rPr>
      </w:pPr>
      <w:r>
        <w:rPr>
          <w:noProof/>
        </w:rPr>
        <w:t>4.2.15.2.2.</w:t>
      </w:r>
      <w:r>
        <w:rPr>
          <w:noProof/>
        </w:rPr>
        <w:tab/>
        <w:t>Type(s): …</w:t>
      </w:r>
    </w:p>
    <w:p>
      <w:pPr>
        <w:spacing w:after="0"/>
        <w:ind w:left="1701" w:hanging="1701"/>
        <w:rPr>
          <w:rFonts w:eastAsia="Arial Unicode MS"/>
          <w:noProof/>
          <w:szCs w:val="24"/>
        </w:rPr>
      </w:pPr>
      <w:r>
        <w:rPr>
          <w:noProof/>
        </w:rPr>
        <w:t>4.2.15.2.3.</w:t>
      </w:r>
      <w:r>
        <w:rPr>
          <w:noProof/>
        </w:rPr>
        <w:tab/>
        <w:t>Possibilités de réglage en fonction des émissions: …</w:t>
      </w:r>
    </w:p>
    <w:p>
      <w:pPr>
        <w:spacing w:after="0"/>
        <w:ind w:left="1701" w:hanging="1701"/>
        <w:rPr>
          <w:rFonts w:eastAsia="Arial Unicode MS"/>
          <w:noProof/>
          <w:szCs w:val="24"/>
        </w:rPr>
      </w:pPr>
      <w:r>
        <w:rPr>
          <w:noProof/>
        </w:rPr>
        <w:t>4.2.15.3.</w:t>
      </w:r>
      <w:r>
        <w:rPr>
          <w:noProof/>
        </w:rPr>
        <w:tab/>
        <w:t>Documents complémentaires</w:t>
      </w:r>
    </w:p>
    <w:p>
      <w:pPr>
        <w:spacing w:after="0"/>
        <w:ind w:left="1701" w:hanging="1701"/>
        <w:rPr>
          <w:rFonts w:eastAsia="Arial Unicode MS"/>
          <w:noProof/>
          <w:szCs w:val="24"/>
        </w:rPr>
      </w:pPr>
      <w:r>
        <w:rPr>
          <w:noProof/>
        </w:rPr>
        <w:lastRenderedPageBreak/>
        <w:t>4.2.15.3.1.</w:t>
      </w:r>
      <w:r>
        <w:rPr>
          <w:noProof/>
        </w:rPr>
        <w:tab/>
        <w:t>Description de la protection du catalyseur lors du passage de l’essence au GPL ou vice versa: …</w:t>
      </w:r>
    </w:p>
    <w:p>
      <w:pPr>
        <w:spacing w:after="0"/>
        <w:ind w:left="1701" w:hanging="1701"/>
        <w:rPr>
          <w:rFonts w:eastAsia="Arial Unicode MS"/>
          <w:noProof/>
          <w:szCs w:val="24"/>
        </w:rPr>
      </w:pPr>
      <w:r>
        <w:rPr>
          <w:noProof/>
        </w:rPr>
        <w:t>4.2.15.3.2.</w:t>
      </w:r>
      <w:r>
        <w:rPr>
          <w:noProof/>
        </w:rPr>
        <w:tab/>
        <w:t>Configuration du système (connexions électriques, prises de dépression, flexibles de compensation, etc.): …</w:t>
      </w:r>
    </w:p>
    <w:p>
      <w:pPr>
        <w:spacing w:after="0"/>
        <w:ind w:left="1701" w:hanging="1701"/>
        <w:rPr>
          <w:rFonts w:eastAsia="Arial Unicode MS"/>
          <w:noProof/>
          <w:szCs w:val="24"/>
        </w:rPr>
      </w:pPr>
      <w:r>
        <w:rPr>
          <w:noProof/>
        </w:rPr>
        <w:t>4.2.15.3.3.</w:t>
      </w:r>
      <w:r>
        <w:rPr>
          <w:noProof/>
        </w:rPr>
        <w:tab/>
        <w:t>Dessin du symbole: …</w:t>
      </w:r>
    </w:p>
    <w:p>
      <w:pPr>
        <w:spacing w:before="360"/>
        <w:ind w:left="1701" w:hanging="1701"/>
        <w:jc w:val="left"/>
        <w:rPr>
          <w:rFonts w:eastAsia="Arial Unicode MS"/>
          <w:bCs/>
          <w:noProof/>
          <w:szCs w:val="24"/>
        </w:rPr>
      </w:pPr>
      <w:r>
        <w:rPr>
          <w:noProof/>
        </w:rPr>
        <w:t>4.2.16.</w:t>
      </w:r>
      <w:r>
        <w:rPr>
          <w:noProof/>
        </w:rPr>
        <w:tab/>
      </w:r>
      <w:r>
        <w:rPr>
          <w:i/>
          <w:noProof/>
        </w:rPr>
        <w:t>Système d’alimentation au gaz naturel: oui/non</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4.2.16.1.</w:t>
      </w:r>
      <w:r>
        <w:rPr>
          <w:noProof/>
        </w:rPr>
        <w:tab/>
        <w:t>Numéro de réception par type au titre du règlement n</w:t>
      </w:r>
      <w:r>
        <w:rPr>
          <w:noProof/>
          <w:vertAlign w:val="superscript"/>
        </w:rPr>
        <w:t>o</w:t>
      </w:r>
      <w:r>
        <w:rPr>
          <w:noProof/>
        </w:rPr>
        <w:t> 34 de la CEE-ONU: …</w:t>
      </w:r>
    </w:p>
    <w:p>
      <w:pPr>
        <w:spacing w:after="0"/>
        <w:ind w:left="1701" w:hanging="1701"/>
        <w:rPr>
          <w:rFonts w:eastAsia="Arial Unicode MS"/>
          <w:noProof/>
          <w:szCs w:val="24"/>
        </w:rPr>
      </w:pPr>
      <w:r>
        <w:rPr>
          <w:noProof/>
        </w:rPr>
        <w:t>4.2.16.2.</w:t>
      </w:r>
      <w:r>
        <w:rPr>
          <w:noProof/>
        </w:rPr>
        <w:tab/>
        <w:t>Unité de commande électronique de gestion du moteur pour l’alimentation au gaz naturel</w:t>
      </w:r>
    </w:p>
    <w:p>
      <w:pPr>
        <w:spacing w:after="0"/>
        <w:ind w:left="1701" w:hanging="1701"/>
        <w:rPr>
          <w:rFonts w:eastAsia="Arial Unicode MS"/>
          <w:noProof/>
          <w:szCs w:val="24"/>
        </w:rPr>
      </w:pPr>
      <w:r>
        <w:rPr>
          <w:noProof/>
        </w:rPr>
        <w:t>4.2.16.2.1.</w:t>
      </w:r>
      <w:r>
        <w:rPr>
          <w:noProof/>
        </w:rPr>
        <w:tab/>
        <w:t>Marque(s): …</w:t>
      </w:r>
    </w:p>
    <w:p>
      <w:pPr>
        <w:spacing w:after="0"/>
        <w:ind w:left="1701" w:hanging="1701"/>
        <w:rPr>
          <w:rFonts w:eastAsia="Arial Unicode MS"/>
          <w:noProof/>
          <w:szCs w:val="24"/>
        </w:rPr>
      </w:pPr>
      <w:r>
        <w:rPr>
          <w:noProof/>
        </w:rPr>
        <w:t>4.2.16.2.2.</w:t>
      </w:r>
      <w:r>
        <w:rPr>
          <w:noProof/>
        </w:rPr>
        <w:tab/>
        <w:t>Type(s): …</w:t>
      </w:r>
    </w:p>
    <w:p>
      <w:pPr>
        <w:spacing w:after="0"/>
        <w:ind w:left="1701" w:hanging="1701"/>
        <w:rPr>
          <w:rFonts w:eastAsia="Arial Unicode MS"/>
          <w:noProof/>
          <w:szCs w:val="24"/>
        </w:rPr>
      </w:pPr>
      <w:r>
        <w:rPr>
          <w:noProof/>
        </w:rPr>
        <w:t>4.2.16.2.3.</w:t>
      </w:r>
      <w:r>
        <w:rPr>
          <w:noProof/>
        </w:rPr>
        <w:tab/>
        <w:t>Possibilités de réglage en fonction des émissions: …</w:t>
      </w:r>
    </w:p>
    <w:p>
      <w:pPr>
        <w:spacing w:after="0"/>
        <w:ind w:left="1701" w:hanging="1701"/>
        <w:rPr>
          <w:rFonts w:eastAsia="Arial Unicode MS"/>
          <w:noProof/>
          <w:szCs w:val="24"/>
        </w:rPr>
      </w:pPr>
      <w:r>
        <w:rPr>
          <w:noProof/>
        </w:rPr>
        <w:t>4.2.16.3.</w:t>
      </w:r>
      <w:r>
        <w:rPr>
          <w:noProof/>
        </w:rPr>
        <w:tab/>
        <w:t>Documents complémentaires</w:t>
      </w:r>
    </w:p>
    <w:p>
      <w:pPr>
        <w:spacing w:after="0"/>
        <w:ind w:left="1701" w:hanging="1701"/>
        <w:rPr>
          <w:rFonts w:eastAsia="Arial Unicode MS"/>
          <w:noProof/>
          <w:szCs w:val="24"/>
        </w:rPr>
      </w:pPr>
      <w:r>
        <w:rPr>
          <w:noProof/>
        </w:rPr>
        <w:t>4.2.16.3.1.</w:t>
      </w:r>
      <w:r>
        <w:rPr>
          <w:noProof/>
        </w:rPr>
        <w:tab/>
        <w:t>Description de la protection du catalyseur lors du passage de l’essence au gaz naturel ou vice versa: …</w:t>
      </w:r>
    </w:p>
    <w:p>
      <w:pPr>
        <w:spacing w:after="0"/>
        <w:ind w:left="1701" w:hanging="1701"/>
        <w:rPr>
          <w:rFonts w:eastAsia="Arial Unicode MS"/>
          <w:noProof/>
          <w:szCs w:val="24"/>
        </w:rPr>
      </w:pPr>
      <w:r>
        <w:rPr>
          <w:noProof/>
        </w:rPr>
        <w:t>4.2.16.3.2.</w:t>
      </w:r>
      <w:r>
        <w:rPr>
          <w:noProof/>
        </w:rPr>
        <w:tab/>
        <w:t>Configuration du système (connexions électriques, prises de dépression, flexibles de compensation, etc.): …</w:t>
      </w:r>
    </w:p>
    <w:p>
      <w:pPr>
        <w:spacing w:after="0"/>
        <w:ind w:left="1701" w:hanging="1701"/>
        <w:rPr>
          <w:rFonts w:eastAsia="Arial Unicode MS"/>
          <w:noProof/>
          <w:szCs w:val="24"/>
        </w:rPr>
      </w:pPr>
      <w:r>
        <w:rPr>
          <w:noProof/>
        </w:rPr>
        <w:t>4.2.16.3.3.</w:t>
      </w:r>
      <w:r>
        <w:rPr>
          <w:noProof/>
        </w:rPr>
        <w:tab/>
        <w:t>Dessin du symbole: …</w:t>
      </w:r>
    </w:p>
    <w:p>
      <w:pPr>
        <w:spacing w:before="360"/>
        <w:ind w:left="1701" w:hanging="1701"/>
        <w:jc w:val="left"/>
        <w:rPr>
          <w:rFonts w:eastAsia="Arial Unicode MS"/>
          <w:bCs/>
          <w:noProof/>
          <w:szCs w:val="24"/>
        </w:rPr>
      </w:pPr>
      <w:r>
        <w:rPr>
          <w:noProof/>
        </w:rPr>
        <w:t>4.2.17.</w:t>
      </w:r>
      <w:r>
        <w:rPr>
          <w:noProof/>
        </w:rPr>
        <w:tab/>
      </w:r>
      <w:r>
        <w:rPr>
          <w:i/>
          <w:noProof/>
        </w:rPr>
        <w:t xml:space="preserve">Informations particulières relatives aux moteurs à gaz pour véhicules lourds (dans le cas de systèmes ayant une configuration différente, fournir des renseignements équivalents) </w:t>
      </w:r>
    </w:p>
    <w:p>
      <w:pPr>
        <w:spacing w:after="0"/>
        <w:ind w:left="1701" w:hanging="1701"/>
        <w:rPr>
          <w:rFonts w:eastAsia="Arial Unicode MS"/>
          <w:noProof/>
          <w:szCs w:val="24"/>
          <w:lang w:val="sv-SE"/>
        </w:rPr>
      </w:pPr>
      <w:r>
        <w:rPr>
          <w:noProof/>
          <w:lang w:val="sv-SE"/>
        </w:rPr>
        <w:t xml:space="preserve">4.2.17.1. </w:t>
      </w:r>
      <w:r>
        <w:rPr>
          <w:noProof/>
          <w:lang w:val="sv-SE"/>
        </w:rPr>
        <w:tab/>
        <w:t>Carburant: GPL/GN-H/GN-L/GN-HL (</w:t>
      </w:r>
      <w:r>
        <w:rPr>
          <w:noProof/>
          <w:vertAlign w:val="superscript"/>
          <w:lang w:val="sv-SE"/>
        </w:rPr>
        <w:t>1</w:t>
      </w:r>
      <w:r>
        <w:rPr>
          <w:noProof/>
          <w:lang w:val="sv-SE"/>
        </w:rPr>
        <w:t>):</w:t>
      </w:r>
    </w:p>
    <w:p>
      <w:pPr>
        <w:spacing w:after="0"/>
        <w:ind w:left="1701" w:hanging="1701"/>
        <w:rPr>
          <w:rFonts w:eastAsia="Arial Unicode MS"/>
          <w:noProof/>
          <w:szCs w:val="24"/>
        </w:rPr>
      </w:pPr>
      <w:r>
        <w:rPr>
          <w:noProof/>
        </w:rPr>
        <w:t>4.2.17.2.</w:t>
      </w:r>
      <w:r>
        <w:rPr>
          <w:noProof/>
        </w:rPr>
        <w:tab/>
        <w:t>Régulateur(s) de pression ou vaporisateur/régulateur(s) de pression (</w:t>
      </w:r>
      <w:r>
        <w:rPr>
          <w:noProof/>
          <w:vertAlign w:val="superscript"/>
        </w:rPr>
        <w:t>1</w:t>
      </w:r>
      <w:r>
        <w:rPr>
          <w:noProof/>
        </w:rPr>
        <w:t>)</w:t>
      </w:r>
    </w:p>
    <w:p>
      <w:pPr>
        <w:spacing w:after="0"/>
        <w:ind w:left="1701" w:hanging="1701"/>
        <w:rPr>
          <w:rFonts w:eastAsia="Arial Unicode MS"/>
          <w:noProof/>
          <w:szCs w:val="24"/>
        </w:rPr>
      </w:pPr>
      <w:r>
        <w:rPr>
          <w:noProof/>
        </w:rPr>
        <w:t>4.2.17.2.1.</w:t>
      </w:r>
      <w:r>
        <w:rPr>
          <w:noProof/>
        </w:rPr>
        <w:tab/>
        <w:t>Marque(s): …</w:t>
      </w:r>
    </w:p>
    <w:p>
      <w:pPr>
        <w:spacing w:after="0"/>
        <w:ind w:left="1701" w:hanging="1701"/>
        <w:rPr>
          <w:rFonts w:eastAsia="Arial Unicode MS"/>
          <w:noProof/>
          <w:szCs w:val="24"/>
        </w:rPr>
      </w:pPr>
      <w:r>
        <w:rPr>
          <w:noProof/>
        </w:rPr>
        <w:t>4.2.17.2.2.</w:t>
      </w:r>
      <w:r>
        <w:rPr>
          <w:noProof/>
        </w:rPr>
        <w:tab/>
        <w:t>Type(s): …</w:t>
      </w:r>
    </w:p>
    <w:p>
      <w:pPr>
        <w:spacing w:after="0"/>
        <w:ind w:left="1701" w:hanging="1701"/>
        <w:rPr>
          <w:rFonts w:eastAsia="Arial Unicode MS"/>
          <w:noProof/>
          <w:szCs w:val="24"/>
        </w:rPr>
      </w:pPr>
      <w:r>
        <w:rPr>
          <w:noProof/>
        </w:rPr>
        <w:t>4.2.17.2.3.</w:t>
      </w:r>
      <w:r>
        <w:rPr>
          <w:noProof/>
        </w:rPr>
        <w:tab/>
        <w:t>Nombre d’étages de détente: …</w:t>
      </w:r>
    </w:p>
    <w:p>
      <w:pPr>
        <w:spacing w:after="0"/>
        <w:ind w:left="1701" w:hanging="1701"/>
        <w:rPr>
          <w:rFonts w:eastAsia="Arial Unicode MS"/>
          <w:noProof/>
          <w:szCs w:val="24"/>
        </w:rPr>
      </w:pPr>
      <w:r>
        <w:rPr>
          <w:noProof/>
        </w:rPr>
        <w:t>4.2.17.2.4.</w:t>
      </w:r>
      <w:r>
        <w:rPr>
          <w:noProof/>
        </w:rPr>
        <w:tab/>
        <w:t xml:space="preserve">Pression à l’étage final: </w:t>
      </w:r>
    </w:p>
    <w:p>
      <w:pPr>
        <w:ind w:left="2671" w:hanging="970"/>
        <w:rPr>
          <w:rFonts w:eastAsia="Arial Unicode MS"/>
          <w:noProof/>
          <w:szCs w:val="24"/>
        </w:rPr>
      </w:pPr>
      <w:r>
        <w:rPr>
          <w:noProof/>
        </w:rPr>
        <w:t>minimum: … kPa; maximum: …. kPa</w:t>
      </w:r>
    </w:p>
    <w:p>
      <w:pPr>
        <w:spacing w:after="0"/>
        <w:ind w:left="1701" w:hanging="1701"/>
        <w:rPr>
          <w:rFonts w:eastAsia="Arial Unicode MS"/>
          <w:noProof/>
          <w:szCs w:val="24"/>
        </w:rPr>
      </w:pPr>
      <w:r>
        <w:rPr>
          <w:noProof/>
        </w:rPr>
        <w:t>4.2.17.2.5.</w:t>
      </w:r>
      <w:r>
        <w:rPr>
          <w:noProof/>
        </w:rPr>
        <w:tab/>
        <w:t>Nombre de points de réglage principaux: …</w:t>
      </w:r>
    </w:p>
    <w:p>
      <w:pPr>
        <w:spacing w:after="0"/>
        <w:ind w:left="1701" w:hanging="1701"/>
        <w:rPr>
          <w:rFonts w:eastAsia="Arial Unicode MS"/>
          <w:noProof/>
          <w:szCs w:val="24"/>
        </w:rPr>
      </w:pPr>
      <w:r>
        <w:rPr>
          <w:noProof/>
        </w:rPr>
        <w:t>4.2.17.2.6.</w:t>
      </w:r>
      <w:r>
        <w:rPr>
          <w:noProof/>
        </w:rPr>
        <w:tab/>
        <w:t>Nombre de points de réglage du ralenti: …</w:t>
      </w:r>
    </w:p>
    <w:p>
      <w:pPr>
        <w:spacing w:after="0"/>
        <w:ind w:left="1701" w:hanging="1701"/>
        <w:rPr>
          <w:rFonts w:eastAsia="Arial Unicode MS"/>
          <w:noProof/>
          <w:szCs w:val="24"/>
        </w:rPr>
      </w:pPr>
      <w:r>
        <w:rPr>
          <w:noProof/>
        </w:rPr>
        <w:t>4.2.17.2.7.</w:t>
      </w:r>
      <w:r>
        <w:rPr>
          <w:noProof/>
        </w:rPr>
        <w:tab/>
        <w:t>Numéro de réception par type: …</w:t>
      </w:r>
    </w:p>
    <w:p>
      <w:pPr>
        <w:spacing w:after="0"/>
        <w:ind w:left="1701" w:hanging="1701"/>
        <w:rPr>
          <w:rFonts w:eastAsia="Arial Unicode MS"/>
          <w:noProof/>
          <w:szCs w:val="24"/>
        </w:rPr>
      </w:pPr>
      <w:r>
        <w:rPr>
          <w:noProof/>
        </w:rPr>
        <w:t>4.2.17.3.</w:t>
      </w:r>
      <w:r>
        <w:rPr>
          <w:noProof/>
        </w:rPr>
        <w:tab/>
        <w:t>Système d’alimentation: unité de mélange/injection de gaz/injection de liquide/injection directe (</w:t>
      </w:r>
      <w:r>
        <w:rPr>
          <w:noProof/>
          <w:vertAlign w:val="superscript"/>
        </w:rPr>
        <w:t>1</w:t>
      </w:r>
      <w:r>
        <w:rPr>
          <w:noProof/>
        </w:rPr>
        <w:t>)</w:t>
      </w:r>
    </w:p>
    <w:p>
      <w:pPr>
        <w:spacing w:after="0"/>
        <w:ind w:left="1701" w:hanging="1701"/>
        <w:rPr>
          <w:rFonts w:eastAsia="Arial Unicode MS"/>
          <w:noProof/>
          <w:szCs w:val="24"/>
        </w:rPr>
      </w:pPr>
      <w:r>
        <w:rPr>
          <w:noProof/>
        </w:rPr>
        <w:t>4.2.17.3.1.</w:t>
      </w:r>
      <w:r>
        <w:rPr>
          <w:noProof/>
        </w:rPr>
        <w:tab/>
        <w:t>Réglage du rapport de mélange: …</w:t>
      </w:r>
    </w:p>
    <w:p>
      <w:pPr>
        <w:spacing w:after="0"/>
        <w:ind w:left="1701" w:hanging="1701"/>
        <w:rPr>
          <w:rFonts w:eastAsia="Arial Unicode MS"/>
          <w:noProof/>
          <w:szCs w:val="24"/>
        </w:rPr>
      </w:pPr>
      <w:r>
        <w:rPr>
          <w:noProof/>
        </w:rPr>
        <w:lastRenderedPageBreak/>
        <w:t>4.2.17.3.2.</w:t>
      </w:r>
      <w:r>
        <w:rPr>
          <w:noProof/>
        </w:rPr>
        <w:tab/>
        <w:t>Description du système et/ou diagramme et dessins: …</w:t>
      </w:r>
    </w:p>
    <w:p>
      <w:pPr>
        <w:spacing w:after="0"/>
        <w:ind w:left="1701" w:hanging="1701"/>
        <w:rPr>
          <w:rFonts w:eastAsia="Arial Unicode MS"/>
          <w:noProof/>
          <w:szCs w:val="24"/>
        </w:rPr>
      </w:pPr>
      <w:r>
        <w:rPr>
          <w:noProof/>
        </w:rPr>
        <w:t>4.2.17.3.3.</w:t>
      </w:r>
      <w:r>
        <w:rPr>
          <w:noProof/>
        </w:rPr>
        <w:tab/>
        <w:t>Numéro de réception par type: …</w:t>
      </w:r>
    </w:p>
    <w:p>
      <w:pPr>
        <w:spacing w:after="0"/>
        <w:ind w:left="1701" w:hanging="1701"/>
        <w:rPr>
          <w:rFonts w:eastAsia="Arial Unicode MS"/>
          <w:noProof/>
          <w:szCs w:val="24"/>
        </w:rPr>
      </w:pPr>
      <w:r>
        <w:rPr>
          <w:noProof/>
        </w:rPr>
        <w:t>4.2.17.4.</w:t>
      </w:r>
      <w:r>
        <w:rPr>
          <w:noProof/>
        </w:rPr>
        <w:tab/>
        <w:t>Unité de mélange:</w:t>
      </w:r>
    </w:p>
    <w:p>
      <w:pPr>
        <w:spacing w:after="0"/>
        <w:ind w:left="1701" w:hanging="1701"/>
        <w:rPr>
          <w:rFonts w:eastAsia="Arial Unicode MS"/>
          <w:noProof/>
          <w:szCs w:val="24"/>
        </w:rPr>
      </w:pPr>
      <w:r>
        <w:rPr>
          <w:noProof/>
        </w:rPr>
        <w:t>4.2.17.4.1.</w:t>
      </w:r>
      <w:r>
        <w:rPr>
          <w:noProof/>
        </w:rPr>
        <w:tab/>
        <w:t>Nombre: …</w:t>
      </w:r>
    </w:p>
    <w:p>
      <w:pPr>
        <w:spacing w:after="0"/>
        <w:ind w:left="1701" w:hanging="1701"/>
        <w:rPr>
          <w:rFonts w:eastAsia="Arial Unicode MS"/>
          <w:noProof/>
          <w:szCs w:val="24"/>
        </w:rPr>
      </w:pPr>
      <w:r>
        <w:rPr>
          <w:noProof/>
        </w:rPr>
        <w:t>4.2.17.4.2.</w:t>
      </w:r>
      <w:r>
        <w:rPr>
          <w:noProof/>
        </w:rPr>
        <w:tab/>
        <w:t>Marque(s): …</w:t>
      </w:r>
    </w:p>
    <w:p>
      <w:pPr>
        <w:spacing w:after="0"/>
        <w:ind w:left="1701" w:hanging="1701"/>
        <w:rPr>
          <w:rFonts w:eastAsia="Arial Unicode MS"/>
          <w:noProof/>
          <w:szCs w:val="24"/>
        </w:rPr>
      </w:pPr>
      <w:r>
        <w:rPr>
          <w:noProof/>
        </w:rPr>
        <w:t>4.2.17.4.3.</w:t>
      </w:r>
      <w:r>
        <w:rPr>
          <w:noProof/>
        </w:rPr>
        <w:tab/>
        <w:t>Type(s): …</w:t>
      </w:r>
    </w:p>
    <w:p>
      <w:pPr>
        <w:spacing w:after="0"/>
        <w:ind w:left="1701" w:hanging="1701"/>
        <w:rPr>
          <w:rFonts w:eastAsia="Arial Unicode MS"/>
          <w:noProof/>
          <w:szCs w:val="24"/>
        </w:rPr>
      </w:pPr>
      <w:r>
        <w:rPr>
          <w:noProof/>
        </w:rPr>
        <w:t>4.2.17.4.4.</w:t>
      </w:r>
      <w:r>
        <w:rPr>
          <w:noProof/>
        </w:rPr>
        <w:tab/>
        <w:t>Emplacement: …</w:t>
      </w:r>
    </w:p>
    <w:p>
      <w:pPr>
        <w:spacing w:after="0"/>
        <w:ind w:left="1701" w:hanging="1701"/>
        <w:rPr>
          <w:rFonts w:eastAsia="Arial Unicode MS"/>
          <w:noProof/>
          <w:szCs w:val="24"/>
        </w:rPr>
      </w:pPr>
      <w:r>
        <w:rPr>
          <w:noProof/>
        </w:rPr>
        <w:t>4.2.17.4.5.</w:t>
      </w:r>
      <w:r>
        <w:rPr>
          <w:noProof/>
        </w:rPr>
        <w:tab/>
        <w:t>Possibilités de réglage: …</w:t>
      </w:r>
    </w:p>
    <w:p>
      <w:pPr>
        <w:spacing w:after="0"/>
        <w:ind w:left="1701" w:hanging="1701"/>
        <w:rPr>
          <w:rFonts w:eastAsia="Arial Unicode MS"/>
          <w:noProof/>
          <w:szCs w:val="24"/>
        </w:rPr>
      </w:pPr>
      <w:r>
        <w:rPr>
          <w:noProof/>
        </w:rPr>
        <w:t>4.2.17.4.6.</w:t>
      </w:r>
      <w:r>
        <w:rPr>
          <w:noProof/>
        </w:rPr>
        <w:tab/>
        <w:t>Numéro de réception par type: …</w:t>
      </w:r>
    </w:p>
    <w:p>
      <w:pPr>
        <w:spacing w:after="0"/>
        <w:ind w:left="1701" w:hanging="1701"/>
        <w:rPr>
          <w:rFonts w:eastAsia="Arial Unicode MS"/>
          <w:noProof/>
          <w:szCs w:val="24"/>
        </w:rPr>
      </w:pPr>
      <w:r>
        <w:rPr>
          <w:noProof/>
        </w:rPr>
        <w:t>4.2.17.5.</w:t>
      </w:r>
      <w:r>
        <w:rPr>
          <w:noProof/>
        </w:rPr>
        <w:tab/>
        <w:t>Injection dans le collecteur d’admission</w:t>
      </w:r>
    </w:p>
    <w:p>
      <w:pPr>
        <w:spacing w:after="0"/>
        <w:ind w:left="1701" w:hanging="1701"/>
        <w:rPr>
          <w:rFonts w:eastAsia="Arial Unicode MS"/>
          <w:noProof/>
          <w:szCs w:val="24"/>
        </w:rPr>
      </w:pPr>
      <w:r>
        <w:rPr>
          <w:noProof/>
        </w:rPr>
        <w:t>4.2.17.5.1.</w:t>
      </w:r>
      <w:r>
        <w:rPr>
          <w:noProof/>
        </w:rPr>
        <w:tab/>
        <w:t>Injection: monopoint/multipoints (</w:t>
      </w:r>
      <w:r>
        <w:rPr>
          <w:noProof/>
          <w:vertAlign w:val="superscript"/>
        </w:rPr>
        <w:t>1</w:t>
      </w:r>
      <w:r>
        <w:rPr>
          <w:noProof/>
        </w:rPr>
        <w:t>)</w:t>
      </w:r>
    </w:p>
    <w:p>
      <w:pPr>
        <w:spacing w:after="0"/>
        <w:ind w:left="1701" w:hanging="1701"/>
        <w:rPr>
          <w:rFonts w:eastAsia="Arial Unicode MS"/>
          <w:noProof/>
          <w:szCs w:val="24"/>
        </w:rPr>
      </w:pPr>
      <w:r>
        <w:rPr>
          <w:noProof/>
        </w:rPr>
        <w:t>4.2.17.5.2.</w:t>
      </w:r>
      <w:r>
        <w:rPr>
          <w:noProof/>
        </w:rPr>
        <w:tab/>
        <w:t>Injection: continue/simultanée/séquentielle (</w:t>
      </w:r>
      <w:r>
        <w:rPr>
          <w:noProof/>
          <w:vertAlign w:val="superscript"/>
        </w:rPr>
        <w:t>1</w:t>
      </w:r>
      <w:r>
        <w:rPr>
          <w:noProof/>
        </w:rPr>
        <w:t>)</w:t>
      </w:r>
    </w:p>
    <w:p>
      <w:pPr>
        <w:spacing w:after="0"/>
        <w:ind w:left="1701" w:hanging="1701"/>
        <w:rPr>
          <w:rFonts w:eastAsia="Arial Unicode MS"/>
          <w:noProof/>
          <w:szCs w:val="24"/>
        </w:rPr>
      </w:pPr>
      <w:r>
        <w:rPr>
          <w:noProof/>
        </w:rPr>
        <w:t>4.2.17.5.3.</w:t>
      </w:r>
      <w:r>
        <w:rPr>
          <w:noProof/>
        </w:rPr>
        <w:tab/>
        <w:t>Équipement d’injection</w:t>
      </w:r>
    </w:p>
    <w:p>
      <w:pPr>
        <w:spacing w:after="0"/>
        <w:ind w:left="1701" w:hanging="1701"/>
        <w:rPr>
          <w:rFonts w:eastAsia="Arial Unicode MS"/>
          <w:noProof/>
          <w:szCs w:val="24"/>
        </w:rPr>
      </w:pPr>
      <w:r>
        <w:rPr>
          <w:noProof/>
        </w:rPr>
        <w:t>4.2.17.5.3.1.</w:t>
      </w:r>
      <w:r>
        <w:rPr>
          <w:noProof/>
        </w:rPr>
        <w:tab/>
        <w:t>Marque(s): …</w:t>
      </w:r>
    </w:p>
    <w:p>
      <w:pPr>
        <w:spacing w:after="0"/>
        <w:ind w:left="1701" w:hanging="1701"/>
        <w:rPr>
          <w:rFonts w:eastAsia="Arial Unicode MS"/>
          <w:noProof/>
          <w:szCs w:val="24"/>
        </w:rPr>
      </w:pPr>
      <w:r>
        <w:rPr>
          <w:noProof/>
        </w:rPr>
        <w:t>4.2.17.5.3.2.</w:t>
      </w:r>
      <w:r>
        <w:rPr>
          <w:noProof/>
        </w:rPr>
        <w:tab/>
        <w:t>Type(s): …</w:t>
      </w:r>
    </w:p>
    <w:p>
      <w:pPr>
        <w:spacing w:after="0"/>
        <w:ind w:left="1701" w:hanging="1701"/>
        <w:rPr>
          <w:rFonts w:eastAsia="Arial Unicode MS"/>
          <w:noProof/>
          <w:szCs w:val="24"/>
        </w:rPr>
      </w:pPr>
      <w:r>
        <w:rPr>
          <w:noProof/>
        </w:rPr>
        <w:t>4.2.17.5.3.3.</w:t>
      </w:r>
      <w:r>
        <w:rPr>
          <w:noProof/>
        </w:rPr>
        <w:tab/>
        <w:t>Possibilités de réglage: …</w:t>
      </w:r>
    </w:p>
    <w:p>
      <w:pPr>
        <w:spacing w:after="0"/>
        <w:ind w:left="1701" w:hanging="1701"/>
        <w:rPr>
          <w:rFonts w:eastAsia="Arial Unicode MS"/>
          <w:noProof/>
          <w:szCs w:val="24"/>
        </w:rPr>
      </w:pPr>
      <w:r>
        <w:rPr>
          <w:noProof/>
        </w:rPr>
        <w:t>4.2.17.5.3.4.</w:t>
      </w:r>
      <w:r>
        <w:rPr>
          <w:noProof/>
        </w:rPr>
        <w:tab/>
        <w:t>Numéro de réception par type: …</w:t>
      </w:r>
    </w:p>
    <w:p>
      <w:pPr>
        <w:spacing w:after="0"/>
        <w:ind w:left="1701" w:hanging="1701"/>
        <w:rPr>
          <w:rFonts w:eastAsia="Arial Unicode MS"/>
          <w:noProof/>
          <w:szCs w:val="24"/>
        </w:rPr>
      </w:pPr>
      <w:r>
        <w:rPr>
          <w:noProof/>
        </w:rPr>
        <w:t>4.2.17.5.4.</w:t>
      </w:r>
      <w:r>
        <w:rPr>
          <w:noProof/>
        </w:rPr>
        <w:tab/>
        <w:t>Pompe d’alimentation (le cas échéant)</w:t>
      </w:r>
    </w:p>
    <w:p>
      <w:pPr>
        <w:spacing w:after="0"/>
        <w:ind w:left="1701" w:hanging="1701"/>
        <w:rPr>
          <w:rFonts w:eastAsia="Arial Unicode MS"/>
          <w:noProof/>
          <w:szCs w:val="24"/>
        </w:rPr>
      </w:pPr>
      <w:r>
        <w:rPr>
          <w:noProof/>
        </w:rPr>
        <w:t>4.2.17.5.4.1.</w:t>
      </w:r>
      <w:r>
        <w:rPr>
          <w:noProof/>
        </w:rPr>
        <w:tab/>
        <w:t>Marque(s): …</w:t>
      </w:r>
    </w:p>
    <w:p>
      <w:pPr>
        <w:spacing w:after="0"/>
        <w:ind w:left="1701" w:hanging="1701"/>
        <w:rPr>
          <w:rFonts w:eastAsia="Arial Unicode MS"/>
          <w:noProof/>
          <w:szCs w:val="24"/>
        </w:rPr>
      </w:pPr>
      <w:r>
        <w:rPr>
          <w:noProof/>
        </w:rPr>
        <w:t>4.2.17.5.4.2.</w:t>
      </w:r>
      <w:r>
        <w:rPr>
          <w:noProof/>
        </w:rPr>
        <w:tab/>
        <w:t>Type(s): …</w:t>
      </w:r>
    </w:p>
    <w:p>
      <w:pPr>
        <w:spacing w:after="0"/>
        <w:ind w:left="1701" w:hanging="1701"/>
        <w:rPr>
          <w:rFonts w:eastAsia="Arial Unicode MS"/>
          <w:noProof/>
          <w:szCs w:val="24"/>
        </w:rPr>
      </w:pPr>
      <w:r>
        <w:rPr>
          <w:noProof/>
        </w:rPr>
        <w:t>4.2.17.5.4.3.</w:t>
      </w:r>
      <w:r>
        <w:rPr>
          <w:noProof/>
        </w:rPr>
        <w:tab/>
        <w:t>Numéro de réception par type: …</w:t>
      </w:r>
    </w:p>
    <w:p>
      <w:pPr>
        <w:spacing w:after="0"/>
        <w:ind w:left="1701" w:hanging="1701"/>
        <w:rPr>
          <w:rFonts w:eastAsia="Arial Unicode MS"/>
          <w:noProof/>
          <w:szCs w:val="24"/>
        </w:rPr>
      </w:pPr>
      <w:r>
        <w:rPr>
          <w:noProof/>
        </w:rPr>
        <w:t>4.2.17.5.5.</w:t>
      </w:r>
      <w:r>
        <w:rPr>
          <w:noProof/>
        </w:rPr>
        <w:tab/>
        <w:t>Injecteurs(s): ...</w:t>
      </w:r>
    </w:p>
    <w:p>
      <w:pPr>
        <w:spacing w:after="0"/>
        <w:ind w:left="1701" w:hanging="1701"/>
        <w:rPr>
          <w:rFonts w:eastAsia="Arial Unicode MS"/>
          <w:noProof/>
          <w:szCs w:val="24"/>
        </w:rPr>
      </w:pPr>
      <w:r>
        <w:rPr>
          <w:noProof/>
        </w:rPr>
        <w:t>4.2.17.5.5.1.</w:t>
      </w:r>
      <w:r>
        <w:rPr>
          <w:noProof/>
        </w:rPr>
        <w:tab/>
        <w:t>Marque(s): …</w:t>
      </w:r>
    </w:p>
    <w:p>
      <w:pPr>
        <w:spacing w:after="0"/>
        <w:ind w:left="1701" w:hanging="1701"/>
        <w:rPr>
          <w:rFonts w:eastAsia="Arial Unicode MS"/>
          <w:noProof/>
          <w:szCs w:val="24"/>
        </w:rPr>
      </w:pPr>
      <w:r>
        <w:rPr>
          <w:noProof/>
        </w:rPr>
        <w:t>4.2.17.5.5.2.</w:t>
      </w:r>
      <w:r>
        <w:rPr>
          <w:noProof/>
        </w:rPr>
        <w:tab/>
        <w:t>Type(s): …</w:t>
      </w:r>
    </w:p>
    <w:p>
      <w:pPr>
        <w:spacing w:after="0"/>
        <w:ind w:left="1701" w:hanging="1701"/>
        <w:rPr>
          <w:rFonts w:eastAsia="Arial Unicode MS"/>
          <w:noProof/>
          <w:szCs w:val="24"/>
        </w:rPr>
      </w:pPr>
      <w:r>
        <w:rPr>
          <w:noProof/>
        </w:rPr>
        <w:t>4.2.17.5.5.3.</w:t>
      </w:r>
      <w:r>
        <w:rPr>
          <w:noProof/>
        </w:rPr>
        <w:tab/>
        <w:t>Numéro de réception par type: …</w:t>
      </w:r>
    </w:p>
    <w:p>
      <w:pPr>
        <w:spacing w:after="0"/>
        <w:ind w:left="1701" w:hanging="1701"/>
        <w:rPr>
          <w:rFonts w:eastAsia="Arial Unicode MS"/>
          <w:noProof/>
          <w:szCs w:val="24"/>
        </w:rPr>
      </w:pPr>
      <w:r>
        <w:rPr>
          <w:noProof/>
        </w:rPr>
        <w:t>4.2.17.6.</w:t>
      </w:r>
      <w:r>
        <w:rPr>
          <w:noProof/>
        </w:rPr>
        <w:tab/>
        <w:t>Injection directe</w:t>
      </w:r>
    </w:p>
    <w:p>
      <w:pPr>
        <w:spacing w:after="0"/>
        <w:ind w:left="1701" w:hanging="1701"/>
        <w:rPr>
          <w:rFonts w:eastAsia="Arial Unicode MS"/>
          <w:noProof/>
          <w:szCs w:val="24"/>
        </w:rPr>
      </w:pPr>
      <w:r>
        <w:rPr>
          <w:noProof/>
        </w:rPr>
        <w:t>4.2.17.6.1.</w:t>
      </w:r>
      <w:r>
        <w:rPr>
          <w:noProof/>
        </w:rPr>
        <w:tab/>
        <w:t>Pompe d’injection/régulateur de pression (</w:t>
      </w:r>
      <w:r>
        <w:rPr>
          <w:noProof/>
          <w:vertAlign w:val="superscript"/>
        </w:rPr>
        <w:t>1</w:t>
      </w:r>
      <w:r>
        <w:rPr>
          <w:noProof/>
        </w:rPr>
        <w:t>)</w:t>
      </w:r>
    </w:p>
    <w:p>
      <w:pPr>
        <w:spacing w:after="0"/>
        <w:ind w:left="1701" w:hanging="1701"/>
        <w:rPr>
          <w:rFonts w:eastAsia="Arial Unicode MS"/>
          <w:noProof/>
          <w:szCs w:val="24"/>
        </w:rPr>
      </w:pPr>
      <w:r>
        <w:rPr>
          <w:noProof/>
        </w:rPr>
        <w:t>4.2.17.6.1.1.</w:t>
      </w:r>
      <w:r>
        <w:rPr>
          <w:noProof/>
        </w:rPr>
        <w:tab/>
        <w:t>Marque(s): …</w:t>
      </w:r>
    </w:p>
    <w:p>
      <w:pPr>
        <w:spacing w:after="0"/>
        <w:ind w:left="1701" w:hanging="1701"/>
        <w:rPr>
          <w:rFonts w:eastAsia="Arial Unicode MS"/>
          <w:noProof/>
          <w:szCs w:val="24"/>
        </w:rPr>
      </w:pPr>
      <w:r>
        <w:rPr>
          <w:noProof/>
        </w:rPr>
        <w:t>4.2.17.6.1.2.</w:t>
      </w:r>
      <w:r>
        <w:rPr>
          <w:noProof/>
        </w:rPr>
        <w:tab/>
        <w:t>Type(s): …</w:t>
      </w:r>
    </w:p>
    <w:p>
      <w:pPr>
        <w:spacing w:after="0"/>
        <w:ind w:left="1701" w:hanging="1701"/>
        <w:rPr>
          <w:rFonts w:eastAsia="Arial Unicode MS"/>
          <w:noProof/>
          <w:szCs w:val="24"/>
        </w:rPr>
      </w:pPr>
      <w:r>
        <w:rPr>
          <w:noProof/>
        </w:rPr>
        <w:t>4.2.17.6.1.3.</w:t>
      </w:r>
      <w:r>
        <w:rPr>
          <w:noProof/>
        </w:rPr>
        <w:tab/>
        <w:t>Calage de l’injection: …</w:t>
      </w:r>
    </w:p>
    <w:p>
      <w:pPr>
        <w:spacing w:after="0"/>
        <w:ind w:left="1701" w:hanging="1701"/>
        <w:rPr>
          <w:rFonts w:eastAsia="Arial Unicode MS"/>
          <w:noProof/>
          <w:szCs w:val="24"/>
        </w:rPr>
      </w:pPr>
      <w:r>
        <w:rPr>
          <w:noProof/>
        </w:rPr>
        <w:t>4.2.17.6.1.4.</w:t>
      </w:r>
      <w:r>
        <w:rPr>
          <w:noProof/>
        </w:rPr>
        <w:tab/>
        <w:t>Numéro de réception par type: …</w:t>
      </w:r>
    </w:p>
    <w:p>
      <w:pPr>
        <w:spacing w:after="0"/>
        <w:ind w:left="1701" w:hanging="1701"/>
        <w:rPr>
          <w:rFonts w:eastAsia="Arial Unicode MS"/>
          <w:noProof/>
          <w:szCs w:val="24"/>
        </w:rPr>
      </w:pPr>
      <w:r>
        <w:rPr>
          <w:noProof/>
        </w:rPr>
        <w:t>4.2.17.6.2.</w:t>
      </w:r>
      <w:r>
        <w:rPr>
          <w:noProof/>
        </w:rPr>
        <w:tab/>
        <w:t>Injecteurs(s): ...</w:t>
      </w:r>
    </w:p>
    <w:p>
      <w:pPr>
        <w:spacing w:after="0"/>
        <w:ind w:left="1701" w:hanging="1701"/>
        <w:rPr>
          <w:rFonts w:eastAsia="Arial Unicode MS"/>
          <w:noProof/>
          <w:szCs w:val="24"/>
        </w:rPr>
      </w:pPr>
      <w:r>
        <w:rPr>
          <w:noProof/>
        </w:rPr>
        <w:t>4.2.17.6.2.1.</w:t>
      </w:r>
      <w:r>
        <w:rPr>
          <w:noProof/>
        </w:rPr>
        <w:tab/>
        <w:t>Marque(s): …</w:t>
      </w:r>
    </w:p>
    <w:p>
      <w:pPr>
        <w:spacing w:after="0"/>
        <w:ind w:left="1701" w:hanging="1701"/>
        <w:rPr>
          <w:rFonts w:eastAsia="Arial Unicode MS"/>
          <w:noProof/>
          <w:szCs w:val="24"/>
        </w:rPr>
      </w:pPr>
      <w:r>
        <w:rPr>
          <w:noProof/>
        </w:rPr>
        <w:t>4.2.17.6.2.2.</w:t>
      </w:r>
      <w:r>
        <w:rPr>
          <w:noProof/>
        </w:rPr>
        <w:tab/>
        <w:t>Type(s): …</w:t>
      </w:r>
    </w:p>
    <w:p>
      <w:pPr>
        <w:spacing w:after="0"/>
        <w:ind w:left="1701" w:hanging="1701"/>
        <w:rPr>
          <w:rFonts w:eastAsia="Arial Unicode MS"/>
          <w:noProof/>
          <w:szCs w:val="24"/>
        </w:rPr>
      </w:pPr>
      <w:r>
        <w:rPr>
          <w:noProof/>
        </w:rPr>
        <w:lastRenderedPageBreak/>
        <w:t>4.2.17.6.2.3.</w:t>
      </w:r>
      <w:r>
        <w:rPr>
          <w:noProof/>
        </w:rPr>
        <w:tab/>
        <w:t>Pression d’ouverture ou diagramme caractéristique (</w:t>
      </w:r>
      <w:r>
        <w:rPr>
          <w:noProof/>
          <w:vertAlign w:val="superscript"/>
        </w:rPr>
        <w:t>2</w:t>
      </w:r>
      <w:r>
        <w:rPr>
          <w:noProof/>
        </w:rPr>
        <w:t>): …</w:t>
      </w:r>
    </w:p>
    <w:p>
      <w:pPr>
        <w:spacing w:after="0"/>
        <w:ind w:left="1701" w:hanging="1701"/>
        <w:rPr>
          <w:rFonts w:eastAsia="Arial Unicode MS"/>
          <w:noProof/>
          <w:szCs w:val="24"/>
        </w:rPr>
      </w:pPr>
      <w:r>
        <w:rPr>
          <w:noProof/>
        </w:rPr>
        <w:t>4.2.17.6.2.4.</w:t>
      </w:r>
      <w:r>
        <w:rPr>
          <w:noProof/>
        </w:rPr>
        <w:tab/>
        <w:t>Numéro de réception par type: …</w:t>
      </w:r>
    </w:p>
    <w:p>
      <w:pPr>
        <w:spacing w:after="0"/>
        <w:ind w:left="1701" w:hanging="1701"/>
        <w:rPr>
          <w:rFonts w:eastAsia="Arial Unicode MS"/>
          <w:noProof/>
          <w:szCs w:val="24"/>
        </w:rPr>
      </w:pPr>
      <w:r>
        <w:rPr>
          <w:noProof/>
        </w:rPr>
        <w:t>4.2.17.7.</w:t>
      </w:r>
      <w:r>
        <w:rPr>
          <w:noProof/>
        </w:rPr>
        <w:tab/>
        <w:t>Unité électronique de commande (ECU)</w:t>
      </w:r>
    </w:p>
    <w:p>
      <w:pPr>
        <w:spacing w:after="0"/>
        <w:ind w:left="1701" w:hanging="1701"/>
        <w:rPr>
          <w:rFonts w:eastAsia="Arial Unicode MS"/>
          <w:noProof/>
          <w:szCs w:val="24"/>
        </w:rPr>
      </w:pPr>
      <w:r>
        <w:rPr>
          <w:noProof/>
        </w:rPr>
        <w:t>4.2.17.7.1.</w:t>
      </w:r>
      <w:r>
        <w:rPr>
          <w:noProof/>
        </w:rPr>
        <w:tab/>
        <w:t>Marque(s): …</w:t>
      </w:r>
    </w:p>
    <w:p>
      <w:pPr>
        <w:spacing w:after="0"/>
        <w:ind w:left="1701" w:hanging="1701"/>
        <w:rPr>
          <w:rFonts w:eastAsia="Arial Unicode MS"/>
          <w:noProof/>
          <w:szCs w:val="24"/>
        </w:rPr>
      </w:pPr>
      <w:r>
        <w:rPr>
          <w:noProof/>
        </w:rPr>
        <w:t>4.2.17.7.2.</w:t>
      </w:r>
      <w:r>
        <w:rPr>
          <w:noProof/>
        </w:rPr>
        <w:tab/>
        <w:t>Type(s): …</w:t>
      </w:r>
    </w:p>
    <w:p>
      <w:pPr>
        <w:spacing w:after="0"/>
        <w:ind w:left="1701" w:hanging="1701"/>
        <w:rPr>
          <w:rFonts w:eastAsia="Arial Unicode MS"/>
          <w:noProof/>
          <w:szCs w:val="24"/>
        </w:rPr>
      </w:pPr>
      <w:r>
        <w:rPr>
          <w:noProof/>
        </w:rPr>
        <w:t>4.2.17.7.3.</w:t>
      </w:r>
      <w:r>
        <w:rPr>
          <w:noProof/>
        </w:rPr>
        <w:tab/>
        <w:t>Possibilités de réglage: …</w:t>
      </w:r>
    </w:p>
    <w:p>
      <w:pPr>
        <w:spacing w:after="0"/>
        <w:ind w:left="1701" w:hanging="1701"/>
        <w:rPr>
          <w:rFonts w:eastAsia="Arial Unicode MS"/>
          <w:noProof/>
          <w:szCs w:val="24"/>
        </w:rPr>
      </w:pPr>
      <w:r>
        <w:rPr>
          <w:noProof/>
        </w:rPr>
        <w:t>4.2.17.7.4.</w:t>
      </w:r>
      <w:r>
        <w:rPr>
          <w:noProof/>
        </w:rPr>
        <w:tab/>
        <w:t>Numéro(s) d’étalonnage du logiciel: …</w:t>
      </w:r>
    </w:p>
    <w:p>
      <w:pPr>
        <w:spacing w:after="0"/>
        <w:ind w:left="1701" w:hanging="1701"/>
        <w:rPr>
          <w:rFonts w:eastAsia="Arial Unicode MS"/>
          <w:noProof/>
          <w:szCs w:val="24"/>
        </w:rPr>
      </w:pPr>
      <w:r>
        <w:rPr>
          <w:noProof/>
        </w:rPr>
        <w:t>4.2.17.8.</w:t>
      </w:r>
      <w:r>
        <w:rPr>
          <w:noProof/>
        </w:rPr>
        <w:tab/>
        <w:t>Équipement spécifique au GN</w:t>
      </w:r>
    </w:p>
    <w:p>
      <w:pPr>
        <w:spacing w:after="0"/>
        <w:ind w:left="1701" w:hanging="1701"/>
        <w:rPr>
          <w:rFonts w:eastAsia="Arial Unicode MS"/>
          <w:noProof/>
          <w:szCs w:val="24"/>
        </w:rPr>
      </w:pPr>
      <w:r>
        <w:rPr>
          <w:noProof/>
        </w:rPr>
        <w:t>4.2.17.8.1.</w:t>
      </w:r>
      <w:r>
        <w:rPr>
          <w:noProof/>
        </w:rPr>
        <w:tab/>
        <w:t>Variante 1 (uniquement dans le cas de réceptions de moteurs pour plusieurs compositions de carburant spécifiques):</w:t>
      </w:r>
    </w:p>
    <w:p>
      <w:pPr>
        <w:spacing w:after="0"/>
        <w:ind w:left="1701" w:hanging="1701"/>
        <w:rPr>
          <w:rFonts w:eastAsia="Arial Unicode MS"/>
          <w:noProof/>
          <w:szCs w:val="24"/>
        </w:rPr>
      </w:pPr>
      <w:r>
        <w:rPr>
          <w:noProof/>
        </w:rPr>
        <w:t>4.2.17.8.1.0.1.</w:t>
      </w:r>
      <w:r>
        <w:rPr>
          <w:noProof/>
        </w:rPr>
        <w:tab/>
        <w:t>(Euro VI uniquement) Auto-adaptation? Oui/Non (</w:t>
      </w:r>
      <w:r>
        <w:rPr>
          <w:noProof/>
          <w:vertAlign w:val="superscript"/>
        </w:rPr>
        <w:t>1</w:t>
      </w:r>
      <w:r>
        <w:rPr>
          <w:noProof/>
        </w:rPr>
        <w:t>)</w:t>
      </w:r>
    </w:p>
    <w:p>
      <w:pPr>
        <w:spacing w:after="0"/>
        <w:ind w:left="1701" w:hanging="1701"/>
        <w:rPr>
          <w:rFonts w:eastAsia="Arial Unicode MS"/>
          <w:noProof/>
          <w:szCs w:val="24"/>
        </w:rPr>
      </w:pPr>
      <w:r>
        <w:rPr>
          <w:noProof/>
        </w:rPr>
        <w:t>4.2.17.8.1.0.2.</w:t>
      </w:r>
      <w:r>
        <w:rPr>
          <w:noProof/>
        </w:rPr>
        <w:tab/>
        <w:t>(Euro VI uniquement) Étalonnage pour une composition de gaz spécifique GN-H/GN-L/GN-HL (</w:t>
      </w:r>
      <w:r>
        <w:rPr>
          <w:noProof/>
          <w:vertAlign w:val="superscript"/>
        </w:rPr>
        <w:t>1</w:t>
      </w:r>
      <w:r>
        <w:rPr>
          <w:noProof/>
        </w:rPr>
        <w:t>)</w:t>
      </w:r>
    </w:p>
    <w:p>
      <w:pPr>
        <w:spacing w:after="0"/>
        <w:ind w:left="1701"/>
        <w:rPr>
          <w:rFonts w:eastAsia="Arial Unicode MS"/>
          <w:noProof/>
          <w:szCs w:val="24"/>
        </w:rPr>
      </w:pPr>
      <w:r>
        <w:rPr>
          <w:noProof/>
        </w:rPr>
        <w:t>Transformation pour une composition de gaz spécifique GN-H</w:t>
      </w:r>
      <w:r>
        <w:rPr>
          <w:noProof/>
          <w:vertAlign w:val="subscript"/>
        </w:rPr>
        <w:t>t</w:t>
      </w:r>
      <w:r>
        <w:rPr>
          <w:noProof/>
        </w:rPr>
        <w:t>/GN-L</w:t>
      </w:r>
      <w:r>
        <w:rPr>
          <w:noProof/>
          <w:vertAlign w:val="subscript"/>
        </w:rPr>
        <w:t>t</w:t>
      </w:r>
      <w:r>
        <w:rPr>
          <w:noProof/>
        </w:rPr>
        <w:t>/GN-HL</w:t>
      </w:r>
      <w:r>
        <w:rPr>
          <w:noProof/>
          <w:vertAlign w:val="subscript"/>
        </w:rPr>
        <w:t>t</w:t>
      </w:r>
      <w:r>
        <w:rPr>
          <w:noProof/>
        </w:rPr>
        <w:t xml:space="preserve"> (</w:t>
      </w:r>
      <w:r>
        <w:rPr>
          <w:noProof/>
          <w:vertAlign w:val="superscript"/>
        </w:rPr>
        <w:t>1</w:t>
      </w:r>
      <w:r>
        <w:rPr>
          <w:noProof/>
        </w:rPr>
        <w:t>)</w:t>
      </w:r>
    </w:p>
    <w:p>
      <w:pPr>
        <w:ind w:left="1701" w:hanging="1701"/>
        <w:rPr>
          <w:rFonts w:eastAsia="Arial Unicode MS"/>
          <w:noProof/>
          <w:szCs w:val="24"/>
        </w:rPr>
      </w:pPr>
      <w:r>
        <w:rPr>
          <w:noProof/>
        </w:rPr>
        <w:t>4.2.17.8.1.1.</w:t>
      </w:r>
      <w:r>
        <w:rPr>
          <w:noProof/>
        </w:rPr>
        <w:tab/>
        <w:t>Composition de carburant:</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méthane (CH</w:t>
            </w:r>
            <w:r>
              <w:rPr>
                <w:noProof/>
                <w:sz w:val="20"/>
                <w:vertAlign w:val="subscript"/>
              </w:rPr>
              <w:t>4</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éthane (C</w:t>
            </w:r>
            <w:r>
              <w:rPr>
                <w:noProof/>
                <w:sz w:val="20"/>
                <w:vertAlign w:val="subscript"/>
              </w:rPr>
              <w:t>2</w:t>
            </w:r>
            <w:r>
              <w:rPr>
                <w:noProof/>
                <w:sz w:val="20"/>
              </w:rPr>
              <w:t>H</w:t>
            </w:r>
            <w:r>
              <w:rPr>
                <w:noProof/>
                <w:sz w:val="20"/>
                <w:vertAlign w:val="subscript"/>
              </w:rPr>
              <w:t>6</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propane (C</w:t>
            </w:r>
            <w:r>
              <w:rPr>
                <w:noProof/>
                <w:sz w:val="20"/>
                <w:vertAlign w:val="subscript"/>
              </w:rPr>
              <w:t>3</w:t>
            </w:r>
            <w:r>
              <w:rPr>
                <w:noProof/>
                <w:sz w:val="20"/>
              </w:rPr>
              <w:t>H</w:t>
            </w:r>
            <w:r>
              <w:rPr>
                <w:noProof/>
                <w:sz w:val="20"/>
                <w:vertAlign w:val="subscript"/>
              </w:rPr>
              <w:t>8</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butane (C</w:t>
            </w:r>
            <w:r>
              <w:rPr>
                <w:noProof/>
                <w:sz w:val="20"/>
                <w:vertAlign w:val="subscript"/>
              </w:rPr>
              <w:t>4</w:t>
            </w:r>
            <w:r>
              <w:rPr>
                <w:noProof/>
                <w:sz w:val="20"/>
              </w:rPr>
              <w:t>H</w:t>
            </w:r>
            <w:r>
              <w:rPr>
                <w:noProof/>
                <w:sz w:val="20"/>
                <w:vertAlign w:val="subscript"/>
              </w:rPr>
              <w:t>10</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r>
              <w:rPr>
                <w:noProof/>
                <w:sz w:val="20"/>
                <w:vertAlign w:val="subscript"/>
              </w:rPr>
              <w:t>5</w:t>
            </w:r>
            <w:r>
              <w:rPr>
                <w:noProof/>
                <w:sz w:val="20"/>
              </w:rPr>
              <w:t>/C</w:t>
            </w:r>
            <w:r>
              <w:rPr>
                <w:noProof/>
                <w:sz w:val="20"/>
                <w:vertAlign w:val="subscript"/>
              </w:rPr>
              <w:t>5</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oxygène (O</w:t>
            </w:r>
            <w:r>
              <w:rPr>
                <w:noProof/>
                <w:sz w:val="20"/>
                <w:vertAlign w:val="subscript"/>
              </w:rPr>
              <w:t>2</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gaz inerte (N</w:t>
            </w:r>
            <w:r>
              <w:rPr>
                <w:noProof/>
                <w:sz w:val="20"/>
                <w:vertAlign w:val="subscript"/>
              </w:rPr>
              <w:t>2</w:t>
            </w:r>
            <w:r>
              <w:rPr>
                <w:noProof/>
                <w:sz w:val="20"/>
              </w:rPr>
              <w:t>, He, etc.):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Injecteur(s)</w:t>
      </w:r>
    </w:p>
    <w:p>
      <w:pPr>
        <w:spacing w:after="0"/>
        <w:ind w:left="1701" w:hanging="1701"/>
        <w:rPr>
          <w:rFonts w:eastAsia="Arial Unicode MS"/>
          <w:noProof/>
          <w:szCs w:val="24"/>
        </w:rPr>
      </w:pPr>
      <w:r>
        <w:rPr>
          <w:noProof/>
        </w:rPr>
        <w:t>4.2.17.8.1.2.1.</w:t>
      </w:r>
      <w:r>
        <w:rPr>
          <w:noProof/>
        </w:rPr>
        <w:tab/>
        <w:t>Marque(s): …</w:t>
      </w:r>
    </w:p>
    <w:p>
      <w:pPr>
        <w:spacing w:after="0"/>
        <w:ind w:left="1701" w:hanging="1701"/>
        <w:rPr>
          <w:rFonts w:eastAsia="Arial Unicode MS"/>
          <w:noProof/>
          <w:szCs w:val="24"/>
        </w:rPr>
      </w:pPr>
      <w:r>
        <w:rPr>
          <w:noProof/>
        </w:rPr>
        <w:t>4.2.17.8.1.2.2.</w:t>
      </w:r>
      <w:r>
        <w:rPr>
          <w:noProof/>
        </w:rPr>
        <w:tab/>
        <w:t>Type(s): …</w:t>
      </w:r>
    </w:p>
    <w:p>
      <w:pPr>
        <w:spacing w:after="0"/>
        <w:ind w:left="1701" w:hanging="1701"/>
        <w:rPr>
          <w:rFonts w:eastAsia="Arial Unicode MS"/>
          <w:noProof/>
          <w:szCs w:val="24"/>
        </w:rPr>
      </w:pPr>
      <w:r>
        <w:rPr>
          <w:noProof/>
        </w:rPr>
        <w:t>4.2.17.8.1.3.</w:t>
      </w:r>
      <w:r>
        <w:rPr>
          <w:noProof/>
        </w:rPr>
        <w:tab/>
        <w:t>Autres (le cas échéant): …</w:t>
      </w:r>
    </w:p>
    <w:p>
      <w:pPr>
        <w:spacing w:after="0"/>
        <w:ind w:left="1701" w:hanging="1701"/>
        <w:rPr>
          <w:rFonts w:eastAsia="Arial Unicode MS"/>
          <w:noProof/>
          <w:szCs w:val="24"/>
        </w:rPr>
      </w:pPr>
      <w:r>
        <w:rPr>
          <w:noProof/>
        </w:rPr>
        <w:t>4.2.17.8.2.</w:t>
      </w:r>
      <w:r>
        <w:rPr>
          <w:noProof/>
        </w:rPr>
        <w:tab/>
        <w:t>Variante 2 (uniquement dans le cas de réceptions pour plusieurs compositions de carburant spécifiques):</w:t>
      </w:r>
    </w:p>
    <w:p>
      <w:pPr>
        <w:spacing w:after="0"/>
        <w:ind w:left="1701" w:hanging="1701"/>
        <w:rPr>
          <w:rFonts w:eastAsia="Arial Unicode MS"/>
          <w:bCs/>
          <w:noProof/>
          <w:szCs w:val="24"/>
        </w:rPr>
      </w:pPr>
      <w:r>
        <w:rPr>
          <w:noProof/>
        </w:rPr>
        <w:t>4.2.17.9.</w:t>
      </w:r>
      <w:r>
        <w:rPr>
          <w:noProof/>
        </w:rPr>
        <w:tab/>
        <w:t>Le cas échéant, référence du constructeur à la documentation pour l’installation du moteur à double carburant sur un véhicule (</w:t>
      </w:r>
      <w:r>
        <w:rPr>
          <w:noProof/>
          <w:vertAlign w:val="superscript"/>
        </w:rPr>
        <w:t>x1</w:t>
      </w:r>
      <w:r>
        <w:rPr>
          <w:noProof/>
        </w:rPr>
        <w:t>)</w:t>
      </w:r>
    </w:p>
    <w:p>
      <w:pPr>
        <w:spacing w:after="0"/>
        <w:ind w:left="1701" w:hanging="1701"/>
        <w:jc w:val="left"/>
        <w:rPr>
          <w:rFonts w:eastAsia="Arial Unicode MS"/>
          <w:bCs/>
          <w:noProof/>
          <w:szCs w:val="24"/>
        </w:rPr>
      </w:pPr>
      <w:r>
        <w:rPr>
          <w:noProof/>
        </w:rPr>
        <w:t>4.2.18.</w:t>
      </w:r>
      <w:r>
        <w:rPr>
          <w:noProof/>
        </w:rPr>
        <w:tab/>
        <w:t>Système d’alimentation à l’hydrogène: oui/non (</w:t>
      </w:r>
      <w:r>
        <w:rPr>
          <w:noProof/>
          <w:vertAlign w:val="superscript"/>
        </w:rPr>
        <w:t>1</w:t>
      </w:r>
      <w:r>
        <w:rPr>
          <w:noProof/>
        </w:rPr>
        <w:t>)</w:t>
      </w:r>
    </w:p>
    <w:p>
      <w:pPr>
        <w:spacing w:after="0"/>
        <w:ind w:left="1701" w:hanging="1701"/>
        <w:rPr>
          <w:rFonts w:eastAsia="Arial Unicode MS"/>
          <w:bCs/>
          <w:noProof/>
          <w:szCs w:val="24"/>
        </w:rPr>
      </w:pPr>
      <w:r>
        <w:rPr>
          <w:noProof/>
        </w:rPr>
        <w:lastRenderedPageBreak/>
        <w:t>4.2.18.1.</w:t>
      </w:r>
      <w:r>
        <w:rPr>
          <w:noProof/>
        </w:rPr>
        <w:tab/>
        <w:t>Numéro de réception UE par type au titre du règlement (CE) n</w:t>
      </w:r>
      <w:r>
        <w:rPr>
          <w:noProof/>
          <w:vertAlign w:val="superscript"/>
        </w:rPr>
        <w:t>o</w:t>
      </w:r>
      <w:r>
        <w:rPr>
          <w:noProof/>
        </w:rPr>
        <w:t> 79/2009 du Parlement européen et du Conseil</w:t>
      </w:r>
      <w:r>
        <w:rPr>
          <w:rStyle w:val="FootnoteReference"/>
          <w:noProof/>
        </w:rPr>
        <w:footnoteReference w:id="2"/>
      </w:r>
      <w:r>
        <w:rPr>
          <w:noProof/>
        </w:rPr>
        <w:t>: …</w:t>
      </w:r>
    </w:p>
    <w:p>
      <w:pPr>
        <w:spacing w:after="0"/>
        <w:ind w:left="1701" w:hanging="1701"/>
        <w:rPr>
          <w:rFonts w:eastAsia="Arial Unicode MS"/>
          <w:bCs/>
          <w:noProof/>
          <w:szCs w:val="24"/>
        </w:rPr>
      </w:pPr>
      <w:r>
        <w:rPr>
          <w:noProof/>
        </w:rPr>
        <w:t>4.2.18.2.</w:t>
      </w:r>
      <w:r>
        <w:rPr>
          <w:noProof/>
        </w:rPr>
        <w:tab/>
        <w:t>Unité de commande électronique de gestion du moteur pour l’alimentation à l’hydrogène</w:t>
      </w:r>
    </w:p>
    <w:p>
      <w:pPr>
        <w:spacing w:after="0"/>
        <w:ind w:left="1701" w:hanging="1701"/>
        <w:jc w:val="left"/>
        <w:rPr>
          <w:rFonts w:eastAsia="Arial Unicode MS"/>
          <w:bCs/>
          <w:noProof/>
          <w:szCs w:val="24"/>
        </w:rPr>
      </w:pPr>
      <w:r>
        <w:rPr>
          <w:noProof/>
        </w:rPr>
        <w:t>4.2.18.2.1.</w:t>
      </w:r>
      <w:r>
        <w:rPr>
          <w:noProof/>
        </w:rPr>
        <w:tab/>
        <w:t>Marque(s): …</w:t>
      </w:r>
    </w:p>
    <w:p>
      <w:pPr>
        <w:spacing w:after="0"/>
        <w:ind w:left="1701" w:hanging="1701"/>
        <w:jc w:val="left"/>
        <w:rPr>
          <w:rFonts w:eastAsia="Arial Unicode MS"/>
          <w:bCs/>
          <w:noProof/>
          <w:szCs w:val="24"/>
        </w:rPr>
      </w:pPr>
      <w:r>
        <w:rPr>
          <w:noProof/>
        </w:rPr>
        <w:t>4.2.18.2.2.</w:t>
      </w:r>
      <w:r>
        <w:rPr>
          <w:noProof/>
        </w:rPr>
        <w:tab/>
        <w:t>Type(s): …</w:t>
      </w:r>
    </w:p>
    <w:p>
      <w:pPr>
        <w:spacing w:after="0"/>
        <w:ind w:left="1701" w:hanging="1701"/>
        <w:jc w:val="left"/>
        <w:rPr>
          <w:rFonts w:eastAsia="Arial Unicode MS"/>
          <w:bCs/>
          <w:noProof/>
          <w:szCs w:val="24"/>
        </w:rPr>
      </w:pPr>
      <w:r>
        <w:rPr>
          <w:noProof/>
        </w:rPr>
        <w:t>4.2.18.2.3.</w:t>
      </w:r>
      <w:r>
        <w:rPr>
          <w:noProof/>
        </w:rPr>
        <w:tab/>
        <w:t>Possibilités de réglage en fonction des émissions: …</w:t>
      </w:r>
    </w:p>
    <w:p>
      <w:pPr>
        <w:spacing w:after="0"/>
        <w:ind w:left="1701" w:hanging="1701"/>
        <w:jc w:val="left"/>
        <w:rPr>
          <w:rFonts w:eastAsia="Arial Unicode MS"/>
          <w:bCs/>
          <w:noProof/>
          <w:szCs w:val="24"/>
        </w:rPr>
      </w:pPr>
      <w:r>
        <w:rPr>
          <w:noProof/>
        </w:rPr>
        <w:t>4.2.18.3.</w:t>
      </w:r>
      <w:r>
        <w:rPr>
          <w:noProof/>
        </w:rPr>
        <w:tab/>
        <w:t>Documents complémentaires</w:t>
      </w:r>
    </w:p>
    <w:p>
      <w:pPr>
        <w:spacing w:after="0"/>
        <w:ind w:left="1701" w:hanging="1701"/>
        <w:rPr>
          <w:rFonts w:eastAsia="Arial Unicode MS"/>
          <w:bCs/>
          <w:noProof/>
          <w:szCs w:val="24"/>
        </w:rPr>
      </w:pPr>
      <w:r>
        <w:rPr>
          <w:noProof/>
        </w:rPr>
        <w:t>4.2.18.3.1.</w:t>
      </w:r>
      <w:r>
        <w:rPr>
          <w:noProof/>
        </w:rPr>
        <w:tab/>
        <w:t>Description de la protection du catalyseur lors du passage de l’essence à l’hydrogène ou vice versa: …</w:t>
      </w:r>
    </w:p>
    <w:p>
      <w:pPr>
        <w:spacing w:after="0"/>
        <w:ind w:left="1701" w:hanging="1701"/>
        <w:rPr>
          <w:rFonts w:eastAsia="Arial Unicode MS"/>
          <w:bCs/>
          <w:noProof/>
          <w:szCs w:val="24"/>
        </w:rPr>
      </w:pPr>
      <w:r>
        <w:rPr>
          <w:noProof/>
        </w:rPr>
        <w:t>4.2.18.3.2.</w:t>
      </w:r>
      <w:r>
        <w:rPr>
          <w:noProof/>
        </w:rPr>
        <w:tab/>
        <w:t>Configuration du système (connexions électriques, prises de dépression, flexibles de compensation, etc.): …</w:t>
      </w:r>
    </w:p>
    <w:p>
      <w:pPr>
        <w:spacing w:after="0"/>
        <w:ind w:left="1701" w:hanging="1701"/>
        <w:jc w:val="left"/>
        <w:rPr>
          <w:rFonts w:eastAsia="Arial Unicode MS"/>
          <w:bCs/>
          <w:noProof/>
          <w:szCs w:val="24"/>
        </w:rPr>
      </w:pPr>
      <w:r>
        <w:rPr>
          <w:noProof/>
        </w:rPr>
        <w:t>4.2.18.3.3.</w:t>
      </w:r>
      <w:r>
        <w:rPr>
          <w:noProof/>
        </w:rPr>
        <w:tab/>
        <w:t>Dessin du symbole: …</w:t>
      </w:r>
    </w:p>
    <w:p>
      <w:pPr>
        <w:spacing w:after="0"/>
        <w:ind w:left="1701" w:hanging="1701"/>
        <w:jc w:val="left"/>
        <w:rPr>
          <w:rFonts w:eastAsia="Arial Unicode MS"/>
          <w:bCs/>
          <w:noProof/>
          <w:szCs w:val="24"/>
        </w:rPr>
      </w:pPr>
      <w:r>
        <w:rPr>
          <w:noProof/>
        </w:rPr>
        <w:t>4.2.19.</w:t>
      </w:r>
      <w:r>
        <w:rPr>
          <w:noProof/>
        </w:rPr>
        <w:tab/>
        <w:t>Système d’alimentation au H2GN: oui/non (</w:t>
      </w:r>
      <w:r>
        <w:rPr>
          <w:noProof/>
          <w:vertAlign w:val="superscript"/>
        </w:rPr>
        <w:t>1</w:t>
      </w:r>
      <w:r>
        <w:rPr>
          <w:noProof/>
        </w:rPr>
        <w:t>)</w:t>
      </w:r>
    </w:p>
    <w:p>
      <w:pPr>
        <w:spacing w:after="0"/>
        <w:ind w:left="1701" w:hanging="1701"/>
        <w:rPr>
          <w:rFonts w:eastAsia="Arial Unicode MS"/>
          <w:bCs/>
          <w:noProof/>
          <w:szCs w:val="24"/>
        </w:rPr>
      </w:pPr>
      <w:r>
        <w:rPr>
          <w:noProof/>
        </w:rPr>
        <w:t>4.2.19.1.</w:t>
      </w:r>
      <w:r>
        <w:rPr>
          <w:noProof/>
        </w:rPr>
        <w:tab/>
        <w:t>Pourcentage d’hydrogène dans le carburant (le maximum spécifié par le constructeur): …</w:t>
      </w:r>
    </w:p>
    <w:p>
      <w:pPr>
        <w:spacing w:after="0"/>
        <w:ind w:left="1701" w:hanging="1701"/>
        <w:rPr>
          <w:rFonts w:eastAsia="Arial Unicode MS"/>
          <w:bCs/>
          <w:noProof/>
          <w:szCs w:val="24"/>
        </w:rPr>
      </w:pPr>
      <w:r>
        <w:rPr>
          <w:noProof/>
        </w:rPr>
        <w:t>4.2.19.2.</w:t>
      </w:r>
      <w:r>
        <w:rPr>
          <w:noProof/>
        </w:rPr>
        <w:tab/>
        <w:t>Numéro de réception UE par type au titre du règlement n</w:t>
      </w:r>
      <w:r>
        <w:rPr>
          <w:noProof/>
          <w:vertAlign w:val="superscript"/>
        </w:rPr>
        <w:t>o</w:t>
      </w:r>
      <w:r>
        <w:rPr>
          <w:noProof/>
        </w:rPr>
        <w:t> 110 de la CEE-ONU …</w:t>
      </w:r>
    </w:p>
    <w:p>
      <w:pPr>
        <w:spacing w:after="0"/>
        <w:ind w:left="1701" w:hanging="1701"/>
        <w:rPr>
          <w:rFonts w:eastAsia="Arial Unicode MS"/>
          <w:bCs/>
          <w:noProof/>
          <w:szCs w:val="24"/>
        </w:rPr>
      </w:pPr>
      <w:r>
        <w:rPr>
          <w:noProof/>
        </w:rPr>
        <w:t>4.2.19.3.</w:t>
      </w:r>
      <w:r>
        <w:rPr>
          <w:noProof/>
        </w:rPr>
        <w:tab/>
        <w:t>Unité de commande électronique de gestion du moteur pour l’alimentation au H2GN</w:t>
      </w:r>
    </w:p>
    <w:p>
      <w:pPr>
        <w:spacing w:after="0"/>
        <w:ind w:left="1701" w:hanging="1701"/>
        <w:jc w:val="left"/>
        <w:rPr>
          <w:rFonts w:eastAsia="Arial Unicode MS"/>
          <w:bCs/>
          <w:noProof/>
          <w:szCs w:val="24"/>
        </w:rPr>
      </w:pPr>
      <w:r>
        <w:rPr>
          <w:noProof/>
        </w:rPr>
        <w:t>4.2.19.3.1.</w:t>
      </w:r>
      <w:r>
        <w:rPr>
          <w:noProof/>
        </w:rPr>
        <w:tab/>
        <w:t>Marque(s): …</w:t>
      </w:r>
    </w:p>
    <w:p>
      <w:pPr>
        <w:spacing w:after="0"/>
        <w:ind w:left="1701" w:hanging="1701"/>
        <w:jc w:val="left"/>
        <w:rPr>
          <w:rFonts w:eastAsia="Arial Unicode MS"/>
          <w:bCs/>
          <w:noProof/>
          <w:szCs w:val="24"/>
        </w:rPr>
      </w:pPr>
      <w:r>
        <w:rPr>
          <w:noProof/>
        </w:rPr>
        <w:t>4.2.19.3.2.</w:t>
      </w:r>
      <w:r>
        <w:rPr>
          <w:noProof/>
        </w:rPr>
        <w:tab/>
        <w:t>Type(s): …</w:t>
      </w:r>
    </w:p>
    <w:p>
      <w:pPr>
        <w:spacing w:after="0"/>
        <w:ind w:left="1701" w:hanging="1701"/>
        <w:jc w:val="left"/>
        <w:rPr>
          <w:rFonts w:eastAsia="Arial Unicode MS"/>
          <w:bCs/>
          <w:noProof/>
          <w:szCs w:val="24"/>
        </w:rPr>
      </w:pPr>
      <w:r>
        <w:rPr>
          <w:noProof/>
        </w:rPr>
        <w:t>4.2.19.3.3.</w:t>
      </w:r>
      <w:r>
        <w:rPr>
          <w:noProof/>
        </w:rPr>
        <w:tab/>
        <w:t>Possibilités de réglage en fonction des émissions: …</w:t>
      </w:r>
    </w:p>
    <w:p>
      <w:pPr>
        <w:spacing w:after="0"/>
        <w:ind w:left="1701" w:hanging="1701"/>
        <w:jc w:val="left"/>
        <w:rPr>
          <w:rFonts w:eastAsia="Arial Unicode MS"/>
          <w:bCs/>
          <w:noProof/>
          <w:szCs w:val="24"/>
        </w:rPr>
      </w:pPr>
      <w:r>
        <w:rPr>
          <w:noProof/>
        </w:rPr>
        <w:t>4.2.19.4.</w:t>
      </w:r>
      <w:r>
        <w:rPr>
          <w:noProof/>
        </w:rPr>
        <w:tab/>
        <w:t>Documents complémentaires</w:t>
      </w:r>
    </w:p>
    <w:p>
      <w:pPr>
        <w:spacing w:after="0"/>
        <w:ind w:left="1701" w:hanging="1701"/>
        <w:rPr>
          <w:rFonts w:eastAsia="Arial Unicode MS"/>
          <w:bCs/>
          <w:noProof/>
          <w:szCs w:val="24"/>
        </w:rPr>
      </w:pPr>
      <w:r>
        <w:rPr>
          <w:noProof/>
        </w:rPr>
        <w:t>4.2.19.4.1.</w:t>
      </w:r>
      <w:r>
        <w:rPr>
          <w:noProof/>
        </w:rPr>
        <w:tab/>
        <w:t>Description de la protection du catalyseur lors du passage de l’essence au H2GN ou vice versa: …</w:t>
      </w:r>
    </w:p>
    <w:p>
      <w:pPr>
        <w:spacing w:after="0"/>
        <w:ind w:left="1701" w:hanging="1701"/>
        <w:rPr>
          <w:rFonts w:eastAsia="Arial Unicode MS"/>
          <w:bCs/>
          <w:noProof/>
          <w:szCs w:val="24"/>
        </w:rPr>
      </w:pPr>
      <w:r>
        <w:rPr>
          <w:noProof/>
        </w:rPr>
        <w:t>4.2.19.4.2.</w:t>
      </w:r>
      <w:r>
        <w:rPr>
          <w:noProof/>
        </w:rPr>
        <w:tab/>
        <w:t>Configuration du système (connexions électriques, prises de dépression, flexibles de compensation, etc.): …</w:t>
      </w:r>
    </w:p>
    <w:p>
      <w:pPr>
        <w:spacing w:after="0"/>
        <w:ind w:left="1701" w:hanging="1701"/>
        <w:jc w:val="left"/>
        <w:rPr>
          <w:rFonts w:eastAsia="Arial Unicode MS"/>
          <w:bCs/>
          <w:noProof/>
          <w:szCs w:val="24"/>
        </w:rPr>
      </w:pPr>
      <w:r>
        <w:rPr>
          <w:noProof/>
        </w:rPr>
        <w:t>4.2.19.4.3.</w:t>
      </w:r>
      <w:r>
        <w:rPr>
          <w:noProof/>
        </w:rPr>
        <w:tab/>
        <w:t>Dessin du symbole: …</w:t>
      </w:r>
    </w:p>
    <w:p>
      <w:pPr>
        <w:spacing w:before="360"/>
        <w:ind w:left="1701" w:hanging="1701"/>
        <w:jc w:val="left"/>
        <w:rPr>
          <w:rFonts w:eastAsia="Arial Unicode MS"/>
          <w:b/>
          <w:bCs/>
          <w:noProof/>
          <w:szCs w:val="24"/>
        </w:rPr>
      </w:pPr>
      <w:r>
        <w:rPr>
          <w:noProof/>
        </w:rPr>
        <w:t>4.3.</w:t>
      </w:r>
      <w:r>
        <w:rPr>
          <w:noProof/>
        </w:rPr>
        <w:tab/>
      </w:r>
      <w:r>
        <w:rPr>
          <w:b/>
          <w:noProof/>
        </w:rPr>
        <w:t xml:space="preserve">Moteur électrique </w:t>
      </w:r>
    </w:p>
    <w:p>
      <w:pPr>
        <w:spacing w:after="0"/>
        <w:ind w:left="1701" w:hanging="1701"/>
        <w:rPr>
          <w:rFonts w:eastAsia="Arial Unicode MS"/>
          <w:noProof/>
          <w:szCs w:val="24"/>
        </w:rPr>
      </w:pPr>
      <w:r>
        <w:rPr>
          <w:noProof/>
        </w:rPr>
        <w:t>4.3.1.</w:t>
      </w:r>
      <w:r>
        <w:rPr>
          <w:noProof/>
        </w:rPr>
        <w:tab/>
      </w:r>
      <w:r>
        <w:rPr>
          <w:i/>
          <w:noProof/>
        </w:rPr>
        <w:t>Type</w:t>
      </w:r>
      <w:r>
        <w:rPr>
          <w:noProof/>
        </w:rPr>
        <w:t xml:space="preserve"> (bobinage, excitation): …</w:t>
      </w:r>
    </w:p>
    <w:p>
      <w:pPr>
        <w:spacing w:after="0"/>
        <w:ind w:left="1701" w:hanging="1701"/>
        <w:rPr>
          <w:rFonts w:eastAsia="Arial Unicode MS"/>
          <w:noProof/>
          <w:szCs w:val="24"/>
        </w:rPr>
      </w:pPr>
      <w:r>
        <w:rPr>
          <w:noProof/>
        </w:rPr>
        <w:t>4.3.1.1.</w:t>
      </w:r>
      <w:r>
        <w:rPr>
          <w:noProof/>
        </w:rPr>
        <w:tab/>
        <w:t>Puissance horaire maximale: …… kW</w:t>
      </w:r>
    </w:p>
    <w:p>
      <w:pPr>
        <w:spacing w:after="0"/>
        <w:ind w:left="1701" w:hanging="1701"/>
        <w:rPr>
          <w:rFonts w:eastAsia="Arial Unicode MS"/>
          <w:noProof/>
          <w:szCs w:val="24"/>
        </w:rPr>
      </w:pPr>
      <w:r>
        <w:rPr>
          <w:noProof/>
        </w:rPr>
        <w:t>4.3.1.1.1.</w:t>
      </w:r>
      <w:r>
        <w:rPr>
          <w:noProof/>
        </w:rPr>
        <w:tab/>
        <w:t>Puissance nette maximale(</w:t>
      </w:r>
      <w:r>
        <w:rPr>
          <w:noProof/>
          <w:vertAlign w:val="superscript"/>
        </w:rPr>
        <w:t>n</w:t>
      </w:r>
      <w:r>
        <w:rPr>
          <w:noProof/>
        </w:rPr>
        <w:t>) ... kW</w:t>
      </w:r>
    </w:p>
    <w:p>
      <w:pPr>
        <w:spacing w:after="0"/>
        <w:ind w:left="1701"/>
        <w:rPr>
          <w:rFonts w:eastAsia="Arial Unicode MS"/>
          <w:noProof/>
          <w:szCs w:val="24"/>
        </w:rPr>
      </w:pPr>
      <w:r>
        <w:rPr>
          <w:noProof/>
        </w:rPr>
        <w:t>(valeur déclarée par le constructeur)</w:t>
      </w:r>
    </w:p>
    <w:p>
      <w:pPr>
        <w:spacing w:after="0"/>
        <w:ind w:left="1701" w:hanging="1701"/>
        <w:rPr>
          <w:rFonts w:eastAsia="Arial Unicode MS"/>
          <w:noProof/>
          <w:szCs w:val="24"/>
        </w:rPr>
      </w:pPr>
      <w:r>
        <w:rPr>
          <w:noProof/>
        </w:rPr>
        <w:lastRenderedPageBreak/>
        <w:t>4.3.1.1.2.</w:t>
      </w:r>
      <w:r>
        <w:rPr>
          <w:noProof/>
        </w:rPr>
        <w:tab/>
        <w:t>Puissance maximale sur 30 minutes (</w:t>
      </w:r>
      <w:r>
        <w:rPr>
          <w:noProof/>
          <w:vertAlign w:val="superscript"/>
        </w:rPr>
        <w:t>n</w:t>
      </w:r>
      <w:r>
        <w:rPr>
          <w:noProof/>
        </w:rPr>
        <w:t>) ... kW</w:t>
      </w:r>
    </w:p>
    <w:p>
      <w:pPr>
        <w:spacing w:after="0"/>
        <w:ind w:left="1701"/>
        <w:rPr>
          <w:rFonts w:eastAsia="Arial Unicode MS"/>
          <w:noProof/>
          <w:szCs w:val="24"/>
        </w:rPr>
      </w:pPr>
      <w:r>
        <w:rPr>
          <w:noProof/>
        </w:rPr>
        <w:t>(valeur déclarée par le constructeur)</w:t>
      </w:r>
    </w:p>
    <w:p>
      <w:pPr>
        <w:spacing w:after="0"/>
        <w:ind w:left="1701" w:hanging="1701"/>
        <w:rPr>
          <w:rFonts w:eastAsia="Arial Unicode MS"/>
          <w:noProof/>
          <w:szCs w:val="24"/>
        </w:rPr>
      </w:pPr>
      <w:r>
        <w:rPr>
          <w:noProof/>
        </w:rPr>
        <w:t>4.3.1.2.</w:t>
      </w:r>
      <w:r>
        <w:rPr>
          <w:noProof/>
        </w:rPr>
        <w:tab/>
        <w:t>Tension de service: …… V</w:t>
      </w:r>
    </w:p>
    <w:p>
      <w:pPr>
        <w:spacing w:after="0"/>
        <w:ind w:left="1701" w:hanging="1701"/>
        <w:rPr>
          <w:rFonts w:eastAsia="Arial Unicode MS"/>
          <w:noProof/>
          <w:szCs w:val="24"/>
        </w:rPr>
      </w:pPr>
      <w:r>
        <w:rPr>
          <w:noProof/>
        </w:rPr>
        <w:t>4.3.2.</w:t>
      </w:r>
      <w:r>
        <w:rPr>
          <w:noProof/>
        </w:rPr>
        <w:tab/>
      </w:r>
      <w:r>
        <w:rPr>
          <w:i/>
          <w:noProof/>
        </w:rPr>
        <w:t>Batterie</w:t>
      </w:r>
    </w:p>
    <w:p>
      <w:pPr>
        <w:spacing w:after="0"/>
        <w:ind w:left="1701" w:hanging="1701"/>
        <w:rPr>
          <w:rFonts w:eastAsia="Arial Unicode MS"/>
          <w:noProof/>
          <w:szCs w:val="24"/>
        </w:rPr>
      </w:pPr>
      <w:r>
        <w:rPr>
          <w:noProof/>
        </w:rPr>
        <w:t>4.3.2.1.</w:t>
      </w:r>
      <w:r>
        <w:rPr>
          <w:noProof/>
        </w:rPr>
        <w:tab/>
        <w:t>Nombre d’éléments: …</w:t>
      </w:r>
    </w:p>
    <w:p>
      <w:pPr>
        <w:spacing w:after="0"/>
        <w:ind w:left="1701" w:hanging="1701"/>
        <w:rPr>
          <w:rFonts w:eastAsia="Arial Unicode MS"/>
          <w:noProof/>
          <w:szCs w:val="24"/>
        </w:rPr>
      </w:pPr>
      <w:r>
        <w:rPr>
          <w:noProof/>
        </w:rPr>
        <w:t>4.3.2.2.</w:t>
      </w:r>
      <w:r>
        <w:rPr>
          <w:noProof/>
        </w:rPr>
        <w:tab/>
        <w:t>Masse: …… kg</w:t>
      </w:r>
    </w:p>
    <w:p>
      <w:pPr>
        <w:spacing w:after="0"/>
        <w:ind w:left="1701" w:hanging="1701"/>
        <w:rPr>
          <w:rFonts w:eastAsia="Arial Unicode MS"/>
          <w:noProof/>
          <w:szCs w:val="24"/>
        </w:rPr>
      </w:pPr>
      <w:r>
        <w:rPr>
          <w:noProof/>
        </w:rPr>
        <w:t>4.3.2.3.</w:t>
      </w:r>
      <w:r>
        <w:rPr>
          <w:noProof/>
        </w:rPr>
        <w:tab/>
        <w:t>Capacité: …… Ah (ampère/heure)</w:t>
      </w:r>
    </w:p>
    <w:p>
      <w:pPr>
        <w:spacing w:after="0"/>
        <w:ind w:left="1701" w:hanging="1701"/>
        <w:rPr>
          <w:rFonts w:eastAsia="Arial Unicode MS"/>
          <w:noProof/>
          <w:szCs w:val="24"/>
        </w:rPr>
      </w:pPr>
      <w:r>
        <w:rPr>
          <w:noProof/>
        </w:rPr>
        <w:t>4.3.2.4.</w:t>
      </w:r>
      <w:r>
        <w:rPr>
          <w:noProof/>
        </w:rPr>
        <w:tab/>
        <w:t>Emplacement: …</w:t>
      </w:r>
    </w:p>
    <w:p>
      <w:pPr>
        <w:spacing w:before="360"/>
        <w:ind w:left="1701" w:hanging="1701"/>
        <w:jc w:val="left"/>
        <w:rPr>
          <w:rFonts w:eastAsia="Arial Unicode MS"/>
          <w:b/>
          <w:bCs/>
          <w:noProof/>
          <w:szCs w:val="24"/>
        </w:rPr>
      </w:pPr>
      <w:r>
        <w:rPr>
          <w:noProof/>
        </w:rPr>
        <w:t>4.4.</w:t>
      </w:r>
      <w:r>
        <w:rPr>
          <w:noProof/>
        </w:rPr>
        <w:tab/>
      </w:r>
      <w:r>
        <w:rPr>
          <w:b/>
          <w:noProof/>
        </w:rPr>
        <w:t xml:space="preserve">Combinaison de moteurs </w:t>
      </w:r>
    </w:p>
    <w:p>
      <w:pPr>
        <w:spacing w:after="0"/>
        <w:ind w:left="1701" w:hanging="1701"/>
        <w:rPr>
          <w:rFonts w:eastAsia="Arial Unicode MS"/>
          <w:noProof/>
          <w:szCs w:val="24"/>
        </w:rPr>
      </w:pPr>
      <w:r>
        <w:rPr>
          <w:noProof/>
        </w:rPr>
        <w:t>4.4.1.</w:t>
      </w:r>
      <w:r>
        <w:rPr>
          <w:noProof/>
        </w:rPr>
        <w:tab/>
      </w:r>
      <w:r>
        <w:rPr>
          <w:i/>
          <w:noProof/>
        </w:rPr>
        <w:t>Véhicule électrique hybride: oui/non</w:t>
      </w:r>
      <w:r>
        <w:rPr>
          <w:noProof/>
        </w:rPr>
        <w:t> (</w:t>
      </w:r>
      <w:r>
        <w:rPr>
          <w:noProof/>
          <w:vertAlign w:val="superscript"/>
        </w:rPr>
        <w:t>1</w:t>
      </w:r>
      <w:r>
        <w:rPr>
          <w:noProof/>
        </w:rPr>
        <w:t>)</w:t>
      </w:r>
    </w:p>
    <w:p>
      <w:pPr>
        <w:spacing w:after="0"/>
        <w:ind w:left="1701" w:hanging="1701"/>
        <w:rPr>
          <w:rFonts w:eastAsia="Arial Unicode MS"/>
          <w:noProof/>
          <w:szCs w:val="24"/>
        </w:rPr>
      </w:pPr>
      <w:r>
        <w:rPr>
          <w:noProof/>
        </w:rPr>
        <w:t>4.4.2.</w:t>
      </w:r>
      <w:r>
        <w:rPr>
          <w:noProof/>
        </w:rPr>
        <w:tab/>
      </w:r>
      <w:r>
        <w:rPr>
          <w:i/>
          <w:noProof/>
        </w:rPr>
        <w:t>Catégorie de véhicule électrique hybride</w:t>
      </w:r>
      <w:r>
        <w:rPr>
          <w:noProof/>
        </w:rPr>
        <w:t>: rechargeable de l’extérieur/non rechargeable de l’extérieur: (</w:t>
      </w:r>
      <w:r>
        <w:rPr>
          <w:noProof/>
          <w:vertAlign w:val="superscript"/>
        </w:rPr>
        <w:t>1</w:t>
      </w:r>
      <w:r>
        <w:rPr>
          <w:noProof/>
        </w:rPr>
        <w:t>)</w:t>
      </w:r>
    </w:p>
    <w:p>
      <w:pPr>
        <w:ind w:left="1701" w:hanging="1701"/>
        <w:jc w:val="left"/>
        <w:rPr>
          <w:rFonts w:eastAsia="Arial Unicode MS"/>
          <w:b/>
          <w:bCs/>
          <w:noProof/>
          <w:szCs w:val="24"/>
        </w:rPr>
      </w:pPr>
      <w:r>
        <w:rPr>
          <w:noProof/>
        </w:rPr>
        <w:t>4.4.3.</w:t>
      </w:r>
      <w:r>
        <w:rPr>
          <w:noProof/>
        </w:rPr>
        <w:tab/>
      </w:r>
      <w:r>
        <w:rPr>
          <w:i/>
          <w:noProof/>
        </w:rPr>
        <w:t xml:space="preserve">Commutateur de mode de fonctionnement: avec/sans </w:t>
      </w:r>
      <w:r>
        <w:rPr>
          <w:noProof/>
        </w:rPr>
        <w:t>(</w:t>
      </w:r>
      <w:r>
        <w:rPr>
          <w:noProof/>
          <w:vertAlign w:val="superscript"/>
        </w:rPr>
        <w:t>1</w:t>
      </w:r>
      <w:r>
        <w:rPr>
          <w:noProof/>
        </w:rPr>
        <w:t>)</w:t>
      </w:r>
    </w:p>
    <w:p>
      <w:pPr>
        <w:spacing w:after="0"/>
        <w:ind w:left="1701" w:hanging="1701"/>
        <w:rPr>
          <w:rFonts w:eastAsia="Arial Unicode MS"/>
          <w:noProof/>
          <w:szCs w:val="24"/>
        </w:rPr>
      </w:pPr>
      <w:r>
        <w:rPr>
          <w:noProof/>
        </w:rPr>
        <w:t>4.4.3.1.</w:t>
      </w:r>
      <w:r>
        <w:rPr>
          <w:noProof/>
        </w:rPr>
        <w:tab/>
        <w:t>Modes sélectionnables:</w:t>
      </w:r>
    </w:p>
    <w:p>
      <w:pPr>
        <w:spacing w:after="0"/>
        <w:ind w:left="1701" w:hanging="1701"/>
        <w:rPr>
          <w:rFonts w:eastAsia="Arial Unicode MS"/>
          <w:noProof/>
          <w:szCs w:val="24"/>
        </w:rPr>
      </w:pPr>
      <w:r>
        <w:rPr>
          <w:noProof/>
        </w:rPr>
        <w:t>4.4.3.1.1.</w:t>
      </w:r>
      <w:r>
        <w:rPr>
          <w:noProof/>
        </w:rPr>
        <w:tab/>
        <w:t>Mode uniquement électrique: oui/non (</w:t>
      </w:r>
      <w:r>
        <w:rPr>
          <w:noProof/>
          <w:vertAlign w:val="superscript"/>
        </w:rPr>
        <w:t>1</w:t>
      </w:r>
      <w:r>
        <w:rPr>
          <w:noProof/>
        </w:rPr>
        <w:t>)</w:t>
      </w:r>
    </w:p>
    <w:p>
      <w:pPr>
        <w:spacing w:after="0"/>
        <w:ind w:left="1701" w:hanging="1701"/>
        <w:rPr>
          <w:rFonts w:eastAsia="Arial Unicode MS"/>
          <w:noProof/>
          <w:szCs w:val="24"/>
        </w:rPr>
      </w:pPr>
      <w:r>
        <w:rPr>
          <w:noProof/>
        </w:rPr>
        <w:t>4.4.3.1.2.</w:t>
      </w:r>
      <w:r>
        <w:rPr>
          <w:noProof/>
        </w:rPr>
        <w:tab/>
        <w:t>Mode uniquement thermique: oui/non (</w:t>
      </w:r>
      <w:r>
        <w:rPr>
          <w:noProof/>
          <w:vertAlign w:val="superscript"/>
        </w:rPr>
        <w:t>1</w:t>
      </w:r>
      <w:r>
        <w:rPr>
          <w:noProof/>
        </w:rPr>
        <w:t>)</w:t>
      </w:r>
    </w:p>
    <w:p>
      <w:pPr>
        <w:spacing w:after="0"/>
        <w:ind w:left="1701" w:hanging="1701"/>
        <w:rPr>
          <w:rFonts w:eastAsia="Arial Unicode MS"/>
          <w:noProof/>
          <w:szCs w:val="24"/>
        </w:rPr>
      </w:pPr>
      <w:r>
        <w:rPr>
          <w:noProof/>
        </w:rPr>
        <w:t>4.4.3.1.3.</w:t>
      </w:r>
      <w:r>
        <w:rPr>
          <w:noProof/>
        </w:rPr>
        <w:tab/>
        <w:t>Modes hybrides: oui/non (</w:t>
      </w:r>
      <w:r>
        <w:rPr>
          <w:noProof/>
          <w:vertAlign w:val="superscript"/>
        </w:rPr>
        <w:t>1</w:t>
      </w:r>
      <w:r>
        <w:rPr>
          <w:noProof/>
        </w:rPr>
        <w:t>)</w:t>
      </w:r>
    </w:p>
    <w:p>
      <w:pPr>
        <w:ind w:left="2070" w:hanging="369"/>
        <w:rPr>
          <w:rFonts w:eastAsia="Arial Unicode MS"/>
          <w:noProof/>
          <w:szCs w:val="24"/>
        </w:rPr>
      </w:pPr>
      <w:r>
        <w:rPr>
          <w:noProof/>
        </w:rPr>
        <w:t>(si oui, brève description): …</w:t>
      </w:r>
    </w:p>
    <w:p>
      <w:pPr>
        <w:spacing w:before="240"/>
        <w:ind w:left="1701" w:hanging="1701"/>
        <w:rPr>
          <w:rFonts w:eastAsia="Arial Unicode MS"/>
          <w:bCs/>
          <w:noProof/>
          <w:szCs w:val="24"/>
        </w:rPr>
      </w:pPr>
      <w:r>
        <w:rPr>
          <w:noProof/>
        </w:rPr>
        <w:t>4.4.4.</w:t>
      </w:r>
      <w:r>
        <w:rPr>
          <w:noProof/>
        </w:rPr>
        <w:tab/>
      </w:r>
      <w:r>
        <w:rPr>
          <w:i/>
          <w:noProof/>
        </w:rPr>
        <w:t>Description du dispositif de stockage d’énergie: (batterie, condensateur, volant/générateur)</w:t>
      </w:r>
      <w:r>
        <w:rPr>
          <w:noProof/>
        </w:rPr>
        <w:t xml:space="preserve"> </w:t>
      </w:r>
    </w:p>
    <w:p>
      <w:pPr>
        <w:spacing w:after="0"/>
        <w:ind w:left="1701" w:hanging="1701"/>
        <w:rPr>
          <w:rFonts w:eastAsia="Arial Unicode MS"/>
          <w:noProof/>
          <w:szCs w:val="24"/>
        </w:rPr>
      </w:pPr>
      <w:r>
        <w:rPr>
          <w:noProof/>
        </w:rPr>
        <w:t>4.4.4.1.</w:t>
      </w:r>
      <w:r>
        <w:rPr>
          <w:noProof/>
        </w:rPr>
        <w:tab/>
        <w:t>Marque(s): …</w:t>
      </w:r>
    </w:p>
    <w:p>
      <w:pPr>
        <w:spacing w:after="0"/>
        <w:ind w:left="1701" w:hanging="1701"/>
        <w:rPr>
          <w:rFonts w:eastAsia="Arial Unicode MS"/>
          <w:noProof/>
          <w:szCs w:val="24"/>
        </w:rPr>
      </w:pPr>
      <w:r>
        <w:rPr>
          <w:noProof/>
        </w:rPr>
        <w:t>4.4.4.2.</w:t>
      </w:r>
      <w:r>
        <w:rPr>
          <w:noProof/>
        </w:rPr>
        <w:tab/>
        <w:t>Type(s): …</w:t>
      </w:r>
    </w:p>
    <w:p>
      <w:pPr>
        <w:spacing w:after="0"/>
        <w:ind w:left="1701" w:hanging="1701"/>
        <w:rPr>
          <w:rFonts w:eastAsia="Arial Unicode MS"/>
          <w:noProof/>
          <w:szCs w:val="24"/>
        </w:rPr>
      </w:pPr>
      <w:r>
        <w:rPr>
          <w:noProof/>
        </w:rPr>
        <w:t>4.4.4.3.</w:t>
      </w:r>
      <w:r>
        <w:rPr>
          <w:noProof/>
        </w:rPr>
        <w:tab/>
        <w:t>Numéro d’identification: …</w:t>
      </w:r>
    </w:p>
    <w:p>
      <w:pPr>
        <w:spacing w:after="0"/>
        <w:ind w:left="1701" w:hanging="1701"/>
        <w:rPr>
          <w:rFonts w:eastAsia="Arial Unicode MS"/>
          <w:noProof/>
          <w:szCs w:val="24"/>
        </w:rPr>
      </w:pPr>
      <w:r>
        <w:rPr>
          <w:noProof/>
        </w:rPr>
        <w:t>4.4.4.4.</w:t>
      </w:r>
      <w:r>
        <w:rPr>
          <w:noProof/>
        </w:rPr>
        <w:tab/>
        <w:t>Type de couple électrochimique: …</w:t>
      </w:r>
    </w:p>
    <w:p>
      <w:pPr>
        <w:spacing w:after="0"/>
        <w:ind w:left="1701" w:hanging="1701"/>
        <w:rPr>
          <w:rFonts w:eastAsia="Arial Unicode MS"/>
          <w:noProof/>
          <w:szCs w:val="24"/>
        </w:rPr>
      </w:pPr>
      <w:r>
        <w:rPr>
          <w:noProof/>
        </w:rPr>
        <w:t>4.4.4.5.</w:t>
      </w:r>
      <w:r>
        <w:rPr>
          <w:noProof/>
        </w:rPr>
        <w:tab/>
        <w:t>Énergie: … (pour la batterie: tension et capacité Ah en 2 h, pour le condensateur: J,…)</w:t>
      </w:r>
    </w:p>
    <w:p>
      <w:pPr>
        <w:spacing w:after="0"/>
        <w:ind w:left="1701" w:hanging="1701"/>
        <w:rPr>
          <w:rFonts w:eastAsia="Arial Unicode MS"/>
          <w:noProof/>
          <w:szCs w:val="24"/>
        </w:rPr>
      </w:pPr>
      <w:r>
        <w:rPr>
          <w:noProof/>
        </w:rPr>
        <w:t>4.4.4.6.</w:t>
      </w:r>
      <w:r>
        <w:rPr>
          <w:noProof/>
        </w:rPr>
        <w:tab/>
        <w:t>Chargeur: à bord/extérieur/sans (</w:t>
      </w:r>
      <w:r>
        <w:rPr>
          <w:noProof/>
          <w:vertAlign w:val="superscript"/>
        </w:rPr>
        <w:t>1</w:t>
      </w:r>
      <w:r>
        <w:rPr>
          <w:noProof/>
        </w:rPr>
        <w:t>)</w:t>
      </w:r>
    </w:p>
    <w:p>
      <w:pPr>
        <w:spacing w:before="240"/>
        <w:ind w:left="1701" w:hanging="1701"/>
        <w:jc w:val="left"/>
        <w:rPr>
          <w:rFonts w:eastAsia="Arial Unicode MS"/>
          <w:bCs/>
          <w:noProof/>
          <w:szCs w:val="24"/>
        </w:rPr>
      </w:pPr>
      <w:r>
        <w:rPr>
          <w:noProof/>
        </w:rPr>
        <w:t>4.4.5.</w:t>
      </w:r>
      <w:r>
        <w:rPr>
          <w:noProof/>
        </w:rPr>
        <w:tab/>
      </w:r>
      <w:r>
        <w:rPr>
          <w:i/>
          <w:noProof/>
        </w:rPr>
        <w:t>Moteur électrique (décrire séparément chaque type de moteur électrique)</w:t>
      </w:r>
      <w:r>
        <w:rPr>
          <w:noProof/>
        </w:rPr>
        <w:t xml:space="preserve"> </w:t>
      </w:r>
    </w:p>
    <w:p>
      <w:pPr>
        <w:spacing w:after="0"/>
        <w:ind w:left="1701" w:hanging="1701"/>
        <w:rPr>
          <w:rFonts w:eastAsia="Arial Unicode MS"/>
          <w:noProof/>
          <w:szCs w:val="24"/>
        </w:rPr>
      </w:pPr>
      <w:r>
        <w:rPr>
          <w:noProof/>
        </w:rPr>
        <w:t>4.4.5.1.</w:t>
      </w:r>
      <w:r>
        <w:rPr>
          <w:noProof/>
        </w:rPr>
        <w:tab/>
        <w:t>Marque: …</w:t>
      </w:r>
    </w:p>
    <w:p>
      <w:pPr>
        <w:spacing w:after="0"/>
        <w:ind w:left="1701" w:hanging="1701"/>
        <w:rPr>
          <w:rFonts w:eastAsia="Arial Unicode MS"/>
          <w:noProof/>
          <w:szCs w:val="24"/>
        </w:rPr>
      </w:pPr>
      <w:r>
        <w:rPr>
          <w:noProof/>
        </w:rPr>
        <w:t>4.4.5.2.</w:t>
      </w:r>
      <w:r>
        <w:rPr>
          <w:noProof/>
        </w:rPr>
        <w:tab/>
        <w:t>Type: …</w:t>
      </w:r>
    </w:p>
    <w:p>
      <w:pPr>
        <w:spacing w:after="0"/>
        <w:ind w:left="1701" w:hanging="1701"/>
        <w:rPr>
          <w:rFonts w:eastAsia="Arial Unicode MS"/>
          <w:noProof/>
          <w:szCs w:val="24"/>
        </w:rPr>
      </w:pPr>
      <w:r>
        <w:rPr>
          <w:noProof/>
        </w:rPr>
        <w:t>4.4.5.3.</w:t>
      </w:r>
      <w:r>
        <w:rPr>
          <w:noProof/>
        </w:rPr>
        <w:tab/>
        <w:t>Utilisation principale: moteur de traction/générateur (</w:t>
      </w:r>
      <w:r>
        <w:rPr>
          <w:noProof/>
          <w:vertAlign w:val="superscript"/>
        </w:rPr>
        <w:t>1</w:t>
      </w:r>
      <w:r>
        <w:rPr>
          <w:noProof/>
        </w:rPr>
        <w:t>)</w:t>
      </w:r>
    </w:p>
    <w:p>
      <w:pPr>
        <w:spacing w:after="0"/>
        <w:ind w:left="1701" w:hanging="1701"/>
        <w:rPr>
          <w:rFonts w:eastAsia="Arial Unicode MS"/>
          <w:noProof/>
          <w:szCs w:val="24"/>
        </w:rPr>
      </w:pPr>
      <w:r>
        <w:rPr>
          <w:noProof/>
        </w:rPr>
        <w:t>4.4.5.3.1.</w:t>
      </w:r>
      <w:r>
        <w:rPr>
          <w:noProof/>
        </w:rPr>
        <w:tab/>
        <w:t>En cas d’utilisation comme moteur de traction: moteur unique/moteurs multiples (nombre) (</w:t>
      </w:r>
      <w:r>
        <w:rPr>
          <w:noProof/>
          <w:vertAlign w:val="superscript"/>
        </w:rPr>
        <w:t>1</w:t>
      </w:r>
      <w:r>
        <w:rPr>
          <w:noProof/>
        </w:rPr>
        <w:t>): …</w:t>
      </w:r>
    </w:p>
    <w:p>
      <w:pPr>
        <w:spacing w:after="0"/>
        <w:ind w:left="1701" w:hanging="1701"/>
        <w:rPr>
          <w:rFonts w:eastAsia="Arial Unicode MS"/>
          <w:noProof/>
          <w:szCs w:val="24"/>
        </w:rPr>
      </w:pPr>
      <w:r>
        <w:rPr>
          <w:noProof/>
        </w:rPr>
        <w:t>4.4.5.4.</w:t>
      </w:r>
      <w:r>
        <w:rPr>
          <w:noProof/>
        </w:rPr>
        <w:tab/>
        <w:t>Puissance maximale: …… kW</w:t>
      </w:r>
    </w:p>
    <w:p>
      <w:pPr>
        <w:spacing w:after="0"/>
        <w:ind w:left="1701" w:hanging="1701"/>
        <w:rPr>
          <w:rFonts w:eastAsia="Arial Unicode MS"/>
          <w:noProof/>
          <w:szCs w:val="24"/>
        </w:rPr>
      </w:pPr>
      <w:r>
        <w:rPr>
          <w:noProof/>
        </w:rPr>
        <w:lastRenderedPageBreak/>
        <w:t>4.4.5.5.</w:t>
      </w:r>
      <w:r>
        <w:rPr>
          <w:noProof/>
        </w:rPr>
        <w:tab/>
        <w:t>Principe de fonctionnement</w:t>
      </w:r>
    </w:p>
    <w:p>
      <w:pPr>
        <w:spacing w:after="0"/>
        <w:ind w:left="1701" w:hanging="1701"/>
        <w:rPr>
          <w:rFonts w:eastAsia="Arial Unicode MS"/>
          <w:noProof/>
          <w:szCs w:val="24"/>
        </w:rPr>
      </w:pPr>
      <w:r>
        <w:rPr>
          <w:noProof/>
        </w:rPr>
        <w:t>4.4.5.5.5.1.</w:t>
      </w:r>
      <w:r>
        <w:rPr>
          <w:noProof/>
        </w:rPr>
        <w:tab/>
        <w:t>Courant continu/courant alternatif/nombre de phases: …</w:t>
      </w:r>
    </w:p>
    <w:p>
      <w:pPr>
        <w:spacing w:after="0"/>
        <w:ind w:left="1701" w:hanging="1701"/>
        <w:rPr>
          <w:rFonts w:eastAsia="Arial Unicode MS"/>
          <w:noProof/>
          <w:szCs w:val="24"/>
        </w:rPr>
      </w:pPr>
      <w:r>
        <w:rPr>
          <w:noProof/>
        </w:rPr>
        <w:t>4.4.5.5.2.</w:t>
      </w:r>
      <w:r>
        <w:rPr>
          <w:noProof/>
        </w:rPr>
        <w:tab/>
        <w:t>À excitation séparée/série/composé (</w:t>
      </w:r>
      <w:r>
        <w:rPr>
          <w:noProof/>
          <w:vertAlign w:val="superscript"/>
        </w:rPr>
        <w:t>1</w:t>
      </w:r>
      <w:r>
        <w:rPr>
          <w:noProof/>
        </w:rPr>
        <w:t>):</w:t>
      </w:r>
    </w:p>
    <w:p>
      <w:pPr>
        <w:spacing w:after="0"/>
        <w:ind w:left="1701" w:hanging="1701"/>
        <w:rPr>
          <w:rFonts w:eastAsia="Arial Unicode MS"/>
          <w:noProof/>
          <w:szCs w:val="24"/>
        </w:rPr>
      </w:pPr>
      <w:r>
        <w:rPr>
          <w:noProof/>
        </w:rPr>
        <w:t>4.4.5.5.3.</w:t>
      </w:r>
      <w:r>
        <w:rPr>
          <w:noProof/>
        </w:rPr>
        <w:tab/>
        <w:t>Synchrone/asynchrone (</w:t>
      </w:r>
      <w:r>
        <w:rPr>
          <w:noProof/>
          <w:vertAlign w:val="superscript"/>
        </w:rPr>
        <w:t>1</w:t>
      </w:r>
      <w:r>
        <w:rPr>
          <w:noProof/>
        </w:rPr>
        <w:t>)</w:t>
      </w:r>
    </w:p>
    <w:p>
      <w:pPr>
        <w:spacing w:before="240"/>
        <w:ind w:left="1701" w:hanging="1701"/>
        <w:jc w:val="left"/>
        <w:rPr>
          <w:rFonts w:eastAsia="Arial Unicode MS"/>
          <w:bCs/>
          <w:noProof/>
          <w:szCs w:val="24"/>
        </w:rPr>
      </w:pPr>
      <w:r>
        <w:rPr>
          <w:noProof/>
        </w:rPr>
        <w:t>4.4.6.</w:t>
      </w:r>
      <w:r>
        <w:rPr>
          <w:noProof/>
        </w:rPr>
        <w:tab/>
      </w:r>
      <w:r>
        <w:rPr>
          <w:i/>
          <w:noProof/>
        </w:rPr>
        <w:t>Unité de commande</w:t>
      </w:r>
      <w:r>
        <w:rPr>
          <w:noProof/>
        </w:rPr>
        <w:t xml:space="preserve"> </w:t>
      </w:r>
    </w:p>
    <w:p>
      <w:pPr>
        <w:spacing w:after="0"/>
        <w:ind w:left="1701" w:hanging="1701"/>
        <w:rPr>
          <w:rFonts w:eastAsia="Arial Unicode MS"/>
          <w:noProof/>
          <w:szCs w:val="24"/>
        </w:rPr>
      </w:pPr>
      <w:r>
        <w:rPr>
          <w:noProof/>
        </w:rPr>
        <w:t>4.4.6.1.</w:t>
      </w:r>
      <w:r>
        <w:rPr>
          <w:noProof/>
        </w:rPr>
        <w:tab/>
        <w:t>Marque(s): …</w:t>
      </w:r>
    </w:p>
    <w:p>
      <w:pPr>
        <w:spacing w:after="0"/>
        <w:ind w:left="1701" w:hanging="1701"/>
        <w:rPr>
          <w:rFonts w:eastAsia="Arial Unicode MS"/>
          <w:noProof/>
          <w:szCs w:val="24"/>
        </w:rPr>
      </w:pPr>
      <w:r>
        <w:rPr>
          <w:noProof/>
        </w:rPr>
        <w:t>4.4.6.2.</w:t>
      </w:r>
      <w:r>
        <w:rPr>
          <w:noProof/>
        </w:rPr>
        <w:tab/>
        <w:t>Type(s): …</w:t>
      </w:r>
    </w:p>
    <w:p>
      <w:pPr>
        <w:spacing w:after="0"/>
        <w:ind w:left="1701" w:hanging="1701"/>
        <w:rPr>
          <w:rFonts w:eastAsia="Arial Unicode MS"/>
          <w:noProof/>
          <w:szCs w:val="24"/>
        </w:rPr>
      </w:pPr>
      <w:r>
        <w:rPr>
          <w:noProof/>
        </w:rPr>
        <w:t>4.4.6.3.</w:t>
      </w:r>
      <w:r>
        <w:rPr>
          <w:noProof/>
        </w:rPr>
        <w:tab/>
        <w:t>Numéro d’identification: …</w:t>
      </w:r>
    </w:p>
    <w:p>
      <w:pPr>
        <w:spacing w:before="240"/>
        <w:ind w:left="1701" w:hanging="1701"/>
        <w:jc w:val="left"/>
        <w:rPr>
          <w:rFonts w:eastAsia="Arial Unicode MS"/>
          <w:bCs/>
          <w:noProof/>
          <w:szCs w:val="24"/>
        </w:rPr>
      </w:pPr>
      <w:r>
        <w:rPr>
          <w:noProof/>
        </w:rPr>
        <w:t>4.4.7.</w:t>
      </w:r>
      <w:r>
        <w:rPr>
          <w:noProof/>
        </w:rPr>
        <w:tab/>
      </w:r>
      <w:r>
        <w:rPr>
          <w:i/>
          <w:noProof/>
        </w:rPr>
        <w:t>Régulateur de puissance</w:t>
      </w:r>
      <w:r>
        <w:rPr>
          <w:noProof/>
        </w:rPr>
        <w:t xml:space="preserve"> </w:t>
      </w:r>
    </w:p>
    <w:p>
      <w:pPr>
        <w:spacing w:after="0"/>
        <w:ind w:left="1701" w:hanging="1701"/>
        <w:rPr>
          <w:rFonts w:eastAsia="Arial Unicode MS"/>
          <w:noProof/>
          <w:szCs w:val="24"/>
        </w:rPr>
      </w:pPr>
      <w:r>
        <w:rPr>
          <w:noProof/>
        </w:rPr>
        <w:t>4.4.7.1.</w:t>
      </w:r>
      <w:r>
        <w:rPr>
          <w:noProof/>
        </w:rPr>
        <w:tab/>
        <w:t>Marque: …</w:t>
      </w:r>
    </w:p>
    <w:p>
      <w:pPr>
        <w:spacing w:after="0"/>
        <w:ind w:left="1701" w:hanging="1701"/>
        <w:rPr>
          <w:rFonts w:eastAsia="Arial Unicode MS"/>
          <w:noProof/>
          <w:szCs w:val="24"/>
        </w:rPr>
      </w:pPr>
      <w:r>
        <w:rPr>
          <w:noProof/>
        </w:rPr>
        <w:t>4.4.7.2.</w:t>
      </w:r>
      <w:r>
        <w:rPr>
          <w:noProof/>
        </w:rPr>
        <w:tab/>
        <w:t>Type: …</w:t>
      </w:r>
    </w:p>
    <w:p>
      <w:pPr>
        <w:spacing w:after="0"/>
        <w:ind w:left="1701" w:hanging="1701"/>
        <w:rPr>
          <w:rFonts w:eastAsia="Arial Unicode MS"/>
          <w:noProof/>
          <w:szCs w:val="24"/>
        </w:rPr>
      </w:pPr>
      <w:r>
        <w:rPr>
          <w:noProof/>
        </w:rPr>
        <w:t>4.4.7.3.</w:t>
      </w:r>
      <w:r>
        <w:rPr>
          <w:noProof/>
        </w:rPr>
        <w:tab/>
        <w:t>Numéro d’identification: …</w:t>
      </w:r>
    </w:p>
    <w:p>
      <w:pPr>
        <w:spacing w:before="360" w:after="0"/>
        <w:ind w:left="1701" w:hanging="1701"/>
        <w:rPr>
          <w:rFonts w:eastAsia="Arial Unicode MS"/>
          <w:noProof/>
          <w:szCs w:val="24"/>
        </w:rPr>
      </w:pPr>
      <w:r>
        <w:rPr>
          <w:noProof/>
        </w:rPr>
        <w:t>4.4.8.</w:t>
      </w:r>
      <w:r>
        <w:rPr>
          <w:noProof/>
        </w:rPr>
        <w:tab/>
      </w:r>
      <w:r>
        <w:rPr>
          <w:i/>
          <w:noProof/>
        </w:rPr>
        <w:t>Autonomie du véhicule en mode électrique…km (selon l’annexe 9 du règlement n</w:t>
      </w:r>
      <w:r>
        <w:rPr>
          <w:i/>
          <w:noProof/>
          <w:vertAlign w:val="superscript"/>
        </w:rPr>
        <w:t>o</w:t>
      </w:r>
      <w:r>
        <w:rPr>
          <w:i/>
          <w:noProof/>
        </w:rPr>
        <w:t> 101 de la CEE-ONU)</w:t>
      </w:r>
    </w:p>
    <w:p>
      <w:pPr>
        <w:spacing w:before="240" w:after="240"/>
        <w:ind w:left="1701" w:hanging="1701"/>
        <w:rPr>
          <w:rFonts w:eastAsia="Arial Unicode MS"/>
          <w:noProof/>
          <w:szCs w:val="24"/>
        </w:rPr>
      </w:pPr>
      <w:r>
        <w:rPr>
          <w:noProof/>
        </w:rPr>
        <w:t>4.4.9.</w:t>
      </w:r>
      <w:r>
        <w:rPr>
          <w:noProof/>
        </w:rPr>
        <w:tab/>
      </w:r>
      <w:r>
        <w:rPr>
          <w:i/>
          <w:noProof/>
        </w:rPr>
        <w:t>Recommandation du constructeur relative au préconditionnement</w:t>
      </w:r>
      <w:r>
        <w:rPr>
          <w:noProof/>
        </w:rPr>
        <w:t>: …</w:t>
      </w:r>
    </w:p>
    <w:p>
      <w:pPr>
        <w:ind w:left="1701" w:hanging="1701"/>
        <w:jc w:val="left"/>
        <w:rPr>
          <w:rFonts w:eastAsia="Arial Unicode MS"/>
          <w:b/>
          <w:bCs/>
          <w:noProof/>
          <w:szCs w:val="24"/>
        </w:rPr>
      </w:pPr>
      <w:r>
        <w:rPr>
          <w:noProof/>
        </w:rPr>
        <w:t>4.5.</w:t>
      </w:r>
      <w:r>
        <w:rPr>
          <w:noProof/>
        </w:rPr>
        <w:tab/>
      </w:r>
      <w:r>
        <w:rPr>
          <w:b/>
          <w:noProof/>
        </w:rPr>
        <w:t>Émissions de CO</w:t>
      </w:r>
      <w:r>
        <w:rPr>
          <w:b/>
          <w:noProof/>
          <w:vertAlign w:val="subscript"/>
        </w:rPr>
        <w:t>2</w:t>
      </w:r>
      <w:r>
        <w:rPr>
          <w:b/>
          <w:noProof/>
        </w:rPr>
        <w:t>/consommation de carburant (</w:t>
      </w:r>
      <w:r>
        <w:rPr>
          <w:b/>
          <w:noProof/>
          <w:vertAlign w:val="superscript"/>
        </w:rPr>
        <w:t>o</w:t>
      </w:r>
      <w:r>
        <w:rPr>
          <w:b/>
          <w:noProof/>
        </w:rPr>
        <w:t xml:space="preserve">) (valeur déclarée par le constructeur) </w:t>
      </w:r>
    </w:p>
    <w:p>
      <w:pPr>
        <w:spacing w:before="240"/>
        <w:ind w:left="1701" w:hanging="1701"/>
        <w:jc w:val="left"/>
        <w:rPr>
          <w:rFonts w:eastAsia="Arial Unicode MS"/>
          <w:bCs/>
          <w:noProof/>
          <w:szCs w:val="24"/>
        </w:rPr>
      </w:pPr>
      <w:r>
        <w:rPr>
          <w:noProof/>
        </w:rPr>
        <w:t>4.5.1.</w:t>
      </w:r>
      <w:r>
        <w:rPr>
          <w:noProof/>
        </w:rPr>
        <w:tab/>
      </w:r>
      <w:r>
        <w:rPr>
          <w:i/>
          <w:noProof/>
        </w:rPr>
        <w:t>Émissions massiques de CO</w:t>
      </w:r>
      <w:r>
        <w:rPr>
          <w:i/>
          <w:noProof/>
          <w:vertAlign w:val="subscript"/>
        </w:rPr>
        <w:t>2</w:t>
      </w:r>
      <w:r>
        <w:rPr>
          <w:noProof/>
        </w:rPr>
        <w:t xml:space="preserve"> </w:t>
      </w:r>
    </w:p>
    <w:p>
      <w:pPr>
        <w:spacing w:after="0"/>
        <w:ind w:left="1701" w:hanging="1701"/>
        <w:rPr>
          <w:rFonts w:eastAsia="Arial Unicode MS"/>
          <w:noProof/>
          <w:szCs w:val="24"/>
        </w:rPr>
      </w:pPr>
      <w:r>
        <w:rPr>
          <w:noProof/>
        </w:rPr>
        <w:t>4.5.1.1.</w:t>
      </w:r>
      <w:r>
        <w:rPr>
          <w:noProof/>
        </w:rPr>
        <w:tab/>
        <w:t>Émissions massiques de CO</w:t>
      </w:r>
      <w:r>
        <w:rPr>
          <w:noProof/>
          <w:vertAlign w:val="subscript"/>
        </w:rPr>
        <w:t>2</w:t>
      </w:r>
      <w:r>
        <w:rPr>
          <w:noProof/>
        </w:rPr>
        <w:t xml:space="preserve"> (conditions urbaines): …… g/km</w:t>
      </w:r>
    </w:p>
    <w:p>
      <w:pPr>
        <w:spacing w:after="0"/>
        <w:ind w:left="1701" w:hanging="1701"/>
        <w:rPr>
          <w:rFonts w:eastAsia="Arial Unicode MS"/>
          <w:noProof/>
          <w:szCs w:val="24"/>
        </w:rPr>
      </w:pPr>
      <w:r>
        <w:rPr>
          <w:noProof/>
        </w:rPr>
        <w:t>4.5.1.2.</w:t>
      </w:r>
      <w:r>
        <w:rPr>
          <w:noProof/>
        </w:rPr>
        <w:tab/>
        <w:t>Émissions massiques de CO</w:t>
      </w:r>
      <w:r>
        <w:rPr>
          <w:noProof/>
          <w:vertAlign w:val="subscript"/>
        </w:rPr>
        <w:t>2</w:t>
      </w:r>
      <w:r>
        <w:rPr>
          <w:noProof/>
        </w:rPr>
        <w:t xml:space="preserve"> (conditions extra-urbaines): …… g/km</w:t>
      </w:r>
    </w:p>
    <w:p>
      <w:pPr>
        <w:spacing w:after="0"/>
        <w:ind w:left="1701" w:hanging="1701"/>
        <w:rPr>
          <w:rFonts w:eastAsia="Arial Unicode MS"/>
          <w:noProof/>
          <w:szCs w:val="24"/>
        </w:rPr>
      </w:pPr>
      <w:r>
        <w:rPr>
          <w:noProof/>
        </w:rPr>
        <w:t>4.5.1.3.</w:t>
      </w:r>
      <w:r>
        <w:rPr>
          <w:noProof/>
        </w:rPr>
        <w:tab/>
        <w:t>Émissions massiques de CO</w:t>
      </w:r>
      <w:r>
        <w:rPr>
          <w:noProof/>
          <w:vertAlign w:val="subscript"/>
        </w:rPr>
        <w:t>2</w:t>
      </w:r>
      <w:r>
        <w:rPr>
          <w:noProof/>
        </w:rPr>
        <w:t xml:space="preserve"> (conditions mixtes): …… g/km</w:t>
      </w:r>
    </w:p>
    <w:p>
      <w:pPr>
        <w:spacing w:before="240"/>
        <w:ind w:left="1701" w:hanging="1701"/>
        <w:rPr>
          <w:rFonts w:eastAsia="Arial Unicode MS"/>
          <w:bCs/>
          <w:noProof/>
          <w:szCs w:val="24"/>
        </w:rPr>
      </w:pPr>
      <w:r>
        <w:rPr>
          <w:noProof/>
        </w:rPr>
        <w:t>4.5.2.</w:t>
      </w:r>
      <w:r>
        <w:rPr>
          <w:noProof/>
        </w:rPr>
        <w:tab/>
      </w:r>
      <w:r>
        <w:rPr>
          <w:i/>
          <w:noProof/>
        </w:rPr>
        <w:t>Consommation de carburant (indiquer les informations demandées pour chaque carburant de référence utilisé dans le cadre des essais)</w:t>
      </w:r>
      <w:r>
        <w:rPr>
          <w:noProof/>
        </w:rPr>
        <w:t xml:space="preserve"> </w:t>
      </w:r>
    </w:p>
    <w:p>
      <w:pPr>
        <w:spacing w:after="0"/>
        <w:ind w:left="1701" w:hanging="1701"/>
        <w:rPr>
          <w:rFonts w:eastAsia="Arial Unicode MS"/>
          <w:noProof/>
          <w:szCs w:val="24"/>
        </w:rPr>
      </w:pPr>
      <w:r>
        <w:rPr>
          <w:noProof/>
        </w:rPr>
        <w:t>4.5.2.1.</w:t>
      </w:r>
      <w:r>
        <w:rPr>
          <w:noProof/>
        </w:rPr>
        <w:tab/>
        <w:t>Consommation de carburant (conditions urbaines) …l/100 km ou m</w:t>
      </w:r>
      <w:r>
        <w:rPr>
          <w:noProof/>
          <w:vertAlign w:val="superscript"/>
        </w:rPr>
        <w:t>3</w:t>
      </w:r>
      <w:r>
        <w:rPr>
          <w:noProof/>
        </w:rPr>
        <w:t>/100 km ou kg/100 km (</w:t>
      </w:r>
      <w:r>
        <w:rPr>
          <w:noProof/>
          <w:vertAlign w:val="superscript"/>
        </w:rPr>
        <w:t>1</w:t>
      </w:r>
      <w:r>
        <w:rPr>
          <w:noProof/>
        </w:rPr>
        <w:t>)</w:t>
      </w:r>
    </w:p>
    <w:p>
      <w:pPr>
        <w:spacing w:after="0"/>
        <w:ind w:left="1701" w:hanging="1701"/>
        <w:rPr>
          <w:rFonts w:eastAsia="Arial Unicode MS"/>
          <w:noProof/>
          <w:szCs w:val="24"/>
        </w:rPr>
      </w:pPr>
      <w:r>
        <w:rPr>
          <w:noProof/>
        </w:rPr>
        <w:t>4.5.2.2.</w:t>
      </w:r>
      <w:r>
        <w:rPr>
          <w:noProof/>
        </w:rPr>
        <w:tab/>
        <w:t>Consommation de carburant (conditions extra-urbaines) …l/100 km ou m</w:t>
      </w:r>
      <w:r>
        <w:rPr>
          <w:noProof/>
          <w:vertAlign w:val="superscript"/>
        </w:rPr>
        <w:t>3</w:t>
      </w:r>
      <w:r>
        <w:rPr>
          <w:noProof/>
        </w:rPr>
        <w:t>/100 km ou kg/100 km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Consommation de carburant (conditions mixtes) …l/100 km ou m</w:t>
      </w:r>
      <w:r>
        <w:rPr>
          <w:noProof/>
          <w:vertAlign w:val="superscript"/>
        </w:rPr>
        <w:t>3</w:t>
      </w:r>
      <w:r>
        <w:rPr>
          <w:noProof/>
        </w:rPr>
        <w:t>/100 km ou kg/100 km (</w:t>
      </w:r>
      <w:r>
        <w:rPr>
          <w:noProof/>
          <w:vertAlign w:val="superscript"/>
        </w:rPr>
        <w:t>1</w:t>
      </w:r>
      <w:r>
        <w:rPr>
          <w:noProof/>
        </w:rPr>
        <w:t>)</w:t>
      </w:r>
    </w:p>
    <w:p>
      <w:pPr>
        <w:spacing w:before="240"/>
        <w:ind w:left="1701" w:hanging="1701"/>
        <w:jc w:val="left"/>
        <w:rPr>
          <w:rFonts w:eastAsia="Arial Unicode MS"/>
          <w:bCs/>
          <w:i/>
          <w:noProof/>
          <w:szCs w:val="24"/>
        </w:rPr>
      </w:pPr>
      <w:r>
        <w:rPr>
          <w:noProof/>
        </w:rPr>
        <w:t>4.5.3.</w:t>
      </w:r>
      <w:r>
        <w:rPr>
          <w:noProof/>
        </w:rPr>
        <w:tab/>
      </w:r>
      <w:r>
        <w:rPr>
          <w:i/>
          <w:noProof/>
        </w:rPr>
        <w:t>Consommation d’énergie électrique pour les véhicules électriques</w:t>
      </w:r>
    </w:p>
    <w:p>
      <w:pPr>
        <w:spacing w:after="0"/>
        <w:ind w:left="1701" w:hanging="1701"/>
        <w:rPr>
          <w:rFonts w:eastAsia="Arial Unicode MS"/>
          <w:bCs/>
          <w:noProof/>
          <w:szCs w:val="24"/>
        </w:rPr>
      </w:pPr>
      <w:r>
        <w:rPr>
          <w:noProof/>
        </w:rPr>
        <w:t>4.5.3.1.</w:t>
      </w:r>
      <w:r>
        <w:rPr>
          <w:noProof/>
        </w:rPr>
        <w:tab/>
        <w:t>Consommation d’énergie électrique pour les véhicules électriques purs …Wh/km</w:t>
      </w:r>
    </w:p>
    <w:p>
      <w:pPr>
        <w:spacing w:after="0"/>
        <w:ind w:left="1701" w:hanging="1701"/>
        <w:jc w:val="left"/>
        <w:rPr>
          <w:rFonts w:eastAsia="Arial Unicode MS"/>
          <w:bCs/>
          <w:noProof/>
          <w:szCs w:val="24"/>
        </w:rPr>
      </w:pPr>
      <w:r>
        <w:rPr>
          <w:noProof/>
        </w:rPr>
        <w:t>4.5.3.2.</w:t>
      </w:r>
      <w:r>
        <w:rPr>
          <w:noProof/>
        </w:rPr>
        <w:tab/>
        <w:t>Consommation d’énergie électrique pour les véhicules électriques hybrides chargeables de l’extérieur</w:t>
      </w:r>
    </w:p>
    <w:p>
      <w:pPr>
        <w:spacing w:after="0"/>
        <w:ind w:left="1701" w:hanging="1701"/>
        <w:rPr>
          <w:rFonts w:eastAsia="Arial Unicode MS"/>
          <w:bCs/>
          <w:noProof/>
          <w:szCs w:val="24"/>
        </w:rPr>
      </w:pPr>
      <w:r>
        <w:rPr>
          <w:noProof/>
        </w:rPr>
        <w:lastRenderedPageBreak/>
        <w:t>4.5.3.2.1.</w:t>
      </w:r>
      <w:r>
        <w:rPr>
          <w:noProof/>
        </w:rPr>
        <w:tab/>
        <w:t>Consommation d’énergie électrique (condition A, conditions mixtes) ... (Wh/km)</w:t>
      </w:r>
    </w:p>
    <w:p>
      <w:pPr>
        <w:spacing w:after="0"/>
        <w:ind w:left="1701" w:hanging="1701"/>
        <w:rPr>
          <w:rFonts w:eastAsia="Arial Unicode MS"/>
          <w:bCs/>
          <w:noProof/>
          <w:szCs w:val="24"/>
        </w:rPr>
      </w:pPr>
      <w:r>
        <w:rPr>
          <w:noProof/>
        </w:rPr>
        <w:t>4.5.3.2.2.</w:t>
      </w:r>
      <w:r>
        <w:rPr>
          <w:noProof/>
        </w:rPr>
        <w:tab/>
        <w:t>Consommation d’énergie électrique (condition B, conditions mixtes) ... (Wh/km)</w:t>
      </w:r>
    </w:p>
    <w:p>
      <w:pPr>
        <w:spacing w:after="0"/>
        <w:ind w:left="1701" w:hanging="1701"/>
        <w:rPr>
          <w:rFonts w:eastAsia="Arial Unicode MS"/>
          <w:bCs/>
          <w:noProof/>
          <w:szCs w:val="24"/>
        </w:rPr>
      </w:pPr>
      <w:r>
        <w:rPr>
          <w:noProof/>
        </w:rPr>
        <w:t>4.5.3.2.3.</w:t>
      </w:r>
      <w:r>
        <w:rPr>
          <w:noProof/>
        </w:rPr>
        <w:tab/>
        <w:t>Consommation d’énergie électrique (pondérée, conditions mixtes) … Wh/km</w:t>
      </w:r>
    </w:p>
    <w:p>
      <w:pPr>
        <w:spacing w:before="240" w:after="0"/>
        <w:ind w:left="1701" w:hanging="1701"/>
        <w:jc w:val="left"/>
        <w:rPr>
          <w:rFonts w:eastAsia="Arial Unicode MS"/>
          <w:bCs/>
          <w:i/>
          <w:noProof/>
          <w:szCs w:val="24"/>
        </w:rPr>
      </w:pPr>
      <w:r>
        <w:rPr>
          <w:noProof/>
        </w:rPr>
        <w:t>4.5.4.</w:t>
      </w:r>
      <w:r>
        <w:rPr>
          <w:noProof/>
        </w:rPr>
        <w:tab/>
      </w:r>
      <w:r>
        <w:rPr>
          <w:i/>
          <w:noProof/>
        </w:rPr>
        <w:t>Émissions de CO</w:t>
      </w:r>
      <w:r>
        <w:rPr>
          <w:i/>
          <w:noProof/>
          <w:vertAlign w:val="subscript"/>
        </w:rPr>
        <w:t>2</w:t>
      </w:r>
      <w:r>
        <w:rPr>
          <w:i/>
          <w:noProof/>
        </w:rPr>
        <w:t xml:space="preserve"> pour les moteurs de véhicules lourds (Euro VI uniquement)</w:t>
      </w:r>
    </w:p>
    <w:p>
      <w:pPr>
        <w:spacing w:after="0"/>
        <w:ind w:left="1701" w:hanging="1701"/>
        <w:jc w:val="left"/>
        <w:rPr>
          <w:rFonts w:eastAsia="Arial Unicode MS"/>
          <w:bCs/>
          <w:noProof/>
          <w:szCs w:val="24"/>
        </w:rPr>
      </w:pPr>
      <w:r>
        <w:rPr>
          <w:noProof/>
        </w:rPr>
        <w:t>4.5.4.1.</w:t>
      </w:r>
      <w:r>
        <w:rPr>
          <w:noProof/>
        </w:rPr>
        <w:tab/>
        <w:t>Émissions massiques de CO</w:t>
      </w:r>
      <w:r>
        <w:rPr>
          <w:noProof/>
          <w:vertAlign w:val="subscript"/>
        </w:rPr>
        <w:t>2</w:t>
      </w:r>
      <w:r>
        <w:rPr>
          <w:noProof/>
        </w:rPr>
        <w:t xml:space="preserve"> lors de l’essai WHSC (</w:t>
      </w:r>
      <w:r>
        <w:rPr>
          <w:noProof/>
          <w:vertAlign w:val="superscript"/>
        </w:rPr>
        <w:t>x3</w:t>
      </w:r>
      <w:r>
        <w:rPr>
          <w:noProof/>
        </w:rPr>
        <w:t>): … g/kWh</w:t>
      </w:r>
    </w:p>
    <w:p>
      <w:pPr>
        <w:spacing w:after="0"/>
        <w:ind w:left="1701" w:hanging="1701"/>
        <w:rPr>
          <w:rFonts w:eastAsia="Arial Unicode MS"/>
          <w:bCs/>
          <w:noProof/>
          <w:szCs w:val="24"/>
        </w:rPr>
      </w:pPr>
      <w:r>
        <w:rPr>
          <w:noProof/>
        </w:rPr>
        <w:t>4.5.4.2.</w:t>
      </w:r>
      <w:r>
        <w:rPr>
          <w:noProof/>
        </w:rPr>
        <w:tab/>
        <w:t>Émissions massiques de CO</w:t>
      </w:r>
      <w:r>
        <w:rPr>
          <w:noProof/>
          <w:vertAlign w:val="subscript"/>
        </w:rPr>
        <w:t>2</w:t>
      </w:r>
      <w:r>
        <w:rPr>
          <w:noProof/>
        </w:rPr>
        <w:t xml:space="preserve"> lors de l’essai WHSC en mode diesel (</w:t>
      </w:r>
      <w:r>
        <w:rPr>
          <w:noProof/>
          <w:vertAlign w:val="superscript"/>
        </w:rPr>
        <w:t>x2</w:t>
      </w:r>
      <w:r>
        <w:rPr>
          <w:noProof/>
        </w:rPr>
        <w:t>): … g/kWh</w:t>
      </w:r>
    </w:p>
    <w:p>
      <w:pPr>
        <w:spacing w:after="0"/>
        <w:ind w:left="1701" w:hanging="1701"/>
        <w:rPr>
          <w:rFonts w:eastAsia="Arial Unicode MS"/>
          <w:bCs/>
          <w:noProof/>
          <w:szCs w:val="24"/>
        </w:rPr>
      </w:pPr>
      <w:r>
        <w:rPr>
          <w:noProof/>
        </w:rPr>
        <w:t>4.5.4.3.</w:t>
      </w:r>
      <w:r>
        <w:rPr>
          <w:noProof/>
        </w:rPr>
        <w:tab/>
        <w:t>Émissions massiques de CO</w:t>
      </w:r>
      <w:r>
        <w:rPr>
          <w:noProof/>
          <w:vertAlign w:val="subscript"/>
        </w:rPr>
        <w:t>2</w:t>
      </w:r>
      <w:r>
        <w:rPr>
          <w:noProof/>
        </w:rPr>
        <w:t xml:space="preserve"> lors de l’essai WHSC en mode double carburant (</w:t>
      </w:r>
      <w:r>
        <w:rPr>
          <w:noProof/>
          <w:vertAlign w:val="superscript"/>
        </w:rPr>
        <w:t>x1</w:t>
      </w:r>
      <w:r>
        <w:rPr>
          <w:noProof/>
        </w:rPr>
        <w:t>): … g/kWh</w:t>
      </w:r>
    </w:p>
    <w:p>
      <w:pPr>
        <w:spacing w:after="0"/>
        <w:ind w:left="1701" w:hanging="1701"/>
        <w:rPr>
          <w:rFonts w:eastAsia="Arial Unicode MS"/>
          <w:bCs/>
          <w:noProof/>
          <w:szCs w:val="24"/>
        </w:rPr>
      </w:pPr>
      <w:r>
        <w:rPr>
          <w:noProof/>
        </w:rPr>
        <w:t>4.5.4.4.</w:t>
      </w:r>
      <w:r>
        <w:rPr>
          <w:noProof/>
        </w:rPr>
        <w:tab/>
        <w:t>Émissions massiques de CO</w:t>
      </w:r>
      <w:r>
        <w:rPr>
          <w:noProof/>
          <w:vertAlign w:val="subscript"/>
        </w:rPr>
        <w:t>2</w:t>
      </w:r>
      <w:r>
        <w:rPr>
          <w:noProof/>
        </w:rPr>
        <w:t xml:space="preserve"> lors de l’essai WHTC (</w:t>
      </w:r>
      <w:r>
        <w:rPr>
          <w:noProof/>
          <w:vertAlign w:val="superscript"/>
        </w:rPr>
        <w:t>x3</w:t>
      </w:r>
      <w:r>
        <w:rPr>
          <w:noProof/>
        </w:rPr>
        <w:t>) (</w:t>
      </w:r>
      <w:r>
        <w:rPr>
          <w:noProof/>
          <w:vertAlign w:val="superscript"/>
        </w:rPr>
        <w:t>8</w:t>
      </w:r>
      <w:r>
        <w:rPr>
          <w:noProof/>
        </w:rPr>
        <w:t>): … g/kWh</w:t>
      </w:r>
    </w:p>
    <w:p>
      <w:pPr>
        <w:spacing w:after="0"/>
        <w:ind w:left="1701" w:hanging="1701"/>
        <w:rPr>
          <w:rFonts w:eastAsia="Arial Unicode MS"/>
          <w:bCs/>
          <w:noProof/>
          <w:szCs w:val="24"/>
        </w:rPr>
      </w:pPr>
      <w:r>
        <w:rPr>
          <w:noProof/>
        </w:rPr>
        <w:t>4.5.4.5.</w:t>
      </w:r>
      <w:r>
        <w:rPr>
          <w:noProof/>
        </w:rPr>
        <w:tab/>
        <w:t>Émissions massiques de CO</w:t>
      </w:r>
      <w:r>
        <w:rPr>
          <w:noProof/>
          <w:vertAlign w:val="subscript"/>
        </w:rPr>
        <w:t>2</w:t>
      </w:r>
      <w:r>
        <w:rPr>
          <w:noProof/>
        </w:rPr>
        <w:t xml:space="preserve"> lors de l’essai WHTC en mode diesel (</w:t>
      </w:r>
      <w:r>
        <w:rPr>
          <w:noProof/>
          <w:vertAlign w:val="superscript"/>
        </w:rPr>
        <w:t>x2</w:t>
      </w:r>
      <w:r>
        <w:rPr>
          <w:noProof/>
        </w:rPr>
        <w:t>) (</w:t>
      </w:r>
      <w:r>
        <w:rPr>
          <w:noProof/>
          <w:vertAlign w:val="superscript"/>
        </w:rPr>
        <w:t>8</w:t>
      </w:r>
      <w:r>
        <w:rPr>
          <w:noProof/>
        </w:rPr>
        <w:t>): … g/kWh</w:t>
      </w:r>
    </w:p>
    <w:p>
      <w:pPr>
        <w:spacing w:after="0"/>
        <w:ind w:left="1701" w:hanging="1701"/>
        <w:rPr>
          <w:rFonts w:eastAsia="Arial Unicode MS"/>
          <w:bCs/>
          <w:noProof/>
          <w:szCs w:val="24"/>
        </w:rPr>
      </w:pPr>
      <w:r>
        <w:rPr>
          <w:noProof/>
        </w:rPr>
        <w:t>4.5.4.6.</w:t>
      </w:r>
      <w:r>
        <w:rPr>
          <w:noProof/>
        </w:rPr>
        <w:tab/>
        <w:t>Émissions massiques de CO</w:t>
      </w:r>
      <w:r>
        <w:rPr>
          <w:noProof/>
          <w:vertAlign w:val="subscript"/>
        </w:rPr>
        <w:t>2</w:t>
      </w:r>
      <w:r>
        <w:rPr>
          <w:noProof/>
        </w:rPr>
        <w:t xml:space="preserve"> lors de l’essai WHTC en mode double carburant (</w:t>
      </w:r>
      <w:r>
        <w:rPr>
          <w:noProof/>
          <w:vertAlign w:val="superscript"/>
        </w:rPr>
        <w:t>x1</w:t>
      </w:r>
      <w:r>
        <w:rPr>
          <w:noProof/>
        </w:rPr>
        <w:t>) (</w:t>
      </w:r>
      <w:r>
        <w:rPr>
          <w:noProof/>
          <w:vertAlign w:val="superscript"/>
        </w:rPr>
        <w:t>8</w:t>
      </w:r>
      <w:r>
        <w:rPr>
          <w:noProof/>
        </w:rPr>
        <w:t>): … g/kWh</w:t>
      </w:r>
    </w:p>
    <w:p>
      <w:pPr>
        <w:spacing w:before="240" w:after="0"/>
        <w:ind w:left="1701" w:hanging="1701"/>
        <w:rPr>
          <w:rFonts w:eastAsia="Arial Unicode MS"/>
          <w:bCs/>
          <w:noProof/>
          <w:szCs w:val="24"/>
        </w:rPr>
      </w:pPr>
      <w:r>
        <w:rPr>
          <w:noProof/>
        </w:rPr>
        <w:t>4.5.5.</w:t>
      </w:r>
      <w:r>
        <w:rPr>
          <w:noProof/>
        </w:rPr>
        <w:tab/>
      </w:r>
      <w:r>
        <w:rPr>
          <w:i/>
          <w:noProof/>
        </w:rPr>
        <w:t>Consommation de carburant pour les moteurs de véhicules lourds (Euro VI uniquement)</w:t>
      </w:r>
    </w:p>
    <w:p>
      <w:pPr>
        <w:spacing w:after="0"/>
        <w:ind w:left="1701" w:hanging="1701"/>
        <w:rPr>
          <w:rFonts w:eastAsia="Arial Unicode MS"/>
          <w:bCs/>
          <w:noProof/>
          <w:szCs w:val="24"/>
        </w:rPr>
      </w:pPr>
      <w:r>
        <w:rPr>
          <w:noProof/>
        </w:rPr>
        <w:t>4.5.5.1.</w:t>
      </w:r>
      <w:r>
        <w:rPr>
          <w:noProof/>
        </w:rPr>
        <w:tab/>
        <w:t>Consommation de carburant lors de l’essai WHSC (</w:t>
      </w:r>
      <w:r>
        <w:rPr>
          <w:noProof/>
          <w:vertAlign w:val="superscript"/>
        </w:rPr>
        <w:t>x3</w:t>
      </w:r>
      <w:r>
        <w:rPr>
          <w:noProof/>
        </w:rPr>
        <w:t>): … g/kWh</w:t>
      </w:r>
    </w:p>
    <w:p>
      <w:pPr>
        <w:spacing w:after="0"/>
        <w:ind w:left="1701" w:hanging="1701"/>
        <w:rPr>
          <w:rFonts w:eastAsia="Arial Unicode MS"/>
          <w:bCs/>
          <w:noProof/>
          <w:szCs w:val="24"/>
        </w:rPr>
      </w:pPr>
      <w:r>
        <w:rPr>
          <w:noProof/>
        </w:rPr>
        <w:t>4.5.5.2.</w:t>
      </w:r>
      <w:r>
        <w:rPr>
          <w:noProof/>
        </w:rPr>
        <w:tab/>
        <w:t>Consommation de carburant lors de l’essai WHSC en mode diesel (</w:t>
      </w:r>
      <w:r>
        <w:rPr>
          <w:noProof/>
          <w:vertAlign w:val="superscript"/>
        </w:rPr>
        <w:t>x2</w:t>
      </w:r>
      <w:r>
        <w:rPr>
          <w:noProof/>
        </w:rPr>
        <w:t>): … g/kWh</w:t>
      </w:r>
    </w:p>
    <w:p>
      <w:pPr>
        <w:spacing w:after="0"/>
        <w:ind w:left="1701" w:hanging="1701"/>
        <w:rPr>
          <w:rFonts w:eastAsia="Arial Unicode MS"/>
          <w:bCs/>
          <w:noProof/>
          <w:szCs w:val="24"/>
        </w:rPr>
      </w:pPr>
      <w:r>
        <w:rPr>
          <w:noProof/>
        </w:rPr>
        <w:t>4.5.5.3.</w:t>
      </w:r>
      <w:r>
        <w:rPr>
          <w:noProof/>
        </w:rPr>
        <w:tab/>
        <w:t>Consommation de carburant lors de l’essai WHSC en mode double carburant (</w:t>
      </w:r>
      <w:r>
        <w:rPr>
          <w:noProof/>
          <w:vertAlign w:val="superscript"/>
        </w:rPr>
        <w:t>x1</w:t>
      </w:r>
      <w:r>
        <w:rPr>
          <w:noProof/>
        </w:rPr>
        <w:t>): … g/kWh</w:t>
      </w:r>
    </w:p>
    <w:p>
      <w:pPr>
        <w:spacing w:after="0"/>
        <w:ind w:left="1701" w:hanging="1701"/>
        <w:rPr>
          <w:rFonts w:eastAsia="Arial Unicode MS"/>
          <w:bCs/>
          <w:noProof/>
          <w:szCs w:val="24"/>
        </w:rPr>
      </w:pPr>
      <w:r>
        <w:rPr>
          <w:noProof/>
        </w:rPr>
        <w:t>4.5.5.4.</w:t>
      </w:r>
      <w:r>
        <w:rPr>
          <w:noProof/>
        </w:rPr>
        <w:tab/>
        <w:t>Consommation de carburant lors de l’essai WHTC (</w:t>
      </w:r>
      <w:r>
        <w:rPr>
          <w:noProof/>
          <w:vertAlign w:val="superscript"/>
        </w:rPr>
        <w:t>8</w:t>
      </w:r>
      <w:r>
        <w:rPr>
          <w:noProof/>
        </w:rPr>
        <w:t>) (</w:t>
      </w:r>
      <w:r>
        <w:rPr>
          <w:noProof/>
          <w:vertAlign w:val="superscript"/>
        </w:rPr>
        <w:t>x3</w:t>
      </w:r>
      <w:r>
        <w:rPr>
          <w:noProof/>
        </w:rPr>
        <w:t>): … g/kWh</w:t>
      </w:r>
    </w:p>
    <w:p>
      <w:pPr>
        <w:spacing w:after="0"/>
        <w:ind w:left="1701" w:hanging="1701"/>
        <w:rPr>
          <w:rFonts w:eastAsia="Arial Unicode MS"/>
          <w:bCs/>
          <w:noProof/>
          <w:szCs w:val="24"/>
        </w:rPr>
      </w:pPr>
      <w:r>
        <w:rPr>
          <w:noProof/>
        </w:rPr>
        <w:t>4.5.5.5.</w:t>
      </w:r>
      <w:r>
        <w:rPr>
          <w:noProof/>
        </w:rPr>
        <w:tab/>
        <w:t>Consommation de carburant lors de l’essai WHTC en mode diesel (</w:t>
      </w:r>
      <w:r>
        <w:rPr>
          <w:noProof/>
          <w:vertAlign w:val="superscript"/>
        </w:rPr>
        <w:t>8</w:t>
      </w:r>
      <w:r>
        <w:rPr>
          <w:noProof/>
        </w:rPr>
        <w:t>) (</w:t>
      </w:r>
      <w:r>
        <w:rPr>
          <w:noProof/>
          <w:vertAlign w:val="superscript"/>
        </w:rPr>
        <w:t>x2</w:t>
      </w:r>
      <w:r>
        <w:rPr>
          <w:noProof/>
        </w:rPr>
        <w:t>): … g/kWh</w:t>
      </w:r>
    </w:p>
    <w:p>
      <w:pPr>
        <w:spacing w:after="0"/>
        <w:ind w:left="1701" w:hanging="1701"/>
        <w:rPr>
          <w:rFonts w:eastAsia="Arial Unicode MS"/>
          <w:bCs/>
          <w:noProof/>
          <w:szCs w:val="24"/>
        </w:rPr>
      </w:pPr>
      <w:r>
        <w:rPr>
          <w:noProof/>
        </w:rPr>
        <w:t>4.5.5.6.</w:t>
      </w:r>
      <w:r>
        <w:rPr>
          <w:noProof/>
        </w:rPr>
        <w:tab/>
        <w:t>Consommation de carburant lors de l’essai WHTC en mode double carburant (</w:t>
      </w:r>
      <w:r>
        <w:rPr>
          <w:noProof/>
          <w:vertAlign w:val="superscript"/>
        </w:rPr>
        <w:t>8</w:t>
      </w:r>
      <w:r>
        <w:rPr>
          <w:noProof/>
        </w:rPr>
        <w:t>) (</w:t>
      </w:r>
      <w:r>
        <w:rPr>
          <w:noProof/>
          <w:vertAlign w:val="superscript"/>
        </w:rPr>
        <w:t>x1</w:t>
      </w:r>
      <w:r>
        <w:rPr>
          <w:noProof/>
        </w:rPr>
        <w:t>): … g/kWh</w:t>
      </w:r>
    </w:p>
    <w:p>
      <w:pPr>
        <w:spacing w:before="240" w:after="0"/>
        <w:ind w:left="1701" w:hanging="1701"/>
        <w:rPr>
          <w:rFonts w:eastAsia="Arial Unicode MS"/>
          <w:bCs/>
          <w:noProof/>
          <w:szCs w:val="24"/>
        </w:rPr>
      </w:pPr>
      <w:r>
        <w:rPr>
          <w:noProof/>
        </w:rPr>
        <w:t>4.5.6.</w:t>
      </w:r>
      <w:r>
        <w:rPr>
          <w:noProof/>
        </w:rPr>
        <w:tab/>
        <w:t>Véhicule pourvu d’une éco-innovation au sens de l’article 12 du règlement (CE) n</w:t>
      </w:r>
      <w:r>
        <w:rPr>
          <w:noProof/>
          <w:vertAlign w:val="superscript"/>
        </w:rPr>
        <w:t>o</w:t>
      </w:r>
      <w:r>
        <w:rPr>
          <w:noProof/>
        </w:rPr>
        <w:t> 443/2009 du Parlement européen et du Conseil</w:t>
      </w:r>
      <w:r>
        <w:rPr>
          <w:rStyle w:val="FootnoteReference"/>
          <w:noProof/>
        </w:rPr>
        <w:footnoteReference w:id="3"/>
      </w:r>
      <w:r>
        <w:rPr>
          <w:noProof/>
        </w:rPr>
        <w:t xml:space="preserve"> pour les véhicules M</w:t>
      </w:r>
      <w:r>
        <w:rPr>
          <w:noProof/>
          <w:vertAlign w:val="subscript"/>
        </w:rPr>
        <w:t>1</w:t>
      </w:r>
      <w:r>
        <w:rPr>
          <w:noProof/>
        </w:rPr>
        <w:t xml:space="preserve"> ou de l’article 12 du règlement (UE) n</w:t>
      </w:r>
      <w:r>
        <w:rPr>
          <w:noProof/>
          <w:vertAlign w:val="superscript"/>
        </w:rPr>
        <w:t>o</w:t>
      </w:r>
      <w:r>
        <w:rPr>
          <w:noProof/>
        </w:rPr>
        <w:t> 510/2011 du Parlement européen et du Conseil</w:t>
      </w:r>
      <w:r>
        <w:rPr>
          <w:rStyle w:val="FootnoteReference"/>
          <w:noProof/>
        </w:rPr>
        <w:footnoteReference w:id="4"/>
      </w:r>
      <w:r>
        <w:rPr>
          <w:noProof/>
        </w:rPr>
        <w:t xml:space="preserve"> pour les véhicules N</w:t>
      </w:r>
      <w:r>
        <w:rPr>
          <w:noProof/>
          <w:vertAlign w:val="subscript"/>
        </w:rPr>
        <w:t>1</w:t>
      </w:r>
      <w:r>
        <w:rPr>
          <w:noProof/>
        </w:rPr>
        <w:t>: oui/non (</w:t>
      </w:r>
      <w:r>
        <w:rPr>
          <w:noProof/>
          <w:vertAlign w:val="superscript"/>
        </w:rPr>
        <w:t>1</w:t>
      </w:r>
      <w:r>
        <w:rPr>
          <w:noProof/>
        </w:rPr>
        <w:t>)</w:t>
      </w:r>
    </w:p>
    <w:p>
      <w:pPr>
        <w:spacing w:after="0"/>
        <w:ind w:left="1701" w:hanging="1701"/>
        <w:rPr>
          <w:rFonts w:eastAsia="Arial Unicode MS"/>
          <w:bCs/>
          <w:noProof/>
          <w:szCs w:val="24"/>
        </w:rPr>
      </w:pPr>
      <w:r>
        <w:rPr>
          <w:noProof/>
        </w:rPr>
        <w:lastRenderedPageBreak/>
        <w:t>4.5.6.1.</w:t>
      </w:r>
      <w:r>
        <w:rPr>
          <w:noProof/>
        </w:rPr>
        <w:tab/>
        <w:t>Type/variante/version du véhicule de base visé à l’article 5 du règlement d’exécution (UE) n</w:t>
      </w:r>
      <w:r>
        <w:rPr>
          <w:noProof/>
          <w:vertAlign w:val="superscript"/>
        </w:rPr>
        <w:t>o</w:t>
      </w:r>
      <w:r>
        <w:rPr>
          <w:noProof/>
        </w:rPr>
        <w:t> 725/2011 de la Commission</w:t>
      </w:r>
      <w:r>
        <w:rPr>
          <w:rStyle w:val="FootnoteReference"/>
          <w:noProof/>
        </w:rPr>
        <w:footnoteReference w:id="5"/>
      </w:r>
      <w:r>
        <w:rPr>
          <w:noProof/>
        </w:rPr>
        <w:t xml:space="preserve"> pour les véhicules M</w:t>
      </w:r>
      <w:r>
        <w:rPr>
          <w:noProof/>
          <w:vertAlign w:val="subscript"/>
        </w:rPr>
        <w:t>1</w:t>
      </w:r>
      <w:r>
        <w:rPr>
          <w:noProof/>
        </w:rPr>
        <w:t xml:space="preserve"> ou à l’article 5 du règlement d’exécution (UE) n</w:t>
      </w:r>
      <w:r>
        <w:rPr>
          <w:noProof/>
          <w:vertAlign w:val="superscript"/>
        </w:rPr>
        <w:t>o</w:t>
      </w:r>
      <w:r>
        <w:rPr>
          <w:noProof/>
        </w:rPr>
        <w:t> 427/2014 de la Commission</w:t>
      </w:r>
      <w:r>
        <w:rPr>
          <w:rStyle w:val="FootnoteReference"/>
          <w:noProof/>
        </w:rPr>
        <w:footnoteReference w:id="6"/>
      </w:r>
      <w:r>
        <w:rPr>
          <w:noProof/>
        </w:rPr>
        <w:t xml:space="preserve"> pour les véhicules N</w:t>
      </w:r>
      <w:r>
        <w:rPr>
          <w:noProof/>
          <w:vertAlign w:val="subscript"/>
        </w:rPr>
        <w:t xml:space="preserve">1 </w:t>
      </w:r>
      <w:r>
        <w:rPr>
          <w:noProof/>
        </w:rPr>
        <w:t>(le cas échéant): ...</w:t>
      </w:r>
    </w:p>
    <w:p>
      <w:pPr>
        <w:spacing w:after="0"/>
        <w:ind w:left="1701" w:hanging="1701"/>
        <w:jc w:val="left"/>
        <w:rPr>
          <w:rFonts w:eastAsia="Arial Unicode MS"/>
          <w:bCs/>
          <w:noProof/>
          <w:szCs w:val="24"/>
        </w:rPr>
      </w:pPr>
      <w:r>
        <w:rPr>
          <w:noProof/>
        </w:rPr>
        <w:t>4.5.6.2.</w:t>
      </w:r>
      <w:r>
        <w:rPr>
          <w:noProof/>
        </w:rPr>
        <w:tab/>
        <w:t>Existence d’interactions entre différentes éco-innovations: oui/non (</w:t>
      </w:r>
      <w:r>
        <w:rPr>
          <w:noProof/>
          <w:vertAlign w:val="superscript"/>
        </w:rPr>
        <w:t>1</w:t>
      </w:r>
      <w:r>
        <w:rPr>
          <w:noProof/>
        </w:rPr>
        <w:t>)</w:t>
      </w:r>
    </w:p>
    <w:p>
      <w:pPr>
        <w:spacing w:after="240"/>
        <w:ind w:left="1701" w:hanging="1701"/>
        <w:jc w:val="left"/>
        <w:rPr>
          <w:rFonts w:eastAsia="Arial Unicode MS"/>
          <w:bCs/>
          <w:noProof/>
          <w:szCs w:val="24"/>
        </w:rPr>
      </w:pPr>
      <w:r>
        <w:rPr>
          <w:noProof/>
        </w:rPr>
        <w:t>4.5.6.3.</w:t>
      </w:r>
      <w:r>
        <w:rPr>
          <w:noProof/>
        </w:rPr>
        <w:tab/>
        <w:t>Données relatives aux émissions en rapport avec l’utilisation d’éco-innovations (répéter le tableau pour chaque carburant de référence testé) (</w:t>
      </w:r>
      <w:r>
        <w:rPr>
          <w:noProof/>
          <w:vertAlign w:val="superscript"/>
        </w:rPr>
        <w:t>w1</w:t>
      </w:r>
      <w:r>
        <w:rPr>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29"/>
        <w:gridCol w:w="1349"/>
        <w:gridCol w:w="1031"/>
        <w:gridCol w:w="1056"/>
        <w:gridCol w:w="1033"/>
        <w:gridCol w:w="1057"/>
        <w:gridCol w:w="1404"/>
        <w:gridCol w:w="1002"/>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Décision approuvant l’éco-innovation (</w:t>
            </w:r>
            <w:r>
              <w:rPr>
                <w:noProof/>
                <w:sz w:val="18"/>
                <w:vertAlign w:val="superscript"/>
              </w:rPr>
              <w:t>w2</w:t>
            </w:r>
            <w:r>
              <w:rPr>
                <w:noProof/>
                <w:sz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Code de l’éco-innovation (</w:t>
            </w:r>
            <w:r>
              <w:rPr>
                <w:noProof/>
                <w:sz w:val="18"/>
                <w:vertAlign w:val="superscript"/>
              </w:rPr>
              <w:t>w3</w:t>
            </w:r>
            <w:r>
              <w:rPr>
                <w:noProof/>
                <w:sz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1. Émissions de CO</w:t>
            </w:r>
            <w:r>
              <w:rPr>
                <w:noProof/>
                <w:sz w:val="18"/>
                <w:vertAlign w:val="subscript"/>
              </w:rPr>
              <w:t>2</w:t>
            </w:r>
            <w:r>
              <w:rPr>
                <w:noProof/>
                <w:sz w:val="18"/>
              </w:rPr>
              <w:t xml:space="preserve"> du véhicule de base</w:t>
            </w:r>
          </w:p>
          <w:p>
            <w:pPr>
              <w:spacing w:before="60" w:after="60"/>
              <w:jc w:val="center"/>
              <w:rPr>
                <w:rFonts w:eastAsia="Arial Unicode MS"/>
                <w:bCs/>
                <w:noProof/>
                <w:sz w:val="18"/>
                <w:szCs w:val="18"/>
              </w:rPr>
            </w:pPr>
            <w:r>
              <w:rPr>
                <w:noProof/>
                <w:sz w:val="18"/>
              </w:rPr>
              <w:t>(g/km)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2. Émissions de CO</w:t>
            </w:r>
            <w:r>
              <w:rPr>
                <w:noProof/>
                <w:sz w:val="18"/>
                <w:vertAlign w:val="subscript"/>
              </w:rPr>
              <w:t>2</w:t>
            </w:r>
            <w:r>
              <w:rPr>
                <w:noProof/>
                <w:sz w:val="18"/>
              </w:rPr>
              <w:t xml:space="preserve"> du véhicule éco-innovant</w:t>
            </w:r>
          </w:p>
          <w:p>
            <w:pPr>
              <w:spacing w:before="60" w:after="60"/>
              <w:jc w:val="center"/>
              <w:rPr>
                <w:rFonts w:eastAsia="Arial Unicode MS"/>
                <w:bCs/>
                <w:noProof/>
                <w:sz w:val="18"/>
                <w:szCs w:val="18"/>
              </w:rPr>
            </w:pPr>
            <w:r>
              <w:rPr>
                <w:noProof/>
                <w:sz w:val="18"/>
              </w:rPr>
              <w:t>(g/km)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3. Émissions de CO</w:t>
            </w:r>
            <w:r>
              <w:rPr>
                <w:noProof/>
                <w:sz w:val="18"/>
                <w:vertAlign w:val="subscript"/>
              </w:rPr>
              <w:t>2</w:t>
            </w:r>
            <w:r>
              <w:rPr>
                <w:noProof/>
                <w:sz w:val="18"/>
              </w:rPr>
              <w:t xml:space="preserve"> du véhicule de base lors du cycle d’essai de type 1 (</w:t>
            </w:r>
            <w:r>
              <w:rPr>
                <w:noProof/>
                <w:sz w:val="18"/>
                <w:vertAlign w:val="superscript"/>
              </w:rPr>
              <w:t>w4</w:t>
            </w:r>
            <w:r>
              <w:rPr>
                <w:noProof/>
                <w:sz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4. Émissions de CO</w:t>
            </w:r>
            <w:r>
              <w:rPr>
                <w:noProof/>
                <w:sz w:val="18"/>
                <w:vertAlign w:val="subscript"/>
              </w:rPr>
              <w:t>2</w:t>
            </w:r>
            <w:r>
              <w:rPr>
                <w:noProof/>
                <w:sz w:val="18"/>
              </w:rPr>
              <w:t xml:space="preserve"> du véhicule éco-innovant lors du cycle d’essai de type 1 </w:t>
            </w:r>
          </w:p>
          <w:p>
            <w:pPr>
              <w:spacing w:before="60" w:after="60"/>
              <w:jc w:val="center"/>
              <w:rPr>
                <w:rFonts w:eastAsia="Arial Unicode MS"/>
                <w:bCs/>
                <w:noProof/>
                <w:sz w:val="18"/>
                <w:szCs w:val="18"/>
              </w:rPr>
            </w:pPr>
            <w:r>
              <w:rPr>
                <w:noProof/>
                <w:sz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5. Facteur d’utilisation (UF), c’est-à-dire la part du temps d’utilisation de la technologie dans des conditions de fonctionnement normales</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noProof/>
                <w:sz w:val="18"/>
              </w:rPr>
              <w:t>Émissions de CO</w:t>
            </w:r>
            <w:r>
              <w:rPr>
                <w:noProof/>
                <w:sz w:val="18"/>
                <w:vertAlign w:val="subscript"/>
              </w:rPr>
              <w:t xml:space="preserve">2 </w:t>
            </w:r>
            <w:r>
              <w:rPr>
                <w:noProof/>
                <w:sz w:val="18"/>
              </w:rPr>
              <w:t>épargnées</w:t>
            </w:r>
          </w:p>
          <w:p>
            <w:pPr>
              <w:spacing w:before="0" w:after="0"/>
              <w:jc w:val="left"/>
              <w:rPr>
                <w:rFonts w:eastAsia="Arial Unicode MS"/>
                <w:bCs/>
                <w:noProof/>
                <w:sz w:val="18"/>
                <w:szCs w:val="18"/>
              </w:rPr>
            </w:pPr>
            <w:r>
              <w:rPr>
                <w:noProof/>
                <w:sz w:val="18"/>
              </w:rPr>
              <w:t>((1 – 2)</w:t>
            </w:r>
            <w:r>
              <w:rPr>
                <w:rFonts w:eastAsia="Arial Unicode MS"/>
                <w:bCs/>
                <w:noProof/>
                <w:sz w:val="18"/>
                <w:szCs w:val="18"/>
              </w:rPr>
              <w:br/>
            </w:r>
            <w:r>
              <w:rPr>
                <w:noProof/>
                <w:sz w:val="18"/>
              </w:rPr>
              <w:t xml:space="preserve">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b/>
                <w:noProof/>
                <w:szCs w:val="24"/>
                <w:vertAlign w:val="superscript"/>
              </w:rPr>
            </w:pPr>
            <w:r>
              <w:rPr>
                <w:b/>
                <w:noProof/>
                <w:sz w:val="20"/>
                <w:szCs w:val="20"/>
              </w:rPr>
              <w:t>Total des émissions de CO</w:t>
            </w:r>
            <w:r>
              <w:rPr>
                <w:b/>
                <w:noProof/>
                <w:sz w:val="20"/>
                <w:szCs w:val="20"/>
                <w:vertAlign w:val="subscript"/>
              </w:rPr>
              <w:t>2</w:t>
            </w:r>
            <w:r>
              <w:rPr>
                <w:b/>
                <w:noProof/>
                <w:sz w:val="20"/>
                <w:szCs w:val="20"/>
              </w:rPr>
              <w:t xml:space="preserve"> épargnées (g/km) (</w:t>
            </w:r>
            <w:r>
              <w:rPr>
                <w:b/>
                <w:noProof/>
                <w:vertAlign w:val="superscript"/>
              </w:rPr>
              <w:t>w5</w:t>
            </w:r>
            <w:r>
              <w:rPr>
                <w:b/>
                <w:noProof/>
              </w:rPr>
              <w:t>)</w:t>
            </w:r>
            <w:r>
              <w:rPr>
                <w:b/>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sz w:val="20"/>
                <w:szCs w:val="20"/>
              </w:rPr>
              <w:t>(</w:t>
            </w:r>
            <w:r>
              <w:rPr>
                <w:noProof/>
                <w:sz w:val="20"/>
                <w:szCs w:val="20"/>
                <w:vertAlign w:val="superscript"/>
              </w:rPr>
              <w:t>w</w:t>
            </w:r>
            <w:r>
              <w:rPr>
                <w:noProof/>
                <w:sz w:val="20"/>
                <w:szCs w:val="20"/>
              </w:rPr>
              <w:t>) Éco-innovations.</w:t>
            </w:r>
          </w:p>
          <w:p>
            <w:pPr>
              <w:rPr>
                <w:rFonts w:eastAsia="Arial Unicode MS"/>
                <w:noProof/>
                <w:sz w:val="20"/>
                <w:szCs w:val="20"/>
              </w:rPr>
            </w:pPr>
            <w:r>
              <w:rPr>
                <w:noProof/>
                <w:sz w:val="20"/>
                <w:szCs w:val="20"/>
              </w:rPr>
              <w:t>(</w:t>
            </w:r>
            <w:r>
              <w:rPr>
                <w:noProof/>
                <w:sz w:val="20"/>
                <w:szCs w:val="20"/>
                <w:vertAlign w:val="superscript"/>
              </w:rPr>
              <w:t>w2</w:t>
            </w:r>
            <w:r>
              <w:rPr>
                <w:noProof/>
                <w:sz w:val="20"/>
                <w:szCs w:val="20"/>
              </w:rPr>
              <w:t>) Numéro de la décision de la Commission approuvant l’éco-innovation.</w:t>
            </w:r>
          </w:p>
          <w:p>
            <w:pPr>
              <w:rPr>
                <w:rFonts w:eastAsia="Arial Unicode MS"/>
                <w:noProof/>
                <w:sz w:val="20"/>
                <w:szCs w:val="20"/>
              </w:rPr>
            </w:pPr>
            <w:r>
              <w:rPr>
                <w:noProof/>
                <w:sz w:val="20"/>
                <w:szCs w:val="20"/>
              </w:rPr>
              <w:t>(</w:t>
            </w:r>
            <w:r>
              <w:rPr>
                <w:noProof/>
                <w:sz w:val="20"/>
                <w:szCs w:val="20"/>
                <w:vertAlign w:val="superscript"/>
              </w:rPr>
              <w:t>w3</w:t>
            </w:r>
            <w:r>
              <w:rPr>
                <w:noProof/>
                <w:sz w:val="20"/>
                <w:szCs w:val="20"/>
              </w:rPr>
              <w:t>) Assigné dans la décision de la Commission approuvant l’éco-innovation.</w:t>
            </w:r>
          </w:p>
          <w:p>
            <w:pPr>
              <w:ind w:left="374" w:hanging="374"/>
              <w:rPr>
                <w:rFonts w:eastAsia="Arial Unicode MS"/>
                <w:noProof/>
                <w:sz w:val="20"/>
                <w:szCs w:val="20"/>
              </w:rPr>
            </w:pPr>
            <w:r>
              <w:rPr>
                <w:noProof/>
                <w:sz w:val="20"/>
                <w:szCs w:val="20"/>
              </w:rPr>
              <w:t>(</w:t>
            </w:r>
            <w:r>
              <w:rPr>
                <w:noProof/>
                <w:sz w:val="20"/>
                <w:szCs w:val="20"/>
                <w:vertAlign w:val="superscript"/>
              </w:rPr>
              <w:t>w4</w:t>
            </w:r>
            <w:r>
              <w:rPr>
                <w:noProof/>
                <w:sz w:val="20"/>
                <w:szCs w:val="20"/>
              </w:rPr>
              <w:t>) Si, avec l’accord de l’autorité compétente en matière de réception, une méthodologie de modélisation est appliquée au lieu du cycle d’essai de type 1, cette valeur doit être celle donnée par la méthodologie de modélisation.</w:t>
            </w:r>
          </w:p>
          <w:p>
            <w:pPr>
              <w:rPr>
                <w:rFonts w:eastAsia="Arial Unicode MS"/>
                <w:noProof/>
                <w:szCs w:val="24"/>
              </w:rPr>
            </w:pPr>
            <w:r>
              <w:rPr>
                <w:noProof/>
                <w:sz w:val="20"/>
                <w:szCs w:val="20"/>
              </w:rPr>
              <w:t>(</w:t>
            </w:r>
            <w:r>
              <w:rPr>
                <w:noProof/>
                <w:sz w:val="20"/>
                <w:szCs w:val="20"/>
                <w:vertAlign w:val="superscript"/>
              </w:rPr>
              <w:t>w5</w:t>
            </w:r>
            <w:r>
              <w:rPr>
                <w:noProof/>
                <w:sz w:val="20"/>
                <w:szCs w:val="20"/>
              </w:rPr>
              <w:t>) Somme des émissions de CO</w:t>
            </w:r>
            <w:r>
              <w:rPr>
                <w:noProof/>
                <w:sz w:val="20"/>
                <w:szCs w:val="20"/>
                <w:vertAlign w:val="subscript"/>
              </w:rPr>
              <w:t>2</w:t>
            </w:r>
            <w:r>
              <w:rPr>
                <w:noProof/>
                <w:sz w:val="20"/>
                <w:szCs w:val="20"/>
              </w:rPr>
              <w:t xml:space="preserve"> épargnées pour chaque éco-innovation individuelle.</w:t>
            </w:r>
          </w:p>
        </w:tc>
      </w:tr>
    </w:tbl>
    <w:p>
      <w:pPr>
        <w:spacing w:before="240"/>
        <w:ind w:left="1701" w:hanging="1701"/>
        <w:jc w:val="left"/>
        <w:rPr>
          <w:rFonts w:eastAsia="Arial Unicode MS"/>
          <w:b/>
          <w:bCs/>
          <w:noProof/>
          <w:szCs w:val="24"/>
        </w:rPr>
      </w:pPr>
      <w:r>
        <w:rPr>
          <w:noProof/>
        </w:rPr>
        <w:t>4.6.</w:t>
      </w:r>
      <w:r>
        <w:rPr>
          <w:noProof/>
        </w:rPr>
        <w:tab/>
      </w:r>
      <w:r>
        <w:rPr>
          <w:b/>
          <w:noProof/>
        </w:rPr>
        <w:t xml:space="preserve">Températures autorisées par le constructeur </w:t>
      </w:r>
    </w:p>
    <w:p>
      <w:pPr>
        <w:spacing w:before="240"/>
        <w:ind w:left="1701" w:hanging="1701"/>
        <w:jc w:val="left"/>
        <w:rPr>
          <w:rFonts w:eastAsia="Arial Unicode MS"/>
          <w:bCs/>
          <w:noProof/>
          <w:szCs w:val="24"/>
        </w:rPr>
      </w:pPr>
      <w:r>
        <w:rPr>
          <w:noProof/>
        </w:rPr>
        <w:t>4.6.1.</w:t>
      </w:r>
      <w:r>
        <w:rPr>
          <w:noProof/>
        </w:rPr>
        <w:tab/>
      </w:r>
      <w:r>
        <w:rPr>
          <w:i/>
          <w:noProof/>
        </w:rPr>
        <w:t>Système de refroidissement</w:t>
      </w:r>
      <w:r>
        <w:rPr>
          <w:noProof/>
        </w:rPr>
        <w:t xml:space="preserve"> </w:t>
      </w:r>
    </w:p>
    <w:p>
      <w:pPr>
        <w:ind w:left="1701" w:hanging="1701"/>
        <w:jc w:val="left"/>
        <w:rPr>
          <w:rFonts w:eastAsia="Arial Unicode MS"/>
          <w:bCs/>
          <w:noProof/>
          <w:szCs w:val="24"/>
        </w:rPr>
      </w:pPr>
      <w:r>
        <w:rPr>
          <w:noProof/>
        </w:rPr>
        <w:t>4.6.1.1.</w:t>
      </w:r>
      <w:r>
        <w:rPr>
          <w:noProof/>
        </w:rPr>
        <w:tab/>
        <w:t xml:space="preserve">Refroidissement par liquide </w:t>
      </w:r>
    </w:p>
    <w:p>
      <w:pPr>
        <w:spacing w:after="0"/>
        <w:ind w:left="1701"/>
        <w:rPr>
          <w:rFonts w:eastAsia="Arial Unicode MS"/>
          <w:noProof/>
          <w:szCs w:val="24"/>
        </w:rPr>
      </w:pPr>
      <w:r>
        <w:rPr>
          <w:noProof/>
        </w:rPr>
        <w:t>Température maximale à la sortie: …… K</w:t>
      </w:r>
    </w:p>
    <w:p>
      <w:pPr>
        <w:ind w:left="1701" w:hanging="1701"/>
        <w:jc w:val="left"/>
        <w:rPr>
          <w:rFonts w:eastAsia="Arial Unicode MS"/>
          <w:bCs/>
          <w:noProof/>
          <w:szCs w:val="24"/>
        </w:rPr>
      </w:pPr>
      <w:r>
        <w:rPr>
          <w:noProof/>
        </w:rPr>
        <w:lastRenderedPageBreak/>
        <w:t>4.6.1.2.</w:t>
      </w:r>
      <w:r>
        <w:rPr>
          <w:noProof/>
        </w:rPr>
        <w:tab/>
        <w:t xml:space="preserve">Refroidissement par air </w:t>
      </w:r>
    </w:p>
    <w:p>
      <w:pPr>
        <w:spacing w:after="0"/>
        <w:ind w:left="1701" w:hanging="1701"/>
        <w:rPr>
          <w:rFonts w:eastAsia="Arial Unicode MS"/>
          <w:noProof/>
          <w:szCs w:val="24"/>
        </w:rPr>
      </w:pPr>
      <w:r>
        <w:rPr>
          <w:noProof/>
        </w:rPr>
        <w:t>4.6.1.2.1.</w:t>
      </w:r>
      <w:r>
        <w:rPr>
          <w:noProof/>
        </w:rPr>
        <w:tab/>
        <w:t>Point de référence: …</w:t>
      </w:r>
    </w:p>
    <w:p>
      <w:pPr>
        <w:spacing w:after="0"/>
        <w:ind w:left="1701" w:hanging="1701"/>
        <w:rPr>
          <w:rFonts w:eastAsia="Arial Unicode MS"/>
          <w:noProof/>
          <w:szCs w:val="24"/>
        </w:rPr>
      </w:pPr>
      <w:r>
        <w:rPr>
          <w:noProof/>
        </w:rPr>
        <w:t>4.6.1.2.2.</w:t>
      </w:r>
      <w:r>
        <w:rPr>
          <w:noProof/>
        </w:rPr>
        <w:tab/>
        <w:t>Température maximale au point de référence: …… K</w:t>
      </w:r>
    </w:p>
    <w:p>
      <w:pPr>
        <w:spacing w:before="240" w:after="0"/>
        <w:ind w:left="1701" w:hanging="1701"/>
        <w:rPr>
          <w:rFonts w:eastAsia="Arial Unicode MS"/>
          <w:noProof/>
          <w:szCs w:val="24"/>
        </w:rPr>
      </w:pPr>
      <w:r>
        <w:rPr>
          <w:noProof/>
        </w:rPr>
        <w:t>4.6.2.</w:t>
      </w:r>
      <w:r>
        <w:rPr>
          <w:noProof/>
        </w:rPr>
        <w:tab/>
      </w:r>
      <w:r>
        <w:rPr>
          <w:i/>
          <w:noProof/>
        </w:rPr>
        <w:t>Température maximale à la sortie du refroidisseur intermédiaire d’admission: ……</w:t>
      </w:r>
      <w:r>
        <w:rPr>
          <w:noProof/>
        </w:rPr>
        <w:t xml:space="preserve"> K</w:t>
      </w:r>
    </w:p>
    <w:p>
      <w:pPr>
        <w:spacing w:before="240" w:after="0"/>
        <w:ind w:left="1701" w:hanging="1701"/>
        <w:rPr>
          <w:rFonts w:eastAsia="Arial Unicode MS"/>
          <w:noProof/>
          <w:szCs w:val="24"/>
        </w:rPr>
      </w:pPr>
      <w:r>
        <w:rPr>
          <w:noProof/>
        </w:rPr>
        <w:t>4.6.3.</w:t>
      </w:r>
      <w:r>
        <w:rPr>
          <w:noProof/>
        </w:rPr>
        <w:tab/>
      </w:r>
      <w:r>
        <w:rPr>
          <w:i/>
          <w:noProof/>
        </w:rPr>
        <w:t>Température maximale des gaz d’échappement au point du ou des tuyaux d’échappement adjacents à la ou aux brides extérieures du collecteur d’échappement ou du turbocompresseur:</w:t>
      </w:r>
      <w:r>
        <w:rPr>
          <w:noProof/>
        </w:rPr>
        <w:t xml:space="preserve"> …… K</w:t>
      </w:r>
    </w:p>
    <w:p>
      <w:pPr>
        <w:spacing w:before="240"/>
        <w:ind w:left="1701" w:hanging="1701"/>
        <w:jc w:val="left"/>
        <w:rPr>
          <w:rFonts w:eastAsia="Arial Unicode MS"/>
          <w:bCs/>
          <w:noProof/>
          <w:szCs w:val="24"/>
        </w:rPr>
      </w:pPr>
      <w:r>
        <w:rPr>
          <w:noProof/>
        </w:rPr>
        <w:t>4.6.4.</w:t>
      </w:r>
      <w:r>
        <w:rPr>
          <w:noProof/>
        </w:rPr>
        <w:tab/>
      </w:r>
      <w:r>
        <w:rPr>
          <w:i/>
          <w:noProof/>
        </w:rPr>
        <w:t>Température du carburant</w:t>
      </w:r>
      <w:r>
        <w:rPr>
          <w:noProof/>
        </w:rPr>
        <w:t xml:space="preserve"> </w:t>
      </w:r>
    </w:p>
    <w:p>
      <w:pPr>
        <w:spacing w:after="0"/>
        <w:ind w:left="1701"/>
        <w:rPr>
          <w:rFonts w:eastAsia="Arial Unicode MS"/>
          <w:noProof/>
          <w:szCs w:val="24"/>
        </w:rPr>
      </w:pPr>
      <w:r>
        <w:rPr>
          <w:noProof/>
        </w:rPr>
        <w:t>Minimum: …… K — maximum: …… K</w:t>
      </w:r>
    </w:p>
    <w:p>
      <w:pPr>
        <w:spacing w:after="0"/>
        <w:ind w:left="1701"/>
        <w:rPr>
          <w:rFonts w:eastAsia="Arial Unicode MS"/>
          <w:noProof/>
          <w:szCs w:val="24"/>
        </w:rPr>
      </w:pPr>
      <w:r>
        <w:rPr>
          <w:noProof/>
        </w:rPr>
        <w:t>À l’entrée de la pompe d’injection pour les moteurs diesel et à l’étage final du régulateur de pression pour les moteurs à gaz</w:t>
      </w:r>
    </w:p>
    <w:p>
      <w:pPr>
        <w:spacing w:before="240"/>
        <w:ind w:left="1701" w:hanging="1701"/>
        <w:jc w:val="left"/>
        <w:rPr>
          <w:rFonts w:eastAsia="Arial Unicode MS"/>
          <w:bCs/>
          <w:noProof/>
          <w:szCs w:val="24"/>
        </w:rPr>
      </w:pPr>
      <w:r>
        <w:rPr>
          <w:noProof/>
        </w:rPr>
        <w:t>4.6.5.</w:t>
      </w:r>
      <w:r>
        <w:rPr>
          <w:noProof/>
        </w:rPr>
        <w:tab/>
      </w:r>
      <w:r>
        <w:rPr>
          <w:i/>
          <w:noProof/>
        </w:rPr>
        <w:t>Température du lubrifiant</w:t>
      </w:r>
      <w:r>
        <w:rPr>
          <w:noProof/>
        </w:rPr>
        <w:t xml:space="preserve"> </w:t>
      </w:r>
    </w:p>
    <w:p>
      <w:pPr>
        <w:spacing w:after="0"/>
        <w:ind w:left="1701"/>
        <w:rPr>
          <w:rFonts w:eastAsia="Arial Unicode MS"/>
          <w:noProof/>
          <w:szCs w:val="24"/>
        </w:rPr>
      </w:pPr>
      <w:r>
        <w:rPr>
          <w:noProof/>
        </w:rPr>
        <w:t>Minimum: … K — maximum: …… K</w:t>
      </w:r>
    </w:p>
    <w:p>
      <w:pPr>
        <w:spacing w:before="240"/>
        <w:ind w:left="1701" w:hanging="1701"/>
        <w:jc w:val="left"/>
        <w:rPr>
          <w:rFonts w:eastAsia="Arial Unicode MS"/>
          <w:bCs/>
          <w:noProof/>
          <w:szCs w:val="24"/>
        </w:rPr>
      </w:pPr>
      <w:r>
        <w:rPr>
          <w:noProof/>
        </w:rPr>
        <w:t>4.6.6.</w:t>
      </w:r>
      <w:r>
        <w:rPr>
          <w:noProof/>
        </w:rPr>
        <w:tab/>
      </w:r>
      <w:r>
        <w:rPr>
          <w:i/>
          <w:noProof/>
        </w:rPr>
        <w:t>Pression du carburant</w:t>
      </w:r>
      <w:r>
        <w:rPr>
          <w:noProof/>
        </w:rPr>
        <w:t xml:space="preserve"> </w:t>
      </w:r>
    </w:p>
    <w:p>
      <w:pPr>
        <w:spacing w:after="0"/>
        <w:ind w:left="1701"/>
        <w:rPr>
          <w:rFonts w:eastAsia="Arial Unicode MS"/>
          <w:noProof/>
          <w:szCs w:val="24"/>
        </w:rPr>
      </w:pPr>
      <w:r>
        <w:rPr>
          <w:noProof/>
        </w:rPr>
        <w:t>Minimum: …… kPa — maximum: …… kPa</w:t>
      </w:r>
    </w:p>
    <w:p>
      <w:pPr>
        <w:spacing w:after="0"/>
        <w:ind w:left="1701"/>
        <w:rPr>
          <w:rFonts w:eastAsia="Arial Unicode MS"/>
          <w:noProof/>
          <w:szCs w:val="24"/>
        </w:rPr>
      </w:pPr>
      <w:r>
        <w:rPr>
          <w:noProof/>
        </w:rPr>
        <w:t>À l’étage final du régulateur de pression, pour les moteurs à GN uniquement</w:t>
      </w:r>
    </w:p>
    <w:p>
      <w:pPr>
        <w:spacing w:before="360"/>
        <w:ind w:left="1701" w:hanging="1701"/>
        <w:jc w:val="left"/>
        <w:rPr>
          <w:rFonts w:eastAsia="Arial Unicode MS"/>
          <w:b/>
          <w:bCs/>
          <w:noProof/>
          <w:szCs w:val="24"/>
        </w:rPr>
      </w:pPr>
      <w:r>
        <w:rPr>
          <w:noProof/>
        </w:rPr>
        <w:t>4.7.</w:t>
      </w:r>
      <w:r>
        <w:rPr>
          <w:noProof/>
        </w:rPr>
        <w:tab/>
      </w:r>
      <w:r>
        <w:rPr>
          <w:b/>
          <w:noProof/>
        </w:rPr>
        <w:t>Puissance absorbée à des régimes moteurs spécifiques pour l’essai d’émissions</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07"/>
        <w:gridCol w:w="765"/>
        <w:gridCol w:w="840"/>
        <w:gridCol w:w="946"/>
        <w:gridCol w:w="992"/>
        <w:gridCol w:w="993"/>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noProof/>
                <w:sz w:val="20"/>
              </w:rPr>
              <w:t>Équipement</w:t>
            </w:r>
          </w:p>
        </w:tc>
        <w:tc>
          <w:tcPr>
            <w:tcW w:w="76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Ralenti</w:t>
            </w:r>
          </w:p>
        </w:tc>
        <w:tc>
          <w:tcPr>
            <w:tcW w:w="84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Régime inférieur</w:t>
            </w:r>
          </w:p>
        </w:tc>
        <w:tc>
          <w:tcPr>
            <w:tcW w:w="9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Régime supérieur</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Régime A (régime de préférence (</w:t>
            </w:r>
            <w:r>
              <w:rPr>
                <w:noProof/>
                <w:sz w:val="20"/>
                <w:vertAlign w:val="superscript"/>
              </w:rPr>
              <w:t>2</w:t>
            </w:r>
            <w:r>
              <w:rPr>
                <w:noProof/>
                <w:sz w:val="20"/>
              </w:rPr>
              <w:t>)</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Régime B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w:t>
            </w:r>
            <w:r>
              <w:rPr>
                <w:noProof/>
                <w:sz w:val="20"/>
                <w:vertAlign w:val="subscript"/>
              </w:rPr>
              <w:t>a</w:t>
            </w:r>
          </w:p>
          <w:p>
            <w:pPr>
              <w:spacing w:before="60" w:after="60"/>
              <w:jc w:val="left"/>
              <w:rPr>
                <w:rFonts w:eastAsia="Arial Unicode MS"/>
                <w:noProof/>
                <w:sz w:val="20"/>
                <w:szCs w:val="20"/>
              </w:rPr>
            </w:pPr>
            <w:r>
              <w:rPr>
                <w:noProof/>
                <w:sz w:val="20"/>
              </w:rPr>
              <w:t>Auxiliaires nécessaires au fonctionnement du moteur (à soustraire de la puissance du moteur mesurée) selon l’annexe 4, appendice 6, du règlement n</w:t>
            </w:r>
            <w:r>
              <w:rPr>
                <w:noProof/>
                <w:sz w:val="20"/>
                <w:vertAlign w:val="superscript"/>
              </w:rPr>
              <w:t>o</w:t>
            </w:r>
            <w:r>
              <w:rPr>
                <w:noProof/>
                <w:sz w:val="20"/>
              </w:rPr>
              <w:t> 49 de la CEE-ONU</w:t>
            </w:r>
          </w:p>
        </w:tc>
        <w:tc>
          <w:tcPr>
            <w:tcW w:w="76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4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4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rPr>
              <w:t>Auxiliaires nécessaires au fonctionnement du moteur (à soustraire de la puissance du moteur mesurée)</w:t>
            </w:r>
          </w:p>
          <w:p>
            <w:pPr>
              <w:autoSpaceDE w:val="0"/>
              <w:autoSpaceDN w:val="0"/>
              <w:adjustRightInd w:val="0"/>
              <w:spacing w:before="0" w:after="0"/>
              <w:jc w:val="left"/>
              <w:rPr>
                <w:noProof/>
                <w:sz w:val="13"/>
                <w:szCs w:val="13"/>
              </w:rPr>
            </w:pPr>
            <w:r>
              <w:rPr>
                <w:noProof/>
                <w:sz w:val="20"/>
              </w:rPr>
              <w:t>P</w:t>
            </w:r>
            <w:r>
              <w:rPr>
                <w:noProof/>
                <w:sz w:val="13"/>
              </w:rPr>
              <w:t>b</w:t>
            </w:r>
          </w:p>
          <w:p>
            <w:pPr>
              <w:autoSpaceDE w:val="0"/>
              <w:autoSpaceDN w:val="0"/>
              <w:adjustRightInd w:val="0"/>
              <w:spacing w:before="0" w:after="0"/>
              <w:jc w:val="left"/>
              <w:rPr>
                <w:rFonts w:eastAsia="Arial Unicode MS"/>
                <w:noProof/>
                <w:sz w:val="20"/>
                <w:szCs w:val="20"/>
              </w:rPr>
            </w:pPr>
            <w:r>
              <w:rPr>
                <w:noProof/>
                <w:sz w:val="20"/>
              </w:rPr>
              <w:t>Auxiliaires/équipement non requis selon l’annexe 4, appendice 6, du règlement n</w:t>
            </w:r>
            <w:r>
              <w:rPr>
                <w:noProof/>
                <w:sz w:val="20"/>
                <w:vertAlign w:val="superscript"/>
              </w:rPr>
              <w:t>o</w:t>
            </w:r>
            <w:r>
              <w:rPr>
                <w:noProof/>
                <w:sz w:val="20"/>
              </w:rPr>
              <w:t> 49 de la CEE-ONU</w:t>
            </w:r>
          </w:p>
        </w:tc>
        <w:tc>
          <w:tcPr>
            <w:tcW w:w="76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4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4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240"/>
        <w:ind w:left="1701" w:hanging="1701"/>
        <w:jc w:val="left"/>
        <w:rPr>
          <w:noProof/>
        </w:rPr>
      </w:pPr>
    </w:p>
    <w:p>
      <w:pPr>
        <w:spacing w:before="240"/>
        <w:ind w:left="1701" w:hanging="1701"/>
        <w:jc w:val="left"/>
        <w:rPr>
          <w:rFonts w:eastAsia="Arial Unicode MS"/>
          <w:b/>
          <w:bCs/>
          <w:noProof/>
          <w:szCs w:val="24"/>
        </w:rPr>
      </w:pPr>
      <w:r>
        <w:rPr>
          <w:noProof/>
        </w:rPr>
        <w:t>4.8.</w:t>
      </w:r>
      <w:r>
        <w:rPr>
          <w:noProof/>
        </w:rPr>
        <w:tab/>
      </w:r>
      <w:r>
        <w:rPr>
          <w:b/>
          <w:noProof/>
        </w:rPr>
        <w:t xml:space="preserve">Système de lubrification </w:t>
      </w:r>
    </w:p>
    <w:p>
      <w:pPr>
        <w:spacing w:before="240"/>
        <w:ind w:left="1701" w:hanging="1701"/>
        <w:jc w:val="left"/>
        <w:rPr>
          <w:rFonts w:eastAsia="Arial Unicode MS"/>
          <w:bCs/>
          <w:noProof/>
          <w:szCs w:val="24"/>
        </w:rPr>
      </w:pPr>
      <w:r>
        <w:rPr>
          <w:noProof/>
        </w:rPr>
        <w:t>4.8.1.</w:t>
      </w:r>
      <w:r>
        <w:rPr>
          <w:noProof/>
        </w:rPr>
        <w:tab/>
      </w:r>
      <w:r>
        <w:rPr>
          <w:i/>
          <w:noProof/>
        </w:rPr>
        <w:t>Description du système</w:t>
      </w:r>
      <w:r>
        <w:rPr>
          <w:noProof/>
        </w:rPr>
        <w:t xml:space="preserve"> </w:t>
      </w:r>
    </w:p>
    <w:p>
      <w:pPr>
        <w:spacing w:after="0"/>
        <w:ind w:left="1701" w:hanging="1701"/>
        <w:rPr>
          <w:rFonts w:eastAsia="Arial Unicode MS"/>
          <w:noProof/>
          <w:szCs w:val="24"/>
        </w:rPr>
      </w:pPr>
      <w:r>
        <w:rPr>
          <w:noProof/>
        </w:rPr>
        <w:t>4.8.1.1.</w:t>
      </w:r>
      <w:r>
        <w:rPr>
          <w:noProof/>
        </w:rPr>
        <w:tab/>
        <w:t>Emplacement du réservoir de lubrifiant: …</w:t>
      </w:r>
    </w:p>
    <w:p>
      <w:pPr>
        <w:spacing w:after="0"/>
        <w:ind w:left="1701" w:hanging="1701"/>
        <w:rPr>
          <w:rFonts w:eastAsia="Arial Unicode MS"/>
          <w:noProof/>
          <w:szCs w:val="24"/>
        </w:rPr>
      </w:pPr>
      <w:r>
        <w:rPr>
          <w:noProof/>
        </w:rPr>
        <w:t>4.8.1.2.</w:t>
      </w:r>
      <w:r>
        <w:rPr>
          <w:noProof/>
        </w:rPr>
        <w:tab/>
        <w:t>Système d’alimentation (pompe/injection à l’admission en mélange avec le carburant, etc.) (</w:t>
      </w:r>
      <w:r>
        <w:rPr>
          <w:noProof/>
          <w:vertAlign w:val="superscript"/>
        </w:rPr>
        <w:t>1</w:t>
      </w:r>
      <w:r>
        <w:rPr>
          <w:noProof/>
        </w:rPr>
        <w:t>)</w:t>
      </w:r>
    </w:p>
    <w:p>
      <w:pPr>
        <w:spacing w:before="240"/>
        <w:ind w:left="1701" w:hanging="1701"/>
        <w:jc w:val="left"/>
        <w:rPr>
          <w:rFonts w:eastAsia="Arial Unicode MS"/>
          <w:bCs/>
          <w:noProof/>
          <w:szCs w:val="24"/>
        </w:rPr>
      </w:pPr>
      <w:r>
        <w:rPr>
          <w:noProof/>
        </w:rPr>
        <w:t>4.8.2.</w:t>
      </w:r>
      <w:r>
        <w:rPr>
          <w:noProof/>
        </w:rPr>
        <w:tab/>
      </w:r>
      <w:r>
        <w:rPr>
          <w:i/>
          <w:noProof/>
        </w:rPr>
        <w:t>Pompe de lubrification</w:t>
      </w:r>
    </w:p>
    <w:p>
      <w:pPr>
        <w:spacing w:after="0"/>
        <w:ind w:left="1701" w:hanging="1701"/>
        <w:rPr>
          <w:rFonts w:eastAsia="Arial Unicode MS"/>
          <w:noProof/>
          <w:szCs w:val="24"/>
        </w:rPr>
      </w:pPr>
      <w:r>
        <w:rPr>
          <w:noProof/>
        </w:rPr>
        <w:t>4.8.2.1.</w:t>
      </w:r>
      <w:r>
        <w:rPr>
          <w:noProof/>
        </w:rPr>
        <w:tab/>
        <w:t>Marque(s): …</w:t>
      </w:r>
    </w:p>
    <w:p>
      <w:pPr>
        <w:spacing w:after="0"/>
        <w:ind w:left="1701" w:hanging="1701"/>
        <w:rPr>
          <w:rFonts w:eastAsia="Arial Unicode MS"/>
          <w:noProof/>
          <w:szCs w:val="24"/>
        </w:rPr>
      </w:pPr>
      <w:r>
        <w:rPr>
          <w:noProof/>
        </w:rPr>
        <w:t>4.8.2.2.</w:t>
      </w:r>
      <w:r>
        <w:rPr>
          <w:noProof/>
        </w:rPr>
        <w:tab/>
        <w:t>Type(s): …</w:t>
      </w:r>
    </w:p>
    <w:p>
      <w:pPr>
        <w:spacing w:before="240"/>
        <w:ind w:left="1701" w:hanging="1701"/>
        <w:jc w:val="left"/>
        <w:rPr>
          <w:rFonts w:eastAsia="Arial Unicode MS"/>
          <w:bCs/>
          <w:noProof/>
          <w:szCs w:val="24"/>
        </w:rPr>
      </w:pPr>
      <w:r>
        <w:rPr>
          <w:noProof/>
        </w:rPr>
        <w:t>4.8.3.</w:t>
      </w:r>
      <w:r>
        <w:rPr>
          <w:noProof/>
        </w:rPr>
        <w:tab/>
      </w:r>
      <w:r>
        <w:rPr>
          <w:i/>
          <w:noProof/>
        </w:rPr>
        <w:t>Lubrifiant mélangé au carburant</w:t>
      </w:r>
      <w:r>
        <w:rPr>
          <w:noProof/>
        </w:rPr>
        <w:t xml:space="preserve"> </w:t>
      </w:r>
    </w:p>
    <w:p>
      <w:pPr>
        <w:spacing w:after="0"/>
        <w:ind w:left="1701" w:hanging="1701"/>
        <w:rPr>
          <w:rFonts w:eastAsia="Arial Unicode MS"/>
          <w:noProof/>
          <w:szCs w:val="24"/>
        </w:rPr>
      </w:pPr>
      <w:r>
        <w:rPr>
          <w:noProof/>
        </w:rPr>
        <w:t>4.8.3.1.</w:t>
      </w:r>
      <w:r>
        <w:rPr>
          <w:noProof/>
        </w:rPr>
        <w:tab/>
        <w:t>Pourcentage: …</w:t>
      </w:r>
    </w:p>
    <w:p>
      <w:pPr>
        <w:spacing w:before="240"/>
        <w:ind w:left="1701" w:hanging="1701"/>
        <w:jc w:val="left"/>
        <w:rPr>
          <w:rFonts w:eastAsia="Arial Unicode MS"/>
          <w:b/>
          <w:bCs/>
          <w:noProof/>
          <w:szCs w:val="24"/>
        </w:rPr>
      </w:pPr>
      <w:r>
        <w:rPr>
          <w:noProof/>
        </w:rPr>
        <w:t>4.8.4.</w:t>
      </w:r>
      <w:r>
        <w:rPr>
          <w:noProof/>
        </w:rPr>
        <w:tab/>
      </w:r>
      <w:r>
        <w:rPr>
          <w:i/>
          <w:noProof/>
        </w:rPr>
        <w:t>Refroidisseur d’huile: oui/non</w:t>
      </w:r>
      <w:r>
        <w:rPr>
          <w:noProof/>
        </w:rPr>
        <w:t xml:space="preserve"> (</w:t>
      </w:r>
      <w:r>
        <w:rPr>
          <w:noProof/>
          <w:vertAlign w:val="superscript"/>
        </w:rPr>
        <w:t>1</w:t>
      </w:r>
      <w:r>
        <w:rPr>
          <w:noProof/>
        </w:rPr>
        <w:t>)</w:t>
      </w:r>
    </w:p>
    <w:p>
      <w:pPr>
        <w:spacing w:after="0"/>
        <w:ind w:left="1701" w:hanging="1701"/>
        <w:rPr>
          <w:rFonts w:eastAsia="Arial Unicode MS"/>
          <w:noProof/>
          <w:szCs w:val="24"/>
          <w:lang w:val="pt-PT"/>
        </w:rPr>
      </w:pPr>
      <w:r>
        <w:rPr>
          <w:noProof/>
          <w:lang w:val="pt-PT"/>
        </w:rPr>
        <w:t>4.8.4.1.</w:t>
      </w:r>
      <w:r>
        <w:rPr>
          <w:noProof/>
          <w:lang w:val="pt-PT"/>
        </w:rPr>
        <w:tab/>
        <w:t>Dessin(s): ……… ou</w:t>
      </w:r>
    </w:p>
    <w:p>
      <w:pPr>
        <w:spacing w:after="0"/>
        <w:ind w:left="1701" w:hanging="1701"/>
        <w:rPr>
          <w:rFonts w:eastAsia="Arial Unicode MS"/>
          <w:noProof/>
          <w:szCs w:val="24"/>
          <w:lang w:val="pt-PT"/>
        </w:rPr>
      </w:pPr>
      <w:r>
        <w:rPr>
          <w:noProof/>
          <w:lang w:val="pt-PT"/>
        </w:rPr>
        <w:t>4.8.4.1.1.</w:t>
      </w:r>
      <w:r>
        <w:rPr>
          <w:noProof/>
          <w:lang w:val="pt-PT"/>
        </w:rPr>
        <w:tab/>
        <w:t>Marque(s): …</w:t>
      </w:r>
    </w:p>
    <w:p>
      <w:pPr>
        <w:spacing w:after="0"/>
        <w:ind w:left="1701" w:hanging="1701"/>
        <w:rPr>
          <w:rFonts w:eastAsia="Arial Unicode MS"/>
          <w:noProof/>
          <w:szCs w:val="24"/>
        </w:rPr>
      </w:pPr>
      <w:r>
        <w:rPr>
          <w:noProof/>
        </w:rPr>
        <w:t>4.8.4.1.2.</w:t>
      </w:r>
      <w:r>
        <w:rPr>
          <w:noProof/>
        </w:rPr>
        <w:tab/>
        <w:t>Type(s): …</w:t>
      </w:r>
    </w:p>
    <w:p>
      <w:pPr>
        <w:spacing w:before="360" w:after="240"/>
        <w:ind w:left="1701" w:hanging="1701"/>
        <w:jc w:val="left"/>
        <w:rPr>
          <w:rFonts w:eastAsia="Arial Unicode MS"/>
          <w:b/>
          <w:bCs/>
          <w:noProof/>
          <w:szCs w:val="24"/>
        </w:rPr>
      </w:pPr>
      <w:r>
        <w:rPr>
          <w:b/>
          <w:noProof/>
        </w:rPr>
        <w:t>5.</w:t>
      </w:r>
      <w:r>
        <w:rPr>
          <w:noProof/>
        </w:rPr>
        <w:tab/>
      </w:r>
      <w:r>
        <w:rPr>
          <w:b/>
          <w:noProof/>
        </w:rPr>
        <w:t>TRANSMISSION</w:t>
      </w:r>
      <w:r>
        <w:rPr>
          <w:noProof/>
        </w:rPr>
        <w:t xml:space="preserve"> (</w:t>
      </w:r>
      <w:r>
        <w:rPr>
          <w:noProof/>
          <w:vertAlign w:val="superscript"/>
        </w:rPr>
        <w:t>p</w:t>
      </w:r>
      <w:r>
        <w:rPr>
          <w:noProof/>
        </w:rPr>
        <w:t>)</w:t>
      </w:r>
    </w:p>
    <w:p>
      <w:pPr>
        <w:spacing w:after="0"/>
        <w:ind w:left="1701" w:hanging="1701"/>
        <w:rPr>
          <w:rFonts w:eastAsia="Arial Unicode MS"/>
          <w:noProof/>
          <w:szCs w:val="24"/>
        </w:rPr>
      </w:pPr>
      <w:r>
        <w:rPr>
          <w:noProof/>
        </w:rPr>
        <w:t>5.1.</w:t>
      </w:r>
      <w:r>
        <w:rPr>
          <w:noProof/>
        </w:rPr>
        <w:tab/>
      </w:r>
      <w:r>
        <w:rPr>
          <w:b/>
          <w:noProof/>
        </w:rPr>
        <w:t>Dessin de la transmission:</w:t>
      </w:r>
      <w:r>
        <w:rPr>
          <w:noProof/>
        </w:rPr>
        <w:t xml:space="preserve"> …</w:t>
      </w:r>
    </w:p>
    <w:p>
      <w:pPr>
        <w:spacing w:before="360" w:after="0"/>
        <w:ind w:left="1701" w:hanging="1701"/>
        <w:rPr>
          <w:rFonts w:eastAsia="Arial Unicode MS"/>
          <w:noProof/>
          <w:szCs w:val="24"/>
        </w:rPr>
      </w:pPr>
      <w:r>
        <w:rPr>
          <w:noProof/>
        </w:rPr>
        <w:t>5.2.</w:t>
      </w:r>
      <w:r>
        <w:rPr>
          <w:noProof/>
        </w:rPr>
        <w:tab/>
      </w:r>
      <w:r>
        <w:rPr>
          <w:b/>
          <w:noProof/>
        </w:rPr>
        <w:t>Type (mécanique, hydraulique, électrique, etc.):</w:t>
      </w:r>
      <w:r>
        <w:rPr>
          <w:noProof/>
        </w:rPr>
        <w:t xml:space="preserve"> …</w:t>
      </w:r>
    </w:p>
    <w:p>
      <w:pPr>
        <w:spacing w:after="0"/>
        <w:ind w:left="1701" w:hanging="1701"/>
        <w:rPr>
          <w:rFonts w:eastAsia="Arial Unicode MS"/>
          <w:noProof/>
          <w:szCs w:val="24"/>
        </w:rPr>
      </w:pPr>
      <w:r>
        <w:rPr>
          <w:noProof/>
        </w:rPr>
        <w:t>5.2.1.</w:t>
      </w:r>
      <w:r>
        <w:rPr>
          <w:noProof/>
        </w:rPr>
        <w:tab/>
        <w:t>Description succincte des composants électriques/électroniques (le cas échéant): …</w:t>
      </w:r>
    </w:p>
    <w:p>
      <w:pPr>
        <w:spacing w:before="360" w:after="0"/>
        <w:ind w:left="1701" w:hanging="1701"/>
        <w:rPr>
          <w:rFonts w:eastAsia="Arial Unicode MS"/>
          <w:noProof/>
          <w:szCs w:val="24"/>
        </w:rPr>
      </w:pPr>
      <w:r>
        <w:rPr>
          <w:noProof/>
        </w:rPr>
        <w:t>5.3.</w:t>
      </w:r>
      <w:r>
        <w:rPr>
          <w:noProof/>
        </w:rPr>
        <w:tab/>
      </w:r>
      <w:r>
        <w:rPr>
          <w:b/>
          <w:noProof/>
        </w:rPr>
        <w:t>Moment d’inertie du volant moteur:…</w:t>
      </w:r>
    </w:p>
    <w:p>
      <w:pPr>
        <w:spacing w:after="0"/>
        <w:ind w:left="1701" w:hanging="1701"/>
        <w:rPr>
          <w:rFonts w:eastAsia="Arial Unicode MS"/>
          <w:noProof/>
          <w:szCs w:val="24"/>
        </w:rPr>
      </w:pPr>
      <w:r>
        <w:rPr>
          <w:noProof/>
        </w:rPr>
        <w:t>5.3.1.</w:t>
      </w:r>
      <w:r>
        <w:rPr>
          <w:noProof/>
        </w:rPr>
        <w:tab/>
        <w:t>Moment d’inertie additionnel si aucune vitesse n’est engagée: …</w:t>
      </w:r>
    </w:p>
    <w:p>
      <w:pPr>
        <w:spacing w:before="360"/>
        <w:ind w:left="1701" w:hanging="1701"/>
        <w:jc w:val="left"/>
        <w:rPr>
          <w:rFonts w:eastAsia="Arial Unicode MS"/>
          <w:b/>
          <w:bCs/>
          <w:noProof/>
          <w:szCs w:val="24"/>
        </w:rPr>
      </w:pPr>
      <w:r>
        <w:rPr>
          <w:noProof/>
        </w:rPr>
        <w:t>5.4.</w:t>
      </w:r>
      <w:r>
        <w:rPr>
          <w:noProof/>
        </w:rPr>
        <w:tab/>
      </w:r>
      <w:r>
        <w:rPr>
          <w:b/>
          <w:noProof/>
        </w:rPr>
        <w:t xml:space="preserve">Embrayage </w:t>
      </w:r>
    </w:p>
    <w:p>
      <w:pPr>
        <w:spacing w:after="0"/>
        <w:ind w:left="1701" w:hanging="1701"/>
        <w:rPr>
          <w:rFonts w:eastAsia="Arial Unicode MS"/>
          <w:noProof/>
          <w:szCs w:val="24"/>
        </w:rPr>
      </w:pPr>
      <w:r>
        <w:rPr>
          <w:noProof/>
        </w:rPr>
        <w:t>5.4.1.</w:t>
      </w:r>
      <w:r>
        <w:rPr>
          <w:noProof/>
        </w:rPr>
        <w:tab/>
        <w:t>Type: …</w:t>
      </w:r>
    </w:p>
    <w:p>
      <w:pPr>
        <w:spacing w:after="0"/>
        <w:ind w:left="1701" w:hanging="1701"/>
        <w:rPr>
          <w:rFonts w:eastAsia="Arial Unicode MS"/>
          <w:noProof/>
          <w:szCs w:val="24"/>
        </w:rPr>
      </w:pPr>
      <w:r>
        <w:rPr>
          <w:noProof/>
        </w:rPr>
        <w:t>5.4.2.</w:t>
      </w:r>
      <w:r>
        <w:rPr>
          <w:noProof/>
        </w:rPr>
        <w:tab/>
        <w:t>Conversion de couple maximale: …</w:t>
      </w:r>
    </w:p>
    <w:p>
      <w:pPr>
        <w:spacing w:before="360"/>
        <w:ind w:left="1701" w:hanging="1701"/>
        <w:jc w:val="left"/>
        <w:rPr>
          <w:rFonts w:eastAsia="Arial Unicode MS"/>
          <w:b/>
          <w:bCs/>
          <w:noProof/>
          <w:szCs w:val="24"/>
        </w:rPr>
      </w:pPr>
      <w:r>
        <w:rPr>
          <w:noProof/>
        </w:rPr>
        <w:t>5.5.</w:t>
      </w:r>
      <w:r>
        <w:rPr>
          <w:noProof/>
        </w:rPr>
        <w:tab/>
      </w:r>
      <w:r>
        <w:rPr>
          <w:b/>
          <w:noProof/>
        </w:rPr>
        <w:t xml:space="preserve">Boîte de vitesses </w:t>
      </w:r>
    </w:p>
    <w:p>
      <w:pPr>
        <w:spacing w:after="0"/>
        <w:ind w:left="1701" w:hanging="1701"/>
        <w:rPr>
          <w:rFonts w:eastAsia="Arial Unicode MS"/>
          <w:noProof/>
          <w:szCs w:val="24"/>
        </w:rPr>
      </w:pPr>
      <w:r>
        <w:rPr>
          <w:noProof/>
        </w:rPr>
        <w:t>5.5.1.</w:t>
      </w:r>
      <w:r>
        <w:rPr>
          <w:noProof/>
        </w:rPr>
        <w:tab/>
        <w:t>Type [manuelle/automatique/CVT(variation continue)] (</w:t>
      </w:r>
      <w:r>
        <w:rPr>
          <w:noProof/>
          <w:vertAlign w:val="superscript"/>
        </w:rPr>
        <w:t>1</w:t>
      </w:r>
      <w:r>
        <w:rPr>
          <w:noProof/>
        </w:rPr>
        <w:t>)</w:t>
      </w:r>
    </w:p>
    <w:p>
      <w:pPr>
        <w:spacing w:after="0"/>
        <w:ind w:left="1701" w:hanging="1701"/>
        <w:rPr>
          <w:rFonts w:eastAsia="Arial Unicode MS"/>
          <w:noProof/>
          <w:szCs w:val="24"/>
        </w:rPr>
      </w:pPr>
      <w:r>
        <w:rPr>
          <w:noProof/>
        </w:rPr>
        <w:t>5.5.2.</w:t>
      </w:r>
      <w:r>
        <w:rPr>
          <w:noProof/>
        </w:rPr>
        <w:tab/>
        <w:t>Emplacement par rapport au moteur: …</w:t>
      </w:r>
    </w:p>
    <w:p>
      <w:pPr>
        <w:spacing w:after="0"/>
        <w:ind w:left="1701" w:hanging="1701"/>
        <w:rPr>
          <w:rFonts w:eastAsia="Arial Unicode MS"/>
          <w:noProof/>
          <w:szCs w:val="24"/>
        </w:rPr>
      </w:pPr>
      <w:r>
        <w:rPr>
          <w:noProof/>
        </w:rPr>
        <w:t>5.5.3.</w:t>
      </w:r>
      <w:r>
        <w:rPr>
          <w:noProof/>
        </w:rPr>
        <w:tab/>
        <w:t>Mode de commande: …</w:t>
      </w:r>
    </w:p>
    <w:p>
      <w:pPr>
        <w:spacing w:before="240"/>
        <w:ind w:left="1701" w:hanging="1701"/>
        <w:jc w:val="left"/>
        <w:rPr>
          <w:noProof/>
        </w:rPr>
      </w:pPr>
    </w:p>
    <w:p>
      <w:pPr>
        <w:spacing w:before="240"/>
        <w:ind w:left="1701" w:hanging="1701"/>
        <w:jc w:val="left"/>
        <w:rPr>
          <w:rFonts w:eastAsia="Arial Unicode MS"/>
          <w:b/>
          <w:bCs/>
          <w:noProof/>
          <w:szCs w:val="24"/>
        </w:rPr>
      </w:pPr>
      <w:r>
        <w:rPr>
          <w:noProof/>
        </w:rPr>
        <w:t>5.6.</w:t>
      </w:r>
      <w:r>
        <w:rPr>
          <w:noProof/>
        </w:rPr>
        <w:tab/>
      </w:r>
      <w:r>
        <w:rPr>
          <w:b/>
          <w:noProof/>
        </w:rPr>
        <w:t xml:space="preserve">Rapports de démultiplication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2113"/>
        <w:gridCol w:w="1833"/>
        <w:gridCol w:w="1647"/>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Rapport</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Rapport de boîte (rapport entre le régime du moteur et la vitesse de rotation de l’arbre de sortie de la boîte de vitesses)</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Rapport de transmission final (rapport entre la vitesse de rotation de l’arbre de sortie de la boîte de vitesses et la vitesse de rotation des roues motrices)</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Démultiplication totale</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Maximum pour CVT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Minimum pour CVT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Marche arrière</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7506" w:type="dxa"/>
            <w:gridSpan w:val="4"/>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rFonts w:eastAsia="Arial Unicode MS"/>
                <w:bCs/>
                <w:noProof/>
                <w:sz w:val="20"/>
                <w:szCs w:val="20"/>
              </w:rPr>
              <w:t>(</w:t>
            </w:r>
            <w:r>
              <w:rPr>
                <w:rFonts w:eastAsia="Arial Unicode MS"/>
                <w:bCs/>
                <w:noProof/>
                <w:sz w:val="20"/>
                <w:szCs w:val="20"/>
                <w:vertAlign w:val="superscript"/>
              </w:rPr>
              <w:t>*</w:t>
            </w:r>
            <w:r>
              <w:rPr>
                <w:rFonts w:eastAsia="Arial Unicode MS"/>
                <w:bCs/>
                <w:noProof/>
                <w:sz w:val="20"/>
                <w:szCs w:val="20"/>
              </w:rPr>
              <w:t>) Transmission à variation continue</w:t>
            </w:r>
          </w:p>
        </w:tc>
      </w:tr>
    </w:tbl>
    <w:p>
      <w:pPr>
        <w:spacing w:before="240" w:after="0"/>
        <w:ind w:left="1701" w:hanging="1701"/>
        <w:rPr>
          <w:rFonts w:eastAsia="Arial Unicode MS"/>
          <w:noProof/>
          <w:szCs w:val="24"/>
        </w:rPr>
      </w:pPr>
      <w:r>
        <w:rPr>
          <w:noProof/>
        </w:rPr>
        <w:t>5.7.</w:t>
      </w:r>
      <w:r>
        <w:rPr>
          <w:noProof/>
        </w:rPr>
        <w:tab/>
      </w:r>
      <w:r>
        <w:rPr>
          <w:b/>
          <w:noProof/>
        </w:rPr>
        <w:t>Vitesse maximale par construction du véhicule (en km/h)</w:t>
      </w:r>
      <w:r>
        <w:rPr>
          <w:noProof/>
        </w:rPr>
        <w:t xml:space="preserve"> (</w:t>
      </w:r>
      <w:r>
        <w:rPr>
          <w:noProof/>
          <w:vertAlign w:val="superscript"/>
        </w:rPr>
        <w:t>q</w:t>
      </w:r>
      <w:r>
        <w:rPr>
          <w:noProof/>
        </w:rPr>
        <w:t>): …</w:t>
      </w:r>
    </w:p>
    <w:p>
      <w:pPr>
        <w:spacing w:before="240"/>
        <w:ind w:left="1701" w:hanging="1701"/>
        <w:jc w:val="left"/>
        <w:rPr>
          <w:rFonts w:eastAsia="Arial Unicode MS"/>
          <w:b/>
          <w:bCs/>
          <w:noProof/>
          <w:szCs w:val="24"/>
        </w:rPr>
      </w:pPr>
      <w:r>
        <w:rPr>
          <w:noProof/>
        </w:rPr>
        <w:t>5.8.</w:t>
      </w:r>
      <w:r>
        <w:rPr>
          <w:noProof/>
        </w:rPr>
        <w:tab/>
      </w:r>
      <w:r>
        <w:rPr>
          <w:b/>
          <w:noProof/>
        </w:rPr>
        <w:t xml:space="preserve">Tachymètre </w:t>
      </w:r>
    </w:p>
    <w:p>
      <w:pPr>
        <w:spacing w:after="0"/>
        <w:ind w:left="1701" w:hanging="1701"/>
        <w:rPr>
          <w:rFonts w:eastAsia="Arial Unicode MS"/>
          <w:noProof/>
          <w:szCs w:val="24"/>
        </w:rPr>
      </w:pPr>
      <w:r>
        <w:rPr>
          <w:noProof/>
        </w:rPr>
        <w:t>5.8.1.</w:t>
      </w:r>
      <w:r>
        <w:rPr>
          <w:noProof/>
        </w:rPr>
        <w:tab/>
        <w:t>Mode de fonctionnement et description du mécanisme d’entraînement: …</w:t>
      </w:r>
    </w:p>
    <w:p>
      <w:pPr>
        <w:spacing w:after="0"/>
        <w:ind w:left="1701" w:hanging="1701"/>
        <w:rPr>
          <w:rFonts w:eastAsia="Arial Unicode MS"/>
          <w:noProof/>
          <w:szCs w:val="24"/>
        </w:rPr>
      </w:pPr>
      <w:r>
        <w:rPr>
          <w:noProof/>
        </w:rPr>
        <w:t>5.8.2.</w:t>
      </w:r>
      <w:r>
        <w:rPr>
          <w:noProof/>
        </w:rPr>
        <w:tab/>
        <w:t>Constante de l’instrument: …</w:t>
      </w:r>
    </w:p>
    <w:p>
      <w:pPr>
        <w:spacing w:after="0"/>
        <w:ind w:left="1701" w:hanging="1701"/>
        <w:rPr>
          <w:rFonts w:eastAsia="Arial Unicode MS"/>
          <w:noProof/>
          <w:szCs w:val="24"/>
        </w:rPr>
      </w:pPr>
      <w:r>
        <w:rPr>
          <w:noProof/>
        </w:rPr>
        <w:t>5.8.3.</w:t>
      </w:r>
      <w:r>
        <w:rPr>
          <w:noProof/>
        </w:rPr>
        <w:tab/>
        <w:t>Tolérance du mécanisme de mesure (selon le paragraphe 2.5.1 du règlement n</w:t>
      </w:r>
      <w:r>
        <w:rPr>
          <w:noProof/>
          <w:vertAlign w:val="superscript"/>
        </w:rPr>
        <w:t>o</w:t>
      </w:r>
      <w:r>
        <w:rPr>
          <w:noProof/>
        </w:rPr>
        <w:t> 39 de la CEE-ONU): …</w:t>
      </w:r>
    </w:p>
    <w:p>
      <w:pPr>
        <w:spacing w:after="0"/>
        <w:ind w:left="1701" w:hanging="1701"/>
        <w:rPr>
          <w:rFonts w:eastAsia="Arial Unicode MS"/>
          <w:noProof/>
          <w:szCs w:val="24"/>
        </w:rPr>
      </w:pPr>
      <w:r>
        <w:rPr>
          <w:noProof/>
        </w:rPr>
        <w:t>5.8.4.</w:t>
      </w:r>
      <w:r>
        <w:rPr>
          <w:noProof/>
        </w:rPr>
        <w:tab/>
        <w:t>Rapport global de transmission (selon le paragraphe 2.2.2 du règlement n</w:t>
      </w:r>
      <w:r>
        <w:rPr>
          <w:noProof/>
          <w:vertAlign w:val="superscript"/>
        </w:rPr>
        <w:t>o</w:t>
      </w:r>
      <w:r>
        <w:rPr>
          <w:noProof/>
        </w:rPr>
        <w:t> 39 de la CEE-ONU) ou données équivalentes: …</w:t>
      </w:r>
    </w:p>
    <w:p>
      <w:pPr>
        <w:spacing w:after="0"/>
        <w:ind w:left="1701" w:hanging="1701"/>
        <w:rPr>
          <w:rFonts w:eastAsia="Arial Unicode MS"/>
          <w:noProof/>
          <w:szCs w:val="24"/>
        </w:rPr>
      </w:pPr>
      <w:r>
        <w:rPr>
          <w:noProof/>
        </w:rPr>
        <w:t>5.8.5.</w:t>
      </w:r>
      <w:r>
        <w:rPr>
          <w:noProof/>
        </w:rPr>
        <w:tab/>
        <w:t>Dessin du cadran du tachymètre ou des autres modes d’affichage: …</w:t>
      </w:r>
    </w:p>
    <w:p>
      <w:pPr>
        <w:spacing w:before="240"/>
        <w:ind w:left="1701" w:hanging="1701"/>
        <w:jc w:val="left"/>
        <w:rPr>
          <w:rFonts w:eastAsia="Arial Unicode MS"/>
          <w:b/>
          <w:bCs/>
          <w:noProof/>
          <w:szCs w:val="24"/>
        </w:rPr>
      </w:pPr>
      <w:r>
        <w:rPr>
          <w:noProof/>
        </w:rPr>
        <w:t>5.9.</w:t>
      </w:r>
      <w:r>
        <w:rPr>
          <w:noProof/>
        </w:rPr>
        <w:tab/>
      </w:r>
      <w:r>
        <w:rPr>
          <w:b/>
          <w:noProof/>
        </w:rPr>
        <w:t xml:space="preserve">Tachygraphe: oui/non </w:t>
      </w:r>
      <w:r>
        <w:rPr>
          <w:noProof/>
        </w:rPr>
        <w:t>(</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t>Marque de réception: …</w:t>
      </w:r>
    </w:p>
    <w:p>
      <w:pPr>
        <w:spacing w:before="240" w:after="0"/>
        <w:ind w:left="1701" w:hanging="1701"/>
        <w:rPr>
          <w:rFonts w:eastAsia="Arial Unicode MS"/>
          <w:noProof/>
          <w:szCs w:val="24"/>
        </w:rPr>
      </w:pPr>
      <w:r>
        <w:rPr>
          <w:noProof/>
        </w:rPr>
        <w:t>5.10.</w:t>
      </w:r>
      <w:r>
        <w:rPr>
          <w:noProof/>
        </w:rPr>
        <w:tab/>
      </w:r>
      <w:r>
        <w:rPr>
          <w:b/>
          <w:noProof/>
        </w:rPr>
        <w:t>Blocage du différentiel: oui/non/en option</w:t>
      </w:r>
      <w:r>
        <w:rPr>
          <w:noProof/>
        </w:rPr>
        <w:t> (</w:t>
      </w:r>
      <w:r>
        <w:rPr>
          <w:noProof/>
          <w:vertAlign w:val="superscript"/>
        </w:rPr>
        <w:t>1</w:t>
      </w:r>
      <w:r>
        <w:rPr>
          <w:noProof/>
        </w:rPr>
        <w:t>)</w:t>
      </w:r>
    </w:p>
    <w:p>
      <w:pPr>
        <w:spacing w:before="240"/>
        <w:ind w:left="1701" w:hanging="1701"/>
        <w:jc w:val="left"/>
        <w:rPr>
          <w:rFonts w:eastAsia="Arial Unicode MS"/>
          <w:b/>
          <w:bCs/>
          <w:noProof/>
          <w:szCs w:val="24"/>
        </w:rPr>
      </w:pPr>
      <w:r>
        <w:rPr>
          <w:noProof/>
        </w:rPr>
        <w:t>5.11.</w:t>
      </w:r>
      <w:r>
        <w:rPr>
          <w:noProof/>
        </w:rPr>
        <w:tab/>
      </w:r>
      <w:r>
        <w:rPr>
          <w:b/>
          <w:noProof/>
        </w:rPr>
        <w:t xml:space="preserve">Indicateur de changement de vitesse (GSI) </w:t>
      </w:r>
    </w:p>
    <w:p>
      <w:pPr>
        <w:spacing w:after="0"/>
        <w:ind w:left="1701" w:hanging="1701"/>
        <w:rPr>
          <w:rFonts w:eastAsia="Arial Unicode MS"/>
          <w:noProof/>
          <w:szCs w:val="24"/>
        </w:rPr>
      </w:pPr>
      <w:r>
        <w:rPr>
          <w:noProof/>
        </w:rPr>
        <w:t>5.11.1.</w:t>
      </w:r>
      <w:r>
        <w:rPr>
          <w:noProof/>
        </w:rPr>
        <w:tab/>
        <w:t>Indication sonore disponible oui/non (</w:t>
      </w:r>
      <w:r>
        <w:rPr>
          <w:noProof/>
          <w:vertAlign w:val="superscript"/>
        </w:rPr>
        <w:t>1</w:t>
      </w:r>
      <w:r>
        <w:rPr>
          <w:noProof/>
        </w:rPr>
        <w:t>). Si oui, description du son et du niveau sonore aux oreilles du conducteur, en dB(A) (Indication sonore toujours activable/désactivable)</w:t>
      </w:r>
    </w:p>
    <w:p>
      <w:pPr>
        <w:spacing w:after="0"/>
        <w:ind w:left="1701" w:hanging="1701"/>
        <w:rPr>
          <w:rFonts w:eastAsia="Arial Unicode MS"/>
          <w:noProof/>
          <w:szCs w:val="24"/>
        </w:rPr>
      </w:pPr>
      <w:r>
        <w:rPr>
          <w:noProof/>
        </w:rPr>
        <w:lastRenderedPageBreak/>
        <w:t>5.11.2.</w:t>
      </w:r>
      <w:r>
        <w:rPr>
          <w:noProof/>
        </w:rPr>
        <w:tab/>
        <w:t>Informations conformément au point 4.6 de l’annexe I du règlement (UE) n</w:t>
      </w:r>
      <w:r>
        <w:rPr>
          <w:noProof/>
          <w:vertAlign w:val="superscript"/>
        </w:rPr>
        <w:t>o</w:t>
      </w:r>
      <w:r>
        <w:rPr>
          <w:noProof/>
        </w:rPr>
        <w:t> 65/2012 de la Commission</w:t>
      </w:r>
      <w:r>
        <w:rPr>
          <w:rStyle w:val="FootnoteReference"/>
          <w:noProof/>
        </w:rPr>
        <w:footnoteReference w:id="7"/>
      </w:r>
      <w:r>
        <w:rPr>
          <w:noProof/>
        </w:rPr>
        <w:t xml:space="preserve"> (valeur déclarée par le constructeur)</w:t>
      </w:r>
    </w:p>
    <w:p>
      <w:pPr>
        <w:spacing w:after="0"/>
        <w:ind w:left="1701" w:hanging="1701"/>
        <w:rPr>
          <w:rFonts w:eastAsia="Arial Unicode MS"/>
          <w:noProof/>
          <w:szCs w:val="24"/>
        </w:rPr>
      </w:pPr>
      <w:r>
        <w:rPr>
          <w:noProof/>
        </w:rPr>
        <w:t>5.11.3.</w:t>
      </w:r>
      <w:r>
        <w:rPr>
          <w:noProof/>
        </w:rPr>
        <w:tab/>
        <w:t>Photos et/ou dessins de l’indicateur de changement de vitesse et description succincte des composants et du fonctionnement du système:</w:t>
      </w:r>
    </w:p>
    <w:p>
      <w:pPr>
        <w:spacing w:before="360"/>
        <w:ind w:left="1701" w:hanging="1701"/>
        <w:jc w:val="left"/>
        <w:rPr>
          <w:rFonts w:eastAsia="Arial Unicode MS"/>
          <w:b/>
          <w:bCs/>
          <w:noProof/>
          <w:szCs w:val="24"/>
        </w:rPr>
      </w:pPr>
      <w:r>
        <w:rPr>
          <w:b/>
          <w:noProof/>
        </w:rPr>
        <w:t>6.</w:t>
      </w:r>
      <w:r>
        <w:rPr>
          <w:noProof/>
        </w:rPr>
        <w:tab/>
      </w:r>
      <w:r>
        <w:rPr>
          <w:b/>
          <w:noProof/>
        </w:rPr>
        <w:t xml:space="preserve">ESSIEUX </w:t>
      </w:r>
    </w:p>
    <w:p>
      <w:pPr>
        <w:spacing w:after="0"/>
        <w:ind w:left="1701" w:hanging="1701"/>
        <w:rPr>
          <w:rFonts w:eastAsia="Arial Unicode MS"/>
          <w:noProof/>
          <w:szCs w:val="24"/>
        </w:rPr>
      </w:pPr>
      <w:r>
        <w:rPr>
          <w:noProof/>
        </w:rPr>
        <w:t>6.1.</w:t>
      </w:r>
      <w:r>
        <w:rPr>
          <w:noProof/>
        </w:rPr>
        <w:tab/>
        <w:t>Description de chaque essieu: …</w:t>
      </w:r>
    </w:p>
    <w:p>
      <w:pPr>
        <w:spacing w:after="0"/>
        <w:ind w:left="1701" w:hanging="1701"/>
        <w:rPr>
          <w:rFonts w:eastAsia="Arial Unicode MS"/>
          <w:noProof/>
          <w:szCs w:val="24"/>
        </w:rPr>
      </w:pPr>
      <w:r>
        <w:rPr>
          <w:noProof/>
        </w:rPr>
        <w:t>6.2.</w:t>
      </w:r>
      <w:r>
        <w:rPr>
          <w:noProof/>
        </w:rPr>
        <w:tab/>
        <w:t>Marque: …</w:t>
      </w:r>
    </w:p>
    <w:p>
      <w:pPr>
        <w:spacing w:after="0"/>
        <w:ind w:left="1701" w:hanging="1701"/>
        <w:rPr>
          <w:rFonts w:eastAsia="Arial Unicode MS"/>
          <w:noProof/>
          <w:szCs w:val="24"/>
        </w:rPr>
      </w:pPr>
      <w:r>
        <w:rPr>
          <w:noProof/>
        </w:rPr>
        <w:t>6.3.</w:t>
      </w:r>
      <w:r>
        <w:rPr>
          <w:noProof/>
        </w:rPr>
        <w:tab/>
        <w:t>Type: …</w:t>
      </w:r>
    </w:p>
    <w:p>
      <w:pPr>
        <w:spacing w:after="0"/>
        <w:ind w:left="1701" w:hanging="1701"/>
        <w:rPr>
          <w:rFonts w:eastAsia="Arial Unicode MS"/>
          <w:noProof/>
          <w:szCs w:val="24"/>
        </w:rPr>
      </w:pPr>
      <w:r>
        <w:rPr>
          <w:noProof/>
        </w:rPr>
        <w:t>6.4.</w:t>
      </w:r>
      <w:r>
        <w:rPr>
          <w:noProof/>
        </w:rPr>
        <w:tab/>
        <w:t>Emplacement du ou des essieux rétractables: …</w:t>
      </w:r>
    </w:p>
    <w:p>
      <w:pPr>
        <w:spacing w:after="0"/>
        <w:ind w:left="1701" w:hanging="1701"/>
        <w:rPr>
          <w:rFonts w:eastAsia="Arial Unicode MS"/>
          <w:noProof/>
          <w:szCs w:val="24"/>
        </w:rPr>
      </w:pPr>
      <w:r>
        <w:rPr>
          <w:noProof/>
        </w:rPr>
        <w:t>6.5.</w:t>
      </w:r>
      <w:r>
        <w:rPr>
          <w:noProof/>
        </w:rPr>
        <w:tab/>
        <w:t>Emplacement du ou des essieux chargeables: …</w:t>
      </w:r>
    </w:p>
    <w:p>
      <w:pPr>
        <w:spacing w:before="360" w:after="240"/>
        <w:ind w:left="1701" w:hanging="1701"/>
        <w:jc w:val="left"/>
        <w:rPr>
          <w:rFonts w:eastAsia="Arial Unicode MS"/>
          <w:b/>
          <w:bCs/>
          <w:noProof/>
          <w:szCs w:val="24"/>
        </w:rPr>
      </w:pPr>
      <w:r>
        <w:rPr>
          <w:b/>
          <w:noProof/>
        </w:rPr>
        <w:t>7.</w:t>
      </w:r>
      <w:r>
        <w:rPr>
          <w:noProof/>
        </w:rPr>
        <w:tab/>
      </w:r>
      <w:r>
        <w:rPr>
          <w:b/>
          <w:noProof/>
        </w:rPr>
        <w:t xml:space="preserve">SUSPENSION </w:t>
      </w:r>
    </w:p>
    <w:p>
      <w:pPr>
        <w:spacing w:before="240" w:after="0"/>
        <w:ind w:left="1701" w:hanging="1701"/>
        <w:rPr>
          <w:rFonts w:eastAsia="Arial Unicode MS"/>
          <w:noProof/>
          <w:szCs w:val="24"/>
        </w:rPr>
      </w:pPr>
      <w:r>
        <w:rPr>
          <w:noProof/>
        </w:rPr>
        <w:t>7.1.</w:t>
      </w:r>
      <w:r>
        <w:rPr>
          <w:noProof/>
        </w:rPr>
        <w:tab/>
        <w:t>Dessin des organes de suspension: …</w:t>
      </w:r>
    </w:p>
    <w:p>
      <w:pPr>
        <w:spacing w:before="240" w:after="0"/>
        <w:ind w:left="1701" w:hanging="1701"/>
        <w:rPr>
          <w:rFonts w:eastAsia="Arial Unicode MS"/>
          <w:noProof/>
          <w:szCs w:val="24"/>
        </w:rPr>
      </w:pPr>
      <w:r>
        <w:rPr>
          <w:noProof/>
        </w:rPr>
        <w:t>7.2.</w:t>
      </w:r>
      <w:r>
        <w:rPr>
          <w:noProof/>
        </w:rPr>
        <w:tab/>
        <w:t>Type et nature de la suspension de chaque essieu, groupe d’essieux ou roue: …</w:t>
      </w:r>
    </w:p>
    <w:p>
      <w:pPr>
        <w:spacing w:after="0"/>
        <w:ind w:left="1701" w:hanging="1701"/>
        <w:rPr>
          <w:rFonts w:eastAsia="Arial Unicode MS"/>
          <w:noProof/>
          <w:szCs w:val="24"/>
        </w:rPr>
      </w:pPr>
      <w:r>
        <w:rPr>
          <w:noProof/>
        </w:rPr>
        <w:t>7.2.1.</w:t>
      </w:r>
      <w:r>
        <w:rPr>
          <w:noProof/>
        </w:rPr>
        <w:tab/>
        <w:t>Réglage du niveau: oui/non/en option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Description succincte des composants électriques/électroniques (le cas échéant): …</w:t>
      </w:r>
    </w:p>
    <w:p>
      <w:pPr>
        <w:spacing w:after="0"/>
        <w:ind w:left="1701" w:hanging="1701"/>
        <w:rPr>
          <w:rFonts w:eastAsia="Arial Unicode MS"/>
          <w:noProof/>
          <w:szCs w:val="24"/>
        </w:rPr>
      </w:pPr>
      <w:r>
        <w:rPr>
          <w:noProof/>
        </w:rPr>
        <w:t>7.2.3.</w:t>
      </w:r>
      <w:r>
        <w:rPr>
          <w:noProof/>
        </w:rPr>
        <w:tab/>
        <w:t>Suspension pneumatique pour le ou les essieux moteurs: oui/non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Suspension du ou des essieux moteurs équivalente à une suspension pneumatique: oui/non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Fréquence et amortissement de l’oscillation de la masse suspendue: …</w:t>
      </w:r>
    </w:p>
    <w:p>
      <w:pPr>
        <w:spacing w:after="0"/>
        <w:ind w:left="1701" w:hanging="1701"/>
        <w:rPr>
          <w:rFonts w:eastAsia="Arial Unicode MS"/>
          <w:noProof/>
          <w:szCs w:val="24"/>
        </w:rPr>
      </w:pPr>
      <w:r>
        <w:rPr>
          <w:noProof/>
        </w:rPr>
        <w:t>7.2.4.</w:t>
      </w:r>
      <w:r>
        <w:rPr>
          <w:noProof/>
        </w:rPr>
        <w:tab/>
        <w:t>Suspension pneumatique pour le ou les essieux non moteurs: oui/non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Suspension du ou des essieux non moteurs équivalente à une suspension pneumatique: oui/non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Fréquence et amortissement de l’oscillation de la masse suspendue: …</w:t>
      </w:r>
    </w:p>
    <w:p>
      <w:pPr>
        <w:spacing w:before="240" w:after="0"/>
        <w:ind w:left="1701" w:hanging="1701"/>
        <w:rPr>
          <w:rFonts w:eastAsia="Arial Unicode MS"/>
          <w:noProof/>
          <w:szCs w:val="24"/>
        </w:rPr>
      </w:pPr>
      <w:r>
        <w:rPr>
          <w:noProof/>
        </w:rPr>
        <w:t>7.3.</w:t>
      </w:r>
      <w:r>
        <w:rPr>
          <w:noProof/>
        </w:rPr>
        <w:tab/>
      </w:r>
      <w:r>
        <w:rPr>
          <w:b/>
          <w:noProof/>
        </w:rPr>
        <w:t>Caractéristiques des éléments élastiques de la suspension</w:t>
      </w:r>
      <w:r>
        <w:rPr>
          <w:noProof/>
        </w:rPr>
        <w:t xml:space="preserve"> (nature, caractéristiques des matériaux et dimensions): …</w:t>
      </w:r>
    </w:p>
    <w:p>
      <w:pPr>
        <w:spacing w:before="240" w:after="0"/>
        <w:ind w:left="1701" w:hanging="1701"/>
        <w:rPr>
          <w:rFonts w:eastAsia="Arial Unicode MS"/>
          <w:noProof/>
          <w:szCs w:val="24"/>
        </w:rPr>
      </w:pPr>
      <w:r>
        <w:rPr>
          <w:noProof/>
        </w:rPr>
        <w:t>7.4.</w:t>
      </w:r>
      <w:r>
        <w:rPr>
          <w:noProof/>
        </w:rPr>
        <w:tab/>
      </w:r>
      <w:r>
        <w:rPr>
          <w:b/>
          <w:noProof/>
        </w:rPr>
        <w:t>Stabilisateurs:</w:t>
      </w:r>
      <w:r>
        <w:rPr>
          <w:noProof/>
        </w:rPr>
        <w:t xml:space="preserve"> oui/non/en option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noProof/>
        </w:rPr>
        <w:t>Amortisseurs:</w:t>
      </w:r>
      <w:r>
        <w:rPr>
          <w:noProof/>
        </w:rPr>
        <w:t xml:space="preserve"> oui/non/en option (</w:t>
      </w:r>
      <w:r>
        <w:rPr>
          <w:noProof/>
          <w:vertAlign w:val="superscript"/>
        </w:rPr>
        <w:t>1</w:t>
      </w:r>
      <w:r>
        <w:rPr>
          <w:noProof/>
        </w:rPr>
        <w:t>)</w:t>
      </w:r>
    </w:p>
    <w:p>
      <w:pPr>
        <w:spacing w:before="240"/>
        <w:ind w:left="1701" w:hanging="1701"/>
        <w:jc w:val="left"/>
        <w:rPr>
          <w:rFonts w:eastAsia="Arial Unicode MS"/>
          <w:b/>
          <w:bCs/>
          <w:noProof/>
          <w:szCs w:val="24"/>
        </w:rPr>
      </w:pPr>
      <w:r>
        <w:rPr>
          <w:noProof/>
        </w:rPr>
        <w:t>7.6.</w:t>
      </w:r>
      <w:r>
        <w:rPr>
          <w:noProof/>
        </w:rPr>
        <w:tab/>
      </w:r>
      <w:r>
        <w:rPr>
          <w:b/>
          <w:noProof/>
        </w:rPr>
        <w:t xml:space="preserve">Pneumatiques et roues </w:t>
      </w:r>
    </w:p>
    <w:p>
      <w:pPr>
        <w:spacing w:before="240"/>
        <w:ind w:left="1701" w:hanging="1701"/>
        <w:jc w:val="left"/>
        <w:rPr>
          <w:rFonts w:eastAsia="Arial Unicode MS"/>
          <w:b/>
          <w:bCs/>
          <w:noProof/>
          <w:szCs w:val="24"/>
        </w:rPr>
      </w:pPr>
      <w:r>
        <w:rPr>
          <w:noProof/>
        </w:rPr>
        <w:lastRenderedPageBreak/>
        <w:t>7.6.1.</w:t>
      </w:r>
      <w:r>
        <w:rPr>
          <w:noProof/>
        </w:rPr>
        <w:tab/>
      </w:r>
      <w:r>
        <w:rPr>
          <w:i/>
          <w:noProof/>
        </w:rPr>
        <w:t>Combinaisons pneumatiques/roues:</w:t>
      </w:r>
      <w:r>
        <w:rPr>
          <w:b/>
          <w:noProof/>
        </w:rPr>
        <w:t xml:space="preserve"> </w:t>
      </w:r>
    </w:p>
    <w:p>
      <w:pPr>
        <w:pStyle w:val="Point2"/>
        <w:ind w:left="2160" w:hanging="480"/>
        <w:rPr>
          <w:noProof/>
        </w:rPr>
      </w:pPr>
      <w:r>
        <w:rPr>
          <w:noProof/>
        </w:rPr>
        <w:t>a)</w:t>
      </w:r>
      <w:r>
        <w:rPr>
          <w:noProof/>
        </w:rPr>
        <w:tab/>
        <w:t>pour les pneumatiques, indiquer la désignation de la dimension, l’indice de capacité de charge, le symbole de catégorie de vitesse, la résistance au roulement conformément à la norme ISO 28580 (s’il y a lieu) (</w:t>
      </w:r>
      <w:r>
        <w:rPr>
          <w:noProof/>
          <w:vertAlign w:val="superscript"/>
        </w:rPr>
        <w:t>r</w:t>
      </w:r>
      <w:r>
        <w:rPr>
          <w:noProof/>
        </w:rPr>
        <w:t>);</w:t>
      </w:r>
    </w:p>
    <w:p>
      <w:pPr>
        <w:pStyle w:val="Point2"/>
        <w:ind w:left="2160" w:hanging="480"/>
        <w:rPr>
          <w:noProof/>
        </w:rPr>
      </w:pPr>
      <w:r>
        <w:rPr>
          <w:noProof/>
        </w:rPr>
        <w:t>b)</w:t>
      </w:r>
      <w:r>
        <w:rPr>
          <w:noProof/>
        </w:rPr>
        <w:tab/>
        <w:t>pour les roues, indiquer la ou les dimensions et le ou les déports de la jante.</w:t>
      </w:r>
    </w:p>
    <w:p>
      <w:pPr>
        <w:spacing w:after="0"/>
        <w:ind w:left="1701" w:hanging="1701"/>
        <w:rPr>
          <w:rFonts w:eastAsia="Arial Unicode MS"/>
          <w:noProof/>
          <w:szCs w:val="24"/>
        </w:rPr>
      </w:pPr>
      <w:r>
        <w:rPr>
          <w:noProof/>
        </w:rPr>
        <w:t>7.6.1.1.</w:t>
      </w:r>
      <w:r>
        <w:rPr>
          <w:noProof/>
        </w:rPr>
        <w:tab/>
        <w:t>Essieux</w:t>
      </w:r>
    </w:p>
    <w:p>
      <w:pPr>
        <w:spacing w:after="0"/>
        <w:ind w:left="1701" w:hanging="1701"/>
        <w:rPr>
          <w:rFonts w:eastAsia="Arial Unicode MS"/>
          <w:noProof/>
          <w:szCs w:val="24"/>
        </w:rPr>
      </w:pPr>
      <w:r>
        <w:rPr>
          <w:noProof/>
        </w:rPr>
        <w:t>7.6.1.1.1.</w:t>
      </w:r>
      <w:r>
        <w:rPr>
          <w:noProof/>
        </w:rPr>
        <w:tab/>
        <w:t>Essieu 1: …</w:t>
      </w:r>
    </w:p>
    <w:p>
      <w:pPr>
        <w:spacing w:after="0"/>
        <w:ind w:left="1701" w:hanging="1701"/>
        <w:rPr>
          <w:rFonts w:eastAsia="Arial Unicode MS"/>
          <w:noProof/>
          <w:szCs w:val="24"/>
        </w:rPr>
      </w:pPr>
      <w:r>
        <w:rPr>
          <w:noProof/>
        </w:rPr>
        <w:t>7.6.1.1.2.</w:t>
      </w:r>
      <w:r>
        <w:rPr>
          <w:noProof/>
        </w:rPr>
        <w:tab/>
        <w:t>Essieu 2: …</w:t>
      </w:r>
    </w:p>
    <w:p>
      <w:pPr>
        <w:ind w:left="1701"/>
        <w:rPr>
          <w:rFonts w:eastAsia="Arial Unicode MS"/>
          <w:noProof/>
          <w:szCs w:val="24"/>
        </w:rPr>
      </w:pPr>
      <w:r>
        <w:rPr>
          <w:noProof/>
        </w:rPr>
        <w:t>etc.</w:t>
      </w:r>
    </w:p>
    <w:p>
      <w:pPr>
        <w:spacing w:after="0"/>
        <w:ind w:left="1701" w:hanging="1701"/>
        <w:rPr>
          <w:rFonts w:eastAsia="Arial Unicode MS"/>
          <w:noProof/>
          <w:szCs w:val="24"/>
        </w:rPr>
      </w:pPr>
      <w:r>
        <w:rPr>
          <w:noProof/>
        </w:rPr>
        <w:t>7.6.1.2.</w:t>
      </w:r>
      <w:r>
        <w:rPr>
          <w:noProof/>
        </w:rPr>
        <w:tab/>
        <w:t>Roue de secours, le cas échéant: …</w:t>
      </w:r>
    </w:p>
    <w:p>
      <w:pPr>
        <w:spacing w:before="240"/>
        <w:ind w:left="1701" w:hanging="1701"/>
        <w:jc w:val="left"/>
        <w:rPr>
          <w:rFonts w:eastAsia="Arial Unicode MS"/>
          <w:bCs/>
          <w:noProof/>
          <w:szCs w:val="24"/>
        </w:rPr>
      </w:pPr>
      <w:r>
        <w:rPr>
          <w:noProof/>
        </w:rPr>
        <w:t>7.6.2.</w:t>
      </w:r>
      <w:r>
        <w:rPr>
          <w:noProof/>
        </w:rPr>
        <w:tab/>
      </w:r>
      <w:r>
        <w:rPr>
          <w:i/>
          <w:noProof/>
        </w:rPr>
        <w:t>Limite supérieure et limite inférieure des rayons de roulement</w:t>
      </w:r>
      <w:r>
        <w:rPr>
          <w:noProof/>
        </w:rPr>
        <w:t xml:space="preserve"> </w:t>
      </w:r>
    </w:p>
    <w:p>
      <w:pPr>
        <w:spacing w:after="0"/>
        <w:ind w:left="1701" w:hanging="1701"/>
        <w:rPr>
          <w:rFonts w:eastAsia="Arial Unicode MS"/>
          <w:noProof/>
          <w:szCs w:val="24"/>
        </w:rPr>
      </w:pPr>
      <w:r>
        <w:rPr>
          <w:noProof/>
        </w:rPr>
        <w:t>7.6.2.1.</w:t>
      </w:r>
      <w:r>
        <w:rPr>
          <w:noProof/>
        </w:rPr>
        <w:tab/>
        <w:t>Essieu 1: …</w:t>
      </w:r>
    </w:p>
    <w:p>
      <w:pPr>
        <w:spacing w:after="0"/>
        <w:ind w:left="1701" w:hanging="1701"/>
        <w:rPr>
          <w:rFonts w:eastAsia="Arial Unicode MS"/>
          <w:noProof/>
          <w:szCs w:val="24"/>
        </w:rPr>
      </w:pPr>
      <w:r>
        <w:rPr>
          <w:noProof/>
        </w:rPr>
        <w:t>7.6.2.2.</w:t>
      </w:r>
      <w:r>
        <w:rPr>
          <w:noProof/>
        </w:rPr>
        <w:tab/>
        <w:t>Essieu 2: …</w:t>
      </w:r>
    </w:p>
    <w:p>
      <w:pPr>
        <w:spacing w:after="0"/>
        <w:ind w:left="1701" w:hanging="1701"/>
        <w:rPr>
          <w:rFonts w:eastAsia="Arial Unicode MS"/>
          <w:noProof/>
          <w:szCs w:val="24"/>
        </w:rPr>
      </w:pPr>
      <w:r>
        <w:rPr>
          <w:noProof/>
        </w:rPr>
        <w:t>7.6.2.3.</w:t>
      </w:r>
      <w:r>
        <w:rPr>
          <w:noProof/>
        </w:rPr>
        <w:tab/>
        <w:t>Essieu 3: …</w:t>
      </w:r>
    </w:p>
    <w:p>
      <w:pPr>
        <w:spacing w:after="0"/>
        <w:ind w:left="1701" w:hanging="1701"/>
        <w:rPr>
          <w:rFonts w:eastAsia="Arial Unicode MS"/>
          <w:noProof/>
          <w:szCs w:val="24"/>
        </w:rPr>
      </w:pPr>
      <w:r>
        <w:rPr>
          <w:noProof/>
        </w:rPr>
        <w:t>7.6.2.4.</w:t>
      </w:r>
      <w:r>
        <w:rPr>
          <w:noProof/>
        </w:rPr>
        <w:tab/>
        <w:t>Essieu 4: …</w:t>
      </w:r>
    </w:p>
    <w:p>
      <w:pPr>
        <w:ind w:left="1701"/>
        <w:rPr>
          <w:rFonts w:eastAsia="Arial Unicode MS"/>
          <w:noProof/>
          <w:szCs w:val="24"/>
        </w:rPr>
      </w:pPr>
      <w:r>
        <w:rPr>
          <w:noProof/>
        </w:rPr>
        <w:t>etc.</w:t>
      </w:r>
    </w:p>
    <w:p>
      <w:pPr>
        <w:spacing w:after="0"/>
        <w:ind w:left="1701" w:hanging="1701"/>
        <w:rPr>
          <w:rFonts w:eastAsia="Arial Unicode MS"/>
          <w:noProof/>
          <w:szCs w:val="24"/>
        </w:rPr>
      </w:pPr>
      <w:r>
        <w:rPr>
          <w:noProof/>
        </w:rPr>
        <w:t>7.6.3.</w:t>
      </w:r>
      <w:r>
        <w:rPr>
          <w:noProof/>
        </w:rPr>
        <w:tab/>
      </w:r>
      <w:r>
        <w:rPr>
          <w:i/>
          <w:noProof/>
        </w:rPr>
        <w:t>Pression(s) des pneumatiques recommandée(s) par le constructeur du véhicule:</w:t>
      </w:r>
      <w:r>
        <w:rPr>
          <w:noProof/>
        </w:rPr>
        <w:t xml:space="preserve"> …… kPa</w:t>
      </w:r>
    </w:p>
    <w:p>
      <w:pPr>
        <w:spacing w:after="0"/>
        <w:ind w:left="1701" w:hanging="1701"/>
        <w:rPr>
          <w:rFonts w:eastAsia="Arial Unicode MS"/>
          <w:noProof/>
          <w:szCs w:val="24"/>
        </w:rPr>
      </w:pPr>
      <w:r>
        <w:rPr>
          <w:noProof/>
        </w:rPr>
        <w:t>7.6.4.</w:t>
      </w:r>
      <w:r>
        <w:rPr>
          <w:noProof/>
        </w:rPr>
        <w:tab/>
      </w:r>
      <w:r>
        <w:rPr>
          <w:i/>
          <w:noProof/>
        </w:rPr>
        <w:t>Combinaison chaîne/pneumatique/roue sur l’essieu avant et/ou arrière adaptée au type de véhicule, selon les recommandations du constructeur:</w:t>
      </w:r>
      <w:r>
        <w:rPr>
          <w:noProof/>
        </w:rPr>
        <w:t xml:space="preserve"> …</w:t>
      </w:r>
    </w:p>
    <w:p>
      <w:pPr>
        <w:spacing w:after="0"/>
        <w:ind w:left="1701" w:hanging="1701"/>
        <w:rPr>
          <w:rFonts w:eastAsia="Arial Unicode MS"/>
          <w:noProof/>
          <w:szCs w:val="24"/>
        </w:rPr>
      </w:pPr>
      <w:r>
        <w:rPr>
          <w:noProof/>
        </w:rPr>
        <w:t>7.6.5.</w:t>
      </w:r>
      <w:r>
        <w:rPr>
          <w:noProof/>
        </w:rPr>
        <w:tab/>
      </w:r>
      <w:r>
        <w:rPr>
          <w:i/>
          <w:noProof/>
        </w:rPr>
        <w:t>Description succincte de l’unité de secours à usage temporaire (le cas échéant):</w:t>
      </w:r>
      <w:r>
        <w:rPr>
          <w:noProof/>
        </w:rPr>
        <w:t xml:space="preserve"> …</w:t>
      </w:r>
    </w:p>
    <w:p>
      <w:pPr>
        <w:spacing w:before="240" w:after="240"/>
        <w:ind w:left="1701" w:hanging="1701"/>
        <w:jc w:val="left"/>
        <w:rPr>
          <w:rFonts w:eastAsia="Arial Unicode MS"/>
          <w:b/>
          <w:bCs/>
          <w:noProof/>
          <w:szCs w:val="24"/>
        </w:rPr>
      </w:pPr>
      <w:r>
        <w:rPr>
          <w:b/>
          <w:noProof/>
        </w:rPr>
        <w:t>8.</w:t>
      </w:r>
      <w:r>
        <w:rPr>
          <w:noProof/>
        </w:rPr>
        <w:tab/>
      </w:r>
      <w:r>
        <w:rPr>
          <w:b/>
          <w:noProof/>
        </w:rPr>
        <w:t xml:space="preserve">DIRECTION </w:t>
      </w:r>
    </w:p>
    <w:p>
      <w:pPr>
        <w:spacing w:after="0"/>
        <w:ind w:left="1701" w:hanging="1701"/>
        <w:rPr>
          <w:rFonts w:eastAsia="Arial Unicode MS"/>
          <w:noProof/>
          <w:szCs w:val="24"/>
        </w:rPr>
      </w:pPr>
      <w:r>
        <w:rPr>
          <w:noProof/>
        </w:rPr>
        <w:t>8.1.</w:t>
      </w:r>
      <w:r>
        <w:rPr>
          <w:noProof/>
        </w:rPr>
        <w:tab/>
      </w:r>
      <w:r>
        <w:rPr>
          <w:b/>
          <w:noProof/>
        </w:rPr>
        <w:t>Schéma du ou des essieux directeurs montrant la géométrie de la direction:</w:t>
      </w:r>
      <w:r>
        <w:rPr>
          <w:noProof/>
        </w:rPr>
        <w:t xml:space="preserve"> …</w:t>
      </w:r>
    </w:p>
    <w:p>
      <w:pPr>
        <w:ind w:left="1701" w:hanging="1701"/>
        <w:jc w:val="left"/>
        <w:rPr>
          <w:rFonts w:eastAsia="Arial Unicode MS"/>
          <w:b/>
          <w:bCs/>
          <w:noProof/>
          <w:szCs w:val="24"/>
        </w:rPr>
      </w:pPr>
      <w:r>
        <w:rPr>
          <w:noProof/>
        </w:rPr>
        <w:t>8.2.</w:t>
      </w:r>
      <w:r>
        <w:rPr>
          <w:noProof/>
        </w:rPr>
        <w:tab/>
      </w:r>
      <w:r>
        <w:rPr>
          <w:b/>
          <w:noProof/>
        </w:rPr>
        <w:t>Timonerie et commande</w:t>
      </w:r>
    </w:p>
    <w:p>
      <w:pPr>
        <w:spacing w:after="0"/>
        <w:ind w:left="1701" w:hanging="1701"/>
        <w:rPr>
          <w:rFonts w:eastAsia="Arial Unicode MS"/>
          <w:noProof/>
          <w:szCs w:val="24"/>
        </w:rPr>
      </w:pPr>
      <w:r>
        <w:rPr>
          <w:noProof/>
        </w:rPr>
        <w:t>8.2.1.</w:t>
      </w:r>
      <w:r>
        <w:rPr>
          <w:noProof/>
        </w:rPr>
        <w:tab/>
        <w:t>Type de timonerie de direction (le cas échéant, préciser pour l’avant et l’arrière): …</w:t>
      </w:r>
    </w:p>
    <w:p>
      <w:pPr>
        <w:spacing w:after="0"/>
        <w:ind w:left="1701" w:hanging="1701"/>
        <w:rPr>
          <w:rFonts w:eastAsia="Arial Unicode MS"/>
          <w:noProof/>
          <w:szCs w:val="24"/>
        </w:rPr>
      </w:pPr>
      <w:r>
        <w:rPr>
          <w:noProof/>
        </w:rPr>
        <w:t>8.2.2.</w:t>
      </w:r>
      <w:r>
        <w:rPr>
          <w:noProof/>
        </w:rPr>
        <w:tab/>
        <w:t>Transmission aux roues (y compris les moyens autres que mécaniques; le cas échéant, préciser pour l’avant et l’arrière): …</w:t>
      </w:r>
    </w:p>
    <w:p>
      <w:pPr>
        <w:spacing w:after="0"/>
        <w:ind w:left="1701" w:hanging="1701"/>
        <w:rPr>
          <w:rFonts w:eastAsia="Arial Unicode MS"/>
          <w:noProof/>
          <w:szCs w:val="24"/>
        </w:rPr>
      </w:pPr>
      <w:r>
        <w:rPr>
          <w:noProof/>
        </w:rPr>
        <w:t>8.2.2.1.</w:t>
      </w:r>
      <w:r>
        <w:rPr>
          <w:noProof/>
        </w:rPr>
        <w:tab/>
        <w:t>Description succincte des composants électriques/électroniques (le cas échéant): …</w:t>
      </w:r>
    </w:p>
    <w:p>
      <w:pPr>
        <w:spacing w:after="0"/>
        <w:ind w:left="1701" w:hanging="1701"/>
        <w:rPr>
          <w:rFonts w:eastAsia="Arial Unicode MS"/>
          <w:noProof/>
          <w:szCs w:val="24"/>
        </w:rPr>
      </w:pPr>
      <w:r>
        <w:rPr>
          <w:noProof/>
        </w:rPr>
        <w:t>8.2.3.</w:t>
      </w:r>
      <w:r>
        <w:rPr>
          <w:noProof/>
        </w:rPr>
        <w:tab/>
        <w:t>Mode d’assistance (le cas échéant): …</w:t>
      </w:r>
    </w:p>
    <w:p>
      <w:pPr>
        <w:spacing w:after="0"/>
        <w:ind w:left="1701" w:hanging="1701"/>
        <w:rPr>
          <w:rFonts w:eastAsia="Arial Unicode MS"/>
          <w:noProof/>
          <w:szCs w:val="24"/>
        </w:rPr>
      </w:pPr>
      <w:r>
        <w:rPr>
          <w:noProof/>
        </w:rPr>
        <w:t>8.2.3.1.</w:t>
      </w:r>
      <w:r>
        <w:rPr>
          <w:noProof/>
        </w:rPr>
        <w:tab/>
        <w:t>Mode et schéma de fonctionnement, marque(s) et type(s): …</w:t>
      </w:r>
    </w:p>
    <w:p>
      <w:pPr>
        <w:spacing w:after="0"/>
        <w:ind w:left="1701" w:hanging="1701"/>
        <w:rPr>
          <w:rFonts w:eastAsia="Arial Unicode MS"/>
          <w:noProof/>
          <w:szCs w:val="24"/>
        </w:rPr>
      </w:pPr>
      <w:r>
        <w:rPr>
          <w:noProof/>
        </w:rPr>
        <w:lastRenderedPageBreak/>
        <w:t>8.2.4.</w:t>
      </w:r>
      <w:r>
        <w:rPr>
          <w:noProof/>
        </w:rPr>
        <w:tab/>
        <w:t>Schéma de l’ensemble de l’équipement de direction, indiquant l’emplacement sur le véhicule des divers dispositifs influant sur le comportement de la direction: …</w:t>
      </w:r>
    </w:p>
    <w:p>
      <w:pPr>
        <w:spacing w:after="0"/>
        <w:ind w:left="1701" w:hanging="1701"/>
        <w:rPr>
          <w:rFonts w:eastAsia="Arial Unicode MS"/>
          <w:noProof/>
          <w:szCs w:val="24"/>
        </w:rPr>
      </w:pPr>
      <w:r>
        <w:rPr>
          <w:noProof/>
        </w:rPr>
        <w:t>8.2.5.</w:t>
      </w:r>
      <w:r>
        <w:rPr>
          <w:noProof/>
        </w:rPr>
        <w:tab/>
        <w:t>Schéma(s) de la ou des commandes de direction: …</w:t>
      </w:r>
    </w:p>
    <w:p>
      <w:pPr>
        <w:spacing w:after="0"/>
        <w:ind w:left="1701" w:hanging="1701"/>
        <w:rPr>
          <w:rFonts w:eastAsia="Arial Unicode MS"/>
          <w:noProof/>
          <w:szCs w:val="24"/>
        </w:rPr>
      </w:pPr>
      <w:r>
        <w:rPr>
          <w:noProof/>
        </w:rPr>
        <w:t>8.2.6.</w:t>
      </w:r>
      <w:r>
        <w:rPr>
          <w:noProof/>
        </w:rPr>
        <w:tab/>
        <w:t>Plage et méthode de réglage (le cas échéant) de la commande de direction: …</w:t>
      </w:r>
    </w:p>
    <w:p>
      <w:pPr>
        <w:spacing w:before="240"/>
        <w:ind w:left="1701" w:hanging="1701"/>
        <w:jc w:val="left"/>
        <w:rPr>
          <w:rFonts w:eastAsia="Arial Unicode MS"/>
          <w:b/>
          <w:bCs/>
          <w:noProof/>
          <w:szCs w:val="24"/>
        </w:rPr>
      </w:pPr>
      <w:r>
        <w:rPr>
          <w:noProof/>
        </w:rPr>
        <w:t>8.3.</w:t>
      </w:r>
      <w:r>
        <w:rPr>
          <w:noProof/>
        </w:rPr>
        <w:tab/>
      </w:r>
      <w:r>
        <w:rPr>
          <w:b/>
          <w:noProof/>
        </w:rPr>
        <w:t xml:space="preserve">Angle de braquage maximal des roues </w:t>
      </w:r>
    </w:p>
    <w:p>
      <w:pPr>
        <w:spacing w:after="0"/>
        <w:ind w:left="1701" w:hanging="1701"/>
        <w:rPr>
          <w:rFonts w:eastAsia="Arial Unicode MS"/>
          <w:noProof/>
          <w:szCs w:val="24"/>
        </w:rPr>
      </w:pPr>
      <w:r>
        <w:rPr>
          <w:noProof/>
        </w:rPr>
        <w:t>8.3.1.</w:t>
      </w:r>
      <w:r>
        <w:rPr>
          <w:noProof/>
        </w:rPr>
        <w:tab/>
        <w:t>Vers la droite: ... degrés; nombre de tours de volant (ou données équivalentes): …</w:t>
      </w:r>
    </w:p>
    <w:p>
      <w:pPr>
        <w:spacing w:after="0"/>
        <w:ind w:left="1701" w:hanging="1701"/>
        <w:rPr>
          <w:rFonts w:eastAsia="Arial Unicode MS"/>
          <w:noProof/>
          <w:szCs w:val="24"/>
        </w:rPr>
      </w:pPr>
      <w:r>
        <w:rPr>
          <w:noProof/>
        </w:rPr>
        <w:t>8.3.2.</w:t>
      </w:r>
      <w:r>
        <w:rPr>
          <w:noProof/>
        </w:rPr>
        <w:tab/>
        <w:t>Vers la gauche: ... degrés; nombre de tours de volant (ou données équivalentes): …</w:t>
      </w:r>
    </w:p>
    <w:p>
      <w:pPr>
        <w:spacing w:before="240"/>
        <w:ind w:left="1701" w:hanging="1701"/>
        <w:jc w:val="left"/>
        <w:rPr>
          <w:rFonts w:eastAsia="Arial Unicode MS"/>
          <w:b/>
          <w:bCs/>
          <w:noProof/>
          <w:szCs w:val="24"/>
        </w:rPr>
      </w:pPr>
      <w:r>
        <w:rPr>
          <w:b/>
          <w:noProof/>
        </w:rPr>
        <w:t>9.</w:t>
      </w:r>
      <w:r>
        <w:rPr>
          <w:noProof/>
        </w:rPr>
        <w:tab/>
      </w:r>
      <w:r>
        <w:rPr>
          <w:b/>
          <w:noProof/>
        </w:rPr>
        <w:t xml:space="preserve">FREINS </w:t>
      </w:r>
    </w:p>
    <w:p>
      <w:pPr>
        <w:spacing w:after="0"/>
        <w:ind w:left="1701"/>
        <w:rPr>
          <w:rFonts w:eastAsia="Arial Unicode MS"/>
          <w:noProof/>
          <w:szCs w:val="24"/>
        </w:rPr>
      </w:pPr>
      <w:r>
        <w:rPr>
          <w:noProof/>
        </w:rPr>
        <w:t>(Les renseignements suivants doivent être donnés avec, le cas échéant, indication des moyens d’identification.)</w:t>
      </w:r>
    </w:p>
    <w:p>
      <w:pPr>
        <w:spacing w:after="0"/>
        <w:ind w:left="1701" w:hanging="1701"/>
        <w:rPr>
          <w:rFonts w:eastAsia="Arial Unicode MS"/>
          <w:noProof/>
          <w:szCs w:val="24"/>
        </w:rPr>
      </w:pPr>
      <w:r>
        <w:rPr>
          <w:noProof/>
        </w:rPr>
        <w:t>9.1.</w:t>
      </w:r>
      <w:r>
        <w:rPr>
          <w:noProof/>
        </w:rPr>
        <w:tab/>
        <w:t>Type et caractéristiques des freins, au sens du paragraphe 2.6 du règlement n</w:t>
      </w:r>
      <w:r>
        <w:rPr>
          <w:noProof/>
          <w:vertAlign w:val="superscript"/>
        </w:rPr>
        <w:t>o</w:t>
      </w:r>
      <w:r>
        <w:rPr>
          <w:noProof/>
        </w:rPr>
        <w:t> 13-H de la CEE-ONU, y compris détails et dessins des tambours, disques et flexibles, marque et type des assemblages mâchoire/plaquette et/ou des garnitures, surfaces de freinage effectives, rayons des tambours, mâchoires ou disques, masse des tambours, dispositifs de réglage, parties concernées des essieux et de la suspension: …</w:t>
      </w:r>
    </w:p>
    <w:p>
      <w:pPr>
        <w:spacing w:after="0"/>
        <w:ind w:left="1701" w:hanging="1701"/>
        <w:rPr>
          <w:rFonts w:eastAsia="Arial Unicode MS"/>
          <w:noProof/>
          <w:szCs w:val="24"/>
        </w:rPr>
      </w:pPr>
      <w:r>
        <w:rPr>
          <w:noProof/>
        </w:rPr>
        <w:t>9.2.</w:t>
      </w:r>
      <w:r>
        <w:rPr>
          <w:noProof/>
        </w:rPr>
        <w:tab/>
        <w:t>Schéma de fonctionnement, description et/ou dessin de l’équipement de freinage décrit au paragraphe 2.3 du règlement n</w:t>
      </w:r>
      <w:r>
        <w:rPr>
          <w:noProof/>
          <w:vertAlign w:val="superscript"/>
        </w:rPr>
        <w:t>o</w:t>
      </w:r>
      <w:r>
        <w:rPr>
          <w:noProof/>
        </w:rPr>
        <w:t> 13-H de la CEE-ONU, y compris détails et dessins de la transmission et des commandes:</w:t>
      </w:r>
    </w:p>
    <w:p>
      <w:pPr>
        <w:spacing w:after="0"/>
        <w:ind w:left="1701" w:hanging="1701"/>
        <w:rPr>
          <w:rFonts w:eastAsia="Arial Unicode MS"/>
          <w:noProof/>
          <w:szCs w:val="24"/>
        </w:rPr>
      </w:pPr>
      <w:r>
        <w:rPr>
          <w:noProof/>
        </w:rPr>
        <w:t>9.2.1.</w:t>
      </w:r>
      <w:r>
        <w:rPr>
          <w:noProof/>
        </w:rPr>
        <w:tab/>
        <w:t>Système de freinage de service: …</w:t>
      </w:r>
    </w:p>
    <w:p>
      <w:pPr>
        <w:spacing w:after="0"/>
        <w:ind w:left="1701" w:hanging="1701"/>
        <w:rPr>
          <w:rFonts w:eastAsia="Arial Unicode MS"/>
          <w:noProof/>
          <w:szCs w:val="24"/>
        </w:rPr>
      </w:pPr>
      <w:r>
        <w:rPr>
          <w:noProof/>
        </w:rPr>
        <w:t>9.2.2.</w:t>
      </w:r>
      <w:r>
        <w:rPr>
          <w:noProof/>
        </w:rPr>
        <w:tab/>
        <w:t>Système de freinage de secours: …</w:t>
      </w:r>
    </w:p>
    <w:p>
      <w:pPr>
        <w:spacing w:after="0"/>
        <w:ind w:left="1701" w:hanging="1701"/>
        <w:rPr>
          <w:rFonts w:eastAsia="Arial Unicode MS"/>
          <w:noProof/>
          <w:szCs w:val="24"/>
        </w:rPr>
      </w:pPr>
      <w:r>
        <w:rPr>
          <w:noProof/>
        </w:rPr>
        <w:t>9.2.3.</w:t>
      </w:r>
      <w:r>
        <w:rPr>
          <w:noProof/>
        </w:rPr>
        <w:tab/>
        <w:t>Système de freinage de stationnement: …</w:t>
      </w:r>
    </w:p>
    <w:p>
      <w:pPr>
        <w:spacing w:after="0"/>
        <w:ind w:left="1701" w:hanging="1701"/>
        <w:rPr>
          <w:rFonts w:eastAsia="Arial Unicode MS"/>
          <w:noProof/>
          <w:szCs w:val="24"/>
        </w:rPr>
      </w:pPr>
      <w:r>
        <w:rPr>
          <w:noProof/>
        </w:rPr>
        <w:t>9.2.4.</w:t>
      </w:r>
      <w:r>
        <w:rPr>
          <w:noProof/>
        </w:rPr>
        <w:tab/>
        <w:t>Système de freinage supplémentaire éventuel: …</w:t>
      </w:r>
    </w:p>
    <w:p>
      <w:pPr>
        <w:spacing w:after="0"/>
        <w:ind w:left="1701" w:hanging="1701"/>
        <w:rPr>
          <w:rFonts w:eastAsia="Arial Unicode MS"/>
          <w:noProof/>
          <w:szCs w:val="24"/>
        </w:rPr>
      </w:pPr>
      <w:r>
        <w:rPr>
          <w:noProof/>
        </w:rPr>
        <w:t>9.2.5.</w:t>
      </w:r>
      <w:r>
        <w:rPr>
          <w:noProof/>
        </w:rPr>
        <w:tab/>
        <w:t>Système de freinage en cas de rupture d’attelage éventuel: …</w:t>
      </w:r>
    </w:p>
    <w:p>
      <w:pPr>
        <w:spacing w:after="0"/>
        <w:ind w:left="1701" w:hanging="1701"/>
        <w:rPr>
          <w:rFonts w:eastAsia="Arial Unicode MS"/>
          <w:noProof/>
          <w:szCs w:val="24"/>
        </w:rPr>
      </w:pPr>
      <w:r>
        <w:rPr>
          <w:noProof/>
        </w:rPr>
        <w:t>9.3.</w:t>
      </w:r>
      <w:r>
        <w:rPr>
          <w:noProof/>
        </w:rPr>
        <w:tab/>
        <w:t>Commande et transmission des systèmes de freinage de remorque des véhicules conçus pour tracter une remorque: …</w:t>
      </w:r>
    </w:p>
    <w:p>
      <w:pPr>
        <w:spacing w:after="0"/>
        <w:ind w:left="1701" w:hanging="1701"/>
        <w:rPr>
          <w:rFonts w:eastAsia="Arial Unicode MS"/>
          <w:noProof/>
          <w:szCs w:val="24"/>
        </w:rPr>
      </w:pPr>
      <w:r>
        <w:rPr>
          <w:noProof/>
        </w:rPr>
        <w:t>9.4.</w:t>
      </w:r>
      <w:r>
        <w:rPr>
          <w:noProof/>
        </w:rPr>
        <w:tab/>
        <w:t>Le véhicule est équipé pour tracter une remorque pourvue de freins de service électriques/pneumatiques/hydrauliques: oui/non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Système de freinage avec antiblocage des roues: oui/non/en option (</w:t>
      </w:r>
      <w:r>
        <w:rPr>
          <w:noProof/>
          <w:vertAlign w:val="superscript"/>
        </w:rPr>
        <w:t>1</w:t>
      </w:r>
      <w:r>
        <w:rPr>
          <w:noProof/>
        </w:rPr>
        <w:t>)</w:t>
      </w:r>
    </w:p>
    <w:p>
      <w:pPr>
        <w:spacing w:after="0"/>
        <w:ind w:left="1701" w:hanging="1701"/>
        <w:rPr>
          <w:rFonts w:eastAsia="Arial Unicode MS"/>
          <w:noProof/>
          <w:szCs w:val="24"/>
        </w:rPr>
      </w:pPr>
      <w:r>
        <w:rPr>
          <w:noProof/>
        </w:rPr>
        <w:t>9.5.1.</w:t>
      </w:r>
      <w:r>
        <w:rPr>
          <w:noProof/>
        </w:rPr>
        <w:tab/>
        <w:t>Pour les véhicules équipés de systèmes antiblocage, description du fonctionnement du système (y compris les éléments électroniques éventuels), schéma de principe électrique, plan des circuits hydrauliques ou pneumatiques: …</w:t>
      </w:r>
    </w:p>
    <w:p>
      <w:pPr>
        <w:spacing w:after="0"/>
        <w:ind w:left="1701" w:hanging="1701"/>
        <w:rPr>
          <w:rFonts w:eastAsia="Arial Unicode MS"/>
          <w:noProof/>
          <w:szCs w:val="24"/>
        </w:rPr>
      </w:pPr>
      <w:r>
        <w:rPr>
          <w:noProof/>
        </w:rPr>
        <w:t>9.6.</w:t>
      </w:r>
      <w:r>
        <w:rPr>
          <w:noProof/>
        </w:rPr>
        <w:tab/>
        <w:t>Calculs et courbes conformément à l’annexe 5 du règlement n</w:t>
      </w:r>
      <w:r>
        <w:rPr>
          <w:noProof/>
          <w:vertAlign w:val="superscript"/>
        </w:rPr>
        <w:t>o</w:t>
      </w:r>
      <w:r>
        <w:rPr>
          <w:noProof/>
        </w:rPr>
        <w:t> 13-H de la CEE-ONU: …</w:t>
      </w:r>
    </w:p>
    <w:p>
      <w:pPr>
        <w:spacing w:after="0"/>
        <w:ind w:left="1701" w:hanging="1701"/>
        <w:rPr>
          <w:rFonts w:eastAsia="Arial Unicode MS"/>
          <w:noProof/>
          <w:szCs w:val="24"/>
        </w:rPr>
      </w:pPr>
      <w:r>
        <w:rPr>
          <w:noProof/>
        </w:rPr>
        <w:lastRenderedPageBreak/>
        <w:t>9.7.</w:t>
      </w:r>
      <w:r>
        <w:rPr>
          <w:noProof/>
        </w:rPr>
        <w:tab/>
        <w:t>Description et/ou dessin du système d’alimentation en énergie (également dans le cas des systèmes de freinage assistés): …</w:t>
      </w:r>
    </w:p>
    <w:p>
      <w:pPr>
        <w:spacing w:after="0"/>
        <w:ind w:left="1701" w:hanging="1701"/>
        <w:rPr>
          <w:rFonts w:eastAsia="Arial Unicode MS"/>
          <w:noProof/>
          <w:szCs w:val="24"/>
        </w:rPr>
      </w:pPr>
      <w:r>
        <w:rPr>
          <w:noProof/>
        </w:rPr>
        <w:t>9.7.1.</w:t>
      </w:r>
      <w:r>
        <w:rPr>
          <w:noProof/>
        </w:rPr>
        <w:tab/>
        <w:t>Dans le cas de systèmes de freinage à air comprimé, pression de service p2 dans le ou les réservoirs sous pression: …</w:t>
      </w:r>
    </w:p>
    <w:p>
      <w:pPr>
        <w:spacing w:after="0"/>
        <w:ind w:left="1701" w:hanging="1701"/>
        <w:rPr>
          <w:rFonts w:eastAsia="Arial Unicode MS"/>
          <w:noProof/>
          <w:szCs w:val="24"/>
        </w:rPr>
      </w:pPr>
      <w:r>
        <w:rPr>
          <w:noProof/>
        </w:rPr>
        <w:t>9.7.2.</w:t>
      </w:r>
      <w:r>
        <w:rPr>
          <w:noProof/>
        </w:rPr>
        <w:tab/>
        <w:t>Dans le cas de systèmes de freinage à vide, niveau d’énergie initial dans le ou les réservoirs: …</w:t>
      </w:r>
    </w:p>
    <w:p>
      <w:pPr>
        <w:spacing w:after="0"/>
        <w:ind w:left="1701" w:hanging="1701"/>
        <w:rPr>
          <w:rFonts w:eastAsia="Arial Unicode MS"/>
          <w:noProof/>
          <w:szCs w:val="24"/>
        </w:rPr>
      </w:pPr>
      <w:r>
        <w:rPr>
          <w:noProof/>
        </w:rPr>
        <w:t>9.8.</w:t>
      </w:r>
      <w:r>
        <w:rPr>
          <w:noProof/>
        </w:rPr>
        <w:tab/>
        <w:t>Calcul du système de freinage: détermination du rapport entre la somme des forces de freinage à la périphérie des roues et la force exercée sur la commande de frein: …</w:t>
      </w:r>
    </w:p>
    <w:p>
      <w:pPr>
        <w:spacing w:after="0"/>
        <w:ind w:left="1701" w:hanging="1701"/>
        <w:rPr>
          <w:rFonts w:eastAsia="Arial Unicode MS"/>
          <w:noProof/>
          <w:szCs w:val="24"/>
        </w:rPr>
      </w:pPr>
      <w:r>
        <w:rPr>
          <w:noProof/>
        </w:rPr>
        <w:t>9.9.</w:t>
      </w:r>
      <w:r>
        <w:rPr>
          <w:noProof/>
        </w:rPr>
        <w:tab/>
        <w:t>Brève description de l’équipement de freinage conformément au paragraphe 12 de l’annexe 2 du règlement n</w:t>
      </w:r>
      <w:r>
        <w:rPr>
          <w:noProof/>
          <w:vertAlign w:val="superscript"/>
        </w:rPr>
        <w:t>o</w:t>
      </w:r>
      <w:r>
        <w:rPr>
          <w:noProof/>
        </w:rPr>
        <w:t> 13 de la CEE-ONU: …</w:t>
      </w:r>
    </w:p>
    <w:p>
      <w:pPr>
        <w:spacing w:after="0"/>
        <w:ind w:left="1701" w:hanging="1701"/>
        <w:rPr>
          <w:rFonts w:eastAsia="Arial Unicode MS"/>
          <w:noProof/>
          <w:szCs w:val="24"/>
        </w:rPr>
      </w:pPr>
      <w:r>
        <w:rPr>
          <w:noProof/>
        </w:rPr>
        <w:t>9.10.</w:t>
      </w:r>
      <w:r>
        <w:rPr>
          <w:noProof/>
        </w:rPr>
        <w:tab/>
        <w:t>En cas de demande d’exemption des essais des types I et/ou II ou III, indiquer le numéro du procès-verbal d’essai conformément à l’appendice 2 de l’annexe 11 du règlement n</w:t>
      </w:r>
      <w:r>
        <w:rPr>
          <w:noProof/>
          <w:vertAlign w:val="superscript"/>
        </w:rPr>
        <w:t>o</w:t>
      </w:r>
      <w:r>
        <w:rPr>
          <w:noProof/>
        </w:rPr>
        <w:t> 13 de la CEE-ONU: …</w:t>
      </w:r>
    </w:p>
    <w:p>
      <w:pPr>
        <w:spacing w:after="0"/>
        <w:ind w:left="1701" w:hanging="1701"/>
        <w:rPr>
          <w:rFonts w:eastAsia="Arial Unicode MS"/>
          <w:noProof/>
          <w:szCs w:val="24"/>
        </w:rPr>
      </w:pPr>
      <w:r>
        <w:rPr>
          <w:noProof/>
        </w:rPr>
        <w:t>9.11.</w:t>
      </w:r>
      <w:r>
        <w:rPr>
          <w:noProof/>
        </w:rPr>
        <w:tab/>
        <w:t>Détails concernant le ou les types de systèmes de freinage d’endurance: …</w:t>
      </w:r>
    </w:p>
    <w:p>
      <w:pPr>
        <w:spacing w:before="240"/>
        <w:ind w:left="1701" w:hanging="1701"/>
        <w:jc w:val="left"/>
        <w:rPr>
          <w:rFonts w:eastAsia="Arial Unicode MS"/>
          <w:b/>
          <w:bCs/>
          <w:noProof/>
          <w:szCs w:val="24"/>
        </w:rPr>
      </w:pPr>
      <w:r>
        <w:rPr>
          <w:b/>
          <w:noProof/>
        </w:rPr>
        <w:t>10.</w:t>
      </w:r>
      <w:r>
        <w:rPr>
          <w:noProof/>
        </w:rPr>
        <w:tab/>
      </w:r>
      <w:r>
        <w:rPr>
          <w:b/>
          <w:noProof/>
        </w:rPr>
        <w:t xml:space="preserve">CARROSSERIE </w:t>
      </w:r>
    </w:p>
    <w:p>
      <w:pPr>
        <w:spacing w:after="0"/>
        <w:ind w:left="1701" w:hanging="1701"/>
        <w:rPr>
          <w:rFonts w:eastAsia="Arial Unicode MS"/>
          <w:noProof/>
          <w:szCs w:val="24"/>
        </w:rPr>
      </w:pPr>
      <w:r>
        <w:rPr>
          <w:noProof/>
        </w:rPr>
        <w:t>10.1.</w:t>
      </w:r>
      <w:r>
        <w:rPr>
          <w:noProof/>
        </w:rPr>
        <w:tab/>
        <w:t>Type de carrosserie, selon les codes définis dans la partie C de l’annexe II: …</w:t>
      </w:r>
    </w:p>
    <w:p>
      <w:pPr>
        <w:spacing w:before="240" w:after="0"/>
        <w:ind w:left="1701" w:hanging="1701"/>
        <w:rPr>
          <w:rFonts w:eastAsia="Arial Unicode MS"/>
          <w:noProof/>
          <w:szCs w:val="24"/>
        </w:rPr>
      </w:pPr>
      <w:r>
        <w:rPr>
          <w:noProof/>
        </w:rPr>
        <w:t>10.2.</w:t>
      </w:r>
      <w:r>
        <w:rPr>
          <w:noProof/>
        </w:rPr>
        <w:tab/>
        <w:t>Matériaux utilisés et méthodes de construction: …</w:t>
      </w:r>
    </w:p>
    <w:p>
      <w:pPr>
        <w:spacing w:before="240"/>
        <w:ind w:left="1701" w:hanging="1701"/>
        <w:jc w:val="left"/>
        <w:rPr>
          <w:rFonts w:eastAsia="Arial Unicode MS"/>
          <w:b/>
          <w:bCs/>
          <w:noProof/>
          <w:szCs w:val="24"/>
        </w:rPr>
      </w:pPr>
      <w:r>
        <w:rPr>
          <w:noProof/>
        </w:rPr>
        <w:t>10.3.</w:t>
      </w:r>
      <w:r>
        <w:rPr>
          <w:noProof/>
        </w:rPr>
        <w:tab/>
      </w:r>
      <w:r>
        <w:rPr>
          <w:b/>
          <w:noProof/>
        </w:rPr>
        <w:t xml:space="preserve">Portes pour occupants, serrures et charnières </w:t>
      </w:r>
    </w:p>
    <w:p>
      <w:pPr>
        <w:spacing w:after="0"/>
        <w:ind w:left="1701" w:hanging="1701"/>
        <w:rPr>
          <w:rFonts w:eastAsia="Arial Unicode MS"/>
          <w:noProof/>
          <w:szCs w:val="24"/>
        </w:rPr>
      </w:pPr>
      <w:r>
        <w:rPr>
          <w:noProof/>
        </w:rPr>
        <w:t>10.3.1.</w:t>
      </w:r>
      <w:r>
        <w:rPr>
          <w:noProof/>
        </w:rPr>
        <w:tab/>
        <w:t>Configuration des portes et nombre de portes: …</w:t>
      </w:r>
    </w:p>
    <w:p>
      <w:pPr>
        <w:spacing w:after="0"/>
        <w:ind w:left="1701" w:hanging="1701"/>
        <w:rPr>
          <w:rFonts w:eastAsia="Arial Unicode MS"/>
          <w:noProof/>
          <w:szCs w:val="24"/>
        </w:rPr>
      </w:pPr>
      <w:r>
        <w:rPr>
          <w:noProof/>
        </w:rPr>
        <w:t>10.3.1.1.</w:t>
      </w:r>
      <w:r>
        <w:rPr>
          <w:noProof/>
        </w:rPr>
        <w:tab/>
        <w:t>Dimensions, sens et angle maximal d’ouverture des portes: …</w:t>
      </w:r>
    </w:p>
    <w:p>
      <w:pPr>
        <w:spacing w:after="0"/>
        <w:ind w:left="1701" w:hanging="1701"/>
        <w:rPr>
          <w:rFonts w:eastAsia="Arial Unicode MS"/>
          <w:noProof/>
          <w:szCs w:val="24"/>
        </w:rPr>
      </w:pPr>
      <w:r>
        <w:rPr>
          <w:noProof/>
        </w:rPr>
        <w:t>10.3.2.</w:t>
      </w:r>
      <w:r>
        <w:rPr>
          <w:noProof/>
        </w:rPr>
        <w:tab/>
        <w:t>Dessins des serrures et charnières et de leur emplacement sur les portes: …</w:t>
      </w:r>
    </w:p>
    <w:p>
      <w:pPr>
        <w:spacing w:after="0"/>
        <w:ind w:left="1701" w:hanging="1701"/>
        <w:rPr>
          <w:rFonts w:eastAsia="Arial Unicode MS"/>
          <w:noProof/>
          <w:szCs w:val="24"/>
        </w:rPr>
      </w:pPr>
      <w:r>
        <w:rPr>
          <w:noProof/>
        </w:rPr>
        <w:t>10.3.3.</w:t>
      </w:r>
      <w:r>
        <w:rPr>
          <w:noProof/>
        </w:rPr>
        <w:tab/>
        <w:t>Description technique des serrures et charnières: …</w:t>
      </w:r>
    </w:p>
    <w:p>
      <w:pPr>
        <w:spacing w:after="0"/>
        <w:ind w:left="1701" w:hanging="1701"/>
        <w:rPr>
          <w:rFonts w:eastAsia="Arial Unicode MS"/>
          <w:noProof/>
          <w:szCs w:val="24"/>
        </w:rPr>
      </w:pPr>
      <w:r>
        <w:rPr>
          <w:noProof/>
        </w:rPr>
        <w:t>10.3.4.</w:t>
      </w:r>
      <w:r>
        <w:rPr>
          <w:noProof/>
        </w:rPr>
        <w:tab/>
        <w:t>Détails, y compris les dimensions, des entrées, des marchepieds et des poignées nécessaires, s’il y a lieu: …</w:t>
      </w:r>
    </w:p>
    <w:p>
      <w:pPr>
        <w:spacing w:before="240"/>
        <w:ind w:left="1701" w:hanging="1701"/>
        <w:jc w:val="left"/>
        <w:rPr>
          <w:rFonts w:eastAsia="Arial Unicode MS"/>
          <w:b/>
          <w:bCs/>
          <w:noProof/>
          <w:szCs w:val="24"/>
        </w:rPr>
      </w:pPr>
      <w:r>
        <w:rPr>
          <w:noProof/>
        </w:rPr>
        <w:t>10.4.</w:t>
      </w:r>
      <w:r>
        <w:rPr>
          <w:noProof/>
        </w:rPr>
        <w:tab/>
      </w:r>
      <w:r>
        <w:rPr>
          <w:b/>
          <w:noProof/>
        </w:rPr>
        <w:t xml:space="preserve">Champ de vision </w:t>
      </w:r>
    </w:p>
    <w:p>
      <w:pPr>
        <w:spacing w:after="0"/>
        <w:ind w:left="1701" w:hanging="1701"/>
        <w:rPr>
          <w:rFonts w:eastAsia="Arial Unicode MS"/>
          <w:noProof/>
          <w:szCs w:val="24"/>
        </w:rPr>
      </w:pPr>
      <w:r>
        <w:rPr>
          <w:noProof/>
        </w:rPr>
        <w:t>10.4.1.</w:t>
      </w:r>
      <w:r>
        <w:rPr>
          <w:noProof/>
        </w:rPr>
        <w:tab/>
        <w:t>Données suffisamment détaillées permettant d’identifier rapidement les repères primaires et de contrôler la position qu’ils occupent les uns par rapport aux autres et par rapport au point R: …</w:t>
      </w:r>
    </w:p>
    <w:p>
      <w:pPr>
        <w:spacing w:after="0"/>
        <w:ind w:left="1701" w:hanging="1701"/>
        <w:rPr>
          <w:rFonts w:eastAsia="Arial Unicode MS"/>
          <w:noProof/>
          <w:szCs w:val="24"/>
        </w:rPr>
      </w:pPr>
      <w:r>
        <w:rPr>
          <w:noProof/>
        </w:rPr>
        <w:t>10.4.2.</w:t>
      </w:r>
      <w:r>
        <w:rPr>
          <w:noProof/>
        </w:rPr>
        <w:tab/>
        <w:t>Dessin(s) ou photographie(s) montrant l’emplacement des éléments situés dans le champ de vision de 180° vers l’avant: …</w:t>
      </w:r>
    </w:p>
    <w:p>
      <w:pPr>
        <w:spacing w:before="240"/>
        <w:ind w:left="1701" w:hanging="1701"/>
        <w:jc w:val="left"/>
        <w:rPr>
          <w:rFonts w:eastAsia="Arial Unicode MS"/>
          <w:b/>
          <w:bCs/>
          <w:noProof/>
          <w:szCs w:val="24"/>
        </w:rPr>
      </w:pPr>
      <w:r>
        <w:rPr>
          <w:noProof/>
        </w:rPr>
        <w:t>10.5.</w:t>
      </w:r>
      <w:r>
        <w:rPr>
          <w:noProof/>
        </w:rPr>
        <w:tab/>
      </w:r>
      <w:r>
        <w:rPr>
          <w:b/>
          <w:noProof/>
        </w:rPr>
        <w:t xml:space="preserve">Pare-brise et autres vitres </w:t>
      </w:r>
    </w:p>
    <w:p>
      <w:pPr>
        <w:ind w:left="1701" w:hanging="1701"/>
        <w:jc w:val="left"/>
        <w:rPr>
          <w:rFonts w:eastAsia="Arial Unicode MS"/>
          <w:bCs/>
          <w:i/>
          <w:noProof/>
          <w:szCs w:val="24"/>
        </w:rPr>
      </w:pPr>
      <w:r>
        <w:rPr>
          <w:noProof/>
        </w:rPr>
        <w:t>10.5.1.</w:t>
      </w:r>
      <w:r>
        <w:rPr>
          <w:noProof/>
        </w:rPr>
        <w:tab/>
      </w:r>
      <w:r>
        <w:rPr>
          <w:i/>
          <w:noProof/>
        </w:rPr>
        <w:t xml:space="preserve">Pare-brise </w:t>
      </w:r>
    </w:p>
    <w:p>
      <w:pPr>
        <w:spacing w:after="0"/>
        <w:ind w:left="1701" w:hanging="1701"/>
        <w:rPr>
          <w:rFonts w:eastAsia="Arial Unicode MS"/>
          <w:noProof/>
          <w:szCs w:val="24"/>
        </w:rPr>
      </w:pPr>
      <w:r>
        <w:rPr>
          <w:noProof/>
        </w:rPr>
        <w:t>10.5.1.1.</w:t>
      </w:r>
      <w:r>
        <w:rPr>
          <w:noProof/>
        </w:rPr>
        <w:tab/>
        <w:t>Matériaux utilisés: …</w:t>
      </w:r>
    </w:p>
    <w:p>
      <w:pPr>
        <w:spacing w:after="0"/>
        <w:ind w:left="1701" w:hanging="1701"/>
        <w:rPr>
          <w:rFonts w:eastAsia="Arial Unicode MS"/>
          <w:noProof/>
          <w:szCs w:val="24"/>
        </w:rPr>
      </w:pPr>
      <w:r>
        <w:rPr>
          <w:noProof/>
        </w:rPr>
        <w:t>10.5.1.2.</w:t>
      </w:r>
      <w:r>
        <w:rPr>
          <w:noProof/>
        </w:rPr>
        <w:tab/>
        <w:t>Méthode de montage: …</w:t>
      </w:r>
    </w:p>
    <w:p>
      <w:pPr>
        <w:spacing w:after="0"/>
        <w:ind w:left="1701" w:hanging="1701"/>
        <w:rPr>
          <w:rFonts w:eastAsia="Arial Unicode MS"/>
          <w:noProof/>
          <w:szCs w:val="24"/>
        </w:rPr>
      </w:pPr>
      <w:r>
        <w:rPr>
          <w:noProof/>
        </w:rPr>
        <w:lastRenderedPageBreak/>
        <w:t>10.5.1.3.</w:t>
      </w:r>
      <w:r>
        <w:rPr>
          <w:noProof/>
        </w:rPr>
        <w:tab/>
        <w:t>Angle d’inclinaison: …</w:t>
      </w:r>
    </w:p>
    <w:p>
      <w:pPr>
        <w:spacing w:after="0"/>
        <w:ind w:left="1701" w:hanging="1701"/>
        <w:rPr>
          <w:rFonts w:eastAsia="Arial Unicode MS"/>
          <w:noProof/>
          <w:szCs w:val="24"/>
        </w:rPr>
      </w:pPr>
      <w:r>
        <w:rPr>
          <w:noProof/>
        </w:rPr>
        <w:t>10.5.1.4.</w:t>
      </w:r>
      <w:r>
        <w:rPr>
          <w:noProof/>
        </w:rPr>
        <w:tab/>
        <w:t>Numéro(s) de réception par type: …</w:t>
      </w:r>
    </w:p>
    <w:p>
      <w:pPr>
        <w:spacing w:after="0"/>
        <w:ind w:left="1701" w:hanging="1701"/>
        <w:rPr>
          <w:rFonts w:eastAsia="Arial Unicode MS"/>
          <w:noProof/>
          <w:szCs w:val="24"/>
        </w:rPr>
      </w:pPr>
      <w:r>
        <w:rPr>
          <w:noProof/>
        </w:rPr>
        <w:t>10.5.1.5.</w:t>
      </w:r>
      <w:r>
        <w:rPr>
          <w:noProof/>
        </w:rPr>
        <w:tab/>
        <w:t>Accessoires du pare-brise et emplacement où ils sont montés, avec une description succincte des éventuels composants électriques/électroniques associés: …</w:t>
      </w:r>
    </w:p>
    <w:p>
      <w:pPr>
        <w:ind w:left="1701" w:hanging="1701"/>
        <w:jc w:val="left"/>
        <w:rPr>
          <w:rFonts w:eastAsia="Arial Unicode MS"/>
          <w:bCs/>
          <w:noProof/>
          <w:szCs w:val="24"/>
        </w:rPr>
      </w:pPr>
      <w:r>
        <w:rPr>
          <w:noProof/>
        </w:rPr>
        <w:t>10.5.2.</w:t>
      </w:r>
      <w:r>
        <w:rPr>
          <w:noProof/>
        </w:rPr>
        <w:tab/>
      </w:r>
      <w:r>
        <w:rPr>
          <w:i/>
          <w:noProof/>
        </w:rPr>
        <w:t>Autres vitres</w:t>
      </w:r>
      <w:r>
        <w:rPr>
          <w:noProof/>
        </w:rPr>
        <w:t xml:space="preserve"> </w:t>
      </w:r>
    </w:p>
    <w:p>
      <w:pPr>
        <w:spacing w:after="0"/>
        <w:ind w:left="1701" w:hanging="1701"/>
        <w:rPr>
          <w:rFonts w:eastAsia="Arial Unicode MS"/>
          <w:noProof/>
          <w:szCs w:val="24"/>
        </w:rPr>
      </w:pPr>
      <w:r>
        <w:rPr>
          <w:noProof/>
        </w:rPr>
        <w:t>10.5.2.1.</w:t>
      </w:r>
      <w:r>
        <w:rPr>
          <w:noProof/>
        </w:rPr>
        <w:tab/>
        <w:t>Matériaux utilisés: …</w:t>
      </w:r>
    </w:p>
    <w:p>
      <w:pPr>
        <w:spacing w:after="0"/>
        <w:ind w:left="1701" w:hanging="1701"/>
        <w:rPr>
          <w:rFonts w:eastAsia="Arial Unicode MS"/>
          <w:noProof/>
          <w:szCs w:val="24"/>
        </w:rPr>
      </w:pPr>
      <w:r>
        <w:rPr>
          <w:noProof/>
        </w:rPr>
        <w:t>10.5.2.2.</w:t>
      </w:r>
      <w:r>
        <w:rPr>
          <w:noProof/>
        </w:rPr>
        <w:tab/>
        <w:t>Numéro(s) de réception par type: …</w:t>
      </w:r>
    </w:p>
    <w:p>
      <w:pPr>
        <w:spacing w:after="0"/>
        <w:ind w:left="1701" w:hanging="1701"/>
        <w:rPr>
          <w:rFonts w:eastAsia="Arial Unicode MS"/>
          <w:noProof/>
          <w:szCs w:val="24"/>
        </w:rPr>
      </w:pPr>
      <w:r>
        <w:rPr>
          <w:noProof/>
        </w:rPr>
        <w:t>10.5.2.3.</w:t>
      </w:r>
      <w:r>
        <w:rPr>
          <w:noProof/>
        </w:rPr>
        <w:tab/>
        <w:t>Description succincte des composants électriques/électroniques (le cas échéant) du mécanisme de lève-vitre: …</w:t>
      </w:r>
    </w:p>
    <w:p>
      <w:pPr>
        <w:ind w:left="1701" w:hanging="1701"/>
        <w:jc w:val="left"/>
        <w:rPr>
          <w:rFonts w:eastAsia="Arial Unicode MS"/>
          <w:bCs/>
          <w:noProof/>
          <w:szCs w:val="24"/>
        </w:rPr>
      </w:pPr>
      <w:r>
        <w:rPr>
          <w:noProof/>
        </w:rPr>
        <w:t>10.5.3.</w:t>
      </w:r>
      <w:r>
        <w:rPr>
          <w:noProof/>
        </w:rPr>
        <w:tab/>
      </w:r>
      <w:r>
        <w:rPr>
          <w:i/>
          <w:noProof/>
        </w:rPr>
        <w:t>Vitrage du toit ouvrant</w:t>
      </w:r>
      <w:r>
        <w:rPr>
          <w:noProof/>
        </w:rPr>
        <w:t xml:space="preserve"> </w:t>
      </w:r>
    </w:p>
    <w:p>
      <w:pPr>
        <w:spacing w:after="0"/>
        <w:ind w:left="1701" w:hanging="1701"/>
        <w:rPr>
          <w:rFonts w:eastAsia="Arial Unicode MS"/>
          <w:noProof/>
          <w:szCs w:val="24"/>
        </w:rPr>
      </w:pPr>
      <w:r>
        <w:rPr>
          <w:noProof/>
        </w:rPr>
        <w:t>10.5.3.1.</w:t>
      </w:r>
      <w:r>
        <w:rPr>
          <w:noProof/>
        </w:rPr>
        <w:tab/>
        <w:t>Matériaux utilisés: …</w:t>
      </w:r>
    </w:p>
    <w:p>
      <w:pPr>
        <w:spacing w:after="0"/>
        <w:ind w:left="1701" w:hanging="1701"/>
        <w:rPr>
          <w:rFonts w:eastAsia="Arial Unicode MS"/>
          <w:noProof/>
          <w:szCs w:val="24"/>
        </w:rPr>
      </w:pPr>
      <w:r>
        <w:rPr>
          <w:noProof/>
        </w:rPr>
        <w:t>10.5.3.2.</w:t>
      </w:r>
      <w:r>
        <w:rPr>
          <w:noProof/>
        </w:rPr>
        <w:tab/>
        <w:t>Numéro(s) de réception par type: …</w:t>
      </w:r>
    </w:p>
    <w:p>
      <w:pPr>
        <w:ind w:left="1701" w:hanging="1701"/>
        <w:jc w:val="left"/>
        <w:rPr>
          <w:rFonts w:eastAsia="Arial Unicode MS"/>
          <w:bCs/>
          <w:noProof/>
          <w:szCs w:val="24"/>
        </w:rPr>
      </w:pPr>
      <w:r>
        <w:rPr>
          <w:noProof/>
        </w:rPr>
        <w:t>10.5.4.</w:t>
      </w:r>
      <w:r>
        <w:rPr>
          <w:noProof/>
        </w:rPr>
        <w:tab/>
      </w:r>
      <w:r>
        <w:rPr>
          <w:i/>
          <w:noProof/>
        </w:rPr>
        <w:t xml:space="preserve">Autres vitrages </w:t>
      </w:r>
    </w:p>
    <w:p>
      <w:pPr>
        <w:spacing w:after="0"/>
        <w:ind w:left="1701" w:hanging="1701"/>
        <w:rPr>
          <w:rFonts w:eastAsia="Arial Unicode MS"/>
          <w:noProof/>
          <w:szCs w:val="24"/>
        </w:rPr>
      </w:pPr>
      <w:r>
        <w:rPr>
          <w:noProof/>
        </w:rPr>
        <w:t>10.5.4.1.</w:t>
      </w:r>
      <w:r>
        <w:rPr>
          <w:noProof/>
        </w:rPr>
        <w:tab/>
        <w:t>Matériaux utilisés: …</w:t>
      </w:r>
    </w:p>
    <w:p>
      <w:pPr>
        <w:spacing w:after="0"/>
        <w:ind w:left="1701" w:hanging="1701"/>
        <w:rPr>
          <w:rFonts w:eastAsia="Arial Unicode MS"/>
          <w:noProof/>
          <w:szCs w:val="24"/>
        </w:rPr>
      </w:pPr>
      <w:r>
        <w:rPr>
          <w:noProof/>
        </w:rPr>
        <w:t>10.5.4.2.</w:t>
      </w:r>
      <w:r>
        <w:rPr>
          <w:noProof/>
        </w:rPr>
        <w:tab/>
        <w:t>Numéro(s) de réception par type: …</w:t>
      </w:r>
    </w:p>
    <w:p>
      <w:pPr>
        <w:spacing w:before="240"/>
        <w:ind w:left="1701" w:hanging="1701"/>
        <w:jc w:val="left"/>
        <w:rPr>
          <w:rFonts w:eastAsia="Arial Unicode MS"/>
          <w:bCs/>
          <w:noProof/>
          <w:szCs w:val="24"/>
        </w:rPr>
      </w:pPr>
      <w:r>
        <w:rPr>
          <w:noProof/>
        </w:rPr>
        <w:t>10.6.</w:t>
      </w:r>
      <w:r>
        <w:rPr>
          <w:noProof/>
        </w:rPr>
        <w:tab/>
      </w:r>
      <w:r>
        <w:rPr>
          <w:b/>
          <w:noProof/>
        </w:rPr>
        <w:t>Essuie-glaces du pare-brise</w:t>
      </w:r>
      <w:r>
        <w:rPr>
          <w:noProof/>
        </w:rPr>
        <w:t xml:space="preserve"> </w:t>
      </w:r>
    </w:p>
    <w:p>
      <w:pPr>
        <w:spacing w:after="0"/>
        <w:ind w:left="1701" w:hanging="1701"/>
        <w:rPr>
          <w:rFonts w:eastAsia="Arial Unicode MS"/>
          <w:noProof/>
          <w:szCs w:val="24"/>
        </w:rPr>
      </w:pPr>
      <w:r>
        <w:rPr>
          <w:noProof/>
        </w:rPr>
        <w:t>10.6.1.</w:t>
      </w:r>
      <w:r>
        <w:rPr>
          <w:noProof/>
        </w:rPr>
        <w:tab/>
        <w:t>Description technique détaillée (y compris photographies ou dessins): …</w:t>
      </w:r>
    </w:p>
    <w:p>
      <w:pPr>
        <w:spacing w:before="240"/>
        <w:ind w:left="1701" w:hanging="1701"/>
        <w:jc w:val="left"/>
        <w:rPr>
          <w:rFonts w:eastAsia="Arial Unicode MS"/>
          <w:b/>
          <w:bCs/>
          <w:noProof/>
          <w:szCs w:val="24"/>
        </w:rPr>
      </w:pPr>
      <w:r>
        <w:rPr>
          <w:noProof/>
        </w:rPr>
        <w:t>10.7.</w:t>
      </w:r>
      <w:r>
        <w:rPr>
          <w:noProof/>
        </w:rPr>
        <w:tab/>
      </w:r>
      <w:r>
        <w:rPr>
          <w:b/>
          <w:noProof/>
        </w:rPr>
        <w:t xml:space="preserve">Lave-glace du pare-brise </w:t>
      </w:r>
    </w:p>
    <w:p>
      <w:pPr>
        <w:spacing w:after="0"/>
        <w:ind w:left="1701" w:hanging="1701"/>
        <w:rPr>
          <w:rFonts w:eastAsia="Arial Unicode MS"/>
          <w:noProof/>
          <w:szCs w:val="24"/>
        </w:rPr>
      </w:pPr>
      <w:r>
        <w:rPr>
          <w:noProof/>
        </w:rPr>
        <w:t>10.7.1.</w:t>
      </w:r>
      <w:r>
        <w:rPr>
          <w:noProof/>
        </w:rPr>
        <w:tab/>
        <w:t>Description technique détaillée (avec photographies ou dessins) ou, en cas de réception en tant qu’entité technique distincte, numéro de réception par type: …</w:t>
      </w:r>
    </w:p>
    <w:p>
      <w:pPr>
        <w:spacing w:before="240"/>
        <w:ind w:left="1701" w:hanging="1701"/>
        <w:jc w:val="left"/>
        <w:rPr>
          <w:rFonts w:eastAsia="Arial Unicode MS"/>
          <w:b/>
          <w:bCs/>
          <w:noProof/>
          <w:szCs w:val="24"/>
        </w:rPr>
      </w:pPr>
      <w:r>
        <w:rPr>
          <w:noProof/>
        </w:rPr>
        <w:t>10.8.</w:t>
      </w:r>
      <w:r>
        <w:rPr>
          <w:noProof/>
        </w:rPr>
        <w:tab/>
      </w:r>
      <w:r>
        <w:rPr>
          <w:b/>
          <w:noProof/>
        </w:rPr>
        <w:t xml:space="preserve">Dégivrage et désembuage </w:t>
      </w:r>
    </w:p>
    <w:p>
      <w:pPr>
        <w:spacing w:after="0"/>
        <w:ind w:left="1701" w:hanging="1701"/>
        <w:rPr>
          <w:rFonts w:eastAsia="Arial Unicode MS"/>
          <w:noProof/>
          <w:szCs w:val="24"/>
        </w:rPr>
      </w:pPr>
      <w:r>
        <w:rPr>
          <w:noProof/>
        </w:rPr>
        <w:t>10.8.1.</w:t>
      </w:r>
      <w:r>
        <w:rPr>
          <w:noProof/>
        </w:rPr>
        <w:tab/>
        <w:t>Description technique détaillée (y compris photographies ou dessins): …</w:t>
      </w:r>
    </w:p>
    <w:p>
      <w:pPr>
        <w:spacing w:after="0"/>
        <w:ind w:left="1701" w:hanging="1701"/>
        <w:rPr>
          <w:rFonts w:eastAsia="Arial Unicode MS"/>
          <w:noProof/>
          <w:szCs w:val="24"/>
        </w:rPr>
      </w:pPr>
      <w:r>
        <w:rPr>
          <w:noProof/>
        </w:rPr>
        <w:t>10.8.2.</w:t>
      </w:r>
      <w:r>
        <w:rPr>
          <w:noProof/>
        </w:rPr>
        <w:tab/>
        <w:t>Consommation électrique maximale: … kW</w:t>
      </w:r>
    </w:p>
    <w:p>
      <w:pPr>
        <w:spacing w:before="240"/>
        <w:ind w:left="1701" w:hanging="1701"/>
        <w:jc w:val="left"/>
        <w:rPr>
          <w:rFonts w:eastAsia="Arial Unicode MS"/>
          <w:b/>
          <w:bCs/>
          <w:noProof/>
          <w:szCs w:val="24"/>
        </w:rPr>
      </w:pPr>
      <w:r>
        <w:rPr>
          <w:noProof/>
        </w:rPr>
        <w:t>10.9.</w:t>
      </w:r>
      <w:r>
        <w:rPr>
          <w:noProof/>
        </w:rPr>
        <w:tab/>
      </w:r>
      <w:r>
        <w:rPr>
          <w:b/>
          <w:noProof/>
        </w:rPr>
        <w:t xml:space="preserve">Dispositifs de vision indirecte </w:t>
      </w:r>
    </w:p>
    <w:p>
      <w:pPr>
        <w:spacing w:after="0"/>
        <w:ind w:left="1701" w:hanging="1701"/>
        <w:rPr>
          <w:rFonts w:eastAsia="Arial Unicode MS"/>
          <w:noProof/>
          <w:szCs w:val="24"/>
        </w:rPr>
      </w:pPr>
      <w:r>
        <w:rPr>
          <w:noProof/>
        </w:rPr>
        <w:t>10.9.1.</w:t>
      </w:r>
      <w:r>
        <w:rPr>
          <w:noProof/>
        </w:rPr>
        <w:tab/>
        <w:t>Rétroviseurs (les renseignements doivent être donnés pour chaque rétroviseur)</w:t>
      </w:r>
    </w:p>
    <w:p>
      <w:pPr>
        <w:spacing w:after="0"/>
        <w:ind w:left="1701" w:hanging="1701"/>
        <w:rPr>
          <w:rFonts w:eastAsia="Arial Unicode MS"/>
          <w:noProof/>
          <w:szCs w:val="24"/>
        </w:rPr>
      </w:pPr>
      <w:r>
        <w:rPr>
          <w:noProof/>
        </w:rPr>
        <w:t>10.9.1.1.</w:t>
      </w:r>
      <w:r>
        <w:rPr>
          <w:noProof/>
        </w:rPr>
        <w:tab/>
        <w:t>Marque: …</w:t>
      </w:r>
    </w:p>
    <w:p>
      <w:pPr>
        <w:spacing w:after="0"/>
        <w:ind w:left="1701" w:hanging="1701"/>
        <w:rPr>
          <w:rFonts w:eastAsia="Arial Unicode MS"/>
          <w:noProof/>
          <w:szCs w:val="24"/>
        </w:rPr>
      </w:pPr>
      <w:r>
        <w:rPr>
          <w:noProof/>
        </w:rPr>
        <w:t>10.9.1.2.</w:t>
      </w:r>
      <w:r>
        <w:rPr>
          <w:noProof/>
        </w:rPr>
        <w:tab/>
        <w:t>Marque de réception par type: …</w:t>
      </w:r>
    </w:p>
    <w:p>
      <w:pPr>
        <w:spacing w:after="0"/>
        <w:ind w:left="1701" w:hanging="1701"/>
        <w:rPr>
          <w:rFonts w:eastAsia="Arial Unicode MS"/>
          <w:noProof/>
          <w:szCs w:val="24"/>
        </w:rPr>
      </w:pPr>
      <w:r>
        <w:rPr>
          <w:noProof/>
        </w:rPr>
        <w:t>10.9.1.3.</w:t>
      </w:r>
      <w:r>
        <w:rPr>
          <w:noProof/>
        </w:rPr>
        <w:tab/>
        <w:t>Variante: …</w:t>
      </w:r>
    </w:p>
    <w:p>
      <w:pPr>
        <w:spacing w:after="0"/>
        <w:ind w:left="1701" w:hanging="1701"/>
        <w:rPr>
          <w:rFonts w:eastAsia="Arial Unicode MS"/>
          <w:noProof/>
          <w:szCs w:val="24"/>
        </w:rPr>
      </w:pPr>
      <w:r>
        <w:rPr>
          <w:noProof/>
        </w:rPr>
        <w:t>10.9.1.4.</w:t>
      </w:r>
      <w:r>
        <w:rPr>
          <w:noProof/>
        </w:rPr>
        <w:tab/>
        <w:t>Dessin(s) permettant d’identifier le rétroviseur et montrant sa position par rapport à la structure du véhicule: …</w:t>
      </w:r>
    </w:p>
    <w:p>
      <w:pPr>
        <w:spacing w:after="0"/>
        <w:ind w:left="1701" w:hanging="1701"/>
        <w:rPr>
          <w:rFonts w:eastAsia="Arial Unicode MS"/>
          <w:noProof/>
          <w:szCs w:val="24"/>
        </w:rPr>
      </w:pPr>
      <w:r>
        <w:rPr>
          <w:noProof/>
        </w:rPr>
        <w:t>10.9.1.5.</w:t>
      </w:r>
      <w:r>
        <w:rPr>
          <w:noProof/>
        </w:rPr>
        <w:tab/>
        <w:t>Détails du mode de fixation comprenant la partie de la structure du véhicule à laquelle il est fixé: …</w:t>
      </w:r>
    </w:p>
    <w:p>
      <w:pPr>
        <w:spacing w:after="0"/>
        <w:ind w:left="1701" w:hanging="1701"/>
        <w:rPr>
          <w:rFonts w:eastAsia="Arial Unicode MS"/>
          <w:noProof/>
          <w:szCs w:val="24"/>
        </w:rPr>
      </w:pPr>
      <w:r>
        <w:rPr>
          <w:noProof/>
        </w:rPr>
        <w:lastRenderedPageBreak/>
        <w:t>10.9.1.6.</w:t>
      </w:r>
      <w:r>
        <w:rPr>
          <w:noProof/>
        </w:rPr>
        <w:tab/>
        <w:t>Équipement en option pouvant restreindre le champ de vision vers l’arrière: …</w:t>
      </w:r>
    </w:p>
    <w:p>
      <w:pPr>
        <w:spacing w:after="0"/>
        <w:ind w:left="1701" w:hanging="1701"/>
        <w:rPr>
          <w:rFonts w:eastAsia="Arial Unicode MS"/>
          <w:noProof/>
          <w:szCs w:val="24"/>
        </w:rPr>
      </w:pPr>
      <w:r>
        <w:rPr>
          <w:noProof/>
        </w:rPr>
        <w:t>10.9.1.7.</w:t>
      </w:r>
      <w:r>
        <w:rPr>
          <w:noProof/>
        </w:rPr>
        <w:tab/>
        <w:t>Description succincte des composants électroniques (le cas échéant) du système de réglage: …</w:t>
      </w:r>
    </w:p>
    <w:p>
      <w:pPr>
        <w:spacing w:after="0"/>
        <w:ind w:left="1701" w:hanging="1701"/>
        <w:rPr>
          <w:rFonts w:eastAsia="Arial Unicode MS"/>
          <w:noProof/>
          <w:szCs w:val="24"/>
        </w:rPr>
      </w:pPr>
      <w:r>
        <w:rPr>
          <w:noProof/>
        </w:rPr>
        <w:t>10.9.2.</w:t>
      </w:r>
      <w:r>
        <w:rPr>
          <w:noProof/>
        </w:rPr>
        <w:tab/>
        <w:t>Dispositifs de vision indirecte autres que les rétroviseurs …</w:t>
      </w:r>
    </w:p>
    <w:p>
      <w:pPr>
        <w:spacing w:after="0"/>
        <w:ind w:left="1701" w:hanging="1701"/>
        <w:rPr>
          <w:rFonts w:eastAsia="Arial Unicode MS"/>
          <w:noProof/>
          <w:szCs w:val="24"/>
        </w:rPr>
      </w:pPr>
      <w:r>
        <w:rPr>
          <w:noProof/>
        </w:rPr>
        <w:t>10.9.2.1.</w:t>
      </w:r>
      <w:r>
        <w:rPr>
          <w:noProof/>
        </w:rPr>
        <w:tab/>
        <w:t>Type et caractéristiques (notamment, description complète du dispositif): …</w:t>
      </w:r>
    </w:p>
    <w:p>
      <w:pPr>
        <w:spacing w:after="0"/>
        <w:ind w:left="1701" w:hanging="1701"/>
        <w:rPr>
          <w:rFonts w:eastAsia="Arial Unicode MS"/>
          <w:noProof/>
          <w:szCs w:val="24"/>
        </w:rPr>
      </w:pPr>
      <w:r>
        <w:rPr>
          <w:noProof/>
        </w:rPr>
        <w:t>10.9.2.1.1.</w:t>
      </w:r>
      <w:r>
        <w:rPr>
          <w:noProof/>
        </w:rPr>
        <w:tab/>
        <w:t>Dans le cas d’un dispositif de surveillance par caméra, distance de détection (mm), contraste, échelle de luminance, correction des reflets, performances d’affichage (noir et blanc/couleur), fréquence de répétition des images, portée de luminance du moniteur: …</w:t>
      </w:r>
    </w:p>
    <w:p>
      <w:pPr>
        <w:spacing w:after="0"/>
        <w:ind w:left="1701" w:hanging="1701"/>
        <w:rPr>
          <w:rFonts w:eastAsia="Arial Unicode MS"/>
          <w:noProof/>
          <w:szCs w:val="24"/>
        </w:rPr>
      </w:pPr>
      <w:r>
        <w:rPr>
          <w:noProof/>
        </w:rPr>
        <w:t>10.9.2.1.2.</w:t>
      </w:r>
      <w:r>
        <w:rPr>
          <w:noProof/>
        </w:rPr>
        <w:tab/>
        <w:t>Dessins suffisamment détaillés pour permettre d’identifier le dispositif complet, comprenant des instructions pour l’installation; l’emplacement de la marque de réception UE par type doit être indiqué sur les dessins.</w:t>
      </w:r>
    </w:p>
    <w:p>
      <w:pPr>
        <w:spacing w:before="240"/>
        <w:ind w:left="1701" w:hanging="1701"/>
        <w:jc w:val="left"/>
        <w:rPr>
          <w:rFonts w:eastAsia="Arial Unicode MS"/>
          <w:b/>
          <w:bCs/>
          <w:noProof/>
          <w:szCs w:val="24"/>
        </w:rPr>
      </w:pPr>
      <w:r>
        <w:rPr>
          <w:noProof/>
        </w:rPr>
        <w:t>10.10.</w:t>
      </w:r>
      <w:r>
        <w:rPr>
          <w:noProof/>
        </w:rPr>
        <w:tab/>
      </w:r>
      <w:r>
        <w:rPr>
          <w:b/>
          <w:noProof/>
        </w:rPr>
        <w:t xml:space="preserve">Aménagement intérieur </w:t>
      </w:r>
    </w:p>
    <w:p>
      <w:pPr>
        <w:spacing w:before="240"/>
        <w:ind w:left="1701" w:hanging="1701"/>
        <w:jc w:val="left"/>
        <w:rPr>
          <w:rFonts w:eastAsia="Arial Unicode MS"/>
          <w:bCs/>
          <w:noProof/>
          <w:szCs w:val="24"/>
        </w:rPr>
      </w:pPr>
      <w:r>
        <w:rPr>
          <w:noProof/>
        </w:rPr>
        <w:t>10.10.1.</w:t>
      </w:r>
      <w:r>
        <w:rPr>
          <w:noProof/>
        </w:rPr>
        <w:tab/>
      </w:r>
      <w:r>
        <w:rPr>
          <w:i/>
          <w:noProof/>
        </w:rPr>
        <w:t>Protection intérieure des occupants</w:t>
      </w:r>
      <w:r>
        <w:rPr>
          <w:noProof/>
        </w:rPr>
        <w:t xml:space="preserve"> </w:t>
      </w:r>
    </w:p>
    <w:p>
      <w:pPr>
        <w:spacing w:after="0"/>
        <w:ind w:left="1701" w:hanging="1701"/>
        <w:rPr>
          <w:rFonts w:eastAsia="Arial Unicode MS"/>
          <w:noProof/>
          <w:szCs w:val="24"/>
        </w:rPr>
      </w:pPr>
      <w:r>
        <w:rPr>
          <w:noProof/>
        </w:rPr>
        <w:t>10.10.1.1.</w:t>
      </w:r>
      <w:r>
        <w:rPr>
          <w:noProof/>
        </w:rPr>
        <w:tab/>
        <w:t>Dessins ou photographies montrant la position des parties en saillie: …</w:t>
      </w:r>
    </w:p>
    <w:p>
      <w:pPr>
        <w:spacing w:after="0"/>
        <w:ind w:left="1701" w:hanging="1701"/>
        <w:rPr>
          <w:rFonts w:eastAsia="Arial Unicode MS"/>
          <w:noProof/>
          <w:szCs w:val="24"/>
        </w:rPr>
      </w:pPr>
      <w:r>
        <w:rPr>
          <w:noProof/>
        </w:rPr>
        <w:t>10.10.1.2.</w:t>
      </w:r>
      <w:r>
        <w:rPr>
          <w:noProof/>
        </w:rPr>
        <w:tab/>
        <w:t>Photographie ou dessin montrant la zone de référence, y compris la surface exclue visée au paragraphe 2.3.1 du règlement n</w:t>
      </w:r>
      <w:r>
        <w:rPr>
          <w:noProof/>
          <w:vertAlign w:val="superscript"/>
        </w:rPr>
        <w:t>o</w:t>
      </w:r>
      <w:r>
        <w:rPr>
          <w:noProof/>
        </w:rPr>
        <w:t> 21 de la CEE-ONU: …</w:t>
      </w:r>
    </w:p>
    <w:p>
      <w:pPr>
        <w:spacing w:after="0"/>
        <w:ind w:left="1701" w:hanging="1701"/>
        <w:rPr>
          <w:rFonts w:eastAsia="Arial Unicode MS"/>
          <w:noProof/>
          <w:szCs w:val="24"/>
        </w:rPr>
      </w:pPr>
      <w:r>
        <w:rPr>
          <w:noProof/>
        </w:rPr>
        <w:t>10.10.1.3.</w:t>
      </w:r>
      <w:r>
        <w:rPr>
          <w:noProof/>
        </w:rPr>
        <w:tab/>
        <w:t>Photographies, dessins et/ou vue éclatée de l’aménagement intérieur montrant les parties de l’habitacle autres que les rétroviseurs intérieurs, les matériaux utilisés, la disposition des commandes, le toit ainsi que le toit ouvrant, les dossiers, les sièges et la partie arrière des sièges: …</w:t>
      </w:r>
    </w:p>
    <w:p>
      <w:pPr>
        <w:spacing w:before="240"/>
        <w:ind w:left="1701" w:hanging="1701"/>
        <w:jc w:val="left"/>
        <w:rPr>
          <w:rFonts w:eastAsia="Arial Unicode MS"/>
          <w:bCs/>
          <w:noProof/>
          <w:szCs w:val="24"/>
        </w:rPr>
      </w:pPr>
      <w:r>
        <w:rPr>
          <w:noProof/>
        </w:rPr>
        <w:t>10.10.2.</w:t>
      </w:r>
      <w:r>
        <w:rPr>
          <w:noProof/>
        </w:rPr>
        <w:tab/>
      </w:r>
      <w:r>
        <w:rPr>
          <w:i/>
          <w:noProof/>
        </w:rPr>
        <w:t>Disposition et identification des commandes, témoins et indicateurs</w:t>
      </w:r>
      <w:r>
        <w:rPr>
          <w:noProof/>
        </w:rPr>
        <w:t xml:space="preserve"> </w:t>
      </w:r>
    </w:p>
    <w:p>
      <w:pPr>
        <w:spacing w:after="0"/>
        <w:ind w:left="1701" w:hanging="1701"/>
        <w:rPr>
          <w:rFonts w:eastAsia="Arial Unicode MS"/>
          <w:noProof/>
          <w:szCs w:val="24"/>
        </w:rPr>
      </w:pPr>
      <w:r>
        <w:rPr>
          <w:noProof/>
        </w:rPr>
        <w:t>10.10.2.1.</w:t>
      </w:r>
      <w:r>
        <w:rPr>
          <w:noProof/>
        </w:rPr>
        <w:tab/>
        <w:t>Photographies et/ou dessins de la disposition des symboles et des commandes, témoins et indicateurs: …</w:t>
      </w:r>
    </w:p>
    <w:p>
      <w:pPr>
        <w:spacing w:after="0"/>
        <w:ind w:left="1701" w:hanging="1701"/>
        <w:rPr>
          <w:rFonts w:eastAsia="Arial Unicode MS"/>
          <w:noProof/>
          <w:szCs w:val="24"/>
        </w:rPr>
      </w:pPr>
      <w:r>
        <w:rPr>
          <w:noProof/>
        </w:rPr>
        <w:t>10.10.2.2.</w:t>
      </w:r>
      <w:r>
        <w:rPr>
          <w:noProof/>
        </w:rPr>
        <w:tab/>
        <w:t>Photographies et/ou dessins montrant le mode d’identification des commandes, témoins et indicateurs, ainsi que des parties du véhicule visées dans le tableau 1 du règlement n</w:t>
      </w:r>
      <w:r>
        <w:rPr>
          <w:noProof/>
          <w:vertAlign w:val="superscript"/>
        </w:rPr>
        <w:t>o</w:t>
      </w:r>
      <w:r>
        <w:rPr>
          <w:noProof/>
        </w:rPr>
        <w:t> 121 de la CEE-ONU, le cas échéant: …</w:t>
      </w:r>
    </w:p>
    <w:p>
      <w:pPr>
        <w:ind w:left="1701" w:hanging="1701"/>
        <w:jc w:val="left"/>
        <w:rPr>
          <w:rFonts w:eastAsia="Arial Unicode MS"/>
          <w:bCs/>
          <w:noProof/>
          <w:szCs w:val="24"/>
        </w:rPr>
      </w:pPr>
      <w:r>
        <w:rPr>
          <w:noProof/>
        </w:rPr>
        <w:t>10.10.2.3.</w:t>
      </w:r>
      <w:r>
        <w:rPr>
          <w:noProof/>
        </w:rPr>
        <w:tab/>
        <w:t xml:space="preserve">Tableau récapitulatif </w:t>
      </w:r>
    </w:p>
    <w:p>
      <w:pPr>
        <w:spacing w:after="240"/>
        <w:ind w:left="1701"/>
        <w:rPr>
          <w:rFonts w:eastAsia="Arial Unicode MS"/>
          <w:noProof/>
          <w:szCs w:val="24"/>
        </w:rPr>
      </w:pPr>
      <w:r>
        <w:rPr>
          <w:noProof/>
        </w:rPr>
        <w:t>Le véhicule est équipé des commandes, témoins et indicateurs suivants conformément au tableau 1 du règlement n</w:t>
      </w:r>
      <w:r>
        <w:rPr>
          <w:noProof/>
          <w:vertAlign w:val="superscript"/>
        </w:rPr>
        <w:t>o</w:t>
      </w:r>
      <w:r>
        <w:rPr>
          <w:noProof/>
        </w:rPr>
        <w:t> 121 de la CEE-ONU</w:t>
      </w:r>
    </w:p>
    <w:p>
      <w:pPr>
        <w:spacing w:before="360" w:after="240"/>
        <w:ind w:left="1701"/>
        <w:jc w:val="center"/>
        <w:rPr>
          <w:rFonts w:eastAsia="Arial Unicode MS"/>
          <w:b/>
          <w:bCs/>
          <w:noProof/>
          <w:szCs w:val="24"/>
        </w:rPr>
      </w:pPr>
      <w:r>
        <w:rPr>
          <w:b/>
          <w:noProof/>
        </w:rPr>
        <w:t>Commandes, témoins et indicateurs pour lesquels, lorsque le véhicule en est équipé, l’identification est obligatoire et symboles à utiliser à cette fin</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58"/>
        <w:gridCol w:w="1080"/>
        <w:gridCol w:w="960"/>
        <w:gridCol w:w="960"/>
        <w:gridCol w:w="840"/>
        <w:gridCol w:w="840"/>
        <w:gridCol w:w="1022"/>
        <w:gridCol w:w="852"/>
      </w:tblGrid>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bCs/>
                <w:noProof/>
                <w:spacing w:val="-8"/>
                <w:sz w:val="16"/>
                <w:szCs w:val="16"/>
              </w:rPr>
            </w:pPr>
            <w:r>
              <w:rPr>
                <w:noProof/>
                <w:spacing w:val="-8"/>
                <w:sz w:val="16"/>
                <w:szCs w:val="16"/>
              </w:rPr>
              <w:t>Symbole n</w:t>
            </w:r>
            <w:r>
              <w:rPr>
                <w:noProof/>
                <w:spacing w:val="-8"/>
                <w:sz w:val="16"/>
                <w:szCs w:val="16"/>
                <w:vertAlign w:val="superscript"/>
              </w:rPr>
              <w:t>o</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jc w:val="left"/>
              <w:rPr>
                <w:rFonts w:eastAsia="Arial Unicode MS"/>
                <w:bCs/>
                <w:noProof/>
                <w:spacing w:val="-8"/>
                <w:sz w:val="18"/>
                <w:szCs w:val="18"/>
              </w:rPr>
            </w:pPr>
            <w:r>
              <w:rPr>
                <w:noProof/>
                <w:spacing w:val="-8"/>
                <w:sz w:val="18"/>
                <w:szCs w:val="18"/>
              </w:rPr>
              <w:t>Dispositif</w:t>
            </w:r>
          </w:p>
        </w:tc>
        <w:tc>
          <w:tcPr>
            <w:tcW w:w="96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bCs/>
                <w:noProof/>
                <w:spacing w:val="-8"/>
                <w:sz w:val="18"/>
                <w:szCs w:val="18"/>
              </w:rPr>
            </w:pPr>
            <w:r>
              <w:rPr>
                <w:noProof/>
                <w:spacing w:val="-8"/>
                <w:sz w:val="18"/>
              </w:rPr>
              <w:t>Commande/ indicateur disponible (</w:t>
            </w:r>
            <w:r>
              <w:rPr>
                <w:noProof/>
                <w:spacing w:val="-8"/>
                <w:sz w:val="18"/>
                <w:vertAlign w:val="superscript"/>
              </w:rPr>
              <w:t>*</w:t>
            </w:r>
            <w:r>
              <w:rPr>
                <w:noProof/>
                <w:spacing w:val="-8"/>
                <w:sz w:val="18"/>
              </w:rPr>
              <w:t>)</w:t>
            </w:r>
          </w:p>
        </w:tc>
        <w:tc>
          <w:tcPr>
            <w:tcW w:w="96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bCs/>
                <w:noProof/>
                <w:spacing w:val="-8"/>
                <w:sz w:val="16"/>
                <w:szCs w:val="16"/>
              </w:rPr>
            </w:pPr>
            <w:r>
              <w:rPr>
                <w:noProof/>
                <w:spacing w:val="-8"/>
                <w:sz w:val="16"/>
                <w:szCs w:val="16"/>
              </w:rPr>
              <w:t>Symbole d’identification (</w:t>
            </w:r>
            <w:r>
              <w:rPr>
                <w:noProof/>
                <w:spacing w:val="-8"/>
                <w:sz w:val="16"/>
                <w:szCs w:val="16"/>
                <w:vertAlign w:val="superscript"/>
              </w:rPr>
              <w:t>*</w:t>
            </w:r>
            <w:r>
              <w:rPr>
                <w:noProof/>
                <w:spacing w:val="-8"/>
                <w:sz w:val="16"/>
                <w:szCs w:val="16"/>
              </w:rPr>
              <w:t>)</w:t>
            </w:r>
          </w:p>
        </w:tc>
        <w:tc>
          <w:tcPr>
            <w:tcW w:w="84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bCs/>
                <w:noProof/>
                <w:spacing w:val="-8"/>
                <w:sz w:val="15"/>
                <w:szCs w:val="15"/>
              </w:rPr>
            </w:pPr>
            <w:r>
              <w:rPr>
                <w:noProof/>
                <w:spacing w:val="-8"/>
                <w:sz w:val="15"/>
                <w:szCs w:val="15"/>
              </w:rPr>
              <w:t>Emplacement (</w:t>
            </w:r>
            <w:r>
              <w:rPr>
                <w:noProof/>
                <w:spacing w:val="-8"/>
                <w:sz w:val="15"/>
                <w:szCs w:val="15"/>
                <w:vertAlign w:val="superscript"/>
              </w:rPr>
              <w:t>**</w:t>
            </w:r>
            <w:r>
              <w:rPr>
                <w:noProof/>
                <w:spacing w:val="-8"/>
                <w:sz w:val="15"/>
                <w:szCs w:val="15"/>
              </w:rPr>
              <w:t xml:space="preserve">) </w:t>
            </w:r>
          </w:p>
        </w:tc>
        <w:tc>
          <w:tcPr>
            <w:tcW w:w="84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bCs/>
                <w:noProof/>
                <w:spacing w:val="-8"/>
                <w:sz w:val="18"/>
                <w:szCs w:val="18"/>
              </w:rPr>
            </w:pPr>
            <w:r>
              <w:rPr>
                <w:noProof/>
                <w:spacing w:val="-8"/>
                <w:sz w:val="18"/>
              </w:rPr>
              <w:t>Témoin disponible (</w:t>
            </w:r>
            <w:r>
              <w:rPr>
                <w:noProof/>
                <w:spacing w:val="-8"/>
                <w:sz w:val="18"/>
                <w:vertAlign w:val="superscript"/>
              </w:rPr>
              <w:t>*</w:t>
            </w:r>
            <w:r>
              <w:rPr>
                <w:noProof/>
                <w:spacing w:val="-8"/>
                <w:sz w:val="18"/>
              </w:rPr>
              <w:t>)</w:t>
            </w:r>
          </w:p>
        </w:tc>
        <w:tc>
          <w:tcPr>
            <w:tcW w:w="1022"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bCs/>
                <w:noProof/>
                <w:spacing w:val="-8"/>
                <w:sz w:val="18"/>
                <w:szCs w:val="18"/>
              </w:rPr>
            </w:pPr>
            <w:r>
              <w:rPr>
                <w:noProof/>
                <w:spacing w:val="-8"/>
                <w:sz w:val="16"/>
                <w:szCs w:val="16"/>
              </w:rPr>
              <w:t>Symbole d’identification (</w:t>
            </w:r>
            <w:r>
              <w:rPr>
                <w:noProof/>
                <w:spacing w:val="-8"/>
                <w:sz w:val="16"/>
                <w:szCs w:val="16"/>
                <w:vertAlign w:val="superscript"/>
              </w:rPr>
              <w:t>*</w:t>
            </w:r>
            <w:r>
              <w:rPr>
                <w:noProof/>
                <w:spacing w:val="-8"/>
                <w:sz w:val="16"/>
                <w:szCs w:val="16"/>
              </w:rPr>
              <w:t>)</w:t>
            </w:r>
          </w:p>
        </w:tc>
        <w:tc>
          <w:tcPr>
            <w:tcW w:w="852"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bCs/>
                <w:noProof/>
                <w:spacing w:val="-8"/>
                <w:sz w:val="15"/>
                <w:szCs w:val="15"/>
              </w:rPr>
            </w:pPr>
            <w:r>
              <w:rPr>
                <w:noProof/>
                <w:spacing w:val="-8"/>
                <w:sz w:val="15"/>
                <w:szCs w:val="15"/>
              </w:rPr>
              <w:t>Emplacement (</w:t>
            </w:r>
            <w:r>
              <w:rPr>
                <w:noProof/>
                <w:spacing w:val="-8"/>
                <w:sz w:val="15"/>
                <w:szCs w:val="15"/>
                <w:vertAlign w:val="superscript"/>
              </w:rPr>
              <w:t>**</w:t>
            </w:r>
            <w:r>
              <w:rPr>
                <w:noProof/>
                <w:spacing w:val="-8"/>
                <w:sz w:val="15"/>
                <w:szCs w:val="15"/>
              </w:rPr>
              <w:t xml:space="preserve">) </w:t>
            </w: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lastRenderedPageBreak/>
              <w:t>1</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Interrupteur général d’éclairage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2</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Feux de croisement</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3</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Feux de route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4</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Feux de position (latéraux)</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5</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Feux de brouillard avant</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6</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Feux de brouillard arrière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7</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Dispositif de réglage de l’inclinaison des phares</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8</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Feux de stationnement</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9</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Indicateurs de direction</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10</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Signal de détresse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11</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Essuie-glace du pare-brise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12</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Lave-glace du pare-brise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13</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Essuie-glace et lave-glace du pare-brise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14</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Lave-phare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15</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Dégivrage et désembuage du pare-brise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16</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Dégivrage et désembuage de la vitre arrière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17</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Ventilateur</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18</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Préchauffage diesel</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19</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Starter</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lastRenderedPageBreak/>
              <w:t>20</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Défaillance des freins</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21</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Niveau du carburant</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22</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Charge de la batterie</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658"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20"/>
                <w:szCs w:val="20"/>
              </w:rPr>
            </w:pPr>
            <w:r>
              <w:rPr>
                <w:noProof/>
                <w:spacing w:val="-8"/>
                <w:sz w:val="20"/>
              </w:rPr>
              <w:t>23</w:t>
            </w:r>
          </w:p>
        </w:tc>
        <w:tc>
          <w:tcPr>
            <w:tcW w:w="1080" w:type="dxa"/>
            <w:tcBorders>
              <w:top w:val="single" w:sz="4" w:space="0" w:color="auto"/>
              <w:left w:val="single" w:sz="4" w:space="0" w:color="auto"/>
              <w:bottom w:val="single" w:sz="4" w:space="0" w:color="auto"/>
              <w:right w:val="single" w:sz="4" w:space="0" w:color="auto"/>
            </w:tcBorders>
            <w:hideMark/>
          </w:tcPr>
          <w:p>
            <w:pPr>
              <w:spacing w:before="60" w:after="60"/>
              <w:rPr>
                <w:rFonts w:eastAsia="Arial Unicode MS"/>
                <w:noProof/>
                <w:spacing w:val="-8"/>
                <w:sz w:val="18"/>
                <w:szCs w:val="18"/>
              </w:rPr>
            </w:pPr>
            <w:r>
              <w:rPr>
                <w:noProof/>
                <w:spacing w:val="-8"/>
                <w:sz w:val="18"/>
                <w:szCs w:val="18"/>
              </w:rPr>
              <w:t>Température du liquide de refroidissement du moteur</w:t>
            </w: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40"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pPr>
              <w:spacing w:before="0" w:after="0"/>
              <w:rPr>
                <w:rFonts w:eastAsia="Arial Unicode MS"/>
                <w:noProof/>
                <w:spacing w:val="-8"/>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18"/>
                <w:szCs w:val="18"/>
              </w:rPr>
            </w:pPr>
            <w:r>
              <w:rPr>
                <w:noProof/>
                <w:sz w:val="18"/>
                <w:szCs w:val="18"/>
              </w:rPr>
              <w:t>(</w:t>
            </w:r>
            <w:r>
              <w:rPr>
                <w:noProof/>
                <w:sz w:val="18"/>
                <w:szCs w:val="18"/>
                <w:vertAlign w:val="superscript"/>
              </w:rPr>
              <w:t>*</w:t>
            </w:r>
            <w:r>
              <w:rPr>
                <w:noProof/>
                <w:sz w:val="18"/>
                <w:szCs w:val="18"/>
              </w:rPr>
              <w:t>)</w:t>
            </w:r>
            <w:r>
              <w:rPr>
                <w:noProof/>
                <w:sz w:val="18"/>
                <w:szCs w:val="18"/>
              </w:rPr>
              <w:tab/>
              <w:t>x = oui</w:t>
            </w:r>
          </w:p>
          <w:p>
            <w:pPr>
              <w:spacing w:before="60" w:after="60"/>
              <w:jc w:val="left"/>
              <w:rPr>
                <w:rFonts w:eastAsia="Arial Unicode MS"/>
                <w:noProof/>
                <w:sz w:val="18"/>
                <w:szCs w:val="18"/>
              </w:rPr>
            </w:pPr>
            <w:r>
              <w:rPr>
                <w:noProof/>
                <w:sz w:val="18"/>
                <w:szCs w:val="18"/>
              </w:rPr>
              <w:tab/>
              <w:t>— = non ou non disponible séparément</w:t>
            </w:r>
          </w:p>
          <w:p>
            <w:pPr>
              <w:spacing w:before="60" w:after="60"/>
              <w:jc w:val="left"/>
              <w:rPr>
                <w:rFonts w:eastAsia="Arial Unicode MS"/>
                <w:noProof/>
                <w:sz w:val="18"/>
                <w:szCs w:val="18"/>
              </w:rPr>
            </w:pPr>
            <w:r>
              <w:rPr>
                <w:noProof/>
                <w:sz w:val="18"/>
                <w:szCs w:val="18"/>
              </w:rPr>
              <w:tab/>
              <w:t>o = en option.</w:t>
            </w:r>
          </w:p>
          <w:p>
            <w:pPr>
              <w:spacing w:before="0" w:after="0"/>
              <w:jc w:val="left"/>
              <w:rPr>
                <w:rFonts w:eastAsia="Arial Unicode MS"/>
                <w:noProof/>
                <w:sz w:val="18"/>
                <w:szCs w:val="18"/>
              </w:rPr>
            </w:pPr>
            <w:r>
              <w:rPr>
                <w:noProof/>
                <w:sz w:val="18"/>
                <w:szCs w:val="18"/>
              </w:rPr>
              <w:t>(</w:t>
            </w:r>
            <w:r>
              <w:rPr>
                <w:noProof/>
                <w:sz w:val="18"/>
                <w:szCs w:val="18"/>
                <w:vertAlign w:val="superscript"/>
              </w:rPr>
              <w:t>**</w:t>
            </w:r>
            <w:r>
              <w:rPr>
                <w:noProof/>
                <w:sz w:val="18"/>
                <w:szCs w:val="18"/>
              </w:rPr>
              <w:t>)</w:t>
            </w:r>
            <w:r>
              <w:rPr>
                <w:noProof/>
                <w:sz w:val="18"/>
                <w:szCs w:val="18"/>
              </w:rPr>
              <w:tab/>
              <w:t>d = directement sur la commande, l’indicateur ou le témoin</w:t>
            </w:r>
          </w:p>
          <w:p>
            <w:pPr>
              <w:spacing w:before="60" w:after="60"/>
              <w:jc w:val="left"/>
              <w:rPr>
                <w:rFonts w:eastAsia="Arial Unicode MS"/>
                <w:noProof/>
                <w:sz w:val="18"/>
                <w:szCs w:val="18"/>
              </w:rPr>
            </w:pPr>
            <w:r>
              <w:rPr>
                <w:noProof/>
                <w:sz w:val="18"/>
                <w:szCs w:val="18"/>
              </w:rPr>
              <w:tab/>
              <w:t>c = à proximité immédiate.</w:t>
            </w:r>
          </w:p>
        </w:tc>
      </w:tr>
    </w:tbl>
    <w:p>
      <w:pPr>
        <w:spacing w:before="360" w:after="240"/>
        <w:ind w:left="1843"/>
        <w:jc w:val="center"/>
        <w:rPr>
          <w:rFonts w:eastAsia="Arial Unicode MS"/>
          <w:b/>
          <w:bCs/>
          <w:noProof/>
          <w:szCs w:val="24"/>
        </w:rPr>
      </w:pPr>
      <w:r>
        <w:rPr>
          <w:b/>
          <w:noProof/>
        </w:rPr>
        <w:t>Commandes, témoins et indicateurs pour lesquels, lorsque le véhicule en est équipé, l’identification est facultative et symboles utilisés pour leur identification éventuelle</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1"/>
        <w:gridCol w:w="995"/>
        <w:gridCol w:w="992"/>
        <w:gridCol w:w="851"/>
        <w:gridCol w:w="762"/>
        <w:gridCol w:w="960"/>
        <w:gridCol w:w="911"/>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18"/>
                <w:szCs w:val="18"/>
              </w:rPr>
            </w:pPr>
            <w:r>
              <w:rPr>
                <w:noProof/>
                <w:spacing w:val="-8"/>
                <w:sz w:val="18"/>
              </w:rPr>
              <w:t>Symbole n</w:t>
            </w:r>
            <w:r>
              <w:rPr>
                <w:noProof/>
                <w:spacing w:val="-8"/>
                <w:sz w:val="18"/>
                <w:vertAlign w:val="superscript"/>
              </w:rPr>
              <w:t>o</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18"/>
                <w:szCs w:val="18"/>
              </w:rPr>
            </w:pPr>
            <w:r>
              <w:rPr>
                <w:noProof/>
                <w:spacing w:val="-8"/>
                <w:sz w:val="18"/>
                <w:szCs w:val="18"/>
              </w:rPr>
              <w:t>Dispositif</w:t>
            </w:r>
          </w:p>
        </w:tc>
        <w:tc>
          <w:tcPr>
            <w:tcW w:w="99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18"/>
                <w:szCs w:val="18"/>
              </w:rPr>
            </w:pPr>
            <w:r>
              <w:rPr>
                <w:noProof/>
                <w:spacing w:val="-8"/>
                <w:sz w:val="18"/>
              </w:rPr>
              <w:t>Commande/ indicateur disponible (</w:t>
            </w:r>
            <w:r>
              <w:rPr>
                <w:noProof/>
                <w:spacing w:val="-8"/>
                <w:sz w:val="18"/>
                <w:vertAlign w:val="superscript"/>
              </w:rPr>
              <w:t>*</w:t>
            </w:r>
            <w:r>
              <w:rPr>
                <w:noProof/>
                <w:spacing w:val="-8"/>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16"/>
                <w:szCs w:val="16"/>
              </w:rPr>
            </w:pPr>
            <w:r>
              <w:rPr>
                <w:noProof/>
                <w:spacing w:val="-8"/>
                <w:sz w:val="16"/>
                <w:szCs w:val="16"/>
              </w:rPr>
              <w:t>Symbole d’identification (</w:t>
            </w:r>
            <w:r>
              <w:rPr>
                <w:noProof/>
                <w:spacing w:val="-8"/>
                <w:sz w:val="16"/>
                <w:szCs w:val="16"/>
                <w:vertAlign w:val="superscript"/>
              </w:rPr>
              <w:t>*</w:t>
            </w:r>
            <w:r>
              <w:rPr>
                <w:noProof/>
                <w:spacing w:val="-8"/>
                <w:sz w:val="16"/>
                <w:szCs w:val="16"/>
              </w:rPr>
              <w:t>)</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15"/>
                <w:szCs w:val="15"/>
              </w:rPr>
            </w:pPr>
            <w:r>
              <w:rPr>
                <w:noProof/>
                <w:spacing w:val="-8"/>
                <w:sz w:val="15"/>
                <w:szCs w:val="15"/>
              </w:rPr>
              <w:t>Emplacement (</w:t>
            </w:r>
            <w:r>
              <w:rPr>
                <w:noProof/>
                <w:spacing w:val="-8"/>
                <w:sz w:val="15"/>
                <w:szCs w:val="15"/>
                <w:vertAlign w:val="superscript"/>
              </w:rPr>
              <w:t>**</w:t>
            </w:r>
            <w:r>
              <w:rPr>
                <w:noProof/>
                <w:spacing w:val="-8"/>
                <w:sz w:val="15"/>
                <w:szCs w:val="15"/>
              </w:rPr>
              <w:t xml:space="preserve">) </w:t>
            </w:r>
          </w:p>
        </w:tc>
        <w:tc>
          <w:tcPr>
            <w:tcW w:w="7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18"/>
                <w:szCs w:val="18"/>
              </w:rPr>
            </w:pPr>
            <w:r>
              <w:rPr>
                <w:noProof/>
                <w:spacing w:val="-8"/>
                <w:sz w:val="18"/>
              </w:rPr>
              <w:t>Témoin disponible (</w:t>
            </w:r>
            <w:r>
              <w:rPr>
                <w:noProof/>
                <w:spacing w:val="-8"/>
                <w:sz w:val="18"/>
                <w:vertAlign w:val="superscript"/>
              </w:rPr>
              <w:t>*</w:t>
            </w:r>
            <w:r>
              <w:rPr>
                <w:noProof/>
                <w:spacing w:val="-8"/>
                <w:sz w:val="18"/>
              </w:rPr>
              <w:t>)</w:t>
            </w:r>
          </w:p>
        </w:tc>
        <w:tc>
          <w:tcPr>
            <w:tcW w:w="96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18"/>
                <w:szCs w:val="18"/>
              </w:rPr>
            </w:pPr>
            <w:r>
              <w:rPr>
                <w:noProof/>
                <w:spacing w:val="-8"/>
                <w:sz w:val="16"/>
                <w:szCs w:val="16"/>
              </w:rPr>
              <w:t>Symbole d’identification (</w:t>
            </w:r>
            <w:r>
              <w:rPr>
                <w:noProof/>
                <w:spacing w:val="-8"/>
                <w:sz w:val="16"/>
                <w:szCs w:val="16"/>
                <w:vertAlign w:val="superscript"/>
              </w:rPr>
              <w:t>*</w:t>
            </w:r>
            <w:r>
              <w:rPr>
                <w:noProof/>
                <w:spacing w:val="-8"/>
                <w:sz w:val="16"/>
                <w:szCs w:val="16"/>
              </w:rPr>
              <w:t>)</w:t>
            </w:r>
          </w:p>
        </w:tc>
        <w:tc>
          <w:tcPr>
            <w:tcW w:w="9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15"/>
                <w:szCs w:val="15"/>
              </w:rPr>
            </w:pPr>
            <w:r>
              <w:rPr>
                <w:noProof/>
                <w:spacing w:val="-8"/>
                <w:sz w:val="15"/>
                <w:szCs w:val="15"/>
              </w:rPr>
              <w:t>Emplacement (</w:t>
            </w:r>
            <w:r>
              <w:rPr>
                <w:noProof/>
                <w:spacing w:val="-8"/>
                <w:sz w:val="15"/>
                <w:szCs w:val="15"/>
                <w:vertAlign w:val="superscript"/>
              </w:rPr>
              <w:t>**</w:t>
            </w:r>
            <w:r>
              <w:rPr>
                <w:noProof/>
                <w:spacing w:val="-8"/>
                <w:sz w:val="15"/>
                <w:szCs w:val="15"/>
              </w:rPr>
              <w:t xml:space="preserve">) </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18"/>
                <w:szCs w:val="18"/>
              </w:rPr>
            </w:pPr>
            <w:r>
              <w:rPr>
                <w:noProof/>
                <w:spacing w:val="-8"/>
                <w:sz w:val="18"/>
                <w:szCs w:val="18"/>
              </w:rPr>
              <w:t>1</w:t>
            </w:r>
          </w:p>
        </w:tc>
        <w:tc>
          <w:tcPr>
            <w:tcW w:w="1131"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18"/>
                <w:szCs w:val="18"/>
              </w:rPr>
            </w:pPr>
            <w:r>
              <w:rPr>
                <w:noProof/>
                <w:spacing w:val="-8"/>
                <w:sz w:val="18"/>
                <w:szCs w:val="18"/>
              </w:rPr>
              <w:t>Frein de stationnement</w:t>
            </w:r>
          </w:p>
        </w:tc>
        <w:tc>
          <w:tcPr>
            <w:tcW w:w="995"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2</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Essuie-glace de la vitre arrière</w:t>
            </w: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3</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Lave-glace de la vitre arrière</w:t>
            </w: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4</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Essuie-glace et lave-glace de la vitre arrière</w:t>
            </w: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5</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Essuie-glace intermittent du pare-brise</w:t>
            </w: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6</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Avertisseur sonore (klaxon)</w:t>
            </w: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7</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Capot avant</w:t>
            </w: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8</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Capot arrière (coffre)</w:t>
            </w: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9</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Ceinture de sécurité</w:t>
            </w: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10</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Pression de l’huile moteur</w:t>
            </w: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11</w:t>
            </w:r>
          </w:p>
        </w:tc>
        <w:tc>
          <w:tcPr>
            <w:tcW w:w="113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 xml:space="preserve">Essence sans </w:t>
            </w:r>
            <w:r>
              <w:rPr>
                <w:noProof/>
                <w:spacing w:val="-8"/>
                <w:sz w:val="18"/>
                <w:szCs w:val="18"/>
              </w:rPr>
              <w:lastRenderedPageBreak/>
              <w:t>plomb</w:t>
            </w: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lastRenderedPageBreak/>
              <w:t>…</w:t>
            </w:r>
          </w:p>
        </w:tc>
        <w:tc>
          <w:tcPr>
            <w:tcW w:w="113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w:t>
            </w:r>
          </w:p>
        </w:tc>
        <w:tc>
          <w:tcPr>
            <w:tcW w:w="113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szCs w:val="18"/>
              </w:rPr>
              <w:t>…</w:t>
            </w:r>
          </w:p>
        </w:tc>
        <w:tc>
          <w:tcPr>
            <w:tcW w:w="113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76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c>
          <w:tcPr>
            <w:tcW w:w="9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pacing w:val="-8"/>
                <w:sz w:val="18"/>
                <w:szCs w:val="18"/>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pacing w:val="-8"/>
                <w:sz w:val="18"/>
                <w:szCs w:val="18"/>
              </w:rPr>
            </w:pPr>
            <w:r>
              <w:rPr>
                <w:noProof/>
                <w:spacing w:val="-8"/>
                <w:sz w:val="18"/>
                <w:szCs w:val="18"/>
              </w:rPr>
              <w:t>(</w:t>
            </w:r>
            <w:r>
              <w:rPr>
                <w:noProof/>
                <w:spacing w:val="-8"/>
                <w:sz w:val="18"/>
                <w:szCs w:val="18"/>
                <w:vertAlign w:val="superscript"/>
              </w:rPr>
              <w:t>*</w:t>
            </w:r>
            <w:r>
              <w:rPr>
                <w:noProof/>
                <w:spacing w:val="-8"/>
                <w:sz w:val="18"/>
                <w:szCs w:val="18"/>
              </w:rPr>
              <w:t>)</w:t>
            </w:r>
            <w:r>
              <w:rPr>
                <w:noProof/>
                <w:spacing w:val="-8"/>
                <w:sz w:val="18"/>
                <w:szCs w:val="18"/>
              </w:rPr>
              <w:tab/>
              <w:t>x = oui</w:t>
            </w:r>
          </w:p>
          <w:p>
            <w:pPr>
              <w:spacing w:before="60" w:after="60"/>
              <w:rPr>
                <w:rFonts w:eastAsia="Arial Unicode MS"/>
                <w:noProof/>
                <w:spacing w:val="-8"/>
                <w:sz w:val="18"/>
                <w:szCs w:val="18"/>
              </w:rPr>
            </w:pPr>
            <w:r>
              <w:rPr>
                <w:noProof/>
                <w:spacing w:val="-8"/>
                <w:sz w:val="18"/>
                <w:szCs w:val="18"/>
              </w:rPr>
              <w:tab/>
              <w:t>— = non ou non disponible séparément</w:t>
            </w:r>
          </w:p>
          <w:p>
            <w:pPr>
              <w:spacing w:before="60" w:after="60"/>
              <w:rPr>
                <w:rFonts w:eastAsia="Arial Unicode MS"/>
                <w:noProof/>
                <w:spacing w:val="-8"/>
                <w:sz w:val="18"/>
                <w:szCs w:val="18"/>
              </w:rPr>
            </w:pPr>
            <w:r>
              <w:rPr>
                <w:noProof/>
                <w:spacing w:val="-8"/>
                <w:sz w:val="18"/>
                <w:szCs w:val="18"/>
              </w:rPr>
              <w:tab/>
              <w:t>o = en option.</w:t>
            </w:r>
          </w:p>
          <w:p>
            <w:pPr>
              <w:spacing w:before="0" w:after="0"/>
              <w:jc w:val="left"/>
              <w:rPr>
                <w:rFonts w:eastAsia="Arial Unicode MS"/>
                <w:noProof/>
                <w:spacing w:val="-8"/>
                <w:sz w:val="18"/>
                <w:szCs w:val="18"/>
              </w:rPr>
            </w:pPr>
            <w:r>
              <w:rPr>
                <w:noProof/>
                <w:spacing w:val="-8"/>
                <w:sz w:val="18"/>
                <w:szCs w:val="18"/>
              </w:rPr>
              <w:t>(</w:t>
            </w:r>
            <w:r>
              <w:rPr>
                <w:noProof/>
                <w:spacing w:val="-8"/>
                <w:sz w:val="18"/>
                <w:szCs w:val="18"/>
                <w:vertAlign w:val="superscript"/>
              </w:rPr>
              <w:t>**</w:t>
            </w:r>
            <w:r>
              <w:rPr>
                <w:noProof/>
                <w:spacing w:val="-8"/>
                <w:sz w:val="18"/>
                <w:szCs w:val="18"/>
              </w:rPr>
              <w:t>)</w:t>
            </w:r>
            <w:r>
              <w:rPr>
                <w:noProof/>
                <w:spacing w:val="-8"/>
                <w:sz w:val="18"/>
                <w:szCs w:val="18"/>
              </w:rPr>
              <w:tab/>
              <w:t>d = directement sur la commande, l’indicateur ou le témoin</w:t>
            </w:r>
          </w:p>
          <w:p>
            <w:pPr>
              <w:spacing w:before="60" w:after="60"/>
              <w:rPr>
                <w:rFonts w:eastAsia="Arial Unicode MS"/>
                <w:noProof/>
                <w:spacing w:val="-8"/>
                <w:sz w:val="18"/>
                <w:szCs w:val="18"/>
              </w:rPr>
            </w:pPr>
            <w:r>
              <w:rPr>
                <w:noProof/>
                <w:spacing w:val="-8"/>
                <w:sz w:val="18"/>
                <w:szCs w:val="18"/>
              </w:rPr>
              <w:tab/>
              <w:t>c = à proximité immédiate.</w:t>
            </w:r>
          </w:p>
        </w:tc>
      </w:tr>
    </w:tbl>
    <w:p>
      <w:pPr>
        <w:ind w:left="1701" w:hanging="1701"/>
        <w:rPr>
          <w:noProof/>
        </w:rPr>
      </w:pPr>
      <w:r>
        <w:rPr>
          <w:noProof/>
          <w:spacing w:val="-8"/>
          <w:szCs w:val="24"/>
        </w:rPr>
        <w:t>10.</w:t>
      </w:r>
      <w:r>
        <w:rPr>
          <w:noProof/>
        </w:rPr>
        <w:t>10.3.</w:t>
      </w:r>
      <w:r>
        <w:rPr>
          <w:noProof/>
        </w:rPr>
        <w:tab/>
      </w:r>
      <w:r>
        <w:rPr>
          <w:i/>
          <w:noProof/>
        </w:rPr>
        <w:t xml:space="preserve">Sièges </w:t>
      </w:r>
    </w:p>
    <w:p>
      <w:pPr>
        <w:spacing w:after="0"/>
        <w:ind w:left="1701" w:hanging="1701"/>
        <w:rPr>
          <w:rFonts w:eastAsia="Arial Unicode MS"/>
          <w:noProof/>
          <w:szCs w:val="24"/>
        </w:rPr>
      </w:pPr>
      <w:r>
        <w:rPr>
          <w:noProof/>
        </w:rPr>
        <w:t>10.10.3.1.</w:t>
      </w:r>
      <w:r>
        <w:rPr>
          <w:noProof/>
        </w:rPr>
        <w:tab/>
        <w:t>Nombre de places assises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Emplacement et disposition: …</w:t>
      </w:r>
    </w:p>
    <w:p>
      <w:pPr>
        <w:spacing w:after="0"/>
        <w:ind w:left="1701" w:hanging="1701"/>
        <w:rPr>
          <w:rFonts w:eastAsia="Arial Unicode MS"/>
          <w:noProof/>
          <w:szCs w:val="24"/>
        </w:rPr>
      </w:pPr>
      <w:r>
        <w:rPr>
          <w:noProof/>
        </w:rPr>
        <w:t>10.10.3.2.</w:t>
      </w:r>
      <w:r>
        <w:rPr>
          <w:noProof/>
        </w:rPr>
        <w:tab/>
        <w:t>Place(s) assise(s) conçue(s) pour être utilisée(s) uniquement lorsque le véhicule est à l’arrêt: …</w:t>
      </w:r>
    </w:p>
    <w:p>
      <w:pPr>
        <w:spacing w:after="0"/>
        <w:ind w:left="1701" w:hanging="1701"/>
        <w:rPr>
          <w:rFonts w:eastAsia="Arial Unicode MS"/>
          <w:noProof/>
          <w:szCs w:val="24"/>
        </w:rPr>
      </w:pPr>
      <w:r>
        <w:rPr>
          <w:noProof/>
        </w:rPr>
        <w:t>10.10.3.3.</w:t>
      </w:r>
      <w:r>
        <w:rPr>
          <w:noProof/>
        </w:rPr>
        <w:tab/>
        <w:t>Masse: …</w:t>
      </w:r>
    </w:p>
    <w:p>
      <w:pPr>
        <w:spacing w:after="0"/>
        <w:ind w:left="1701" w:hanging="1701"/>
        <w:rPr>
          <w:rFonts w:eastAsia="Arial Unicode MS"/>
          <w:noProof/>
          <w:szCs w:val="24"/>
        </w:rPr>
      </w:pPr>
      <w:r>
        <w:rPr>
          <w:noProof/>
        </w:rPr>
        <w:t>10.10.3.4.</w:t>
      </w:r>
      <w:r>
        <w:rPr>
          <w:noProof/>
        </w:rPr>
        <w:tab/>
        <w:t>Caractéristiques: pour les sièges non réceptionnés par type en tant que composants, description et dessins</w:t>
      </w:r>
    </w:p>
    <w:p>
      <w:pPr>
        <w:spacing w:after="0"/>
        <w:ind w:left="1701" w:hanging="1701"/>
        <w:rPr>
          <w:rFonts w:eastAsia="Arial Unicode MS"/>
          <w:noProof/>
          <w:szCs w:val="24"/>
        </w:rPr>
      </w:pPr>
      <w:r>
        <w:rPr>
          <w:noProof/>
        </w:rPr>
        <w:t>10.10.3.4.1.</w:t>
      </w:r>
      <w:r>
        <w:rPr>
          <w:noProof/>
        </w:rPr>
        <w:tab/>
        <w:t>des sièges et de leurs ancrages: …</w:t>
      </w:r>
    </w:p>
    <w:p>
      <w:pPr>
        <w:spacing w:after="0"/>
        <w:ind w:left="1701" w:hanging="1701"/>
        <w:rPr>
          <w:rFonts w:eastAsia="Arial Unicode MS"/>
          <w:noProof/>
          <w:szCs w:val="24"/>
        </w:rPr>
      </w:pPr>
      <w:r>
        <w:rPr>
          <w:noProof/>
        </w:rPr>
        <w:t>10.10.3.4.2.</w:t>
      </w:r>
      <w:r>
        <w:rPr>
          <w:noProof/>
        </w:rPr>
        <w:tab/>
        <w:t>du système de réglage: …</w:t>
      </w:r>
    </w:p>
    <w:p>
      <w:pPr>
        <w:spacing w:after="0"/>
        <w:ind w:left="1701" w:hanging="1701"/>
        <w:rPr>
          <w:rFonts w:eastAsia="Arial Unicode MS"/>
          <w:noProof/>
          <w:szCs w:val="24"/>
        </w:rPr>
      </w:pPr>
      <w:r>
        <w:rPr>
          <w:noProof/>
        </w:rPr>
        <w:t>10.10.3.4.3.</w:t>
      </w:r>
      <w:r>
        <w:rPr>
          <w:noProof/>
        </w:rPr>
        <w:tab/>
        <w:t>des systèmes de déplacement et de verrouillage: …</w:t>
      </w:r>
    </w:p>
    <w:p>
      <w:pPr>
        <w:spacing w:after="0"/>
        <w:ind w:left="1701" w:hanging="1701"/>
        <w:rPr>
          <w:rFonts w:eastAsia="Arial Unicode MS"/>
          <w:noProof/>
          <w:szCs w:val="24"/>
        </w:rPr>
      </w:pPr>
      <w:r>
        <w:rPr>
          <w:noProof/>
        </w:rPr>
        <w:t>10.10.3.4.4.</w:t>
      </w:r>
      <w:r>
        <w:rPr>
          <w:noProof/>
        </w:rPr>
        <w:tab/>
        <w:t>des ancrages de ceintures de sécurité (s’ils sont incorporés dans la structure des sièges): …</w:t>
      </w:r>
    </w:p>
    <w:p>
      <w:pPr>
        <w:spacing w:after="0"/>
        <w:ind w:left="1701" w:hanging="1701"/>
        <w:rPr>
          <w:rFonts w:eastAsia="Arial Unicode MS"/>
          <w:noProof/>
          <w:szCs w:val="24"/>
        </w:rPr>
      </w:pPr>
      <w:r>
        <w:rPr>
          <w:noProof/>
        </w:rPr>
        <w:t>10.10.3.4.5.</w:t>
      </w:r>
      <w:r>
        <w:rPr>
          <w:noProof/>
        </w:rPr>
        <w:tab/>
        <w:t>des parties du véhicule utilisées comme ancrages: …</w:t>
      </w:r>
    </w:p>
    <w:p>
      <w:pPr>
        <w:spacing w:after="0"/>
        <w:ind w:left="1701" w:hanging="1701"/>
        <w:rPr>
          <w:rFonts w:eastAsia="Arial Unicode MS"/>
          <w:noProof/>
          <w:szCs w:val="24"/>
        </w:rPr>
      </w:pPr>
      <w:r>
        <w:rPr>
          <w:noProof/>
        </w:rPr>
        <w:t>10.10.3.5.</w:t>
      </w:r>
      <w:r>
        <w:rPr>
          <w:noProof/>
        </w:rPr>
        <w:tab/>
        <w:t>Coordonnées ou dessin du point R (</w:t>
      </w:r>
      <w:r>
        <w:rPr>
          <w:noProof/>
          <w:vertAlign w:val="superscript"/>
        </w:rPr>
        <w:t>t</w:t>
      </w:r>
      <w:r>
        <w:rPr>
          <w:noProof/>
        </w:rPr>
        <w:t>)</w:t>
      </w:r>
    </w:p>
    <w:p>
      <w:pPr>
        <w:spacing w:after="0"/>
        <w:ind w:left="1701" w:hanging="1701"/>
        <w:rPr>
          <w:rFonts w:eastAsia="Arial Unicode MS"/>
          <w:noProof/>
          <w:szCs w:val="24"/>
        </w:rPr>
      </w:pPr>
      <w:r>
        <w:rPr>
          <w:noProof/>
        </w:rPr>
        <w:t>10.10.3.5.1.</w:t>
      </w:r>
      <w:r>
        <w:rPr>
          <w:noProof/>
        </w:rPr>
        <w:tab/>
        <w:t>Siège du conducteur: …</w:t>
      </w:r>
    </w:p>
    <w:p>
      <w:pPr>
        <w:spacing w:after="0"/>
        <w:ind w:left="1701" w:hanging="1701"/>
        <w:rPr>
          <w:rFonts w:eastAsia="Arial Unicode MS"/>
          <w:noProof/>
          <w:szCs w:val="24"/>
        </w:rPr>
      </w:pPr>
      <w:r>
        <w:rPr>
          <w:noProof/>
        </w:rPr>
        <w:t>10.10.3.5.2.</w:t>
      </w:r>
      <w:r>
        <w:rPr>
          <w:noProof/>
        </w:rPr>
        <w:tab/>
        <w:t>Toutes les autres places assises: …</w:t>
      </w:r>
    </w:p>
    <w:p>
      <w:pPr>
        <w:spacing w:after="0"/>
        <w:ind w:left="1701" w:hanging="1701"/>
        <w:rPr>
          <w:rFonts w:eastAsia="Arial Unicode MS"/>
          <w:noProof/>
          <w:szCs w:val="24"/>
        </w:rPr>
      </w:pPr>
      <w:r>
        <w:rPr>
          <w:noProof/>
        </w:rPr>
        <w:t>10.10.3.6.</w:t>
      </w:r>
      <w:r>
        <w:rPr>
          <w:noProof/>
        </w:rPr>
        <w:tab/>
        <w:t>Angle de torse prévu</w:t>
      </w:r>
    </w:p>
    <w:p>
      <w:pPr>
        <w:spacing w:after="0"/>
        <w:ind w:left="1701" w:hanging="1701"/>
        <w:rPr>
          <w:rFonts w:eastAsia="Arial Unicode MS"/>
          <w:noProof/>
          <w:szCs w:val="24"/>
        </w:rPr>
      </w:pPr>
      <w:r>
        <w:rPr>
          <w:noProof/>
        </w:rPr>
        <w:t>10.10.3.6.1.</w:t>
      </w:r>
      <w:r>
        <w:rPr>
          <w:noProof/>
        </w:rPr>
        <w:tab/>
        <w:t>Siège du conducteur: …</w:t>
      </w:r>
    </w:p>
    <w:p>
      <w:pPr>
        <w:spacing w:after="0"/>
        <w:ind w:left="1701" w:hanging="1701"/>
        <w:rPr>
          <w:rFonts w:eastAsia="Arial Unicode MS"/>
          <w:noProof/>
          <w:szCs w:val="24"/>
        </w:rPr>
      </w:pPr>
      <w:r>
        <w:rPr>
          <w:noProof/>
        </w:rPr>
        <w:t>10.10.3.6.2.</w:t>
      </w:r>
      <w:r>
        <w:rPr>
          <w:noProof/>
        </w:rPr>
        <w:tab/>
        <w:t>Toutes les autres places assises: …</w:t>
      </w:r>
    </w:p>
    <w:p>
      <w:pPr>
        <w:spacing w:after="0"/>
        <w:ind w:left="1701" w:hanging="1701"/>
        <w:rPr>
          <w:rFonts w:eastAsia="Arial Unicode MS"/>
          <w:noProof/>
          <w:szCs w:val="24"/>
        </w:rPr>
      </w:pPr>
      <w:r>
        <w:rPr>
          <w:noProof/>
        </w:rPr>
        <w:t>10.10.3.7.</w:t>
      </w:r>
      <w:r>
        <w:rPr>
          <w:noProof/>
        </w:rPr>
        <w:tab/>
        <w:t>Plage de réglage du siège</w:t>
      </w:r>
    </w:p>
    <w:p>
      <w:pPr>
        <w:spacing w:after="0"/>
        <w:ind w:left="1701" w:hanging="1701"/>
        <w:rPr>
          <w:rFonts w:eastAsia="Arial Unicode MS"/>
          <w:noProof/>
          <w:szCs w:val="24"/>
        </w:rPr>
      </w:pPr>
      <w:r>
        <w:rPr>
          <w:noProof/>
        </w:rPr>
        <w:t>10.10.3.7.1.</w:t>
      </w:r>
      <w:r>
        <w:rPr>
          <w:noProof/>
        </w:rPr>
        <w:tab/>
        <w:t>Siège du conducteur: …</w:t>
      </w:r>
    </w:p>
    <w:p>
      <w:pPr>
        <w:spacing w:after="0"/>
        <w:ind w:left="1701" w:hanging="1701"/>
        <w:rPr>
          <w:rFonts w:eastAsia="Arial Unicode MS"/>
          <w:noProof/>
          <w:szCs w:val="24"/>
        </w:rPr>
      </w:pPr>
      <w:r>
        <w:rPr>
          <w:noProof/>
        </w:rPr>
        <w:t>10.10.3.7.2.</w:t>
      </w:r>
      <w:r>
        <w:rPr>
          <w:noProof/>
        </w:rPr>
        <w:tab/>
        <w:t>Toutes les autres places assises: …</w:t>
      </w:r>
    </w:p>
    <w:p>
      <w:pPr>
        <w:spacing w:before="240"/>
        <w:ind w:left="1701" w:hanging="1701"/>
        <w:jc w:val="left"/>
        <w:rPr>
          <w:rFonts w:eastAsia="Arial Unicode MS"/>
          <w:bCs/>
          <w:noProof/>
          <w:szCs w:val="24"/>
        </w:rPr>
      </w:pPr>
      <w:r>
        <w:rPr>
          <w:noProof/>
        </w:rPr>
        <w:t>10.10.4.</w:t>
      </w:r>
      <w:r>
        <w:rPr>
          <w:noProof/>
        </w:rPr>
        <w:tab/>
      </w:r>
      <w:r>
        <w:rPr>
          <w:i/>
          <w:noProof/>
        </w:rPr>
        <w:t>Appuie-tête</w:t>
      </w:r>
      <w:r>
        <w:rPr>
          <w:noProof/>
        </w:rPr>
        <w:t xml:space="preserve"> </w:t>
      </w:r>
    </w:p>
    <w:p>
      <w:pPr>
        <w:spacing w:after="0"/>
        <w:ind w:left="1701" w:hanging="1701"/>
        <w:rPr>
          <w:rFonts w:eastAsia="Arial Unicode MS"/>
          <w:noProof/>
          <w:szCs w:val="24"/>
        </w:rPr>
      </w:pPr>
      <w:r>
        <w:rPr>
          <w:noProof/>
        </w:rPr>
        <w:t>10.10.4.1.</w:t>
      </w:r>
      <w:r>
        <w:rPr>
          <w:noProof/>
        </w:rPr>
        <w:tab/>
        <w:t>Type(s) d’appuie-tête: intégrés/amovibles/séparés (</w:t>
      </w:r>
      <w:r>
        <w:rPr>
          <w:noProof/>
          <w:vertAlign w:val="superscript"/>
        </w:rPr>
        <w:t>1</w:t>
      </w:r>
      <w:r>
        <w:rPr>
          <w:noProof/>
        </w:rPr>
        <w:t>)</w:t>
      </w:r>
      <w:r>
        <w:rPr>
          <w:noProof/>
        </w:rPr>
        <w:tab/>
      </w:r>
    </w:p>
    <w:p>
      <w:pPr>
        <w:spacing w:after="0"/>
        <w:ind w:left="1701" w:hanging="1701"/>
        <w:rPr>
          <w:rFonts w:eastAsia="Arial Unicode MS"/>
          <w:noProof/>
          <w:szCs w:val="24"/>
        </w:rPr>
      </w:pPr>
      <w:r>
        <w:rPr>
          <w:noProof/>
        </w:rPr>
        <w:t>10.10.4.2.</w:t>
      </w:r>
      <w:r>
        <w:rPr>
          <w:noProof/>
        </w:rPr>
        <w:tab/>
        <w:t>Numéro(s) de réception par type (le cas échéant): …</w:t>
      </w:r>
    </w:p>
    <w:p>
      <w:pPr>
        <w:spacing w:after="0"/>
        <w:ind w:left="1701" w:hanging="1701"/>
        <w:rPr>
          <w:rFonts w:eastAsia="Arial Unicode MS"/>
          <w:noProof/>
          <w:szCs w:val="24"/>
        </w:rPr>
      </w:pPr>
      <w:r>
        <w:rPr>
          <w:noProof/>
        </w:rPr>
        <w:t>10.10.4.3.</w:t>
      </w:r>
      <w:r>
        <w:rPr>
          <w:noProof/>
        </w:rPr>
        <w:tab/>
        <w:t>Pour les appuie-tête non encore réceptionnés</w:t>
      </w:r>
    </w:p>
    <w:p>
      <w:pPr>
        <w:spacing w:after="0"/>
        <w:ind w:left="1701" w:hanging="1701"/>
        <w:rPr>
          <w:rFonts w:eastAsia="Arial Unicode MS"/>
          <w:noProof/>
          <w:szCs w:val="24"/>
        </w:rPr>
      </w:pPr>
      <w:r>
        <w:rPr>
          <w:noProof/>
        </w:rPr>
        <w:lastRenderedPageBreak/>
        <w:t>10.10.4.3.1.</w:t>
      </w:r>
      <w:r>
        <w:rPr>
          <w:noProof/>
        </w:rPr>
        <w:tab/>
        <w:t>Description détaillée de l’appuie-tête, indiquant en particulier la nature du ou des matériaux de rembourrage et, le cas échéant, l’emplacement et les spécifications des renforts et des pièces d’ancrage du type de siège pour lequel la réception est demandée: …</w:t>
      </w:r>
    </w:p>
    <w:p>
      <w:pPr>
        <w:spacing w:after="0"/>
        <w:ind w:left="1701" w:hanging="1701"/>
        <w:rPr>
          <w:rFonts w:eastAsia="Arial Unicode MS"/>
          <w:noProof/>
          <w:szCs w:val="24"/>
        </w:rPr>
      </w:pPr>
      <w:r>
        <w:rPr>
          <w:noProof/>
        </w:rPr>
        <w:t>10.10.4.3.2.</w:t>
      </w:r>
      <w:r>
        <w:rPr>
          <w:noProof/>
        </w:rPr>
        <w:tab/>
        <w:t>Dans le cas d’un appuie-tête «séparé»</w:t>
      </w:r>
    </w:p>
    <w:p>
      <w:pPr>
        <w:spacing w:after="0"/>
        <w:ind w:left="1701" w:hanging="1701"/>
        <w:rPr>
          <w:rFonts w:eastAsia="Arial Unicode MS"/>
          <w:noProof/>
          <w:szCs w:val="24"/>
        </w:rPr>
      </w:pPr>
      <w:r>
        <w:rPr>
          <w:noProof/>
        </w:rPr>
        <w:t>10.10.4.3.2.1.</w:t>
      </w:r>
      <w:r>
        <w:rPr>
          <w:noProof/>
        </w:rPr>
        <w:tab/>
        <w:t>Description détaillée de la zone de la structure sur laquelle l’appuie-tête doit être monté: …</w:t>
      </w:r>
    </w:p>
    <w:p>
      <w:pPr>
        <w:spacing w:after="0"/>
        <w:ind w:left="1701" w:hanging="1701"/>
        <w:rPr>
          <w:rFonts w:eastAsia="Arial Unicode MS"/>
          <w:noProof/>
          <w:szCs w:val="24"/>
        </w:rPr>
      </w:pPr>
      <w:r>
        <w:rPr>
          <w:noProof/>
        </w:rPr>
        <w:t>10.10.4.3.2.2.</w:t>
      </w:r>
      <w:r>
        <w:rPr>
          <w:noProof/>
        </w:rPr>
        <w:tab/>
        <w:t>Schémas cotés des parties caractéristiques de la structure et de l’appuie-tête: …</w:t>
      </w:r>
    </w:p>
    <w:p>
      <w:pPr>
        <w:spacing w:before="240"/>
        <w:ind w:left="1701" w:hanging="1701"/>
        <w:jc w:val="left"/>
        <w:rPr>
          <w:rFonts w:eastAsia="Arial Unicode MS"/>
          <w:bCs/>
          <w:noProof/>
          <w:szCs w:val="24"/>
        </w:rPr>
      </w:pPr>
      <w:r>
        <w:rPr>
          <w:noProof/>
        </w:rPr>
        <w:t>10.10.5.</w:t>
      </w:r>
      <w:r>
        <w:rPr>
          <w:noProof/>
        </w:rPr>
        <w:tab/>
      </w:r>
      <w:r>
        <w:rPr>
          <w:i/>
          <w:noProof/>
        </w:rPr>
        <w:t>Systèmes de chauffage pour l’habitacle</w:t>
      </w:r>
      <w:r>
        <w:rPr>
          <w:noProof/>
        </w:rPr>
        <w:t xml:space="preserve"> </w:t>
      </w:r>
    </w:p>
    <w:p>
      <w:pPr>
        <w:spacing w:after="0"/>
        <w:ind w:left="1701" w:hanging="1701"/>
        <w:rPr>
          <w:rFonts w:eastAsia="Arial Unicode MS"/>
          <w:noProof/>
          <w:szCs w:val="24"/>
        </w:rPr>
      </w:pPr>
      <w:r>
        <w:rPr>
          <w:noProof/>
        </w:rPr>
        <w:t>10.10.5.1.</w:t>
      </w:r>
      <w:r>
        <w:rPr>
          <w:noProof/>
        </w:rPr>
        <w:tab/>
        <w:t>Description succincte du type de véhicule en ce qui concerne le système de chauffage si ledit système utilise la chaleur du liquide de refroidissement du moteur: …</w:t>
      </w:r>
    </w:p>
    <w:p>
      <w:pPr>
        <w:spacing w:after="0"/>
        <w:ind w:left="1701" w:hanging="1701"/>
        <w:rPr>
          <w:rFonts w:eastAsia="Arial Unicode MS"/>
          <w:noProof/>
          <w:szCs w:val="24"/>
        </w:rPr>
      </w:pPr>
      <w:r>
        <w:rPr>
          <w:noProof/>
        </w:rPr>
        <w:t>10.10.5.2.</w:t>
      </w:r>
      <w:r>
        <w:rPr>
          <w:noProof/>
        </w:rPr>
        <w:tab/>
        <w:t>Description détaillée du type de véhicule en ce qui concerne le système de chauffage si ledit système utilise l’air de refroidissement ou les gaz d’échappement du moteur comme source de chaleur, comprenant les éléments suivants:</w:t>
      </w:r>
    </w:p>
    <w:p>
      <w:pPr>
        <w:spacing w:after="0"/>
        <w:ind w:left="1701" w:hanging="1701"/>
        <w:rPr>
          <w:rFonts w:eastAsia="Arial Unicode MS"/>
          <w:noProof/>
          <w:szCs w:val="24"/>
        </w:rPr>
      </w:pPr>
      <w:r>
        <w:rPr>
          <w:noProof/>
        </w:rPr>
        <w:t>10.10.5.2.1.</w:t>
      </w:r>
      <w:r>
        <w:rPr>
          <w:noProof/>
        </w:rPr>
        <w:tab/>
        <w:t>Schéma du système de chauffage indiquant son emplacement dans le véhicule: …</w:t>
      </w:r>
    </w:p>
    <w:p>
      <w:pPr>
        <w:spacing w:after="0"/>
        <w:ind w:left="1701" w:hanging="1701"/>
        <w:rPr>
          <w:rFonts w:eastAsia="Arial Unicode MS"/>
          <w:noProof/>
          <w:szCs w:val="24"/>
        </w:rPr>
      </w:pPr>
      <w:r>
        <w:rPr>
          <w:noProof/>
        </w:rPr>
        <w:t>10.10.5.2.2.</w:t>
      </w:r>
      <w:r>
        <w:rPr>
          <w:noProof/>
        </w:rPr>
        <w:tab/>
        <w:t>Schéma de l’échangeur de chaleur pour les systèmes de chauffage utilisant la chaleur des gaz d’échappement, ou schéma des dispositifs dans lesquels l’échange de chaleur a lieu (pour les systèmes de chauffage utilisant la chaleur de l’air de refroidissement du moteur): …</w:t>
      </w:r>
    </w:p>
    <w:p>
      <w:pPr>
        <w:spacing w:after="0"/>
        <w:ind w:left="1701" w:hanging="1701"/>
        <w:rPr>
          <w:rFonts w:eastAsia="Arial Unicode MS"/>
          <w:noProof/>
          <w:szCs w:val="24"/>
        </w:rPr>
      </w:pPr>
      <w:r>
        <w:rPr>
          <w:noProof/>
        </w:rPr>
        <w:t>10.10.5.2.3.</w:t>
      </w:r>
      <w:r>
        <w:rPr>
          <w:noProof/>
        </w:rPr>
        <w:tab/>
        <w:t>Vue en coupe de l’échangeur de chaleur ou des dispositifs dans lesquels a lieu l’échange de chaleur, avec indication de l’épaisseur des parois, des matériaux utilisés et des caractéristiques de la surface: …</w:t>
      </w:r>
    </w:p>
    <w:p>
      <w:pPr>
        <w:spacing w:after="0"/>
        <w:ind w:left="1701" w:hanging="1701"/>
        <w:rPr>
          <w:rFonts w:eastAsia="Arial Unicode MS"/>
          <w:noProof/>
          <w:szCs w:val="24"/>
        </w:rPr>
      </w:pPr>
      <w:r>
        <w:rPr>
          <w:noProof/>
        </w:rPr>
        <w:t>10.10.5.2.4.</w:t>
      </w:r>
      <w:r>
        <w:rPr>
          <w:noProof/>
        </w:rPr>
        <w:tab/>
        <w:t>Spécifications à fournir pour d’autres éléments importants du système de chauffage, tels que le rotor du ventilateur, en ce qui concerne le mode de construction et les données techniques: …</w:t>
      </w:r>
    </w:p>
    <w:p>
      <w:pPr>
        <w:spacing w:after="0"/>
        <w:ind w:left="1701" w:hanging="1701"/>
        <w:rPr>
          <w:rFonts w:eastAsia="Arial Unicode MS"/>
          <w:noProof/>
          <w:szCs w:val="24"/>
        </w:rPr>
      </w:pPr>
      <w:r>
        <w:rPr>
          <w:noProof/>
        </w:rPr>
        <w:t>10.10.5.3.</w:t>
      </w:r>
      <w:r>
        <w:rPr>
          <w:noProof/>
        </w:rPr>
        <w:tab/>
        <w:t>Description succincte du type de véhicule en ce qui concerne le système de chauffage à combustion et le contrôle automatique: …</w:t>
      </w:r>
    </w:p>
    <w:p>
      <w:pPr>
        <w:spacing w:after="0"/>
        <w:ind w:left="1701" w:hanging="1701"/>
        <w:rPr>
          <w:rFonts w:eastAsia="Arial Unicode MS"/>
          <w:noProof/>
          <w:szCs w:val="24"/>
        </w:rPr>
      </w:pPr>
      <w:r>
        <w:rPr>
          <w:noProof/>
        </w:rPr>
        <w:t>10.10.5.3.1.</w:t>
      </w:r>
      <w:r>
        <w:rPr>
          <w:noProof/>
        </w:rPr>
        <w:tab/>
        <w:t>Schéma du chauffage à combustion, du système d’admission d’air, du système d’échappement, du réservoir de carburant, du système d’alimentation en carburant (y compris les soupapes) et des raccordements électriques, montrant leur emplacement dans le véhicule.</w:t>
      </w:r>
    </w:p>
    <w:p>
      <w:pPr>
        <w:spacing w:after="0"/>
        <w:ind w:left="1701" w:hanging="1701"/>
        <w:rPr>
          <w:rFonts w:eastAsia="Arial Unicode MS"/>
          <w:noProof/>
          <w:szCs w:val="24"/>
        </w:rPr>
      </w:pPr>
      <w:r>
        <w:rPr>
          <w:noProof/>
        </w:rPr>
        <w:t>10.10.5.4.</w:t>
      </w:r>
      <w:r>
        <w:rPr>
          <w:noProof/>
        </w:rPr>
        <w:tab/>
        <w:t>Consommation électrique maximale: …… kW</w:t>
      </w:r>
    </w:p>
    <w:p>
      <w:pPr>
        <w:spacing w:before="240"/>
        <w:ind w:left="1701" w:hanging="1701"/>
        <w:rPr>
          <w:rFonts w:eastAsia="Arial Unicode MS"/>
          <w:bCs/>
          <w:noProof/>
          <w:szCs w:val="24"/>
        </w:rPr>
      </w:pPr>
      <w:r>
        <w:rPr>
          <w:noProof/>
        </w:rPr>
        <w:t>10.10.6.</w:t>
      </w:r>
      <w:r>
        <w:rPr>
          <w:noProof/>
        </w:rPr>
        <w:tab/>
      </w:r>
      <w:r>
        <w:rPr>
          <w:i/>
          <w:noProof/>
        </w:rPr>
        <w:t>Composants ayant une influence sur le comportement du mécanisme de direction en cas de choc</w:t>
      </w:r>
      <w:r>
        <w:rPr>
          <w:noProof/>
        </w:rPr>
        <w:t xml:space="preserve"> </w:t>
      </w:r>
    </w:p>
    <w:p>
      <w:pPr>
        <w:spacing w:after="0"/>
        <w:ind w:left="1701" w:hanging="1701"/>
        <w:rPr>
          <w:rFonts w:eastAsia="Arial Unicode MS"/>
          <w:noProof/>
          <w:szCs w:val="24"/>
        </w:rPr>
      </w:pPr>
      <w:r>
        <w:rPr>
          <w:noProof/>
        </w:rPr>
        <w:t>10.10.6.1.</w:t>
      </w:r>
      <w:r>
        <w:rPr>
          <w:noProof/>
        </w:rPr>
        <w:tab/>
        <w:t xml:space="preserve">Description détaillée, illustrée d’une ou de plusieurs photographies et/ou d’un ou de plusieurs dessins, du type de véhicule en ce qui concerne la structure, les dimensions, les lignes et les matériaux de la partie du véhicule </w:t>
      </w:r>
      <w:r>
        <w:rPr>
          <w:noProof/>
        </w:rPr>
        <w:lastRenderedPageBreak/>
        <w:t>située devant la commande de direction, y compris les composants destinés à absorber l’énergie cinétique en cas de choc contre la commande de direction: …</w:t>
      </w:r>
    </w:p>
    <w:p>
      <w:pPr>
        <w:spacing w:after="0"/>
        <w:ind w:left="1701" w:hanging="1701"/>
        <w:rPr>
          <w:rFonts w:eastAsia="Arial Unicode MS"/>
          <w:noProof/>
          <w:szCs w:val="24"/>
        </w:rPr>
      </w:pPr>
      <w:r>
        <w:rPr>
          <w:noProof/>
        </w:rPr>
        <w:t>10.10.6.2.</w:t>
      </w:r>
      <w:r>
        <w:rPr>
          <w:noProof/>
        </w:rPr>
        <w:tab/>
        <w:t>Photographie(s) et/ou dessin(s) des éléments du véhicule autres que ceux visés au point 10.10.6.1 désignés par le constructeur, en accord avec le service technique, comme éléments ayant une incidence sur le comportement du mécanisme de direction en cas de choc: …</w:t>
      </w:r>
    </w:p>
    <w:p>
      <w:pPr>
        <w:spacing w:before="240"/>
        <w:ind w:left="1701" w:hanging="1701"/>
        <w:jc w:val="left"/>
        <w:rPr>
          <w:rFonts w:eastAsia="Arial Unicode MS"/>
          <w:bCs/>
          <w:noProof/>
          <w:szCs w:val="24"/>
        </w:rPr>
      </w:pPr>
      <w:r>
        <w:rPr>
          <w:noProof/>
        </w:rPr>
        <w:t>10.10.7.</w:t>
      </w:r>
      <w:r>
        <w:rPr>
          <w:noProof/>
        </w:rPr>
        <w:tab/>
      </w:r>
      <w:r>
        <w:rPr>
          <w:i/>
          <w:noProof/>
        </w:rPr>
        <w:t>Comportement au feu des matériaux utilisés dans l’aménagement intérieur de certaines catégories de véhicules à moteur</w:t>
      </w:r>
      <w:r>
        <w:rPr>
          <w:noProof/>
        </w:rPr>
        <w:t xml:space="preserve"> </w:t>
      </w:r>
    </w:p>
    <w:p>
      <w:pPr>
        <w:spacing w:before="240"/>
        <w:ind w:left="1701" w:hanging="1701"/>
        <w:jc w:val="left"/>
        <w:rPr>
          <w:rFonts w:eastAsia="Arial Unicode MS"/>
          <w:bCs/>
          <w:noProof/>
          <w:szCs w:val="24"/>
        </w:rPr>
      </w:pPr>
      <w:r>
        <w:rPr>
          <w:noProof/>
        </w:rPr>
        <w:t>10.10.7.1.</w:t>
      </w:r>
      <w:r>
        <w:rPr>
          <w:noProof/>
        </w:rPr>
        <w:tab/>
        <w:t xml:space="preserve">Matériau(x) utilisé(s) pour la garniture intérieure du toit </w:t>
      </w:r>
    </w:p>
    <w:p>
      <w:pPr>
        <w:spacing w:after="0"/>
        <w:ind w:left="1701" w:hanging="1701"/>
        <w:rPr>
          <w:rFonts w:eastAsia="Arial Unicode MS"/>
          <w:noProof/>
          <w:szCs w:val="24"/>
        </w:rPr>
      </w:pPr>
      <w:r>
        <w:rPr>
          <w:noProof/>
        </w:rPr>
        <w:t>10.10.7.1.1.</w:t>
      </w:r>
      <w:r>
        <w:rPr>
          <w:noProof/>
        </w:rPr>
        <w:tab/>
        <w:t>Numéro(s) de réception par type du (des) composant(s), s’il(s) est (sont) connu(s): …</w:t>
      </w:r>
    </w:p>
    <w:p>
      <w:pPr>
        <w:spacing w:after="0"/>
        <w:ind w:left="1701" w:hanging="1701"/>
        <w:rPr>
          <w:rFonts w:eastAsia="Arial Unicode MS"/>
          <w:noProof/>
          <w:szCs w:val="24"/>
        </w:rPr>
      </w:pPr>
      <w:r>
        <w:rPr>
          <w:noProof/>
        </w:rPr>
        <w:t>10.10.7.1.2.</w:t>
      </w:r>
      <w:r>
        <w:rPr>
          <w:noProof/>
        </w:rPr>
        <w:tab/>
        <w:t>Pour les matériaux non réceptionnés</w:t>
      </w:r>
    </w:p>
    <w:p>
      <w:pPr>
        <w:spacing w:after="0"/>
        <w:ind w:left="1701" w:hanging="1701"/>
        <w:rPr>
          <w:rFonts w:eastAsia="Arial Unicode MS"/>
          <w:noProof/>
          <w:szCs w:val="24"/>
        </w:rPr>
      </w:pPr>
      <w:r>
        <w:rPr>
          <w:noProof/>
        </w:rPr>
        <w:t>10.10.7.1.2.1.</w:t>
      </w:r>
      <w:r>
        <w:rPr>
          <w:noProof/>
        </w:rPr>
        <w:tab/>
        <w:t>Matériau(x) de base/désignation: ……/……</w:t>
      </w:r>
    </w:p>
    <w:p>
      <w:pPr>
        <w:spacing w:after="0"/>
        <w:ind w:left="1701" w:hanging="1701"/>
        <w:rPr>
          <w:rFonts w:eastAsia="Arial Unicode MS"/>
          <w:noProof/>
          <w:szCs w:val="24"/>
        </w:rPr>
      </w:pPr>
      <w:r>
        <w:rPr>
          <w:noProof/>
        </w:rPr>
        <w:t>10.10.7.1.2.2.</w:t>
      </w:r>
      <w:r>
        <w:rPr>
          <w:noProof/>
        </w:rPr>
        <w:tab/>
        <w:t>Matériau composite/simple (</w:t>
      </w:r>
      <w:r>
        <w:rPr>
          <w:noProof/>
          <w:vertAlign w:val="superscript"/>
        </w:rPr>
        <w:t>1</w:t>
      </w:r>
      <w:r>
        <w:rPr>
          <w:noProof/>
        </w:rPr>
        <w:t>), nombre de couches (</w:t>
      </w:r>
      <w:r>
        <w:rPr>
          <w:noProof/>
          <w:vertAlign w:val="superscript"/>
        </w:rPr>
        <w:t>1</w:t>
      </w:r>
      <w:r>
        <w:rPr>
          <w:noProof/>
        </w:rPr>
        <w:t>): …</w:t>
      </w:r>
    </w:p>
    <w:p>
      <w:pPr>
        <w:spacing w:after="0"/>
        <w:ind w:left="1701" w:hanging="1701"/>
        <w:rPr>
          <w:rFonts w:eastAsia="Arial Unicode MS"/>
          <w:noProof/>
          <w:szCs w:val="24"/>
        </w:rPr>
      </w:pPr>
      <w:r>
        <w:rPr>
          <w:noProof/>
        </w:rPr>
        <w:t>10.10.7.1.2.3.</w:t>
      </w:r>
      <w:r>
        <w:rPr>
          <w:noProof/>
        </w:rPr>
        <w:tab/>
        <w:t>Type de revêtement (</w:t>
      </w:r>
      <w:r>
        <w:rPr>
          <w:noProof/>
          <w:vertAlign w:val="superscript"/>
        </w:rPr>
        <w:t>1</w:t>
      </w:r>
      <w:r>
        <w:rPr>
          <w:noProof/>
        </w:rPr>
        <w:t>): …</w:t>
      </w:r>
    </w:p>
    <w:p>
      <w:pPr>
        <w:spacing w:after="0"/>
        <w:ind w:left="1701" w:hanging="1701"/>
        <w:rPr>
          <w:rFonts w:eastAsia="Arial Unicode MS"/>
          <w:noProof/>
          <w:szCs w:val="24"/>
        </w:rPr>
      </w:pPr>
      <w:r>
        <w:rPr>
          <w:noProof/>
        </w:rPr>
        <w:t>10.10.7.1.2.4.</w:t>
      </w:r>
      <w:r>
        <w:rPr>
          <w:noProof/>
        </w:rPr>
        <w:tab/>
        <w:t>Épaisseur maximale/minimale: ……/…… mm</w:t>
      </w:r>
    </w:p>
    <w:p>
      <w:pPr>
        <w:spacing w:before="240"/>
        <w:ind w:left="1701" w:hanging="1701"/>
        <w:jc w:val="left"/>
        <w:rPr>
          <w:rFonts w:eastAsia="Arial Unicode MS"/>
          <w:bCs/>
          <w:noProof/>
          <w:szCs w:val="24"/>
        </w:rPr>
      </w:pPr>
      <w:r>
        <w:rPr>
          <w:noProof/>
        </w:rPr>
        <w:t>10.10.7.2.</w:t>
      </w:r>
      <w:r>
        <w:rPr>
          <w:noProof/>
        </w:rPr>
        <w:tab/>
        <w:t xml:space="preserve">Matériau(x) utilisé(s) pour les parois arrière et latérales </w:t>
      </w:r>
    </w:p>
    <w:p>
      <w:pPr>
        <w:spacing w:after="0"/>
        <w:ind w:left="1701" w:hanging="1701"/>
        <w:rPr>
          <w:rFonts w:eastAsia="Arial Unicode MS"/>
          <w:noProof/>
          <w:szCs w:val="24"/>
        </w:rPr>
      </w:pPr>
      <w:r>
        <w:rPr>
          <w:noProof/>
        </w:rPr>
        <w:t>10.10.7.2.1.</w:t>
      </w:r>
      <w:r>
        <w:rPr>
          <w:noProof/>
        </w:rPr>
        <w:tab/>
        <w:t>Numéro(s) de réception par type du (des) composant(s), s’il(s) est (sont) connu(s): …</w:t>
      </w:r>
    </w:p>
    <w:p>
      <w:pPr>
        <w:spacing w:after="0"/>
        <w:ind w:left="1701" w:hanging="1701"/>
        <w:rPr>
          <w:rFonts w:eastAsia="Arial Unicode MS"/>
          <w:noProof/>
          <w:szCs w:val="24"/>
        </w:rPr>
      </w:pPr>
      <w:r>
        <w:rPr>
          <w:noProof/>
        </w:rPr>
        <w:t>10.10.7.2.2.</w:t>
      </w:r>
      <w:r>
        <w:rPr>
          <w:noProof/>
        </w:rPr>
        <w:tab/>
        <w:t>Pour les matériaux non réceptionnés</w:t>
      </w:r>
    </w:p>
    <w:p>
      <w:pPr>
        <w:spacing w:after="0"/>
        <w:ind w:left="1701" w:hanging="1701"/>
        <w:rPr>
          <w:rFonts w:eastAsia="Arial Unicode MS"/>
          <w:noProof/>
          <w:szCs w:val="24"/>
        </w:rPr>
      </w:pPr>
      <w:r>
        <w:rPr>
          <w:noProof/>
        </w:rPr>
        <w:t>10.10.7.2.2.1.</w:t>
      </w:r>
      <w:r>
        <w:rPr>
          <w:noProof/>
        </w:rPr>
        <w:tab/>
        <w:t>Matériau(x) de base/désignation: ……/……</w:t>
      </w:r>
    </w:p>
    <w:p>
      <w:pPr>
        <w:spacing w:after="0"/>
        <w:ind w:left="1701" w:hanging="1701"/>
        <w:rPr>
          <w:rFonts w:eastAsia="Arial Unicode MS"/>
          <w:noProof/>
          <w:szCs w:val="24"/>
        </w:rPr>
      </w:pPr>
      <w:r>
        <w:rPr>
          <w:noProof/>
        </w:rPr>
        <w:t>10.10.7.2.2.2.</w:t>
      </w:r>
      <w:r>
        <w:rPr>
          <w:noProof/>
        </w:rPr>
        <w:tab/>
        <w:t>Matériau composite/simple (</w:t>
      </w:r>
      <w:r>
        <w:rPr>
          <w:noProof/>
          <w:vertAlign w:val="superscript"/>
        </w:rPr>
        <w:t>1</w:t>
      </w:r>
      <w:r>
        <w:rPr>
          <w:noProof/>
        </w:rPr>
        <w:t>), nombre de couches (</w:t>
      </w:r>
      <w:r>
        <w:rPr>
          <w:noProof/>
          <w:vertAlign w:val="superscript"/>
        </w:rPr>
        <w:t>1</w:t>
      </w:r>
      <w:r>
        <w:rPr>
          <w:noProof/>
        </w:rPr>
        <w:t>): …</w:t>
      </w:r>
    </w:p>
    <w:p>
      <w:pPr>
        <w:spacing w:after="0"/>
        <w:ind w:left="1701" w:hanging="1701"/>
        <w:rPr>
          <w:rFonts w:eastAsia="Arial Unicode MS"/>
          <w:noProof/>
          <w:szCs w:val="24"/>
        </w:rPr>
      </w:pPr>
      <w:r>
        <w:rPr>
          <w:noProof/>
        </w:rPr>
        <w:t>10.10.7.2.2.3.</w:t>
      </w:r>
      <w:r>
        <w:rPr>
          <w:noProof/>
        </w:rPr>
        <w:tab/>
        <w:t>Type de revêtement (</w:t>
      </w:r>
      <w:r>
        <w:rPr>
          <w:noProof/>
          <w:vertAlign w:val="superscript"/>
        </w:rPr>
        <w:t>1</w:t>
      </w:r>
      <w:r>
        <w:rPr>
          <w:noProof/>
        </w:rPr>
        <w:t>): …</w:t>
      </w:r>
    </w:p>
    <w:p>
      <w:pPr>
        <w:spacing w:after="0"/>
        <w:ind w:left="1701" w:hanging="1701"/>
        <w:rPr>
          <w:rFonts w:eastAsia="Arial Unicode MS"/>
          <w:noProof/>
          <w:szCs w:val="24"/>
        </w:rPr>
      </w:pPr>
      <w:r>
        <w:rPr>
          <w:noProof/>
        </w:rPr>
        <w:t>10.10.7.2.2.4.</w:t>
      </w:r>
      <w:r>
        <w:rPr>
          <w:noProof/>
        </w:rPr>
        <w:tab/>
        <w:t>Épaisseur maximale/minimale: ……/…… mm</w:t>
      </w:r>
    </w:p>
    <w:p>
      <w:pPr>
        <w:spacing w:before="240"/>
        <w:ind w:left="1701" w:hanging="1701"/>
        <w:jc w:val="left"/>
        <w:rPr>
          <w:rFonts w:eastAsia="Arial Unicode MS"/>
          <w:bCs/>
          <w:noProof/>
          <w:szCs w:val="24"/>
        </w:rPr>
      </w:pPr>
      <w:r>
        <w:rPr>
          <w:noProof/>
        </w:rPr>
        <w:t>10.10.7.3.</w:t>
      </w:r>
      <w:r>
        <w:rPr>
          <w:noProof/>
        </w:rPr>
        <w:tab/>
        <w:t>Matériau(x) utilisé(s) pour le plancher</w:t>
      </w:r>
    </w:p>
    <w:p>
      <w:pPr>
        <w:spacing w:after="0"/>
        <w:ind w:left="1701" w:hanging="1701"/>
        <w:rPr>
          <w:rFonts w:eastAsia="Arial Unicode MS"/>
          <w:noProof/>
          <w:szCs w:val="24"/>
        </w:rPr>
      </w:pPr>
      <w:r>
        <w:rPr>
          <w:noProof/>
        </w:rPr>
        <w:t>10.10.7.3.1.</w:t>
      </w:r>
      <w:r>
        <w:rPr>
          <w:noProof/>
        </w:rPr>
        <w:tab/>
        <w:t>Numéro(s) de réception par type du (des) composant(s), s’il(s) est (sont) connu(s): …</w:t>
      </w:r>
    </w:p>
    <w:p>
      <w:pPr>
        <w:spacing w:after="0"/>
        <w:ind w:left="1701" w:hanging="1701"/>
        <w:rPr>
          <w:rFonts w:eastAsia="Arial Unicode MS"/>
          <w:noProof/>
          <w:szCs w:val="24"/>
        </w:rPr>
      </w:pPr>
      <w:r>
        <w:rPr>
          <w:noProof/>
        </w:rPr>
        <w:t>10.10.7.3.2.</w:t>
      </w:r>
      <w:r>
        <w:rPr>
          <w:noProof/>
        </w:rPr>
        <w:tab/>
        <w:t>Pour les matériaux non réceptionnés</w:t>
      </w:r>
    </w:p>
    <w:p>
      <w:pPr>
        <w:spacing w:after="0"/>
        <w:ind w:left="1701" w:hanging="1701"/>
        <w:rPr>
          <w:rFonts w:eastAsia="Arial Unicode MS"/>
          <w:noProof/>
          <w:szCs w:val="24"/>
        </w:rPr>
      </w:pPr>
      <w:r>
        <w:rPr>
          <w:noProof/>
        </w:rPr>
        <w:t>10.10.7.3.2.1.</w:t>
      </w:r>
      <w:r>
        <w:rPr>
          <w:noProof/>
        </w:rPr>
        <w:tab/>
        <w:t>Matériau(x) de base/désignation: ……/……</w:t>
      </w:r>
    </w:p>
    <w:p>
      <w:pPr>
        <w:spacing w:after="0"/>
        <w:ind w:left="1701" w:hanging="1701"/>
        <w:rPr>
          <w:rFonts w:eastAsia="Arial Unicode MS"/>
          <w:noProof/>
          <w:szCs w:val="24"/>
        </w:rPr>
      </w:pPr>
      <w:r>
        <w:rPr>
          <w:noProof/>
        </w:rPr>
        <w:t>10.10.7.3.2.2.</w:t>
      </w:r>
      <w:r>
        <w:rPr>
          <w:noProof/>
        </w:rPr>
        <w:tab/>
        <w:t>Matériau composite/simple (</w:t>
      </w:r>
      <w:r>
        <w:rPr>
          <w:noProof/>
          <w:vertAlign w:val="superscript"/>
        </w:rPr>
        <w:t>1</w:t>
      </w:r>
      <w:r>
        <w:rPr>
          <w:noProof/>
        </w:rPr>
        <w:t>), nombre de couches (</w:t>
      </w:r>
      <w:r>
        <w:rPr>
          <w:noProof/>
          <w:vertAlign w:val="superscript"/>
        </w:rPr>
        <w:t>1</w:t>
      </w:r>
      <w:r>
        <w:rPr>
          <w:noProof/>
        </w:rPr>
        <w:t>): …</w:t>
      </w:r>
    </w:p>
    <w:p>
      <w:pPr>
        <w:spacing w:after="0"/>
        <w:ind w:left="1701" w:hanging="1701"/>
        <w:rPr>
          <w:rFonts w:eastAsia="Arial Unicode MS"/>
          <w:noProof/>
          <w:szCs w:val="24"/>
        </w:rPr>
      </w:pPr>
      <w:r>
        <w:rPr>
          <w:noProof/>
        </w:rPr>
        <w:t>10.10.7.3.2.3.</w:t>
      </w:r>
      <w:r>
        <w:rPr>
          <w:noProof/>
        </w:rPr>
        <w:tab/>
        <w:t>Type de revêtement (</w:t>
      </w:r>
      <w:r>
        <w:rPr>
          <w:noProof/>
          <w:vertAlign w:val="superscript"/>
        </w:rPr>
        <w:t>1</w:t>
      </w:r>
      <w:r>
        <w:rPr>
          <w:noProof/>
        </w:rPr>
        <w:t>): …</w:t>
      </w:r>
    </w:p>
    <w:p>
      <w:pPr>
        <w:spacing w:after="0"/>
        <w:ind w:left="1701" w:hanging="1701"/>
        <w:rPr>
          <w:rFonts w:eastAsia="Arial Unicode MS"/>
          <w:noProof/>
          <w:szCs w:val="24"/>
        </w:rPr>
      </w:pPr>
      <w:r>
        <w:rPr>
          <w:noProof/>
        </w:rPr>
        <w:t>10.10.7.3.2.4.</w:t>
      </w:r>
      <w:r>
        <w:rPr>
          <w:noProof/>
        </w:rPr>
        <w:tab/>
        <w:t>Épaisseur maximale/minimale: ……/…… mm</w:t>
      </w:r>
    </w:p>
    <w:p>
      <w:pPr>
        <w:spacing w:before="240"/>
        <w:ind w:left="1701" w:hanging="1701"/>
        <w:jc w:val="left"/>
        <w:rPr>
          <w:rFonts w:eastAsia="Arial Unicode MS"/>
          <w:bCs/>
          <w:noProof/>
          <w:szCs w:val="24"/>
        </w:rPr>
      </w:pPr>
      <w:r>
        <w:rPr>
          <w:noProof/>
        </w:rPr>
        <w:t>10.10.7.4.</w:t>
      </w:r>
      <w:r>
        <w:rPr>
          <w:noProof/>
        </w:rPr>
        <w:tab/>
        <w:t>Matériau(x) utilisé(s) pour le capitonnage des sièges</w:t>
      </w:r>
    </w:p>
    <w:p>
      <w:pPr>
        <w:spacing w:after="0"/>
        <w:ind w:left="1701" w:hanging="1701"/>
        <w:rPr>
          <w:rFonts w:eastAsia="Arial Unicode MS"/>
          <w:noProof/>
          <w:szCs w:val="24"/>
        </w:rPr>
      </w:pPr>
      <w:r>
        <w:rPr>
          <w:noProof/>
        </w:rPr>
        <w:lastRenderedPageBreak/>
        <w:t>10.10.7.4.1.</w:t>
      </w:r>
      <w:r>
        <w:rPr>
          <w:noProof/>
        </w:rPr>
        <w:tab/>
        <w:t>Numéro(s) de réception par type du (des) composant(s), s’il(s) est (sont) connu(s): …</w:t>
      </w:r>
    </w:p>
    <w:p>
      <w:pPr>
        <w:spacing w:after="0"/>
        <w:ind w:left="1701" w:hanging="1701"/>
        <w:rPr>
          <w:rFonts w:eastAsia="Arial Unicode MS"/>
          <w:noProof/>
          <w:szCs w:val="24"/>
        </w:rPr>
      </w:pPr>
      <w:r>
        <w:rPr>
          <w:noProof/>
        </w:rPr>
        <w:t>10.10.7.4.2.</w:t>
      </w:r>
      <w:r>
        <w:rPr>
          <w:noProof/>
        </w:rPr>
        <w:tab/>
        <w:t>Pour les matériaux non réceptionnés</w:t>
      </w:r>
    </w:p>
    <w:p>
      <w:pPr>
        <w:spacing w:after="0"/>
        <w:ind w:left="1701" w:hanging="1701"/>
        <w:rPr>
          <w:rFonts w:eastAsia="Arial Unicode MS"/>
          <w:noProof/>
          <w:szCs w:val="24"/>
        </w:rPr>
      </w:pPr>
      <w:r>
        <w:rPr>
          <w:noProof/>
        </w:rPr>
        <w:t>10.10.7.4.2.1.</w:t>
      </w:r>
      <w:r>
        <w:rPr>
          <w:noProof/>
        </w:rPr>
        <w:tab/>
        <w:t>Matériau(x) de base/désignation: ……/……</w:t>
      </w:r>
    </w:p>
    <w:p>
      <w:pPr>
        <w:spacing w:after="0"/>
        <w:ind w:left="1701" w:hanging="1701"/>
        <w:rPr>
          <w:rFonts w:eastAsia="Arial Unicode MS"/>
          <w:noProof/>
          <w:szCs w:val="24"/>
        </w:rPr>
      </w:pPr>
      <w:r>
        <w:rPr>
          <w:noProof/>
        </w:rPr>
        <w:t>10.10.7.4.2.2.</w:t>
      </w:r>
      <w:r>
        <w:rPr>
          <w:noProof/>
        </w:rPr>
        <w:tab/>
        <w:t>Matériau composite/simple (</w:t>
      </w:r>
      <w:r>
        <w:rPr>
          <w:noProof/>
          <w:vertAlign w:val="superscript"/>
        </w:rPr>
        <w:t>1</w:t>
      </w:r>
      <w:r>
        <w:rPr>
          <w:noProof/>
        </w:rPr>
        <w:t>), nombre de couches (</w:t>
      </w:r>
      <w:r>
        <w:rPr>
          <w:noProof/>
          <w:vertAlign w:val="superscript"/>
        </w:rPr>
        <w:t>1</w:t>
      </w:r>
      <w:r>
        <w:rPr>
          <w:noProof/>
        </w:rPr>
        <w:t>): …</w:t>
      </w:r>
    </w:p>
    <w:p>
      <w:pPr>
        <w:spacing w:after="0"/>
        <w:ind w:left="1701" w:hanging="1701"/>
        <w:rPr>
          <w:rFonts w:eastAsia="Arial Unicode MS"/>
          <w:noProof/>
          <w:szCs w:val="24"/>
        </w:rPr>
      </w:pPr>
      <w:r>
        <w:rPr>
          <w:noProof/>
        </w:rPr>
        <w:t>10.10.7.4.2.3.</w:t>
      </w:r>
      <w:r>
        <w:rPr>
          <w:noProof/>
        </w:rPr>
        <w:tab/>
        <w:t>Type de revêtement (</w:t>
      </w:r>
      <w:r>
        <w:rPr>
          <w:noProof/>
          <w:vertAlign w:val="superscript"/>
        </w:rPr>
        <w:t>1</w:t>
      </w:r>
      <w:r>
        <w:rPr>
          <w:noProof/>
        </w:rPr>
        <w:t>): …</w:t>
      </w:r>
    </w:p>
    <w:p>
      <w:pPr>
        <w:spacing w:after="0"/>
        <w:ind w:left="1701" w:hanging="1701"/>
        <w:rPr>
          <w:rFonts w:eastAsia="Arial Unicode MS"/>
          <w:noProof/>
          <w:szCs w:val="24"/>
        </w:rPr>
      </w:pPr>
      <w:r>
        <w:rPr>
          <w:noProof/>
        </w:rPr>
        <w:t>10.10.7.4.2.4.</w:t>
      </w:r>
      <w:r>
        <w:rPr>
          <w:noProof/>
        </w:rPr>
        <w:tab/>
        <w:t>Épaisseur maximale/minimale: ……/…… mm</w:t>
      </w:r>
    </w:p>
    <w:p>
      <w:pPr>
        <w:spacing w:before="240"/>
        <w:ind w:left="1701" w:hanging="1701"/>
        <w:jc w:val="left"/>
        <w:rPr>
          <w:rFonts w:eastAsia="Arial Unicode MS"/>
          <w:bCs/>
          <w:noProof/>
          <w:szCs w:val="24"/>
        </w:rPr>
      </w:pPr>
      <w:r>
        <w:rPr>
          <w:noProof/>
        </w:rPr>
        <w:t>10.10.7.5.</w:t>
      </w:r>
      <w:r>
        <w:rPr>
          <w:noProof/>
        </w:rPr>
        <w:tab/>
        <w:t>Matériau(x) utilisé(s) pour les conduits de chauffage et de ventilation</w:t>
      </w:r>
    </w:p>
    <w:p>
      <w:pPr>
        <w:spacing w:after="0"/>
        <w:ind w:left="1701" w:hanging="1701"/>
        <w:rPr>
          <w:rFonts w:eastAsia="Arial Unicode MS"/>
          <w:noProof/>
          <w:szCs w:val="24"/>
        </w:rPr>
      </w:pPr>
      <w:r>
        <w:rPr>
          <w:noProof/>
        </w:rPr>
        <w:t>10.10.7.5.1.</w:t>
      </w:r>
      <w:r>
        <w:rPr>
          <w:noProof/>
        </w:rPr>
        <w:tab/>
        <w:t>Numéro(s) de réception par type du (des) composant(s), s’il(s) est (sont) connu(s): …</w:t>
      </w:r>
    </w:p>
    <w:p>
      <w:pPr>
        <w:spacing w:after="0"/>
        <w:ind w:left="1701" w:hanging="1701"/>
        <w:rPr>
          <w:rFonts w:eastAsia="Arial Unicode MS"/>
          <w:noProof/>
          <w:szCs w:val="24"/>
        </w:rPr>
      </w:pPr>
      <w:r>
        <w:rPr>
          <w:noProof/>
        </w:rPr>
        <w:t>10.10.7.5.2.</w:t>
      </w:r>
      <w:r>
        <w:rPr>
          <w:noProof/>
        </w:rPr>
        <w:tab/>
        <w:t>Pour les matériaux non réceptionnés</w:t>
      </w:r>
    </w:p>
    <w:p>
      <w:pPr>
        <w:spacing w:after="0"/>
        <w:ind w:left="1701" w:hanging="1701"/>
        <w:rPr>
          <w:rFonts w:eastAsia="Arial Unicode MS"/>
          <w:noProof/>
          <w:szCs w:val="24"/>
        </w:rPr>
      </w:pPr>
      <w:r>
        <w:rPr>
          <w:noProof/>
        </w:rPr>
        <w:t>10.10.7.5.2.1.</w:t>
      </w:r>
      <w:r>
        <w:rPr>
          <w:noProof/>
        </w:rPr>
        <w:tab/>
        <w:t xml:space="preserve">Matériau(x) de base/désignation: ……/.….. </w:t>
      </w:r>
    </w:p>
    <w:p>
      <w:pPr>
        <w:spacing w:after="0"/>
        <w:ind w:left="1701" w:hanging="1701"/>
        <w:rPr>
          <w:rFonts w:eastAsia="Arial Unicode MS"/>
          <w:noProof/>
          <w:szCs w:val="24"/>
        </w:rPr>
      </w:pPr>
      <w:r>
        <w:rPr>
          <w:noProof/>
        </w:rPr>
        <w:t>10.10.7.5.2.2.</w:t>
      </w:r>
      <w:r>
        <w:rPr>
          <w:noProof/>
        </w:rPr>
        <w:tab/>
        <w:t>Matériau composite/simple (</w:t>
      </w:r>
      <w:r>
        <w:rPr>
          <w:noProof/>
          <w:vertAlign w:val="superscript"/>
        </w:rPr>
        <w:t>1</w:t>
      </w:r>
      <w:r>
        <w:rPr>
          <w:noProof/>
        </w:rPr>
        <w:t>), nombre de couches (</w:t>
      </w:r>
      <w:r>
        <w:rPr>
          <w:noProof/>
          <w:vertAlign w:val="superscript"/>
        </w:rPr>
        <w:t>1</w:t>
      </w:r>
      <w:r>
        <w:rPr>
          <w:noProof/>
        </w:rPr>
        <w:t>): …</w:t>
      </w:r>
    </w:p>
    <w:p>
      <w:pPr>
        <w:spacing w:after="0"/>
        <w:ind w:left="1701" w:hanging="1701"/>
        <w:rPr>
          <w:rFonts w:eastAsia="Arial Unicode MS"/>
          <w:noProof/>
          <w:szCs w:val="24"/>
        </w:rPr>
      </w:pPr>
      <w:r>
        <w:rPr>
          <w:noProof/>
        </w:rPr>
        <w:t>10.10.7.5.2.3.</w:t>
      </w:r>
      <w:r>
        <w:rPr>
          <w:noProof/>
        </w:rPr>
        <w:tab/>
        <w:t>Type de revêtement (</w:t>
      </w:r>
      <w:r>
        <w:rPr>
          <w:noProof/>
          <w:vertAlign w:val="superscript"/>
        </w:rPr>
        <w:t>1</w:t>
      </w:r>
      <w:r>
        <w:rPr>
          <w:noProof/>
        </w:rPr>
        <w:t>): …</w:t>
      </w:r>
    </w:p>
    <w:p>
      <w:pPr>
        <w:spacing w:after="0"/>
        <w:ind w:left="1701" w:hanging="1701"/>
        <w:rPr>
          <w:rFonts w:eastAsia="Arial Unicode MS"/>
          <w:noProof/>
          <w:szCs w:val="24"/>
        </w:rPr>
      </w:pPr>
      <w:r>
        <w:rPr>
          <w:noProof/>
        </w:rPr>
        <w:t>10.10.7.5.2.4.</w:t>
      </w:r>
      <w:r>
        <w:rPr>
          <w:noProof/>
        </w:rPr>
        <w:tab/>
        <w:t>Épaisseur maximale/minimale: ……/…….mm</w:t>
      </w:r>
    </w:p>
    <w:p>
      <w:pPr>
        <w:spacing w:before="240"/>
        <w:ind w:left="1701" w:hanging="1701"/>
        <w:jc w:val="left"/>
        <w:rPr>
          <w:rFonts w:eastAsia="Arial Unicode MS"/>
          <w:bCs/>
          <w:noProof/>
          <w:szCs w:val="24"/>
        </w:rPr>
      </w:pPr>
      <w:r>
        <w:rPr>
          <w:noProof/>
        </w:rPr>
        <w:t>10.10.7.6.</w:t>
      </w:r>
      <w:r>
        <w:rPr>
          <w:noProof/>
        </w:rPr>
        <w:tab/>
        <w:t>Matériau(x) utilisé(s) pour les porte-bagages</w:t>
      </w:r>
    </w:p>
    <w:p>
      <w:pPr>
        <w:spacing w:after="0"/>
        <w:ind w:left="1701" w:hanging="1701"/>
        <w:rPr>
          <w:rFonts w:eastAsia="Arial Unicode MS"/>
          <w:noProof/>
          <w:szCs w:val="24"/>
        </w:rPr>
      </w:pPr>
      <w:r>
        <w:rPr>
          <w:noProof/>
        </w:rPr>
        <w:t>10.10.7.6.1.</w:t>
      </w:r>
      <w:r>
        <w:rPr>
          <w:noProof/>
        </w:rPr>
        <w:tab/>
        <w:t>Numéro(s) de réception par type du (des) composant(s), s’il(s) est (sont) connu(s): …</w:t>
      </w:r>
    </w:p>
    <w:p>
      <w:pPr>
        <w:spacing w:after="0"/>
        <w:ind w:left="1701" w:hanging="1701"/>
        <w:rPr>
          <w:rFonts w:eastAsia="Arial Unicode MS"/>
          <w:noProof/>
          <w:szCs w:val="24"/>
        </w:rPr>
      </w:pPr>
      <w:r>
        <w:rPr>
          <w:noProof/>
        </w:rPr>
        <w:t>10.10.7.6.2.</w:t>
      </w:r>
      <w:r>
        <w:rPr>
          <w:noProof/>
        </w:rPr>
        <w:tab/>
        <w:t>Pour les matériaux non réceptionnés</w:t>
      </w:r>
    </w:p>
    <w:p>
      <w:pPr>
        <w:spacing w:after="0"/>
        <w:ind w:left="1701" w:hanging="1701"/>
        <w:rPr>
          <w:rFonts w:eastAsia="Arial Unicode MS"/>
          <w:noProof/>
          <w:szCs w:val="24"/>
        </w:rPr>
      </w:pPr>
      <w:r>
        <w:rPr>
          <w:noProof/>
        </w:rPr>
        <w:t>10.10.7.6.2.1.</w:t>
      </w:r>
      <w:r>
        <w:rPr>
          <w:noProof/>
        </w:rPr>
        <w:tab/>
        <w:t>Matériau(x) de base/désignation: ……/……</w:t>
      </w:r>
    </w:p>
    <w:p>
      <w:pPr>
        <w:spacing w:after="0"/>
        <w:ind w:left="1701" w:hanging="1701"/>
        <w:rPr>
          <w:rFonts w:eastAsia="Arial Unicode MS"/>
          <w:noProof/>
          <w:szCs w:val="24"/>
        </w:rPr>
      </w:pPr>
      <w:r>
        <w:rPr>
          <w:noProof/>
        </w:rPr>
        <w:t>10.10.7.6.2.2.</w:t>
      </w:r>
      <w:r>
        <w:rPr>
          <w:noProof/>
        </w:rPr>
        <w:tab/>
        <w:t>Matériau composite/simple (</w:t>
      </w:r>
      <w:r>
        <w:rPr>
          <w:noProof/>
          <w:vertAlign w:val="superscript"/>
        </w:rPr>
        <w:t>1</w:t>
      </w:r>
      <w:r>
        <w:rPr>
          <w:noProof/>
        </w:rPr>
        <w:t>), nombre de couches (</w:t>
      </w:r>
      <w:r>
        <w:rPr>
          <w:noProof/>
          <w:vertAlign w:val="superscript"/>
        </w:rPr>
        <w:t>1</w:t>
      </w:r>
      <w:r>
        <w:rPr>
          <w:noProof/>
        </w:rPr>
        <w:t>): …</w:t>
      </w:r>
    </w:p>
    <w:p>
      <w:pPr>
        <w:spacing w:after="0"/>
        <w:ind w:left="1701" w:hanging="1701"/>
        <w:rPr>
          <w:rFonts w:eastAsia="Arial Unicode MS"/>
          <w:noProof/>
          <w:szCs w:val="24"/>
        </w:rPr>
      </w:pPr>
      <w:r>
        <w:rPr>
          <w:noProof/>
        </w:rPr>
        <w:t>10.10.7.6.2.3.</w:t>
      </w:r>
      <w:r>
        <w:rPr>
          <w:noProof/>
        </w:rPr>
        <w:tab/>
        <w:t>Type de revêtement (</w:t>
      </w:r>
      <w:r>
        <w:rPr>
          <w:noProof/>
          <w:vertAlign w:val="superscript"/>
        </w:rPr>
        <w:t>1</w:t>
      </w:r>
      <w:r>
        <w:rPr>
          <w:noProof/>
        </w:rPr>
        <w:t>): …</w:t>
      </w:r>
    </w:p>
    <w:p>
      <w:pPr>
        <w:spacing w:after="0"/>
        <w:ind w:left="1701" w:hanging="1701"/>
        <w:rPr>
          <w:rFonts w:eastAsia="Arial Unicode MS"/>
          <w:noProof/>
          <w:szCs w:val="24"/>
        </w:rPr>
      </w:pPr>
      <w:r>
        <w:rPr>
          <w:noProof/>
        </w:rPr>
        <w:t>10.10.7.6.2.4.</w:t>
      </w:r>
      <w:r>
        <w:rPr>
          <w:noProof/>
        </w:rPr>
        <w:tab/>
        <w:t>Épaisseur maximale/minimale: ……/…… mm</w:t>
      </w:r>
    </w:p>
    <w:p>
      <w:pPr>
        <w:spacing w:before="240"/>
        <w:ind w:left="1701" w:hanging="1701"/>
        <w:jc w:val="left"/>
        <w:rPr>
          <w:rFonts w:eastAsia="Arial Unicode MS"/>
          <w:bCs/>
          <w:noProof/>
          <w:szCs w:val="24"/>
        </w:rPr>
      </w:pPr>
      <w:r>
        <w:rPr>
          <w:noProof/>
        </w:rPr>
        <w:t>10.10.7.7.</w:t>
      </w:r>
      <w:r>
        <w:rPr>
          <w:noProof/>
        </w:rPr>
        <w:tab/>
        <w:t>Matériau(x) utilisé(s) à d’autres fins</w:t>
      </w:r>
    </w:p>
    <w:p>
      <w:pPr>
        <w:spacing w:after="0"/>
        <w:ind w:left="1701" w:hanging="1701"/>
        <w:rPr>
          <w:rFonts w:eastAsia="Arial Unicode MS"/>
          <w:noProof/>
          <w:szCs w:val="24"/>
        </w:rPr>
      </w:pPr>
      <w:r>
        <w:rPr>
          <w:noProof/>
        </w:rPr>
        <w:t>10.10.7.7.1.</w:t>
      </w:r>
      <w:r>
        <w:rPr>
          <w:noProof/>
        </w:rPr>
        <w:tab/>
        <w:t>Utilisations prévues: …</w:t>
      </w:r>
    </w:p>
    <w:p>
      <w:pPr>
        <w:spacing w:after="0"/>
        <w:ind w:left="1701" w:hanging="1701"/>
        <w:rPr>
          <w:rFonts w:eastAsia="Arial Unicode MS"/>
          <w:noProof/>
          <w:szCs w:val="24"/>
        </w:rPr>
      </w:pPr>
      <w:r>
        <w:rPr>
          <w:noProof/>
        </w:rPr>
        <w:t>10.10.7.7.2.</w:t>
      </w:r>
      <w:r>
        <w:rPr>
          <w:noProof/>
        </w:rPr>
        <w:tab/>
        <w:t>Numéro(s) de réception par type du (des) composant(s), s’il(s) est (sont) connu(s): …</w:t>
      </w:r>
    </w:p>
    <w:p>
      <w:pPr>
        <w:spacing w:after="0"/>
        <w:ind w:left="1701" w:hanging="1701"/>
        <w:rPr>
          <w:rFonts w:eastAsia="Arial Unicode MS"/>
          <w:noProof/>
          <w:szCs w:val="24"/>
        </w:rPr>
      </w:pPr>
      <w:r>
        <w:rPr>
          <w:noProof/>
        </w:rPr>
        <w:t>10.10.7.7.3.</w:t>
      </w:r>
      <w:r>
        <w:rPr>
          <w:noProof/>
        </w:rPr>
        <w:tab/>
        <w:t>Pour les matériaux non réceptionnés</w:t>
      </w:r>
    </w:p>
    <w:p>
      <w:pPr>
        <w:spacing w:after="0"/>
        <w:ind w:left="1701" w:hanging="1701"/>
        <w:rPr>
          <w:rFonts w:eastAsia="Arial Unicode MS"/>
          <w:noProof/>
          <w:szCs w:val="24"/>
        </w:rPr>
      </w:pPr>
      <w:r>
        <w:rPr>
          <w:noProof/>
        </w:rPr>
        <w:t>10.10.7.7.3.1.</w:t>
      </w:r>
      <w:r>
        <w:rPr>
          <w:noProof/>
        </w:rPr>
        <w:tab/>
        <w:t>Matériau(x) de base/désignation: ……/……</w:t>
      </w:r>
    </w:p>
    <w:p>
      <w:pPr>
        <w:spacing w:after="0"/>
        <w:ind w:left="1701" w:hanging="1701"/>
        <w:rPr>
          <w:rFonts w:eastAsia="Arial Unicode MS"/>
          <w:noProof/>
          <w:szCs w:val="24"/>
        </w:rPr>
      </w:pPr>
      <w:r>
        <w:rPr>
          <w:noProof/>
        </w:rPr>
        <w:t>10.10.7.7.3.2.</w:t>
      </w:r>
      <w:r>
        <w:rPr>
          <w:noProof/>
        </w:rPr>
        <w:tab/>
        <w:t>Matériau composite/simple (</w:t>
      </w:r>
      <w:r>
        <w:rPr>
          <w:noProof/>
          <w:vertAlign w:val="superscript"/>
        </w:rPr>
        <w:t>1</w:t>
      </w:r>
      <w:r>
        <w:rPr>
          <w:noProof/>
        </w:rPr>
        <w:t>), nombre de couches (</w:t>
      </w:r>
      <w:r>
        <w:rPr>
          <w:noProof/>
          <w:vertAlign w:val="superscript"/>
        </w:rPr>
        <w:t>1</w:t>
      </w:r>
      <w:r>
        <w:rPr>
          <w:noProof/>
        </w:rPr>
        <w:t>): …</w:t>
      </w:r>
    </w:p>
    <w:p>
      <w:pPr>
        <w:spacing w:after="0"/>
        <w:ind w:left="1701" w:hanging="1701"/>
        <w:rPr>
          <w:rFonts w:eastAsia="Arial Unicode MS"/>
          <w:noProof/>
          <w:szCs w:val="24"/>
        </w:rPr>
      </w:pPr>
      <w:r>
        <w:rPr>
          <w:noProof/>
        </w:rPr>
        <w:t>10.10.7.7.3.3.</w:t>
      </w:r>
      <w:r>
        <w:rPr>
          <w:noProof/>
        </w:rPr>
        <w:tab/>
        <w:t>Type de revêtement (</w:t>
      </w:r>
      <w:r>
        <w:rPr>
          <w:noProof/>
          <w:vertAlign w:val="superscript"/>
        </w:rPr>
        <w:t>1</w:t>
      </w:r>
      <w:r>
        <w:rPr>
          <w:noProof/>
        </w:rPr>
        <w:t>): …</w:t>
      </w:r>
    </w:p>
    <w:p>
      <w:pPr>
        <w:spacing w:after="0"/>
        <w:ind w:left="1701" w:hanging="1701"/>
        <w:rPr>
          <w:rFonts w:eastAsia="Arial Unicode MS"/>
          <w:noProof/>
          <w:szCs w:val="24"/>
        </w:rPr>
      </w:pPr>
      <w:r>
        <w:rPr>
          <w:noProof/>
        </w:rPr>
        <w:t>10.10.7.7.3.4.</w:t>
      </w:r>
      <w:r>
        <w:rPr>
          <w:noProof/>
        </w:rPr>
        <w:tab/>
        <w:t>Épaisseur maximale/minimale: …./…. mm</w:t>
      </w:r>
    </w:p>
    <w:p>
      <w:pPr>
        <w:spacing w:before="240"/>
        <w:ind w:left="1701" w:hanging="1701"/>
        <w:jc w:val="left"/>
        <w:rPr>
          <w:rFonts w:eastAsia="Arial Unicode MS"/>
          <w:bCs/>
          <w:noProof/>
          <w:szCs w:val="24"/>
        </w:rPr>
      </w:pPr>
      <w:r>
        <w:rPr>
          <w:noProof/>
        </w:rPr>
        <w:t>10.10.7.8.</w:t>
      </w:r>
      <w:r>
        <w:rPr>
          <w:noProof/>
        </w:rPr>
        <w:tab/>
        <w:t>Composants réceptionnés en tant que dispositifs complets (sièges, cloisons, porte-bagages, etc.)</w:t>
      </w:r>
    </w:p>
    <w:p>
      <w:pPr>
        <w:spacing w:after="0"/>
        <w:ind w:left="1701" w:hanging="1701"/>
        <w:rPr>
          <w:rFonts w:eastAsia="Arial Unicode MS"/>
          <w:noProof/>
          <w:szCs w:val="24"/>
        </w:rPr>
      </w:pPr>
      <w:r>
        <w:rPr>
          <w:noProof/>
        </w:rPr>
        <w:lastRenderedPageBreak/>
        <w:t>10.10.7.8.1.</w:t>
      </w:r>
      <w:r>
        <w:rPr>
          <w:noProof/>
        </w:rPr>
        <w:tab/>
        <w:t>Numéro(s) de réception par type du (des) composant(s): …</w:t>
      </w:r>
    </w:p>
    <w:p>
      <w:pPr>
        <w:spacing w:after="0"/>
        <w:ind w:left="1701" w:hanging="1701"/>
        <w:rPr>
          <w:rFonts w:eastAsia="Arial Unicode MS"/>
          <w:noProof/>
          <w:szCs w:val="24"/>
        </w:rPr>
      </w:pPr>
      <w:r>
        <w:rPr>
          <w:noProof/>
        </w:rPr>
        <w:t>10.10.7.8.2.</w:t>
      </w:r>
      <w:r>
        <w:rPr>
          <w:noProof/>
        </w:rPr>
        <w:tab/>
        <w:t>Pour le dispositif complet: siège, cloison, porte-bagages, etc. (</w:t>
      </w:r>
      <w:r>
        <w:rPr>
          <w:noProof/>
          <w:vertAlign w:val="superscript"/>
        </w:rPr>
        <w:t>1</w:t>
      </w:r>
      <w:r>
        <w:rPr>
          <w:noProof/>
        </w:rPr>
        <w:t>)</w:t>
      </w:r>
    </w:p>
    <w:p>
      <w:pPr>
        <w:spacing w:before="360"/>
        <w:ind w:left="1701" w:hanging="1701"/>
        <w:jc w:val="left"/>
        <w:rPr>
          <w:rFonts w:eastAsia="Arial Unicode MS"/>
          <w:bCs/>
          <w:noProof/>
          <w:szCs w:val="24"/>
        </w:rPr>
      </w:pPr>
      <w:r>
        <w:rPr>
          <w:noProof/>
        </w:rPr>
        <w:t>10.10.8.</w:t>
      </w:r>
      <w:r>
        <w:rPr>
          <w:noProof/>
        </w:rPr>
        <w:tab/>
      </w:r>
      <w:r>
        <w:rPr>
          <w:i/>
          <w:noProof/>
        </w:rPr>
        <w:t>Gaz utilisé comme réfrigérant dans le système de climatisation:</w:t>
      </w:r>
      <w:r>
        <w:rPr>
          <w:noProof/>
        </w:rPr>
        <w:t xml:space="preserve"> … </w:t>
      </w:r>
    </w:p>
    <w:p>
      <w:pPr>
        <w:spacing w:after="0"/>
        <w:ind w:left="1701" w:hanging="1701"/>
        <w:rPr>
          <w:rFonts w:eastAsia="Arial Unicode MS"/>
          <w:noProof/>
          <w:szCs w:val="24"/>
        </w:rPr>
      </w:pPr>
      <w:r>
        <w:rPr>
          <w:noProof/>
        </w:rPr>
        <w:t>10.10.8.1.</w:t>
      </w:r>
      <w:r>
        <w:rPr>
          <w:noProof/>
        </w:rPr>
        <w:tab/>
        <w:t>Le système de climatisation est conçu pour contenir des gaz à effet de serre fluorés dont le potentiel de réchauffement planétaire est supérieur à 150: oui/non (</w:t>
      </w:r>
      <w:r>
        <w:rPr>
          <w:noProof/>
          <w:vertAlign w:val="superscript"/>
        </w:rPr>
        <w:t>1</w:t>
      </w:r>
      <w:r>
        <w:rPr>
          <w:noProof/>
        </w:rPr>
        <w:t>)</w:t>
      </w:r>
    </w:p>
    <w:p>
      <w:pPr>
        <w:spacing w:after="0"/>
        <w:ind w:left="1701" w:hanging="1701"/>
        <w:rPr>
          <w:rFonts w:eastAsia="Arial Unicode MS"/>
          <w:noProof/>
          <w:szCs w:val="24"/>
        </w:rPr>
      </w:pPr>
      <w:r>
        <w:rPr>
          <w:noProof/>
        </w:rPr>
        <w:t>10.10.8.2.</w:t>
      </w:r>
      <w:r>
        <w:rPr>
          <w:noProof/>
        </w:rPr>
        <w:tab/>
        <w:t>Si oui, remplir les points suivants:</w:t>
      </w:r>
    </w:p>
    <w:p>
      <w:pPr>
        <w:spacing w:after="0"/>
        <w:ind w:left="1701" w:hanging="1701"/>
        <w:rPr>
          <w:rFonts w:eastAsia="Arial Unicode MS"/>
          <w:noProof/>
          <w:szCs w:val="24"/>
        </w:rPr>
      </w:pPr>
      <w:r>
        <w:rPr>
          <w:noProof/>
        </w:rPr>
        <w:t>10.10.8.2.1.</w:t>
      </w:r>
      <w:r>
        <w:rPr>
          <w:noProof/>
        </w:rPr>
        <w:tab/>
        <w:t>Schéma et description succincte du système de climatisation, y compris le numéro de référence ou de pièce et le matériau des composants supposés étanches:</w:t>
      </w:r>
    </w:p>
    <w:p>
      <w:pPr>
        <w:spacing w:after="0"/>
        <w:ind w:left="1701" w:hanging="1701"/>
        <w:rPr>
          <w:rFonts w:eastAsia="Arial Unicode MS"/>
          <w:noProof/>
          <w:szCs w:val="24"/>
        </w:rPr>
      </w:pPr>
      <w:r>
        <w:rPr>
          <w:noProof/>
        </w:rPr>
        <w:t>10.10.8.2.2.</w:t>
      </w:r>
      <w:r>
        <w:rPr>
          <w:noProof/>
        </w:rPr>
        <w:tab/>
        <w:t>Fuite du système de climatisation:</w:t>
      </w:r>
    </w:p>
    <w:p>
      <w:pPr>
        <w:spacing w:after="0"/>
        <w:ind w:left="1701" w:hanging="1701"/>
        <w:rPr>
          <w:rFonts w:eastAsia="Arial Unicode MS"/>
          <w:noProof/>
          <w:szCs w:val="24"/>
        </w:rPr>
      </w:pPr>
      <w:r>
        <w:rPr>
          <w:noProof/>
        </w:rPr>
        <w:t>10.10.8.2.4.</w:t>
      </w:r>
      <w:r>
        <w:rPr>
          <w:noProof/>
        </w:rPr>
        <w:tab/>
        <w:t>Numéro de référence ou de pièce et matériau des composants du système et informations concernant l’essai (par exemple numéro du rapport d’essais, numéro de réception, etc.): …</w:t>
      </w:r>
    </w:p>
    <w:p>
      <w:pPr>
        <w:spacing w:after="0"/>
        <w:ind w:left="1701" w:hanging="1701"/>
        <w:rPr>
          <w:rFonts w:eastAsia="Arial Unicode MS"/>
          <w:noProof/>
          <w:szCs w:val="24"/>
        </w:rPr>
      </w:pPr>
      <w:r>
        <w:rPr>
          <w:noProof/>
        </w:rPr>
        <w:t>10.10.8.3.</w:t>
      </w:r>
      <w:r>
        <w:rPr>
          <w:noProof/>
        </w:rPr>
        <w:tab/>
        <w:t>Fuite globale en g/an du système complet: …</w:t>
      </w:r>
    </w:p>
    <w:p>
      <w:pPr>
        <w:spacing w:before="240"/>
        <w:ind w:left="1701" w:hanging="1701"/>
        <w:jc w:val="left"/>
        <w:rPr>
          <w:rFonts w:eastAsia="Arial Unicode MS"/>
          <w:b/>
          <w:bCs/>
          <w:noProof/>
          <w:szCs w:val="24"/>
        </w:rPr>
      </w:pPr>
      <w:r>
        <w:rPr>
          <w:noProof/>
        </w:rPr>
        <w:t>10.11.</w:t>
      </w:r>
      <w:r>
        <w:rPr>
          <w:noProof/>
        </w:rPr>
        <w:tab/>
      </w:r>
      <w:r>
        <w:rPr>
          <w:b/>
          <w:noProof/>
        </w:rPr>
        <w:t xml:space="preserve">Saillies extérieures </w:t>
      </w:r>
    </w:p>
    <w:p>
      <w:pPr>
        <w:spacing w:after="0"/>
        <w:ind w:left="1701" w:hanging="1701"/>
        <w:rPr>
          <w:rFonts w:eastAsia="Arial Unicode MS"/>
          <w:noProof/>
          <w:szCs w:val="24"/>
        </w:rPr>
      </w:pPr>
      <w:r>
        <w:rPr>
          <w:noProof/>
        </w:rPr>
        <w:t>10.11.1.</w:t>
      </w:r>
      <w:r>
        <w:rPr>
          <w:noProof/>
        </w:rPr>
        <w:tab/>
        <w:t>Vue d’ensemble (dessins ou photographies) montrant la position des parties en saillie:</w:t>
      </w:r>
    </w:p>
    <w:p>
      <w:pPr>
        <w:spacing w:after="0"/>
        <w:ind w:left="1701" w:hanging="1701"/>
        <w:rPr>
          <w:rFonts w:eastAsia="Arial Unicode MS"/>
          <w:noProof/>
          <w:szCs w:val="24"/>
        </w:rPr>
      </w:pPr>
      <w:r>
        <w:rPr>
          <w:noProof/>
        </w:rPr>
        <w:t>10.11.2.</w:t>
      </w:r>
      <w:r>
        <w:rPr>
          <w:noProof/>
        </w:rPr>
        <w:tab/>
        <w:t>Dessins et/ou photographies, le cas échéant, d’éléments tels que les montants de porte et de fenêtre, les grilles de prise d’air, les grilles de radiateur, les essuie-glaces du pare-brise, les gouttières, les poignées, les glissières, les clapets, les charnières et les serrures de porte, les crochets, les anneaux, les baguettes, les insignes, les emblèmes et les renforcements décoratifs, ainsi que de toute autre saillie extérieure et partie de la surface extérieure pouvant être considérée comme essentielle (par exemple les dispositifs d’éclairage). Au cas où les composants énumérés précédemment ne sont pas essentiels, ils peuvent être remplacés, à des fins de documentation, par des photographies, accompagnées, si nécessaire, des dimensions et/ou d’un texte:</w:t>
      </w:r>
    </w:p>
    <w:p>
      <w:pPr>
        <w:spacing w:after="0"/>
        <w:ind w:left="1701" w:hanging="1701"/>
        <w:rPr>
          <w:rFonts w:eastAsia="Arial Unicode MS"/>
          <w:noProof/>
          <w:szCs w:val="24"/>
        </w:rPr>
      </w:pPr>
      <w:r>
        <w:rPr>
          <w:noProof/>
        </w:rPr>
        <w:t>10.11.3.</w:t>
      </w:r>
      <w:r>
        <w:rPr>
          <w:noProof/>
        </w:rPr>
        <w:tab/>
        <w:t>Dessins des parties de la surface extérieure conformément au paragraphe 6.9.1 du règlement n</w:t>
      </w:r>
      <w:r>
        <w:rPr>
          <w:noProof/>
          <w:vertAlign w:val="superscript"/>
        </w:rPr>
        <w:t>o</w:t>
      </w:r>
      <w:r>
        <w:rPr>
          <w:noProof/>
        </w:rPr>
        <w:t> 17 de la CEE-ONU: …</w:t>
      </w:r>
    </w:p>
    <w:p>
      <w:pPr>
        <w:spacing w:after="0"/>
        <w:ind w:left="1701" w:hanging="1701"/>
        <w:rPr>
          <w:rFonts w:eastAsia="Arial Unicode MS"/>
          <w:noProof/>
          <w:szCs w:val="24"/>
        </w:rPr>
      </w:pPr>
      <w:r>
        <w:rPr>
          <w:noProof/>
        </w:rPr>
        <w:t>10.11.4.</w:t>
      </w:r>
      <w:r>
        <w:rPr>
          <w:noProof/>
        </w:rPr>
        <w:tab/>
        <w:t>Dessin des pare-chocs: …</w:t>
      </w:r>
    </w:p>
    <w:p>
      <w:pPr>
        <w:spacing w:after="0"/>
        <w:ind w:left="1701" w:hanging="1701"/>
        <w:rPr>
          <w:rFonts w:eastAsia="Arial Unicode MS"/>
          <w:noProof/>
          <w:szCs w:val="24"/>
        </w:rPr>
      </w:pPr>
      <w:r>
        <w:rPr>
          <w:noProof/>
        </w:rPr>
        <w:t>10.11.5.</w:t>
      </w:r>
      <w:r>
        <w:rPr>
          <w:noProof/>
        </w:rPr>
        <w:tab/>
        <w:t>Dessin de la ligne de plancher: …</w:t>
      </w:r>
    </w:p>
    <w:p>
      <w:pPr>
        <w:spacing w:before="240"/>
        <w:ind w:left="1701" w:hanging="1701"/>
        <w:jc w:val="left"/>
        <w:rPr>
          <w:rFonts w:eastAsia="Arial Unicode MS"/>
          <w:b/>
          <w:bCs/>
          <w:noProof/>
          <w:szCs w:val="24"/>
        </w:rPr>
      </w:pPr>
      <w:r>
        <w:rPr>
          <w:noProof/>
        </w:rPr>
        <w:t>10.12.</w:t>
      </w:r>
      <w:r>
        <w:rPr>
          <w:noProof/>
        </w:rPr>
        <w:tab/>
      </w:r>
      <w:r>
        <w:rPr>
          <w:b/>
          <w:noProof/>
        </w:rPr>
        <w:t xml:space="preserve">Ceintures de sécurité et/ou autres systèmes de retenue </w:t>
      </w:r>
    </w:p>
    <w:p>
      <w:pPr>
        <w:ind w:left="1701" w:hanging="1701"/>
        <w:rPr>
          <w:rFonts w:eastAsia="Arial Unicode MS"/>
          <w:noProof/>
          <w:szCs w:val="24"/>
        </w:rPr>
      </w:pPr>
      <w:r>
        <w:rPr>
          <w:noProof/>
        </w:rPr>
        <w:t>10.12.1.</w:t>
      </w:r>
      <w:r>
        <w:rPr>
          <w:noProof/>
        </w:rPr>
        <w:tab/>
        <w:t>Nombre et emplacement des ceintures de sécurité et des systèmes de retenue, et sièges sur lesquels ils peuvent être utilisés</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4"/>
        <w:gridCol w:w="283"/>
        <w:gridCol w:w="1243"/>
        <w:gridCol w:w="1265"/>
        <w:gridCol w:w="1959"/>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szCs w:val="20"/>
              </w:rPr>
              <w:t>(L = côté gauche, R = côté droit, C = centre)</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szCs w:val="20"/>
              </w:rPr>
              <w:t>Marque de réception UE par type complète</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szCs w:val="20"/>
              </w:rPr>
              <w:t>Variante, le cas échéant</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szCs w:val="20"/>
              </w:rPr>
              <w:t>Dispositif de réglage de la ceinture en hauteur (indiquer oui/non/en option)</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szCs w:val="20"/>
                    </w:rPr>
                    <w:t xml:space="preserve">Première rangée de sièges </w:t>
                  </w:r>
                </w:p>
              </w:tc>
              <w:tc>
                <w:tcPr>
                  <w:tcW w:w="1295"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60655" cy="721360"/>
                        <wp:effectExtent l="0" t="0" r="0" b="2540"/>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655" cy="721360"/>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szCs w:val="20"/>
                    </w:rPr>
                    <w:t>Deuxième rangée de sièges (</w:t>
                  </w:r>
                  <w:r>
                    <w:rPr>
                      <w:noProof/>
                      <w:sz w:val="20"/>
                      <w:szCs w:val="20"/>
                      <w:vertAlign w:val="superscript"/>
                    </w:rPr>
                    <w:t>*</w:t>
                  </w:r>
                  <w:r>
                    <w:rPr>
                      <w:noProof/>
                      <w:sz w:val="20"/>
                      <w:szCs w:val="20"/>
                    </w:rPr>
                    <w:t>)</w:t>
                  </w:r>
                </w:p>
              </w:tc>
              <w:tc>
                <w:tcPr>
                  <w:tcW w:w="1060"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74625" cy="721360"/>
                        <wp:effectExtent l="0" t="0" r="0" b="254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625" cy="721360"/>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szCs w:val="20"/>
              </w:rPr>
              <w:t>(</w:t>
            </w:r>
            <w:r>
              <w:rPr>
                <w:noProof/>
                <w:sz w:val="20"/>
                <w:szCs w:val="20"/>
                <w:vertAlign w:val="superscript"/>
              </w:rPr>
              <w:t>*</w:t>
            </w:r>
            <w:r>
              <w:rPr>
                <w:noProof/>
                <w:sz w:val="20"/>
                <w:szCs w:val="20"/>
              </w:rPr>
              <w:t>)</w:t>
            </w:r>
            <w:r>
              <w:rPr>
                <w:noProof/>
                <w:sz w:val="20"/>
                <w:szCs w:val="20"/>
              </w:rPr>
              <w:tab/>
              <w:t>Le tableau peut être étendu, si nécessaire, pour les véhicules équipés de plus de deux rangées de sièges ou de plus de trois sièges par rangée.</w:t>
            </w:r>
          </w:p>
        </w:tc>
      </w:tr>
    </w:tbl>
    <w:p>
      <w:pPr>
        <w:spacing w:before="240" w:after="240"/>
        <w:ind w:left="1701" w:hanging="1701"/>
        <w:rPr>
          <w:noProof/>
        </w:rPr>
      </w:pPr>
      <w:r>
        <w:rPr>
          <w:noProof/>
        </w:rPr>
        <w:t>10.12.2.</w:t>
      </w:r>
      <w:r>
        <w:rPr>
          <w:noProof/>
        </w:rPr>
        <w:tab/>
        <w:t>Nature et emplacement des systèmes de retenue complémentaires (indiquer oui/non/en option)</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szCs w:val="20"/>
              </w:rPr>
              <w:t>(L = côté gauche, R = côté droit, C = centre)</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szCs w:val="20"/>
              </w:rPr>
              <w:t>Airbag frontal</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szCs w:val="20"/>
              </w:rPr>
              <w:t>Airbag latéral</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szCs w:val="20"/>
              </w:rPr>
              <w:t>Tendeur de sangle de la ceinture</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szCs w:val="20"/>
                    </w:rPr>
                    <w:t>Première rangée de sièges</w:t>
                  </w:r>
                </w:p>
              </w:tc>
              <w:tc>
                <w:tcPr>
                  <w:tcW w:w="1295"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74625" cy="721360"/>
                        <wp:effectExtent l="0" t="0" r="0" b="254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625" cy="721360"/>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szCs w:val="20"/>
                    </w:rPr>
                    <w:t>Deuxième rangée de sièges (</w:t>
                  </w:r>
                  <w:r>
                    <w:rPr>
                      <w:noProof/>
                      <w:sz w:val="20"/>
                      <w:szCs w:val="20"/>
                      <w:vertAlign w:val="superscript"/>
                    </w:rPr>
                    <w:t>*</w:t>
                  </w:r>
                  <w:r>
                    <w:rPr>
                      <w:noProof/>
                      <w:sz w:val="20"/>
                      <w:szCs w:val="20"/>
                    </w:rPr>
                    <w:t>)</w:t>
                  </w:r>
                </w:p>
              </w:tc>
              <w:tc>
                <w:tcPr>
                  <w:tcW w:w="1060"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74625" cy="721360"/>
                        <wp:effectExtent l="0" t="0" r="0" b="254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625" cy="721360"/>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0"/>
                <w:szCs w:val="20"/>
              </w:rPr>
            </w:pPr>
            <w:r>
              <w:rPr>
                <w:noProof/>
                <w:sz w:val="20"/>
                <w:szCs w:val="20"/>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0"/>
                <w:szCs w:val="20"/>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szCs w:val="20"/>
              </w:rPr>
              <w:t>(</w:t>
            </w:r>
            <w:r>
              <w:rPr>
                <w:noProof/>
                <w:sz w:val="20"/>
                <w:szCs w:val="20"/>
                <w:vertAlign w:val="superscript"/>
              </w:rPr>
              <w:t>*</w:t>
            </w:r>
            <w:r>
              <w:rPr>
                <w:noProof/>
                <w:sz w:val="20"/>
                <w:szCs w:val="20"/>
              </w:rPr>
              <w:t>)</w:t>
            </w:r>
            <w:r>
              <w:rPr>
                <w:noProof/>
                <w:sz w:val="20"/>
                <w:szCs w:val="20"/>
              </w:rPr>
              <w:tab/>
              <w:t>Le tableau peut être étendu, si nécessaire, pour les véhicules équipés de plus de deux rangées de sièges ou de plus de trois sièges par rangée.</w:t>
            </w:r>
          </w:p>
        </w:tc>
      </w:tr>
    </w:tbl>
    <w:p>
      <w:pPr>
        <w:spacing w:before="240" w:after="0"/>
        <w:ind w:left="1701" w:hanging="1701"/>
        <w:rPr>
          <w:rFonts w:eastAsia="Arial Unicode MS"/>
          <w:noProof/>
          <w:szCs w:val="24"/>
        </w:rPr>
      </w:pPr>
      <w:r>
        <w:rPr>
          <w:noProof/>
        </w:rPr>
        <w:t>10.12.3.</w:t>
      </w:r>
      <w:r>
        <w:rPr>
          <w:noProof/>
        </w:rPr>
        <w:tab/>
        <w:t>Nombre et emplacement des ancrages de ceintures de sécurité, et preuve de leur conformité au règlement n</w:t>
      </w:r>
      <w:r>
        <w:rPr>
          <w:noProof/>
          <w:vertAlign w:val="superscript"/>
        </w:rPr>
        <w:t>o</w:t>
      </w:r>
      <w:r>
        <w:rPr>
          <w:noProof/>
        </w:rPr>
        <w:t> 14 de la CEE-ONU (c’est-à-dire numéro de réception par type ou procès-verbal d’essai): …</w:t>
      </w:r>
    </w:p>
    <w:p>
      <w:pPr>
        <w:spacing w:after="0"/>
        <w:ind w:left="1701" w:hanging="1701"/>
        <w:rPr>
          <w:rFonts w:eastAsia="Arial Unicode MS"/>
          <w:noProof/>
          <w:szCs w:val="24"/>
        </w:rPr>
      </w:pPr>
      <w:r>
        <w:rPr>
          <w:noProof/>
        </w:rPr>
        <w:t>10.12.4.</w:t>
      </w:r>
      <w:r>
        <w:rPr>
          <w:noProof/>
        </w:rPr>
        <w:tab/>
        <w:t>Description succincte des composants électriques/électroniques (le cas échéant): …</w:t>
      </w:r>
    </w:p>
    <w:p>
      <w:pPr>
        <w:spacing w:before="240"/>
        <w:ind w:left="1701" w:hanging="1701"/>
        <w:jc w:val="left"/>
        <w:rPr>
          <w:rFonts w:eastAsia="Arial Unicode MS"/>
          <w:b/>
          <w:bCs/>
          <w:noProof/>
          <w:szCs w:val="24"/>
        </w:rPr>
      </w:pPr>
      <w:r>
        <w:rPr>
          <w:noProof/>
        </w:rPr>
        <w:t>10.13.</w:t>
      </w:r>
      <w:r>
        <w:rPr>
          <w:noProof/>
        </w:rPr>
        <w:tab/>
      </w:r>
      <w:r>
        <w:rPr>
          <w:b/>
          <w:noProof/>
        </w:rPr>
        <w:t>Ancrages de ceintures de sécurité</w:t>
      </w:r>
    </w:p>
    <w:p>
      <w:pPr>
        <w:spacing w:after="0"/>
        <w:ind w:left="1701" w:hanging="1701"/>
        <w:rPr>
          <w:rFonts w:eastAsia="Arial Unicode MS"/>
          <w:noProof/>
          <w:szCs w:val="24"/>
        </w:rPr>
      </w:pPr>
      <w:r>
        <w:rPr>
          <w:noProof/>
        </w:rPr>
        <w:lastRenderedPageBreak/>
        <w:t>10.13.1.</w:t>
      </w:r>
      <w:r>
        <w:rPr>
          <w:noProof/>
        </w:rPr>
        <w:tab/>
        <w:t>Photographies et/ou dessins de la carrosserie montrant l’emplacement et les dimensions des ancrages réels et effectifs, avec indication des points R: …</w:t>
      </w:r>
    </w:p>
    <w:p>
      <w:pPr>
        <w:spacing w:after="0"/>
        <w:ind w:left="1701" w:hanging="1701"/>
        <w:rPr>
          <w:rFonts w:eastAsia="Arial Unicode MS"/>
          <w:noProof/>
          <w:szCs w:val="24"/>
        </w:rPr>
      </w:pPr>
      <w:r>
        <w:rPr>
          <w:noProof/>
        </w:rPr>
        <w:t>10.13.2.</w:t>
      </w:r>
      <w:r>
        <w:rPr>
          <w:noProof/>
        </w:rPr>
        <w:tab/>
        <w:t>Dessins des ancrages des ceintures et des parties de la structure du véhicule auxquelles ils sont fixés (avec indication de la nature des matériaux utilisés): …</w:t>
      </w:r>
    </w:p>
    <w:p>
      <w:pPr>
        <w:spacing w:after="240"/>
        <w:ind w:left="1701" w:hanging="1701"/>
        <w:rPr>
          <w:rFonts w:eastAsia="Arial Unicode MS"/>
          <w:noProof/>
          <w:szCs w:val="24"/>
        </w:rPr>
      </w:pPr>
      <w:r>
        <w:rPr>
          <w:noProof/>
        </w:rPr>
        <w:t>10.13.3.</w:t>
      </w:r>
      <w:r>
        <w:rPr>
          <w:noProof/>
        </w:rPr>
        <w:tab/>
        <w:t>Désignation des types (</w:t>
      </w:r>
      <w:r>
        <w:rPr>
          <w:noProof/>
          <w:vertAlign w:val="superscript"/>
        </w:rPr>
        <w:t>u</w:t>
      </w:r>
      <w:r>
        <w:rPr>
          <w:noProof/>
        </w:rPr>
        <w:t>) de ceintures de sécurité qu’il est autorisé de fixer aux ancrages dont le véhicule est pourvu:</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Emplacement des ancrages</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Structure du véhicule</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Structure du siège</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Première rangée de sièges</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rPr>
                    <w:t>Siège de droite</w:t>
                  </w:r>
                </w:p>
              </w:tc>
              <w:tc>
                <w:tcPr>
                  <w:tcW w:w="305" w:type="dxa"/>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30885"/>
                        <wp:effectExtent l="0" t="0" r="889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088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inférieurs</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rPr>
                    <w:drawing>
                      <wp:inline distT="0" distB="0" distL="0" distR="0">
                        <wp:extent cx="105410" cy="248285"/>
                        <wp:effectExtent l="0" t="0" r="889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8285"/>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rPr>
                    <w:t xml:space="preserve">extérieur </w:t>
                  </w:r>
                  <w:r>
                    <w:rPr>
                      <w:rFonts w:eastAsia="Arial Unicode MS"/>
                      <w:noProof/>
                      <w:sz w:val="20"/>
                      <w:szCs w:val="20"/>
                    </w:rPr>
                    <w:br/>
                  </w:r>
                  <w:r>
                    <w:rPr>
                      <w:noProof/>
                      <w:sz w:val="20"/>
                    </w:rPr>
                    <w:t>intérieur</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supérieurs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rPr>
                    <w:t>Siège du centre</w:t>
                  </w:r>
                </w:p>
              </w:tc>
              <w:tc>
                <w:tcPr>
                  <w:tcW w:w="1690"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30885"/>
                        <wp:effectExtent l="0" t="0" r="889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088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inférieurs</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rFonts w:eastAsia="Arial Unicode MS"/>
                      <w:noProof/>
                      <w:sz w:val="20"/>
                      <w:szCs w:val="20"/>
                      <w:lang w:val="en-US" w:eastAsia="en-US"/>
                    </w:rPr>
                    <w:drawing>
                      <wp:inline distT="0" distB="0" distL="0" distR="0">
                        <wp:extent cx="105410" cy="252730"/>
                        <wp:effectExtent l="0" t="0" r="889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273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rPr>
                    <w:t>droite</w:t>
                  </w:r>
                </w:p>
                <w:p>
                  <w:pPr>
                    <w:spacing w:before="0" w:after="0"/>
                    <w:ind w:left="79"/>
                    <w:jc w:val="left"/>
                    <w:rPr>
                      <w:rFonts w:eastAsia="Arial Unicode MS"/>
                      <w:noProof/>
                      <w:sz w:val="20"/>
                      <w:szCs w:val="20"/>
                    </w:rPr>
                  </w:pPr>
                  <w:r>
                    <w:rPr>
                      <w:noProof/>
                      <w:sz w:val="20"/>
                    </w:rPr>
                    <w:t>gauche</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supérieurs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rPr>
                    <w:t>Siège de gauche</w:t>
                  </w:r>
                </w:p>
              </w:tc>
              <w:tc>
                <w:tcPr>
                  <w:tcW w:w="1822"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21360"/>
                        <wp:effectExtent l="0" t="0" r="8890" b="254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1360"/>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inférieurs</w:t>
            </w:r>
          </w:p>
        </w:tc>
        <w:tc>
          <w:tcPr>
            <w:tcW w:w="2147" w:type="dxa"/>
            <w:tcBorders>
              <w:top w:val="outset" w:sz="6" w:space="0" w:color="auto"/>
              <w:left w:val="outset" w:sz="6" w:space="0" w:color="auto"/>
              <w:bottom w:val="outset" w:sz="6" w:space="0" w:color="auto"/>
              <w:right w:val="outset" w:sz="6" w:space="0" w:color="auto"/>
            </w:tcBorders>
            <w:hideMark/>
          </w:tcPr>
          <w:tbl>
            <w:tblPr>
              <w:tblW w:w="396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933"/>
              <w:gridCol w:w="95"/>
            </w:tblGrid>
            <w:tr>
              <w:trPr>
                <w:tblCellSpacing w:w="15" w:type="dxa"/>
              </w:trPr>
              <w:tc>
                <w:tcPr>
                  <w:tcW w:w="559" w:type="dxa"/>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rPr>
                    <w:drawing>
                      <wp:inline distT="0" distB="0" distL="0" distR="0">
                        <wp:extent cx="105410" cy="248285"/>
                        <wp:effectExtent l="0" t="0" r="8890" b="0"/>
                        <wp:docPr id="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8285"/>
                                </a:xfrm>
                                <a:prstGeom prst="rect">
                                  <a:avLst/>
                                </a:prstGeom>
                                <a:noFill/>
                                <a:ln>
                                  <a:noFill/>
                                </a:ln>
                              </pic:spPr>
                            </pic:pic>
                          </a:graphicData>
                        </a:graphic>
                      </wp:inline>
                    </w:drawing>
                  </w:r>
                </w:p>
              </w:tc>
              <w:tc>
                <w:tcPr>
                  <w:tcW w:w="903" w:type="dxa"/>
                  <w:vAlign w:val="center"/>
                </w:tcPr>
                <w:p>
                  <w:pPr>
                    <w:spacing w:before="0" w:after="0"/>
                    <w:ind w:right="52"/>
                    <w:jc w:val="left"/>
                    <w:rPr>
                      <w:rFonts w:eastAsia="Arial Unicode MS"/>
                      <w:noProof/>
                      <w:sz w:val="20"/>
                      <w:szCs w:val="20"/>
                    </w:rPr>
                  </w:pPr>
                  <w:r>
                    <w:rPr>
                      <w:noProof/>
                      <w:sz w:val="20"/>
                    </w:rPr>
                    <w:t xml:space="preserve">extérieur </w:t>
                  </w:r>
                  <w:r>
                    <w:rPr>
                      <w:rFonts w:eastAsia="Arial Unicode MS"/>
                      <w:noProof/>
                      <w:sz w:val="20"/>
                      <w:szCs w:val="20"/>
                    </w:rPr>
                    <w:br/>
                  </w:r>
                  <w:r>
                    <w:rPr>
                      <w:noProof/>
                      <w:sz w:val="20"/>
                    </w:rPr>
                    <w:t>intérieur</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supérieurs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Deuxième rangée de sièges (</w:t>
            </w:r>
            <w:r>
              <w:rPr>
                <w:noProof/>
                <w:sz w:val="20"/>
                <w:vertAlign w:val="superscript"/>
              </w:rPr>
              <w:t>*</w:t>
            </w:r>
            <w:r>
              <w:rPr>
                <w:noProof/>
                <w:sz w:val="20"/>
              </w:rPr>
              <w:t>)</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rPr>
                    <w:t>Siège de droite</w:t>
                  </w:r>
                </w:p>
              </w:tc>
              <w:tc>
                <w:tcPr>
                  <w:tcW w:w="1291"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25805"/>
                        <wp:effectExtent l="0" t="0" r="889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72580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inférieurs</w:t>
            </w:r>
          </w:p>
        </w:tc>
        <w:tc>
          <w:tcPr>
            <w:tcW w:w="2147" w:type="dxa"/>
            <w:tcBorders>
              <w:top w:val="outset" w:sz="6" w:space="0" w:color="auto"/>
              <w:left w:val="outset" w:sz="6" w:space="0" w:color="auto"/>
              <w:bottom w:val="outset" w:sz="6" w:space="0" w:color="auto"/>
              <w:right w:val="outset" w:sz="6" w:space="0" w:color="auto"/>
            </w:tcBorders>
            <w:hideMark/>
          </w:tcPr>
          <w:tbl>
            <w:tblPr>
              <w:tblW w:w="386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61" w:type="dxa"/>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rPr>
                    <w:drawing>
                      <wp:inline distT="0" distB="0" distL="0" distR="0">
                        <wp:extent cx="105410" cy="248285"/>
                        <wp:effectExtent l="0" t="0" r="8890"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8285"/>
                                </a:xfrm>
                                <a:prstGeom prst="rect">
                                  <a:avLst/>
                                </a:prstGeom>
                                <a:noFill/>
                                <a:ln>
                                  <a:noFill/>
                                </a:ln>
                              </pic:spPr>
                            </pic:pic>
                          </a:graphicData>
                        </a:graphic>
                      </wp:inline>
                    </w:drawing>
                  </w:r>
                </w:p>
              </w:tc>
              <w:tc>
                <w:tcPr>
                  <w:tcW w:w="937" w:type="dxa"/>
                  <w:vAlign w:val="center"/>
                </w:tcPr>
                <w:p>
                  <w:pPr>
                    <w:spacing w:before="0" w:after="0"/>
                    <w:ind w:right="52"/>
                    <w:jc w:val="left"/>
                    <w:rPr>
                      <w:rFonts w:eastAsia="Arial Unicode MS"/>
                      <w:noProof/>
                      <w:sz w:val="20"/>
                      <w:szCs w:val="20"/>
                    </w:rPr>
                  </w:pPr>
                  <w:r>
                    <w:rPr>
                      <w:noProof/>
                      <w:sz w:val="20"/>
                    </w:rPr>
                    <w:t xml:space="preserve">extérieur </w:t>
                  </w:r>
                  <w:r>
                    <w:rPr>
                      <w:rFonts w:eastAsia="Arial Unicode MS"/>
                      <w:noProof/>
                      <w:sz w:val="20"/>
                      <w:szCs w:val="20"/>
                    </w:rPr>
                    <w:br/>
                  </w:r>
                  <w:r>
                    <w:rPr>
                      <w:noProof/>
                      <w:sz w:val="20"/>
                    </w:rPr>
                    <w:t>intérieur</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supérieurs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Siège du centre</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25805"/>
                        <wp:effectExtent l="0" t="0" r="889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580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inférieurs</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rPr>
                    <w:drawing>
                      <wp:inline distT="0" distB="0" distL="0" distR="0">
                        <wp:extent cx="105410" cy="248285"/>
                        <wp:effectExtent l="0" t="0" r="889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48285"/>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rPr>
                    <w:t>droite</w:t>
                  </w:r>
                </w:p>
                <w:p>
                  <w:pPr>
                    <w:spacing w:before="0" w:after="0"/>
                    <w:jc w:val="left"/>
                    <w:rPr>
                      <w:rFonts w:eastAsia="Arial Unicode MS"/>
                      <w:noProof/>
                      <w:sz w:val="20"/>
                      <w:szCs w:val="20"/>
                    </w:rPr>
                  </w:pPr>
                  <w:r>
                    <w:rPr>
                      <w:noProof/>
                      <w:sz w:val="20"/>
                    </w:rPr>
                    <w:t>gauche</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supérieurs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Siège de gauche</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21360"/>
                        <wp:effectExtent l="0" t="0" r="8890" b="254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1360"/>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inférieurs</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rPr>
                    <w:drawing>
                      <wp:inline distT="0" distB="0" distL="0" distR="0">
                        <wp:extent cx="105410" cy="248285"/>
                        <wp:effectExtent l="0" t="0" r="8890" b="0"/>
                        <wp:docPr id="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8285"/>
                                </a:xfrm>
                                <a:prstGeom prst="rect">
                                  <a:avLst/>
                                </a:prstGeom>
                                <a:noFill/>
                                <a:ln>
                                  <a:noFill/>
                                </a:ln>
                              </pic:spPr>
                            </pic:pic>
                          </a:graphicData>
                        </a:graphic>
                      </wp:inline>
                    </w:drawing>
                  </w:r>
                </w:p>
              </w:tc>
              <w:tc>
                <w:tcPr>
                  <w:tcW w:w="1089" w:type="dxa"/>
                  <w:vAlign w:val="center"/>
                </w:tcPr>
                <w:p>
                  <w:pPr>
                    <w:spacing w:before="0" w:after="0"/>
                    <w:ind w:right="52"/>
                    <w:jc w:val="left"/>
                    <w:rPr>
                      <w:rFonts w:eastAsia="Arial Unicode MS"/>
                      <w:noProof/>
                      <w:sz w:val="20"/>
                      <w:szCs w:val="20"/>
                    </w:rPr>
                  </w:pPr>
                  <w:r>
                    <w:rPr>
                      <w:noProof/>
                      <w:sz w:val="20"/>
                    </w:rPr>
                    <w:t xml:space="preserve">extérieur </w:t>
                  </w:r>
                  <w:r>
                    <w:rPr>
                      <w:rFonts w:eastAsia="Arial Unicode MS"/>
                      <w:noProof/>
                      <w:sz w:val="20"/>
                      <w:szCs w:val="20"/>
                    </w:rPr>
                    <w:br/>
                  </w:r>
                  <w:r>
                    <w:rPr>
                      <w:noProof/>
                      <w:sz w:val="20"/>
                    </w:rPr>
                    <w:t>intérieur</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Ancrages supérieurs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szCs w:val="20"/>
              </w:rPr>
              <w:t>(</w:t>
            </w:r>
            <w:r>
              <w:rPr>
                <w:noProof/>
                <w:sz w:val="20"/>
                <w:szCs w:val="20"/>
                <w:vertAlign w:val="superscript"/>
              </w:rPr>
              <w:t>*</w:t>
            </w:r>
            <w:r>
              <w:rPr>
                <w:noProof/>
                <w:sz w:val="20"/>
                <w:szCs w:val="20"/>
              </w:rPr>
              <w:t>)</w:t>
            </w:r>
            <w:r>
              <w:rPr>
                <w:noProof/>
                <w:sz w:val="20"/>
                <w:szCs w:val="20"/>
              </w:rPr>
              <w:tab/>
              <w:t>Le tableau peut être étendu, si nécessaire, pour les véhicules équipés de plus de deux rangées de sièges ou de plus de trois sièges par rangée.</w:t>
            </w:r>
          </w:p>
        </w:tc>
      </w:tr>
    </w:tbl>
    <w:p>
      <w:pPr>
        <w:spacing w:before="240" w:after="0"/>
        <w:ind w:left="1701" w:hanging="1701"/>
        <w:rPr>
          <w:rFonts w:eastAsia="Arial Unicode MS"/>
          <w:noProof/>
          <w:szCs w:val="24"/>
        </w:rPr>
      </w:pPr>
      <w:r>
        <w:rPr>
          <w:noProof/>
        </w:rPr>
        <w:t>10.13.4.</w:t>
      </w:r>
      <w:r>
        <w:rPr>
          <w:noProof/>
        </w:rPr>
        <w:tab/>
        <w:t>Description d’un type particulier de ceinture de sécurité pour lequel un ancrage est situé dans le dossier du siège ou comporte un dispositif de dissipation d’énergie: …</w:t>
      </w:r>
    </w:p>
    <w:p>
      <w:pPr>
        <w:spacing w:before="240"/>
        <w:ind w:left="1701" w:hanging="1701"/>
        <w:jc w:val="left"/>
        <w:rPr>
          <w:rFonts w:eastAsia="Arial Unicode MS"/>
          <w:b/>
          <w:bCs/>
          <w:noProof/>
          <w:szCs w:val="24"/>
        </w:rPr>
      </w:pPr>
      <w:r>
        <w:rPr>
          <w:noProof/>
        </w:rPr>
        <w:t>10.14.</w:t>
      </w:r>
      <w:r>
        <w:rPr>
          <w:noProof/>
        </w:rPr>
        <w:tab/>
      </w:r>
      <w:r>
        <w:rPr>
          <w:b/>
          <w:noProof/>
        </w:rPr>
        <w:t xml:space="preserve">Emplacement pour plaques d’immatriculation arrière (indiquer la plage de dimensions s’il y a lieu et joindre des dessins, le cas échéant) </w:t>
      </w:r>
    </w:p>
    <w:p>
      <w:pPr>
        <w:spacing w:after="0"/>
        <w:ind w:left="1701" w:hanging="1701"/>
        <w:rPr>
          <w:rFonts w:eastAsia="Arial Unicode MS"/>
          <w:noProof/>
          <w:szCs w:val="24"/>
        </w:rPr>
      </w:pPr>
      <w:r>
        <w:rPr>
          <w:noProof/>
        </w:rPr>
        <w:t>10.14.1.</w:t>
      </w:r>
      <w:r>
        <w:rPr>
          <w:noProof/>
        </w:rPr>
        <w:tab/>
        <w:t>Hauteur au-dessus de la surface de la route, bord supérieur: …</w:t>
      </w:r>
    </w:p>
    <w:p>
      <w:pPr>
        <w:spacing w:after="0"/>
        <w:ind w:left="1701" w:hanging="1701"/>
        <w:rPr>
          <w:rFonts w:eastAsia="Arial Unicode MS"/>
          <w:noProof/>
          <w:szCs w:val="24"/>
        </w:rPr>
      </w:pPr>
      <w:r>
        <w:rPr>
          <w:noProof/>
        </w:rPr>
        <w:t>10.14.2.</w:t>
      </w:r>
      <w:r>
        <w:rPr>
          <w:noProof/>
        </w:rPr>
        <w:tab/>
        <w:t>Hauteur au-dessus de la surface de la route, bord inférieur: …</w:t>
      </w:r>
    </w:p>
    <w:p>
      <w:pPr>
        <w:spacing w:after="0"/>
        <w:ind w:left="1701" w:hanging="1701"/>
        <w:rPr>
          <w:rFonts w:eastAsia="Arial Unicode MS"/>
          <w:noProof/>
          <w:szCs w:val="24"/>
        </w:rPr>
      </w:pPr>
      <w:r>
        <w:rPr>
          <w:noProof/>
        </w:rPr>
        <w:lastRenderedPageBreak/>
        <w:t>10.14.3.</w:t>
      </w:r>
      <w:r>
        <w:rPr>
          <w:noProof/>
        </w:rPr>
        <w:tab/>
        <w:t>Distance entre la ligne centrale de la plaque et le plan médian longitudinal du véhicule: …</w:t>
      </w:r>
    </w:p>
    <w:p>
      <w:pPr>
        <w:spacing w:after="0"/>
        <w:ind w:left="1701" w:hanging="1701"/>
        <w:rPr>
          <w:rFonts w:eastAsia="Arial Unicode MS"/>
          <w:noProof/>
          <w:szCs w:val="24"/>
        </w:rPr>
      </w:pPr>
      <w:r>
        <w:rPr>
          <w:noProof/>
        </w:rPr>
        <w:t>10.14.4.</w:t>
      </w:r>
      <w:r>
        <w:rPr>
          <w:noProof/>
        </w:rPr>
        <w:tab/>
        <w:t>Distance du bord gauche du véhicule: …</w:t>
      </w:r>
    </w:p>
    <w:p>
      <w:pPr>
        <w:spacing w:after="0"/>
        <w:ind w:left="1701" w:hanging="1701"/>
        <w:rPr>
          <w:rFonts w:eastAsia="Arial Unicode MS"/>
          <w:noProof/>
          <w:szCs w:val="24"/>
        </w:rPr>
      </w:pPr>
      <w:r>
        <w:rPr>
          <w:noProof/>
        </w:rPr>
        <w:t>10.14.5.</w:t>
      </w:r>
      <w:r>
        <w:rPr>
          <w:noProof/>
        </w:rPr>
        <w:tab/>
        <w:t>Dimensions (longueur x largeur): …</w:t>
      </w:r>
    </w:p>
    <w:p>
      <w:pPr>
        <w:spacing w:after="0"/>
        <w:ind w:left="1701" w:hanging="1701"/>
        <w:rPr>
          <w:rFonts w:eastAsia="Arial Unicode MS"/>
          <w:noProof/>
          <w:szCs w:val="24"/>
        </w:rPr>
      </w:pPr>
      <w:r>
        <w:rPr>
          <w:noProof/>
        </w:rPr>
        <w:t>10.14.6.</w:t>
      </w:r>
      <w:r>
        <w:rPr>
          <w:noProof/>
        </w:rPr>
        <w:tab/>
        <w:t>Inclinaison du plan de la plaque par rapport à la verticale: …</w:t>
      </w:r>
    </w:p>
    <w:p>
      <w:pPr>
        <w:spacing w:after="0"/>
        <w:ind w:left="1701" w:hanging="1701"/>
        <w:rPr>
          <w:rFonts w:eastAsia="Arial Unicode MS"/>
          <w:noProof/>
          <w:szCs w:val="24"/>
        </w:rPr>
      </w:pPr>
      <w:r>
        <w:rPr>
          <w:noProof/>
        </w:rPr>
        <w:t>10.14.7.</w:t>
      </w:r>
      <w:r>
        <w:rPr>
          <w:noProof/>
        </w:rPr>
        <w:tab/>
        <w:t>Angle de visibilité dans le plan horizontal: …</w:t>
      </w:r>
    </w:p>
    <w:p>
      <w:pPr>
        <w:spacing w:before="240"/>
        <w:ind w:left="1701" w:hanging="1701"/>
        <w:jc w:val="left"/>
        <w:rPr>
          <w:rFonts w:eastAsia="Arial Unicode MS"/>
          <w:b/>
          <w:bCs/>
          <w:noProof/>
          <w:szCs w:val="24"/>
        </w:rPr>
      </w:pPr>
      <w:r>
        <w:rPr>
          <w:noProof/>
        </w:rPr>
        <w:t>10.15.</w:t>
      </w:r>
      <w:r>
        <w:rPr>
          <w:noProof/>
        </w:rPr>
        <w:tab/>
      </w:r>
      <w:r>
        <w:rPr>
          <w:b/>
          <w:noProof/>
        </w:rPr>
        <w:t xml:space="preserve">Protection arrière contre l’encastrement </w:t>
      </w:r>
    </w:p>
    <w:p>
      <w:pPr>
        <w:spacing w:after="0"/>
        <w:ind w:left="1701" w:hanging="1701"/>
        <w:rPr>
          <w:rFonts w:eastAsia="Arial Unicode MS"/>
          <w:noProof/>
          <w:szCs w:val="24"/>
        </w:rPr>
      </w:pPr>
      <w:r>
        <w:rPr>
          <w:noProof/>
        </w:rPr>
        <w:t>10.15.0.</w:t>
      </w:r>
      <w:r>
        <w:rPr>
          <w:noProof/>
        </w:rPr>
        <w:tab/>
        <w:t>Présence: oui/non/incomplète (</w:t>
      </w:r>
      <w:r>
        <w:rPr>
          <w:noProof/>
          <w:vertAlign w:val="superscript"/>
        </w:rPr>
        <w:t>1</w:t>
      </w:r>
      <w:r>
        <w:rPr>
          <w:noProof/>
        </w:rPr>
        <w:t>)</w:t>
      </w:r>
    </w:p>
    <w:p>
      <w:pPr>
        <w:spacing w:after="0"/>
        <w:ind w:left="1701" w:hanging="1701"/>
        <w:rPr>
          <w:rFonts w:eastAsia="Arial Unicode MS"/>
          <w:noProof/>
          <w:szCs w:val="24"/>
        </w:rPr>
      </w:pPr>
      <w:r>
        <w:rPr>
          <w:noProof/>
        </w:rPr>
        <w:t>10.15.1.</w:t>
      </w:r>
      <w:r>
        <w:rPr>
          <w:noProof/>
        </w:rPr>
        <w:tab/>
        <w:t>Dessins des parties du véhicule intervenant dans la protection arrière contre l’encastrement, à savoir dessin du véhicule et/ou du châssis indiquant l’emplacement et le mode de montage de l’essieu arrière le plus large, et dessin du mode de montage et/ou de fixation du dispositif de protection arrière contre l’encastrement. Si la protection arrière contre l’encastrement n’est pas assurée par un dispositif spécial, le dessin doit faire clairement apparaître que les dimensions requises sont respectées: …</w:t>
      </w:r>
    </w:p>
    <w:p>
      <w:pPr>
        <w:spacing w:after="0"/>
        <w:ind w:left="1701" w:hanging="1701"/>
        <w:rPr>
          <w:rFonts w:eastAsia="Arial Unicode MS"/>
          <w:noProof/>
          <w:szCs w:val="24"/>
        </w:rPr>
      </w:pPr>
      <w:r>
        <w:rPr>
          <w:noProof/>
        </w:rPr>
        <w:t>10.15.2.</w:t>
      </w:r>
      <w:r>
        <w:rPr>
          <w:noProof/>
        </w:rPr>
        <w:tab/>
        <w:t>S’il s’agit d’un dispositif spécial, description complète et/ou dessin de la protection arrière contre l’encastrement (y compris les éléments de montage et de fixation) ou, s’il s’agit d’un dispositif réceptionné en tant qu’entité technique distincte, indication du numéro de réception par type: …</w:t>
      </w:r>
    </w:p>
    <w:p>
      <w:pPr>
        <w:spacing w:before="240"/>
        <w:ind w:left="1701" w:hanging="1701"/>
        <w:jc w:val="left"/>
        <w:rPr>
          <w:rFonts w:eastAsia="Arial Unicode MS"/>
          <w:b/>
          <w:bCs/>
          <w:noProof/>
          <w:szCs w:val="24"/>
        </w:rPr>
      </w:pPr>
      <w:r>
        <w:rPr>
          <w:noProof/>
        </w:rPr>
        <w:t>10.16.</w:t>
      </w:r>
      <w:r>
        <w:rPr>
          <w:noProof/>
        </w:rPr>
        <w:tab/>
      </w:r>
      <w:r>
        <w:rPr>
          <w:b/>
          <w:noProof/>
        </w:rPr>
        <w:t xml:space="preserve">Protecteurs de roues </w:t>
      </w:r>
    </w:p>
    <w:p>
      <w:pPr>
        <w:spacing w:after="0"/>
        <w:ind w:left="1701" w:hanging="1701"/>
        <w:rPr>
          <w:rFonts w:eastAsia="Arial Unicode MS"/>
          <w:noProof/>
          <w:szCs w:val="24"/>
        </w:rPr>
      </w:pPr>
      <w:r>
        <w:rPr>
          <w:noProof/>
        </w:rPr>
        <w:t>10.16.1.</w:t>
      </w:r>
      <w:r>
        <w:rPr>
          <w:noProof/>
        </w:rPr>
        <w:tab/>
        <w:t>Description succincte du véhicule en ce qui concerne ses protecteurs de roues: …</w:t>
      </w:r>
    </w:p>
    <w:p>
      <w:pPr>
        <w:spacing w:after="0"/>
        <w:ind w:left="1701" w:hanging="1701"/>
        <w:rPr>
          <w:rFonts w:eastAsia="Arial Unicode MS"/>
          <w:noProof/>
          <w:szCs w:val="24"/>
        </w:rPr>
      </w:pPr>
      <w:r>
        <w:rPr>
          <w:noProof/>
        </w:rPr>
        <w:t>10.16.2.</w:t>
      </w:r>
      <w:r>
        <w:rPr>
          <w:noProof/>
        </w:rPr>
        <w:tab/>
        <w:t>Dessins détaillés des protecteurs de roue et de leur emplacement sur le véhicule montrant les dimensions spécifiées sur la figure 1 de l’annexe II du règlement (UE) n</w:t>
      </w:r>
      <w:r>
        <w:rPr>
          <w:noProof/>
          <w:vertAlign w:val="superscript"/>
        </w:rPr>
        <w:t>o</w:t>
      </w:r>
      <w:r>
        <w:rPr>
          <w:noProof/>
        </w:rPr>
        <w:t> 1009/2010 de la Commission</w:t>
      </w:r>
      <w:r>
        <w:rPr>
          <w:rStyle w:val="FootnoteReference"/>
          <w:noProof/>
        </w:rPr>
        <w:footnoteReference w:id="8"/>
      </w:r>
      <w:r>
        <w:rPr>
          <w:noProof/>
        </w:rPr>
        <w:t xml:space="preserve"> et tenant compte des combinaisons pneumatique/roue extrêmes: …</w:t>
      </w:r>
    </w:p>
    <w:p>
      <w:pPr>
        <w:spacing w:before="240"/>
        <w:ind w:left="1701" w:hanging="1701"/>
        <w:jc w:val="left"/>
        <w:rPr>
          <w:rFonts w:eastAsia="Arial Unicode MS"/>
          <w:b/>
          <w:bCs/>
          <w:noProof/>
          <w:szCs w:val="24"/>
        </w:rPr>
      </w:pPr>
      <w:r>
        <w:rPr>
          <w:noProof/>
        </w:rPr>
        <w:t>10.17.</w:t>
      </w:r>
      <w:r>
        <w:rPr>
          <w:noProof/>
        </w:rPr>
        <w:tab/>
      </w:r>
      <w:r>
        <w:rPr>
          <w:b/>
          <w:noProof/>
        </w:rPr>
        <w:t xml:space="preserve">Plaques réglementaires </w:t>
      </w:r>
    </w:p>
    <w:p>
      <w:pPr>
        <w:spacing w:after="0"/>
        <w:ind w:left="1701" w:hanging="1701"/>
        <w:rPr>
          <w:rFonts w:eastAsia="Arial Unicode MS"/>
          <w:noProof/>
          <w:szCs w:val="24"/>
        </w:rPr>
      </w:pPr>
      <w:r>
        <w:rPr>
          <w:noProof/>
        </w:rPr>
        <w:t>10.17.1.</w:t>
      </w:r>
      <w:r>
        <w:rPr>
          <w:noProof/>
        </w:rPr>
        <w:tab/>
        <w:t>Photographies et/ou dessins montrant l’emplacement des plaques et des inscriptions réglementaires et du numéro d’identification du véhicule: …</w:t>
      </w:r>
    </w:p>
    <w:p>
      <w:pPr>
        <w:spacing w:after="0"/>
        <w:ind w:left="1701" w:hanging="1701"/>
        <w:rPr>
          <w:rFonts w:eastAsia="Arial Unicode MS"/>
          <w:noProof/>
          <w:szCs w:val="24"/>
        </w:rPr>
      </w:pPr>
      <w:r>
        <w:rPr>
          <w:noProof/>
        </w:rPr>
        <w:t>10.17.2.</w:t>
      </w:r>
      <w:r>
        <w:rPr>
          <w:noProof/>
        </w:rPr>
        <w:tab/>
        <w:t>Photographies et/ou dessins de la plaque réglementaire et des inscriptions (exemple complété avec dimensions): …</w:t>
      </w:r>
    </w:p>
    <w:p>
      <w:pPr>
        <w:spacing w:after="0"/>
        <w:ind w:left="1701" w:hanging="1701"/>
        <w:rPr>
          <w:rFonts w:eastAsia="Arial Unicode MS"/>
          <w:noProof/>
          <w:szCs w:val="24"/>
        </w:rPr>
      </w:pPr>
      <w:r>
        <w:rPr>
          <w:noProof/>
        </w:rPr>
        <w:t>10.17.3.</w:t>
      </w:r>
      <w:r>
        <w:rPr>
          <w:noProof/>
        </w:rPr>
        <w:tab/>
        <w:t>Photographies et/ou dessins du numéro d’identification du véhicule (exemple complété avec dimensions): …</w:t>
      </w:r>
    </w:p>
    <w:p>
      <w:pPr>
        <w:spacing w:after="0"/>
        <w:ind w:left="1701" w:hanging="1701"/>
        <w:rPr>
          <w:rFonts w:eastAsia="Arial Unicode MS"/>
          <w:noProof/>
          <w:szCs w:val="24"/>
        </w:rPr>
      </w:pPr>
      <w:r>
        <w:rPr>
          <w:noProof/>
        </w:rPr>
        <w:lastRenderedPageBreak/>
        <w:t>10.17.4.</w:t>
      </w:r>
      <w:r>
        <w:rPr>
          <w:noProof/>
        </w:rPr>
        <w:tab/>
        <w:t>Déclaration du constructeur concernant la conformité aux prescriptions énoncées au point 2 de la partie B de l’annexe I du règlement (UE) n</w:t>
      </w:r>
      <w:r>
        <w:rPr>
          <w:noProof/>
          <w:vertAlign w:val="superscript"/>
        </w:rPr>
        <w:t>o</w:t>
      </w:r>
      <w:r>
        <w:rPr>
          <w:noProof/>
        </w:rPr>
        <w:t> 19/2011 de la Commission</w:t>
      </w:r>
      <w:r>
        <w:rPr>
          <w:rStyle w:val="FootnoteReference"/>
          <w:noProof/>
        </w:rPr>
        <w:footnoteReference w:id="9"/>
      </w:r>
      <w:r>
        <w:rPr>
          <w:noProof/>
        </w:rPr>
        <w:t xml:space="preserve"> </w:t>
      </w:r>
    </w:p>
    <w:p>
      <w:pPr>
        <w:spacing w:after="0"/>
        <w:ind w:left="1701" w:hanging="1701"/>
        <w:rPr>
          <w:rFonts w:eastAsia="Arial Unicode MS"/>
          <w:noProof/>
          <w:szCs w:val="24"/>
        </w:rPr>
      </w:pPr>
      <w:r>
        <w:rPr>
          <w:noProof/>
        </w:rPr>
        <w:t>10.17.4.1.</w:t>
      </w:r>
      <w:r>
        <w:rPr>
          <w:noProof/>
        </w:rPr>
        <w:tab/>
        <w:t>La signification des caractères de la partie «descripteur du véhicule» du VIN visée au point 2.1.b) de la partie B de l’annexe I du règlement (UE) n</w:t>
      </w:r>
      <w:r>
        <w:rPr>
          <w:noProof/>
          <w:vertAlign w:val="superscript"/>
        </w:rPr>
        <w:t>o</w:t>
      </w:r>
      <w:r>
        <w:rPr>
          <w:noProof/>
        </w:rPr>
        <w:t> 19/2011 de la Commission et, le cas échéant, de la partie «désignation du véhicule» du VIN visée au point 2.1.c) de ladite partie B, lorsqu’ils sont utilisés pour satisfaire aux prescriptions du paragraphe 5.3 de la norme ISO 3779-2009, doit être expliquée: …</w:t>
      </w:r>
    </w:p>
    <w:p>
      <w:pPr>
        <w:spacing w:after="0"/>
        <w:ind w:left="1701" w:hanging="1701"/>
        <w:rPr>
          <w:rFonts w:eastAsia="Arial Unicode MS"/>
          <w:noProof/>
          <w:szCs w:val="24"/>
        </w:rPr>
      </w:pPr>
      <w:r>
        <w:rPr>
          <w:noProof/>
        </w:rPr>
        <w:t>10.17.4.2.</w:t>
      </w:r>
      <w:r>
        <w:rPr>
          <w:noProof/>
        </w:rPr>
        <w:tab/>
        <w:t>Si les caractères de la partie «descripteur du véhicule» du VIN sont utilisés pour satisfaire aux prescriptions du paragraphe 5.4 de la norme ISO 3779-2009, ces caractères doivent être indiqués: …</w:t>
      </w:r>
    </w:p>
    <w:p>
      <w:pPr>
        <w:spacing w:before="240"/>
        <w:ind w:left="1701" w:hanging="1701"/>
        <w:jc w:val="left"/>
        <w:rPr>
          <w:rFonts w:eastAsia="Arial Unicode MS"/>
          <w:b/>
          <w:bCs/>
          <w:noProof/>
          <w:szCs w:val="24"/>
        </w:rPr>
      </w:pPr>
      <w:r>
        <w:rPr>
          <w:noProof/>
        </w:rPr>
        <w:t>10.18.</w:t>
      </w:r>
      <w:r>
        <w:rPr>
          <w:noProof/>
        </w:rPr>
        <w:tab/>
      </w:r>
      <w:r>
        <w:rPr>
          <w:b/>
          <w:noProof/>
        </w:rPr>
        <w:t xml:space="preserve">Parasites radioélectriques/compatibilité électromagnétique </w:t>
      </w:r>
    </w:p>
    <w:p>
      <w:pPr>
        <w:spacing w:after="0"/>
        <w:ind w:left="1701" w:hanging="1701"/>
        <w:rPr>
          <w:rFonts w:eastAsia="Arial Unicode MS"/>
          <w:noProof/>
          <w:szCs w:val="24"/>
        </w:rPr>
      </w:pPr>
      <w:r>
        <w:rPr>
          <w:noProof/>
        </w:rPr>
        <w:t>10.18.1.</w:t>
      </w:r>
      <w:r>
        <w:rPr>
          <w:noProof/>
        </w:rPr>
        <w:tab/>
        <w:t>Description et dessins/photographies des formes et des matériaux constitutifs de la partie de la carrosserie formant le compartiment moteur et de la partie de l’habitacle la plus proche de celui-ci: …</w:t>
      </w:r>
    </w:p>
    <w:p>
      <w:pPr>
        <w:spacing w:after="0"/>
        <w:ind w:left="1701" w:hanging="1701"/>
        <w:rPr>
          <w:rFonts w:eastAsia="Arial Unicode MS"/>
          <w:noProof/>
          <w:szCs w:val="24"/>
        </w:rPr>
      </w:pPr>
      <w:r>
        <w:rPr>
          <w:noProof/>
        </w:rPr>
        <w:t>10.18.2.</w:t>
      </w:r>
      <w:r>
        <w:rPr>
          <w:noProof/>
        </w:rPr>
        <w:tab/>
        <w:t>Dessins ou photographies de la position des composants métalliques logés dans le compartiment moteur (par exemple appareils de chauffage, roue de secours, filtre à air, mécanisme de direction, etc.): …</w:t>
      </w:r>
    </w:p>
    <w:p>
      <w:pPr>
        <w:spacing w:after="0"/>
        <w:ind w:left="1701" w:hanging="1701"/>
        <w:rPr>
          <w:rFonts w:eastAsia="Arial Unicode MS"/>
          <w:noProof/>
          <w:szCs w:val="24"/>
        </w:rPr>
      </w:pPr>
      <w:r>
        <w:rPr>
          <w:noProof/>
        </w:rPr>
        <w:t>10.18.3.</w:t>
      </w:r>
      <w:r>
        <w:rPr>
          <w:noProof/>
        </w:rPr>
        <w:tab/>
        <w:t>Tableau et dessin des éléments de l’équipement d’antiparasitage: …</w:t>
      </w:r>
    </w:p>
    <w:p>
      <w:pPr>
        <w:spacing w:after="0"/>
        <w:ind w:left="1701" w:hanging="1701"/>
        <w:rPr>
          <w:rFonts w:eastAsia="Arial Unicode MS"/>
          <w:noProof/>
          <w:szCs w:val="24"/>
        </w:rPr>
      </w:pPr>
      <w:r>
        <w:rPr>
          <w:noProof/>
        </w:rPr>
        <w:t>10.18.4.</w:t>
      </w:r>
      <w:r>
        <w:rPr>
          <w:noProof/>
        </w:rPr>
        <w:tab/>
        <w:t>Indications de la valeur nominale des résistances en courant continu et, pour les câbles d’allumage résistifs, indication de la résistance nominale par mètre: …</w:t>
      </w:r>
    </w:p>
    <w:p>
      <w:pPr>
        <w:spacing w:before="240"/>
        <w:ind w:left="1701" w:hanging="1701"/>
        <w:jc w:val="left"/>
        <w:rPr>
          <w:rFonts w:eastAsia="Arial Unicode MS"/>
          <w:b/>
          <w:bCs/>
          <w:noProof/>
          <w:szCs w:val="24"/>
        </w:rPr>
      </w:pPr>
      <w:r>
        <w:rPr>
          <w:noProof/>
        </w:rPr>
        <w:t>10.19.</w:t>
      </w:r>
      <w:r>
        <w:rPr>
          <w:noProof/>
        </w:rPr>
        <w:tab/>
      </w:r>
      <w:r>
        <w:rPr>
          <w:b/>
          <w:noProof/>
        </w:rPr>
        <w:t xml:space="preserve">Protection latérale </w:t>
      </w:r>
    </w:p>
    <w:p>
      <w:pPr>
        <w:spacing w:after="0"/>
        <w:ind w:left="1701" w:hanging="1701"/>
        <w:rPr>
          <w:rFonts w:eastAsia="Arial Unicode MS"/>
          <w:noProof/>
          <w:szCs w:val="24"/>
        </w:rPr>
      </w:pPr>
      <w:r>
        <w:rPr>
          <w:noProof/>
        </w:rPr>
        <w:t>10.19.0.</w:t>
      </w:r>
      <w:r>
        <w:rPr>
          <w:noProof/>
        </w:rPr>
        <w:tab/>
        <w:t>Présence: oui/non/incomplète (</w:t>
      </w:r>
      <w:r>
        <w:rPr>
          <w:noProof/>
          <w:vertAlign w:val="superscript"/>
        </w:rPr>
        <w:t>1</w:t>
      </w:r>
      <w:r>
        <w:rPr>
          <w:noProof/>
        </w:rPr>
        <w:t>)</w:t>
      </w:r>
    </w:p>
    <w:p>
      <w:pPr>
        <w:spacing w:after="0"/>
        <w:ind w:left="1701" w:hanging="1701"/>
        <w:rPr>
          <w:rFonts w:eastAsia="Arial Unicode MS"/>
          <w:noProof/>
          <w:szCs w:val="24"/>
        </w:rPr>
      </w:pPr>
      <w:r>
        <w:rPr>
          <w:noProof/>
        </w:rPr>
        <w:t>10.19.1.</w:t>
      </w:r>
      <w:r>
        <w:rPr>
          <w:noProof/>
        </w:rPr>
        <w:tab/>
        <w:t>Dessin des parties du véhicule intervenant dans la protection latérale, c’est-à-dire dessin du véhicule et/ou du châssis indiquant l’emplacement et le mode de montage du ou des essieux, dessin des éléments de montage et/ou de fixation du ou des dispositifs de protection latérale. Si la protection latérale n’est pas assurée par un dispositif spécial, le dessin doit faire clairement apparaître que les dimensions requises sont respectées: …</w:t>
      </w:r>
    </w:p>
    <w:p>
      <w:pPr>
        <w:spacing w:after="0"/>
        <w:ind w:left="1701" w:hanging="1701"/>
        <w:rPr>
          <w:rFonts w:eastAsia="Arial Unicode MS"/>
          <w:noProof/>
          <w:szCs w:val="24"/>
        </w:rPr>
      </w:pPr>
      <w:r>
        <w:rPr>
          <w:noProof/>
        </w:rPr>
        <w:t>10.19.2.</w:t>
      </w:r>
      <w:r>
        <w:rPr>
          <w:noProof/>
        </w:rPr>
        <w:tab/>
        <w:t>Si le véhicule est pourvu d’un ou de plusieurs dispositifs de protection latérale, description complète et/ou dessin de ce ou ces dispositifs (y compris les éléments de montage et de fixation) ou indication de son ou leurs numéros de réception par type en tant que composant: …</w:t>
      </w:r>
    </w:p>
    <w:p>
      <w:pPr>
        <w:spacing w:before="240"/>
        <w:ind w:left="1701" w:hanging="1701"/>
        <w:jc w:val="left"/>
        <w:rPr>
          <w:rFonts w:eastAsia="Arial Unicode MS"/>
          <w:b/>
          <w:bCs/>
          <w:noProof/>
          <w:szCs w:val="24"/>
        </w:rPr>
      </w:pPr>
      <w:r>
        <w:rPr>
          <w:noProof/>
        </w:rPr>
        <w:t>10.20.</w:t>
      </w:r>
      <w:r>
        <w:rPr>
          <w:noProof/>
        </w:rPr>
        <w:tab/>
      </w:r>
      <w:r>
        <w:rPr>
          <w:b/>
          <w:noProof/>
        </w:rPr>
        <w:t xml:space="preserve">Système antiprojections </w:t>
      </w:r>
    </w:p>
    <w:p>
      <w:pPr>
        <w:spacing w:after="0"/>
        <w:ind w:left="1701" w:hanging="1701"/>
        <w:rPr>
          <w:rFonts w:eastAsia="Arial Unicode MS"/>
          <w:noProof/>
          <w:szCs w:val="24"/>
        </w:rPr>
      </w:pPr>
      <w:r>
        <w:rPr>
          <w:noProof/>
        </w:rPr>
        <w:lastRenderedPageBreak/>
        <w:t>10.20.0.</w:t>
      </w:r>
      <w:r>
        <w:rPr>
          <w:noProof/>
        </w:rPr>
        <w:tab/>
        <w:t>Présence: oui/non/incomplète (</w:t>
      </w:r>
      <w:r>
        <w:rPr>
          <w:noProof/>
          <w:vertAlign w:val="superscript"/>
        </w:rPr>
        <w:t>1</w:t>
      </w:r>
      <w:r>
        <w:rPr>
          <w:noProof/>
        </w:rPr>
        <w:t>)</w:t>
      </w:r>
    </w:p>
    <w:p>
      <w:pPr>
        <w:spacing w:after="0"/>
        <w:ind w:left="1701" w:hanging="1701"/>
        <w:rPr>
          <w:rFonts w:eastAsia="Arial Unicode MS"/>
          <w:noProof/>
          <w:szCs w:val="24"/>
        </w:rPr>
      </w:pPr>
      <w:r>
        <w:rPr>
          <w:noProof/>
        </w:rPr>
        <w:t>10.20.1.</w:t>
      </w:r>
      <w:r>
        <w:rPr>
          <w:noProof/>
        </w:rPr>
        <w:tab/>
        <w:t>Description succincte du véhicule en ce qui concerne son système antiprojections et les éléments qui le constituent: …</w:t>
      </w:r>
    </w:p>
    <w:p>
      <w:pPr>
        <w:spacing w:after="0"/>
        <w:ind w:left="1701" w:hanging="1701"/>
        <w:rPr>
          <w:rFonts w:eastAsia="Arial Unicode MS"/>
          <w:noProof/>
          <w:szCs w:val="24"/>
        </w:rPr>
      </w:pPr>
      <w:r>
        <w:rPr>
          <w:noProof/>
        </w:rPr>
        <w:t>10.20.2.</w:t>
      </w:r>
      <w:r>
        <w:rPr>
          <w:noProof/>
        </w:rPr>
        <w:tab/>
        <w:t>Dessins détaillés du système antiprojections et de son emplacement sur le véhicule montrant les dimensions spécifiées sur les figures de l’annexe VI du règlement (UE) n</w:t>
      </w:r>
      <w:r>
        <w:rPr>
          <w:noProof/>
          <w:vertAlign w:val="superscript"/>
        </w:rPr>
        <w:t>o</w:t>
      </w:r>
      <w:r>
        <w:rPr>
          <w:noProof/>
        </w:rPr>
        <w:t> 109/2011</w:t>
      </w:r>
      <w:r>
        <w:rPr>
          <w:rStyle w:val="FootnoteReference"/>
          <w:noProof/>
        </w:rPr>
        <w:footnoteReference w:id="10"/>
      </w:r>
      <w:r>
        <w:rPr>
          <w:noProof/>
        </w:rPr>
        <w:t xml:space="preserve"> et tenant compte des combinaisons pneumatique/roue extrêmes: …</w:t>
      </w:r>
    </w:p>
    <w:p>
      <w:pPr>
        <w:spacing w:after="0"/>
        <w:ind w:left="1701" w:hanging="1701"/>
        <w:rPr>
          <w:rFonts w:eastAsia="Arial Unicode MS"/>
          <w:noProof/>
          <w:szCs w:val="24"/>
        </w:rPr>
      </w:pPr>
      <w:r>
        <w:rPr>
          <w:noProof/>
        </w:rPr>
        <w:t>10.20.3.</w:t>
      </w:r>
      <w:r>
        <w:rPr>
          <w:noProof/>
        </w:rPr>
        <w:tab/>
        <w:t>Numéro(s) de réception par type du ou des systèmes antiprojections, le cas échéant: …</w:t>
      </w:r>
    </w:p>
    <w:p>
      <w:pPr>
        <w:spacing w:before="240"/>
        <w:ind w:left="1701" w:hanging="1701"/>
        <w:jc w:val="left"/>
        <w:rPr>
          <w:rFonts w:eastAsia="Arial Unicode MS"/>
          <w:b/>
          <w:bCs/>
          <w:noProof/>
          <w:szCs w:val="24"/>
        </w:rPr>
      </w:pPr>
      <w:r>
        <w:rPr>
          <w:noProof/>
        </w:rPr>
        <w:t>10.21.</w:t>
      </w:r>
      <w:r>
        <w:rPr>
          <w:noProof/>
        </w:rPr>
        <w:tab/>
      </w:r>
      <w:r>
        <w:rPr>
          <w:b/>
          <w:noProof/>
        </w:rPr>
        <w:t xml:space="preserve">Résistance à l’impact latéral </w:t>
      </w:r>
    </w:p>
    <w:p>
      <w:pPr>
        <w:ind w:left="1701" w:hanging="1701"/>
        <w:rPr>
          <w:rFonts w:eastAsia="Arial Unicode MS"/>
          <w:noProof/>
          <w:szCs w:val="24"/>
        </w:rPr>
      </w:pPr>
      <w:r>
        <w:rPr>
          <w:noProof/>
        </w:rPr>
        <w:t>10.21.1.</w:t>
      </w:r>
      <w:r>
        <w:rPr>
          <w:noProof/>
        </w:rPr>
        <w:tab/>
        <w:t>Description détaillée, y compris des photographies et/ou dessins, du véhicule en ce qui concerne la structure, les dimensions, les lignes et les matériaux constitutifs des parois latérales de l’habitacle (extérieur et intérieur), avec les détails spécifiques du système de protection, le cas échéant: …</w:t>
      </w:r>
    </w:p>
    <w:p>
      <w:pPr>
        <w:spacing w:before="240"/>
        <w:ind w:left="1701" w:hanging="1701"/>
        <w:jc w:val="left"/>
        <w:rPr>
          <w:rFonts w:eastAsia="Arial Unicode MS"/>
          <w:b/>
          <w:bCs/>
          <w:noProof/>
          <w:szCs w:val="24"/>
        </w:rPr>
      </w:pPr>
      <w:r>
        <w:rPr>
          <w:noProof/>
        </w:rPr>
        <w:t>10.22.</w:t>
      </w:r>
      <w:r>
        <w:rPr>
          <w:noProof/>
        </w:rPr>
        <w:tab/>
      </w:r>
      <w:r>
        <w:rPr>
          <w:b/>
          <w:noProof/>
        </w:rPr>
        <w:t xml:space="preserve">Protection avant contre l’encastrement </w:t>
      </w:r>
    </w:p>
    <w:p>
      <w:pPr>
        <w:spacing w:after="0"/>
        <w:ind w:left="1701" w:hanging="1701"/>
        <w:rPr>
          <w:rFonts w:eastAsia="Arial Unicode MS"/>
          <w:noProof/>
          <w:szCs w:val="24"/>
        </w:rPr>
      </w:pPr>
      <w:r>
        <w:rPr>
          <w:noProof/>
        </w:rPr>
        <w:t>10.22.0.</w:t>
      </w:r>
      <w:r>
        <w:rPr>
          <w:noProof/>
        </w:rPr>
        <w:tab/>
        <w:t>Présence: oui/non/incomplète (</w:t>
      </w:r>
      <w:r>
        <w:rPr>
          <w:noProof/>
          <w:vertAlign w:val="superscript"/>
        </w:rPr>
        <w:t>1</w:t>
      </w:r>
      <w:r>
        <w:rPr>
          <w:noProof/>
        </w:rPr>
        <w:t>)</w:t>
      </w:r>
    </w:p>
    <w:p>
      <w:pPr>
        <w:spacing w:after="0"/>
        <w:ind w:left="1701" w:hanging="1701"/>
        <w:rPr>
          <w:rFonts w:eastAsia="Arial Unicode MS"/>
          <w:noProof/>
          <w:szCs w:val="24"/>
        </w:rPr>
      </w:pPr>
      <w:r>
        <w:rPr>
          <w:noProof/>
        </w:rPr>
        <w:t>10.22.1.</w:t>
      </w:r>
      <w:r>
        <w:rPr>
          <w:noProof/>
        </w:rPr>
        <w:tab/>
        <w:t>Dessin des parties du véhicule intervenant dans la protection avant contre l’encastrement, c’est-à-dire dessin du véhicule et/ou du châssis indiquant l’emplacement et le mode de montage et/ou de fixation de la protection avant contre l’encastrement. Si la protection contre l’encastrement n’est pas assurée par un dispositif spécial, le dessin doit faire clairement apparaître que les dimensions requises sont respectées: …</w:t>
      </w:r>
    </w:p>
    <w:p>
      <w:pPr>
        <w:spacing w:after="0"/>
        <w:ind w:left="1701" w:hanging="1701"/>
        <w:rPr>
          <w:rFonts w:eastAsia="Arial Unicode MS"/>
          <w:noProof/>
          <w:szCs w:val="24"/>
        </w:rPr>
      </w:pPr>
      <w:r>
        <w:rPr>
          <w:noProof/>
        </w:rPr>
        <w:t>10.22.2.</w:t>
      </w:r>
      <w:r>
        <w:rPr>
          <w:noProof/>
        </w:rPr>
        <w:tab/>
        <w:t>S’il s’agit d’un dispositif spécial, description complète et/ou dessin de la protection avant contre l’encastrement (y compris les éléments de montage et de fixation) ou, s’il s’agit d’un dispositif réceptionné en tant qu’entité technique distincte, indication du numéro de réception par type: …</w:t>
      </w:r>
    </w:p>
    <w:p>
      <w:pPr>
        <w:spacing w:before="240"/>
        <w:ind w:left="1701" w:hanging="1701"/>
        <w:jc w:val="left"/>
        <w:rPr>
          <w:rFonts w:eastAsia="Arial Unicode MS"/>
          <w:b/>
          <w:bCs/>
          <w:noProof/>
          <w:szCs w:val="24"/>
        </w:rPr>
      </w:pPr>
      <w:r>
        <w:rPr>
          <w:noProof/>
        </w:rPr>
        <w:t>10.23.</w:t>
      </w:r>
      <w:r>
        <w:rPr>
          <w:noProof/>
        </w:rPr>
        <w:tab/>
      </w:r>
      <w:r>
        <w:rPr>
          <w:b/>
          <w:noProof/>
        </w:rPr>
        <w:t xml:space="preserve">Protection des piétons </w:t>
      </w:r>
    </w:p>
    <w:p>
      <w:pPr>
        <w:spacing w:after="0"/>
        <w:ind w:left="1701" w:hanging="1701"/>
        <w:rPr>
          <w:rFonts w:eastAsia="Arial Unicode MS"/>
          <w:noProof/>
          <w:szCs w:val="24"/>
        </w:rPr>
      </w:pPr>
      <w:r>
        <w:rPr>
          <w:noProof/>
        </w:rPr>
        <w:t>10.23.1.</w:t>
      </w:r>
      <w:r>
        <w:rPr>
          <w:noProof/>
        </w:rPr>
        <w:tab/>
        <w:t>Description détaillée, y compris des photographies et/ou dessins, du véhicule en ce qui concerne la structure, les dimensions, les lignes de référence significatives et les matériaux constitutifs de la partie frontale du véhicule (intérieur et extérieur), avec le détail de tout système de protection active installé.</w:t>
      </w:r>
    </w:p>
    <w:p>
      <w:pPr>
        <w:spacing w:before="240" w:after="0"/>
        <w:ind w:left="1701" w:hanging="1701"/>
        <w:jc w:val="left"/>
        <w:rPr>
          <w:rFonts w:eastAsia="Arial Unicode MS"/>
          <w:b/>
          <w:bCs/>
          <w:noProof/>
          <w:szCs w:val="24"/>
        </w:rPr>
      </w:pPr>
      <w:r>
        <w:rPr>
          <w:noProof/>
        </w:rPr>
        <w:t>10.24.</w:t>
      </w:r>
      <w:r>
        <w:rPr>
          <w:noProof/>
        </w:rPr>
        <w:tab/>
      </w:r>
      <w:r>
        <w:rPr>
          <w:b/>
          <w:noProof/>
        </w:rPr>
        <w:t>Systèmes de protection frontale</w:t>
      </w:r>
    </w:p>
    <w:p>
      <w:pPr>
        <w:spacing w:after="0"/>
        <w:ind w:left="1701" w:hanging="1701"/>
        <w:rPr>
          <w:rFonts w:eastAsia="Arial Unicode MS"/>
          <w:bCs/>
          <w:noProof/>
          <w:szCs w:val="24"/>
        </w:rPr>
      </w:pPr>
      <w:r>
        <w:rPr>
          <w:noProof/>
        </w:rPr>
        <w:t>10.24.1.</w:t>
      </w:r>
      <w:r>
        <w:rPr>
          <w:noProof/>
        </w:rPr>
        <w:tab/>
        <w:t>Vue d’ensemble (dessins ou photographies) montrant la position et la fixation des systèmes de protection frontale:</w:t>
      </w:r>
    </w:p>
    <w:p>
      <w:pPr>
        <w:spacing w:after="0"/>
        <w:ind w:left="1701" w:hanging="1701"/>
        <w:rPr>
          <w:rFonts w:eastAsia="Arial Unicode MS"/>
          <w:bCs/>
          <w:noProof/>
          <w:szCs w:val="24"/>
        </w:rPr>
      </w:pPr>
      <w:r>
        <w:rPr>
          <w:noProof/>
        </w:rPr>
        <w:lastRenderedPageBreak/>
        <w:t>10.24.2.</w:t>
      </w:r>
      <w:r>
        <w:rPr>
          <w:noProof/>
        </w:rPr>
        <w:tab/>
        <w:t>Dessins et/ou photographies, le cas échéant, d’éléments tels que les grilles de prise d’air, les grilles de radiateur, les baguettes, les insignes, les emblèmes et les renfoncements décoratifs, ainsi que toute autre saillie extérieure et toute partie de la surface extérieure pouvant être considérée comme essentielle (par exemple les dispositifs d’éclairage). Au cas où les composants énumérés précédemment ne sont pas essentiels, ils peuvent être remplacés, à des fins de documentation, par des photographies, accompagnées, si nécessaire, des dimensions et/ou d’un texte:</w:t>
      </w:r>
    </w:p>
    <w:p>
      <w:pPr>
        <w:spacing w:after="0"/>
        <w:ind w:left="1701" w:hanging="1701"/>
        <w:rPr>
          <w:rFonts w:eastAsia="Arial Unicode MS"/>
          <w:bCs/>
          <w:noProof/>
          <w:szCs w:val="24"/>
        </w:rPr>
      </w:pPr>
      <w:r>
        <w:rPr>
          <w:noProof/>
        </w:rPr>
        <w:t>10.24.3.</w:t>
      </w:r>
      <w:r>
        <w:rPr>
          <w:noProof/>
        </w:rPr>
        <w:tab/>
        <w:t>Détail complet des éléments de fixation nécessaires et instructions complètes de montage, y compris prescriptions en matière de couples de serrage:</w:t>
      </w:r>
    </w:p>
    <w:p>
      <w:pPr>
        <w:spacing w:after="0"/>
        <w:ind w:left="1701" w:hanging="1701"/>
        <w:jc w:val="left"/>
        <w:rPr>
          <w:rFonts w:eastAsia="Arial Unicode MS"/>
          <w:bCs/>
          <w:noProof/>
          <w:szCs w:val="24"/>
        </w:rPr>
      </w:pPr>
      <w:r>
        <w:rPr>
          <w:noProof/>
        </w:rPr>
        <w:t>10.24.4.</w:t>
      </w:r>
      <w:r>
        <w:rPr>
          <w:noProof/>
        </w:rPr>
        <w:tab/>
        <w:t>Dessin des pare-chocs:</w:t>
      </w:r>
    </w:p>
    <w:p>
      <w:pPr>
        <w:spacing w:after="0"/>
        <w:ind w:left="1701" w:hanging="1701"/>
        <w:jc w:val="left"/>
        <w:rPr>
          <w:rFonts w:eastAsia="Arial Unicode MS"/>
          <w:bCs/>
          <w:noProof/>
          <w:szCs w:val="24"/>
        </w:rPr>
      </w:pPr>
      <w:r>
        <w:rPr>
          <w:noProof/>
        </w:rPr>
        <w:t>10.24.5.</w:t>
      </w:r>
      <w:r>
        <w:rPr>
          <w:noProof/>
        </w:rPr>
        <w:tab/>
        <w:t>Dessin de la ligne de plancher à l’avant du véhicule:</w:t>
      </w:r>
    </w:p>
    <w:p>
      <w:pPr>
        <w:spacing w:before="240"/>
        <w:ind w:left="1701" w:hanging="1701"/>
        <w:rPr>
          <w:rFonts w:eastAsia="Arial Unicode MS"/>
          <w:b/>
          <w:bCs/>
          <w:noProof/>
          <w:szCs w:val="24"/>
        </w:rPr>
      </w:pPr>
      <w:r>
        <w:rPr>
          <w:noProof/>
        </w:rPr>
        <w:t>11.</w:t>
      </w:r>
      <w:r>
        <w:rPr>
          <w:noProof/>
        </w:rPr>
        <w:tab/>
      </w:r>
      <w:r>
        <w:rPr>
          <w:b/>
          <w:noProof/>
        </w:rPr>
        <w:t xml:space="preserve">DISPOSITIFS D’ÉCLAIRAGE ET DE SIGNALISATION LUMINEUSE </w:t>
      </w:r>
    </w:p>
    <w:p>
      <w:pPr>
        <w:spacing w:after="0"/>
        <w:ind w:left="1701" w:hanging="1701"/>
        <w:rPr>
          <w:rFonts w:eastAsia="Arial Unicode MS"/>
          <w:noProof/>
          <w:szCs w:val="24"/>
        </w:rPr>
      </w:pPr>
      <w:r>
        <w:rPr>
          <w:noProof/>
        </w:rPr>
        <w:t>11.1.</w:t>
      </w:r>
      <w:r>
        <w:rPr>
          <w:noProof/>
        </w:rPr>
        <w:tab/>
        <w:t>Tableau de tous les dispositifs: nombre, marque, modèle, marque de réception par type, intensité maximale des feux de route, couleur, témoin: …</w:t>
      </w:r>
    </w:p>
    <w:p>
      <w:pPr>
        <w:spacing w:after="0"/>
        <w:ind w:left="1701" w:hanging="1701"/>
        <w:rPr>
          <w:rFonts w:eastAsia="Arial Unicode MS"/>
          <w:noProof/>
          <w:szCs w:val="24"/>
        </w:rPr>
      </w:pPr>
      <w:r>
        <w:rPr>
          <w:noProof/>
        </w:rPr>
        <w:t>11.2.</w:t>
      </w:r>
      <w:r>
        <w:rPr>
          <w:noProof/>
        </w:rPr>
        <w:tab/>
        <w:t>Dessin montrant l’emplacement des dispositifs d’éclairage et de signalisation lumineuse: …</w:t>
      </w:r>
    </w:p>
    <w:p>
      <w:pPr>
        <w:spacing w:after="0"/>
        <w:ind w:left="1701" w:hanging="1701"/>
        <w:rPr>
          <w:rFonts w:eastAsia="Arial Unicode MS"/>
          <w:noProof/>
          <w:szCs w:val="24"/>
        </w:rPr>
      </w:pPr>
      <w:r>
        <w:rPr>
          <w:noProof/>
        </w:rPr>
        <w:t>11.3.</w:t>
      </w:r>
      <w:r>
        <w:rPr>
          <w:noProof/>
        </w:rPr>
        <w:tab/>
        <w:t>Pour chaque feu et réflecteur spécifié dans le règlement n</w:t>
      </w:r>
      <w:r>
        <w:rPr>
          <w:noProof/>
          <w:vertAlign w:val="superscript"/>
        </w:rPr>
        <w:t>o</w:t>
      </w:r>
      <w:r>
        <w:rPr>
          <w:noProof/>
        </w:rPr>
        <w:t> 48 de la CEE-ONU, fournir les renseignements suivants (par écrit et/ou au moyen d’un schéma):</w:t>
      </w:r>
    </w:p>
    <w:p>
      <w:pPr>
        <w:spacing w:after="0"/>
        <w:ind w:left="1701" w:hanging="1701"/>
        <w:rPr>
          <w:rFonts w:eastAsia="Arial Unicode MS"/>
          <w:noProof/>
          <w:szCs w:val="24"/>
        </w:rPr>
      </w:pPr>
      <w:r>
        <w:rPr>
          <w:noProof/>
        </w:rPr>
        <w:t>11.3.1.</w:t>
      </w:r>
      <w:r>
        <w:rPr>
          <w:noProof/>
        </w:rPr>
        <w:tab/>
        <w:t>Dessin montrant l’étendue de la plage éclairante: …</w:t>
      </w:r>
    </w:p>
    <w:p>
      <w:pPr>
        <w:spacing w:after="0"/>
        <w:ind w:left="1701" w:hanging="1701"/>
        <w:rPr>
          <w:rFonts w:eastAsia="Arial Unicode MS"/>
          <w:noProof/>
          <w:szCs w:val="24"/>
        </w:rPr>
      </w:pPr>
      <w:r>
        <w:rPr>
          <w:noProof/>
        </w:rPr>
        <w:t>11.3.2.</w:t>
      </w:r>
      <w:r>
        <w:rPr>
          <w:noProof/>
        </w:rPr>
        <w:tab/>
        <w:t>Méthode utilisée pour définir la surface apparente selon le paragraphe 2.10 du règlement n</w:t>
      </w:r>
      <w:r>
        <w:rPr>
          <w:noProof/>
          <w:vertAlign w:val="superscript"/>
        </w:rPr>
        <w:t>o</w:t>
      </w:r>
      <w:r>
        <w:rPr>
          <w:noProof/>
        </w:rPr>
        <w:t> 48 de la CEE-ONU: …</w:t>
      </w:r>
    </w:p>
    <w:p>
      <w:pPr>
        <w:spacing w:after="0"/>
        <w:ind w:left="1701" w:hanging="1701"/>
        <w:rPr>
          <w:rFonts w:eastAsia="Arial Unicode MS"/>
          <w:noProof/>
          <w:szCs w:val="24"/>
        </w:rPr>
      </w:pPr>
      <w:r>
        <w:rPr>
          <w:noProof/>
        </w:rPr>
        <w:t>11.3.3.</w:t>
      </w:r>
      <w:r>
        <w:rPr>
          <w:noProof/>
        </w:rPr>
        <w:tab/>
        <w:t>Axe de référence et centre de référence: …</w:t>
      </w:r>
    </w:p>
    <w:p>
      <w:pPr>
        <w:spacing w:after="0"/>
        <w:ind w:left="1701" w:hanging="1701"/>
        <w:rPr>
          <w:rFonts w:eastAsia="Arial Unicode MS"/>
          <w:noProof/>
          <w:szCs w:val="24"/>
        </w:rPr>
      </w:pPr>
      <w:r>
        <w:rPr>
          <w:noProof/>
        </w:rPr>
        <w:t>11.3.4.</w:t>
      </w:r>
      <w:r>
        <w:rPr>
          <w:noProof/>
        </w:rPr>
        <w:tab/>
        <w:t>Mode de fonctionnement des feux occultables: …</w:t>
      </w:r>
    </w:p>
    <w:p>
      <w:pPr>
        <w:spacing w:after="0"/>
        <w:ind w:left="1701" w:hanging="1701"/>
        <w:rPr>
          <w:rFonts w:eastAsia="Arial Unicode MS"/>
          <w:noProof/>
          <w:szCs w:val="24"/>
        </w:rPr>
      </w:pPr>
      <w:r>
        <w:rPr>
          <w:noProof/>
        </w:rPr>
        <w:t>11.3.5.</w:t>
      </w:r>
      <w:r>
        <w:rPr>
          <w:noProof/>
        </w:rPr>
        <w:tab/>
        <w:t>Dispositions spécifiques pour le montage et le câblage: …</w:t>
      </w:r>
    </w:p>
    <w:p>
      <w:pPr>
        <w:spacing w:after="0"/>
        <w:ind w:left="1701" w:hanging="1701"/>
        <w:rPr>
          <w:rFonts w:eastAsia="Arial Unicode MS"/>
          <w:noProof/>
          <w:szCs w:val="24"/>
        </w:rPr>
      </w:pPr>
      <w:r>
        <w:rPr>
          <w:noProof/>
        </w:rPr>
        <w:t>11.4.</w:t>
      </w:r>
      <w:r>
        <w:rPr>
          <w:noProof/>
        </w:rPr>
        <w:tab/>
        <w:t>Feux de croisement: orientation normale mesurée conformément au paragraphe 6.2.6.1 du règlement n</w:t>
      </w:r>
      <w:r>
        <w:rPr>
          <w:noProof/>
          <w:vertAlign w:val="superscript"/>
        </w:rPr>
        <w:t>o</w:t>
      </w:r>
      <w:r>
        <w:rPr>
          <w:noProof/>
        </w:rPr>
        <w:t> 48 de la CEE-ONU:</w:t>
      </w:r>
    </w:p>
    <w:p>
      <w:pPr>
        <w:spacing w:after="0"/>
        <w:ind w:left="1701" w:hanging="1701"/>
        <w:rPr>
          <w:rFonts w:eastAsia="Arial Unicode MS"/>
          <w:noProof/>
          <w:szCs w:val="24"/>
        </w:rPr>
      </w:pPr>
      <w:r>
        <w:rPr>
          <w:noProof/>
        </w:rPr>
        <w:t>11.4.1.</w:t>
      </w:r>
      <w:r>
        <w:rPr>
          <w:noProof/>
        </w:rPr>
        <w:tab/>
        <w:t>Valeur du réglage initial: …</w:t>
      </w:r>
    </w:p>
    <w:p>
      <w:pPr>
        <w:spacing w:after="0"/>
        <w:ind w:left="1701" w:hanging="1701"/>
        <w:rPr>
          <w:rFonts w:eastAsia="Arial Unicode MS"/>
          <w:noProof/>
          <w:szCs w:val="24"/>
        </w:rPr>
      </w:pPr>
      <w:r>
        <w:rPr>
          <w:noProof/>
        </w:rPr>
        <w:t>11.4.2.</w:t>
      </w:r>
      <w:r>
        <w:rPr>
          <w:noProof/>
        </w:rPr>
        <w:tab/>
        <w:t>Emplacement de l’indication: …</w:t>
      </w:r>
    </w:p>
    <w:tbl>
      <w:tblPr>
        <w:tblW w:w="8961" w:type="dxa"/>
        <w:tblCellSpacing w:w="0" w:type="dxa"/>
        <w:tblInd w:w="15" w:type="dxa"/>
        <w:tblLayout w:type="fixed"/>
        <w:tblCellMar>
          <w:top w:w="30" w:type="dxa"/>
          <w:left w:w="30" w:type="dxa"/>
          <w:bottom w:w="30" w:type="dxa"/>
          <w:right w:w="30" w:type="dxa"/>
        </w:tblCellMar>
        <w:tblLook w:val="04A0" w:firstRow="1" w:lastRow="0" w:firstColumn="1" w:lastColumn="0" w:noHBand="0" w:noVBand="1"/>
      </w:tblPr>
      <w:tblGrid>
        <w:gridCol w:w="1716"/>
        <w:gridCol w:w="3969"/>
        <w:gridCol w:w="3276"/>
      </w:tblGrid>
      <w:tr>
        <w:trPr>
          <w:tblCellSpacing w:w="0" w:type="dxa"/>
        </w:trPr>
        <w:tc>
          <w:tcPr>
            <w:tcW w:w="1716" w:type="dxa"/>
            <w:hideMark/>
          </w:tcPr>
          <w:p>
            <w:pPr>
              <w:spacing w:before="60" w:after="60"/>
              <w:rPr>
                <w:rFonts w:eastAsia="Arial Unicode MS"/>
                <w:noProof/>
                <w:szCs w:val="24"/>
              </w:rPr>
            </w:pPr>
            <w:r>
              <w:rPr>
                <w:noProof/>
              </w:rPr>
              <w:t>11.4.3.</w:t>
            </w:r>
          </w:p>
        </w:tc>
        <w:tc>
          <w:tcPr>
            <w:tcW w:w="3969" w:type="dxa"/>
            <w:hideMark/>
          </w:tcPr>
          <w:p>
            <w:pPr>
              <w:spacing w:before="60" w:after="60"/>
              <w:jc w:val="left"/>
              <w:rPr>
                <w:rFonts w:eastAsia="Arial Unicode MS"/>
                <w:noProof/>
                <w:szCs w:val="24"/>
              </w:rPr>
            </w:pPr>
            <w:r>
              <w:rPr>
                <w:noProof/>
              </w:rPr>
              <w:t>Description/dessin (</w:t>
            </w:r>
            <w:r>
              <w:rPr>
                <w:noProof/>
                <w:vertAlign w:val="superscript"/>
              </w:rPr>
              <w:t>1</w:t>
            </w:r>
            <w:r>
              <w:rPr>
                <w:noProof/>
              </w:rPr>
              <w:t>) et type de dispositif de réglage de la portée des phares (par exemple, automatique, réglable manuellement par échelon, réglable manuellement en continu):</w:t>
            </w:r>
          </w:p>
        </w:tc>
        <w:tc>
          <w:tcPr>
            <w:tcW w:w="3276" w:type="dxa"/>
            <w:vMerge w:val="restart"/>
            <w:vAlign w:val="center"/>
            <w:hideMark/>
          </w:tcPr>
          <w:tbl>
            <w:tblPr>
              <w:tblW w:w="33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2708"/>
            </w:tblGrid>
            <w:tr>
              <w:trPr>
                <w:tblCellSpacing w:w="15" w:type="dxa"/>
              </w:trPr>
              <w:tc>
                <w:tcPr>
                  <w:tcW w:w="918" w:type="pct"/>
                  <w:vAlign w:val="center"/>
                  <w:hideMark/>
                </w:tcPr>
                <w:p>
                  <w:pPr>
                    <w:spacing w:before="0" w:after="0"/>
                    <w:ind w:left="269"/>
                    <w:jc w:val="left"/>
                    <w:rPr>
                      <w:rFonts w:eastAsia="Arial Unicode MS"/>
                      <w:noProof/>
                      <w:szCs w:val="24"/>
                    </w:rPr>
                  </w:pPr>
                  <w:r>
                    <w:rPr>
                      <w:rFonts w:eastAsia="Arial Unicode MS"/>
                      <w:noProof/>
                      <w:szCs w:val="24"/>
                      <w:lang w:val="en-US" w:eastAsia="en-US"/>
                    </w:rPr>
                    <w:drawing>
                      <wp:inline distT="0" distB="0" distL="0" distR="0">
                        <wp:extent cx="110490" cy="1337310"/>
                        <wp:effectExtent l="0" t="0" r="381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0490" cy="1337310"/>
                                </a:xfrm>
                                <a:prstGeom prst="rect">
                                  <a:avLst/>
                                </a:prstGeom>
                                <a:noFill/>
                                <a:ln>
                                  <a:noFill/>
                                </a:ln>
                              </pic:spPr>
                            </pic:pic>
                          </a:graphicData>
                        </a:graphic>
                      </wp:inline>
                    </w:drawing>
                  </w:r>
                </w:p>
              </w:tc>
              <w:tc>
                <w:tcPr>
                  <w:tcW w:w="3949" w:type="pct"/>
                  <w:vAlign w:val="center"/>
                </w:tcPr>
                <w:p>
                  <w:pPr>
                    <w:spacing w:before="0" w:after="0"/>
                    <w:ind w:left="209"/>
                    <w:jc w:val="left"/>
                    <w:rPr>
                      <w:rFonts w:eastAsia="Arial Unicode MS"/>
                      <w:noProof/>
                      <w:szCs w:val="24"/>
                    </w:rPr>
                  </w:pPr>
                  <w:r>
                    <w:rPr>
                      <w:noProof/>
                    </w:rPr>
                    <w:t>Ne concerne que les véhicules équipés d’un dispositif de réglage de la portée des phares</w:t>
                  </w:r>
                </w:p>
              </w:tc>
            </w:tr>
          </w:tbl>
          <w:p>
            <w:pPr>
              <w:spacing w:before="0" w:after="0"/>
              <w:jc w:val="left"/>
              <w:rPr>
                <w:rFonts w:eastAsia="Arial Unicode MS"/>
                <w:noProof/>
                <w:szCs w:val="24"/>
              </w:rPr>
            </w:pPr>
          </w:p>
        </w:tc>
      </w:tr>
      <w:tr>
        <w:trPr>
          <w:tblCellSpacing w:w="0" w:type="dxa"/>
        </w:trPr>
        <w:tc>
          <w:tcPr>
            <w:tcW w:w="1716" w:type="dxa"/>
            <w:hideMark/>
          </w:tcPr>
          <w:p>
            <w:pPr>
              <w:spacing w:before="60" w:after="60"/>
              <w:rPr>
                <w:rFonts w:eastAsia="Arial Unicode MS"/>
                <w:noProof/>
                <w:szCs w:val="24"/>
              </w:rPr>
            </w:pPr>
            <w:r>
              <w:rPr>
                <w:noProof/>
              </w:rPr>
              <w:t>11.4.4.</w:t>
            </w:r>
          </w:p>
        </w:tc>
        <w:tc>
          <w:tcPr>
            <w:tcW w:w="3969" w:type="dxa"/>
            <w:hideMark/>
          </w:tcPr>
          <w:p>
            <w:pPr>
              <w:spacing w:before="60" w:after="60"/>
              <w:jc w:val="left"/>
              <w:rPr>
                <w:rFonts w:eastAsia="Arial Unicode MS"/>
                <w:noProof/>
                <w:szCs w:val="24"/>
              </w:rPr>
            </w:pPr>
            <w:r>
              <w:rPr>
                <w:noProof/>
              </w:rPr>
              <w:t>Dispositif de commande:</w:t>
            </w:r>
          </w:p>
        </w:tc>
        <w:tc>
          <w:tcPr>
            <w:tcW w:w="3276" w:type="dxa"/>
            <w:vMerge/>
            <w:vAlign w:val="center"/>
            <w:hideMark/>
          </w:tcPr>
          <w:p>
            <w:pPr>
              <w:spacing w:before="0" w:after="0"/>
              <w:jc w:val="left"/>
              <w:rPr>
                <w:rFonts w:eastAsia="Arial Unicode MS"/>
                <w:noProof/>
                <w:szCs w:val="24"/>
              </w:rPr>
            </w:pPr>
          </w:p>
        </w:tc>
      </w:tr>
      <w:tr>
        <w:trPr>
          <w:tblCellSpacing w:w="0" w:type="dxa"/>
        </w:trPr>
        <w:tc>
          <w:tcPr>
            <w:tcW w:w="1716" w:type="dxa"/>
            <w:hideMark/>
          </w:tcPr>
          <w:p>
            <w:pPr>
              <w:spacing w:before="60" w:after="60"/>
              <w:rPr>
                <w:rFonts w:eastAsia="Arial Unicode MS"/>
                <w:noProof/>
                <w:szCs w:val="24"/>
              </w:rPr>
            </w:pPr>
            <w:r>
              <w:rPr>
                <w:noProof/>
              </w:rPr>
              <w:t>11.4.5.</w:t>
            </w:r>
          </w:p>
        </w:tc>
        <w:tc>
          <w:tcPr>
            <w:tcW w:w="3969" w:type="dxa"/>
            <w:hideMark/>
          </w:tcPr>
          <w:p>
            <w:pPr>
              <w:spacing w:before="60" w:after="60"/>
              <w:jc w:val="left"/>
              <w:rPr>
                <w:rFonts w:eastAsia="Arial Unicode MS"/>
                <w:noProof/>
                <w:szCs w:val="24"/>
              </w:rPr>
            </w:pPr>
            <w:r>
              <w:rPr>
                <w:noProof/>
              </w:rPr>
              <w:t>Points de repère:</w:t>
            </w:r>
          </w:p>
        </w:tc>
        <w:tc>
          <w:tcPr>
            <w:tcW w:w="3276" w:type="dxa"/>
            <w:vMerge/>
            <w:vAlign w:val="center"/>
            <w:hideMark/>
          </w:tcPr>
          <w:p>
            <w:pPr>
              <w:spacing w:before="0" w:after="0"/>
              <w:jc w:val="left"/>
              <w:rPr>
                <w:rFonts w:eastAsia="Arial Unicode MS"/>
                <w:noProof/>
                <w:szCs w:val="24"/>
              </w:rPr>
            </w:pPr>
          </w:p>
        </w:tc>
      </w:tr>
      <w:tr>
        <w:trPr>
          <w:tblCellSpacing w:w="0" w:type="dxa"/>
        </w:trPr>
        <w:tc>
          <w:tcPr>
            <w:tcW w:w="1716" w:type="dxa"/>
            <w:hideMark/>
          </w:tcPr>
          <w:p>
            <w:pPr>
              <w:spacing w:before="60"/>
              <w:rPr>
                <w:rFonts w:eastAsia="Arial Unicode MS"/>
                <w:noProof/>
                <w:szCs w:val="24"/>
              </w:rPr>
            </w:pPr>
            <w:r>
              <w:rPr>
                <w:noProof/>
              </w:rPr>
              <w:lastRenderedPageBreak/>
              <w:t>11.4.6.</w:t>
            </w:r>
          </w:p>
        </w:tc>
        <w:tc>
          <w:tcPr>
            <w:tcW w:w="3969" w:type="dxa"/>
            <w:hideMark/>
          </w:tcPr>
          <w:p>
            <w:pPr>
              <w:spacing w:before="60"/>
              <w:jc w:val="left"/>
              <w:rPr>
                <w:rFonts w:eastAsia="Arial Unicode MS"/>
                <w:noProof/>
                <w:szCs w:val="24"/>
              </w:rPr>
            </w:pPr>
            <w:r>
              <w:rPr>
                <w:noProof/>
              </w:rPr>
              <w:t>Repères indiquant les états de charge du véhicule:</w:t>
            </w:r>
          </w:p>
        </w:tc>
        <w:tc>
          <w:tcPr>
            <w:tcW w:w="3276"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t>11.5.</w:t>
      </w:r>
      <w:r>
        <w:rPr>
          <w:noProof/>
        </w:rPr>
        <w:tab/>
        <w:t>Description succincte des composants électriques/électroniques autres que les feux (le cas échéant): …</w:t>
      </w:r>
    </w:p>
    <w:p>
      <w:pPr>
        <w:spacing w:before="240"/>
        <w:ind w:left="1701" w:hanging="1701"/>
        <w:jc w:val="left"/>
        <w:rPr>
          <w:rFonts w:eastAsia="Arial Unicode MS"/>
          <w:b/>
          <w:bCs/>
          <w:noProof/>
          <w:szCs w:val="24"/>
        </w:rPr>
      </w:pPr>
      <w:r>
        <w:rPr>
          <w:b/>
          <w:noProof/>
        </w:rPr>
        <w:t>12.</w:t>
      </w:r>
      <w:r>
        <w:rPr>
          <w:noProof/>
        </w:rPr>
        <w:tab/>
      </w:r>
      <w:r>
        <w:rPr>
          <w:b/>
          <w:noProof/>
        </w:rPr>
        <w:t xml:space="preserve">LIAISONS ENTRE VÉHICULES TRACTEURS ET REMORQUES ET SEMI-REMORQUES </w:t>
      </w:r>
    </w:p>
    <w:p>
      <w:pPr>
        <w:spacing w:after="0"/>
        <w:ind w:left="1701" w:hanging="1701"/>
        <w:rPr>
          <w:rFonts w:eastAsia="Arial Unicode MS"/>
          <w:noProof/>
          <w:szCs w:val="24"/>
        </w:rPr>
      </w:pPr>
      <w:r>
        <w:rPr>
          <w:noProof/>
        </w:rPr>
        <w:t>12.1.</w:t>
      </w:r>
      <w:r>
        <w:rPr>
          <w:noProof/>
        </w:rPr>
        <w:tab/>
        <w:t>Classe et type du ou des dispositifs d’attelage montés ou à monter: …</w:t>
      </w:r>
    </w:p>
    <w:p>
      <w:pPr>
        <w:spacing w:after="0"/>
        <w:ind w:left="1701" w:hanging="1701"/>
        <w:rPr>
          <w:rFonts w:eastAsia="Arial Unicode MS"/>
          <w:noProof/>
          <w:szCs w:val="24"/>
        </w:rPr>
      </w:pPr>
      <w:r>
        <w:rPr>
          <w:noProof/>
        </w:rPr>
        <w:t>12.2.</w:t>
      </w:r>
      <w:r>
        <w:rPr>
          <w:noProof/>
        </w:rPr>
        <w:tab/>
        <w:t>Caractéristiques D, U, S et V du ou des dispositifs d’attelage montés, ou caractéristiques minimales D, U, S et V du ou des dispositifs d’attelage à monter: …… daN</w:t>
      </w:r>
    </w:p>
    <w:p>
      <w:pPr>
        <w:spacing w:after="0"/>
        <w:ind w:left="1701" w:hanging="1701"/>
        <w:rPr>
          <w:rFonts w:eastAsia="Arial Unicode MS"/>
          <w:noProof/>
          <w:szCs w:val="24"/>
        </w:rPr>
      </w:pPr>
      <w:r>
        <w:rPr>
          <w:noProof/>
        </w:rPr>
        <w:t>12.3.</w:t>
      </w:r>
      <w:r>
        <w:rPr>
          <w:noProof/>
        </w:rPr>
        <w:tab/>
        <w:t>Instructions concernant la mise en place du dispositif d’attelage sur le véhicule et photographies ou dessins des points d’attache sur le véhicule indiqués par le constructeur; informations complémentaires si le type d’attelage en cause est réservé à certaines variantes ou versions du type de véhicule: …</w:t>
      </w:r>
    </w:p>
    <w:p>
      <w:pPr>
        <w:spacing w:after="0"/>
        <w:ind w:left="1701" w:hanging="1701"/>
        <w:rPr>
          <w:rFonts w:eastAsia="Arial Unicode MS"/>
          <w:noProof/>
          <w:szCs w:val="24"/>
        </w:rPr>
      </w:pPr>
      <w:r>
        <w:rPr>
          <w:noProof/>
        </w:rPr>
        <w:t>12.4.</w:t>
      </w:r>
      <w:r>
        <w:rPr>
          <w:noProof/>
        </w:rPr>
        <w:tab/>
        <w:t>Informations concernant la mise en place de supports ou de socles de remorquage spéciaux: …</w:t>
      </w:r>
    </w:p>
    <w:p>
      <w:pPr>
        <w:spacing w:after="0"/>
        <w:ind w:left="1701" w:hanging="1701"/>
        <w:rPr>
          <w:rFonts w:eastAsia="Arial Unicode MS"/>
          <w:noProof/>
          <w:szCs w:val="24"/>
        </w:rPr>
      </w:pPr>
      <w:r>
        <w:rPr>
          <w:noProof/>
        </w:rPr>
        <w:t>12.5.</w:t>
      </w:r>
      <w:r>
        <w:rPr>
          <w:noProof/>
        </w:rPr>
        <w:tab/>
        <w:t>Numéro(s) de réception par type: …</w:t>
      </w:r>
    </w:p>
    <w:p>
      <w:pPr>
        <w:spacing w:before="240"/>
        <w:ind w:left="1701" w:hanging="1701"/>
        <w:jc w:val="left"/>
        <w:rPr>
          <w:rFonts w:eastAsia="Arial Unicode MS"/>
          <w:b/>
          <w:bCs/>
          <w:noProof/>
          <w:szCs w:val="24"/>
        </w:rPr>
      </w:pPr>
      <w:r>
        <w:rPr>
          <w:b/>
          <w:noProof/>
        </w:rPr>
        <w:t>13.</w:t>
      </w:r>
      <w:r>
        <w:rPr>
          <w:noProof/>
        </w:rPr>
        <w:tab/>
      </w:r>
      <w:r>
        <w:rPr>
          <w:b/>
          <w:noProof/>
        </w:rPr>
        <w:t xml:space="preserve">DIVERS </w:t>
      </w:r>
    </w:p>
    <w:p>
      <w:pPr>
        <w:spacing w:before="240" w:after="0"/>
        <w:ind w:left="1701" w:hanging="1701"/>
        <w:rPr>
          <w:rFonts w:eastAsia="Arial Unicode MS"/>
          <w:noProof/>
          <w:szCs w:val="24"/>
        </w:rPr>
      </w:pPr>
      <w:r>
        <w:rPr>
          <w:noProof/>
        </w:rPr>
        <w:t>13.1.</w:t>
      </w:r>
      <w:r>
        <w:rPr>
          <w:noProof/>
        </w:rPr>
        <w:tab/>
        <w:t>Avertisseur(s) sonore(s)</w:t>
      </w:r>
    </w:p>
    <w:p>
      <w:pPr>
        <w:spacing w:after="0"/>
        <w:ind w:left="1701" w:hanging="1701"/>
        <w:rPr>
          <w:rFonts w:eastAsia="Arial Unicode MS"/>
          <w:noProof/>
          <w:szCs w:val="24"/>
        </w:rPr>
      </w:pPr>
      <w:r>
        <w:rPr>
          <w:noProof/>
        </w:rPr>
        <w:t>13.1.1.</w:t>
      </w:r>
      <w:r>
        <w:rPr>
          <w:noProof/>
        </w:rPr>
        <w:tab/>
        <w:t>Emplacement, mode de fixation, mise en place et orientation du dispositif, avec les dimensions: …</w:t>
      </w:r>
    </w:p>
    <w:p>
      <w:pPr>
        <w:spacing w:after="0"/>
        <w:ind w:left="1701" w:hanging="1701"/>
        <w:rPr>
          <w:rFonts w:eastAsia="Arial Unicode MS"/>
          <w:noProof/>
          <w:szCs w:val="24"/>
        </w:rPr>
      </w:pPr>
      <w:r>
        <w:rPr>
          <w:noProof/>
        </w:rPr>
        <w:t>13.1.2.</w:t>
      </w:r>
      <w:r>
        <w:rPr>
          <w:noProof/>
        </w:rPr>
        <w:tab/>
        <w:t>Nombre de dispositifs: …</w:t>
      </w:r>
    </w:p>
    <w:p>
      <w:pPr>
        <w:spacing w:after="0"/>
        <w:ind w:left="1701" w:hanging="1701"/>
        <w:rPr>
          <w:rFonts w:eastAsia="Arial Unicode MS"/>
          <w:noProof/>
          <w:szCs w:val="24"/>
        </w:rPr>
      </w:pPr>
      <w:r>
        <w:rPr>
          <w:noProof/>
        </w:rPr>
        <w:t>13.1.3.</w:t>
      </w:r>
      <w:r>
        <w:rPr>
          <w:noProof/>
        </w:rPr>
        <w:tab/>
        <w:t>Numéro(s) de réception par type: …</w:t>
      </w:r>
    </w:p>
    <w:p>
      <w:pPr>
        <w:spacing w:after="0"/>
        <w:ind w:left="1701" w:hanging="1701"/>
        <w:rPr>
          <w:rFonts w:eastAsia="Arial Unicode MS"/>
          <w:noProof/>
          <w:szCs w:val="24"/>
        </w:rPr>
      </w:pPr>
      <w:r>
        <w:rPr>
          <w:noProof/>
        </w:rPr>
        <w:t>13.1.4.</w:t>
      </w:r>
      <w:r>
        <w:rPr>
          <w:noProof/>
        </w:rPr>
        <w:tab/>
        <w:t>Schéma du circuit électrique/pneumatique (</w:t>
      </w:r>
      <w:r>
        <w:rPr>
          <w:noProof/>
          <w:vertAlign w:val="superscript"/>
        </w:rPr>
        <w:t>1</w:t>
      </w:r>
      <w:r>
        <w:rPr>
          <w:noProof/>
        </w:rPr>
        <w:t>): …</w:t>
      </w:r>
    </w:p>
    <w:p>
      <w:pPr>
        <w:spacing w:after="0"/>
        <w:ind w:left="1701" w:hanging="1701"/>
        <w:rPr>
          <w:rFonts w:eastAsia="Arial Unicode MS"/>
          <w:noProof/>
          <w:szCs w:val="24"/>
        </w:rPr>
      </w:pPr>
      <w:r>
        <w:rPr>
          <w:noProof/>
        </w:rPr>
        <w:t>13.1.5.</w:t>
      </w:r>
      <w:r>
        <w:rPr>
          <w:noProof/>
        </w:rPr>
        <w:tab/>
        <w:t>Tension ou pression nominale: …</w:t>
      </w:r>
    </w:p>
    <w:p>
      <w:pPr>
        <w:spacing w:after="0"/>
        <w:ind w:left="1701" w:hanging="1701"/>
        <w:rPr>
          <w:rFonts w:eastAsia="Arial Unicode MS"/>
          <w:noProof/>
          <w:szCs w:val="24"/>
        </w:rPr>
      </w:pPr>
      <w:r>
        <w:rPr>
          <w:noProof/>
        </w:rPr>
        <w:t>13.1.6.</w:t>
      </w:r>
      <w:r>
        <w:rPr>
          <w:noProof/>
        </w:rPr>
        <w:tab/>
        <w:t>Dessin du dispositif de fixation: …</w:t>
      </w:r>
    </w:p>
    <w:p>
      <w:pPr>
        <w:spacing w:before="240" w:after="0"/>
        <w:ind w:left="1701" w:hanging="1701"/>
        <w:rPr>
          <w:rFonts w:eastAsia="Arial Unicode MS"/>
          <w:noProof/>
          <w:szCs w:val="24"/>
        </w:rPr>
      </w:pPr>
      <w:r>
        <w:rPr>
          <w:noProof/>
        </w:rPr>
        <w:t>13.2.</w:t>
      </w:r>
      <w:r>
        <w:rPr>
          <w:noProof/>
        </w:rPr>
        <w:tab/>
        <w:t>Dispositifs de protection contre une utilisation non autorisée du véhicule</w:t>
      </w:r>
    </w:p>
    <w:p>
      <w:pPr>
        <w:spacing w:after="0"/>
        <w:ind w:left="1701" w:hanging="1701"/>
        <w:rPr>
          <w:rFonts w:eastAsia="Arial Unicode MS"/>
          <w:noProof/>
          <w:szCs w:val="24"/>
        </w:rPr>
      </w:pPr>
      <w:r>
        <w:rPr>
          <w:noProof/>
        </w:rPr>
        <w:t>13.2.1.</w:t>
      </w:r>
      <w:r>
        <w:rPr>
          <w:noProof/>
        </w:rPr>
        <w:tab/>
        <w:t>Dispositif de protection</w:t>
      </w:r>
    </w:p>
    <w:p>
      <w:pPr>
        <w:spacing w:after="0"/>
        <w:ind w:left="1701" w:hanging="1701"/>
        <w:rPr>
          <w:rFonts w:eastAsia="Arial Unicode MS"/>
          <w:noProof/>
          <w:szCs w:val="24"/>
        </w:rPr>
      </w:pPr>
      <w:r>
        <w:rPr>
          <w:noProof/>
        </w:rPr>
        <w:t>13.2.1.1.</w:t>
      </w:r>
      <w:r>
        <w:rPr>
          <w:noProof/>
        </w:rPr>
        <w:tab/>
        <w:t>Description détaillée du type de véhicule en ce qui concerne la disposition et la conception de la commande ou de l’organe sur lequel le dispositif de protection agit: …</w:t>
      </w:r>
    </w:p>
    <w:p>
      <w:pPr>
        <w:spacing w:after="0"/>
        <w:ind w:left="1701" w:hanging="1701"/>
        <w:rPr>
          <w:rFonts w:eastAsia="Arial Unicode MS"/>
          <w:noProof/>
          <w:szCs w:val="24"/>
        </w:rPr>
      </w:pPr>
      <w:r>
        <w:rPr>
          <w:noProof/>
        </w:rPr>
        <w:t>13.2.1.2.</w:t>
      </w:r>
      <w:r>
        <w:rPr>
          <w:noProof/>
        </w:rPr>
        <w:tab/>
        <w:t>Dessins du dispositif de protection et de son montage sur le véhicule: …</w:t>
      </w:r>
    </w:p>
    <w:p>
      <w:pPr>
        <w:spacing w:after="0"/>
        <w:ind w:left="1701" w:hanging="1701"/>
        <w:rPr>
          <w:rFonts w:eastAsia="Arial Unicode MS"/>
          <w:noProof/>
          <w:szCs w:val="24"/>
        </w:rPr>
      </w:pPr>
      <w:r>
        <w:rPr>
          <w:noProof/>
        </w:rPr>
        <w:t>13.2.1.3.</w:t>
      </w:r>
      <w:r>
        <w:rPr>
          <w:noProof/>
        </w:rPr>
        <w:tab/>
        <w:t>Description technique du dispositif: …</w:t>
      </w:r>
    </w:p>
    <w:p>
      <w:pPr>
        <w:spacing w:after="0"/>
        <w:ind w:left="1701" w:hanging="1701"/>
        <w:rPr>
          <w:rFonts w:eastAsia="Arial Unicode MS"/>
          <w:noProof/>
          <w:szCs w:val="24"/>
        </w:rPr>
      </w:pPr>
      <w:r>
        <w:rPr>
          <w:noProof/>
        </w:rPr>
        <w:t>13.2.1.4.</w:t>
      </w:r>
      <w:r>
        <w:rPr>
          <w:noProof/>
        </w:rPr>
        <w:tab/>
        <w:t>Précisions concernant les combinaisons de verrouillage utilisées: …</w:t>
      </w:r>
    </w:p>
    <w:p>
      <w:pPr>
        <w:spacing w:after="0"/>
        <w:ind w:left="1701" w:hanging="1701"/>
        <w:rPr>
          <w:rFonts w:eastAsia="Arial Unicode MS"/>
          <w:noProof/>
          <w:szCs w:val="24"/>
        </w:rPr>
      </w:pPr>
      <w:r>
        <w:rPr>
          <w:noProof/>
        </w:rPr>
        <w:t>13.2.1.5.</w:t>
      </w:r>
      <w:r>
        <w:rPr>
          <w:noProof/>
        </w:rPr>
        <w:tab/>
        <w:t>Dispositif d’immobilisation du véhicule</w:t>
      </w:r>
    </w:p>
    <w:p>
      <w:pPr>
        <w:spacing w:after="0"/>
        <w:ind w:left="1701" w:hanging="1701"/>
        <w:rPr>
          <w:rFonts w:eastAsia="Arial Unicode MS"/>
          <w:noProof/>
          <w:szCs w:val="24"/>
        </w:rPr>
      </w:pPr>
      <w:r>
        <w:rPr>
          <w:noProof/>
        </w:rPr>
        <w:lastRenderedPageBreak/>
        <w:t>13.2.1.5.1.</w:t>
      </w:r>
      <w:r>
        <w:rPr>
          <w:noProof/>
        </w:rPr>
        <w:tab/>
        <w:t>Numéro de réception par type, le cas échéant: …</w:t>
      </w:r>
    </w:p>
    <w:p>
      <w:pPr>
        <w:spacing w:after="0"/>
        <w:ind w:left="1701" w:hanging="1701"/>
        <w:rPr>
          <w:rFonts w:eastAsia="Arial Unicode MS"/>
          <w:noProof/>
          <w:szCs w:val="24"/>
        </w:rPr>
      </w:pPr>
      <w:r>
        <w:rPr>
          <w:noProof/>
        </w:rPr>
        <w:t>13.2.1.5.2.</w:t>
      </w:r>
      <w:r>
        <w:rPr>
          <w:noProof/>
        </w:rPr>
        <w:tab/>
        <w:t>Pour les dispositifs d’immobilisation non encore réceptionnés</w:t>
      </w:r>
    </w:p>
    <w:p>
      <w:pPr>
        <w:spacing w:after="0"/>
        <w:ind w:left="1701" w:hanging="1701"/>
        <w:rPr>
          <w:rFonts w:eastAsia="Arial Unicode MS"/>
          <w:noProof/>
          <w:szCs w:val="24"/>
        </w:rPr>
      </w:pPr>
      <w:r>
        <w:rPr>
          <w:noProof/>
        </w:rPr>
        <w:t>13.2.1.5.2.1.</w:t>
      </w:r>
      <w:r>
        <w:rPr>
          <w:noProof/>
        </w:rPr>
        <w:tab/>
        <w:t>Description technique détaillée du dispositif d’immobilisation du véhicule et des mesures prises pour éviter un déclenchement intempestif: …</w:t>
      </w:r>
    </w:p>
    <w:p>
      <w:pPr>
        <w:spacing w:after="0"/>
        <w:ind w:left="1701" w:hanging="1701"/>
        <w:rPr>
          <w:rFonts w:eastAsia="Arial Unicode MS"/>
          <w:noProof/>
          <w:szCs w:val="24"/>
        </w:rPr>
      </w:pPr>
      <w:r>
        <w:rPr>
          <w:noProof/>
        </w:rPr>
        <w:t>13.2.1.5.2.2.</w:t>
      </w:r>
      <w:r>
        <w:rPr>
          <w:noProof/>
        </w:rPr>
        <w:tab/>
        <w:t>Système(s) sur le(s)quel(s) le dispositif d’immobilisation du véhicule agit: …</w:t>
      </w:r>
    </w:p>
    <w:p>
      <w:pPr>
        <w:spacing w:after="0"/>
        <w:ind w:left="1701" w:hanging="1701"/>
        <w:rPr>
          <w:rFonts w:eastAsia="Arial Unicode MS"/>
          <w:noProof/>
          <w:szCs w:val="24"/>
        </w:rPr>
      </w:pPr>
      <w:r>
        <w:rPr>
          <w:noProof/>
        </w:rPr>
        <w:t>13.2.1.5.2.3.</w:t>
      </w:r>
      <w:r>
        <w:rPr>
          <w:noProof/>
        </w:rPr>
        <w:tab/>
        <w:t>Nombre de codes interchangeables effectifs, le cas échéant: …</w:t>
      </w:r>
    </w:p>
    <w:p>
      <w:pPr>
        <w:spacing w:after="0"/>
        <w:ind w:left="1701" w:hanging="1701"/>
        <w:rPr>
          <w:rFonts w:eastAsia="Arial Unicode MS"/>
          <w:noProof/>
          <w:szCs w:val="24"/>
        </w:rPr>
      </w:pPr>
      <w:r>
        <w:rPr>
          <w:noProof/>
        </w:rPr>
        <w:t>13.2.2.</w:t>
      </w:r>
      <w:r>
        <w:rPr>
          <w:noProof/>
        </w:rPr>
        <w:tab/>
        <w:t>Système d’alarme (le cas échéant)</w:t>
      </w:r>
    </w:p>
    <w:p>
      <w:pPr>
        <w:spacing w:after="0"/>
        <w:ind w:left="1701" w:hanging="1701"/>
        <w:rPr>
          <w:rFonts w:eastAsia="Arial Unicode MS"/>
          <w:noProof/>
          <w:szCs w:val="24"/>
        </w:rPr>
      </w:pPr>
      <w:r>
        <w:rPr>
          <w:noProof/>
        </w:rPr>
        <w:t>13.2.2.1.</w:t>
      </w:r>
      <w:r>
        <w:rPr>
          <w:noProof/>
        </w:rPr>
        <w:tab/>
        <w:t>Numéro de réception par type, le cas échéant: …</w:t>
      </w:r>
    </w:p>
    <w:p>
      <w:pPr>
        <w:spacing w:after="0"/>
        <w:ind w:left="1701" w:hanging="1701"/>
        <w:rPr>
          <w:rFonts w:eastAsia="Arial Unicode MS"/>
          <w:noProof/>
          <w:szCs w:val="24"/>
        </w:rPr>
      </w:pPr>
      <w:r>
        <w:rPr>
          <w:noProof/>
        </w:rPr>
        <w:t>13.2.2.2.</w:t>
      </w:r>
      <w:r>
        <w:rPr>
          <w:noProof/>
        </w:rPr>
        <w:tab/>
        <w:t>Pour les systèmes d’alarme non encore réceptionnés</w:t>
      </w:r>
    </w:p>
    <w:p>
      <w:pPr>
        <w:spacing w:after="0"/>
        <w:ind w:left="1701" w:hanging="1701"/>
        <w:rPr>
          <w:rFonts w:eastAsia="Arial Unicode MS"/>
          <w:noProof/>
          <w:szCs w:val="24"/>
        </w:rPr>
      </w:pPr>
      <w:r>
        <w:rPr>
          <w:noProof/>
        </w:rPr>
        <w:t>13.2.2.2.1.</w:t>
      </w:r>
      <w:r>
        <w:rPr>
          <w:noProof/>
        </w:rPr>
        <w:tab/>
        <w:t>Description détaillée du système d’alarme et des pièces du véhicule en relation avec le système d’alarme installé: …</w:t>
      </w:r>
    </w:p>
    <w:p>
      <w:pPr>
        <w:spacing w:after="0"/>
        <w:ind w:left="1701" w:hanging="1701"/>
        <w:rPr>
          <w:rFonts w:eastAsia="Arial Unicode MS"/>
          <w:noProof/>
          <w:szCs w:val="24"/>
        </w:rPr>
      </w:pPr>
      <w:r>
        <w:rPr>
          <w:noProof/>
        </w:rPr>
        <w:t>13.2.2.2.2.</w:t>
      </w:r>
      <w:r>
        <w:rPr>
          <w:noProof/>
        </w:rPr>
        <w:tab/>
        <w:t>Liste des principaux composants constituant le système d’alarme: …</w:t>
      </w:r>
    </w:p>
    <w:p>
      <w:pPr>
        <w:spacing w:before="240" w:after="0"/>
        <w:ind w:left="1701" w:hanging="1701"/>
        <w:rPr>
          <w:rFonts w:eastAsia="Arial Unicode MS"/>
          <w:noProof/>
          <w:szCs w:val="24"/>
        </w:rPr>
      </w:pPr>
      <w:r>
        <w:rPr>
          <w:noProof/>
        </w:rPr>
        <w:t>13.2.3.</w:t>
      </w:r>
      <w:r>
        <w:rPr>
          <w:noProof/>
        </w:rPr>
        <w:tab/>
        <w:t>Description succincte des composants électriques/électroniques (le cas échéant): …</w:t>
      </w:r>
    </w:p>
    <w:p>
      <w:pPr>
        <w:spacing w:after="0"/>
        <w:ind w:left="1701" w:hanging="1701"/>
        <w:rPr>
          <w:rFonts w:eastAsia="Arial Unicode MS"/>
          <w:noProof/>
          <w:szCs w:val="24"/>
        </w:rPr>
      </w:pPr>
      <w:r>
        <w:rPr>
          <w:noProof/>
        </w:rPr>
        <w:t>13.3.</w:t>
      </w:r>
      <w:r>
        <w:rPr>
          <w:noProof/>
        </w:rPr>
        <w:tab/>
        <w:t>Dispositif(s) de remorquage</w:t>
      </w:r>
    </w:p>
    <w:p>
      <w:pPr>
        <w:spacing w:after="0"/>
        <w:ind w:left="1701" w:hanging="1701"/>
        <w:rPr>
          <w:rFonts w:eastAsia="Arial Unicode MS"/>
          <w:noProof/>
          <w:szCs w:val="24"/>
        </w:rPr>
      </w:pPr>
      <w:r>
        <w:rPr>
          <w:noProof/>
        </w:rPr>
        <w:t>13.3.1.</w:t>
      </w:r>
      <w:r>
        <w:rPr>
          <w:noProof/>
        </w:rPr>
        <w:tab/>
        <w:t>Avant: crochet/anneau/autres (</w:t>
      </w:r>
      <w:r>
        <w:rPr>
          <w:noProof/>
          <w:vertAlign w:val="superscript"/>
        </w:rPr>
        <w:t>1</w:t>
      </w:r>
      <w:r>
        <w:rPr>
          <w:noProof/>
        </w:rPr>
        <w:t>)</w:t>
      </w:r>
    </w:p>
    <w:p>
      <w:pPr>
        <w:spacing w:after="0"/>
        <w:ind w:left="1701" w:hanging="1701"/>
        <w:rPr>
          <w:rFonts w:eastAsia="Arial Unicode MS"/>
          <w:noProof/>
          <w:szCs w:val="24"/>
        </w:rPr>
      </w:pPr>
      <w:r>
        <w:rPr>
          <w:noProof/>
        </w:rPr>
        <w:t>13.3.2.</w:t>
      </w:r>
      <w:r>
        <w:rPr>
          <w:noProof/>
        </w:rPr>
        <w:tab/>
        <w:t>Arrière: crochet/anneau/autres/néant (</w:t>
      </w:r>
      <w:r>
        <w:rPr>
          <w:noProof/>
          <w:vertAlign w:val="superscript"/>
        </w:rPr>
        <w:t>1</w:t>
      </w:r>
      <w:r>
        <w:rPr>
          <w:noProof/>
        </w:rPr>
        <w:t>)</w:t>
      </w:r>
    </w:p>
    <w:p>
      <w:pPr>
        <w:spacing w:after="0"/>
        <w:ind w:left="1701" w:hanging="1701"/>
        <w:rPr>
          <w:rFonts w:eastAsia="Arial Unicode MS"/>
          <w:noProof/>
          <w:szCs w:val="24"/>
        </w:rPr>
      </w:pPr>
      <w:r>
        <w:rPr>
          <w:noProof/>
        </w:rPr>
        <w:t>13.3.3.</w:t>
      </w:r>
      <w:r>
        <w:rPr>
          <w:noProof/>
        </w:rPr>
        <w:tab/>
        <w:t>Dessin ou photographie du châssis ou de la partie du véhicule concernée montrant l’emplacement, la construction et le montage du ou des dispositifs de remorquage: …</w:t>
      </w:r>
    </w:p>
    <w:p>
      <w:pPr>
        <w:spacing w:before="240" w:after="0"/>
        <w:ind w:left="1701" w:hanging="1701"/>
        <w:rPr>
          <w:rFonts w:eastAsia="Arial Unicode MS"/>
          <w:noProof/>
          <w:szCs w:val="24"/>
        </w:rPr>
      </w:pPr>
      <w:r>
        <w:rPr>
          <w:noProof/>
        </w:rPr>
        <w:t>13.4.</w:t>
      </w:r>
      <w:r>
        <w:rPr>
          <w:noProof/>
        </w:rPr>
        <w:tab/>
        <w:t>Précisions concernant tout dispositif étranger au moteur conçu pour agir sur la consommation de carburant (au cas où un tel dispositif ne serait pas couvert par une autre rubrique): …</w:t>
      </w:r>
    </w:p>
    <w:p>
      <w:pPr>
        <w:spacing w:before="240" w:after="0"/>
        <w:ind w:left="1701" w:hanging="1701"/>
        <w:rPr>
          <w:rFonts w:eastAsia="Arial Unicode MS"/>
          <w:noProof/>
          <w:szCs w:val="24"/>
        </w:rPr>
      </w:pPr>
      <w:r>
        <w:rPr>
          <w:noProof/>
        </w:rPr>
        <w:t>13.5.</w:t>
      </w:r>
      <w:r>
        <w:rPr>
          <w:noProof/>
        </w:rPr>
        <w:tab/>
        <w:t>Précisions concernant tout dispositif étranger au moteur conçu pour réduire les émissions sonores (au cas où un tel dispositif ne serait pas couvert par une autre rubrique): …</w:t>
      </w:r>
    </w:p>
    <w:p>
      <w:pPr>
        <w:spacing w:before="240" w:after="0"/>
        <w:ind w:left="1701" w:hanging="1701"/>
        <w:rPr>
          <w:rFonts w:eastAsia="Arial Unicode MS"/>
          <w:noProof/>
          <w:szCs w:val="24"/>
        </w:rPr>
      </w:pPr>
      <w:r>
        <w:rPr>
          <w:noProof/>
        </w:rPr>
        <w:t>13.6.</w:t>
      </w:r>
      <w:r>
        <w:rPr>
          <w:noProof/>
        </w:rPr>
        <w:tab/>
        <w:t>Dispositifs de limitation de vitesse</w:t>
      </w:r>
    </w:p>
    <w:p>
      <w:pPr>
        <w:spacing w:after="0"/>
        <w:ind w:left="1701" w:hanging="1701"/>
        <w:rPr>
          <w:rFonts w:eastAsia="Arial Unicode MS"/>
          <w:noProof/>
          <w:szCs w:val="24"/>
        </w:rPr>
      </w:pPr>
      <w:r>
        <w:rPr>
          <w:noProof/>
        </w:rPr>
        <w:t>13.6.1.</w:t>
      </w:r>
      <w:r>
        <w:rPr>
          <w:noProof/>
        </w:rPr>
        <w:tab/>
        <w:t>Constructeur(s): …</w:t>
      </w:r>
    </w:p>
    <w:p>
      <w:pPr>
        <w:spacing w:after="0"/>
        <w:ind w:left="1701" w:hanging="1701"/>
        <w:rPr>
          <w:rFonts w:eastAsia="Arial Unicode MS"/>
          <w:noProof/>
          <w:szCs w:val="24"/>
        </w:rPr>
      </w:pPr>
      <w:r>
        <w:rPr>
          <w:noProof/>
        </w:rPr>
        <w:t>13.6.2.</w:t>
      </w:r>
      <w:r>
        <w:rPr>
          <w:noProof/>
        </w:rPr>
        <w:tab/>
        <w:t>Type(s): …</w:t>
      </w:r>
    </w:p>
    <w:p>
      <w:pPr>
        <w:spacing w:after="0"/>
        <w:ind w:left="1701" w:hanging="1701"/>
        <w:rPr>
          <w:rFonts w:eastAsia="Arial Unicode MS"/>
          <w:noProof/>
          <w:szCs w:val="24"/>
        </w:rPr>
      </w:pPr>
      <w:r>
        <w:rPr>
          <w:noProof/>
        </w:rPr>
        <w:t>13.6.3.</w:t>
      </w:r>
      <w:r>
        <w:rPr>
          <w:noProof/>
        </w:rPr>
        <w:tab/>
        <w:t>Numéro(s) de réception par type, le cas échéant: …</w:t>
      </w:r>
    </w:p>
    <w:p>
      <w:pPr>
        <w:spacing w:after="0"/>
        <w:ind w:left="1701" w:hanging="1701"/>
        <w:rPr>
          <w:rFonts w:eastAsia="Arial Unicode MS"/>
          <w:noProof/>
          <w:szCs w:val="24"/>
        </w:rPr>
      </w:pPr>
      <w:r>
        <w:rPr>
          <w:noProof/>
        </w:rPr>
        <w:t>13.6.4.</w:t>
      </w:r>
      <w:r>
        <w:rPr>
          <w:noProof/>
        </w:rPr>
        <w:tab/>
        <w:t>Vitesse ou plage de vitesses sur lesquelles la limitation de vitesse peut être réglée: … km/h</w:t>
      </w:r>
    </w:p>
    <w:p>
      <w:pPr>
        <w:spacing w:before="240" w:after="0"/>
        <w:ind w:left="1701" w:hanging="1701"/>
        <w:rPr>
          <w:rFonts w:eastAsia="Arial Unicode MS"/>
          <w:noProof/>
          <w:szCs w:val="24"/>
        </w:rPr>
      </w:pPr>
      <w:r>
        <w:rPr>
          <w:noProof/>
        </w:rPr>
        <w:t>13.7.</w:t>
      </w:r>
      <w:r>
        <w:rPr>
          <w:noProof/>
        </w:rPr>
        <w:tab/>
        <w:t>Tableau relatif à l’installation et à l’utilisation d’émetteurs de radiofréquences dans le(s) véhicule(s), s’il y a lieu: …</w:t>
      </w:r>
    </w:p>
    <w:tbl>
      <w:tblPr>
        <w:tblpPr w:leftFromText="180" w:rightFromText="180" w:vertAnchor="text" w:horzAnchor="page" w:tblpX="3081" w:tblpY="260"/>
        <w:tblW w:w="741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2938"/>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lastRenderedPageBreak/>
              <w:t>Bandes de fréquences (Hz)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Puissance de sortie maximale (W)</w:t>
            </w:r>
          </w:p>
        </w:tc>
        <w:tc>
          <w:tcPr>
            <w:tcW w:w="29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Position de l’antenne sur le véhicule, conditions spécifiques d’installation et/ou d’utilisation</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93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t>LaLa personne qui introduit la demande de réception par type doit également fournir, le cas échéant:</w:t>
      </w:r>
    </w:p>
    <w:p>
      <w:pPr>
        <w:spacing w:after="0"/>
        <w:ind w:left="1701"/>
        <w:rPr>
          <w:rFonts w:eastAsia="Arial Unicode MS"/>
          <w:noProof/>
          <w:szCs w:val="24"/>
        </w:rPr>
      </w:pPr>
      <w:r>
        <w:rPr>
          <w:i/>
          <w:noProof/>
        </w:rPr>
        <w:t>Appendice 1</w:t>
      </w:r>
      <w:r>
        <w:rPr>
          <w:noProof/>
        </w:rPr>
        <w:t xml:space="preserve"> </w:t>
      </w:r>
    </w:p>
    <w:p>
      <w:pPr>
        <w:spacing w:after="0"/>
        <w:ind w:left="1701"/>
        <w:rPr>
          <w:rFonts w:eastAsia="Arial Unicode MS"/>
          <w:noProof/>
          <w:szCs w:val="24"/>
        </w:rPr>
      </w:pPr>
      <w:r>
        <w:rPr>
          <w:noProof/>
        </w:rPr>
        <w:t>Liste précisant la marque et le type de tous les composants électriques et/ou électroniques concernés par le règlement n</w:t>
      </w:r>
      <w:r>
        <w:rPr>
          <w:noProof/>
          <w:vertAlign w:val="superscript"/>
        </w:rPr>
        <w:t>o</w:t>
      </w:r>
      <w:r>
        <w:rPr>
          <w:noProof/>
        </w:rPr>
        <w:t> 10 de la CEE-ONU.</w:t>
      </w:r>
    </w:p>
    <w:p>
      <w:pPr>
        <w:spacing w:before="240" w:after="0"/>
        <w:ind w:left="1701"/>
        <w:rPr>
          <w:rFonts w:eastAsia="Arial Unicode MS"/>
          <w:noProof/>
          <w:szCs w:val="24"/>
        </w:rPr>
      </w:pPr>
      <w:r>
        <w:rPr>
          <w:i/>
          <w:noProof/>
        </w:rPr>
        <w:t>Appendice 2</w:t>
      </w:r>
      <w:r>
        <w:rPr>
          <w:noProof/>
        </w:rPr>
        <w:t xml:space="preserve"> </w:t>
      </w:r>
    </w:p>
    <w:p>
      <w:pPr>
        <w:spacing w:after="0"/>
        <w:ind w:left="1701"/>
        <w:rPr>
          <w:rFonts w:eastAsia="Arial Unicode MS"/>
          <w:noProof/>
          <w:szCs w:val="24"/>
        </w:rPr>
      </w:pPr>
      <w:r>
        <w:rPr>
          <w:noProof/>
        </w:rPr>
        <w:t>Schéma ou dessin de la disposition générale des composants électriques/électroniques concernés par le règlement n</w:t>
      </w:r>
      <w:r>
        <w:rPr>
          <w:noProof/>
          <w:vertAlign w:val="superscript"/>
        </w:rPr>
        <w:t>o</w:t>
      </w:r>
      <w:r>
        <w:rPr>
          <w:noProof/>
        </w:rPr>
        <w:t> 10 de la CEE-ONU et de leurs câblages.</w:t>
      </w:r>
    </w:p>
    <w:p>
      <w:pPr>
        <w:spacing w:before="240" w:after="0"/>
        <w:ind w:left="1701"/>
        <w:rPr>
          <w:rFonts w:eastAsia="Arial Unicode MS"/>
          <w:noProof/>
          <w:szCs w:val="24"/>
        </w:rPr>
      </w:pPr>
      <w:r>
        <w:rPr>
          <w:i/>
          <w:noProof/>
        </w:rPr>
        <w:t>Appendice 3</w:t>
      </w:r>
      <w:r>
        <w:rPr>
          <w:noProof/>
        </w:rPr>
        <w:t xml:space="preserve"> </w:t>
      </w:r>
    </w:p>
    <w:p>
      <w:pPr>
        <w:spacing w:after="0"/>
        <w:ind w:left="1701"/>
        <w:rPr>
          <w:rFonts w:eastAsia="Arial Unicode MS"/>
          <w:noProof/>
          <w:szCs w:val="24"/>
        </w:rPr>
      </w:pPr>
      <w:r>
        <w:rPr>
          <w:noProof/>
        </w:rPr>
        <w:t>Description du véhicule choisi pour représenter le type</w:t>
      </w:r>
    </w:p>
    <w:p>
      <w:pPr>
        <w:spacing w:after="0"/>
        <w:ind w:left="1701"/>
        <w:rPr>
          <w:rFonts w:eastAsia="Arial Unicode MS"/>
          <w:noProof/>
          <w:szCs w:val="24"/>
        </w:rPr>
      </w:pPr>
      <w:r>
        <w:rPr>
          <w:noProof/>
        </w:rPr>
        <w:t>Type de carrosserie:</w:t>
      </w:r>
    </w:p>
    <w:p>
      <w:pPr>
        <w:spacing w:after="0"/>
        <w:ind w:left="1701"/>
        <w:rPr>
          <w:rFonts w:eastAsia="Arial Unicode MS"/>
          <w:noProof/>
          <w:szCs w:val="24"/>
        </w:rPr>
      </w:pPr>
      <w:r>
        <w:rPr>
          <w:noProof/>
        </w:rPr>
        <w:t>Conduite à gauche ou à droite (</w:t>
      </w:r>
      <w:r>
        <w:rPr>
          <w:noProof/>
          <w:vertAlign w:val="superscript"/>
        </w:rPr>
        <w:t>1</w:t>
      </w:r>
      <w:r>
        <w:rPr>
          <w:noProof/>
        </w:rPr>
        <w:t>)</w:t>
      </w:r>
    </w:p>
    <w:p>
      <w:pPr>
        <w:spacing w:after="0"/>
        <w:ind w:left="1701"/>
        <w:rPr>
          <w:rFonts w:eastAsia="Arial Unicode MS"/>
          <w:noProof/>
          <w:szCs w:val="24"/>
        </w:rPr>
      </w:pPr>
      <w:r>
        <w:rPr>
          <w:noProof/>
        </w:rPr>
        <w:t>Empattement:</w:t>
      </w:r>
    </w:p>
    <w:p>
      <w:pPr>
        <w:spacing w:before="240" w:after="0"/>
        <w:ind w:left="1701"/>
        <w:rPr>
          <w:rFonts w:eastAsia="Arial Unicode MS"/>
          <w:noProof/>
          <w:szCs w:val="24"/>
        </w:rPr>
      </w:pPr>
      <w:r>
        <w:rPr>
          <w:i/>
          <w:noProof/>
        </w:rPr>
        <w:t>Appendice 4</w:t>
      </w:r>
      <w:r>
        <w:rPr>
          <w:noProof/>
        </w:rPr>
        <w:t xml:space="preserve"> </w:t>
      </w:r>
    </w:p>
    <w:p>
      <w:pPr>
        <w:spacing w:after="0"/>
        <w:ind w:left="1701"/>
        <w:rPr>
          <w:rFonts w:eastAsia="Arial Unicode MS"/>
          <w:noProof/>
          <w:szCs w:val="24"/>
        </w:rPr>
      </w:pPr>
      <w:r>
        <w:rPr>
          <w:noProof/>
        </w:rPr>
        <w:t>Rapport(s) d’essais pertinent(s) fourni(s) par le constructeur ou par des laboratoires agréés/accrédités pour l’obtention de la fiche de réception par type</w:t>
      </w:r>
    </w:p>
    <w:p>
      <w:pPr>
        <w:spacing w:after="0"/>
        <w:ind w:left="1701" w:hanging="1701"/>
        <w:rPr>
          <w:rFonts w:eastAsia="Arial Unicode MS"/>
          <w:noProof/>
          <w:szCs w:val="24"/>
        </w:rPr>
      </w:pPr>
      <w:r>
        <w:rPr>
          <w:noProof/>
        </w:rPr>
        <w:t>13.7.1.</w:t>
      </w:r>
      <w:r>
        <w:rPr>
          <w:noProof/>
        </w:rPr>
        <w:tab/>
        <w:t>Véhicule équipé d’un système radar à courte portée de 24 GHz: oui/non (</w:t>
      </w:r>
      <w:r>
        <w:rPr>
          <w:noProof/>
          <w:vertAlign w:val="superscript"/>
        </w:rPr>
        <w:t>1</w:t>
      </w:r>
      <w:r>
        <w:rPr>
          <w:noProof/>
        </w:rPr>
        <w:t>)</w:t>
      </w:r>
    </w:p>
    <w:p>
      <w:pPr>
        <w:spacing w:before="360" w:after="240"/>
        <w:ind w:left="1701" w:hanging="1701"/>
        <w:jc w:val="left"/>
        <w:rPr>
          <w:rFonts w:eastAsia="Arial Unicode MS"/>
          <w:b/>
          <w:bCs/>
          <w:noProof/>
          <w:szCs w:val="24"/>
        </w:rPr>
      </w:pPr>
      <w:r>
        <w:rPr>
          <w:noProof/>
        </w:rPr>
        <w:t>14.</w:t>
      </w:r>
      <w:r>
        <w:rPr>
          <w:noProof/>
        </w:rPr>
        <w:tab/>
      </w:r>
      <w:r>
        <w:rPr>
          <w:b/>
          <w:noProof/>
        </w:rPr>
        <w:t xml:space="preserve">DISPOSITIONS PARTICULIÈRES POUR LES AUTOBUS ET AUTOCARS </w:t>
      </w:r>
    </w:p>
    <w:p>
      <w:pPr>
        <w:spacing w:before="240" w:after="0"/>
        <w:ind w:left="1701" w:hanging="1701"/>
        <w:rPr>
          <w:rFonts w:eastAsia="Arial Unicode MS"/>
          <w:noProof/>
          <w:szCs w:val="24"/>
        </w:rPr>
      </w:pPr>
      <w:r>
        <w:rPr>
          <w:noProof/>
        </w:rPr>
        <w:t>14.1.</w:t>
      </w:r>
      <w:r>
        <w:rPr>
          <w:noProof/>
        </w:rPr>
        <w:tab/>
        <w:t>Classe de véhicule: classe I, classe II, classe III, classe A, classe B (</w:t>
      </w:r>
      <w:r>
        <w:rPr>
          <w:noProof/>
          <w:vertAlign w:val="superscript"/>
        </w:rPr>
        <w:t>1</w:t>
      </w:r>
      <w:r>
        <w:rPr>
          <w:noProof/>
        </w:rPr>
        <w:t>)</w:t>
      </w:r>
    </w:p>
    <w:p>
      <w:pPr>
        <w:spacing w:after="0"/>
        <w:ind w:left="1701" w:hanging="1701"/>
        <w:rPr>
          <w:rFonts w:eastAsia="Arial Unicode MS"/>
          <w:noProof/>
          <w:szCs w:val="24"/>
        </w:rPr>
      </w:pPr>
      <w:r>
        <w:rPr>
          <w:noProof/>
        </w:rPr>
        <w:t>14.1.1.</w:t>
      </w:r>
      <w:r>
        <w:rPr>
          <w:noProof/>
        </w:rPr>
        <w:tab/>
        <w:t>Numéro de réception par type de la carrosserie réceptionnée en tant qu’entité technique distincte: …</w:t>
      </w:r>
    </w:p>
    <w:p>
      <w:pPr>
        <w:spacing w:after="0"/>
        <w:ind w:left="1701" w:hanging="1701"/>
        <w:rPr>
          <w:rFonts w:eastAsia="Arial Unicode MS"/>
          <w:noProof/>
          <w:szCs w:val="24"/>
        </w:rPr>
      </w:pPr>
      <w:r>
        <w:rPr>
          <w:noProof/>
        </w:rPr>
        <w:t>14.1.2.</w:t>
      </w:r>
      <w:r>
        <w:rPr>
          <w:noProof/>
        </w:rPr>
        <w:tab/>
        <w:t>Types de châssis sur lesquels la carrosserie réceptionnée par type peut être installée [constructeur(s) et type(s) de véhicule incomplet]: …</w:t>
      </w:r>
    </w:p>
    <w:p>
      <w:pPr>
        <w:spacing w:before="240"/>
        <w:ind w:left="1701" w:hanging="1701"/>
        <w:jc w:val="left"/>
        <w:rPr>
          <w:rFonts w:eastAsia="Arial Unicode MS"/>
          <w:b/>
          <w:bCs/>
          <w:noProof/>
          <w:szCs w:val="24"/>
        </w:rPr>
      </w:pPr>
      <w:r>
        <w:rPr>
          <w:noProof/>
        </w:rPr>
        <w:t>14.2.</w:t>
      </w:r>
      <w:r>
        <w:rPr>
          <w:noProof/>
        </w:rPr>
        <w:tab/>
      </w:r>
      <w:r>
        <w:rPr>
          <w:b/>
          <w:noProof/>
        </w:rPr>
        <w:t>Superficie disponible pour les passagers (m</w:t>
      </w:r>
      <w:r>
        <w:rPr>
          <w:b/>
          <w:noProof/>
          <w:vertAlign w:val="superscript"/>
        </w:rPr>
        <w:t>2</w:t>
      </w:r>
      <w:r>
        <w:rPr>
          <w:b/>
          <w:noProof/>
        </w:rPr>
        <w:t xml:space="preserve">) </w:t>
      </w:r>
    </w:p>
    <w:p>
      <w:pPr>
        <w:spacing w:after="0"/>
        <w:ind w:left="1701" w:hanging="1701"/>
        <w:rPr>
          <w:rFonts w:eastAsia="Arial Unicode MS"/>
          <w:noProof/>
          <w:szCs w:val="24"/>
        </w:rPr>
      </w:pPr>
      <w:r>
        <w:rPr>
          <w:noProof/>
        </w:rPr>
        <w:t>14.2.1.</w:t>
      </w:r>
      <w:r>
        <w:rPr>
          <w:noProof/>
        </w:rPr>
        <w:tab/>
        <w:t>Total (S</w:t>
      </w:r>
      <w:r>
        <w:rPr>
          <w:noProof/>
          <w:vertAlign w:val="subscript"/>
        </w:rPr>
        <w:t>0</w:t>
      </w:r>
      <w:r>
        <w:rPr>
          <w:noProof/>
        </w:rPr>
        <w:t>): …</w:t>
      </w:r>
    </w:p>
    <w:p>
      <w:pPr>
        <w:spacing w:after="0"/>
        <w:ind w:left="1701" w:hanging="1701"/>
        <w:rPr>
          <w:rFonts w:eastAsia="Arial Unicode MS"/>
          <w:noProof/>
          <w:szCs w:val="24"/>
        </w:rPr>
      </w:pPr>
      <w:r>
        <w:rPr>
          <w:noProof/>
        </w:rPr>
        <w:t>14.2.2.</w:t>
      </w:r>
      <w:r>
        <w:rPr>
          <w:noProof/>
        </w:rPr>
        <w:tab/>
        <w:t>Étage supérieur (S</w:t>
      </w:r>
      <w:r>
        <w:rPr>
          <w:noProof/>
          <w:vertAlign w:val="subscript"/>
        </w:rPr>
        <w:t>0a</w:t>
      </w:r>
      <w:r>
        <w:rPr>
          <w:noProof/>
        </w:rPr>
        <w:t>) (</w:t>
      </w:r>
      <w:r>
        <w:rPr>
          <w:noProof/>
          <w:vertAlign w:val="superscript"/>
        </w:rPr>
        <w:t>1</w:t>
      </w:r>
      <w:r>
        <w:rPr>
          <w:noProof/>
        </w:rPr>
        <w:t>): …</w:t>
      </w:r>
    </w:p>
    <w:p>
      <w:pPr>
        <w:spacing w:after="0"/>
        <w:ind w:left="1701" w:hanging="1701"/>
        <w:rPr>
          <w:rFonts w:eastAsia="Arial Unicode MS"/>
          <w:noProof/>
          <w:szCs w:val="24"/>
        </w:rPr>
      </w:pPr>
      <w:r>
        <w:rPr>
          <w:noProof/>
        </w:rPr>
        <w:lastRenderedPageBreak/>
        <w:t>14.2.3.</w:t>
      </w:r>
      <w:r>
        <w:rPr>
          <w:noProof/>
        </w:rPr>
        <w:tab/>
        <w:t>Étage inférieur (S</w:t>
      </w:r>
      <w:r>
        <w:rPr>
          <w:noProof/>
          <w:vertAlign w:val="subscript"/>
        </w:rPr>
        <w:t>0b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14.2.4.</w:t>
      </w:r>
      <w:r>
        <w:rPr>
          <w:noProof/>
        </w:rPr>
        <w:tab/>
        <w:t>Pour les passagers debout (S</w:t>
      </w:r>
      <w:r>
        <w:rPr>
          <w:noProof/>
          <w:vertAlign w:val="subscript"/>
        </w:rPr>
        <w:t>1</w:t>
      </w:r>
      <w:r>
        <w:rPr>
          <w:noProof/>
        </w:rPr>
        <w:t>): …</w:t>
      </w:r>
    </w:p>
    <w:p>
      <w:pPr>
        <w:spacing w:before="240"/>
        <w:ind w:left="1701" w:hanging="1701"/>
        <w:jc w:val="left"/>
        <w:rPr>
          <w:rFonts w:eastAsia="Arial Unicode MS"/>
          <w:b/>
          <w:bCs/>
          <w:noProof/>
          <w:szCs w:val="24"/>
        </w:rPr>
      </w:pPr>
      <w:r>
        <w:rPr>
          <w:noProof/>
        </w:rPr>
        <w:t>14.3.</w:t>
      </w:r>
      <w:r>
        <w:rPr>
          <w:noProof/>
        </w:rPr>
        <w:tab/>
      </w:r>
      <w:r>
        <w:rPr>
          <w:b/>
          <w:noProof/>
        </w:rPr>
        <w:t xml:space="preserve">Nombre de passagers (assis et debout) </w:t>
      </w:r>
    </w:p>
    <w:p>
      <w:pPr>
        <w:spacing w:after="0"/>
        <w:ind w:left="1701" w:hanging="1701"/>
        <w:rPr>
          <w:rFonts w:eastAsia="Arial Unicode MS"/>
          <w:noProof/>
          <w:szCs w:val="24"/>
        </w:rPr>
      </w:pPr>
      <w:r>
        <w:rPr>
          <w:noProof/>
        </w:rPr>
        <w:t>14.3.1.</w:t>
      </w:r>
      <w:r>
        <w:rPr>
          <w:noProof/>
        </w:rPr>
        <w:tab/>
        <w:t>Total (N): …</w:t>
      </w:r>
    </w:p>
    <w:p>
      <w:pPr>
        <w:spacing w:after="0"/>
        <w:ind w:left="1701" w:hanging="1701"/>
        <w:rPr>
          <w:rFonts w:eastAsia="Arial Unicode MS"/>
          <w:noProof/>
          <w:szCs w:val="24"/>
        </w:rPr>
      </w:pPr>
      <w:r>
        <w:rPr>
          <w:noProof/>
        </w:rPr>
        <w:t>14.3.2.</w:t>
      </w:r>
      <w:r>
        <w:rPr>
          <w:noProof/>
        </w:rPr>
        <w:tab/>
        <w:t>Étage supérieur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14.3.3.</w:t>
      </w:r>
      <w:r>
        <w:rPr>
          <w:noProof/>
        </w:rPr>
        <w:tab/>
        <w:t>Étage inférieur (N</w:t>
      </w:r>
      <w:r>
        <w:rPr>
          <w:noProof/>
          <w:vertAlign w:val="subscript"/>
        </w:rPr>
        <w:t>b</w:t>
      </w:r>
      <w:r>
        <w:rPr>
          <w:noProof/>
        </w:rPr>
        <w:t>) (</w:t>
      </w:r>
      <w:r>
        <w:rPr>
          <w:noProof/>
          <w:vertAlign w:val="superscript"/>
        </w:rPr>
        <w:t>1</w:t>
      </w:r>
      <w:r>
        <w:rPr>
          <w:noProof/>
        </w:rPr>
        <w:t>): …</w:t>
      </w:r>
    </w:p>
    <w:p>
      <w:pPr>
        <w:spacing w:before="240"/>
        <w:ind w:left="1701" w:hanging="1701"/>
        <w:jc w:val="left"/>
        <w:rPr>
          <w:rFonts w:eastAsia="Arial Unicode MS"/>
          <w:b/>
          <w:bCs/>
          <w:noProof/>
          <w:szCs w:val="24"/>
        </w:rPr>
      </w:pPr>
      <w:r>
        <w:rPr>
          <w:noProof/>
        </w:rPr>
        <w:t>14.4.</w:t>
      </w:r>
      <w:r>
        <w:rPr>
          <w:noProof/>
        </w:rPr>
        <w:tab/>
      </w:r>
      <w:r>
        <w:rPr>
          <w:b/>
          <w:noProof/>
        </w:rPr>
        <w:t xml:space="preserve">Nombre de passagers assis </w:t>
      </w:r>
    </w:p>
    <w:p>
      <w:pPr>
        <w:spacing w:after="0"/>
        <w:ind w:left="1701" w:hanging="1701"/>
        <w:rPr>
          <w:rFonts w:eastAsia="Arial Unicode MS"/>
          <w:noProof/>
          <w:szCs w:val="24"/>
        </w:rPr>
      </w:pPr>
      <w:r>
        <w:rPr>
          <w:noProof/>
        </w:rPr>
        <w:t>14.4.1.</w:t>
      </w:r>
      <w:r>
        <w:rPr>
          <w:noProof/>
        </w:rPr>
        <w:tab/>
        <w:t>Total (A): …</w:t>
      </w:r>
    </w:p>
    <w:p>
      <w:pPr>
        <w:spacing w:after="0"/>
        <w:ind w:left="1701" w:hanging="1701"/>
        <w:rPr>
          <w:rFonts w:eastAsia="Arial Unicode MS"/>
          <w:noProof/>
          <w:szCs w:val="24"/>
        </w:rPr>
      </w:pPr>
      <w:r>
        <w:rPr>
          <w:noProof/>
        </w:rPr>
        <w:t>14.4.2.</w:t>
      </w:r>
      <w:r>
        <w:rPr>
          <w:noProof/>
        </w:rPr>
        <w:tab/>
        <w:t>Étage supérieur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14.4.3.</w:t>
      </w:r>
      <w:r>
        <w:rPr>
          <w:noProof/>
        </w:rPr>
        <w:tab/>
        <w:t>Étage inférieur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14.4.4.</w:t>
      </w:r>
      <w:r>
        <w:rPr>
          <w:noProof/>
        </w:rPr>
        <w:tab/>
        <w:t>Nombre de places pour fauteuil roulant (véhicules des catégories M</w:t>
      </w:r>
      <w:r>
        <w:rPr>
          <w:noProof/>
          <w:vertAlign w:val="subscript"/>
        </w:rPr>
        <w:t>2</w:t>
      </w:r>
      <w:r>
        <w:rPr>
          <w:noProof/>
        </w:rPr>
        <w:t xml:space="preserve"> et M</w:t>
      </w:r>
      <w:r>
        <w:rPr>
          <w:noProof/>
          <w:vertAlign w:val="subscript"/>
        </w:rPr>
        <w:t>3</w:t>
      </w:r>
      <w:r>
        <w:rPr>
          <w:noProof/>
        </w:rPr>
        <w:t>): …</w:t>
      </w:r>
    </w:p>
    <w:p>
      <w:pPr>
        <w:spacing w:before="240" w:after="0"/>
        <w:ind w:left="1701" w:hanging="1701"/>
        <w:rPr>
          <w:rFonts w:eastAsia="Arial Unicode MS"/>
          <w:noProof/>
          <w:szCs w:val="24"/>
        </w:rPr>
      </w:pPr>
      <w:r>
        <w:rPr>
          <w:noProof/>
        </w:rPr>
        <w:t>14.5.</w:t>
      </w:r>
      <w:r>
        <w:rPr>
          <w:noProof/>
        </w:rPr>
        <w:tab/>
      </w:r>
      <w:r>
        <w:rPr>
          <w:b/>
          <w:noProof/>
        </w:rPr>
        <w:t>Nombre de portes de service:</w:t>
      </w:r>
      <w:r>
        <w:rPr>
          <w:noProof/>
        </w:rPr>
        <w:t xml:space="preserve"> …</w:t>
      </w:r>
    </w:p>
    <w:p>
      <w:pPr>
        <w:spacing w:before="240" w:after="0"/>
        <w:ind w:left="1701" w:hanging="1701"/>
        <w:rPr>
          <w:rFonts w:eastAsia="Arial Unicode MS"/>
          <w:noProof/>
          <w:szCs w:val="24"/>
        </w:rPr>
      </w:pPr>
      <w:r>
        <w:rPr>
          <w:noProof/>
        </w:rPr>
        <w:t>14.6.</w:t>
      </w:r>
      <w:r>
        <w:rPr>
          <w:noProof/>
        </w:rPr>
        <w:tab/>
      </w:r>
      <w:r>
        <w:rPr>
          <w:b/>
          <w:noProof/>
        </w:rPr>
        <w:t>Nombre d’issues de secours</w:t>
      </w:r>
      <w:r>
        <w:rPr>
          <w:noProof/>
        </w:rPr>
        <w:t xml:space="preserve"> (portes, fenêtres, trappes d’évacuation, escalier intérieur et demi-escalier): …</w:t>
      </w:r>
    </w:p>
    <w:p>
      <w:pPr>
        <w:spacing w:after="0"/>
        <w:ind w:left="1701" w:hanging="1701"/>
        <w:rPr>
          <w:rFonts w:eastAsia="Arial Unicode MS"/>
          <w:noProof/>
          <w:szCs w:val="24"/>
        </w:rPr>
      </w:pPr>
      <w:r>
        <w:rPr>
          <w:noProof/>
        </w:rPr>
        <w:t>14.6.1.</w:t>
      </w:r>
      <w:r>
        <w:rPr>
          <w:noProof/>
        </w:rPr>
        <w:tab/>
        <w:t>Total: …</w:t>
      </w:r>
    </w:p>
    <w:p>
      <w:pPr>
        <w:spacing w:after="0"/>
        <w:ind w:left="1701" w:hanging="1701"/>
        <w:rPr>
          <w:rFonts w:eastAsia="Arial Unicode MS"/>
          <w:noProof/>
          <w:szCs w:val="24"/>
        </w:rPr>
      </w:pPr>
      <w:r>
        <w:rPr>
          <w:noProof/>
        </w:rPr>
        <w:t>14.6.2.</w:t>
      </w:r>
      <w:r>
        <w:rPr>
          <w:noProof/>
        </w:rPr>
        <w:tab/>
        <w:t>Étage supérieur (</w:t>
      </w:r>
      <w:r>
        <w:rPr>
          <w:noProof/>
          <w:vertAlign w:val="superscript"/>
        </w:rPr>
        <w:t>1</w:t>
      </w:r>
      <w:r>
        <w:rPr>
          <w:noProof/>
        </w:rPr>
        <w:t>): …</w:t>
      </w:r>
    </w:p>
    <w:p>
      <w:pPr>
        <w:spacing w:after="0"/>
        <w:ind w:left="1701" w:hanging="1701"/>
        <w:rPr>
          <w:rFonts w:eastAsia="Arial Unicode MS"/>
          <w:noProof/>
          <w:szCs w:val="24"/>
        </w:rPr>
      </w:pPr>
      <w:r>
        <w:rPr>
          <w:noProof/>
        </w:rPr>
        <w:t>14.6.3.</w:t>
      </w:r>
      <w:r>
        <w:rPr>
          <w:noProof/>
        </w:rPr>
        <w:tab/>
        <w:t>Étage inférieur (</w:t>
      </w:r>
      <w:r>
        <w:rPr>
          <w:noProof/>
          <w:vertAlign w:val="superscript"/>
        </w:rPr>
        <w:t>1</w:t>
      </w:r>
      <w:r>
        <w:rPr>
          <w:noProof/>
        </w:rPr>
        <w:t>): …</w:t>
      </w:r>
    </w:p>
    <w:p>
      <w:pPr>
        <w:spacing w:before="240" w:after="0"/>
        <w:ind w:left="1701" w:hanging="1701"/>
        <w:rPr>
          <w:rFonts w:eastAsia="Arial Unicode MS"/>
          <w:noProof/>
          <w:szCs w:val="24"/>
        </w:rPr>
      </w:pPr>
      <w:r>
        <w:rPr>
          <w:noProof/>
        </w:rPr>
        <w:t>14.7.</w:t>
      </w:r>
      <w:r>
        <w:rPr>
          <w:noProof/>
        </w:rPr>
        <w:tab/>
      </w:r>
      <w:r>
        <w:rPr>
          <w:b/>
          <w:noProof/>
        </w:rPr>
        <w:t>Volume des compartiments à bagages (m</w:t>
      </w:r>
      <w:r>
        <w:rPr>
          <w:b/>
          <w:noProof/>
          <w:vertAlign w:val="superscript"/>
        </w:rPr>
        <w:t>3</w:t>
      </w:r>
      <w:r>
        <w:rPr>
          <w:b/>
          <w:noProof/>
        </w:rPr>
        <w:t>):</w:t>
      </w:r>
      <w:r>
        <w:rPr>
          <w:noProof/>
        </w:rPr>
        <w:t xml:space="preserve"> …</w:t>
      </w:r>
    </w:p>
    <w:p>
      <w:pPr>
        <w:spacing w:before="240" w:after="0"/>
        <w:ind w:left="1701" w:hanging="1701"/>
        <w:rPr>
          <w:rFonts w:eastAsia="Arial Unicode MS"/>
          <w:noProof/>
          <w:szCs w:val="24"/>
        </w:rPr>
      </w:pPr>
      <w:r>
        <w:rPr>
          <w:noProof/>
        </w:rPr>
        <w:t>14.8.</w:t>
      </w:r>
      <w:r>
        <w:rPr>
          <w:noProof/>
        </w:rPr>
        <w:tab/>
      </w:r>
      <w:r>
        <w:rPr>
          <w:b/>
          <w:noProof/>
        </w:rPr>
        <w:t>Superficie destinée à recevoir des bagages sur le toit (en m</w:t>
      </w:r>
      <w:r>
        <w:rPr>
          <w:b/>
          <w:noProof/>
          <w:vertAlign w:val="superscript"/>
        </w:rPr>
        <w:t>2</w:t>
      </w:r>
      <w:r>
        <w:rPr>
          <w:b/>
          <w:noProof/>
        </w:rPr>
        <w:t>):…</w:t>
      </w:r>
      <w:r>
        <w:rPr>
          <w:noProof/>
        </w:rPr>
        <w:t xml:space="preserve"> …</w:t>
      </w:r>
    </w:p>
    <w:p>
      <w:pPr>
        <w:spacing w:before="240" w:after="0"/>
        <w:ind w:left="1701" w:hanging="1701"/>
        <w:rPr>
          <w:rFonts w:eastAsia="Arial Unicode MS"/>
          <w:noProof/>
          <w:szCs w:val="24"/>
        </w:rPr>
      </w:pPr>
      <w:r>
        <w:rPr>
          <w:noProof/>
        </w:rPr>
        <w:t>14.9.</w:t>
      </w:r>
      <w:r>
        <w:rPr>
          <w:noProof/>
        </w:rPr>
        <w:tab/>
      </w:r>
      <w:r>
        <w:rPr>
          <w:b/>
          <w:noProof/>
        </w:rPr>
        <w:t>Dispositifs techniques facilitant l’accès aux véhicules</w:t>
      </w:r>
      <w:r>
        <w:rPr>
          <w:noProof/>
        </w:rPr>
        <w:t xml:space="preserve"> (par exemple, rampe, plate-forme de levage, système de baraquage), le cas échéant: …</w:t>
      </w:r>
    </w:p>
    <w:p>
      <w:pPr>
        <w:spacing w:before="240"/>
        <w:ind w:left="1701" w:hanging="1701"/>
        <w:jc w:val="left"/>
        <w:rPr>
          <w:rFonts w:eastAsia="Arial Unicode MS"/>
          <w:b/>
          <w:bCs/>
          <w:noProof/>
          <w:szCs w:val="24"/>
        </w:rPr>
      </w:pPr>
      <w:r>
        <w:rPr>
          <w:noProof/>
        </w:rPr>
        <w:t>14.10.</w:t>
      </w:r>
      <w:r>
        <w:rPr>
          <w:noProof/>
        </w:rPr>
        <w:tab/>
      </w:r>
      <w:r>
        <w:rPr>
          <w:b/>
          <w:noProof/>
        </w:rPr>
        <w:t xml:space="preserve">Résistance de la superstructure </w:t>
      </w:r>
    </w:p>
    <w:p>
      <w:pPr>
        <w:spacing w:after="0"/>
        <w:ind w:left="1701" w:hanging="1701"/>
        <w:rPr>
          <w:rFonts w:eastAsia="Arial Unicode MS"/>
          <w:noProof/>
          <w:szCs w:val="24"/>
        </w:rPr>
      </w:pPr>
      <w:r>
        <w:rPr>
          <w:noProof/>
        </w:rPr>
        <w:t>14.10.1.</w:t>
      </w:r>
      <w:r>
        <w:rPr>
          <w:noProof/>
        </w:rPr>
        <w:tab/>
        <w:t>Numéro de réception par type, le cas échéant: …</w:t>
      </w:r>
    </w:p>
    <w:p>
      <w:pPr>
        <w:spacing w:after="0"/>
        <w:ind w:left="1701" w:hanging="1701"/>
        <w:rPr>
          <w:rFonts w:eastAsia="Arial Unicode MS"/>
          <w:noProof/>
          <w:szCs w:val="24"/>
        </w:rPr>
      </w:pPr>
      <w:r>
        <w:rPr>
          <w:noProof/>
        </w:rPr>
        <w:t>14.10.2.</w:t>
      </w:r>
      <w:r>
        <w:rPr>
          <w:noProof/>
        </w:rPr>
        <w:tab/>
        <w:t>Pour les superstructures non encore réceptionnées</w:t>
      </w:r>
    </w:p>
    <w:p>
      <w:pPr>
        <w:spacing w:after="0"/>
        <w:ind w:left="1701" w:hanging="1701"/>
        <w:rPr>
          <w:rFonts w:eastAsia="Arial Unicode MS"/>
          <w:noProof/>
          <w:szCs w:val="24"/>
        </w:rPr>
      </w:pPr>
      <w:r>
        <w:rPr>
          <w:noProof/>
        </w:rPr>
        <w:t>14.10.2.1.</w:t>
      </w:r>
      <w:r>
        <w:rPr>
          <w:noProof/>
        </w:rPr>
        <w:tab/>
        <w:t>Description détaillée de la superstructure du type de véhicule, notamment ses dimensions, sa configuration et ses matériaux le constitutifs ainsi que ses points d’attache au châssis: …</w:t>
      </w:r>
    </w:p>
    <w:p>
      <w:pPr>
        <w:spacing w:after="0"/>
        <w:ind w:left="1701" w:hanging="1701"/>
        <w:rPr>
          <w:rFonts w:eastAsia="Arial Unicode MS"/>
          <w:noProof/>
          <w:szCs w:val="24"/>
        </w:rPr>
      </w:pPr>
      <w:r>
        <w:rPr>
          <w:noProof/>
        </w:rPr>
        <w:t>14.10.2.2.</w:t>
      </w:r>
      <w:r>
        <w:rPr>
          <w:noProof/>
        </w:rPr>
        <w:tab/>
        <w:t>Dessins du véhicule et des parties de l’aménagement intérieur ayant une influence sur la résistance de la superstructure ou sur l’espace de survie: …</w:t>
      </w:r>
    </w:p>
    <w:p>
      <w:pPr>
        <w:spacing w:after="0"/>
        <w:ind w:left="1701" w:hanging="1701"/>
        <w:rPr>
          <w:rFonts w:eastAsia="Arial Unicode MS"/>
          <w:noProof/>
          <w:szCs w:val="24"/>
        </w:rPr>
      </w:pPr>
      <w:r>
        <w:rPr>
          <w:noProof/>
        </w:rPr>
        <w:t>14.10.2.3.</w:t>
      </w:r>
      <w:r>
        <w:rPr>
          <w:noProof/>
        </w:rPr>
        <w:tab/>
        <w:t>Position du centre de gravité du véhicule en ordre de marche dans le sens longitudinal, transversal et vertical: …</w:t>
      </w:r>
    </w:p>
    <w:p>
      <w:pPr>
        <w:spacing w:after="0"/>
        <w:ind w:left="1701" w:hanging="1701"/>
        <w:rPr>
          <w:rFonts w:eastAsia="Arial Unicode MS"/>
          <w:noProof/>
          <w:szCs w:val="24"/>
        </w:rPr>
      </w:pPr>
      <w:r>
        <w:rPr>
          <w:noProof/>
        </w:rPr>
        <w:t>14.10.2.4.</w:t>
      </w:r>
      <w:r>
        <w:rPr>
          <w:noProof/>
        </w:rPr>
        <w:tab/>
        <w:t>Distance maximale entre les lignes médianes des sièges de passagers latéraux: …</w:t>
      </w:r>
    </w:p>
    <w:p>
      <w:pPr>
        <w:spacing w:before="240" w:after="0"/>
        <w:ind w:left="1701" w:hanging="1701"/>
        <w:rPr>
          <w:rFonts w:eastAsia="Arial Unicode MS"/>
          <w:noProof/>
          <w:szCs w:val="24"/>
        </w:rPr>
      </w:pPr>
      <w:r>
        <w:rPr>
          <w:noProof/>
        </w:rPr>
        <w:lastRenderedPageBreak/>
        <w:t>14.11.</w:t>
      </w:r>
      <w:r>
        <w:rPr>
          <w:noProof/>
        </w:rPr>
        <w:tab/>
      </w:r>
      <w:r>
        <w:rPr>
          <w:b/>
          <w:noProof/>
        </w:rPr>
        <w:t>Paragraphes des règlements n</w:t>
      </w:r>
      <w:r>
        <w:rPr>
          <w:b/>
          <w:noProof/>
          <w:vertAlign w:val="superscript"/>
        </w:rPr>
        <w:t>os</w:t>
      </w:r>
      <w:r>
        <w:rPr>
          <w:b/>
          <w:noProof/>
        </w:rPr>
        <w:t> 66 et 107 de la CEE-ONU dont le respect des prescriptions doit être démontré pour cette entité technique:</w:t>
      </w:r>
      <w:r>
        <w:rPr>
          <w:noProof/>
        </w:rPr>
        <w:t xml:space="preserve"> …</w:t>
      </w:r>
    </w:p>
    <w:p>
      <w:pPr>
        <w:spacing w:before="240" w:after="0"/>
        <w:ind w:left="1701" w:hanging="1701"/>
        <w:rPr>
          <w:rFonts w:eastAsia="Arial Unicode MS"/>
          <w:noProof/>
          <w:szCs w:val="24"/>
        </w:rPr>
      </w:pPr>
      <w:r>
        <w:rPr>
          <w:noProof/>
        </w:rPr>
        <w:t>14.12.</w:t>
      </w:r>
      <w:r>
        <w:rPr>
          <w:noProof/>
        </w:rPr>
        <w:tab/>
      </w:r>
      <w:r>
        <w:rPr>
          <w:b/>
          <w:noProof/>
        </w:rPr>
        <w:t>Dessin avec dimensions montrant l’aménagement intérieur en ce qui concerne les places assises, les espaces pour passagers debout ou passagers en chaise roulante et les compartiments à bagages, y compris les porte-bagages et rangements pour skis, le cas échéant</w:t>
      </w:r>
    </w:p>
    <w:p>
      <w:pPr>
        <w:spacing w:before="360"/>
        <w:ind w:left="1701" w:hanging="1701"/>
        <w:rPr>
          <w:rFonts w:eastAsia="Arial Unicode MS"/>
          <w:b/>
          <w:bCs/>
          <w:noProof/>
          <w:szCs w:val="24"/>
        </w:rPr>
      </w:pPr>
      <w:r>
        <w:rPr>
          <w:noProof/>
        </w:rPr>
        <w:t>15.</w:t>
      </w:r>
      <w:r>
        <w:rPr>
          <w:noProof/>
        </w:rPr>
        <w:tab/>
      </w:r>
      <w:r>
        <w:rPr>
          <w:b/>
          <w:noProof/>
        </w:rPr>
        <w:t>DISPOSITIONS PARTICULIÈRES POUR LES VÉHICULES DESTINÉS AU TRANSPORT DE MARCHANDISES DANGEREUSES</w:t>
      </w:r>
    </w:p>
    <w:p>
      <w:pPr>
        <w:spacing w:before="240"/>
        <w:ind w:left="1701" w:hanging="1701"/>
        <w:rPr>
          <w:rFonts w:eastAsia="Arial Unicode MS"/>
          <w:b/>
          <w:bCs/>
          <w:noProof/>
          <w:szCs w:val="24"/>
        </w:rPr>
      </w:pPr>
      <w:r>
        <w:rPr>
          <w:noProof/>
        </w:rPr>
        <w:t>15.1.</w:t>
      </w:r>
      <w:r>
        <w:rPr>
          <w:noProof/>
        </w:rPr>
        <w:tab/>
      </w:r>
      <w:r>
        <w:rPr>
          <w:b/>
          <w:noProof/>
        </w:rPr>
        <w:t>Équipement électrique conformément à la directive 2008/68/CE du Parlement européen et du Conseil</w:t>
      </w:r>
      <w:r>
        <w:rPr>
          <w:rStyle w:val="FootnoteReference"/>
          <w:b/>
          <w:noProof/>
        </w:rPr>
        <w:footnoteReference w:id="11"/>
      </w:r>
    </w:p>
    <w:p>
      <w:pPr>
        <w:spacing w:after="0"/>
        <w:ind w:left="1701" w:hanging="1701"/>
        <w:rPr>
          <w:rFonts w:eastAsia="Arial Unicode MS"/>
          <w:noProof/>
          <w:szCs w:val="24"/>
        </w:rPr>
      </w:pPr>
      <w:r>
        <w:rPr>
          <w:noProof/>
        </w:rPr>
        <w:t>15.1.1.</w:t>
      </w:r>
      <w:r>
        <w:rPr>
          <w:noProof/>
        </w:rPr>
        <w:tab/>
        <w:t>Protection contre la surchauffe des conducteurs électriques: …</w:t>
      </w:r>
    </w:p>
    <w:p>
      <w:pPr>
        <w:spacing w:after="0"/>
        <w:ind w:left="1701" w:hanging="1701"/>
        <w:rPr>
          <w:rFonts w:eastAsia="Arial Unicode MS"/>
          <w:noProof/>
          <w:szCs w:val="24"/>
        </w:rPr>
      </w:pPr>
      <w:r>
        <w:rPr>
          <w:noProof/>
        </w:rPr>
        <w:t>15.1.2.</w:t>
      </w:r>
      <w:r>
        <w:rPr>
          <w:noProof/>
        </w:rPr>
        <w:tab/>
        <w:t>Type de disjoncteur: …</w:t>
      </w:r>
    </w:p>
    <w:p>
      <w:pPr>
        <w:spacing w:after="0"/>
        <w:ind w:left="1701" w:hanging="1701"/>
        <w:rPr>
          <w:rFonts w:eastAsia="Arial Unicode MS"/>
          <w:noProof/>
          <w:szCs w:val="24"/>
        </w:rPr>
      </w:pPr>
      <w:r>
        <w:rPr>
          <w:noProof/>
        </w:rPr>
        <w:t>15.1.3.</w:t>
      </w:r>
      <w:r>
        <w:rPr>
          <w:noProof/>
        </w:rPr>
        <w:tab/>
        <w:t>Type et fonctionnement du coupe-circuit de batterie: …</w:t>
      </w:r>
    </w:p>
    <w:p>
      <w:pPr>
        <w:spacing w:after="0"/>
        <w:ind w:left="1701" w:hanging="1701"/>
        <w:rPr>
          <w:rFonts w:eastAsia="Arial Unicode MS"/>
          <w:noProof/>
          <w:szCs w:val="24"/>
        </w:rPr>
      </w:pPr>
      <w:r>
        <w:rPr>
          <w:noProof/>
        </w:rPr>
        <w:t>15.1.4.</w:t>
      </w:r>
      <w:r>
        <w:rPr>
          <w:noProof/>
        </w:rPr>
        <w:tab/>
        <w:t>Description et emplacement de la barrière de sécurité du tachygraphe: …</w:t>
      </w:r>
    </w:p>
    <w:p>
      <w:pPr>
        <w:spacing w:after="0"/>
        <w:ind w:left="1701" w:hanging="1701"/>
        <w:rPr>
          <w:rFonts w:eastAsia="Arial Unicode MS"/>
          <w:noProof/>
          <w:szCs w:val="24"/>
        </w:rPr>
      </w:pPr>
      <w:r>
        <w:rPr>
          <w:noProof/>
        </w:rPr>
        <w:t>15.1.5.</w:t>
      </w:r>
      <w:r>
        <w:rPr>
          <w:noProof/>
        </w:rPr>
        <w:tab/>
        <w:t>Description des circuits en permanence sous tension. Indiquer la norme européenne (EN) appliquée: …</w:t>
      </w:r>
    </w:p>
    <w:p>
      <w:pPr>
        <w:spacing w:after="0"/>
        <w:ind w:left="1701" w:hanging="1701"/>
        <w:rPr>
          <w:rFonts w:eastAsia="Arial Unicode MS"/>
          <w:noProof/>
          <w:szCs w:val="24"/>
        </w:rPr>
      </w:pPr>
      <w:r>
        <w:rPr>
          <w:noProof/>
        </w:rPr>
        <w:t>15.1.6.</w:t>
      </w:r>
      <w:r>
        <w:rPr>
          <w:noProof/>
        </w:rPr>
        <w:tab/>
        <w:t>Construction et protection de l’installation électrique placée à l’arrière de la cabine de conduite: …</w:t>
      </w:r>
    </w:p>
    <w:p>
      <w:pPr>
        <w:spacing w:before="240"/>
        <w:ind w:left="1701" w:hanging="1701"/>
        <w:jc w:val="left"/>
        <w:rPr>
          <w:rFonts w:eastAsia="Arial Unicode MS"/>
          <w:b/>
          <w:bCs/>
          <w:noProof/>
          <w:szCs w:val="24"/>
        </w:rPr>
      </w:pPr>
      <w:r>
        <w:rPr>
          <w:noProof/>
        </w:rPr>
        <w:t>15.2.</w:t>
      </w:r>
      <w:r>
        <w:rPr>
          <w:noProof/>
        </w:rPr>
        <w:tab/>
      </w:r>
      <w:r>
        <w:rPr>
          <w:b/>
          <w:noProof/>
        </w:rPr>
        <w:t xml:space="preserve">Prévention des risques d’incendie </w:t>
      </w:r>
    </w:p>
    <w:p>
      <w:pPr>
        <w:spacing w:after="0"/>
        <w:ind w:left="1701" w:hanging="1701"/>
        <w:rPr>
          <w:rFonts w:eastAsia="Arial Unicode MS"/>
          <w:noProof/>
          <w:szCs w:val="24"/>
        </w:rPr>
      </w:pPr>
      <w:r>
        <w:rPr>
          <w:noProof/>
        </w:rPr>
        <w:t>15.2.1.</w:t>
      </w:r>
      <w:r>
        <w:rPr>
          <w:noProof/>
        </w:rPr>
        <w:tab/>
        <w:t>Type des matériaux difficilement inflammables de la cabine de conduite: …</w:t>
      </w:r>
    </w:p>
    <w:p>
      <w:pPr>
        <w:spacing w:after="0"/>
        <w:ind w:left="1701" w:hanging="1701"/>
        <w:rPr>
          <w:rFonts w:eastAsia="Arial Unicode MS"/>
          <w:noProof/>
          <w:szCs w:val="24"/>
        </w:rPr>
      </w:pPr>
      <w:r>
        <w:rPr>
          <w:noProof/>
        </w:rPr>
        <w:t>15.2.2.</w:t>
      </w:r>
      <w:r>
        <w:rPr>
          <w:noProof/>
        </w:rPr>
        <w:tab/>
        <w:t>Type de l’écran thermique à l’arrière de la cabine de conduite (le cas échéant): …</w:t>
      </w:r>
    </w:p>
    <w:p>
      <w:pPr>
        <w:spacing w:after="0"/>
        <w:ind w:left="1701" w:hanging="1701"/>
        <w:rPr>
          <w:rFonts w:eastAsia="Arial Unicode MS"/>
          <w:noProof/>
          <w:szCs w:val="24"/>
        </w:rPr>
      </w:pPr>
      <w:r>
        <w:rPr>
          <w:noProof/>
        </w:rPr>
        <w:t>15.2.3.</w:t>
      </w:r>
      <w:r>
        <w:rPr>
          <w:noProof/>
        </w:rPr>
        <w:tab/>
        <w:t>Emplacement et protection thermique du moteur: …</w:t>
      </w:r>
    </w:p>
    <w:p>
      <w:pPr>
        <w:spacing w:after="0"/>
        <w:ind w:left="1701" w:hanging="1701"/>
        <w:rPr>
          <w:rFonts w:eastAsia="Arial Unicode MS"/>
          <w:noProof/>
          <w:szCs w:val="24"/>
        </w:rPr>
      </w:pPr>
      <w:r>
        <w:rPr>
          <w:noProof/>
        </w:rPr>
        <w:t>15.2.4.</w:t>
      </w:r>
      <w:r>
        <w:rPr>
          <w:noProof/>
        </w:rPr>
        <w:tab/>
        <w:t>Emplacement et protection thermique du système d’échappement: …</w:t>
      </w:r>
    </w:p>
    <w:p>
      <w:pPr>
        <w:spacing w:after="0"/>
        <w:ind w:left="1701" w:hanging="1701"/>
        <w:rPr>
          <w:rFonts w:eastAsia="Arial Unicode MS"/>
          <w:noProof/>
          <w:szCs w:val="24"/>
        </w:rPr>
      </w:pPr>
      <w:r>
        <w:rPr>
          <w:noProof/>
        </w:rPr>
        <w:t>15.2.5.</w:t>
      </w:r>
      <w:r>
        <w:rPr>
          <w:noProof/>
        </w:rPr>
        <w:tab/>
        <w:t>Type et conception de la protection thermique des systèmes de freinage d’endurance: …</w:t>
      </w:r>
    </w:p>
    <w:p>
      <w:pPr>
        <w:spacing w:after="0"/>
        <w:ind w:left="1701" w:hanging="1701"/>
        <w:rPr>
          <w:rFonts w:eastAsia="Arial Unicode MS"/>
          <w:noProof/>
          <w:szCs w:val="24"/>
        </w:rPr>
      </w:pPr>
      <w:r>
        <w:rPr>
          <w:noProof/>
        </w:rPr>
        <w:t>15.2.6.</w:t>
      </w:r>
      <w:r>
        <w:rPr>
          <w:noProof/>
        </w:rPr>
        <w:tab/>
        <w:t>Type, conception et emplacement des dispositifs de chauffage à combustion: …</w:t>
      </w:r>
    </w:p>
    <w:p>
      <w:pPr>
        <w:spacing w:before="240"/>
        <w:ind w:left="1701" w:hanging="1701"/>
        <w:jc w:val="left"/>
        <w:rPr>
          <w:rFonts w:eastAsia="Arial Unicode MS"/>
          <w:b/>
          <w:bCs/>
          <w:noProof/>
          <w:szCs w:val="24"/>
        </w:rPr>
      </w:pPr>
      <w:r>
        <w:rPr>
          <w:noProof/>
        </w:rPr>
        <w:t>15.3.</w:t>
      </w:r>
      <w:r>
        <w:rPr>
          <w:noProof/>
        </w:rPr>
        <w:tab/>
      </w:r>
      <w:r>
        <w:rPr>
          <w:b/>
          <w:noProof/>
        </w:rPr>
        <w:t>Prescriptions spéciales pour la carrosserie, le cas échéant, conformément à la directive 2008/68/CE du Parlement européen et du Conseil</w:t>
      </w:r>
    </w:p>
    <w:p>
      <w:pPr>
        <w:spacing w:after="0"/>
        <w:ind w:left="1701" w:hanging="1701"/>
        <w:rPr>
          <w:rFonts w:eastAsia="Arial Unicode MS"/>
          <w:noProof/>
          <w:szCs w:val="24"/>
        </w:rPr>
      </w:pPr>
      <w:r>
        <w:rPr>
          <w:noProof/>
        </w:rPr>
        <w:t>15.3.1.</w:t>
      </w:r>
      <w:r>
        <w:rPr>
          <w:noProof/>
        </w:rPr>
        <w:tab/>
        <w:t>Description des mesures prises pour satisfaire aux prescriptions applicables aux véhicules de type EX/II et de type EX/III: …</w:t>
      </w:r>
    </w:p>
    <w:p>
      <w:pPr>
        <w:spacing w:after="0"/>
        <w:ind w:left="1701" w:hanging="1701"/>
        <w:rPr>
          <w:rFonts w:eastAsia="Arial Unicode MS"/>
          <w:noProof/>
          <w:szCs w:val="24"/>
        </w:rPr>
      </w:pPr>
      <w:r>
        <w:rPr>
          <w:noProof/>
        </w:rPr>
        <w:lastRenderedPageBreak/>
        <w:t>15.3.2.</w:t>
      </w:r>
      <w:r>
        <w:rPr>
          <w:noProof/>
        </w:rPr>
        <w:tab/>
        <w:t>Dans le cas de véhicules de type EX/III, résistance à la chaleur extérieure: …</w:t>
      </w:r>
    </w:p>
    <w:p>
      <w:pPr>
        <w:spacing w:before="360"/>
        <w:ind w:left="1701" w:hanging="1701"/>
        <w:jc w:val="left"/>
        <w:rPr>
          <w:rFonts w:eastAsia="Arial Unicode MS"/>
          <w:b/>
          <w:bCs/>
          <w:noProof/>
          <w:szCs w:val="24"/>
        </w:rPr>
      </w:pPr>
      <w:r>
        <w:rPr>
          <w:b/>
          <w:noProof/>
        </w:rPr>
        <w:t>16.</w:t>
      </w:r>
      <w:r>
        <w:rPr>
          <w:noProof/>
        </w:rPr>
        <w:tab/>
      </w:r>
      <w:r>
        <w:rPr>
          <w:b/>
          <w:noProof/>
        </w:rPr>
        <w:t xml:space="preserve">POSSIBILITÉS DE RÉUTILISATION, RECYCLAGE ET VALORISATION </w:t>
      </w:r>
    </w:p>
    <w:p>
      <w:pPr>
        <w:spacing w:before="240" w:after="0"/>
        <w:ind w:left="1701" w:hanging="1701"/>
        <w:rPr>
          <w:rFonts w:eastAsia="Arial Unicode MS"/>
          <w:noProof/>
          <w:szCs w:val="24"/>
        </w:rPr>
      </w:pPr>
      <w:r>
        <w:rPr>
          <w:noProof/>
        </w:rPr>
        <w:t>16.1.</w:t>
      </w:r>
      <w:r>
        <w:rPr>
          <w:noProof/>
        </w:rPr>
        <w:tab/>
        <w:t>Version à laquelle appartient le véhicule de référence: …</w:t>
      </w:r>
    </w:p>
    <w:p>
      <w:pPr>
        <w:spacing w:before="240" w:after="0"/>
        <w:ind w:left="1701" w:hanging="1701"/>
        <w:rPr>
          <w:rFonts w:eastAsia="Arial Unicode MS"/>
          <w:noProof/>
          <w:szCs w:val="24"/>
        </w:rPr>
      </w:pPr>
      <w:r>
        <w:rPr>
          <w:noProof/>
        </w:rPr>
        <w:t>16.2.</w:t>
      </w:r>
      <w:r>
        <w:rPr>
          <w:noProof/>
        </w:rPr>
        <w:tab/>
        <w:t>Masse du véhicule de référence avec carrosserie ou masse du châssis avec cabine, sans la carrosserie ni/ou le dispositif d’attelage si le constructeur ne pose pas la carrosserie ni/ou le dispositif d’attelage (avec liquides, outillage, roue de secours, le cas échéant), sans le conducteur: …</w:t>
      </w:r>
    </w:p>
    <w:p>
      <w:pPr>
        <w:spacing w:before="240" w:after="0"/>
        <w:ind w:left="1701" w:hanging="1701"/>
        <w:rPr>
          <w:rFonts w:eastAsia="Arial Unicode MS"/>
          <w:noProof/>
          <w:szCs w:val="24"/>
        </w:rPr>
      </w:pPr>
      <w:r>
        <w:rPr>
          <w:noProof/>
        </w:rPr>
        <w:t>16.3.</w:t>
      </w:r>
      <w:r>
        <w:rPr>
          <w:noProof/>
        </w:rPr>
        <w:tab/>
        <w:t>Masse des matériaux du véhicule de référence: …</w:t>
      </w:r>
    </w:p>
    <w:p>
      <w:pPr>
        <w:spacing w:after="0"/>
        <w:ind w:left="1701" w:hanging="1701"/>
        <w:rPr>
          <w:rFonts w:eastAsia="Arial Unicode MS"/>
          <w:noProof/>
          <w:szCs w:val="24"/>
        </w:rPr>
      </w:pPr>
      <w:r>
        <w:rPr>
          <w:noProof/>
        </w:rPr>
        <w:t>16.3.1.</w:t>
      </w:r>
      <w:r>
        <w:rPr>
          <w:noProof/>
        </w:rPr>
        <w:tab/>
        <w:t>Masse des matériaux prise en compte au stade du prétraitement (</w:t>
      </w:r>
      <w:r>
        <w:rPr>
          <w:noProof/>
          <w:vertAlign w:val="superscript"/>
        </w:rPr>
        <w:t>v</w:t>
      </w:r>
      <w:r>
        <w:rPr>
          <w:noProof/>
        </w:rPr>
        <w:t>): …</w:t>
      </w:r>
    </w:p>
    <w:p>
      <w:pPr>
        <w:spacing w:after="0"/>
        <w:ind w:left="1701" w:hanging="1701"/>
        <w:rPr>
          <w:rFonts w:eastAsia="Arial Unicode MS"/>
          <w:noProof/>
          <w:szCs w:val="24"/>
        </w:rPr>
      </w:pPr>
      <w:r>
        <w:rPr>
          <w:noProof/>
        </w:rPr>
        <w:t>16.3.2.</w:t>
      </w:r>
      <w:r>
        <w:rPr>
          <w:noProof/>
        </w:rPr>
        <w:tab/>
        <w:t>Masse des matériaux prise en compte au stade du démontage (</w:t>
      </w:r>
      <w:r>
        <w:rPr>
          <w:noProof/>
          <w:vertAlign w:val="superscript"/>
        </w:rPr>
        <w:t>v</w:t>
      </w:r>
      <w:r>
        <w:rPr>
          <w:noProof/>
        </w:rPr>
        <w:t>): …</w:t>
      </w:r>
    </w:p>
    <w:p>
      <w:pPr>
        <w:spacing w:after="0"/>
        <w:ind w:left="1701" w:hanging="1701"/>
        <w:rPr>
          <w:rFonts w:eastAsia="Arial Unicode MS"/>
          <w:noProof/>
          <w:szCs w:val="24"/>
        </w:rPr>
      </w:pPr>
      <w:r>
        <w:rPr>
          <w:noProof/>
        </w:rPr>
        <w:t>16.3.3.</w:t>
      </w:r>
      <w:r>
        <w:rPr>
          <w:noProof/>
        </w:rPr>
        <w:tab/>
        <w:t>Masse des matériaux prise en compte au stade du traitement des résidus non métalliques, considérée comme recyclable (</w:t>
      </w:r>
      <w:r>
        <w:rPr>
          <w:noProof/>
          <w:vertAlign w:val="superscript"/>
        </w:rPr>
        <w:t>v</w:t>
      </w:r>
      <w:r>
        <w:rPr>
          <w:noProof/>
        </w:rPr>
        <w:t>) : …</w:t>
      </w:r>
    </w:p>
    <w:p>
      <w:pPr>
        <w:spacing w:after="0"/>
        <w:ind w:left="1701" w:hanging="1701"/>
        <w:rPr>
          <w:rFonts w:eastAsia="Arial Unicode MS"/>
          <w:noProof/>
          <w:szCs w:val="24"/>
        </w:rPr>
      </w:pPr>
      <w:r>
        <w:rPr>
          <w:noProof/>
        </w:rPr>
        <w:t>16.3.4.</w:t>
      </w:r>
      <w:r>
        <w:rPr>
          <w:noProof/>
        </w:rPr>
        <w:tab/>
        <w:t>Masse des matériaux prise en compte au stade du traitement des résidus non métalliques, considérée comme pouvant faire l’objet d’une valorisation énergétique (</w:t>
      </w:r>
      <w:r>
        <w:rPr>
          <w:noProof/>
          <w:vertAlign w:val="superscript"/>
        </w:rPr>
        <w:t>v</w:t>
      </w:r>
      <w:r>
        <w:rPr>
          <w:noProof/>
        </w:rPr>
        <w:t>): …</w:t>
      </w:r>
    </w:p>
    <w:p>
      <w:pPr>
        <w:spacing w:after="0"/>
        <w:ind w:left="1701" w:hanging="1701"/>
        <w:rPr>
          <w:rFonts w:eastAsia="Arial Unicode MS"/>
          <w:noProof/>
          <w:szCs w:val="24"/>
        </w:rPr>
      </w:pPr>
      <w:r>
        <w:rPr>
          <w:noProof/>
        </w:rPr>
        <w:t>16.3.5.</w:t>
      </w:r>
      <w:r>
        <w:rPr>
          <w:noProof/>
        </w:rPr>
        <w:tab/>
        <w:t>Décomposition en matériaux (</w:t>
      </w:r>
      <w:r>
        <w:rPr>
          <w:noProof/>
          <w:vertAlign w:val="superscript"/>
        </w:rPr>
        <w:t>v</w:t>
      </w:r>
      <w:r>
        <w:rPr>
          <w:noProof/>
        </w:rPr>
        <w:t>): …</w:t>
      </w:r>
    </w:p>
    <w:p>
      <w:pPr>
        <w:spacing w:after="0"/>
        <w:ind w:left="1701" w:hanging="1701"/>
        <w:rPr>
          <w:rFonts w:eastAsia="Arial Unicode MS"/>
          <w:noProof/>
          <w:szCs w:val="24"/>
        </w:rPr>
      </w:pPr>
      <w:r>
        <w:rPr>
          <w:noProof/>
        </w:rPr>
        <w:t>16.3.6.</w:t>
      </w:r>
      <w:r>
        <w:rPr>
          <w:noProof/>
        </w:rPr>
        <w:tab/>
        <w:t>Masse totale des matériaux réutilisables et/ou recyclables: …</w:t>
      </w:r>
    </w:p>
    <w:p>
      <w:pPr>
        <w:spacing w:after="0"/>
        <w:ind w:left="1701" w:hanging="1701"/>
        <w:rPr>
          <w:rFonts w:eastAsia="Arial Unicode MS"/>
          <w:noProof/>
          <w:szCs w:val="24"/>
        </w:rPr>
      </w:pPr>
      <w:r>
        <w:rPr>
          <w:noProof/>
        </w:rPr>
        <w:t>16.3.7.</w:t>
      </w:r>
      <w:r>
        <w:rPr>
          <w:noProof/>
        </w:rPr>
        <w:tab/>
        <w:t>Masse totale des matériaux réutilisables et/ou valorisables: …</w:t>
      </w:r>
    </w:p>
    <w:p>
      <w:pPr>
        <w:spacing w:before="240"/>
        <w:ind w:left="1701" w:hanging="1701"/>
        <w:jc w:val="left"/>
        <w:rPr>
          <w:rFonts w:eastAsia="Arial Unicode MS"/>
          <w:bCs/>
          <w:noProof/>
          <w:szCs w:val="24"/>
        </w:rPr>
      </w:pPr>
      <w:r>
        <w:rPr>
          <w:noProof/>
        </w:rPr>
        <w:t>16.4.</w:t>
      </w:r>
      <w:r>
        <w:rPr>
          <w:noProof/>
        </w:rPr>
        <w:tab/>
        <w:t>Taux</w:t>
      </w:r>
    </w:p>
    <w:p>
      <w:pPr>
        <w:spacing w:after="0"/>
        <w:ind w:left="1701" w:hanging="1701"/>
        <w:rPr>
          <w:rFonts w:eastAsia="Arial Unicode MS"/>
          <w:noProof/>
          <w:szCs w:val="24"/>
        </w:rPr>
      </w:pPr>
      <w:r>
        <w:rPr>
          <w:noProof/>
        </w:rPr>
        <w:t>16.4.1.</w:t>
      </w:r>
      <w:r>
        <w:rPr>
          <w:noProof/>
        </w:rPr>
        <w:tab/>
        <w:t>Taux de recyclabilité «R</w:t>
      </w:r>
      <w:r>
        <w:rPr>
          <w:noProof/>
          <w:vertAlign w:val="subscript"/>
        </w:rPr>
        <w:t>cyc</w:t>
      </w:r>
      <w:r>
        <w:rPr>
          <w:noProof/>
        </w:rPr>
        <w:t>» (%): …</w:t>
      </w:r>
    </w:p>
    <w:p>
      <w:pPr>
        <w:spacing w:after="0"/>
        <w:ind w:left="1701" w:hanging="1701"/>
        <w:rPr>
          <w:rFonts w:eastAsia="Arial Unicode MS"/>
          <w:noProof/>
          <w:szCs w:val="24"/>
        </w:rPr>
      </w:pPr>
      <w:r>
        <w:rPr>
          <w:noProof/>
        </w:rPr>
        <w:t>16.4.2.</w:t>
      </w:r>
      <w:r>
        <w:rPr>
          <w:noProof/>
        </w:rPr>
        <w:tab/>
        <w:t>Taux de valorisabilité «R</w:t>
      </w:r>
      <w:r>
        <w:rPr>
          <w:noProof/>
          <w:vertAlign w:val="subscript"/>
        </w:rPr>
        <w:t>cov</w:t>
      </w:r>
      <w:r>
        <w:rPr>
          <w:noProof/>
        </w:rPr>
        <w:t>» (%): …</w:t>
      </w:r>
    </w:p>
    <w:p>
      <w:pPr>
        <w:spacing w:before="480"/>
        <w:ind w:left="1701" w:hanging="1701"/>
        <w:jc w:val="left"/>
        <w:rPr>
          <w:rFonts w:eastAsia="Arial Unicode MS"/>
          <w:b/>
          <w:bCs/>
          <w:noProof/>
          <w:szCs w:val="24"/>
        </w:rPr>
      </w:pPr>
      <w:r>
        <w:rPr>
          <w:b/>
          <w:noProof/>
        </w:rPr>
        <w:t>17.</w:t>
      </w:r>
      <w:r>
        <w:rPr>
          <w:noProof/>
        </w:rPr>
        <w:tab/>
      </w:r>
      <w:r>
        <w:rPr>
          <w:b/>
          <w:noProof/>
        </w:rPr>
        <w:t xml:space="preserve">ACCÈS AUX INFORMATIONS SUR LA RÉPARATION ET L’ENTRETIEN DES VÉHICULES </w:t>
      </w:r>
    </w:p>
    <w:p>
      <w:pPr>
        <w:spacing w:after="0"/>
        <w:ind w:left="1701" w:hanging="1701"/>
        <w:rPr>
          <w:rFonts w:eastAsia="Arial Unicode MS"/>
          <w:noProof/>
          <w:szCs w:val="24"/>
        </w:rPr>
      </w:pPr>
      <w:r>
        <w:rPr>
          <w:noProof/>
        </w:rPr>
        <w:t>17.1.</w:t>
      </w:r>
      <w:r>
        <w:rPr>
          <w:noProof/>
        </w:rPr>
        <w:tab/>
        <w:t>Adresse du principal site internet permettant d’accéder aux informations sur la réparation et l’entretien des véhicules: …</w:t>
      </w:r>
    </w:p>
    <w:p>
      <w:pPr>
        <w:spacing w:after="0"/>
        <w:ind w:left="1701" w:hanging="1701"/>
        <w:rPr>
          <w:rFonts w:eastAsia="Arial Unicode MS"/>
          <w:noProof/>
          <w:szCs w:val="24"/>
        </w:rPr>
      </w:pPr>
      <w:r>
        <w:rPr>
          <w:noProof/>
        </w:rPr>
        <w:t>17.1.1.</w:t>
      </w:r>
      <w:r>
        <w:rPr>
          <w:noProof/>
        </w:rPr>
        <w:tab/>
        <w:t>Date à partir de laquelle elles sont disponibles (au plus tard 6 mois après la date de réception par type): …</w:t>
      </w:r>
    </w:p>
    <w:p>
      <w:pPr>
        <w:spacing w:after="0"/>
        <w:ind w:left="1701" w:hanging="1701"/>
        <w:rPr>
          <w:rFonts w:eastAsia="Arial Unicode MS"/>
          <w:noProof/>
          <w:szCs w:val="24"/>
        </w:rPr>
      </w:pPr>
      <w:r>
        <w:rPr>
          <w:noProof/>
        </w:rPr>
        <w:t>17.2.</w:t>
      </w:r>
      <w:r>
        <w:rPr>
          <w:noProof/>
        </w:rPr>
        <w:tab/>
        <w:t>Modalités et conditions d’accès au site internet: …</w:t>
      </w:r>
    </w:p>
    <w:p>
      <w:pPr>
        <w:spacing w:after="0"/>
        <w:ind w:left="1701" w:hanging="1701"/>
        <w:rPr>
          <w:rFonts w:eastAsia="Arial Unicode MS"/>
          <w:noProof/>
          <w:szCs w:val="24"/>
        </w:rPr>
      </w:pPr>
      <w:r>
        <w:rPr>
          <w:noProof/>
        </w:rPr>
        <w:t>17.3.</w:t>
      </w:r>
      <w:r>
        <w:rPr>
          <w:noProof/>
        </w:rPr>
        <w:tab/>
        <w:t>Format des informations sur la réparation et l’entretien des véhicules consultables sur le site internet: …</w:t>
      </w:r>
    </w:p>
    <w:p>
      <w:pPr>
        <w:spacing w:before="240" w:after="240"/>
        <w:jc w:val="left"/>
        <w:rPr>
          <w:rFonts w:eastAsia="Arial Unicode MS"/>
          <w:b/>
          <w:bCs/>
          <w:noProof/>
          <w:szCs w:val="24"/>
        </w:rPr>
      </w:pPr>
      <w:r>
        <w:rPr>
          <w:b/>
          <w:noProof/>
        </w:rPr>
        <w:t>Notes explicatives:</w:t>
      </w:r>
    </w:p>
    <w:p>
      <w:pPr>
        <w:ind w:left="567" w:hanging="567"/>
        <w:rPr>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Biffer les mentions inutiles (il peut arriver que rien ne doive être biffé, lorsqu’il y a plus d’une réponse possible).</w:t>
      </w:r>
    </w:p>
    <w:p>
      <w:pPr>
        <w:ind w:left="567" w:hanging="567"/>
        <w:rPr>
          <w:noProof/>
          <w:sz w:val="20"/>
          <w:szCs w:val="20"/>
        </w:rPr>
      </w:pPr>
      <w:r>
        <w:rPr>
          <w:noProof/>
          <w:sz w:val="20"/>
          <w:szCs w:val="20"/>
        </w:rPr>
        <w:lastRenderedPageBreak/>
        <w:t>(</w:t>
      </w:r>
      <w:r>
        <w:rPr>
          <w:noProof/>
          <w:sz w:val="20"/>
          <w:szCs w:val="20"/>
          <w:vertAlign w:val="superscript"/>
        </w:rPr>
        <w:t>2</w:t>
      </w:r>
      <w:r>
        <w:rPr>
          <w:noProof/>
          <w:sz w:val="20"/>
          <w:szCs w:val="20"/>
        </w:rPr>
        <w:t>)</w:t>
      </w:r>
      <w:r>
        <w:rPr>
          <w:noProof/>
          <w:sz w:val="20"/>
          <w:szCs w:val="20"/>
        </w:rPr>
        <w:tab/>
        <w:t>Indiquer la tolérance.</w:t>
      </w:r>
    </w:p>
    <w:p>
      <w:pPr>
        <w:ind w:left="567" w:hanging="567"/>
        <w:rPr>
          <w:noProof/>
          <w:sz w:val="20"/>
          <w:szCs w:val="20"/>
        </w:rPr>
      </w:pPr>
      <w:r>
        <w:rPr>
          <w:noProof/>
          <w:sz w:val="20"/>
          <w:szCs w:val="20"/>
        </w:rPr>
        <w:t>(</w:t>
      </w:r>
      <w:r>
        <w:rPr>
          <w:noProof/>
          <w:sz w:val="20"/>
          <w:szCs w:val="20"/>
          <w:vertAlign w:val="superscript"/>
        </w:rPr>
        <w:t>3</w:t>
      </w:r>
      <w:r>
        <w:rPr>
          <w:noProof/>
          <w:sz w:val="20"/>
          <w:szCs w:val="20"/>
        </w:rPr>
        <w:t>)</w:t>
      </w:r>
      <w:r>
        <w:rPr>
          <w:noProof/>
          <w:sz w:val="20"/>
          <w:szCs w:val="20"/>
        </w:rPr>
        <w:tab/>
        <w:t>Indiquer les valeurs supérieure et inférieure pour chaque variante.</w:t>
      </w:r>
    </w:p>
    <w:p>
      <w:pPr>
        <w:ind w:left="567" w:hanging="567"/>
        <w:rPr>
          <w:noProof/>
          <w:sz w:val="20"/>
          <w:szCs w:val="20"/>
        </w:rPr>
      </w:pPr>
      <w:r>
        <w:rPr>
          <w:noProof/>
          <w:sz w:val="20"/>
          <w:szCs w:val="20"/>
        </w:rPr>
        <w:t>(</w:t>
      </w:r>
      <w:r>
        <w:rPr>
          <w:noProof/>
          <w:sz w:val="20"/>
          <w:szCs w:val="20"/>
          <w:vertAlign w:val="superscript"/>
        </w:rPr>
        <w:t>4</w:t>
      </w:r>
      <w:r>
        <w:rPr>
          <w:noProof/>
          <w:sz w:val="20"/>
          <w:szCs w:val="20"/>
        </w:rPr>
        <w:t>)</w:t>
      </w:r>
      <w:r>
        <w:rPr>
          <w:noProof/>
          <w:sz w:val="20"/>
          <w:szCs w:val="20"/>
        </w:rPr>
        <w:tab/>
        <w:t>Uniquement aux fins de la définition des véhicules non routiers.</w:t>
      </w:r>
    </w:p>
    <w:p>
      <w:pPr>
        <w:ind w:left="567" w:hanging="567"/>
        <w:rPr>
          <w:noProof/>
          <w:sz w:val="20"/>
          <w:szCs w:val="20"/>
        </w:rPr>
      </w:pPr>
      <w:r>
        <w:rPr>
          <w:noProof/>
          <w:sz w:val="20"/>
          <w:szCs w:val="20"/>
        </w:rPr>
        <w:t>(</w:t>
      </w:r>
      <w:r>
        <w:rPr>
          <w:noProof/>
          <w:sz w:val="20"/>
          <w:szCs w:val="20"/>
          <w:vertAlign w:val="superscript"/>
        </w:rPr>
        <w:t>5</w:t>
      </w:r>
      <w:r>
        <w:rPr>
          <w:noProof/>
          <w:sz w:val="20"/>
          <w:szCs w:val="20"/>
        </w:rPr>
        <w:t>)</w:t>
      </w:r>
      <w:r>
        <w:rPr>
          <w:noProof/>
          <w:sz w:val="20"/>
          <w:szCs w:val="20"/>
        </w:rPr>
        <w:tab/>
        <w:t>Véhicules qui peuvent rouler à la fois à l’essence et avec un carburant gazeux mais qui, lorsque le circuit d’essence est destiné uniquement aux cas d’urgence et au démarrage et que le réservoir d’essence a une capacité maximale de 15 litres, sont considérés, pour l’essai, comme des véhicules pouvant rouler uniquement avec un carburant gazeux.</w:t>
      </w:r>
    </w:p>
    <w:p>
      <w:pPr>
        <w:ind w:left="567" w:hanging="567"/>
        <w:rPr>
          <w:noProof/>
          <w:sz w:val="20"/>
          <w:szCs w:val="20"/>
        </w:rPr>
      </w:pPr>
      <w:r>
        <w:rPr>
          <w:noProof/>
          <w:sz w:val="20"/>
          <w:szCs w:val="20"/>
        </w:rPr>
        <w:t>(</w:t>
      </w:r>
      <w:r>
        <w:rPr>
          <w:noProof/>
          <w:sz w:val="20"/>
          <w:szCs w:val="20"/>
          <w:vertAlign w:val="superscript"/>
        </w:rPr>
        <w:t>6</w:t>
      </w:r>
      <w:r>
        <w:rPr>
          <w:noProof/>
          <w:sz w:val="20"/>
          <w:szCs w:val="20"/>
        </w:rPr>
        <w:t>)</w:t>
      </w:r>
      <w:r>
        <w:rPr>
          <w:noProof/>
          <w:sz w:val="20"/>
          <w:szCs w:val="20"/>
        </w:rPr>
        <w:tab/>
        <w:t xml:space="preserve">Spécifier les équipements en option qui ont une incidence sur les dimensions du véhicule. </w:t>
      </w:r>
    </w:p>
    <w:p>
      <w:pPr>
        <w:ind w:left="567" w:hanging="567"/>
        <w:rPr>
          <w:noProof/>
          <w:sz w:val="20"/>
          <w:szCs w:val="20"/>
        </w:rPr>
      </w:pPr>
      <w:r>
        <w:rPr>
          <w:noProof/>
          <w:sz w:val="20"/>
          <w:szCs w:val="20"/>
        </w:rPr>
        <w:t>(</w:t>
      </w:r>
      <w:r>
        <w:rPr>
          <w:noProof/>
          <w:sz w:val="20"/>
          <w:szCs w:val="20"/>
          <w:vertAlign w:val="superscript"/>
        </w:rPr>
        <w:t>7</w:t>
      </w:r>
      <w:r>
        <w:rPr>
          <w:noProof/>
          <w:sz w:val="20"/>
          <w:szCs w:val="20"/>
        </w:rPr>
        <w:t>)</w:t>
      </w:r>
      <w:r>
        <w:rPr>
          <w:noProof/>
          <w:sz w:val="20"/>
          <w:szCs w:val="20"/>
        </w:rPr>
        <w:tab/>
        <w:t>À documenter dans le cas d’une famille de moteurs OBD unique et pour autant que cela n’ait pas encore été fait dans le ou les dossiers d’information visés au point 3.2.12.2.7.0.4.</w:t>
      </w:r>
    </w:p>
    <w:p>
      <w:pPr>
        <w:ind w:left="567" w:hanging="567"/>
        <w:rPr>
          <w:noProof/>
          <w:sz w:val="20"/>
          <w:szCs w:val="20"/>
        </w:rPr>
      </w:pPr>
      <w:r>
        <w:rPr>
          <w:noProof/>
          <w:sz w:val="20"/>
          <w:szCs w:val="20"/>
        </w:rPr>
        <w:t>(</w:t>
      </w:r>
      <w:r>
        <w:rPr>
          <w:noProof/>
          <w:sz w:val="20"/>
          <w:szCs w:val="20"/>
          <w:vertAlign w:val="superscript"/>
        </w:rPr>
        <w:t>8</w:t>
      </w:r>
      <w:r>
        <w:rPr>
          <w:noProof/>
          <w:sz w:val="20"/>
          <w:szCs w:val="20"/>
        </w:rPr>
        <w:t>)</w:t>
      </w:r>
      <w:r>
        <w:rPr>
          <w:noProof/>
          <w:sz w:val="20"/>
          <w:szCs w:val="20"/>
        </w:rPr>
        <w:tab/>
        <w:t>Valeur pour le cycle d’essai WHTC combiné, comprenant la partie à froid et la partie à chaud, conformément à l’annexe VIII du règlement (UE) n</w:t>
      </w:r>
      <w:r>
        <w:rPr>
          <w:noProof/>
          <w:sz w:val="20"/>
          <w:szCs w:val="20"/>
          <w:vertAlign w:val="superscript"/>
        </w:rPr>
        <w:t>o</w:t>
      </w:r>
      <w:r>
        <w:rPr>
          <w:noProof/>
          <w:sz w:val="20"/>
          <w:szCs w:val="20"/>
        </w:rPr>
        <w:t> 582/2011.</w:t>
      </w:r>
    </w:p>
    <w:p>
      <w:pPr>
        <w:ind w:left="567" w:hanging="567"/>
        <w:rPr>
          <w:noProof/>
          <w:sz w:val="20"/>
          <w:szCs w:val="20"/>
        </w:rPr>
      </w:pPr>
      <w:r>
        <w:rPr>
          <w:noProof/>
          <w:sz w:val="20"/>
          <w:szCs w:val="20"/>
        </w:rPr>
        <w:t>(</w:t>
      </w:r>
      <w:r>
        <w:rPr>
          <w:noProof/>
          <w:sz w:val="20"/>
          <w:szCs w:val="20"/>
          <w:vertAlign w:val="superscript"/>
        </w:rPr>
        <w:t>9</w:t>
      </w:r>
      <w:r>
        <w:rPr>
          <w:noProof/>
          <w:sz w:val="20"/>
          <w:szCs w:val="20"/>
        </w:rPr>
        <w:t>)</w:t>
      </w:r>
      <w:r>
        <w:rPr>
          <w:noProof/>
          <w:sz w:val="20"/>
          <w:szCs w:val="20"/>
        </w:rPr>
        <w:tab/>
        <w:t>À documenter si cela n’a pas encore été fait dans la documentation visée au point 4.2.12.2.7.1.5.</w:t>
      </w:r>
    </w:p>
    <w:p>
      <w:pPr>
        <w:ind w:left="567" w:hanging="567"/>
        <w:jc w:val="left"/>
        <w:rPr>
          <w:noProof/>
          <w:sz w:val="20"/>
          <w:szCs w:val="20"/>
        </w:rPr>
      </w:pPr>
    </w:p>
    <w:p>
      <w:pPr>
        <w:ind w:left="567" w:hanging="567"/>
        <w:rPr>
          <w:rFonts w:eastAsia="Arial Unicode MS"/>
          <w:bCs/>
          <w:noProof/>
          <w:sz w:val="20"/>
          <w:szCs w:val="20"/>
        </w:rPr>
      </w:pPr>
      <w:r>
        <w:rPr>
          <w:noProof/>
          <w:sz w:val="20"/>
          <w:szCs w:val="20"/>
        </w:rPr>
        <w:t>(</w:t>
      </w:r>
      <w:r>
        <w:rPr>
          <w:noProof/>
          <w:sz w:val="20"/>
          <w:szCs w:val="20"/>
          <w:vertAlign w:val="superscript"/>
        </w:rPr>
        <w:t>a</w:t>
      </w:r>
      <w:r>
        <w:rPr>
          <w:noProof/>
          <w:sz w:val="20"/>
          <w:szCs w:val="20"/>
        </w:rPr>
        <w:t>)</w:t>
      </w:r>
      <w:r>
        <w:rPr>
          <w:noProof/>
          <w:sz w:val="20"/>
          <w:szCs w:val="20"/>
        </w:rPr>
        <w:tab/>
        <w:t>Une pièce qui a fait l’objet d’une réception par type ne doit pas être décrite si les références de la réception sont indiquées. De même, la description n’est pas nécessaire dans le cas d’une pièce dont la construction est montrée clairement par les schémas ou les dessins annexés à la fiche. Indiquer, pour chaque rubrique où des photographies ou des dessins doivent être joints, les numéros des annexes correspondantes.</w:t>
      </w:r>
    </w:p>
    <w:p>
      <w:pPr>
        <w:ind w:left="567" w:hanging="567"/>
        <w:rPr>
          <w:rFonts w:eastAsia="Arial Unicode MS"/>
          <w:bCs/>
          <w:noProof/>
          <w:sz w:val="20"/>
          <w:szCs w:val="20"/>
        </w:rPr>
      </w:pPr>
      <w:r>
        <w:rPr>
          <w:noProof/>
          <w:sz w:val="20"/>
          <w:szCs w:val="20"/>
        </w:rPr>
        <w:t>(</w:t>
      </w:r>
      <w:r>
        <w:rPr>
          <w:noProof/>
          <w:sz w:val="20"/>
          <w:szCs w:val="20"/>
          <w:vertAlign w:val="superscript"/>
        </w:rPr>
        <w:t>b</w:t>
      </w:r>
      <w:r>
        <w:rPr>
          <w:noProof/>
          <w:sz w:val="20"/>
          <w:szCs w:val="20"/>
        </w:rPr>
        <w:t>)</w:t>
      </w:r>
      <w:r>
        <w:rPr>
          <w:noProof/>
          <w:sz w:val="20"/>
          <w:szCs w:val="20"/>
        </w:rPr>
        <w:tab/>
        <w:t>Si le moyen d’identification du type contient des caractères non pertinents pour la description des types de véhicules, de composants ou d’entités techniques distinctes couverts par la présente fiche de renseignements, il importe de les indiquer dans la documentation au moyen du symbole «?» (par exemple: ABC??123??).</w:t>
      </w:r>
    </w:p>
    <w:p>
      <w:pPr>
        <w:ind w:left="567" w:hanging="567"/>
        <w:rPr>
          <w:rFonts w:eastAsia="Arial Unicode MS"/>
          <w:bCs/>
          <w:noProof/>
          <w:sz w:val="20"/>
          <w:szCs w:val="20"/>
        </w:rPr>
      </w:pPr>
      <w:r>
        <w:rPr>
          <w:noProof/>
          <w:sz w:val="20"/>
          <w:szCs w:val="20"/>
        </w:rPr>
        <w:t>(</w:t>
      </w:r>
      <w:r>
        <w:rPr>
          <w:noProof/>
          <w:sz w:val="20"/>
          <w:szCs w:val="20"/>
          <w:vertAlign w:val="superscript"/>
        </w:rPr>
        <w:t>c</w:t>
      </w:r>
      <w:r>
        <w:rPr>
          <w:noProof/>
          <w:sz w:val="20"/>
          <w:szCs w:val="20"/>
        </w:rPr>
        <w:t>)</w:t>
      </w:r>
      <w:r>
        <w:rPr>
          <w:noProof/>
          <w:sz w:val="20"/>
          <w:szCs w:val="20"/>
        </w:rPr>
        <w:tab/>
        <w:t>Classification selon les définitions figurant dans la partie A de l’annexe II.</w:t>
      </w:r>
    </w:p>
    <w:p>
      <w:pPr>
        <w:spacing w:before="0" w:after="0"/>
        <w:ind w:left="567" w:hanging="567"/>
        <w:rPr>
          <w:rFonts w:eastAsia="Arial Unicode MS"/>
          <w:bCs/>
          <w:noProof/>
          <w:sz w:val="20"/>
          <w:szCs w:val="20"/>
        </w:rPr>
      </w:pPr>
      <w:r>
        <w:rPr>
          <w:noProof/>
          <w:sz w:val="20"/>
          <w:szCs w:val="20"/>
        </w:rPr>
        <w:t>(</w:t>
      </w:r>
      <w:r>
        <w:rPr>
          <w:noProof/>
          <w:sz w:val="20"/>
          <w:szCs w:val="20"/>
          <w:vertAlign w:val="superscript"/>
        </w:rPr>
        <w:t>d</w:t>
      </w:r>
      <w:r>
        <w:rPr>
          <w:noProof/>
          <w:sz w:val="20"/>
          <w:szCs w:val="20"/>
        </w:rPr>
        <w:t>)</w:t>
      </w:r>
      <w:r>
        <w:rPr>
          <w:noProof/>
          <w:sz w:val="20"/>
          <w:szCs w:val="20"/>
        </w:rPr>
        <w:tab/>
        <w:t>Désignation selon la norme EN 10027-1: 2005. À défaut, fournir les informations suivantes:</w:t>
      </w:r>
    </w:p>
    <w:p>
      <w:pPr>
        <w:spacing w:before="0" w:after="0"/>
        <w:ind w:left="567"/>
        <w:jc w:val="left"/>
        <w:rPr>
          <w:rFonts w:eastAsia="Arial Unicode MS"/>
          <w:bCs/>
          <w:noProof/>
          <w:sz w:val="20"/>
          <w:szCs w:val="20"/>
        </w:rPr>
      </w:pPr>
      <w:r>
        <w:rPr>
          <w:noProof/>
          <w:sz w:val="20"/>
          <w:szCs w:val="20"/>
        </w:rPr>
        <w:t>— description du matériau;</w:t>
      </w:r>
    </w:p>
    <w:p>
      <w:pPr>
        <w:spacing w:before="0" w:after="0"/>
        <w:ind w:left="567"/>
        <w:jc w:val="left"/>
        <w:rPr>
          <w:rFonts w:eastAsia="Arial Unicode MS"/>
          <w:bCs/>
          <w:noProof/>
          <w:sz w:val="20"/>
          <w:szCs w:val="20"/>
        </w:rPr>
      </w:pPr>
      <w:r>
        <w:rPr>
          <w:noProof/>
          <w:sz w:val="20"/>
          <w:szCs w:val="20"/>
        </w:rPr>
        <w:t>— limite d’élasticité;</w:t>
      </w:r>
    </w:p>
    <w:p>
      <w:pPr>
        <w:spacing w:before="0" w:after="0"/>
        <w:ind w:left="567"/>
        <w:jc w:val="left"/>
        <w:rPr>
          <w:rFonts w:eastAsia="Arial Unicode MS"/>
          <w:bCs/>
          <w:noProof/>
          <w:sz w:val="20"/>
          <w:szCs w:val="20"/>
        </w:rPr>
      </w:pPr>
      <w:r>
        <w:rPr>
          <w:noProof/>
          <w:sz w:val="20"/>
          <w:szCs w:val="20"/>
        </w:rPr>
        <w:t>— charge de rupture;</w:t>
      </w:r>
    </w:p>
    <w:p>
      <w:pPr>
        <w:spacing w:before="0" w:after="0"/>
        <w:ind w:left="567"/>
        <w:jc w:val="left"/>
        <w:rPr>
          <w:rFonts w:eastAsia="Arial Unicode MS"/>
          <w:bCs/>
          <w:noProof/>
          <w:sz w:val="20"/>
          <w:szCs w:val="20"/>
        </w:rPr>
      </w:pPr>
      <w:r>
        <w:rPr>
          <w:noProof/>
          <w:sz w:val="20"/>
          <w:szCs w:val="20"/>
        </w:rPr>
        <w:t>— limite d’allongement élastique (en %);</w:t>
      </w:r>
    </w:p>
    <w:p>
      <w:pPr>
        <w:spacing w:before="0"/>
        <w:ind w:left="567"/>
        <w:jc w:val="left"/>
        <w:rPr>
          <w:rFonts w:eastAsia="Arial Unicode MS"/>
          <w:bCs/>
          <w:noProof/>
          <w:sz w:val="20"/>
          <w:szCs w:val="20"/>
        </w:rPr>
      </w:pPr>
      <w:r>
        <w:rPr>
          <w:noProof/>
          <w:sz w:val="20"/>
          <w:szCs w:val="20"/>
        </w:rPr>
        <w:t>— dureté Brinell.</w:t>
      </w:r>
    </w:p>
    <w:p>
      <w:pPr>
        <w:ind w:left="567" w:hanging="567"/>
        <w:rPr>
          <w:rFonts w:eastAsia="Arial Unicode MS"/>
          <w:bCs/>
          <w:noProof/>
          <w:sz w:val="20"/>
          <w:szCs w:val="20"/>
        </w:rPr>
      </w:pPr>
      <w:r>
        <w:rPr>
          <w:noProof/>
          <w:sz w:val="20"/>
          <w:szCs w:val="20"/>
        </w:rPr>
        <w:t>(</w:t>
      </w:r>
      <w:r>
        <w:rPr>
          <w:noProof/>
          <w:sz w:val="20"/>
          <w:szCs w:val="20"/>
          <w:vertAlign w:val="superscript"/>
        </w:rPr>
        <w:t>f</w:t>
      </w:r>
      <w:r>
        <w:rPr>
          <w:noProof/>
          <w:sz w:val="20"/>
          <w:szCs w:val="20"/>
        </w:rPr>
        <w:t>)</w:t>
      </w:r>
      <w:r>
        <w:rPr>
          <w:noProof/>
          <w:sz w:val="20"/>
          <w:szCs w:val="20"/>
        </w:rPr>
        <w:tab/>
        <w:t>Pour un modèle comportant une version avec une cabine normale et une version avec couchette, donner les dimensions et masses dans les deux cas.</w:t>
      </w:r>
    </w:p>
    <w:p>
      <w:pPr>
        <w:ind w:left="567" w:hanging="567"/>
        <w:jc w:val="left"/>
        <w:rPr>
          <w:rFonts w:eastAsia="Arial Unicode MS"/>
          <w:bCs/>
          <w:noProof/>
          <w:sz w:val="20"/>
          <w:szCs w:val="20"/>
        </w:rPr>
      </w:pPr>
      <w:r>
        <w:rPr>
          <w:noProof/>
          <w:sz w:val="20"/>
          <w:szCs w:val="20"/>
        </w:rPr>
        <w:t>(</w:t>
      </w:r>
      <w:hyperlink r:id="rId32" w:anchor="E0021">
        <w:r>
          <w:rPr>
            <w:noProof/>
            <w:sz w:val="20"/>
            <w:szCs w:val="20"/>
            <w:u w:val="single"/>
            <w:vertAlign w:val="superscript"/>
          </w:rPr>
          <w:t>g</w:t>
        </w:r>
      </w:hyperlink>
      <w:r>
        <w:rPr>
          <w:noProof/>
          <w:sz w:val="20"/>
          <w:szCs w:val="20"/>
        </w:rPr>
        <w:t>)</w:t>
      </w:r>
      <w:r>
        <w:rPr>
          <w:noProof/>
          <w:sz w:val="20"/>
          <w:szCs w:val="20"/>
        </w:rPr>
        <w:tab/>
        <w:t>Norme ISO 612: 1978 — Véhicules routiers — Dimensions des automobiles et véhicules tractés — dénominations et définitions.</w:t>
      </w:r>
    </w:p>
    <w:p>
      <w:pPr>
        <w:spacing w:after="0"/>
        <w:ind w:left="567" w:hanging="567"/>
        <w:jc w:val="left"/>
        <w:rPr>
          <w:rFonts w:eastAsia="Arial Unicode MS"/>
          <w:bCs/>
          <w:noProof/>
          <w:sz w:val="20"/>
          <w:szCs w:val="20"/>
        </w:rPr>
      </w:pPr>
      <w:r>
        <w:rPr>
          <w:noProof/>
          <w:sz w:val="20"/>
          <w:szCs w:val="20"/>
        </w:rPr>
        <w:t>(</w:t>
      </w:r>
      <w:r>
        <w:rPr>
          <w:noProof/>
          <w:sz w:val="20"/>
          <w:szCs w:val="20"/>
          <w:vertAlign w:val="superscript"/>
        </w:rPr>
        <w:t>g1</w:t>
      </w:r>
      <w:r>
        <w:rPr>
          <w:noProof/>
          <w:sz w:val="20"/>
          <w:szCs w:val="20"/>
        </w:rPr>
        <w:t>)</w:t>
      </w:r>
      <w:r>
        <w:rPr>
          <w:noProof/>
          <w:sz w:val="20"/>
          <w:szCs w:val="20"/>
        </w:rPr>
        <w:tab/>
        <w:t xml:space="preserve">Véhicule à moteur et remorque à timon: point 6.4.1. </w:t>
      </w:r>
    </w:p>
    <w:p>
      <w:pPr>
        <w:spacing w:before="0" w:after="0"/>
        <w:ind w:left="567"/>
        <w:jc w:val="left"/>
        <w:rPr>
          <w:rFonts w:eastAsia="Arial Unicode MS"/>
          <w:bCs/>
          <w:noProof/>
          <w:sz w:val="20"/>
          <w:szCs w:val="20"/>
        </w:rPr>
      </w:pPr>
      <w:r>
        <w:rPr>
          <w:noProof/>
          <w:sz w:val="20"/>
          <w:szCs w:val="20"/>
        </w:rPr>
        <w:t xml:space="preserve">Semi-remorque et remorque à essieu central: point 6.4.2. </w:t>
      </w:r>
    </w:p>
    <w:p>
      <w:pPr>
        <w:spacing w:before="0" w:after="0"/>
        <w:ind w:left="567"/>
        <w:jc w:val="left"/>
        <w:rPr>
          <w:rFonts w:eastAsia="Arial Unicode MS"/>
          <w:bCs/>
          <w:i/>
          <w:iCs/>
          <w:noProof/>
          <w:sz w:val="20"/>
          <w:szCs w:val="20"/>
        </w:rPr>
      </w:pPr>
      <w:r>
        <w:rPr>
          <w:i/>
          <w:noProof/>
          <w:sz w:val="20"/>
          <w:szCs w:val="20"/>
        </w:rPr>
        <w:t>Note:</w:t>
      </w:r>
    </w:p>
    <w:p>
      <w:pPr>
        <w:spacing w:before="0"/>
        <w:ind w:left="567"/>
        <w:rPr>
          <w:rFonts w:eastAsia="Arial Unicode MS"/>
          <w:bCs/>
          <w:i/>
          <w:iCs/>
          <w:noProof/>
          <w:sz w:val="20"/>
          <w:szCs w:val="20"/>
        </w:rPr>
      </w:pPr>
      <w:r>
        <w:rPr>
          <w:noProof/>
          <w:sz w:val="20"/>
          <w:szCs w:val="20"/>
        </w:rPr>
        <w:t>Dans le cas d’une remorque à essieu central, l’axe de l’attelage est considéré comme l’essieu le plus en avant.</w:t>
      </w:r>
    </w:p>
    <w:p>
      <w:pPr>
        <w:ind w:left="567" w:hanging="567"/>
        <w:jc w:val="left"/>
        <w:rPr>
          <w:rFonts w:eastAsia="Arial Unicode MS"/>
          <w:bCs/>
          <w:noProof/>
          <w:sz w:val="20"/>
          <w:szCs w:val="20"/>
          <w:lang w:val="en-GB"/>
        </w:rPr>
      </w:pPr>
      <w:r>
        <w:rPr>
          <w:noProof/>
          <w:sz w:val="20"/>
          <w:szCs w:val="20"/>
          <w:lang w:val="en-GB"/>
        </w:rPr>
        <w:t>(</w:t>
      </w:r>
      <w:r>
        <w:rPr>
          <w:noProof/>
          <w:sz w:val="20"/>
          <w:szCs w:val="20"/>
          <w:vertAlign w:val="superscript"/>
          <w:lang w:val="en-GB"/>
        </w:rPr>
        <w:t>g2</w:t>
      </w:r>
      <w:r>
        <w:rPr>
          <w:noProof/>
          <w:sz w:val="20"/>
          <w:szCs w:val="20"/>
          <w:lang w:val="en-GB"/>
        </w:rPr>
        <w:t>)</w:t>
      </w:r>
      <w:r>
        <w:rPr>
          <w:noProof/>
          <w:sz w:val="20"/>
          <w:szCs w:val="20"/>
          <w:lang w:val="en-GB"/>
        </w:rPr>
        <w:tab/>
        <w:t>Point 6.19.2.</w:t>
      </w:r>
    </w:p>
    <w:p>
      <w:pPr>
        <w:ind w:left="567" w:hanging="567"/>
        <w:jc w:val="left"/>
        <w:rPr>
          <w:rFonts w:eastAsia="Arial Unicode MS"/>
          <w:bCs/>
          <w:noProof/>
          <w:sz w:val="20"/>
          <w:szCs w:val="20"/>
          <w:lang w:val="en-GB"/>
        </w:rPr>
      </w:pPr>
      <w:r>
        <w:rPr>
          <w:noProof/>
          <w:sz w:val="20"/>
          <w:szCs w:val="20"/>
          <w:lang w:val="en-GB"/>
        </w:rPr>
        <w:t>(</w:t>
      </w:r>
      <w:r>
        <w:rPr>
          <w:noProof/>
          <w:sz w:val="20"/>
          <w:szCs w:val="20"/>
          <w:vertAlign w:val="superscript"/>
          <w:lang w:val="en-GB"/>
        </w:rPr>
        <w:t>g3</w:t>
      </w:r>
      <w:r>
        <w:rPr>
          <w:noProof/>
          <w:sz w:val="20"/>
          <w:szCs w:val="20"/>
          <w:lang w:val="en-GB"/>
        </w:rPr>
        <w:t>)</w:t>
      </w:r>
      <w:r>
        <w:rPr>
          <w:noProof/>
          <w:sz w:val="20"/>
          <w:szCs w:val="20"/>
          <w:lang w:val="en-GB"/>
        </w:rPr>
        <w:tab/>
        <w:t>Point 6.20.</w:t>
      </w:r>
    </w:p>
    <w:p>
      <w:pPr>
        <w:ind w:left="567" w:hanging="567"/>
        <w:jc w:val="left"/>
        <w:rPr>
          <w:rFonts w:eastAsia="Arial Unicode MS"/>
          <w:bCs/>
          <w:noProof/>
          <w:sz w:val="20"/>
          <w:szCs w:val="20"/>
          <w:lang w:val="en-GB"/>
        </w:rPr>
      </w:pPr>
      <w:r>
        <w:rPr>
          <w:noProof/>
          <w:sz w:val="20"/>
          <w:szCs w:val="20"/>
          <w:lang w:val="en-GB"/>
        </w:rPr>
        <w:t>(</w:t>
      </w:r>
      <w:r>
        <w:rPr>
          <w:noProof/>
          <w:sz w:val="20"/>
          <w:szCs w:val="20"/>
          <w:vertAlign w:val="superscript"/>
          <w:lang w:val="en-GB"/>
        </w:rPr>
        <w:t>g4</w:t>
      </w:r>
      <w:r>
        <w:rPr>
          <w:noProof/>
          <w:sz w:val="20"/>
          <w:szCs w:val="20"/>
          <w:lang w:val="en-GB"/>
        </w:rPr>
        <w:t>)</w:t>
      </w:r>
      <w:r>
        <w:rPr>
          <w:noProof/>
          <w:sz w:val="20"/>
          <w:szCs w:val="20"/>
          <w:lang w:val="en-GB"/>
        </w:rPr>
        <w:tab/>
        <w:t>Point 6.5.</w:t>
      </w:r>
    </w:p>
    <w:p>
      <w:pPr>
        <w:spacing w:after="0"/>
        <w:ind w:left="567" w:hanging="567"/>
        <w:rPr>
          <w:rFonts w:eastAsia="Arial Unicode MS"/>
          <w:bCs/>
          <w:noProof/>
          <w:sz w:val="20"/>
          <w:szCs w:val="20"/>
        </w:rPr>
      </w:pPr>
      <w:r>
        <w:rPr>
          <w:noProof/>
          <w:sz w:val="20"/>
          <w:szCs w:val="20"/>
        </w:rPr>
        <w:t>(</w:t>
      </w:r>
      <w:r>
        <w:rPr>
          <w:noProof/>
          <w:sz w:val="20"/>
          <w:szCs w:val="20"/>
          <w:vertAlign w:val="superscript"/>
        </w:rPr>
        <w:t>g5</w:t>
      </w:r>
      <w:r>
        <w:rPr>
          <w:noProof/>
          <w:sz w:val="20"/>
          <w:szCs w:val="20"/>
        </w:rPr>
        <w:t>)</w:t>
      </w:r>
      <w:r>
        <w:rPr>
          <w:noProof/>
          <w:sz w:val="20"/>
          <w:szCs w:val="20"/>
        </w:rPr>
        <w:tab/>
        <w:t>Point 6.1 et pour les véhicules autres que ceux de la catégorie M</w:t>
      </w:r>
      <w:r>
        <w:rPr>
          <w:noProof/>
          <w:sz w:val="20"/>
          <w:szCs w:val="20"/>
          <w:vertAlign w:val="subscript"/>
        </w:rPr>
        <w:t>1</w:t>
      </w:r>
      <w:r>
        <w:rPr>
          <w:noProof/>
          <w:sz w:val="20"/>
          <w:szCs w:val="20"/>
        </w:rPr>
        <w:t>: article 2, point 22, du règlement (UE) n</w:t>
      </w:r>
      <w:r>
        <w:rPr>
          <w:noProof/>
          <w:sz w:val="20"/>
          <w:szCs w:val="20"/>
          <w:vertAlign w:val="superscript"/>
        </w:rPr>
        <w:t>o</w:t>
      </w:r>
      <w:r>
        <w:rPr>
          <w:noProof/>
          <w:sz w:val="20"/>
          <w:szCs w:val="20"/>
        </w:rPr>
        <w:t> 1230/2012 de la Commission</w:t>
      </w:r>
    </w:p>
    <w:p>
      <w:pPr>
        <w:ind w:left="567" w:hanging="567"/>
        <w:jc w:val="left"/>
        <w:rPr>
          <w:rFonts w:eastAsia="Arial Unicode MS"/>
          <w:bCs/>
          <w:noProof/>
          <w:sz w:val="20"/>
          <w:szCs w:val="20"/>
        </w:rPr>
      </w:pPr>
      <w:r>
        <w:rPr>
          <w:noProof/>
          <w:sz w:val="20"/>
          <w:szCs w:val="20"/>
        </w:rPr>
        <w:t>(</w:t>
      </w:r>
      <w:r>
        <w:rPr>
          <w:noProof/>
          <w:sz w:val="20"/>
          <w:szCs w:val="20"/>
          <w:vertAlign w:val="superscript"/>
        </w:rPr>
        <w:t>g6</w:t>
      </w:r>
      <w:r>
        <w:rPr>
          <w:noProof/>
          <w:sz w:val="20"/>
          <w:szCs w:val="20"/>
        </w:rPr>
        <w:t>)</w:t>
      </w:r>
      <w:r>
        <w:rPr>
          <w:noProof/>
          <w:sz w:val="20"/>
          <w:szCs w:val="20"/>
        </w:rPr>
        <w:tab/>
        <w:t>Point 6.17.</w:t>
      </w:r>
    </w:p>
    <w:p>
      <w:pPr>
        <w:ind w:left="567" w:hanging="567"/>
        <w:rPr>
          <w:rFonts w:eastAsia="Arial Unicode MS"/>
          <w:bCs/>
          <w:noProof/>
          <w:sz w:val="20"/>
          <w:szCs w:val="20"/>
        </w:rPr>
      </w:pPr>
      <w:r>
        <w:rPr>
          <w:noProof/>
          <w:sz w:val="20"/>
          <w:szCs w:val="20"/>
        </w:rPr>
        <w:lastRenderedPageBreak/>
        <w:t>(</w:t>
      </w:r>
      <w:r>
        <w:rPr>
          <w:noProof/>
          <w:sz w:val="20"/>
          <w:szCs w:val="20"/>
          <w:vertAlign w:val="superscript"/>
        </w:rPr>
        <w:t>g7</w:t>
      </w:r>
      <w:r>
        <w:rPr>
          <w:noProof/>
          <w:sz w:val="20"/>
          <w:szCs w:val="20"/>
        </w:rPr>
        <w:t>)</w:t>
      </w:r>
      <w:r>
        <w:rPr>
          <w:noProof/>
          <w:sz w:val="20"/>
          <w:szCs w:val="20"/>
        </w:rPr>
        <w:tab/>
        <w:t>Point 6.2 et pour les véhicules autres que ceux de la catégorie M</w:t>
      </w:r>
      <w:r>
        <w:rPr>
          <w:noProof/>
          <w:sz w:val="20"/>
          <w:szCs w:val="20"/>
          <w:vertAlign w:val="subscript"/>
        </w:rPr>
        <w:t>1</w:t>
      </w:r>
      <w:r>
        <w:rPr>
          <w:noProof/>
          <w:sz w:val="20"/>
          <w:szCs w:val="20"/>
        </w:rPr>
        <w:t>: article 2, point 23, du règlement (UE) n</w:t>
      </w:r>
      <w:r>
        <w:rPr>
          <w:noProof/>
          <w:sz w:val="20"/>
          <w:szCs w:val="20"/>
          <w:vertAlign w:val="superscript"/>
        </w:rPr>
        <w:t>o</w:t>
      </w:r>
      <w:r>
        <w:rPr>
          <w:noProof/>
          <w:sz w:val="20"/>
          <w:szCs w:val="20"/>
        </w:rPr>
        <w:t> 1230/2012 de la Commission</w:t>
      </w:r>
    </w:p>
    <w:p>
      <w:pPr>
        <w:ind w:left="567" w:hanging="567"/>
        <w:rPr>
          <w:rFonts w:eastAsia="Arial Unicode MS"/>
          <w:bCs/>
          <w:noProof/>
          <w:sz w:val="20"/>
          <w:szCs w:val="20"/>
        </w:rPr>
      </w:pPr>
      <w:r>
        <w:rPr>
          <w:noProof/>
          <w:sz w:val="20"/>
          <w:szCs w:val="20"/>
        </w:rPr>
        <w:t>(</w:t>
      </w:r>
      <w:r>
        <w:rPr>
          <w:noProof/>
          <w:sz w:val="20"/>
          <w:szCs w:val="20"/>
          <w:vertAlign w:val="superscript"/>
        </w:rPr>
        <w:t>g8</w:t>
      </w:r>
      <w:r>
        <w:rPr>
          <w:noProof/>
          <w:sz w:val="20"/>
          <w:szCs w:val="20"/>
        </w:rPr>
        <w:t>)</w:t>
      </w:r>
      <w:r>
        <w:rPr>
          <w:noProof/>
          <w:sz w:val="20"/>
          <w:szCs w:val="20"/>
        </w:rPr>
        <w:tab/>
        <w:t>Point 6.3 et pour les véhicules autres que ceux de la catégorie M</w:t>
      </w:r>
      <w:r>
        <w:rPr>
          <w:noProof/>
          <w:sz w:val="20"/>
          <w:szCs w:val="20"/>
          <w:vertAlign w:val="subscript"/>
        </w:rPr>
        <w:t>1</w:t>
      </w:r>
      <w:r>
        <w:rPr>
          <w:noProof/>
          <w:sz w:val="20"/>
          <w:szCs w:val="20"/>
        </w:rPr>
        <w:t>: article 2, point 24, du règlement (UE) n</w:t>
      </w:r>
      <w:r>
        <w:rPr>
          <w:noProof/>
          <w:sz w:val="20"/>
          <w:szCs w:val="20"/>
          <w:vertAlign w:val="superscript"/>
        </w:rPr>
        <w:t>o</w:t>
      </w:r>
      <w:r>
        <w:rPr>
          <w:noProof/>
          <w:sz w:val="20"/>
          <w:szCs w:val="20"/>
        </w:rPr>
        <w:t> 1230/2012 de la Commission</w:t>
      </w:r>
    </w:p>
    <w:p>
      <w:pPr>
        <w:ind w:left="567" w:hanging="567"/>
        <w:jc w:val="left"/>
        <w:rPr>
          <w:rFonts w:eastAsia="Arial Unicode MS"/>
          <w:bCs/>
          <w:noProof/>
          <w:sz w:val="20"/>
          <w:szCs w:val="20"/>
          <w:lang w:val="en-GB"/>
        </w:rPr>
      </w:pPr>
      <w:r>
        <w:rPr>
          <w:noProof/>
          <w:sz w:val="20"/>
          <w:szCs w:val="20"/>
          <w:lang w:val="en-GB"/>
        </w:rPr>
        <w:t>(</w:t>
      </w:r>
      <w:r>
        <w:rPr>
          <w:noProof/>
          <w:sz w:val="20"/>
          <w:szCs w:val="20"/>
          <w:vertAlign w:val="superscript"/>
          <w:lang w:val="en-GB"/>
        </w:rPr>
        <w:t>g9</w:t>
      </w:r>
      <w:r>
        <w:rPr>
          <w:noProof/>
          <w:sz w:val="20"/>
          <w:szCs w:val="20"/>
          <w:lang w:val="en-GB"/>
        </w:rPr>
        <w:t>)</w:t>
      </w:r>
      <w:r>
        <w:rPr>
          <w:noProof/>
          <w:sz w:val="20"/>
          <w:szCs w:val="20"/>
          <w:lang w:val="en-GB"/>
        </w:rPr>
        <w:tab/>
        <w:t>Point 6.6.</w:t>
      </w:r>
    </w:p>
    <w:p>
      <w:pPr>
        <w:ind w:left="567" w:hanging="567"/>
        <w:jc w:val="left"/>
        <w:rPr>
          <w:rFonts w:eastAsia="Arial Unicode MS"/>
          <w:bCs/>
          <w:noProof/>
          <w:sz w:val="20"/>
          <w:szCs w:val="20"/>
          <w:lang w:val="en-GB"/>
        </w:rPr>
      </w:pPr>
      <w:r>
        <w:rPr>
          <w:noProof/>
          <w:sz w:val="20"/>
          <w:szCs w:val="20"/>
          <w:lang w:val="en-GB"/>
        </w:rPr>
        <w:t>(</w:t>
      </w:r>
      <w:r>
        <w:rPr>
          <w:noProof/>
          <w:sz w:val="20"/>
          <w:szCs w:val="20"/>
          <w:vertAlign w:val="superscript"/>
          <w:lang w:val="en-GB"/>
        </w:rPr>
        <w:t>g10</w:t>
      </w:r>
      <w:r>
        <w:rPr>
          <w:noProof/>
          <w:sz w:val="20"/>
          <w:szCs w:val="20"/>
          <w:lang w:val="en-GB"/>
        </w:rPr>
        <w:t>)</w:t>
      </w:r>
      <w:r>
        <w:rPr>
          <w:noProof/>
          <w:sz w:val="20"/>
          <w:szCs w:val="20"/>
          <w:lang w:val="en-GB"/>
        </w:rPr>
        <w:tab/>
        <w:t>Point 6.10.</w:t>
      </w:r>
    </w:p>
    <w:p>
      <w:pPr>
        <w:ind w:left="567" w:hanging="567"/>
        <w:jc w:val="left"/>
        <w:rPr>
          <w:rFonts w:eastAsia="Arial Unicode MS"/>
          <w:bCs/>
          <w:noProof/>
          <w:sz w:val="20"/>
          <w:szCs w:val="20"/>
          <w:lang w:val="en-GB"/>
        </w:rPr>
      </w:pPr>
      <w:r>
        <w:rPr>
          <w:noProof/>
          <w:sz w:val="20"/>
          <w:szCs w:val="20"/>
          <w:lang w:val="en-GB"/>
        </w:rPr>
        <w:t>(</w:t>
      </w:r>
      <w:r>
        <w:rPr>
          <w:noProof/>
          <w:sz w:val="20"/>
          <w:szCs w:val="20"/>
          <w:vertAlign w:val="superscript"/>
          <w:lang w:val="en-GB"/>
        </w:rPr>
        <w:t>g11</w:t>
      </w:r>
      <w:r>
        <w:rPr>
          <w:noProof/>
          <w:sz w:val="20"/>
          <w:szCs w:val="20"/>
          <w:lang w:val="en-GB"/>
        </w:rPr>
        <w:t>)</w:t>
      </w:r>
      <w:r>
        <w:rPr>
          <w:noProof/>
          <w:sz w:val="20"/>
          <w:szCs w:val="20"/>
          <w:lang w:val="en-GB"/>
        </w:rPr>
        <w:tab/>
        <w:t>Point 6.7.</w:t>
      </w:r>
    </w:p>
    <w:p>
      <w:pPr>
        <w:ind w:left="567" w:hanging="567"/>
        <w:jc w:val="left"/>
        <w:rPr>
          <w:rFonts w:eastAsia="Arial Unicode MS"/>
          <w:bCs/>
          <w:noProof/>
          <w:sz w:val="20"/>
          <w:szCs w:val="20"/>
          <w:lang w:val="en-GB"/>
        </w:rPr>
      </w:pPr>
      <w:r>
        <w:rPr>
          <w:noProof/>
          <w:sz w:val="20"/>
          <w:szCs w:val="20"/>
          <w:lang w:val="en-GB"/>
        </w:rPr>
        <w:t>(</w:t>
      </w:r>
      <w:r>
        <w:rPr>
          <w:noProof/>
          <w:sz w:val="20"/>
          <w:szCs w:val="20"/>
          <w:vertAlign w:val="superscript"/>
          <w:lang w:val="en-GB"/>
        </w:rPr>
        <w:t>g12</w:t>
      </w:r>
      <w:r>
        <w:rPr>
          <w:noProof/>
          <w:sz w:val="20"/>
          <w:szCs w:val="20"/>
          <w:lang w:val="en-GB"/>
        </w:rPr>
        <w:t>)</w:t>
      </w:r>
      <w:r>
        <w:rPr>
          <w:noProof/>
          <w:sz w:val="20"/>
          <w:szCs w:val="20"/>
          <w:lang w:val="en-GB"/>
        </w:rPr>
        <w:tab/>
        <w:t>Point 6.11.</w:t>
      </w:r>
    </w:p>
    <w:p>
      <w:pPr>
        <w:ind w:left="567" w:hanging="567"/>
        <w:jc w:val="left"/>
        <w:rPr>
          <w:rFonts w:eastAsia="Arial Unicode MS"/>
          <w:bCs/>
          <w:noProof/>
          <w:sz w:val="20"/>
          <w:szCs w:val="20"/>
          <w:lang w:val="en-GB"/>
        </w:rPr>
      </w:pPr>
      <w:r>
        <w:rPr>
          <w:noProof/>
          <w:sz w:val="20"/>
          <w:szCs w:val="20"/>
          <w:lang w:val="en-GB"/>
        </w:rPr>
        <w:t>(</w:t>
      </w:r>
      <w:r>
        <w:rPr>
          <w:noProof/>
          <w:sz w:val="20"/>
          <w:szCs w:val="20"/>
          <w:vertAlign w:val="superscript"/>
          <w:lang w:val="en-GB"/>
        </w:rPr>
        <w:t>g13</w:t>
      </w:r>
      <w:r>
        <w:rPr>
          <w:noProof/>
          <w:sz w:val="20"/>
          <w:szCs w:val="20"/>
          <w:lang w:val="en-GB"/>
        </w:rPr>
        <w:t>)</w:t>
      </w:r>
      <w:r>
        <w:rPr>
          <w:noProof/>
          <w:sz w:val="20"/>
          <w:szCs w:val="20"/>
          <w:lang w:val="en-GB"/>
        </w:rPr>
        <w:tab/>
        <w:t>Point 6.18.1.</w:t>
      </w:r>
    </w:p>
    <w:p>
      <w:pPr>
        <w:ind w:left="567" w:hanging="567"/>
        <w:jc w:val="left"/>
        <w:rPr>
          <w:rFonts w:eastAsia="Arial Unicode MS"/>
          <w:bCs/>
          <w:noProof/>
          <w:sz w:val="20"/>
          <w:szCs w:val="20"/>
          <w:lang w:val="en-GB"/>
        </w:rPr>
      </w:pPr>
      <w:r>
        <w:rPr>
          <w:noProof/>
          <w:sz w:val="20"/>
          <w:szCs w:val="20"/>
          <w:lang w:val="en-GB"/>
        </w:rPr>
        <w:t>(</w:t>
      </w:r>
      <w:r>
        <w:rPr>
          <w:noProof/>
          <w:sz w:val="20"/>
          <w:szCs w:val="20"/>
          <w:vertAlign w:val="superscript"/>
          <w:lang w:val="en-GB"/>
        </w:rPr>
        <w:t>g14</w:t>
      </w:r>
      <w:r>
        <w:rPr>
          <w:noProof/>
          <w:sz w:val="20"/>
          <w:szCs w:val="20"/>
          <w:lang w:val="en-GB"/>
        </w:rPr>
        <w:t>)</w:t>
      </w:r>
      <w:r>
        <w:rPr>
          <w:noProof/>
          <w:sz w:val="20"/>
          <w:szCs w:val="20"/>
          <w:lang w:val="en-GB"/>
        </w:rPr>
        <w:tab/>
        <w:t>Point 6.9.</w:t>
      </w:r>
    </w:p>
    <w:p>
      <w:pPr>
        <w:spacing w:after="0"/>
        <w:ind w:left="567" w:hanging="567"/>
        <w:jc w:val="left"/>
        <w:rPr>
          <w:rFonts w:eastAsia="Arial Unicode MS"/>
          <w:bCs/>
          <w:noProof/>
          <w:sz w:val="20"/>
          <w:szCs w:val="20"/>
        </w:rPr>
      </w:pPr>
      <w:r>
        <w:rPr>
          <w:noProof/>
          <w:sz w:val="20"/>
          <w:szCs w:val="20"/>
        </w:rPr>
        <w:t>(</w:t>
      </w:r>
      <w:r>
        <w:rPr>
          <w:noProof/>
          <w:sz w:val="20"/>
          <w:szCs w:val="20"/>
          <w:vertAlign w:val="superscript"/>
        </w:rPr>
        <w:t>h</w:t>
      </w:r>
      <w:r>
        <w:rPr>
          <w:noProof/>
          <w:sz w:val="20"/>
          <w:szCs w:val="20"/>
        </w:rPr>
        <w:t>)</w:t>
      </w:r>
      <w:r>
        <w:rPr>
          <w:noProof/>
          <w:sz w:val="20"/>
          <w:szCs w:val="20"/>
        </w:rPr>
        <w:tab/>
        <w:t>La masse du conducteur est évaluée à 75 kg.</w:t>
      </w:r>
    </w:p>
    <w:p>
      <w:pPr>
        <w:spacing w:before="0" w:after="0"/>
        <w:ind w:left="567"/>
        <w:rPr>
          <w:rFonts w:eastAsia="Arial Unicode MS"/>
          <w:bCs/>
          <w:noProof/>
          <w:sz w:val="20"/>
          <w:szCs w:val="20"/>
        </w:rPr>
      </w:pPr>
      <w:r>
        <w:rPr>
          <w:noProof/>
          <w:sz w:val="20"/>
          <w:szCs w:val="20"/>
        </w:rPr>
        <w:t>Les systèmes contenant des liquides (excepté ceux destinés aux eaux usées, qui doivent rester vides) sont remplis à 100 % de la capacité déclarée par le constructeur.</w:t>
      </w:r>
    </w:p>
    <w:p>
      <w:pPr>
        <w:spacing w:before="0"/>
        <w:ind w:left="567"/>
        <w:rPr>
          <w:rFonts w:eastAsia="Arial Unicode MS"/>
          <w:bCs/>
          <w:noProof/>
          <w:sz w:val="20"/>
          <w:szCs w:val="20"/>
        </w:rPr>
      </w:pPr>
      <w:r>
        <w:rPr>
          <w:noProof/>
          <w:sz w:val="20"/>
          <w:szCs w:val="20"/>
        </w:rPr>
        <w:t>Les informations visées aux points 3.6 b) et 3.6.1 b) ne doivent pas être fournies pour les catégories de véhicules N</w:t>
      </w:r>
      <w:r>
        <w:rPr>
          <w:noProof/>
          <w:sz w:val="20"/>
          <w:szCs w:val="20"/>
          <w:vertAlign w:val="subscript"/>
        </w:rPr>
        <w:t>2</w:t>
      </w:r>
      <w:r>
        <w:rPr>
          <w:noProof/>
          <w:sz w:val="20"/>
          <w:szCs w:val="20"/>
        </w:rPr>
        <w:t>, N</w:t>
      </w:r>
      <w:r>
        <w:rPr>
          <w:noProof/>
          <w:sz w:val="20"/>
          <w:szCs w:val="20"/>
          <w:vertAlign w:val="subscript"/>
        </w:rPr>
        <w:t>3</w:t>
      </w:r>
      <w:r>
        <w:rPr>
          <w:noProof/>
          <w:sz w:val="20"/>
          <w:szCs w:val="20"/>
        </w:rPr>
        <w:t>, M</w:t>
      </w:r>
      <w:r>
        <w:rPr>
          <w:noProof/>
          <w:sz w:val="20"/>
          <w:szCs w:val="20"/>
          <w:vertAlign w:val="subscript"/>
        </w:rPr>
        <w:t>2</w:t>
      </w:r>
      <w:r>
        <w:rPr>
          <w:noProof/>
          <w:sz w:val="20"/>
          <w:szCs w:val="20"/>
        </w:rPr>
        <w:t>, M</w:t>
      </w:r>
      <w:r>
        <w:rPr>
          <w:noProof/>
          <w:sz w:val="20"/>
          <w:szCs w:val="20"/>
          <w:vertAlign w:val="subscript"/>
        </w:rPr>
        <w:t>3</w:t>
      </w:r>
      <w:r>
        <w:rPr>
          <w:noProof/>
          <w:sz w:val="20"/>
          <w:szCs w:val="20"/>
        </w:rPr>
        <w:t>, O</w:t>
      </w:r>
      <w:r>
        <w:rPr>
          <w:noProof/>
          <w:sz w:val="20"/>
          <w:szCs w:val="20"/>
          <w:vertAlign w:val="subscript"/>
        </w:rPr>
        <w:t>3</w:t>
      </w:r>
      <w:r>
        <w:rPr>
          <w:noProof/>
          <w:sz w:val="20"/>
          <w:szCs w:val="20"/>
        </w:rPr>
        <w:t xml:space="preserve"> et O</w:t>
      </w:r>
      <w:r>
        <w:rPr>
          <w:noProof/>
          <w:sz w:val="20"/>
          <w:szCs w:val="20"/>
          <w:vertAlign w:val="subscript"/>
        </w:rPr>
        <w:t>4</w:t>
      </w:r>
      <w:r>
        <w:rPr>
          <w:noProof/>
          <w:sz w:val="20"/>
          <w:szCs w:val="20"/>
        </w:rPr>
        <w:t>.</w:t>
      </w:r>
    </w:p>
    <w:p>
      <w:pPr>
        <w:spacing w:before="0"/>
        <w:ind w:left="567" w:hanging="567"/>
        <w:rPr>
          <w:rFonts w:eastAsia="Arial Unicode MS"/>
          <w:bCs/>
          <w:noProof/>
          <w:sz w:val="20"/>
          <w:szCs w:val="20"/>
        </w:rPr>
      </w:pPr>
      <w:r>
        <w:rPr>
          <w:noProof/>
          <w:sz w:val="20"/>
          <w:szCs w:val="20"/>
        </w:rPr>
        <w:t>(</w:t>
      </w:r>
      <w:r>
        <w:rPr>
          <w:noProof/>
          <w:sz w:val="20"/>
          <w:szCs w:val="20"/>
          <w:vertAlign w:val="superscript"/>
        </w:rPr>
        <w:t>i</w:t>
      </w:r>
      <w:r>
        <w:rPr>
          <w:noProof/>
          <w:sz w:val="20"/>
          <w:szCs w:val="20"/>
        </w:rPr>
        <w:t>)</w:t>
      </w:r>
      <w:r>
        <w:rPr>
          <w:noProof/>
          <w:sz w:val="20"/>
          <w:szCs w:val="20"/>
        </w:rPr>
        <w:tab/>
        <w:t>Pour les remorques ou les semi-remorques, et pour les véhicules attelés à une remorque ou à une semi-remorque, qui exercent une charge verticale significative sur le dispositif d’attelage ou sur la sellette d’attelage, cette charge, divisée par l’accélération normale de la pesanteur, est incorporée dans la masse maximale techniquement admissible.</w:t>
      </w:r>
    </w:p>
    <w:p>
      <w:pPr>
        <w:spacing w:before="0"/>
        <w:ind w:left="567" w:hanging="567"/>
        <w:rPr>
          <w:rFonts w:eastAsia="Arial Unicode MS"/>
          <w:bCs/>
          <w:noProof/>
          <w:sz w:val="20"/>
          <w:szCs w:val="20"/>
        </w:rPr>
      </w:pPr>
      <w:r>
        <w:rPr>
          <w:noProof/>
          <w:sz w:val="20"/>
          <w:szCs w:val="20"/>
        </w:rPr>
        <w:t>(</w:t>
      </w:r>
      <w:r>
        <w:rPr>
          <w:noProof/>
          <w:sz w:val="20"/>
          <w:szCs w:val="20"/>
          <w:vertAlign w:val="superscript"/>
        </w:rPr>
        <w:t>j</w:t>
      </w:r>
      <w:r>
        <w:rPr>
          <w:noProof/>
          <w:sz w:val="20"/>
          <w:szCs w:val="20"/>
        </w:rPr>
        <w:t>)</w:t>
      </w:r>
      <w:r>
        <w:rPr>
          <w:noProof/>
          <w:sz w:val="20"/>
          <w:szCs w:val="20"/>
        </w:rPr>
        <w:tab/>
        <w:t>Le «porte-à-faux d’attelage» est la distance horizontale entre le dispositif d’attelage pour les remorques à essieu central et l’axe du ou des essieux arrière.</w:t>
      </w:r>
    </w:p>
    <w:p>
      <w:pPr>
        <w:spacing w:before="0" w:after="0"/>
        <w:ind w:left="567" w:hanging="567"/>
        <w:rPr>
          <w:rFonts w:eastAsia="Arial Unicode MS"/>
          <w:bCs/>
          <w:noProof/>
          <w:sz w:val="20"/>
          <w:szCs w:val="20"/>
        </w:rPr>
      </w:pPr>
      <w:r>
        <w:rPr>
          <w:noProof/>
          <w:sz w:val="20"/>
          <w:szCs w:val="20"/>
        </w:rPr>
        <w:t>(</w:t>
      </w:r>
      <w:r>
        <w:rPr>
          <w:noProof/>
          <w:sz w:val="20"/>
          <w:szCs w:val="20"/>
          <w:vertAlign w:val="superscript"/>
        </w:rPr>
        <w:t>k</w:t>
      </w:r>
      <w:r>
        <w:rPr>
          <w:noProof/>
          <w:sz w:val="20"/>
          <w:szCs w:val="20"/>
        </w:rPr>
        <w:t>)</w:t>
      </w:r>
      <w:r>
        <w:rPr>
          <w:noProof/>
          <w:sz w:val="20"/>
          <w:szCs w:val="20"/>
        </w:rPr>
        <w:tab/>
        <w:t>Dans le cas d’un véhicule qui peut rouler soit à l’essence, au gazole, etc., soit en combinaison avec un autre carburant, il y a lieu de remplir ces rubriques autant de fois que nécessaire.</w:t>
      </w:r>
    </w:p>
    <w:p>
      <w:pPr>
        <w:spacing w:before="0"/>
        <w:ind w:left="567"/>
        <w:rPr>
          <w:rFonts w:eastAsia="Arial Unicode MS"/>
          <w:bCs/>
          <w:noProof/>
          <w:sz w:val="20"/>
          <w:szCs w:val="20"/>
        </w:rPr>
      </w:pPr>
      <w:r>
        <w:rPr>
          <w:noProof/>
          <w:sz w:val="20"/>
          <w:szCs w:val="20"/>
        </w:rPr>
        <w:t>Pour les moteurs et les systèmes non classiques, des renseignements équivalant à ceux visés ici doivent être fournis par le constructeur.</w:t>
      </w:r>
    </w:p>
    <w:p>
      <w:pPr>
        <w:spacing w:before="0"/>
        <w:ind w:left="567" w:hanging="567"/>
        <w:jc w:val="left"/>
        <w:rPr>
          <w:rFonts w:eastAsia="Arial Unicode MS"/>
          <w:bCs/>
          <w:noProof/>
          <w:sz w:val="20"/>
          <w:szCs w:val="20"/>
        </w:rPr>
      </w:pPr>
      <w:r>
        <w:rPr>
          <w:rFonts w:eastAsia="Arial Unicode MS"/>
          <w:bCs/>
          <w:noProof/>
          <w:sz w:val="20"/>
          <w:szCs w:val="20"/>
        </w:rPr>
        <w:t>(</w:t>
      </w:r>
      <w:r>
        <w:rPr>
          <w:rFonts w:eastAsia="Arial Unicode MS"/>
          <w:bCs/>
          <w:noProof/>
          <w:sz w:val="20"/>
          <w:szCs w:val="20"/>
          <w:vertAlign w:val="superscript"/>
        </w:rPr>
        <w:t>l</w:t>
      </w:r>
      <w:r>
        <w:rPr>
          <w:rFonts w:eastAsia="Arial Unicode MS"/>
          <w:bCs/>
          <w:noProof/>
          <w:sz w:val="20"/>
          <w:szCs w:val="20"/>
        </w:rPr>
        <w:t>)</w:t>
      </w:r>
      <w:r>
        <w:rPr>
          <w:rFonts w:eastAsia="Arial Unicode MS"/>
          <w:bCs/>
          <w:noProof/>
          <w:sz w:val="20"/>
          <w:szCs w:val="20"/>
        </w:rPr>
        <w:tab/>
      </w:r>
      <w:r>
        <w:rPr>
          <w:noProof/>
          <w:sz w:val="20"/>
          <w:szCs w:val="20"/>
        </w:rPr>
        <w:t>Ce chiffre doit être arrondi au dixième de millimètre le plus proche.</w:t>
      </w:r>
    </w:p>
    <w:p>
      <w:pPr>
        <w:spacing w:before="0"/>
        <w:ind w:left="567" w:hanging="567"/>
        <w:jc w:val="left"/>
        <w:rPr>
          <w:rFonts w:eastAsia="Arial Unicode MS"/>
          <w:bCs/>
          <w:noProof/>
          <w:sz w:val="20"/>
          <w:szCs w:val="20"/>
        </w:rPr>
      </w:pPr>
      <w:r>
        <w:rPr>
          <w:noProof/>
          <w:sz w:val="20"/>
          <w:szCs w:val="20"/>
        </w:rPr>
        <w:t>(</w:t>
      </w:r>
      <w:r>
        <w:rPr>
          <w:noProof/>
          <w:sz w:val="20"/>
          <w:szCs w:val="20"/>
          <w:vertAlign w:val="superscript"/>
        </w:rPr>
        <w:t>m</w:t>
      </w:r>
      <w:r>
        <w:rPr>
          <w:noProof/>
          <w:sz w:val="20"/>
          <w:szCs w:val="20"/>
        </w:rPr>
        <w:t>)</w:t>
      </w:r>
      <w:r>
        <w:rPr>
          <w:noProof/>
          <w:sz w:val="20"/>
          <w:szCs w:val="20"/>
        </w:rPr>
        <w:tab/>
        <w:t>Cette valeur doit être calculée (π = 3,1416) et arrondie au cm</w:t>
      </w:r>
      <w:r>
        <w:rPr>
          <w:noProof/>
          <w:sz w:val="20"/>
          <w:szCs w:val="20"/>
          <w:vertAlign w:val="superscript"/>
        </w:rPr>
        <w:t>3</w:t>
      </w:r>
      <w:r>
        <w:rPr>
          <w:noProof/>
          <w:sz w:val="20"/>
          <w:szCs w:val="20"/>
        </w:rPr>
        <w:t xml:space="preserve"> le plus proche.</w:t>
      </w:r>
    </w:p>
    <w:p>
      <w:pPr>
        <w:spacing w:before="0"/>
        <w:ind w:left="567" w:hanging="567"/>
        <w:rPr>
          <w:rFonts w:eastAsia="Arial Unicode MS"/>
          <w:bCs/>
          <w:noProof/>
          <w:sz w:val="20"/>
          <w:szCs w:val="20"/>
        </w:rPr>
      </w:pPr>
      <w:r>
        <w:rPr>
          <w:noProof/>
          <w:sz w:val="20"/>
          <w:szCs w:val="20"/>
        </w:rPr>
        <w:t>(</w:t>
      </w:r>
      <w:r>
        <w:rPr>
          <w:noProof/>
          <w:sz w:val="20"/>
          <w:szCs w:val="20"/>
          <w:vertAlign w:val="superscript"/>
        </w:rPr>
        <w:t>n</w:t>
      </w:r>
      <w:r>
        <w:rPr>
          <w:noProof/>
          <w:sz w:val="20"/>
          <w:szCs w:val="20"/>
        </w:rPr>
        <w:t>)</w:t>
      </w:r>
      <w:r>
        <w:rPr>
          <w:noProof/>
          <w:sz w:val="20"/>
          <w:szCs w:val="20"/>
        </w:rPr>
        <w:tab/>
        <w:t>Déterminé conformément aux prescriptions du règlement (CE) n</w:t>
      </w:r>
      <w:r>
        <w:rPr>
          <w:noProof/>
          <w:sz w:val="20"/>
          <w:szCs w:val="20"/>
          <w:vertAlign w:val="superscript"/>
        </w:rPr>
        <w:t>o</w:t>
      </w:r>
      <w:r>
        <w:rPr>
          <w:noProof/>
          <w:sz w:val="20"/>
          <w:szCs w:val="20"/>
        </w:rPr>
        <w:t> 715/2007 ou du règlement (CE) n</w:t>
      </w:r>
      <w:r>
        <w:rPr>
          <w:noProof/>
          <w:sz w:val="20"/>
          <w:szCs w:val="20"/>
          <w:vertAlign w:val="superscript"/>
        </w:rPr>
        <w:t>o</w:t>
      </w:r>
      <w:r>
        <w:rPr>
          <w:noProof/>
          <w:sz w:val="20"/>
          <w:szCs w:val="20"/>
        </w:rPr>
        <w:t> 595/2009, selon le cas.</w:t>
      </w:r>
    </w:p>
    <w:p>
      <w:pPr>
        <w:spacing w:before="0"/>
        <w:ind w:left="567" w:hanging="567"/>
        <w:rPr>
          <w:rFonts w:eastAsia="Arial Unicode MS"/>
          <w:bCs/>
          <w:noProof/>
          <w:sz w:val="20"/>
          <w:szCs w:val="20"/>
        </w:rPr>
      </w:pPr>
      <w:r>
        <w:rPr>
          <w:noProof/>
          <w:sz w:val="20"/>
          <w:szCs w:val="20"/>
        </w:rPr>
        <w:t>(</w:t>
      </w:r>
      <w:r>
        <w:rPr>
          <w:noProof/>
          <w:sz w:val="20"/>
          <w:szCs w:val="20"/>
          <w:vertAlign w:val="superscript"/>
        </w:rPr>
        <w:t>o</w:t>
      </w:r>
      <w:r>
        <w:rPr>
          <w:noProof/>
          <w:sz w:val="20"/>
          <w:szCs w:val="20"/>
        </w:rPr>
        <w:t>)</w:t>
      </w:r>
      <w:r>
        <w:rPr>
          <w:noProof/>
          <w:sz w:val="20"/>
          <w:szCs w:val="20"/>
        </w:rPr>
        <w:tab/>
        <w:t>Déterminé conformément aux prescriptions du règlement (CE) n</w:t>
      </w:r>
      <w:r>
        <w:rPr>
          <w:noProof/>
          <w:sz w:val="20"/>
          <w:szCs w:val="20"/>
          <w:vertAlign w:val="superscript"/>
        </w:rPr>
        <w:t>o</w:t>
      </w:r>
      <w:r>
        <w:rPr>
          <w:noProof/>
          <w:sz w:val="20"/>
          <w:szCs w:val="20"/>
        </w:rPr>
        <w:t> 715/2007 du Parlement européen et du Conseil</w:t>
      </w:r>
      <w:r>
        <w:rPr>
          <w:rStyle w:val="FootnoteReference"/>
          <w:noProof/>
          <w:sz w:val="20"/>
          <w:szCs w:val="20"/>
        </w:rPr>
        <w:footnoteReference w:id="12"/>
      </w:r>
      <w:r>
        <w:rPr>
          <w:noProof/>
          <w:sz w:val="20"/>
          <w:szCs w:val="20"/>
        </w:rPr>
        <w:t>.</w:t>
      </w:r>
    </w:p>
    <w:p>
      <w:pPr>
        <w:spacing w:before="0"/>
        <w:ind w:left="567" w:hanging="567"/>
        <w:jc w:val="left"/>
        <w:rPr>
          <w:rFonts w:eastAsia="Arial Unicode MS"/>
          <w:bCs/>
          <w:noProof/>
          <w:sz w:val="20"/>
          <w:szCs w:val="20"/>
        </w:rPr>
      </w:pPr>
      <w:r>
        <w:rPr>
          <w:noProof/>
          <w:sz w:val="20"/>
          <w:szCs w:val="20"/>
        </w:rPr>
        <w:t>(</w:t>
      </w:r>
      <w:r>
        <w:rPr>
          <w:noProof/>
          <w:sz w:val="20"/>
          <w:szCs w:val="20"/>
          <w:vertAlign w:val="superscript"/>
        </w:rPr>
        <w:t>p</w:t>
      </w:r>
      <w:r>
        <w:rPr>
          <w:noProof/>
          <w:sz w:val="20"/>
          <w:szCs w:val="20"/>
        </w:rPr>
        <w:t>)</w:t>
      </w:r>
      <w:r>
        <w:rPr>
          <w:noProof/>
          <w:sz w:val="20"/>
          <w:szCs w:val="20"/>
        </w:rPr>
        <w:tab/>
        <w:t>Fournir les renseignements demandés pour toutes les variantes éventuelles proposées.</w:t>
      </w:r>
    </w:p>
    <w:p>
      <w:pPr>
        <w:spacing w:before="0"/>
        <w:ind w:left="567" w:hanging="567"/>
        <w:jc w:val="left"/>
        <w:rPr>
          <w:rFonts w:eastAsia="Arial Unicode MS"/>
          <w:bCs/>
          <w:noProof/>
          <w:sz w:val="20"/>
          <w:szCs w:val="20"/>
        </w:rPr>
      </w:pPr>
      <w:r>
        <w:rPr>
          <w:noProof/>
          <w:sz w:val="20"/>
          <w:szCs w:val="20"/>
        </w:rPr>
        <w:t>(</w:t>
      </w:r>
      <w:r>
        <w:rPr>
          <w:noProof/>
          <w:sz w:val="20"/>
          <w:szCs w:val="20"/>
          <w:vertAlign w:val="superscript"/>
        </w:rPr>
        <w:t>q</w:t>
      </w:r>
      <w:r>
        <w:rPr>
          <w:noProof/>
          <w:sz w:val="20"/>
          <w:szCs w:val="20"/>
        </w:rPr>
        <w:t>)</w:t>
      </w:r>
      <w:r>
        <w:rPr>
          <w:noProof/>
          <w:sz w:val="20"/>
          <w:szCs w:val="20"/>
        </w:rPr>
        <w:tab/>
        <w:t>En ce qui concerne les remorques, vitesse maximale autorisée par le constructeur.</w:t>
      </w:r>
    </w:p>
    <w:p>
      <w:pPr>
        <w:spacing w:before="0"/>
        <w:ind w:left="567" w:hanging="567"/>
        <w:rPr>
          <w:rFonts w:eastAsia="Arial Unicode MS"/>
          <w:bCs/>
          <w:noProof/>
          <w:sz w:val="20"/>
          <w:szCs w:val="20"/>
        </w:rPr>
      </w:pPr>
      <w:r>
        <w:rPr>
          <w:noProof/>
          <w:sz w:val="20"/>
          <w:szCs w:val="20"/>
        </w:rPr>
        <w:t>(</w:t>
      </w:r>
      <w:r>
        <w:rPr>
          <w:noProof/>
          <w:sz w:val="20"/>
          <w:szCs w:val="20"/>
          <w:vertAlign w:val="superscript"/>
        </w:rPr>
        <w:t>r</w:t>
      </w:r>
      <w:r>
        <w:rPr>
          <w:noProof/>
          <w:sz w:val="20"/>
          <w:szCs w:val="20"/>
        </w:rPr>
        <w:t>)</w:t>
      </w:r>
      <w:r>
        <w:rPr>
          <w:noProof/>
          <w:sz w:val="20"/>
          <w:szCs w:val="20"/>
        </w:rPr>
        <w:tab/>
        <w:t>Pour les pneumatiques de catégorie Z destinés à être montés sur des véhicules dont la vitesse maximale dépasse 300 km/h, des informations équivalentes doivent être fournies.</w:t>
      </w:r>
    </w:p>
    <w:p>
      <w:pPr>
        <w:spacing w:before="0"/>
        <w:ind w:left="567" w:hanging="567"/>
        <w:rPr>
          <w:rFonts w:eastAsia="Arial Unicode MS"/>
          <w:bCs/>
          <w:noProof/>
          <w:sz w:val="20"/>
          <w:szCs w:val="20"/>
        </w:rPr>
      </w:pPr>
      <w:r>
        <w:rPr>
          <w:noProof/>
          <w:sz w:val="20"/>
          <w:szCs w:val="20"/>
        </w:rPr>
        <w:t>(</w:t>
      </w:r>
      <w:r>
        <w:rPr>
          <w:noProof/>
          <w:sz w:val="20"/>
          <w:szCs w:val="20"/>
          <w:vertAlign w:val="superscript"/>
        </w:rPr>
        <w:t>s</w:t>
      </w:r>
      <w:r>
        <w:rPr>
          <w:noProof/>
          <w:sz w:val="20"/>
          <w:szCs w:val="20"/>
        </w:rPr>
        <w:t>)</w:t>
      </w:r>
      <w:r>
        <w:rPr>
          <w:noProof/>
          <w:sz w:val="20"/>
          <w:szCs w:val="20"/>
        </w:rPr>
        <w:tab/>
        <w:t>Le nombre de places assises à mentionner est celui lorsque le véhicule est en mouvement. En cas de disposition modulable, une fourchette peut être indiquée.</w:t>
      </w:r>
    </w:p>
    <w:p>
      <w:pPr>
        <w:spacing w:before="0"/>
        <w:ind w:left="567" w:hanging="567"/>
        <w:rPr>
          <w:rFonts w:eastAsia="Arial Unicode MS"/>
          <w:bCs/>
          <w:noProof/>
          <w:sz w:val="20"/>
          <w:szCs w:val="20"/>
        </w:rPr>
      </w:pPr>
      <w:r>
        <w:rPr>
          <w:noProof/>
          <w:sz w:val="20"/>
          <w:szCs w:val="20"/>
        </w:rPr>
        <w:t>(</w:t>
      </w:r>
      <w:r>
        <w:rPr>
          <w:noProof/>
          <w:sz w:val="20"/>
          <w:szCs w:val="20"/>
          <w:vertAlign w:val="superscript"/>
        </w:rPr>
        <w:t>l</w:t>
      </w:r>
      <w:r>
        <w:rPr>
          <w:noProof/>
          <w:sz w:val="20"/>
          <w:szCs w:val="20"/>
        </w:rPr>
        <w:t>)</w:t>
      </w:r>
      <w:r>
        <w:rPr>
          <w:noProof/>
          <w:sz w:val="20"/>
          <w:szCs w:val="20"/>
        </w:rPr>
        <w:tab/>
        <w:t>Par «point R» ou «point de référence de place assise», on entend un point défini sur les plans du constructeur du véhicule pour chaque place assise et repéré par rapport au système de référence à trois dimensions conformément à l’annexe III du règlement n</w:t>
      </w:r>
      <w:r>
        <w:rPr>
          <w:noProof/>
          <w:sz w:val="20"/>
          <w:szCs w:val="20"/>
          <w:vertAlign w:val="superscript"/>
        </w:rPr>
        <w:t>o</w:t>
      </w:r>
      <w:r>
        <w:rPr>
          <w:noProof/>
          <w:sz w:val="20"/>
          <w:szCs w:val="20"/>
        </w:rPr>
        <w:t> 125 de la CEE-ONU.</w:t>
      </w:r>
    </w:p>
    <w:p>
      <w:pPr>
        <w:spacing w:before="0"/>
        <w:ind w:left="567" w:hanging="567"/>
        <w:rPr>
          <w:rFonts w:eastAsia="Arial Unicode MS"/>
          <w:bCs/>
          <w:noProof/>
          <w:sz w:val="20"/>
          <w:szCs w:val="20"/>
        </w:rPr>
      </w:pPr>
      <w:r>
        <w:rPr>
          <w:noProof/>
          <w:sz w:val="20"/>
          <w:szCs w:val="20"/>
        </w:rPr>
        <w:t>(</w:t>
      </w:r>
      <w:r>
        <w:rPr>
          <w:noProof/>
          <w:sz w:val="20"/>
          <w:szCs w:val="20"/>
          <w:vertAlign w:val="superscript"/>
        </w:rPr>
        <w:t>u</w:t>
      </w:r>
      <w:r>
        <w:rPr>
          <w:noProof/>
          <w:sz w:val="20"/>
          <w:szCs w:val="20"/>
        </w:rPr>
        <w:t>)</w:t>
      </w:r>
      <w:r>
        <w:rPr>
          <w:noProof/>
          <w:sz w:val="20"/>
          <w:szCs w:val="20"/>
        </w:rPr>
        <w:tab/>
        <w:t>Pour les symboles et marques à utiliser, voir paragraphe 5.3 du règlement n</w:t>
      </w:r>
      <w:r>
        <w:rPr>
          <w:noProof/>
          <w:sz w:val="20"/>
          <w:szCs w:val="20"/>
          <w:vertAlign w:val="superscript"/>
        </w:rPr>
        <w:t>o</w:t>
      </w:r>
      <w:r>
        <w:rPr>
          <w:noProof/>
          <w:sz w:val="20"/>
          <w:szCs w:val="20"/>
        </w:rPr>
        <w:t> 16 de la CEE-ONU. Dans le cas des ceintures de type «S», préciser la nature du (ou des) type(s).</w:t>
      </w:r>
    </w:p>
    <w:p>
      <w:pPr>
        <w:spacing w:before="0"/>
        <w:ind w:left="567" w:hanging="567"/>
        <w:rPr>
          <w:rFonts w:eastAsia="Arial Unicode MS"/>
          <w:bCs/>
          <w:noProof/>
          <w:sz w:val="20"/>
          <w:szCs w:val="20"/>
        </w:rPr>
      </w:pPr>
      <w:r>
        <w:rPr>
          <w:noProof/>
          <w:sz w:val="20"/>
          <w:szCs w:val="20"/>
        </w:rPr>
        <w:lastRenderedPageBreak/>
        <w:t>(</w:t>
      </w:r>
      <w:r>
        <w:rPr>
          <w:noProof/>
          <w:sz w:val="20"/>
          <w:szCs w:val="20"/>
          <w:vertAlign w:val="superscript"/>
        </w:rPr>
        <w:t>v</w:t>
      </w:r>
      <w:r>
        <w:rPr>
          <w:noProof/>
          <w:sz w:val="20"/>
          <w:szCs w:val="20"/>
        </w:rPr>
        <w:t>)</w:t>
      </w:r>
      <w:r>
        <w:rPr>
          <w:noProof/>
          <w:sz w:val="20"/>
          <w:szCs w:val="20"/>
        </w:rPr>
        <w:tab/>
        <w:t>Ces termes sont définis dans la norme ISO 22628: 2002 — Véhicules routiers — Recyclabilité et valorisabilité — méthode de calcul.</w:t>
      </w:r>
    </w:p>
    <w:p>
      <w:pPr>
        <w:spacing w:before="0"/>
        <w:ind w:left="567" w:hanging="567"/>
        <w:jc w:val="left"/>
        <w:rPr>
          <w:rFonts w:eastAsia="Arial Unicode MS"/>
          <w:bCs/>
          <w:noProof/>
          <w:sz w:val="20"/>
          <w:szCs w:val="20"/>
        </w:rPr>
      </w:pPr>
      <w:r>
        <w:rPr>
          <w:noProof/>
          <w:sz w:val="20"/>
          <w:szCs w:val="20"/>
        </w:rPr>
        <w:t>(</w:t>
      </w:r>
      <w:r>
        <w:rPr>
          <w:noProof/>
          <w:sz w:val="20"/>
          <w:szCs w:val="20"/>
          <w:vertAlign w:val="superscript"/>
        </w:rPr>
        <w:t>x</w:t>
      </w:r>
      <w:r>
        <w:rPr>
          <w:noProof/>
          <w:sz w:val="20"/>
          <w:szCs w:val="20"/>
        </w:rPr>
        <w:t>)</w:t>
      </w:r>
      <w:r>
        <w:rPr>
          <w:noProof/>
          <w:sz w:val="20"/>
          <w:szCs w:val="20"/>
        </w:rPr>
        <w:tab/>
        <w:t>Moteurs à double carburant.</w:t>
      </w:r>
    </w:p>
    <w:p>
      <w:pPr>
        <w:spacing w:before="0"/>
        <w:ind w:left="567" w:hanging="567"/>
        <w:jc w:val="left"/>
        <w:rPr>
          <w:rFonts w:eastAsia="Arial Unicode MS"/>
          <w:bCs/>
          <w:noProof/>
          <w:sz w:val="20"/>
          <w:szCs w:val="20"/>
        </w:rPr>
      </w:pPr>
      <w:r>
        <w:rPr>
          <w:noProof/>
          <w:sz w:val="20"/>
          <w:szCs w:val="20"/>
        </w:rPr>
        <w:t>(</w:t>
      </w:r>
      <w:r>
        <w:rPr>
          <w:noProof/>
          <w:sz w:val="20"/>
          <w:szCs w:val="20"/>
          <w:vertAlign w:val="superscript"/>
        </w:rPr>
        <w:t>x1</w:t>
      </w:r>
      <w:r>
        <w:rPr>
          <w:noProof/>
          <w:sz w:val="20"/>
          <w:szCs w:val="20"/>
        </w:rPr>
        <w:t>)</w:t>
      </w:r>
      <w:r>
        <w:rPr>
          <w:noProof/>
          <w:sz w:val="20"/>
          <w:szCs w:val="20"/>
        </w:rPr>
        <w:tab/>
        <w:t>Dans le cas d’un moteur ou d’un véhicule à double carburant.</w:t>
      </w:r>
    </w:p>
    <w:p>
      <w:pPr>
        <w:spacing w:before="0"/>
        <w:ind w:left="567" w:hanging="567"/>
        <w:jc w:val="left"/>
        <w:rPr>
          <w:rFonts w:eastAsia="Arial Unicode MS"/>
          <w:bCs/>
          <w:noProof/>
          <w:sz w:val="20"/>
          <w:szCs w:val="20"/>
        </w:rPr>
      </w:pPr>
      <w:r>
        <w:rPr>
          <w:noProof/>
          <w:sz w:val="20"/>
          <w:szCs w:val="20"/>
        </w:rPr>
        <w:t>(</w:t>
      </w:r>
      <w:r>
        <w:rPr>
          <w:noProof/>
          <w:sz w:val="20"/>
          <w:szCs w:val="20"/>
          <w:vertAlign w:val="superscript"/>
        </w:rPr>
        <w:t>x2</w:t>
      </w:r>
      <w:r>
        <w:rPr>
          <w:noProof/>
          <w:sz w:val="20"/>
          <w:szCs w:val="20"/>
        </w:rPr>
        <w:t>)</w:t>
      </w:r>
      <w:r>
        <w:rPr>
          <w:noProof/>
          <w:sz w:val="20"/>
          <w:szCs w:val="20"/>
        </w:rPr>
        <w:tab/>
        <w:t>Dans le cas de moteurs à double carburant des types 1B, 2B et 3B.</w:t>
      </w:r>
    </w:p>
    <w:p>
      <w:pPr>
        <w:spacing w:before="0" w:after="0"/>
        <w:ind w:left="567" w:hanging="567"/>
        <w:jc w:val="left"/>
        <w:rPr>
          <w:rFonts w:eastAsia="Arial Unicode MS"/>
          <w:bCs/>
          <w:noProof/>
          <w:sz w:val="20"/>
          <w:szCs w:val="20"/>
        </w:rPr>
      </w:pPr>
      <w:r>
        <w:rPr>
          <w:noProof/>
          <w:sz w:val="20"/>
          <w:szCs w:val="20"/>
        </w:rPr>
        <w:t>(</w:t>
      </w:r>
      <w:r>
        <w:rPr>
          <w:noProof/>
          <w:sz w:val="20"/>
          <w:szCs w:val="20"/>
          <w:vertAlign w:val="superscript"/>
        </w:rPr>
        <w:t>x3</w:t>
      </w:r>
      <w:r>
        <w:rPr>
          <w:noProof/>
          <w:sz w:val="20"/>
          <w:szCs w:val="20"/>
        </w:rPr>
        <w:t>)</w:t>
      </w:r>
      <w:r>
        <w:rPr>
          <w:noProof/>
          <w:sz w:val="20"/>
          <w:szCs w:val="20"/>
        </w:rPr>
        <w:tab/>
        <w:t>Sauf pour les moteurs ou véhicules à double carburant.</w:t>
      </w:r>
    </w:p>
    <w:p>
      <w:pPr>
        <w:spacing w:before="0" w:after="0"/>
        <w:jc w:val="left"/>
        <w:rPr>
          <w:rFonts w:eastAsia="Arial Unicode MS"/>
          <w:noProof/>
          <w:sz w:val="20"/>
          <w:szCs w:val="20"/>
        </w:rPr>
      </w:pPr>
      <w:r>
        <w:rPr>
          <w:rFonts w:eastAsia="Arial Unicode MS"/>
          <w:noProof/>
          <w:sz w:val="20"/>
          <w:szCs w:val="20"/>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sz w:val="20"/>
          <w:szCs w:val="20"/>
        </w:rPr>
        <w:br w:type="page"/>
      </w:r>
    </w:p>
    <w:p>
      <w:pPr>
        <w:spacing w:before="240" w:after="240"/>
        <w:jc w:val="center"/>
        <w:rPr>
          <w:rFonts w:eastAsia="Arial Unicode MS"/>
          <w:noProof/>
          <w:szCs w:val="24"/>
        </w:rPr>
      </w:pPr>
      <w:r>
        <w:rPr>
          <w:noProof/>
        </w:rPr>
        <w:lastRenderedPageBreak/>
        <w:t>PARTIE II</w:t>
      </w:r>
    </w:p>
    <w:p>
      <w:pPr>
        <w:jc w:val="left"/>
        <w:rPr>
          <w:rFonts w:eastAsia="Arial Unicode MS"/>
          <w:b/>
          <w:bCs/>
          <w:noProof/>
          <w:szCs w:val="24"/>
        </w:rPr>
      </w:pPr>
      <w:r>
        <w:rPr>
          <w:b/>
          <w:noProof/>
        </w:rPr>
        <w:t>Matrice présentant les combinaisons des entrées énumérées dans la partie I au sein des versions et variantes du type de véhicule</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Élément n</w:t>
            </w:r>
            <w:r>
              <w:rPr>
                <w:noProof/>
                <w:sz w:val="22"/>
                <w:vertAlign w:val="superscript"/>
              </w:rPr>
              <w:t>o</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Toutes</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Version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Version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Version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Version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bl>
    <w:p>
      <w:pPr>
        <w:spacing w:after="0"/>
        <w:rPr>
          <w:rFonts w:eastAsia="Arial Unicode MS"/>
          <w:noProof/>
          <w:szCs w:val="24"/>
        </w:rPr>
      </w:pPr>
      <w:r>
        <w:rPr>
          <w:b/>
          <w:noProof/>
        </w:rPr>
        <w:t>Notes explicatives</w:t>
      </w:r>
    </w:p>
    <w:p>
      <w:pPr>
        <w:spacing w:before="0" w:after="0"/>
        <w:ind w:left="567" w:hanging="567"/>
        <w:rPr>
          <w:rFonts w:eastAsia="Arial Unicode MS"/>
          <w:noProof/>
          <w:szCs w:val="24"/>
        </w:rPr>
      </w:pPr>
      <w:r>
        <w:rPr>
          <w:noProof/>
        </w:rPr>
        <w:t>a)</w:t>
      </w:r>
      <w:r>
        <w:rPr>
          <w:noProof/>
        </w:rPr>
        <w:tab/>
        <w:t>Une matrice distincte doit être établie pour chaque variante au sein du type.</w:t>
      </w:r>
    </w:p>
    <w:p>
      <w:pPr>
        <w:spacing w:before="0" w:after="0"/>
        <w:ind w:left="567" w:hanging="567"/>
        <w:rPr>
          <w:rFonts w:eastAsia="Arial Unicode MS"/>
          <w:noProof/>
          <w:szCs w:val="24"/>
        </w:rPr>
      </w:pPr>
      <w:r>
        <w:rPr>
          <w:noProof/>
        </w:rPr>
        <w:t>b)</w:t>
      </w:r>
      <w:r>
        <w:rPr>
          <w:noProof/>
        </w:rPr>
        <w:tab/>
        <w:t>Les entrées pour lesquelles il n’existe aucune restriction quant à leur combinaison au sein d’une variante sont énumérées dans la colonne intitulée «Toutes».</w:t>
      </w:r>
    </w:p>
    <w:p>
      <w:pPr>
        <w:spacing w:before="0" w:after="0"/>
        <w:ind w:left="567" w:hanging="567"/>
        <w:rPr>
          <w:rFonts w:eastAsia="Arial Unicode MS"/>
          <w:noProof/>
          <w:szCs w:val="24"/>
        </w:rPr>
      </w:pPr>
      <w:r>
        <w:rPr>
          <w:noProof/>
        </w:rPr>
        <w:t>c)</w:t>
      </w:r>
      <w:r>
        <w:rPr>
          <w:noProof/>
        </w:rPr>
        <w:tab/>
        <w:t>Les informations spécifiées dans la matrice peuvent être présentées sous une autre forme ou fusionnées avec les informations fournies conformément à la partie I.</w:t>
      </w:r>
    </w:p>
    <w:p>
      <w:pPr>
        <w:spacing w:before="0" w:after="0"/>
        <w:ind w:left="567" w:hanging="567"/>
        <w:rPr>
          <w:rFonts w:eastAsia="Arial Unicode MS"/>
          <w:noProof/>
          <w:szCs w:val="24"/>
        </w:rPr>
      </w:pPr>
      <w:r>
        <w:rPr>
          <w:noProof/>
        </w:rPr>
        <w:t>d)</w:t>
      </w:r>
      <w:r>
        <w:rPr>
          <w:noProof/>
        </w:rPr>
        <w:tab/>
        <w:t>Chaque variante et chaque version est identifiée par un code alphanumérique consistant en une combinaison de lettres et de chiffres, qui doit être indiqué également dans le certificat de conformité (annexe IX) du véhicule concerné.</w:t>
      </w:r>
    </w:p>
    <w:p>
      <w:pPr>
        <w:spacing w:before="0" w:after="0"/>
        <w:ind w:left="567" w:hanging="567"/>
        <w:rPr>
          <w:rFonts w:eastAsia="Arial Unicode MS"/>
          <w:noProof/>
          <w:szCs w:val="24"/>
        </w:rPr>
      </w:pPr>
      <w:r>
        <w:rPr>
          <w:noProof/>
        </w:rPr>
        <w:t>e)</w:t>
      </w:r>
      <w:r>
        <w:rPr>
          <w:noProof/>
        </w:rPr>
        <w:tab/>
        <w:t>Les variantes relevant de la partie III de l’annexe IV sont identifiées par un code alphanumérique spécifique.</w:t>
      </w:r>
    </w:p>
    <w:p>
      <w:pPr>
        <w:spacing w:before="0" w:after="0"/>
        <w:jc w:val="left"/>
        <w:rPr>
          <w:rFonts w:eastAsia="Arial Unicode MS"/>
          <w:noProof/>
          <w:szCs w:val="24"/>
        </w:rPr>
      </w:pPr>
      <w:r>
        <w:rPr>
          <w:rFonts w:eastAsia="Arial Unicode MS"/>
          <w:noProof/>
          <w:szCs w:val="24"/>
        </w:rPr>
        <w:pict>
          <v:rect id="_x0000_i1027" style="width:45.35pt;height:.75pt" o:hrpct="100" o:hralign="center" o:hrstd="t" o:hrnoshade="t" o:hr="t" fillcolor="black" stroked="f"/>
        </w:pict>
      </w:r>
    </w:p>
    <w:p>
      <w:pPr>
        <w:pStyle w:val="Annexetitre"/>
        <w:rPr>
          <w:noProof/>
        </w:rPr>
      </w:pPr>
      <w:r>
        <w:rPr>
          <w:noProof/>
        </w:rPr>
        <w:br w:type="page"/>
      </w:r>
      <w:r>
        <w:rPr>
          <w:noProof/>
        </w:rPr>
        <w:lastRenderedPageBreak/>
        <w:t>ANNEXE II</w:t>
      </w:r>
    </w:p>
    <w:p>
      <w:pPr>
        <w:spacing w:before="240" w:after="240"/>
        <w:jc w:val="center"/>
        <w:rPr>
          <w:b/>
          <w:noProof/>
        </w:rPr>
      </w:pPr>
      <w:r>
        <w:rPr>
          <w:b/>
          <w:noProof/>
        </w:rPr>
        <w:t>DÉFINITIONS GÉNÉRALES, CRITÈRES POUR LA CLASSIFICATION DES VÉHICULES, TYPE DE VÉHICULE ET TYPES DE CARROSSERIE</w:t>
      </w:r>
    </w:p>
    <w:p>
      <w:pPr>
        <w:jc w:val="center"/>
        <w:rPr>
          <w:rFonts w:eastAsia="Arial Unicode MS"/>
          <w:iCs/>
          <w:noProof/>
          <w:szCs w:val="24"/>
        </w:rPr>
      </w:pPr>
      <w:r>
        <w:rPr>
          <w:noProof/>
        </w:rPr>
        <w:t>PARTIE INTRODUCTIVE</w:t>
      </w:r>
    </w:p>
    <w:p>
      <w:pPr>
        <w:jc w:val="center"/>
        <w:rPr>
          <w:rFonts w:eastAsia="Arial Unicode MS"/>
          <w:iCs/>
          <w:noProof/>
          <w:szCs w:val="24"/>
        </w:rPr>
      </w:pPr>
      <w:r>
        <w:rPr>
          <w:b/>
          <w:noProof/>
        </w:rPr>
        <w:t>Définitions et dispositions générales</w:t>
      </w:r>
      <w:r>
        <w:rPr>
          <w:noProof/>
        </w:rPr>
        <w:t xml:space="preserve"> </w:t>
      </w:r>
    </w:p>
    <w:p>
      <w:pPr>
        <w:ind w:left="1134" w:hanging="1134"/>
        <w:jc w:val="left"/>
        <w:rPr>
          <w:rFonts w:eastAsia="Arial Unicode MS"/>
          <w:b/>
          <w:bCs/>
          <w:noProof/>
          <w:szCs w:val="24"/>
        </w:rPr>
      </w:pPr>
      <w:r>
        <w:rPr>
          <w:noProof/>
        </w:rPr>
        <w:t>1.</w:t>
      </w:r>
      <w:r>
        <w:rPr>
          <w:noProof/>
        </w:rPr>
        <w:tab/>
      </w:r>
      <w:r>
        <w:rPr>
          <w:b/>
          <w:noProof/>
        </w:rPr>
        <w:t xml:space="preserve">Définitions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Cs w:val="24"/>
              </w:rPr>
            </w:pPr>
            <w:r>
              <w:rPr>
                <w:noProof/>
                <w:sz w:val="22"/>
              </w:rPr>
              <w:t>1.1.</w:t>
            </w:r>
          </w:p>
        </w:tc>
        <w:tc>
          <w:tcPr>
            <w:tcW w:w="4365" w:type="pct"/>
            <w:hideMark/>
          </w:tcPr>
          <w:p>
            <w:pPr>
              <w:spacing w:after="0"/>
              <w:rPr>
                <w:rFonts w:eastAsia="Arial Unicode MS"/>
                <w:noProof/>
                <w:szCs w:val="24"/>
              </w:rPr>
            </w:pPr>
            <w:r>
              <w:rPr>
                <w:noProof/>
                <w:sz w:val="22"/>
              </w:rPr>
              <w:t>Par «</w:t>
            </w:r>
            <w:r>
              <w:rPr>
                <w:i/>
                <w:noProof/>
                <w:sz w:val="22"/>
              </w:rPr>
              <w:t>place assise</w:t>
            </w:r>
            <w:r>
              <w:rPr>
                <w:noProof/>
                <w:sz w:val="22"/>
              </w:rPr>
              <w:t>», on entend tout emplacement pouvant accueillir une personne assise dont la taille est au moins celle:</w:t>
            </w:r>
          </w:p>
          <w:p>
            <w:pPr>
              <w:spacing w:after="0"/>
              <w:ind w:left="710" w:hanging="709"/>
              <w:rPr>
                <w:rFonts w:eastAsia="Arial Unicode MS"/>
                <w:noProof/>
                <w:szCs w:val="24"/>
              </w:rPr>
            </w:pPr>
            <w:r>
              <w:rPr>
                <w:noProof/>
                <w:sz w:val="22"/>
              </w:rPr>
              <w:t>a) d’un mannequin d’homme adulte du 50</w:t>
            </w:r>
            <w:r>
              <w:rPr>
                <w:noProof/>
                <w:sz w:val="22"/>
                <w:vertAlign w:val="superscript"/>
              </w:rPr>
              <w:t>e</w:t>
            </w:r>
            <w:r>
              <w:rPr>
                <w:noProof/>
                <w:sz w:val="22"/>
              </w:rPr>
              <w:t xml:space="preserve"> centile dans le cas du conducteur;</w:t>
            </w:r>
          </w:p>
          <w:p>
            <w:pPr>
              <w:spacing w:after="0"/>
              <w:ind w:left="710" w:hanging="709"/>
              <w:rPr>
                <w:rFonts w:eastAsia="Arial Unicode MS"/>
                <w:noProof/>
                <w:szCs w:val="24"/>
              </w:rPr>
            </w:pPr>
            <w:r>
              <w:rPr>
                <w:noProof/>
                <w:sz w:val="22"/>
              </w:rPr>
              <w:t>b) d’un mannequin de femme adulte du 5</w:t>
            </w:r>
            <w:r>
              <w:rPr>
                <w:noProof/>
                <w:sz w:val="22"/>
                <w:vertAlign w:val="superscript"/>
              </w:rPr>
              <w:t>e</w:t>
            </w:r>
            <w:r>
              <w:rPr>
                <w:noProof/>
                <w:sz w:val="22"/>
              </w:rPr>
              <w:t xml:space="preserve"> centile dans tous les autres cas. </w:t>
            </w:r>
          </w:p>
        </w:tc>
      </w:tr>
      <w:tr>
        <w:trPr>
          <w:tblCellSpacing w:w="0" w:type="dxa"/>
        </w:trPr>
        <w:tc>
          <w:tcPr>
            <w:tcW w:w="635" w:type="pct"/>
            <w:hideMark/>
          </w:tcPr>
          <w:p>
            <w:pPr>
              <w:spacing w:after="0"/>
              <w:rPr>
                <w:rFonts w:eastAsia="Arial Unicode MS"/>
                <w:noProof/>
                <w:szCs w:val="24"/>
              </w:rPr>
            </w:pPr>
            <w:r>
              <w:rPr>
                <w:noProof/>
                <w:sz w:val="22"/>
              </w:rPr>
              <w:t>1.2.</w:t>
            </w:r>
          </w:p>
        </w:tc>
        <w:tc>
          <w:tcPr>
            <w:tcW w:w="4365" w:type="pct"/>
            <w:hideMark/>
          </w:tcPr>
          <w:p>
            <w:pPr>
              <w:spacing w:after="0"/>
              <w:rPr>
                <w:rFonts w:eastAsia="Arial Unicode MS"/>
                <w:noProof/>
                <w:szCs w:val="24"/>
              </w:rPr>
            </w:pPr>
            <w:r>
              <w:rPr>
                <w:noProof/>
                <w:sz w:val="22"/>
              </w:rPr>
              <w:t>Par «</w:t>
            </w:r>
            <w:r>
              <w:rPr>
                <w:i/>
                <w:noProof/>
                <w:sz w:val="22"/>
              </w:rPr>
              <w:t>siège</w:t>
            </w:r>
            <w:r>
              <w:rPr>
                <w:noProof/>
                <w:sz w:val="22"/>
              </w:rPr>
              <w:t>», on entend une structure complète pourvue de garnissage, intégrée ou non à la structure de la carrosserie du véhicule, prévue pour accueillir une personne assise.</w:t>
            </w:r>
          </w:p>
        </w:tc>
      </w:tr>
      <w:tr>
        <w:trPr>
          <w:tblCellSpacing w:w="0" w:type="dxa"/>
        </w:trPr>
        <w:tc>
          <w:tcPr>
            <w:tcW w:w="635" w:type="pct"/>
          </w:tcPr>
          <w:p>
            <w:pPr>
              <w:spacing w:after="0"/>
              <w:rPr>
                <w:rFonts w:eastAsia="Arial Unicode MS"/>
                <w:noProof/>
                <w:szCs w:val="24"/>
              </w:rPr>
            </w:pPr>
          </w:p>
        </w:tc>
        <w:tc>
          <w:tcPr>
            <w:tcW w:w="4365" w:type="pct"/>
          </w:tcPr>
          <w:p>
            <w:pPr>
              <w:spacing w:after="0"/>
              <w:rPr>
                <w:rFonts w:eastAsia="Arial Unicode MS"/>
                <w:noProof/>
                <w:szCs w:val="24"/>
              </w:rPr>
            </w:pPr>
            <w:r>
              <w:rPr>
                <w:noProof/>
                <w:sz w:val="22"/>
              </w:rPr>
              <w:t>Ce terme désigne aussi bien un siège individuel qu’une banquette. Les sièges pliables et les sièges amovibles entrent également dans cette définition.</w:t>
            </w:r>
          </w:p>
        </w:tc>
      </w:tr>
      <w:tr>
        <w:trPr>
          <w:tblCellSpacing w:w="0" w:type="dxa"/>
        </w:trPr>
        <w:tc>
          <w:tcPr>
            <w:tcW w:w="635" w:type="pct"/>
            <w:hideMark/>
          </w:tcPr>
          <w:p>
            <w:pPr>
              <w:spacing w:after="0"/>
              <w:rPr>
                <w:rFonts w:eastAsia="Arial Unicode MS"/>
                <w:noProof/>
                <w:szCs w:val="24"/>
              </w:rPr>
            </w:pPr>
            <w:r>
              <w:rPr>
                <w:noProof/>
                <w:sz w:val="22"/>
              </w:rPr>
              <w:t>1.3.</w:t>
            </w:r>
          </w:p>
        </w:tc>
        <w:tc>
          <w:tcPr>
            <w:tcW w:w="4365" w:type="pct"/>
            <w:hideMark/>
          </w:tcPr>
          <w:p>
            <w:pPr>
              <w:spacing w:after="0"/>
              <w:rPr>
                <w:rFonts w:eastAsia="Arial Unicode MS"/>
                <w:noProof/>
                <w:szCs w:val="24"/>
              </w:rPr>
            </w:pPr>
            <w:r>
              <w:rPr>
                <w:noProof/>
                <w:sz w:val="22"/>
              </w:rPr>
              <w:t>Par «</w:t>
            </w:r>
            <w:r>
              <w:rPr>
                <w:i/>
                <w:noProof/>
                <w:sz w:val="22"/>
              </w:rPr>
              <w:t>marchandises</w:t>
            </w:r>
            <w:r>
              <w:rPr>
                <w:noProof/>
                <w:sz w:val="22"/>
              </w:rPr>
              <w:t>», on entend essentiellement tout bien transportable.</w:t>
            </w:r>
          </w:p>
          <w:p>
            <w:pPr>
              <w:spacing w:after="0"/>
              <w:rPr>
                <w:rFonts w:eastAsia="Arial Unicode MS"/>
                <w:noProof/>
                <w:szCs w:val="24"/>
              </w:rPr>
            </w:pPr>
            <w:r>
              <w:rPr>
                <w:noProof/>
                <w:sz w:val="22"/>
              </w:rPr>
              <w:t>Le terme englobe les produits en gros, les biens manufacturés, les liquides, les animaux vivants, les récoltes et les charges indivisibles.</w:t>
            </w:r>
          </w:p>
        </w:tc>
      </w:tr>
      <w:tr>
        <w:trPr>
          <w:tblCellSpacing w:w="0" w:type="dxa"/>
        </w:trPr>
        <w:tc>
          <w:tcPr>
            <w:tcW w:w="635" w:type="pct"/>
            <w:hideMark/>
          </w:tcPr>
          <w:p>
            <w:pPr>
              <w:spacing w:after="0"/>
              <w:rPr>
                <w:rFonts w:eastAsia="Arial Unicode MS"/>
                <w:noProof/>
                <w:szCs w:val="24"/>
              </w:rPr>
            </w:pPr>
            <w:r>
              <w:rPr>
                <w:noProof/>
                <w:sz w:val="22"/>
              </w:rPr>
              <w:t>1.4.</w:t>
            </w:r>
          </w:p>
        </w:tc>
        <w:tc>
          <w:tcPr>
            <w:tcW w:w="4365" w:type="pct"/>
            <w:hideMark/>
          </w:tcPr>
          <w:p>
            <w:pPr>
              <w:spacing w:after="0"/>
              <w:rPr>
                <w:rFonts w:eastAsia="Arial Unicode MS"/>
                <w:noProof/>
                <w:szCs w:val="24"/>
              </w:rPr>
            </w:pPr>
            <w:r>
              <w:rPr>
                <w:noProof/>
                <w:sz w:val="22"/>
              </w:rPr>
              <w:t>Par «</w:t>
            </w:r>
            <w:r>
              <w:rPr>
                <w:i/>
                <w:noProof/>
                <w:sz w:val="22"/>
              </w:rPr>
              <w:t>masse maximale</w:t>
            </w:r>
            <w:r>
              <w:rPr>
                <w:noProof/>
                <w:sz w:val="22"/>
              </w:rPr>
              <w:t>», on entend la masse en charge maximale techniquement admissible, comme spécifié au point 2.8 de l’annexe I.</w:t>
            </w:r>
          </w:p>
        </w:tc>
      </w:tr>
    </w:tbl>
    <w:p>
      <w:pPr>
        <w:spacing w:before="240" w:after="0"/>
        <w:ind w:left="1134" w:hanging="1134"/>
        <w:jc w:val="left"/>
        <w:rPr>
          <w:rFonts w:eastAsia="Arial Unicode MS"/>
          <w:b/>
          <w:bCs/>
          <w:noProof/>
          <w:szCs w:val="24"/>
        </w:rPr>
      </w:pPr>
      <w:r>
        <w:rPr>
          <w:noProof/>
        </w:rPr>
        <w:t>2.</w:t>
      </w:r>
      <w:r>
        <w:rPr>
          <w:noProof/>
        </w:rPr>
        <w:tab/>
      </w:r>
      <w:r>
        <w:rPr>
          <w:b/>
          <w:noProof/>
        </w:rPr>
        <w:t xml:space="preserve">Dispositions générales </w:t>
      </w:r>
    </w:p>
    <w:p>
      <w:pPr>
        <w:spacing w:before="240"/>
        <w:ind w:left="1134" w:hanging="1134"/>
        <w:jc w:val="left"/>
        <w:rPr>
          <w:rFonts w:eastAsia="Arial Unicode MS"/>
          <w:bCs/>
          <w:noProof/>
          <w:szCs w:val="24"/>
        </w:rPr>
      </w:pPr>
      <w:r>
        <w:rPr>
          <w:noProof/>
        </w:rPr>
        <w:t>2.1.</w:t>
      </w:r>
      <w:r>
        <w:rPr>
          <w:noProof/>
        </w:rPr>
        <w:tab/>
        <w:t xml:space="preserve">Nombre de places assises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sz w:val="22"/>
              </w:rPr>
              <w:t>2.1.1.</w:t>
            </w:r>
          </w:p>
        </w:tc>
        <w:tc>
          <w:tcPr>
            <w:tcW w:w="4374" w:type="pct"/>
            <w:hideMark/>
          </w:tcPr>
          <w:p>
            <w:pPr>
              <w:spacing w:after="0"/>
              <w:rPr>
                <w:rFonts w:eastAsia="Arial Unicode MS"/>
                <w:noProof/>
                <w:szCs w:val="24"/>
              </w:rPr>
            </w:pPr>
            <w:r>
              <w:rPr>
                <w:noProof/>
                <w:sz w:val="22"/>
              </w:rPr>
              <w:t>Les prescriptions relatives au nombre de places assises s’appliquent aux sièges conçus pour être utilisés lorsque le véhicule circule sur la route.</w:t>
            </w:r>
          </w:p>
        </w:tc>
      </w:tr>
      <w:tr>
        <w:trPr>
          <w:tblCellSpacing w:w="0" w:type="dxa"/>
        </w:trPr>
        <w:tc>
          <w:tcPr>
            <w:tcW w:w="626" w:type="pct"/>
            <w:hideMark/>
          </w:tcPr>
          <w:p>
            <w:pPr>
              <w:spacing w:after="0"/>
              <w:rPr>
                <w:rFonts w:eastAsia="Arial Unicode MS"/>
                <w:noProof/>
                <w:szCs w:val="24"/>
              </w:rPr>
            </w:pPr>
            <w:r>
              <w:rPr>
                <w:noProof/>
                <w:sz w:val="22"/>
              </w:rPr>
              <w:t>2.1.2.</w:t>
            </w:r>
          </w:p>
        </w:tc>
        <w:tc>
          <w:tcPr>
            <w:tcW w:w="4374" w:type="pct"/>
            <w:hideMark/>
          </w:tcPr>
          <w:p>
            <w:pPr>
              <w:spacing w:after="0"/>
              <w:rPr>
                <w:rFonts w:eastAsia="Arial Unicode MS"/>
                <w:noProof/>
                <w:szCs w:val="24"/>
              </w:rPr>
            </w:pPr>
            <w:r>
              <w:rPr>
                <w:noProof/>
                <w:sz w:val="22"/>
              </w:rPr>
              <w:t>Elles ne s’appliquent pas aux sièges qui sont conçus pour être utilisés lorsque le véhicule est à l’arrêt et qui sont clairement signalés aux utilisateurs au moyen d’un pictogramme ou d’un signe avec un texte approprié.</w:t>
            </w:r>
          </w:p>
        </w:tc>
      </w:tr>
      <w:tr>
        <w:trPr>
          <w:tblCellSpacing w:w="0" w:type="dxa"/>
        </w:trPr>
        <w:tc>
          <w:tcPr>
            <w:tcW w:w="626" w:type="pct"/>
            <w:hideMark/>
          </w:tcPr>
          <w:p>
            <w:pPr>
              <w:spacing w:after="0"/>
              <w:rPr>
                <w:noProof/>
              </w:rPr>
            </w:pPr>
            <w:r>
              <w:rPr>
                <w:noProof/>
                <w:sz w:val="22"/>
              </w:rPr>
              <w:t>2.1.3.</w:t>
            </w:r>
          </w:p>
        </w:tc>
        <w:tc>
          <w:tcPr>
            <w:tcW w:w="4374" w:type="pct"/>
            <w:hideMark/>
          </w:tcPr>
          <w:p>
            <w:pPr>
              <w:spacing w:after="0"/>
              <w:rPr>
                <w:noProof/>
              </w:rPr>
            </w:pPr>
            <w:r>
              <w:rPr>
                <w:noProof/>
                <w:sz w:val="22"/>
              </w:rPr>
              <w:t>Les prescriptions suivantes s’appliquent au comptage du nombre de places assises:</w:t>
            </w:r>
          </w:p>
          <w:p>
            <w:pPr>
              <w:spacing w:after="0"/>
              <w:rPr>
                <w:noProof/>
              </w:rPr>
            </w:pPr>
            <w:r>
              <w:rPr>
                <w:noProof/>
                <w:sz w:val="22"/>
              </w:rPr>
              <w:t>a)</w:t>
            </w:r>
            <w:r>
              <w:rPr>
                <w:noProof/>
                <w:sz w:val="22"/>
              </w:rPr>
              <w:tab/>
              <w:t>chaque siège individuel est compté comme une place assise;</w:t>
            </w:r>
          </w:p>
          <w:p>
            <w:pPr>
              <w:spacing w:after="0"/>
              <w:rPr>
                <w:noProof/>
              </w:rPr>
            </w:pPr>
            <w:r>
              <w:rPr>
                <w:noProof/>
                <w:sz w:val="22"/>
              </w:rPr>
              <w:t>b)</w:t>
            </w:r>
            <w:r>
              <w:rPr>
                <w:noProof/>
                <w:sz w:val="22"/>
              </w:rPr>
              <w:tab/>
              <w:t>dans le cas d’une banquette, tout espace d’une largeur minimale de 400 mm, mesurée au niveau de l’assise, est compté comme place assise.</w:t>
            </w:r>
          </w:p>
          <w:p>
            <w:pPr>
              <w:rPr>
                <w:noProof/>
              </w:rPr>
            </w:pPr>
            <w:r>
              <w:rPr>
                <w:noProof/>
                <w:sz w:val="22"/>
              </w:rPr>
              <w:t>Cette condition n’empêche pas le constructeur d’avoir recours aux dispositions générales visées au point 1.1;</w:t>
            </w:r>
          </w:p>
          <w:p>
            <w:pPr>
              <w:spacing w:after="0"/>
              <w:ind w:left="566" w:hanging="567"/>
              <w:rPr>
                <w:noProof/>
              </w:rPr>
            </w:pPr>
            <w:r>
              <w:rPr>
                <w:noProof/>
                <w:sz w:val="22"/>
              </w:rPr>
              <w:t>c)</w:t>
            </w:r>
            <w:r>
              <w:rPr>
                <w:noProof/>
                <w:sz w:val="22"/>
              </w:rPr>
              <w:tab/>
              <w:t>un espace tel que celui visé au point b) ne sera toutefois pas compté comme une place assise lorsque:</w:t>
            </w:r>
          </w:p>
          <w:p>
            <w:pPr>
              <w:spacing w:after="0"/>
              <w:ind w:left="1133" w:hanging="567"/>
              <w:rPr>
                <w:noProof/>
              </w:rPr>
            </w:pPr>
            <w:r>
              <w:rPr>
                <w:noProof/>
                <w:sz w:val="22"/>
              </w:rPr>
              <w:t>i)</w:t>
            </w:r>
            <w:r>
              <w:rPr>
                <w:noProof/>
                <w:sz w:val="22"/>
              </w:rPr>
              <w:tab/>
              <w:t>la banquette comprend des éléments qui empêchent une assise naturelle du mannequin – par exemple: la présence d’une console fixe, d’une surface non rembourrée ou d’un garnissage intérieur interrompant la surface nominale du siège;</w:t>
            </w:r>
          </w:p>
          <w:p>
            <w:pPr>
              <w:spacing w:after="0"/>
              <w:ind w:left="1133" w:hanging="567"/>
              <w:rPr>
                <w:noProof/>
              </w:rPr>
            </w:pPr>
            <w:r>
              <w:rPr>
                <w:noProof/>
                <w:sz w:val="22"/>
              </w:rPr>
              <w:lastRenderedPageBreak/>
              <w:t>ii)</w:t>
            </w:r>
            <w:r>
              <w:rPr>
                <w:noProof/>
                <w:sz w:val="22"/>
              </w:rPr>
              <w:tab/>
              <w:t>la forme du plancher situé immédiatement devant une place assise présumée (par exemple, la présence d’un tunnel) empêche les pieds du mannequin de se positionner naturellement.</w:t>
            </w:r>
          </w:p>
        </w:tc>
      </w:tr>
      <w:tr>
        <w:trPr>
          <w:tblCellSpacing w:w="0" w:type="dxa"/>
        </w:trPr>
        <w:tc>
          <w:tcPr>
            <w:tcW w:w="0" w:type="auto"/>
            <w:hideMark/>
          </w:tcPr>
          <w:p>
            <w:pPr>
              <w:spacing w:after="0"/>
              <w:rPr>
                <w:rFonts w:eastAsia="Arial Unicode MS"/>
                <w:noProof/>
                <w:szCs w:val="24"/>
              </w:rPr>
            </w:pPr>
            <w:r>
              <w:rPr>
                <w:noProof/>
                <w:sz w:val="22"/>
              </w:rPr>
              <w:lastRenderedPageBreak/>
              <w:t>2.1.4.</w:t>
            </w:r>
          </w:p>
        </w:tc>
        <w:tc>
          <w:tcPr>
            <w:tcW w:w="4374" w:type="pct"/>
            <w:hideMark/>
          </w:tcPr>
          <w:p>
            <w:pPr>
              <w:spacing w:after="0"/>
              <w:rPr>
                <w:rFonts w:eastAsia="Arial Unicode MS"/>
                <w:noProof/>
                <w:szCs w:val="24"/>
              </w:rPr>
            </w:pPr>
            <w:r>
              <w:rPr>
                <w:noProof/>
                <w:sz w:val="22"/>
              </w:rPr>
              <w:t>En ce qui concerne les véhicules couverts par les règlements n</w:t>
            </w:r>
            <w:r>
              <w:rPr>
                <w:noProof/>
                <w:sz w:val="22"/>
                <w:vertAlign w:val="superscript"/>
              </w:rPr>
              <w:t>os</w:t>
            </w:r>
            <w:r>
              <w:rPr>
                <w:noProof/>
                <w:sz w:val="22"/>
              </w:rPr>
              <w:t> 66 et 107 de la CEE-ONU, la dimension visée au point 2.1.3 b) est alignée sur l’espace minimum requis pour une personne en fonction des diverses classes de véhicules.</w:t>
            </w:r>
          </w:p>
        </w:tc>
      </w:tr>
      <w:tr>
        <w:trPr>
          <w:tblCellSpacing w:w="0" w:type="dxa"/>
        </w:trPr>
        <w:tc>
          <w:tcPr>
            <w:tcW w:w="0" w:type="auto"/>
            <w:hideMark/>
          </w:tcPr>
          <w:p>
            <w:pPr>
              <w:spacing w:after="0"/>
              <w:rPr>
                <w:rFonts w:eastAsia="Arial Unicode MS"/>
                <w:noProof/>
                <w:szCs w:val="24"/>
              </w:rPr>
            </w:pPr>
            <w:r>
              <w:rPr>
                <w:noProof/>
                <w:sz w:val="22"/>
              </w:rPr>
              <w:t>2.1.5.</w:t>
            </w:r>
          </w:p>
        </w:tc>
        <w:tc>
          <w:tcPr>
            <w:tcW w:w="4374" w:type="pct"/>
            <w:hideMark/>
          </w:tcPr>
          <w:p>
            <w:pPr>
              <w:spacing w:after="0"/>
              <w:rPr>
                <w:rFonts w:eastAsia="Arial Unicode MS"/>
                <w:noProof/>
                <w:szCs w:val="24"/>
              </w:rPr>
            </w:pPr>
            <w:r>
              <w:rPr>
                <w:noProof/>
                <w:sz w:val="22"/>
              </w:rPr>
              <w:t>Lorsque le véhicule est muni d’ancrages pour un siège amovible, ce dernier est compté dans le nombre de places assises.</w:t>
            </w:r>
          </w:p>
        </w:tc>
      </w:tr>
      <w:tr>
        <w:trPr>
          <w:tblCellSpacing w:w="0" w:type="dxa"/>
        </w:trPr>
        <w:tc>
          <w:tcPr>
            <w:tcW w:w="0" w:type="auto"/>
            <w:hideMark/>
          </w:tcPr>
          <w:p>
            <w:pPr>
              <w:spacing w:after="0"/>
              <w:rPr>
                <w:rFonts w:eastAsia="Arial Unicode MS"/>
                <w:noProof/>
                <w:szCs w:val="24"/>
              </w:rPr>
            </w:pPr>
            <w:r>
              <w:rPr>
                <w:noProof/>
                <w:sz w:val="22"/>
              </w:rPr>
              <w:t>2.1.6.</w:t>
            </w:r>
          </w:p>
        </w:tc>
        <w:tc>
          <w:tcPr>
            <w:tcW w:w="4374" w:type="pct"/>
            <w:hideMark/>
          </w:tcPr>
          <w:p>
            <w:pPr>
              <w:spacing w:after="0"/>
              <w:rPr>
                <w:rFonts w:eastAsia="Arial Unicode MS"/>
                <w:noProof/>
                <w:szCs w:val="24"/>
              </w:rPr>
            </w:pPr>
            <w:r>
              <w:rPr>
                <w:noProof/>
                <w:sz w:val="22"/>
              </w:rPr>
              <w:t>Une surface destinée à accueillir un fauteuil roulant occupé est considérée comme une place assise.</w:t>
            </w:r>
          </w:p>
        </w:tc>
      </w:tr>
      <w:tr>
        <w:trPr>
          <w:tblCellSpacing w:w="0" w:type="dxa"/>
        </w:trPr>
        <w:tc>
          <w:tcPr>
            <w:tcW w:w="0" w:type="auto"/>
          </w:tcPr>
          <w:p>
            <w:pPr>
              <w:spacing w:after="0"/>
              <w:rPr>
                <w:rFonts w:eastAsia="Arial Unicode MS"/>
                <w:noProof/>
                <w:szCs w:val="24"/>
              </w:rPr>
            </w:pPr>
            <w:r>
              <w:rPr>
                <w:noProof/>
                <w:sz w:val="22"/>
              </w:rPr>
              <w:t>2.1.6.1.</w:t>
            </w:r>
          </w:p>
        </w:tc>
        <w:tc>
          <w:tcPr>
            <w:tcW w:w="4374" w:type="pct"/>
          </w:tcPr>
          <w:p>
            <w:pPr>
              <w:spacing w:after="0"/>
              <w:rPr>
                <w:rFonts w:eastAsia="Arial Unicode MS"/>
                <w:noProof/>
                <w:szCs w:val="24"/>
              </w:rPr>
            </w:pPr>
            <w:r>
              <w:rPr>
                <w:noProof/>
                <w:sz w:val="22"/>
              </w:rPr>
              <w:t>Cette disposition est sans préjudice des prescriptions des paragraphes 3.6.1 et 3.7 de l’annexe 8 du règlement n</w:t>
            </w:r>
            <w:r>
              <w:rPr>
                <w:noProof/>
                <w:sz w:val="22"/>
                <w:vertAlign w:val="superscript"/>
              </w:rPr>
              <w:t>o</w:t>
            </w:r>
            <w:r>
              <w:rPr>
                <w:noProof/>
                <w:sz w:val="22"/>
              </w:rPr>
              <w:t> 107 de la CEE-ONU.</w:t>
            </w:r>
          </w:p>
        </w:tc>
      </w:tr>
    </w:tbl>
    <w:p>
      <w:pPr>
        <w:spacing w:before="240"/>
        <w:ind w:left="1134" w:hanging="1134"/>
        <w:jc w:val="left"/>
        <w:rPr>
          <w:rFonts w:eastAsia="Arial Unicode MS"/>
          <w:bCs/>
          <w:noProof/>
          <w:szCs w:val="24"/>
        </w:rPr>
      </w:pPr>
      <w:r>
        <w:rPr>
          <w:noProof/>
        </w:rPr>
        <w:t>2.2.</w:t>
      </w:r>
      <w:r>
        <w:rPr>
          <w:noProof/>
        </w:rPr>
        <w:tab/>
        <w:t xml:space="preserve">Masse maximale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sz w:val="22"/>
              </w:rPr>
              <w:t>2.2.1.</w:t>
            </w:r>
          </w:p>
        </w:tc>
        <w:tc>
          <w:tcPr>
            <w:tcW w:w="4374" w:type="pct"/>
            <w:hideMark/>
          </w:tcPr>
          <w:p>
            <w:pPr>
              <w:spacing w:before="0" w:after="0"/>
              <w:rPr>
                <w:rFonts w:eastAsia="Arial Unicode MS"/>
                <w:noProof/>
                <w:szCs w:val="24"/>
              </w:rPr>
            </w:pPr>
            <w:r>
              <w:rPr>
                <w:noProof/>
                <w:sz w:val="22"/>
              </w:rPr>
              <w:t>Dans le cas d’une unité de traction pour semi-remorques, la masse maximale à considérer pour classer le véhicule comprend la masse maximale de la semi-remorque supportée par la sellette d’attelage.</w:t>
            </w:r>
          </w:p>
        </w:tc>
      </w:tr>
      <w:tr>
        <w:trPr>
          <w:tblCellSpacing w:w="0" w:type="dxa"/>
        </w:trPr>
        <w:tc>
          <w:tcPr>
            <w:tcW w:w="0" w:type="auto"/>
            <w:hideMark/>
          </w:tcPr>
          <w:p>
            <w:pPr>
              <w:spacing w:after="0"/>
              <w:rPr>
                <w:rFonts w:eastAsia="Arial Unicode MS"/>
                <w:noProof/>
                <w:szCs w:val="24"/>
              </w:rPr>
            </w:pPr>
            <w:r>
              <w:rPr>
                <w:noProof/>
                <w:sz w:val="22"/>
              </w:rPr>
              <w:t>2.2.2.</w:t>
            </w:r>
          </w:p>
        </w:tc>
        <w:tc>
          <w:tcPr>
            <w:tcW w:w="4374" w:type="pct"/>
            <w:hideMark/>
          </w:tcPr>
          <w:p>
            <w:pPr>
              <w:spacing w:after="0"/>
              <w:rPr>
                <w:rFonts w:eastAsia="Arial Unicode MS"/>
                <w:noProof/>
                <w:szCs w:val="24"/>
              </w:rPr>
            </w:pPr>
            <w:r>
              <w:rPr>
                <w:noProof/>
                <w:sz w:val="22"/>
              </w:rPr>
              <w:t>Dans le cas d’un véhicule à moteur capable de tracter une remorque à essieu central ou une remorque à timon rigide, la masse maximale à considérer pour classer le véhicule à moteur comprend la masse maximale transférée au véhicule tracteur par l’attelage.</w:t>
            </w:r>
          </w:p>
        </w:tc>
      </w:tr>
      <w:tr>
        <w:trPr>
          <w:tblCellSpacing w:w="0" w:type="dxa"/>
        </w:trPr>
        <w:tc>
          <w:tcPr>
            <w:tcW w:w="0" w:type="auto"/>
            <w:hideMark/>
          </w:tcPr>
          <w:p>
            <w:pPr>
              <w:spacing w:after="0"/>
              <w:rPr>
                <w:rFonts w:eastAsia="Arial Unicode MS"/>
                <w:noProof/>
                <w:szCs w:val="24"/>
              </w:rPr>
            </w:pPr>
            <w:r>
              <w:rPr>
                <w:noProof/>
                <w:sz w:val="22"/>
              </w:rPr>
              <w:t>2.2.3.</w:t>
            </w:r>
          </w:p>
        </w:tc>
        <w:tc>
          <w:tcPr>
            <w:tcW w:w="4374" w:type="pct"/>
            <w:hideMark/>
          </w:tcPr>
          <w:p>
            <w:pPr>
              <w:spacing w:after="0"/>
              <w:rPr>
                <w:rFonts w:eastAsia="Arial Unicode MS"/>
                <w:noProof/>
                <w:szCs w:val="24"/>
              </w:rPr>
            </w:pPr>
            <w:r>
              <w:rPr>
                <w:noProof/>
                <w:sz w:val="22"/>
              </w:rPr>
              <w:t>Dans le cas d’une semi-remorque, d’une remorque à essieu central ou d’une remorque à timon rigide, la masse maximale à considérer pour classer le véhicule correspond à la masse maximale transmise au sol par les roues d’un essieu ou d’un groupe d’essieux attelés au véhicule tracteur.</w:t>
            </w:r>
          </w:p>
        </w:tc>
      </w:tr>
      <w:tr>
        <w:trPr>
          <w:tblCellSpacing w:w="0" w:type="dxa"/>
        </w:trPr>
        <w:tc>
          <w:tcPr>
            <w:tcW w:w="0" w:type="auto"/>
            <w:hideMark/>
          </w:tcPr>
          <w:p>
            <w:pPr>
              <w:spacing w:after="0"/>
              <w:rPr>
                <w:rFonts w:eastAsia="Arial Unicode MS"/>
                <w:noProof/>
                <w:szCs w:val="24"/>
              </w:rPr>
            </w:pPr>
            <w:r>
              <w:rPr>
                <w:noProof/>
                <w:sz w:val="22"/>
              </w:rPr>
              <w:t>2.2.4.</w:t>
            </w:r>
          </w:p>
        </w:tc>
        <w:tc>
          <w:tcPr>
            <w:tcW w:w="4374" w:type="pct"/>
            <w:hideMark/>
          </w:tcPr>
          <w:p>
            <w:pPr>
              <w:spacing w:after="0"/>
              <w:rPr>
                <w:rFonts w:eastAsia="Arial Unicode MS"/>
                <w:noProof/>
                <w:szCs w:val="24"/>
              </w:rPr>
            </w:pPr>
            <w:r>
              <w:rPr>
                <w:noProof/>
                <w:sz w:val="22"/>
              </w:rPr>
              <w:t>Dans le cas d’un dolly, la masse maximale à considérer pour classer le véhicule comprend la masse maximale de la semi-remorque supportée par la sellette d’attelage.</w:t>
            </w:r>
          </w:p>
        </w:tc>
      </w:tr>
    </w:tbl>
    <w:p>
      <w:pPr>
        <w:spacing w:before="240"/>
        <w:ind w:left="1134" w:hanging="1134"/>
        <w:jc w:val="left"/>
        <w:rPr>
          <w:rFonts w:eastAsia="Arial Unicode MS"/>
          <w:bCs/>
          <w:noProof/>
          <w:szCs w:val="24"/>
        </w:rPr>
      </w:pPr>
      <w:r>
        <w:rPr>
          <w:noProof/>
        </w:rPr>
        <w:t>2.3.</w:t>
      </w:r>
      <w:r>
        <w:rPr>
          <w:noProof/>
        </w:rPr>
        <w:tab/>
        <w:t xml:space="preserve">Équipement spécial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sz w:val="22"/>
              </w:rPr>
              <w:t>2.3.1.</w:t>
            </w:r>
          </w:p>
        </w:tc>
        <w:tc>
          <w:tcPr>
            <w:tcW w:w="4374" w:type="pct"/>
            <w:hideMark/>
          </w:tcPr>
          <w:p>
            <w:pPr>
              <w:spacing w:before="0" w:after="0"/>
              <w:rPr>
                <w:rFonts w:eastAsia="Arial Unicode MS"/>
                <w:noProof/>
                <w:szCs w:val="24"/>
              </w:rPr>
            </w:pPr>
            <w:r>
              <w:rPr>
                <w:noProof/>
                <w:sz w:val="22"/>
              </w:rPr>
              <w:t>Les véhicules essentiellement équipés de dispositifs fixes tels que des machines ou des appareils sont considérés comme appartenant à la catégorie N ou O.</w:t>
            </w:r>
          </w:p>
        </w:tc>
      </w:tr>
    </w:tbl>
    <w:p>
      <w:pPr>
        <w:spacing w:before="240"/>
        <w:ind w:left="1134" w:hanging="1134"/>
        <w:jc w:val="left"/>
        <w:rPr>
          <w:rFonts w:eastAsia="Arial Unicode MS"/>
          <w:bCs/>
          <w:noProof/>
          <w:szCs w:val="24"/>
        </w:rPr>
      </w:pPr>
      <w:r>
        <w:rPr>
          <w:noProof/>
        </w:rPr>
        <w:t>2.4.</w:t>
      </w:r>
      <w:r>
        <w:rPr>
          <w:noProof/>
        </w:rPr>
        <w:tab/>
        <w:t xml:space="preserve">Unités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Cs w:val="24"/>
              </w:rPr>
            </w:pPr>
            <w:r>
              <w:rPr>
                <w:noProof/>
                <w:sz w:val="22"/>
              </w:rPr>
              <w:t>2.4.1.</w:t>
            </w:r>
          </w:p>
        </w:tc>
        <w:tc>
          <w:tcPr>
            <w:tcW w:w="4384" w:type="pct"/>
            <w:hideMark/>
          </w:tcPr>
          <w:p>
            <w:pPr>
              <w:spacing w:before="0" w:after="0"/>
              <w:rPr>
                <w:rFonts w:eastAsia="Arial Unicode MS"/>
                <w:noProof/>
                <w:szCs w:val="24"/>
              </w:rPr>
            </w:pPr>
            <w:r>
              <w:rPr>
                <w:noProof/>
                <w:sz w:val="22"/>
              </w:rPr>
              <w:t>Sauf indication contraire, toute unité de mesure, et le symbole associé, doit être conforme aux dispositions de la directive 80/181/CEE du Conseil</w:t>
            </w:r>
            <w:r>
              <w:rPr>
                <w:rStyle w:val="FootnoteReference"/>
                <w:noProof/>
                <w:sz w:val="22"/>
              </w:rPr>
              <w:footnoteReference w:id="13"/>
            </w:r>
            <w:r>
              <w:rPr>
                <w:noProof/>
                <w:sz w:val="22"/>
              </w:rPr>
              <w:t>.</w:t>
            </w:r>
          </w:p>
        </w:tc>
      </w:tr>
    </w:tbl>
    <w:p>
      <w:pPr>
        <w:spacing w:before="240"/>
        <w:ind w:left="1134" w:hanging="1134"/>
        <w:rPr>
          <w:b/>
          <w:noProof/>
        </w:rPr>
      </w:pPr>
      <w:r>
        <w:rPr>
          <w:b/>
          <w:noProof/>
        </w:rPr>
        <w:t>3.</w:t>
      </w:r>
      <w:r>
        <w:rPr>
          <w:noProof/>
        </w:rPr>
        <w:tab/>
      </w:r>
      <w:r>
        <w:rPr>
          <w:b/>
          <w:noProof/>
        </w:rPr>
        <w:t xml:space="preserve">Classification dans les catégories de véhicules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rPr>
            </w:pPr>
            <w:r>
              <w:rPr>
                <w:noProof/>
                <w:sz w:val="22"/>
              </w:rPr>
              <w:t>3.1.</w:t>
            </w:r>
          </w:p>
        </w:tc>
        <w:tc>
          <w:tcPr>
            <w:tcW w:w="4385" w:type="pct"/>
            <w:hideMark/>
          </w:tcPr>
          <w:p>
            <w:pPr>
              <w:rPr>
                <w:noProof/>
              </w:rPr>
            </w:pPr>
            <w:r>
              <w:rPr>
                <w:noProof/>
                <w:sz w:val="22"/>
              </w:rPr>
              <w:t>Le constructeur est responsable de la classification d’un type de véhicule dans une catégorie spécifique.</w:t>
            </w:r>
          </w:p>
          <w:p>
            <w:pPr>
              <w:rPr>
                <w:noProof/>
              </w:rPr>
            </w:pPr>
            <w:r>
              <w:rPr>
                <w:noProof/>
                <w:sz w:val="22"/>
              </w:rPr>
              <w:t>À cette fin, le respect de tous les critères pertinents décrits dans la présente annexe est requis.</w:t>
            </w:r>
          </w:p>
        </w:tc>
      </w:tr>
      <w:tr>
        <w:trPr>
          <w:tblCellSpacing w:w="0" w:type="dxa"/>
        </w:trPr>
        <w:tc>
          <w:tcPr>
            <w:tcW w:w="0" w:type="auto"/>
            <w:hideMark/>
          </w:tcPr>
          <w:p>
            <w:pPr>
              <w:rPr>
                <w:noProof/>
              </w:rPr>
            </w:pPr>
            <w:r>
              <w:rPr>
                <w:noProof/>
                <w:sz w:val="22"/>
              </w:rPr>
              <w:t>3.2.</w:t>
            </w:r>
          </w:p>
        </w:tc>
        <w:tc>
          <w:tcPr>
            <w:tcW w:w="4385" w:type="pct"/>
            <w:hideMark/>
          </w:tcPr>
          <w:p>
            <w:pPr>
              <w:rPr>
                <w:noProof/>
              </w:rPr>
            </w:pPr>
            <w:r>
              <w:rPr>
                <w:noProof/>
                <w:sz w:val="22"/>
              </w:rPr>
              <w:t xml:space="preserve">L’autorité compétente en matière de réception peut demander au constructeur des </w:t>
            </w:r>
            <w:r>
              <w:rPr>
                <w:noProof/>
                <w:sz w:val="22"/>
              </w:rPr>
              <w:lastRenderedPageBreak/>
              <w:t>informations supplémentaires appropriées dans le but de démontrer qu’un type de véhicule doit être classé, dans la catégorie des véhicules à usage spécial, dans le groupe spécial («code SG»).</w:t>
            </w:r>
          </w:p>
        </w:tc>
      </w:tr>
    </w:tbl>
    <w:p>
      <w:pPr>
        <w:rPr>
          <w:noProof/>
        </w:rPr>
      </w:pPr>
    </w:p>
    <w:p>
      <w:pPr>
        <w:jc w:val="center"/>
        <w:rPr>
          <w:rFonts w:eastAsia="Arial Unicode MS"/>
          <w:iCs/>
          <w:noProof/>
          <w:szCs w:val="24"/>
        </w:rPr>
      </w:pPr>
      <w:r>
        <w:rPr>
          <w:noProof/>
        </w:rPr>
        <w:t>PARTIE A</w:t>
      </w:r>
    </w:p>
    <w:p>
      <w:pPr>
        <w:jc w:val="center"/>
        <w:rPr>
          <w:rFonts w:eastAsia="Arial Unicode MS"/>
          <w:iCs/>
          <w:noProof/>
          <w:szCs w:val="24"/>
        </w:rPr>
      </w:pPr>
      <w:r>
        <w:rPr>
          <w:b/>
          <w:noProof/>
        </w:rPr>
        <w:t>Critères pour la classification des véhicules</w:t>
      </w:r>
      <w:r>
        <w:rPr>
          <w:noProof/>
        </w:rPr>
        <w:t xml:space="preserve"> </w:t>
      </w:r>
    </w:p>
    <w:p>
      <w:pPr>
        <w:spacing w:before="240"/>
        <w:ind w:left="1134" w:hanging="1134"/>
        <w:jc w:val="left"/>
        <w:rPr>
          <w:rFonts w:eastAsia="Arial Unicode MS"/>
          <w:b/>
          <w:bCs/>
          <w:noProof/>
          <w:szCs w:val="24"/>
        </w:rPr>
      </w:pPr>
      <w:r>
        <w:rPr>
          <w:b/>
          <w:noProof/>
        </w:rPr>
        <w:t>1.</w:t>
      </w:r>
      <w:r>
        <w:rPr>
          <w:noProof/>
        </w:rPr>
        <w:tab/>
      </w:r>
      <w:r>
        <w:rPr>
          <w:b/>
          <w:noProof/>
        </w:rPr>
        <w:t>Catégories de véhicules</w:t>
      </w:r>
    </w:p>
    <w:p>
      <w:pPr>
        <w:spacing w:after="0"/>
        <w:ind w:left="1134"/>
        <w:rPr>
          <w:rFonts w:eastAsia="Arial Unicode MS"/>
          <w:noProof/>
          <w:szCs w:val="24"/>
        </w:rPr>
      </w:pPr>
      <w:r>
        <w:rPr>
          <w:noProof/>
        </w:rPr>
        <w:t>Aux fins des réceptions UE et nationale par type, ainsi que des réceptions UE et nationale de véhicules individuels, les véhicules sont classés en catégories conformément à l’article 4.</w:t>
      </w:r>
    </w:p>
    <w:p>
      <w:pPr>
        <w:spacing w:after="0"/>
        <w:ind w:left="1134"/>
        <w:rPr>
          <w:rFonts w:eastAsia="Arial Unicode MS"/>
          <w:noProof/>
          <w:szCs w:val="24"/>
        </w:rPr>
      </w:pPr>
      <w:r>
        <w:rPr>
          <w:noProof/>
        </w:rPr>
        <w:t>La réception ne peut être délivrée que pour les catégories visées à l’article 4, paragraphe 1.</w:t>
      </w:r>
    </w:p>
    <w:p>
      <w:pPr>
        <w:spacing w:before="240"/>
        <w:ind w:left="1134" w:hanging="1134"/>
        <w:jc w:val="left"/>
        <w:rPr>
          <w:rFonts w:eastAsia="Arial Unicode MS"/>
          <w:b/>
          <w:bCs/>
          <w:noProof/>
          <w:szCs w:val="24"/>
        </w:rPr>
      </w:pPr>
      <w:r>
        <w:rPr>
          <w:b/>
          <w:noProof/>
        </w:rPr>
        <w:t>2.</w:t>
      </w:r>
      <w:r>
        <w:rPr>
          <w:noProof/>
        </w:rPr>
        <w:tab/>
      </w:r>
      <w:r>
        <w:rPr>
          <w:b/>
          <w:noProof/>
        </w:rPr>
        <w:t>Sous-catégories de véhicules</w:t>
      </w:r>
    </w:p>
    <w:p>
      <w:pPr>
        <w:spacing w:before="240"/>
        <w:ind w:left="1134" w:hanging="1134"/>
        <w:jc w:val="left"/>
        <w:rPr>
          <w:rFonts w:eastAsia="Arial Unicode MS"/>
          <w:bCs/>
          <w:noProof/>
          <w:szCs w:val="24"/>
        </w:rPr>
      </w:pPr>
      <w:r>
        <w:rPr>
          <w:noProof/>
        </w:rPr>
        <w:t>2.1.</w:t>
      </w:r>
      <w:r>
        <w:rPr>
          <w:noProof/>
        </w:rPr>
        <w:tab/>
        <w:t xml:space="preserve">Véhicules hors route </w:t>
      </w:r>
    </w:p>
    <w:p>
      <w:pPr>
        <w:spacing w:after="0"/>
        <w:ind w:left="1134"/>
        <w:rPr>
          <w:rFonts w:eastAsia="Arial Unicode MS"/>
          <w:noProof/>
          <w:szCs w:val="24"/>
        </w:rPr>
      </w:pPr>
      <w:r>
        <w:rPr>
          <w:noProof/>
        </w:rPr>
        <w:t>Par «</w:t>
      </w:r>
      <w:r>
        <w:rPr>
          <w:i/>
          <w:noProof/>
        </w:rPr>
        <w:t>véhicule hors route</w:t>
      </w:r>
      <w:r>
        <w:rPr>
          <w:noProof/>
        </w:rPr>
        <w:t>», on entend un véhicule qui appartient soit à la catégorie M soit à la catégorie N et qui présente des caractéristiques techniques spécifiques permettant son utilisation en dehors des routes normales.</w:t>
      </w:r>
    </w:p>
    <w:p>
      <w:pPr>
        <w:spacing w:after="0"/>
        <w:ind w:left="1134"/>
        <w:rPr>
          <w:rFonts w:eastAsia="Arial Unicode MS"/>
          <w:noProof/>
          <w:szCs w:val="24"/>
        </w:rPr>
      </w:pPr>
      <w:r>
        <w:rPr>
          <w:noProof/>
        </w:rPr>
        <w:t>Pour ces catégories de véhicules, la lettre «G» est ajoutée comme suffixe à la lettre et au numéro d’identification de la catégorie de véhicules.</w:t>
      </w:r>
    </w:p>
    <w:p>
      <w:pPr>
        <w:spacing w:after="0"/>
        <w:ind w:left="1134"/>
        <w:rPr>
          <w:rFonts w:eastAsia="Arial Unicode MS"/>
          <w:noProof/>
          <w:szCs w:val="24"/>
        </w:rPr>
      </w:pPr>
      <w:r>
        <w:rPr>
          <w:noProof/>
        </w:rPr>
        <w:t>Les critères pour la classification dans la sous-catégorie des véhicules hors route sont définis dans la section 4 de la partie A.</w:t>
      </w:r>
    </w:p>
    <w:p>
      <w:pPr>
        <w:spacing w:before="240" w:after="0"/>
        <w:ind w:left="1134" w:hanging="1134"/>
        <w:jc w:val="left"/>
        <w:rPr>
          <w:rFonts w:eastAsia="Arial Unicode MS"/>
          <w:bCs/>
          <w:noProof/>
          <w:szCs w:val="24"/>
        </w:rPr>
      </w:pPr>
      <w:r>
        <w:rPr>
          <w:noProof/>
        </w:rPr>
        <w:t>2.2.</w:t>
      </w:r>
      <w:r>
        <w:rPr>
          <w:noProof/>
        </w:rPr>
        <w:tab/>
        <w:t>Véhicules à usage spécial</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Pour les véhicules incomplets qui sont destinés à entrer dans la catégorie des véhicules à usage spécial, la lettre «S» est ajoutée comme suffixe à la lettre et au numéro d’identification de cette catégorie de véhicule.</w:t>
            </w:r>
          </w:p>
          <w:p>
            <w:pPr>
              <w:spacing w:after="0"/>
              <w:rPr>
                <w:rFonts w:eastAsia="Arial Unicode MS"/>
                <w:noProof/>
                <w:szCs w:val="24"/>
              </w:rPr>
            </w:pPr>
            <w:r>
              <w:rPr>
                <w:noProof/>
              </w:rPr>
              <w:t>Les divers types de véhicules à usage spécial sont définis et énumérés dans la section 5.</w:t>
            </w:r>
          </w:p>
        </w:tc>
      </w:tr>
    </w:tbl>
    <w:p>
      <w:pPr>
        <w:spacing w:before="240"/>
        <w:ind w:left="1134" w:hanging="1134"/>
        <w:jc w:val="left"/>
        <w:rPr>
          <w:rFonts w:eastAsia="Arial Unicode MS"/>
          <w:bCs/>
          <w:noProof/>
          <w:szCs w:val="24"/>
        </w:rPr>
      </w:pPr>
      <w:r>
        <w:rPr>
          <w:noProof/>
        </w:rPr>
        <w:t>2.3.</w:t>
      </w:r>
      <w:r>
        <w:rPr>
          <w:noProof/>
        </w:rPr>
        <w:tab/>
        <w:t xml:space="preserve">Véhicules hors route à usage spécial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Par «</w:t>
            </w:r>
            <w:r>
              <w:rPr>
                <w:i/>
                <w:noProof/>
              </w:rPr>
              <w:t>véhicule hors route à usage spécial</w:t>
            </w:r>
            <w:r>
              <w:rPr>
                <w:noProof/>
              </w:rPr>
              <w:t>», on entend un véhicule qui appartient soit à la catégorie M soit à la catégorie N et qui présente les caractéristiques techniques spécifiques visées aux points 2.1 et 2.2.</w:t>
            </w:r>
          </w:p>
          <w:p>
            <w:pPr>
              <w:spacing w:after="0"/>
              <w:rPr>
                <w:rFonts w:eastAsia="Arial Unicode MS"/>
                <w:noProof/>
                <w:szCs w:val="24"/>
              </w:rPr>
            </w:pPr>
            <w:r>
              <w:rPr>
                <w:noProof/>
              </w:rPr>
              <w:t>Pour ces catégories de véhicules, la lettre «G» est ajoutée comme suffixe à la lettre et au numéro d’identification de la catégorie de véhicules.</w:t>
            </w:r>
          </w:p>
          <w:p>
            <w:pPr>
              <w:spacing w:after="0"/>
              <w:rPr>
                <w:rFonts w:eastAsia="Arial Unicode MS"/>
                <w:noProof/>
                <w:szCs w:val="24"/>
              </w:rPr>
            </w:pPr>
            <w:r>
              <w:rPr>
                <w:noProof/>
              </w:rPr>
              <w:t>En outre, pour les véhicules incomplets qui sont destinés à entrer dans la sous-catégorie des véhicules à usage spécial, la lettre «S» est ajoutée comme second suffixe.</w:t>
            </w:r>
          </w:p>
        </w:tc>
      </w:tr>
    </w:tbl>
    <w:p>
      <w:pPr>
        <w:spacing w:before="240"/>
        <w:ind w:left="1134" w:hanging="1134"/>
        <w:jc w:val="left"/>
        <w:rPr>
          <w:rFonts w:eastAsia="Arial Unicode MS"/>
          <w:b/>
          <w:bCs/>
          <w:noProof/>
          <w:szCs w:val="24"/>
        </w:rPr>
      </w:pPr>
      <w:r>
        <w:rPr>
          <w:b/>
          <w:noProof/>
        </w:rPr>
        <w:t>3.</w:t>
      </w:r>
      <w:r>
        <w:rPr>
          <w:noProof/>
        </w:rPr>
        <w:tab/>
      </w:r>
      <w:r>
        <w:rPr>
          <w:b/>
          <w:noProof/>
        </w:rPr>
        <w:t xml:space="preserve">Critères pour la classification des véhicules dans la catégorie N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lastRenderedPageBreak/>
              <w:t>3.1.</w:t>
            </w:r>
          </w:p>
        </w:tc>
        <w:tc>
          <w:tcPr>
            <w:tcW w:w="4376" w:type="pct"/>
            <w:hideMark/>
          </w:tcPr>
          <w:p>
            <w:pPr>
              <w:spacing w:after="0"/>
              <w:rPr>
                <w:rFonts w:eastAsia="Arial Unicode MS"/>
                <w:noProof/>
                <w:szCs w:val="24"/>
              </w:rPr>
            </w:pPr>
            <w:r>
              <w:rPr>
                <w:noProof/>
              </w:rPr>
              <w:t>La classification d’un type de véhicule dans la catégorie N se fonde sur les caractéristiques techniques du véhicule visées aux points 3.2 à 3.6.</w:t>
            </w:r>
          </w:p>
        </w:tc>
      </w:tr>
      <w:tr>
        <w:trPr>
          <w:tblCellSpacing w:w="0" w:type="dxa"/>
        </w:trPr>
        <w:tc>
          <w:tcPr>
            <w:tcW w:w="624" w:type="pct"/>
            <w:hideMark/>
          </w:tcPr>
          <w:p>
            <w:pPr>
              <w:spacing w:after="0"/>
              <w:rPr>
                <w:rFonts w:eastAsia="Arial Unicode MS"/>
                <w:noProof/>
                <w:szCs w:val="24"/>
              </w:rPr>
            </w:pPr>
            <w:r>
              <w:rPr>
                <w:noProof/>
              </w:rPr>
              <w:t>3.2.</w:t>
            </w:r>
          </w:p>
        </w:tc>
        <w:tc>
          <w:tcPr>
            <w:tcW w:w="4376" w:type="pct"/>
            <w:hideMark/>
          </w:tcPr>
          <w:p>
            <w:pPr>
              <w:spacing w:after="0"/>
              <w:rPr>
                <w:rFonts w:eastAsia="Arial Unicode MS"/>
                <w:noProof/>
                <w:szCs w:val="24"/>
              </w:rPr>
            </w:pPr>
            <w:r>
              <w:rPr>
                <w:noProof/>
              </w:rPr>
              <w:t>Par principe, le ou les compartiments où se trouvent toutes les places assises sont complètement séparés de la zone de chargement.</w:t>
            </w:r>
          </w:p>
        </w:tc>
      </w:tr>
      <w:tr>
        <w:trPr>
          <w:tblCellSpacing w:w="0" w:type="dxa"/>
        </w:trPr>
        <w:tc>
          <w:tcPr>
            <w:tcW w:w="624" w:type="pct"/>
            <w:hideMark/>
          </w:tcPr>
          <w:p>
            <w:pPr>
              <w:spacing w:after="0"/>
              <w:rPr>
                <w:rFonts w:eastAsia="Arial Unicode MS"/>
                <w:noProof/>
                <w:szCs w:val="24"/>
              </w:rPr>
            </w:pPr>
            <w:r>
              <w:rPr>
                <w:noProof/>
              </w:rPr>
              <w:t>3.3.</w:t>
            </w:r>
          </w:p>
        </w:tc>
        <w:tc>
          <w:tcPr>
            <w:tcW w:w="4376" w:type="pct"/>
            <w:hideMark/>
          </w:tcPr>
          <w:p>
            <w:pPr>
              <w:spacing w:after="0"/>
              <w:rPr>
                <w:rFonts w:eastAsia="Arial Unicode MS"/>
                <w:noProof/>
                <w:szCs w:val="24"/>
              </w:rPr>
            </w:pPr>
            <w:r>
              <w:rPr>
                <w:noProof/>
              </w:rPr>
              <w:t>Par dérogation aux prescriptions du point 3.2, des personnes et des marchandises peuvent être transportées dans le même compartiment, à condition que la zone de chargement soit équipée de dispositifs de fixation conçus pour protéger les passagers contre le déplacement de la cargaison pendant la conduite, notamment en cas de freinage et de virage brusque.</w:t>
            </w:r>
          </w:p>
        </w:tc>
      </w:tr>
      <w:tr>
        <w:trPr>
          <w:tblCellSpacing w:w="0" w:type="dxa"/>
        </w:trPr>
        <w:tc>
          <w:tcPr>
            <w:tcW w:w="624" w:type="pct"/>
            <w:hideMark/>
          </w:tcPr>
          <w:p>
            <w:pPr>
              <w:spacing w:before="240" w:after="0"/>
              <w:rPr>
                <w:rFonts w:eastAsia="Arial Unicode MS"/>
                <w:noProof/>
                <w:szCs w:val="24"/>
              </w:rPr>
            </w:pPr>
            <w:r>
              <w:rPr>
                <w:noProof/>
              </w:rPr>
              <w:t>3.4.</w:t>
            </w:r>
          </w:p>
        </w:tc>
        <w:tc>
          <w:tcPr>
            <w:tcW w:w="4376" w:type="pct"/>
            <w:hideMark/>
          </w:tcPr>
          <w:p>
            <w:pPr>
              <w:spacing w:before="240" w:after="0"/>
              <w:rPr>
                <w:rFonts w:eastAsia="Arial Unicode MS"/>
                <w:noProof/>
                <w:szCs w:val="24"/>
              </w:rPr>
            </w:pPr>
            <w:r>
              <w:rPr>
                <w:noProof/>
              </w:rPr>
              <w:t>Les dispositifs de fixation – dispositifs d’arrimage – destinés à immobiliser la cargaison comme prévu au point 3.3, ainsi que les systèmes de cloisonnement, destinés aux véhicules n’excédant pas 7,5 tonnes, sont conçus conformément aux dispositions des sections 3 et 4 de la norme ISO 27956: 2009 «Véhicules routiers - Arrimage des charges à bord des camionnettes de livraison - Exigences et méthodes d’essai».</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Les prescriptions visées au point 3.4 peuvent être vérifiées par une déclaration de conformité fournie par le constructeur.</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Comme alternative aux prescriptions du point 3.4, le constructeur peut démontrer, à la satisfaction de l’autorité compétente en matière de réception, que le niveau de protection des dispositifs de fixation montés est équivalent à celui prévu dans la norme visée.</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Le nombre de places assises, à l’exclusion du siège du conducteur, n’est pas supérieur à:</w:t>
            </w:r>
          </w:p>
          <w:p>
            <w:pPr>
              <w:spacing w:after="0"/>
              <w:ind w:left="580" w:hanging="571"/>
              <w:rPr>
                <w:rFonts w:eastAsia="Arial Unicode MS"/>
                <w:noProof/>
                <w:szCs w:val="24"/>
              </w:rPr>
            </w:pPr>
            <w:r>
              <w:rPr>
                <w:noProof/>
              </w:rPr>
              <w:t>a) 6 dans le cas des véhicules de catégorie N</w:t>
            </w:r>
            <w:r>
              <w:rPr>
                <w:noProof/>
                <w:vertAlign w:val="subscript"/>
              </w:rPr>
              <w:t>1</w:t>
            </w:r>
            <w:r>
              <w:rPr>
                <w:noProof/>
              </w:rPr>
              <w:t>;</w:t>
            </w:r>
          </w:p>
          <w:p>
            <w:pPr>
              <w:spacing w:after="0"/>
              <w:ind w:left="580" w:hanging="571"/>
              <w:rPr>
                <w:rFonts w:eastAsia="Arial Unicode MS"/>
                <w:noProof/>
                <w:szCs w:val="24"/>
              </w:rPr>
            </w:pPr>
            <w:r>
              <w:rPr>
                <w:noProof/>
              </w:rPr>
              <w:t>b) 8 dans le cas des véhicules de catégorie N</w:t>
            </w:r>
            <w:r>
              <w:rPr>
                <w:noProof/>
                <w:vertAlign w:val="subscript"/>
              </w:rPr>
              <w:t>2</w:t>
            </w:r>
            <w:r>
              <w:rPr>
                <w:noProof/>
              </w:rPr>
              <w:t xml:space="preserve"> ou N</w:t>
            </w:r>
            <w:r>
              <w:rPr>
                <w:noProof/>
                <w:vertAlign w:val="subscript"/>
              </w:rPr>
              <w:t>3</w:t>
            </w:r>
            <w:r>
              <w:rPr>
                <w:noProof/>
              </w:rPr>
              <w:t>.</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Les véhicules possèdent une capacité de transport de marchandises égale ou supérieure à la capacité de transport de personnes exprimée en kg.</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À cette fin, les équations suivantes sont satisfaites dans toutes les configurations, notamment lorsque toutes les places assises sont occupées:</w:t>
            </w:r>
          </w:p>
          <w:p>
            <w:pPr>
              <w:spacing w:after="0"/>
              <w:ind w:left="435" w:hanging="435"/>
              <w:rPr>
                <w:rFonts w:eastAsia="Arial Unicode MS"/>
                <w:noProof/>
                <w:szCs w:val="24"/>
                <w:lang w:val="pt-PT"/>
              </w:rPr>
            </w:pPr>
            <w:r>
              <w:rPr>
                <w:noProof/>
                <w:lang w:val="pt-PT"/>
              </w:rPr>
              <w:t>a)</w:t>
            </w:r>
            <w:r>
              <w:rPr>
                <w:noProof/>
                <w:lang w:val="pt-PT"/>
              </w:rPr>
              <w:tab/>
              <w:t>lorsque N = 0:</w:t>
            </w:r>
          </w:p>
          <w:p>
            <w:pPr>
              <w:spacing w:after="0"/>
              <w:ind w:left="437"/>
              <w:rPr>
                <w:rFonts w:eastAsia="Arial Unicode MS"/>
                <w:noProof/>
                <w:szCs w:val="24"/>
                <w:lang w:val="pt-PT"/>
              </w:rPr>
            </w:pPr>
            <w:r>
              <w:rPr>
                <w:noProof/>
                <w:lang w:val="pt-PT"/>
              </w:rPr>
              <w:t>P – M ≥ 100 kg</w:t>
            </w:r>
          </w:p>
          <w:p>
            <w:pPr>
              <w:spacing w:after="0"/>
              <w:ind w:left="435" w:hanging="435"/>
              <w:rPr>
                <w:rFonts w:eastAsia="Arial Unicode MS"/>
                <w:noProof/>
                <w:szCs w:val="24"/>
                <w:lang w:val="pt-PT"/>
              </w:rPr>
            </w:pPr>
            <w:r>
              <w:rPr>
                <w:noProof/>
                <w:lang w:val="pt-PT"/>
              </w:rPr>
              <w:t>b)</w:t>
            </w:r>
            <w:r>
              <w:rPr>
                <w:noProof/>
                <w:lang w:val="pt-PT"/>
              </w:rPr>
              <w:tab/>
              <w:t>lorsque 0 &lt; N ≤ 2:</w:t>
            </w:r>
          </w:p>
          <w:p>
            <w:pPr>
              <w:spacing w:after="0"/>
              <w:ind w:left="437"/>
              <w:rPr>
                <w:rFonts w:eastAsia="Arial Unicode MS"/>
                <w:noProof/>
                <w:szCs w:val="24"/>
                <w:lang w:val="pt-PT"/>
              </w:rPr>
            </w:pPr>
            <w:r>
              <w:rPr>
                <w:noProof/>
                <w:lang w:val="pt-PT"/>
              </w:rPr>
              <w:t>P – (M + N × 68) ≥ 150 kg;</w:t>
            </w:r>
          </w:p>
          <w:p>
            <w:pPr>
              <w:spacing w:after="0"/>
              <w:ind w:left="435" w:hanging="435"/>
              <w:rPr>
                <w:rFonts w:eastAsia="Arial Unicode MS"/>
                <w:noProof/>
                <w:szCs w:val="24"/>
                <w:lang w:val="pt-PT"/>
              </w:rPr>
            </w:pPr>
            <w:r>
              <w:rPr>
                <w:noProof/>
                <w:lang w:val="pt-PT"/>
              </w:rPr>
              <w:t>c) lorsque N &gt; 2:</w:t>
            </w:r>
          </w:p>
          <w:p>
            <w:pPr>
              <w:spacing w:after="0"/>
              <w:ind w:left="437"/>
              <w:rPr>
                <w:rFonts w:eastAsia="Arial Unicode MS"/>
                <w:noProof/>
                <w:szCs w:val="24"/>
                <w:lang w:val="pt-PT"/>
              </w:rPr>
            </w:pPr>
            <w:r>
              <w:rPr>
                <w:noProof/>
                <w:lang w:val="pt-PT"/>
              </w:rPr>
              <w:t>P – (M + N × 68) ≥ N × 68;</w:t>
            </w:r>
          </w:p>
          <w:p>
            <w:pPr>
              <w:spacing w:after="0"/>
              <w:rPr>
                <w:rFonts w:eastAsia="Arial Unicode MS"/>
                <w:noProof/>
                <w:szCs w:val="24"/>
              </w:rPr>
            </w:pPr>
            <w:r>
              <w:rPr>
                <w:noProof/>
              </w:rPr>
              <w:t>où les lettres ont la signification suivante:</w:t>
            </w:r>
          </w:p>
          <w:p>
            <w:pPr>
              <w:spacing w:after="0"/>
              <w:rPr>
                <w:rFonts w:eastAsia="Arial Unicode MS"/>
                <w:noProof/>
                <w:szCs w:val="24"/>
              </w:rPr>
            </w:pPr>
            <w:r>
              <w:rPr>
                <w:noProof/>
              </w:rPr>
              <w:t>«P» est la masse en charge maximale techniquement admissible;</w:t>
            </w:r>
          </w:p>
          <w:p>
            <w:pPr>
              <w:spacing w:after="0"/>
              <w:rPr>
                <w:rFonts w:eastAsia="Arial Unicode MS"/>
                <w:noProof/>
                <w:szCs w:val="24"/>
              </w:rPr>
            </w:pPr>
            <w:r>
              <w:rPr>
                <w:noProof/>
              </w:rPr>
              <w:t>«M» est la masse en ordre de marche;</w:t>
            </w:r>
          </w:p>
          <w:p>
            <w:pPr>
              <w:spacing w:after="0"/>
              <w:rPr>
                <w:rFonts w:eastAsia="Arial Unicode MS"/>
                <w:noProof/>
                <w:szCs w:val="24"/>
              </w:rPr>
            </w:pPr>
            <w:r>
              <w:rPr>
                <w:noProof/>
              </w:rPr>
              <w:lastRenderedPageBreak/>
              <w:t>«N» est le nombre de places assises, à l’exclusion du siège du conducteur.</w:t>
            </w:r>
          </w:p>
        </w:tc>
      </w:tr>
      <w:tr>
        <w:trPr>
          <w:tblCellSpacing w:w="0" w:type="dxa"/>
        </w:trPr>
        <w:tc>
          <w:tcPr>
            <w:tcW w:w="624" w:type="pct"/>
          </w:tcPr>
          <w:p>
            <w:pPr>
              <w:spacing w:after="0"/>
              <w:rPr>
                <w:rFonts w:eastAsia="Arial Unicode MS"/>
                <w:noProof/>
                <w:szCs w:val="24"/>
              </w:rPr>
            </w:pPr>
            <w:r>
              <w:rPr>
                <w:noProof/>
              </w:rPr>
              <w:lastRenderedPageBreak/>
              <w:t>3.6.2.</w:t>
            </w:r>
          </w:p>
        </w:tc>
        <w:tc>
          <w:tcPr>
            <w:tcW w:w="4376" w:type="pct"/>
          </w:tcPr>
          <w:p>
            <w:pPr>
              <w:spacing w:after="0"/>
              <w:rPr>
                <w:rFonts w:eastAsia="Arial Unicode MS"/>
                <w:noProof/>
                <w:szCs w:val="24"/>
              </w:rPr>
            </w:pPr>
            <w:r>
              <w:rPr>
                <w:noProof/>
              </w:rPr>
              <w:t>La masse de l’équipement monté sur le véhicule en vue de contenir des marchandises (par exemple, citerne, carrosserie, etc.), de manipuler des marchandises (par exemple, grue, élévateur, etc.) et d’arrimer des marchandises (par exemple, dispositifs de fixation des charges) est comprise dans M.</w:t>
            </w:r>
          </w:p>
        </w:tc>
      </w:tr>
      <w:tr>
        <w:trPr>
          <w:tblCellSpacing w:w="0" w:type="dxa"/>
        </w:trPr>
        <w:tc>
          <w:tcPr>
            <w:tcW w:w="624" w:type="pct"/>
            <w:shd w:val="clear" w:color="auto" w:fill="FFFFFF"/>
          </w:tcPr>
          <w:p>
            <w:pPr>
              <w:spacing w:after="0"/>
              <w:rPr>
                <w:rFonts w:eastAsia="Arial Unicode MS"/>
                <w:noProof/>
                <w:szCs w:val="24"/>
              </w:rPr>
            </w:pPr>
            <w:r>
              <w:rPr>
                <w:noProof/>
              </w:rPr>
              <w:t>3.6.3.</w:t>
            </w:r>
          </w:p>
        </w:tc>
        <w:tc>
          <w:tcPr>
            <w:tcW w:w="4376" w:type="pct"/>
            <w:shd w:val="clear" w:color="auto" w:fill="FFFFFF"/>
          </w:tcPr>
          <w:p>
            <w:pPr>
              <w:spacing w:after="0"/>
              <w:rPr>
                <w:rFonts w:eastAsia="Arial Unicode MS"/>
                <w:noProof/>
                <w:szCs w:val="24"/>
              </w:rPr>
            </w:pPr>
            <w:r>
              <w:rPr>
                <w:noProof/>
              </w:rPr>
              <w:t>La masse de l’équipement qui n’est pas destiné à l’usage visé au point 3.6.2 (par exemple, un compresseur, un treuil, un générateur électrique, un équipement de radiodiffusion, etc.) n’est pas comprise dans M aux fins de l’application des formules visées au point 3.6.1.</w:t>
            </w:r>
          </w:p>
        </w:tc>
      </w:tr>
      <w:tr>
        <w:trPr>
          <w:tblCellSpacing w:w="0" w:type="dxa"/>
        </w:trPr>
        <w:tc>
          <w:tcPr>
            <w:tcW w:w="624" w:type="pct"/>
          </w:tcPr>
          <w:p>
            <w:pPr>
              <w:spacing w:before="240" w:after="0"/>
              <w:rPr>
                <w:rFonts w:eastAsia="Arial Unicode MS"/>
                <w:noProof/>
                <w:szCs w:val="24"/>
              </w:rPr>
            </w:pPr>
            <w:r>
              <w:rPr>
                <w:noProof/>
              </w:rPr>
              <w:t>3.7.</w:t>
            </w:r>
          </w:p>
        </w:tc>
        <w:tc>
          <w:tcPr>
            <w:tcW w:w="4376" w:type="pct"/>
          </w:tcPr>
          <w:p>
            <w:pPr>
              <w:spacing w:before="240" w:after="0"/>
              <w:rPr>
                <w:rFonts w:eastAsia="Arial Unicode MS"/>
                <w:noProof/>
                <w:szCs w:val="24"/>
              </w:rPr>
            </w:pPr>
            <w:r>
              <w:rPr>
                <w:noProof/>
              </w:rPr>
              <w:t>Le respect des prescriptions visées aux points 3.2 à 3.6 est requis pour toutes les variantes et versions d’un type de véhicule.</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Critères pour la classification des véhicules dans la catégorie N</w:t>
            </w:r>
            <w:r>
              <w:rPr>
                <w:noProof/>
                <w:vertAlign w:val="subscript"/>
              </w:rPr>
              <w:t>1</w:t>
            </w:r>
          </w:p>
        </w:tc>
      </w:tr>
      <w:tr>
        <w:trPr>
          <w:tblCellSpacing w:w="0" w:type="dxa"/>
        </w:trPr>
        <w:tc>
          <w:tcPr>
            <w:tcW w:w="624" w:type="pct"/>
          </w:tcPr>
          <w:p>
            <w:pPr>
              <w:spacing w:before="240" w:after="0"/>
              <w:rPr>
                <w:rFonts w:eastAsia="Arial Unicode MS"/>
                <w:noProof/>
                <w:szCs w:val="24"/>
              </w:rPr>
            </w:pPr>
            <w:r>
              <w:rPr>
                <w:noProof/>
              </w:rPr>
              <w:t>3.8.1.</w:t>
            </w:r>
          </w:p>
        </w:tc>
        <w:tc>
          <w:tcPr>
            <w:tcW w:w="4376" w:type="pct"/>
          </w:tcPr>
          <w:p>
            <w:pPr>
              <w:spacing w:before="240" w:after="0"/>
              <w:rPr>
                <w:rFonts w:eastAsia="Arial Unicode MS"/>
                <w:noProof/>
                <w:szCs w:val="24"/>
              </w:rPr>
            </w:pPr>
            <w:r>
              <w:rPr>
                <w:noProof/>
              </w:rPr>
              <w:t>Un véhicule est classé dans la catégorie N</w:t>
            </w:r>
            <w:r>
              <w:rPr>
                <w:noProof/>
                <w:vertAlign w:val="subscript"/>
              </w:rPr>
              <w:t>1</w:t>
            </w:r>
            <w:r>
              <w:rPr>
                <w:noProof/>
              </w:rPr>
              <w:t xml:space="preserve"> lorsque tous les critères requis sont remplis.</w:t>
            </w:r>
          </w:p>
          <w:p>
            <w:pPr>
              <w:spacing w:after="0"/>
              <w:rPr>
                <w:rFonts w:eastAsia="Arial Unicode MS"/>
                <w:noProof/>
                <w:szCs w:val="24"/>
              </w:rPr>
            </w:pPr>
            <w:r>
              <w:rPr>
                <w:noProof/>
              </w:rPr>
              <w:t>Lorsqu’au moins un des critères n’est pas rempli, le véhicule est classé dans la catégorie M</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Outre les critères généraux visés aux points 3.2 à 3.6, le respect des critères définis aux points 3.8.2.1 à 3.8.2.3.5 est requis pour la classification des véhicules dans lesquels le compartiment où se trouve le conducteur et le chargement sont compris dans une seule et même unité (à savoir, la carrosserie «BB»).</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Le fait qu’une paroi ou un cloisonnement, complet ou partiel, soit dressé(e) entre une rangée de sièges et la zone de cargaison n’exempte pas de l’obligation de respecter les critères requis.</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Les critères sont les suivants:</w:t>
            </w:r>
          </w:p>
          <w:p>
            <w:pPr>
              <w:spacing w:after="0"/>
              <w:ind w:left="435" w:hanging="426"/>
              <w:rPr>
                <w:rFonts w:eastAsia="Arial Unicode MS"/>
                <w:noProof/>
                <w:szCs w:val="24"/>
              </w:rPr>
            </w:pPr>
            <w:r>
              <w:rPr>
                <w:noProof/>
              </w:rPr>
              <w:t>a)</w:t>
            </w:r>
            <w:r>
              <w:rPr>
                <w:noProof/>
              </w:rPr>
              <w:tab/>
              <w:t>le chargement des marchandises peut s’effectuer par une porte arrière, un hayon ou une porte latérale conçue et construite à cet effet;</w:t>
            </w:r>
          </w:p>
          <w:p>
            <w:pPr>
              <w:spacing w:after="0"/>
              <w:ind w:left="435" w:hanging="435"/>
              <w:rPr>
                <w:rFonts w:eastAsia="Arial Unicode MS"/>
                <w:noProof/>
                <w:szCs w:val="24"/>
              </w:rPr>
            </w:pPr>
            <w:r>
              <w:rPr>
                <w:noProof/>
              </w:rPr>
              <w:t>b)</w:t>
            </w:r>
            <w:r>
              <w:rPr>
                <w:noProof/>
              </w:rPr>
              <w:tab/>
              <w:t>dans le cas d’une porte arrière ou d’un hayon, l’ouverture de chargement doit satisfaire aux prescriptions suivantes:</w:t>
            </w:r>
          </w:p>
          <w:p>
            <w:pPr>
              <w:spacing w:before="60" w:after="0"/>
              <w:ind w:left="1003" w:hanging="578"/>
              <w:rPr>
                <w:rFonts w:eastAsia="Arial Unicode MS"/>
                <w:noProof/>
                <w:szCs w:val="24"/>
              </w:rPr>
            </w:pPr>
            <w:r>
              <w:rPr>
                <w:noProof/>
              </w:rPr>
              <w:t>i)</w:t>
            </w:r>
            <w:r>
              <w:rPr>
                <w:noProof/>
              </w:rPr>
              <w:tab/>
              <w:t>dans le cas d’un véhicule équipé d’une seule rangée de sièges ou du siège conducteur uniquement, la hauteur minimale de l’ouverture de chargement est d’au moins 600 mm;</w:t>
            </w:r>
          </w:p>
          <w:p>
            <w:pPr>
              <w:spacing w:before="60" w:after="0"/>
              <w:ind w:left="1003" w:hanging="578"/>
              <w:rPr>
                <w:rFonts w:eastAsia="Arial Unicode MS"/>
                <w:noProof/>
                <w:szCs w:val="24"/>
              </w:rPr>
            </w:pPr>
            <w:r>
              <w:rPr>
                <w:noProof/>
              </w:rPr>
              <w:t>ii)</w:t>
            </w:r>
            <w:r>
              <w:rPr>
                <w:noProof/>
              </w:rPr>
              <w:tab/>
              <w:t>dans le cas d’un véhicule équipé d’au moins deux rangées de sièges, la hauteur minimale de l’ouverture de chargement est d’au moins 800 mm et l’ouverture présente une surface d’au moins 12 800 cm</w:t>
            </w:r>
            <w:r>
              <w:rPr>
                <w:noProof/>
                <w:vertAlign w:val="superscript"/>
              </w:rPr>
              <w:t>2</w:t>
            </w:r>
            <w:r>
              <w:rPr>
                <w:noProof/>
              </w:rPr>
              <w:t>;</w:t>
            </w:r>
          </w:p>
          <w:p>
            <w:pPr>
              <w:spacing w:after="0"/>
              <w:ind w:left="435" w:hanging="435"/>
              <w:rPr>
                <w:rFonts w:eastAsia="Arial Unicode MS"/>
                <w:noProof/>
                <w:szCs w:val="24"/>
              </w:rPr>
            </w:pPr>
            <w:r>
              <w:rPr>
                <w:noProof/>
              </w:rPr>
              <w:t>c)</w:t>
            </w:r>
            <w:r>
              <w:rPr>
                <w:noProof/>
              </w:rPr>
              <w:tab/>
              <w:t>la zone de cargaison doit satisfaire aux prescriptions suivantes:</w:t>
            </w:r>
          </w:p>
          <w:p>
            <w:pPr>
              <w:spacing w:after="0"/>
              <w:ind w:left="435"/>
              <w:rPr>
                <w:rFonts w:eastAsia="Arial Unicode MS"/>
                <w:noProof/>
                <w:szCs w:val="24"/>
              </w:rPr>
            </w:pPr>
            <w:r>
              <w:rPr>
                <w:noProof/>
              </w:rPr>
              <w:t>Par «</w:t>
            </w:r>
            <w:r>
              <w:rPr>
                <w:i/>
                <w:noProof/>
              </w:rPr>
              <w:t>zone de cargaison</w:t>
            </w:r>
            <w:r>
              <w:rPr>
                <w:noProof/>
              </w:rPr>
              <w:t>», on entend la partie du véhicule située derrière la ou les rangées de sièges ou derrière le siège conducteur lorsque le véhicule n’est équipé que d’un siège conducteur;</w:t>
            </w:r>
          </w:p>
          <w:p>
            <w:pPr>
              <w:spacing w:before="60" w:after="0"/>
              <w:ind w:left="1004" w:hanging="567"/>
              <w:rPr>
                <w:rFonts w:eastAsia="Arial Unicode MS"/>
                <w:noProof/>
                <w:szCs w:val="24"/>
              </w:rPr>
            </w:pPr>
            <w:r>
              <w:rPr>
                <w:noProof/>
              </w:rPr>
              <w:t>i)</w:t>
            </w:r>
            <w:r>
              <w:rPr>
                <w:noProof/>
              </w:rPr>
              <w:tab/>
              <w:t>la surface de chargement de la zone de cargaison est généralement plate;</w:t>
            </w:r>
          </w:p>
          <w:p>
            <w:pPr>
              <w:spacing w:before="60" w:after="0"/>
              <w:ind w:left="1004" w:hanging="567"/>
              <w:rPr>
                <w:rFonts w:eastAsia="Arial Unicode MS"/>
                <w:noProof/>
                <w:szCs w:val="24"/>
              </w:rPr>
            </w:pPr>
            <w:r>
              <w:rPr>
                <w:noProof/>
              </w:rPr>
              <w:lastRenderedPageBreak/>
              <w:t>ii)</w:t>
            </w:r>
            <w:r>
              <w:rPr>
                <w:noProof/>
              </w:rPr>
              <w:tab/>
              <w:t>lorsque le véhicule est équipé d’une seule rangée de sièges ou seulement d’un siège conducteur, la longueur minimale de la zone de cargaison représente au moins 40 % de l’empattement;</w:t>
            </w:r>
          </w:p>
          <w:p>
            <w:pPr>
              <w:spacing w:before="60" w:after="0"/>
              <w:ind w:left="1004" w:hanging="567"/>
              <w:rPr>
                <w:rFonts w:eastAsia="Arial Unicode MS"/>
                <w:noProof/>
                <w:szCs w:val="24"/>
              </w:rPr>
            </w:pPr>
            <w:r>
              <w:rPr>
                <w:noProof/>
              </w:rPr>
              <w:t>iii)</w:t>
            </w:r>
            <w:r>
              <w:rPr>
                <w:noProof/>
              </w:rPr>
              <w:tab/>
              <w:t>lorsque le véhicule est équipé d’au moins deux rangées de sièges, la longueur minimale de la zone de cargaison représente au moins 30 % de l’empattement.</w:t>
            </w:r>
          </w:p>
          <w:p>
            <w:pPr>
              <w:spacing w:before="60" w:after="0"/>
              <w:ind w:left="1004"/>
              <w:rPr>
                <w:rFonts w:eastAsia="Arial Unicode MS"/>
                <w:noProof/>
                <w:szCs w:val="24"/>
              </w:rPr>
            </w:pPr>
            <w:r>
              <w:rPr>
                <w:noProof/>
              </w:rPr>
              <w:t>Lorsque les sièges de la dernière rangée peuvent être aisément retirés du véhicule sans outils spéciaux, les prescriptions concernant la longueur de la zone de cargaison doivent être respectées avec tous les sièges installés dans le véhicule;</w:t>
            </w:r>
          </w:p>
          <w:p>
            <w:pPr>
              <w:spacing w:before="60" w:after="0"/>
              <w:ind w:left="1004" w:hanging="567"/>
              <w:rPr>
                <w:rFonts w:eastAsia="Arial Unicode MS"/>
                <w:noProof/>
                <w:szCs w:val="24"/>
              </w:rPr>
            </w:pPr>
            <w:r>
              <w:rPr>
                <w:noProof/>
              </w:rPr>
              <w:t>iv)</w:t>
            </w:r>
            <w:r>
              <w:rPr>
                <w:noProof/>
              </w:rPr>
              <w:tab/>
              <w:t>les prescriptions concernant la longueur de la zone de cargaison doivent être respectées lorsque les sièges de la première ou de la dernière rangée, selon le cas, sont redressés dans leur position normale d’utilisation par les occupants du véhicule.</w:t>
            </w:r>
          </w:p>
        </w:tc>
      </w:tr>
      <w:tr>
        <w:trPr>
          <w:tblCellSpacing w:w="0" w:type="dxa"/>
        </w:trPr>
        <w:tc>
          <w:tcPr>
            <w:tcW w:w="624" w:type="pct"/>
          </w:tcPr>
          <w:p>
            <w:pPr>
              <w:spacing w:after="0"/>
              <w:rPr>
                <w:rFonts w:eastAsia="Arial Unicode MS"/>
                <w:noProof/>
                <w:szCs w:val="24"/>
              </w:rPr>
            </w:pPr>
            <w:r>
              <w:rPr>
                <w:noProof/>
              </w:rPr>
              <w:lastRenderedPageBreak/>
              <w:t>3.8.2.3.</w:t>
            </w:r>
          </w:p>
        </w:tc>
        <w:tc>
          <w:tcPr>
            <w:tcW w:w="4376" w:type="pct"/>
          </w:tcPr>
          <w:p>
            <w:pPr>
              <w:spacing w:after="0"/>
              <w:rPr>
                <w:rFonts w:eastAsia="Arial Unicode MS"/>
                <w:noProof/>
                <w:szCs w:val="24"/>
              </w:rPr>
            </w:pPr>
            <w:r>
              <w:rPr>
                <w:noProof/>
              </w:rPr>
              <w:t>Conditions spécifiques de mesure</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Définitions</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a)</w:t>
            </w:r>
            <w:r>
              <w:rPr>
                <w:noProof/>
              </w:rPr>
              <w:tab/>
              <w:t>Par «</w:t>
            </w:r>
            <w:r>
              <w:rPr>
                <w:i/>
                <w:noProof/>
              </w:rPr>
              <w:t>hauteur de l’ouverture de chargement</w:t>
            </w:r>
            <w:r>
              <w:rPr>
                <w:noProof/>
              </w:rPr>
              <w:t>», on entend la distance verticale entre deux plans horizontaux tangentes respectivement au point le plus haut de la partie inférieure de l’embrasure de la porte et au point le plus bas de la partie supérieure de l’embrasure de la porte.</w:t>
            </w:r>
          </w:p>
          <w:p>
            <w:pPr>
              <w:spacing w:before="60" w:after="0"/>
              <w:ind w:left="437" w:hanging="437"/>
              <w:rPr>
                <w:rFonts w:eastAsia="Arial Unicode MS"/>
                <w:noProof/>
                <w:szCs w:val="24"/>
              </w:rPr>
            </w:pPr>
            <w:r>
              <w:rPr>
                <w:noProof/>
              </w:rPr>
              <w:t>b)</w:t>
            </w:r>
            <w:r>
              <w:rPr>
                <w:noProof/>
              </w:rPr>
              <w:tab/>
              <w:t>Par «</w:t>
            </w:r>
            <w:r>
              <w:rPr>
                <w:i/>
                <w:noProof/>
              </w:rPr>
              <w:t>surface de l’ouverture de chargement</w:t>
            </w:r>
            <w:r>
              <w:rPr>
                <w:noProof/>
              </w:rPr>
              <w:t>», on entend la surface la plus grande de la projection orthogonale sur un plan vertical, perpendiculaire à l’axe du véhicule, de l’ouverture maximale permise lorsque la ou les portes arrière ou le hayon sont grand ouverts.</w:t>
            </w:r>
          </w:p>
          <w:p>
            <w:pPr>
              <w:spacing w:before="60" w:after="0"/>
              <w:ind w:left="437" w:hanging="437"/>
              <w:rPr>
                <w:rFonts w:eastAsia="Arial Unicode MS"/>
                <w:noProof/>
                <w:szCs w:val="24"/>
              </w:rPr>
            </w:pPr>
            <w:r>
              <w:rPr>
                <w:noProof/>
              </w:rPr>
              <w:t>c)</w:t>
            </w:r>
            <w:r>
              <w:rPr>
                <w:noProof/>
              </w:rPr>
              <w:tab/>
              <w:t>Par «</w:t>
            </w:r>
            <w:r>
              <w:rPr>
                <w:i/>
                <w:noProof/>
              </w:rPr>
              <w:t>empattement</w:t>
            </w:r>
            <w:r>
              <w:rPr>
                <w:noProof/>
              </w:rPr>
              <w:t>», on entend, aux fins de l’application des formules indiquées aux points 3.8.2.2 et 3.8.3.1, la distance entre:</w:t>
            </w:r>
          </w:p>
          <w:p>
            <w:pPr>
              <w:spacing w:before="60" w:after="0"/>
              <w:ind w:left="862" w:hanging="425"/>
              <w:rPr>
                <w:rFonts w:eastAsia="Arial Unicode MS"/>
                <w:noProof/>
                <w:szCs w:val="24"/>
              </w:rPr>
            </w:pPr>
            <w:r>
              <w:rPr>
                <w:noProof/>
              </w:rPr>
              <w:t>i)</w:t>
            </w:r>
            <w:r>
              <w:rPr>
                <w:noProof/>
              </w:rPr>
              <w:tab/>
              <w:t>l’axe de l’essieu avant et l’axe du second essieu, dans le cas d’un véhicule à deux essieux, ou</w:t>
            </w:r>
          </w:p>
          <w:p>
            <w:pPr>
              <w:spacing w:before="60" w:after="0"/>
              <w:ind w:left="862" w:hanging="425"/>
              <w:rPr>
                <w:rFonts w:eastAsia="Arial Unicode MS"/>
                <w:noProof/>
                <w:szCs w:val="24"/>
              </w:rPr>
            </w:pPr>
            <w:r>
              <w:rPr>
                <w:noProof/>
              </w:rPr>
              <w:t>ii)</w:t>
            </w:r>
            <w:r>
              <w:rPr>
                <w:noProof/>
              </w:rPr>
              <w:tab/>
              <w:t>l’axe de l’essieu avant et l’axe d’un essieu virtuel situé à égale distance des deuxième et troisième essieux, dans le cas d’un véhicule à trois essieux.</w:t>
            </w:r>
          </w:p>
        </w:tc>
      </w:tr>
      <w:tr>
        <w:trPr>
          <w:tblCellSpacing w:w="0" w:type="dxa"/>
        </w:trPr>
        <w:tc>
          <w:tcPr>
            <w:tcW w:w="624" w:type="pct"/>
          </w:tcPr>
          <w:p>
            <w:pPr>
              <w:spacing w:after="0"/>
              <w:rPr>
                <w:rFonts w:eastAsia="Arial Unicode MS"/>
                <w:noProof/>
                <w:szCs w:val="24"/>
              </w:rPr>
            </w:pPr>
            <w:r>
              <w:rPr>
                <w:noProof/>
              </w:rPr>
              <w:t>3.8.2.3.2.</w:t>
            </w:r>
          </w:p>
        </w:tc>
        <w:tc>
          <w:tcPr>
            <w:tcW w:w="4376" w:type="pct"/>
          </w:tcPr>
          <w:p>
            <w:pPr>
              <w:spacing w:after="0"/>
              <w:rPr>
                <w:rFonts w:eastAsia="Arial Unicode MS"/>
                <w:noProof/>
                <w:szCs w:val="24"/>
              </w:rPr>
            </w:pPr>
            <w:r>
              <w:rPr>
                <w:noProof/>
              </w:rPr>
              <w:t xml:space="preserve">Réglage des sièges </w:t>
            </w:r>
          </w:p>
          <w:p>
            <w:pPr>
              <w:spacing w:before="60" w:after="0"/>
              <w:ind w:left="437" w:hanging="437"/>
              <w:rPr>
                <w:rFonts w:eastAsia="Arial Unicode MS"/>
                <w:noProof/>
                <w:szCs w:val="24"/>
              </w:rPr>
            </w:pPr>
            <w:r>
              <w:rPr>
                <w:noProof/>
              </w:rPr>
              <w:t>a)</w:t>
            </w:r>
            <w:r>
              <w:rPr>
                <w:noProof/>
              </w:rPr>
              <w:tab/>
              <w:t>Les sièges sont réglés dans leur position arrière extrême.</w:t>
            </w:r>
          </w:p>
          <w:p>
            <w:pPr>
              <w:spacing w:before="60" w:after="0"/>
              <w:ind w:left="437" w:hanging="437"/>
              <w:rPr>
                <w:rFonts w:eastAsia="Arial Unicode MS"/>
                <w:noProof/>
                <w:szCs w:val="24"/>
              </w:rPr>
            </w:pPr>
            <w:r>
              <w:rPr>
                <w:noProof/>
              </w:rPr>
              <w:t>b)</w:t>
            </w:r>
            <w:r>
              <w:rPr>
                <w:noProof/>
              </w:rPr>
              <w:tab/>
              <w:t>Le dossier, s’il est réglable, est réglé de façon à recevoir la machine tridimensionnelle de détermination du point H avec un angle de torse de 25 degrés.</w:t>
            </w:r>
          </w:p>
          <w:p>
            <w:pPr>
              <w:spacing w:before="60" w:after="0"/>
              <w:ind w:left="437" w:hanging="437"/>
              <w:rPr>
                <w:rFonts w:eastAsia="Arial Unicode MS"/>
                <w:noProof/>
                <w:szCs w:val="24"/>
              </w:rPr>
            </w:pPr>
            <w:r>
              <w:rPr>
                <w:noProof/>
              </w:rPr>
              <w:t>c)</w:t>
            </w:r>
            <w:r>
              <w:rPr>
                <w:noProof/>
              </w:rPr>
              <w:tab/>
              <w:t>Le dossier, s’il n’est pas réglable, reste dans la position prévue par le constructeur du véhicule.</w:t>
            </w:r>
          </w:p>
          <w:p>
            <w:pPr>
              <w:spacing w:before="60" w:after="0"/>
              <w:ind w:left="437" w:hanging="437"/>
              <w:rPr>
                <w:rFonts w:eastAsia="Arial Unicode MS"/>
                <w:noProof/>
                <w:szCs w:val="24"/>
              </w:rPr>
            </w:pPr>
            <w:r>
              <w:rPr>
                <w:noProof/>
              </w:rPr>
              <w:t>d)</w:t>
            </w:r>
            <w:r>
              <w:rPr>
                <w:noProof/>
              </w:rPr>
              <w:tab/>
              <w:t>Lorsque le siège est réglable en hauteur, il est réglé à sa position la plus basse.</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Conditions relatives au véhicule</w:t>
            </w:r>
          </w:p>
          <w:p>
            <w:pPr>
              <w:spacing w:before="60" w:after="0"/>
              <w:ind w:left="437" w:hanging="437"/>
              <w:rPr>
                <w:rFonts w:eastAsia="Arial Unicode MS"/>
                <w:noProof/>
                <w:szCs w:val="24"/>
              </w:rPr>
            </w:pPr>
            <w:r>
              <w:rPr>
                <w:noProof/>
              </w:rPr>
              <w:t>a)</w:t>
            </w:r>
            <w:r>
              <w:rPr>
                <w:noProof/>
              </w:rPr>
              <w:tab/>
              <w:t>Le véhicule est dans un état de chargement correspondant à sa masse maximale.</w:t>
            </w:r>
          </w:p>
          <w:p>
            <w:pPr>
              <w:spacing w:before="60" w:after="0"/>
              <w:ind w:left="437" w:hanging="437"/>
              <w:rPr>
                <w:rFonts w:eastAsia="Arial Unicode MS"/>
                <w:noProof/>
                <w:szCs w:val="24"/>
              </w:rPr>
            </w:pPr>
            <w:r>
              <w:rPr>
                <w:noProof/>
              </w:rPr>
              <w:t>b)</w:t>
            </w:r>
            <w:r>
              <w:rPr>
                <w:noProof/>
              </w:rPr>
              <w:tab/>
              <w:t>Le véhicule a ses roues positionnées en ligne droite.</w:t>
            </w:r>
          </w:p>
        </w:tc>
      </w:tr>
      <w:tr>
        <w:trPr>
          <w:tblCellSpacing w:w="0" w:type="dxa"/>
        </w:trPr>
        <w:tc>
          <w:tcPr>
            <w:tcW w:w="624" w:type="pct"/>
            <w:hideMark/>
          </w:tcPr>
          <w:p>
            <w:pPr>
              <w:spacing w:after="0"/>
              <w:rPr>
                <w:rFonts w:eastAsia="Arial Unicode MS"/>
                <w:noProof/>
                <w:szCs w:val="24"/>
              </w:rPr>
            </w:pPr>
            <w:r>
              <w:rPr>
                <w:noProof/>
              </w:rPr>
              <w:lastRenderedPageBreak/>
              <w:t>3.8.2.3.4.</w:t>
            </w:r>
          </w:p>
        </w:tc>
        <w:tc>
          <w:tcPr>
            <w:tcW w:w="4376" w:type="pct"/>
            <w:hideMark/>
          </w:tcPr>
          <w:p>
            <w:pPr>
              <w:spacing w:after="0"/>
              <w:rPr>
                <w:rFonts w:eastAsia="Arial Unicode MS"/>
                <w:noProof/>
                <w:szCs w:val="24"/>
              </w:rPr>
            </w:pPr>
            <w:r>
              <w:rPr>
                <w:noProof/>
              </w:rPr>
              <w:t>Les prescriptions du point 3.8.2.3.2 ne s’appliquent pas lorsque le véhicule est équipé d’une paroi ou d’un cloisonnement.</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Mesure de la longueur de la zone de cargaison</w:t>
            </w:r>
          </w:p>
          <w:p>
            <w:pPr>
              <w:spacing w:before="60" w:after="0"/>
              <w:ind w:left="578" w:hanging="567"/>
              <w:rPr>
                <w:rFonts w:eastAsia="Arial Unicode MS"/>
                <w:noProof/>
                <w:szCs w:val="24"/>
              </w:rPr>
            </w:pPr>
            <w:r>
              <w:rPr>
                <w:noProof/>
              </w:rPr>
              <w:t>a)</w:t>
            </w:r>
            <w:r>
              <w:rPr>
                <w:noProof/>
              </w:rPr>
              <w:tab/>
              <w:t>Lorsque le véhicule n’est pas équipé d’une paroi ou d’un cloisonnement, la longueur est mesurée depuis un plan vertical tangent au point arrière extrême du haut du dossier jusqu’au panneau intérieur arrière ou à la porte ou au hayon, en position fermée.</w:t>
            </w:r>
          </w:p>
          <w:p>
            <w:pPr>
              <w:spacing w:before="60" w:after="0"/>
              <w:ind w:left="578" w:hanging="567"/>
              <w:rPr>
                <w:rFonts w:eastAsia="Arial Unicode MS"/>
                <w:noProof/>
                <w:szCs w:val="24"/>
              </w:rPr>
            </w:pPr>
            <w:r>
              <w:rPr>
                <w:noProof/>
              </w:rPr>
              <w:t>b)</w:t>
            </w:r>
            <w:r>
              <w:rPr>
                <w:noProof/>
              </w:rPr>
              <w:tab/>
              <w:t>Lorsque le véhicule est équipé d’une paroi ou d’un cloisonnement, la longueur est mesurée depuis un plan vertical tangent au point arrière extrême du cloisonnement ou de la paroi jusqu’au panneau intérieur arrière ou à la porte ou au hayon, en position fermée.</w:t>
            </w:r>
          </w:p>
          <w:p>
            <w:pPr>
              <w:spacing w:before="60" w:after="0"/>
              <w:ind w:left="578" w:hanging="600"/>
              <w:rPr>
                <w:rFonts w:eastAsia="Arial Unicode MS"/>
                <w:noProof/>
                <w:szCs w:val="24"/>
              </w:rPr>
            </w:pPr>
            <w:r>
              <w:rPr>
                <w:noProof/>
              </w:rPr>
              <w:t>c)</w:t>
            </w:r>
            <w:r>
              <w:rPr>
                <w:noProof/>
              </w:rPr>
              <w:tab/>
              <w:t>Les prescriptions concernant la longueur doivent être respectées sur une ligne horizontale située dans le plan vertical longitudinal passant par l’axe du véhicule, au niveau du plancher de chargement.</w:t>
            </w:r>
          </w:p>
        </w:tc>
      </w:tr>
      <w:tr>
        <w:trPr>
          <w:tblCellSpacing w:w="0" w:type="dxa"/>
        </w:trPr>
        <w:tc>
          <w:tcPr>
            <w:tcW w:w="624" w:type="pct"/>
            <w:hideMark/>
          </w:tcPr>
          <w:p>
            <w:pPr>
              <w:spacing w:after="0"/>
              <w:rPr>
                <w:rFonts w:eastAsia="Arial Unicode MS"/>
                <w:noProof/>
                <w:szCs w:val="24"/>
              </w:rPr>
            </w:pPr>
            <w:r>
              <w:rPr>
                <w:noProof/>
              </w:rPr>
              <w:t>3.8.3.</w:t>
            </w:r>
          </w:p>
        </w:tc>
        <w:tc>
          <w:tcPr>
            <w:tcW w:w="4376" w:type="pct"/>
            <w:hideMark/>
          </w:tcPr>
          <w:p>
            <w:pPr>
              <w:spacing w:after="0"/>
              <w:rPr>
                <w:rFonts w:eastAsia="Arial Unicode MS"/>
                <w:noProof/>
                <w:szCs w:val="24"/>
              </w:rPr>
            </w:pPr>
            <w:r>
              <w:rPr>
                <w:noProof/>
              </w:rPr>
              <w:t>Outre les critères généraux visés aux points 3.2 à 3.6, le respect des critères définis aux points 3.8.3.1 à 3.8.3.4 est requis pour la classification des véhicules dans lesquels le compartiment où se trouve le conducteur et le chargement ne sont pas compris dans une seule et même unité (carrosserie «BE»).</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Lorsque le véhicule est équipé d’une carrosserie de type caisson, les dispositions suivantes s’appliquent:</w:t>
            </w:r>
          </w:p>
          <w:p>
            <w:pPr>
              <w:spacing w:before="60" w:after="0"/>
              <w:ind w:left="578" w:hanging="578"/>
              <w:rPr>
                <w:rFonts w:eastAsia="Arial Unicode MS"/>
                <w:noProof/>
                <w:szCs w:val="24"/>
              </w:rPr>
            </w:pPr>
            <w:r>
              <w:rPr>
                <w:noProof/>
              </w:rPr>
              <w:t>a)</w:t>
            </w:r>
            <w:r>
              <w:rPr>
                <w:noProof/>
              </w:rPr>
              <w:tab/>
              <w:t>le chargement des marchandises peut s’effectuer par une porte arrière, un hayon, un panneau ou tout autre moyen;</w:t>
            </w:r>
          </w:p>
          <w:p>
            <w:pPr>
              <w:spacing w:before="60" w:after="0"/>
              <w:ind w:left="578" w:hanging="578"/>
              <w:rPr>
                <w:rFonts w:eastAsia="Arial Unicode MS"/>
                <w:noProof/>
                <w:szCs w:val="24"/>
              </w:rPr>
            </w:pPr>
            <w:r>
              <w:rPr>
                <w:noProof/>
              </w:rPr>
              <w:t>b)</w:t>
            </w:r>
            <w:r>
              <w:rPr>
                <w:noProof/>
              </w:rPr>
              <w:tab/>
              <w:t>la hauteur minimale de l’ouverture de chargement est d’au moins 800 mm et l’ouverture présente une surface d’au moins 12 800 cm</w:t>
            </w:r>
            <w:r>
              <w:rPr>
                <w:noProof/>
                <w:vertAlign w:val="superscript"/>
              </w:rPr>
              <w:t>2</w:t>
            </w:r>
            <w:r>
              <w:rPr>
                <w:noProof/>
              </w:rPr>
              <w:t>;</w:t>
            </w:r>
          </w:p>
          <w:p>
            <w:pPr>
              <w:spacing w:before="60" w:after="0"/>
              <w:ind w:left="578" w:hanging="578"/>
              <w:rPr>
                <w:rFonts w:eastAsia="Arial Unicode MS"/>
                <w:noProof/>
                <w:szCs w:val="24"/>
              </w:rPr>
            </w:pPr>
            <w:r>
              <w:rPr>
                <w:noProof/>
              </w:rPr>
              <w:t>c)</w:t>
            </w:r>
            <w:r>
              <w:rPr>
                <w:noProof/>
              </w:rPr>
              <w:tab/>
              <w:t>la longueur minimale de la zone de cargaison représente au moins 40 % de l’empattement.</w:t>
            </w:r>
          </w:p>
        </w:tc>
      </w:tr>
      <w:tr>
        <w:trPr>
          <w:tblCellSpacing w:w="0" w:type="dxa"/>
        </w:trPr>
        <w:tc>
          <w:tcPr>
            <w:tcW w:w="624" w:type="pct"/>
          </w:tcPr>
          <w:p>
            <w:pPr>
              <w:spacing w:after="0"/>
              <w:rPr>
                <w:rFonts w:eastAsia="Arial Unicode MS"/>
                <w:noProof/>
                <w:szCs w:val="24"/>
              </w:rPr>
            </w:pPr>
            <w:r>
              <w:rPr>
                <w:noProof/>
              </w:rPr>
              <w:t>3.8.3.2.</w:t>
            </w:r>
          </w:p>
        </w:tc>
        <w:tc>
          <w:tcPr>
            <w:tcW w:w="4376" w:type="pct"/>
          </w:tcPr>
          <w:p>
            <w:pPr>
              <w:spacing w:after="0"/>
              <w:rPr>
                <w:rFonts w:eastAsia="Arial Unicode MS"/>
                <w:noProof/>
                <w:szCs w:val="24"/>
              </w:rPr>
            </w:pPr>
            <w:r>
              <w:rPr>
                <w:noProof/>
              </w:rPr>
              <w:t>Lorsque la zone de cargaison du véhicule est de type ouvert, seules les dispositions visées aux points 3.8.3.1 a) et c) s’appliquent.</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Pour l’application des dispositions visées au point 3.8.3, les définitions du point 3.8.2.3.1 s’appliquent.</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Néanmoins, les prescriptions concernant la longueur de la zone de cargaison doivent être respectées sur une ligne horizontale située dans le plan longitudinal passant par l’axe du véhicule, au niveau du plancher de chargement.</w:t>
            </w:r>
          </w:p>
        </w:tc>
      </w:tr>
    </w:tbl>
    <w:p>
      <w:pPr>
        <w:spacing w:before="240"/>
        <w:ind w:left="1134" w:hanging="1134"/>
        <w:jc w:val="left"/>
        <w:rPr>
          <w:rFonts w:eastAsia="Arial Unicode MS"/>
          <w:b/>
          <w:bCs/>
          <w:noProof/>
          <w:szCs w:val="24"/>
        </w:rPr>
      </w:pPr>
      <w:r>
        <w:rPr>
          <w:b/>
          <w:noProof/>
        </w:rPr>
        <w:t>4.</w:t>
      </w:r>
      <w:r>
        <w:rPr>
          <w:noProof/>
        </w:rPr>
        <w:tab/>
      </w:r>
      <w:r>
        <w:rPr>
          <w:b/>
          <w:noProof/>
        </w:rPr>
        <w:t xml:space="preserve">Critères pour la classification des véhicules dans la sous-catégorie des véhicules hors route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Les véhicules appartenant à la catégorie M</w:t>
            </w:r>
            <w:r>
              <w:rPr>
                <w:noProof/>
                <w:vertAlign w:val="subscript"/>
              </w:rPr>
              <w:t>1</w:t>
            </w:r>
            <w:r>
              <w:rPr>
                <w:noProof/>
              </w:rPr>
              <w:t xml:space="preserve"> ou N</w:t>
            </w:r>
            <w:r>
              <w:rPr>
                <w:noProof/>
                <w:vertAlign w:val="subscript"/>
              </w:rPr>
              <w:t>1</w:t>
            </w:r>
            <w:r>
              <w:rPr>
                <w:noProof/>
              </w:rPr>
              <w:t xml:space="preserve"> sont classés dans la sous-catégorie des véhicules hors route s’ils satisfont simultanément aux conditions suivantes:</w:t>
            </w:r>
          </w:p>
          <w:p>
            <w:pPr>
              <w:spacing w:before="60" w:after="0"/>
              <w:ind w:left="569" w:hanging="567"/>
              <w:rPr>
                <w:rFonts w:eastAsia="Arial Unicode MS"/>
                <w:noProof/>
                <w:szCs w:val="24"/>
              </w:rPr>
            </w:pPr>
            <w:r>
              <w:rPr>
                <w:noProof/>
              </w:rPr>
              <w:t>a)</w:t>
            </w:r>
            <w:r>
              <w:rPr>
                <w:noProof/>
              </w:rPr>
              <w:tab/>
              <w:t>ils sont pourvus d’au moins un essieu avant et un essieu arrière conçus pour être simultanément moteurs, que la motricité d’un essieu puisse être débrayée ou non;</w:t>
            </w:r>
          </w:p>
          <w:p>
            <w:pPr>
              <w:spacing w:before="60" w:after="0"/>
              <w:ind w:left="569" w:hanging="567"/>
              <w:rPr>
                <w:rFonts w:eastAsia="Arial Unicode MS"/>
                <w:noProof/>
                <w:szCs w:val="24"/>
              </w:rPr>
            </w:pPr>
            <w:r>
              <w:rPr>
                <w:noProof/>
              </w:rPr>
              <w:t>b)</w:t>
            </w:r>
            <w:r>
              <w:rPr>
                <w:noProof/>
              </w:rPr>
              <w:tab/>
              <w:t xml:space="preserve">ils sont pourvus d’au moins un mécanisme de blocage du différentiel ou </w:t>
            </w:r>
            <w:r>
              <w:rPr>
                <w:noProof/>
              </w:rPr>
              <w:lastRenderedPageBreak/>
              <w:t>d’un mécanisme assurant une fonction similaire;</w:t>
            </w:r>
          </w:p>
          <w:p>
            <w:pPr>
              <w:spacing w:before="60" w:after="0"/>
              <w:ind w:left="569" w:hanging="567"/>
              <w:rPr>
                <w:rFonts w:eastAsia="Arial Unicode MS"/>
                <w:noProof/>
                <w:szCs w:val="24"/>
              </w:rPr>
            </w:pPr>
            <w:r>
              <w:rPr>
                <w:noProof/>
              </w:rPr>
              <w:t>c)</w:t>
            </w:r>
            <w:r>
              <w:rPr>
                <w:noProof/>
              </w:rPr>
              <w:tab/>
              <w:t>ils sont capables de gravir une pente de 25 % lorsqu’ils ne tractent pas de remorque;</w:t>
            </w:r>
          </w:p>
          <w:p>
            <w:pPr>
              <w:spacing w:before="60" w:after="0"/>
              <w:ind w:left="569" w:hanging="567"/>
              <w:rPr>
                <w:rFonts w:eastAsia="Arial Unicode MS"/>
                <w:noProof/>
                <w:szCs w:val="24"/>
              </w:rPr>
            </w:pPr>
            <w:r>
              <w:rPr>
                <w:noProof/>
              </w:rPr>
              <w:t>d)</w:t>
            </w:r>
            <w:r>
              <w:rPr>
                <w:noProof/>
              </w:rPr>
              <w:tab/>
              <w:t>ils satisfont à cinq des six prescriptions suivantes:</w:t>
            </w:r>
          </w:p>
          <w:p>
            <w:pPr>
              <w:spacing w:before="60" w:after="0"/>
              <w:ind w:left="1136" w:hanging="567"/>
              <w:rPr>
                <w:rFonts w:eastAsia="Arial Unicode MS"/>
                <w:noProof/>
                <w:szCs w:val="24"/>
              </w:rPr>
            </w:pPr>
            <w:r>
              <w:rPr>
                <w:noProof/>
              </w:rPr>
              <w:t>i)</w:t>
            </w:r>
            <w:r>
              <w:rPr>
                <w:noProof/>
              </w:rPr>
              <w:tab/>
              <w:t>leur angle d’attaque est d’au moins 25 degrés;</w:t>
            </w:r>
          </w:p>
          <w:p>
            <w:pPr>
              <w:spacing w:before="60" w:after="0"/>
              <w:ind w:left="1136" w:hanging="567"/>
              <w:rPr>
                <w:rFonts w:eastAsia="Arial Unicode MS"/>
                <w:noProof/>
                <w:szCs w:val="24"/>
              </w:rPr>
            </w:pPr>
            <w:r>
              <w:rPr>
                <w:noProof/>
              </w:rPr>
              <w:t>ii)</w:t>
            </w:r>
            <w:r>
              <w:rPr>
                <w:noProof/>
              </w:rPr>
              <w:tab/>
              <w:t>leur angle de fuite est d’au moins 20 degrés;</w:t>
            </w:r>
          </w:p>
          <w:p>
            <w:pPr>
              <w:spacing w:before="60" w:after="0"/>
              <w:ind w:left="1134" w:hanging="567"/>
              <w:rPr>
                <w:rFonts w:eastAsia="Arial Unicode MS"/>
                <w:noProof/>
                <w:szCs w:val="24"/>
              </w:rPr>
            </w:pPr>
            <w:r>
              <w:rPr>
                <w:noProof/>
              </w:rPr>
              <w:t>iii)</w:t>
            </w:r>
            <w:r>
              <w:rPr>
                <w:noProof/>
              </w:rPr>
              <w:tab/>
              <w:t>leur angle de rampe est d’au moins 20 degrés;</w:t>
            </w:r>
          </w:p>
          <w:p>
            <w:pPr>
              <w:spacing w:before="60" w:after="0"/>
              <w:ind w:left="1136" w:hanging="567"/>
              <w:rPr>
                <w:rFonts w:eastAsia="Arial Unicode MS"/>
                <w:noProof/>
                <w:szCs w:val="24"/>
              </w:rPr>
            </w:pPr>
            <w:r>
              <w:rPr>
                <w:noProof/>
              </w:rPr>
              <w:t>iv)</w:t>
            </w:r>
            <w:r>
              <w:rPr>
                <w:noProof/>
              </w:rPr>
              <w:tab/>
              <w:t>leur garde au sol sous l’essieu avant est d’au moins 180 mm;</w:t>
            </w:r>
          </w:p>
          <w:p>
            <w:pPr>
              <w:spacing w:before="60" w:after="0"/>
              <w:ind w:left="1136" w:hanging="567"/>
              <w:rPr>
                <w:rFonts w:eastAsia="Arial Unicode MS"/>
                <w:noProof/>
                <w:szCs w:val="24"/>
              </w:rPr>
            </w:pPr>
            <w:r>
              <w:rPr>
                <w:noProof/>
              </w:rPr>
              <w:t>v)</w:t>
            </w:r>
            <w:r>
              <w:rPr>
                <w:noProof/>
              </w:rPr>
              <w:tab/>
              <w:t>leur garde au sol sous l’essieu arrière est d’au moins 180 mm;</w:t>
            </w:r>
          </w:p>
          <w:p>
            <w:pPr>
              <w:spacing w:before="60"/>
              <w:ind w:left="1134" w:hanging="567"/>
              <w:rPr>
                <w:rFonts w:eastAsia="Arial Unicode MS"/>
                <w:noProof/>
                <w:szCs w:val="24"/>
              </w:rPr>
            </w:pPr>
            <w:r>
              <w:rPr>
                <w:noProof/>
              </w:rPr>
              <w:t>vi)</w:t>
            </w:r>
            <w:r>
              <w:rPr>
                <w:noProof/>
              </w:rPr>
              <w:tab/>
              <w:t>leur garde au sol entre les essieux est d’au moins 200 mm.</w:t>
            </w:r>
          </w:p>
        </w:tc>
      </w:tr>
      <w:tr>
        <w:trPr>
          <w:tblCellSpacing w:w="0" w:type="dxa"/>
        </w:trPr>
        <w:tc>
          <w:tcPr>
            <w:tcW w:w="625" w:type="pct"/>
            <w:hideMark/>
          </w:tcPr>
          <w:p>
            <w:pPr>
              <w:spacing w:before="240" w:after="0"/>
              <w:rPr>
                <w:rFonts w:eastAsia="Arial Unicode MS"/>
                <w:noProof/>
                <w:szCs w:val="24"/>
              </w:rPr>
            </w:pPr>
            <w:r>
              <w:rPr>
                <w:noProof/>
              </w:rPr>
              <w:lastRenderedPageBreak/>
              <w:t>4.2.</w:t>
            </w:r>
          </w:p>
        </w:tc>
        <w:tc>
          <w:tcPr>
            <w:tcW w:w="4375" w:type="pct"/>
            <w:hideMark/>
          </w:tcPr>
          <w:p>
            <w:pPr>
              <w:spacing w:before="240" w:after="0"/>
              <w:rPr>
                <w:rFonts w:eastAsia="Arial Unicode MS"/>
                <w:noProof/>
                <w:szCs w:val="24"/>
              </w:rPr>
            </w:pPr>
            <w:r>
              <w:rPr>
                <w:noProof/>
              </w:rPr>
              <w:t>Les véhicules appartenant à la catégorie M</w:t>
            </w:r>
            <w:r>
              <w:rPr>
                <w:noProof/>
                <w:vertAlign w:val="subscript"/>
              </w:rPr>
              <w:t>2</w:t>
            </w:r>
            <w:r>
              <w:rPr>
                <w:noProof/>
              </w:rPr>
              <w:t>, N</w:t>
            </w:r>
            <w:r>
              <w:rPr>
                <w:noProof/>
                <w:vertAlign w:val="subscript"/>
              </w:rPr>
              <w:t>2</w:t>
            </w:r>
            <w:r>
              <w:rPr>
                <w:noProof/>
              </w:rPr>
              <w:t xml:space="preserve"> ou M</w:t>
            </w:r>
            <w:r>
              <w:rPr>
                <w:noProof/>
                <w:vertAlign w:val="subscript"/>
              </w:rPr>
              <w:t>3</w:t>
            </w:r>
            <w:r>
              <w:rPr>
                <w:noProof/>
              </w:rPr>
              <w:t xml:space="preserve"> dont la masse maximale n’excède pas 12 tonnes sont classés dans la sous-catégorie des véhicules hors route s’ils satisfont à la condition indiquée au point a) ou aux deux conditions indiquées aux points b) et c):</w:t>
            </w:r>
          </w:p>
          <w:p>
            <w:pPr>
              <w:spacing w:after="0"/>
              <w:ind w:left="567" w:hanging="567"/>
              <w:rPr>
                <w:rFonts w:eastAsia="Arial Unicode MS"/>
                <w:noProof/>
                <w:szCs w:val="24"/>
              </w:rPr>
            </w:pPr>
            <w:r>
              <w:rPr>
                <w:noProof/>
              </w:rPr>
              <w:t>a)</w:t>
            </w:r>
            <w:r>
              <w:rPr>
                <w:noProof/>
              </w:rPr>
              <w:tab/>
              <w:t>tous leurs essieux sont simultanément moteurs, que la motricité d’un ou de plusieurs essieux puisse être débrayée ou non;</w:t>
            </w:r>
          </w:p>
          <w:p>
            <w:pPr>
              <w:tabs>
                <w:tab w:val="left" w:pos="609"/>
                <w:tab w:val="left" w:pos="1142"/>
              </w:tabs>
              <w:spacing w:after="0"/>
              <w:ind w:left="1134" w:hanging="1134"/>
              <w:jc w:val="left"/>
              <w:rPr>
                <w:rFonts w:eastAsia="Arial Unicode MS"/>
                <w:noProof/>
                <w:szCs w:val="24"/>
              </w:rPr>
            </w:pPr>
            <w:r>
              <w:rPr>
                <w:noProof/>
              </w:rPr>
              <w:t>b)</w:t>
            </w:r>
            <w:r>
              <w:rPr>
                <w:noProof/>
              </w:rPr>
              <w:tab/>
              <w:t>i)</w:t>
            </w:r>
            <w:r>
              <w:rPr>
                <w:noProof/>
              </w:rPr>
              <w:tab/>
              <w:t>ils sont pourvus d’au moins un essieu avant et d’au moins un essieu arrière conçus pour être simultanément moteurs, que la motricité d’un essieu puisse être débrayée ou non;</w:t>
            </w:r>
          </w:p>
          <w:p>
            <w:pPr>
              <w:tabs>
                <w:tab w:val="left" w:pos="609"/>
                <w:tab w:val="left" w:pos="1142"/>
              </w:tabs>
              <w:spacing w:after="0"/>
              <w:ind w:left="1134" w:hanging="1134"/>
              <w:jc w:val="left"/>
              <w:rPr>
                <w:rFonts w:eastAsia="Arial Unicode MS"/>
                <w:noProof/>
                <w:szCs w:val="24"/>
              </w:rPr>
            </w:pPr>
            <w:r>
              <w:rPr>
                <w:noProof/>
              </w:rPr>
              <w:tab/>
              <w:t>ii)</w:t>
            </w:r>
            <w:r>
              <w:rPr>
                <w:noProof/>
              </w:rPr>
              <w:tab/>
              <w:t>ils sont pourvus d’au moins un mécanisme de blocage du différentiel ou d’un mécanisme assurant une fonction similaire;</w:t>
            </w:r>
          </w:p>
          <w:p>
            <w:pPr>
              <w:tabs>
                <w:tab w:val="left" w:pos="609"/>
                <w:tab w:val="left" w:pos="1142"/>
              </w:tabs>
              <w:spacing w:before="60" w:after="0"/>
              <w:ind w:left="1134" w:hanging="1134"/>
              <w:jc w:val="left"/>
              <w:rPr>
                <w:rFonts w:eastAsia="Arial Unicode MS"/>
                <w:noProof/>
                <w:szCs w:val="24"/>
              </w:rPr>
            </w:pPr>
            <w:r>
              <w:rPr>
                <w:noProof/>
              </w:rPr>
              <w:tab/>
              <w:t>iii)</w:t>
            </w:r>
            <w:r>
              <w:rPr>
                <w:noProof/>
              </w:rPr>
              <w:tab/>
              <w:t>ils sont capables de gravir une pente de 25 % lorsqu’ils ne tractent pas de remorque;</w:t>
            </w:r>
          </w:p>
          <w:p>
            <w:pPr>
              <w:spacing w:before="60" w:after="0"/>
              <w:ind w:left="568" w:hanging="567"/>
              <w:rPr>
                <w:rFonts w:eastAsia="Arial Unicode MS"/>
                <w:noProof/>
                <w:szCs w:val="24"/>
              </w:rPr>
            </w:pPr>
            <w:r>
              <w:rPr>
                <w:noProof/>
              </w:rPr>
              <w:t>c)</w:t>
            </w:r>
            <w:r>
              <w:rPr>
                <w:noProof/>
              </w:rPr>
              <w:tab/>
              <w:t>ils satisfont au moins à cinq des six conditions suivantes si leur masse maximale n’excède pas 7,5 tonnes et au moins à quatre d’entre elles si leur masse maximale excède 7,5 tonnes:</w:t>
            </w:r>
          </w:p>
          <w:p>
            <w:pPr>
              <w:spacing w:before="60" w:after="0"/>
              <w:ind w:left="1134" w:hanging="567"/>
              <w:rPr>
                <w:rFonts w:eastAsia="Arial Unicode MS"/>
                <w:noProof/>
                <w:szCs w:val="24"/>
              </w:rPr>
            </w:pPr>
            <w:r>
              <w:rPr>
                <w:noProof/>
              </w:rPr>
              <w:t>i)</w:t>
            </w:r>
            <w:r>
              <w:rPr>
                <w:noProof/>
              </w:rPr>
              <w:tab/>
              <w:t>leur angle d’attaque est d’au moins 25 degrés;</w:t>
            </w:r>
          </w:p>
          <w:p>
            <w:pPr>
              <w:spacing w:before="60" w:after="0"/>
              <w:ind w:left="1134" w:hanging="567"/>
              <w:rPr>
                <w:rFonts w:eastAsia="Arial Unicode MS"/>
                <w:noProof/>
                <w:szCs w:val="24"/>
              </w:rPr>
            </w:pPr>
            <w:r>
              <w:rPr>
                <w:noProof/>
              </w:rPr>
              <w:t>ii)</w:t>
            </w:r>
            <w:r>
              <w:rPr>
                <w:noProof/>
              </w:rPr>
              <w:tab/>
              <w:t>leur angle de fuite est d’au moins 25 degrés;</w:t>
            </w:r>
          </w:p>
          <w:p>
            <w:pPr>
              <w:spacing w:before="60" w:after="0"/>
              <w:ind w:left="1134" w:hanging="567"/>
              <w:rPr>
                <w:rFonts w:eastAsia="Arial Unicode MS"/>
                <w:noProof/>
                <w:szCs w:val="24"/>
              </w:rPr>
            </w:pPr>
            <w:r>
              <w:rPr>
                <w:noProof/>
              </w:rPr>
              <w:t>iii)</w:t>
            </w:r>
            <w:r>
              <w:rPr>
                <w:noProof/>
              </w:rPr>
              <w:tab/>
              <w:t>leur angle de rampe est d’au moins 25 degrés;</w:t>
            </w:r>
          </w:p>
          <w:p>
            <w:pPr>
              <w:spacing w:before="60" w:after="0"/>
              <w:ind w:left="1134" w:hanging="567"/>
              <w:rPr>
                <w:rFonts w:eastAsia="Arial Unicode MS"/>
                <w:noProof/>
                <w:szCs w:val="24"/>
              </w:rPr>
            </w:pPr>
            <w:r>
              <w:rPr>
                <w:noProof/>
              </w:rPr>
              <w:t>iv)</w:t>
            </w:r>
            <w:r>
              <w:rPr>
                <w:noProof/>
              </w:rPr>
              <w:tab/>
              <w:t>leur garde au sol sous l’essieu avant est d’au moins 250 mm;</w:t>
            </w:r>
          </w:p>
          <w:p>
            <w:pPr>
              <w:spacing w:before="60" w:after="0"/>
              <w:ind w:left="1134" w:hanging="567"/>
              <w:rPr>
                <w:rFonts w:eastAsia="Arial Unicode MS"/>
                <w:noProof/>
                <w:szCs w:val="24"/>
              </w:rPr>
            </w:pPr>
            <w:r>
              <w:rPr>
                <w:noProof/>
              </w:rPr>
              <w:t>v)</w:t>
            </w:r>
            <w:r>
              <w:rPr>
                <w:noProof/>
              </w:rPr>
              <w:tab/>
              <w:t>leur garde au sol entre les essieux est d’au moins 300 mm;</w:t>
            </w:r>
          </w:p>
          <w:p>
            <w:pPr>
              <w:spacing w:before="60" w:after="0"/>
              <w:ind w:left="1134" w:hanging="567"/>
              <w:rPr>
                <w:rFonts w:eastAsia="Arial Unicode MS"/>
                <w:noProof/>
                <w:szCs w:val="24"/>
              </w:rPr>
            </w:pPr>
            <w:r>
              <w:rPr>
                <w:noProof/>
              </w:rPr>
              <w:t>vi)</w:t>
            </w:r>
            <w:r>
              <w:rPr>
                <w:noProof/>
              </w:rPr>
              <w:tab/>
              <w:t>leur garde au sol sous l’essieu arrière est d’au moins 250 mm.</w:t>
            </w:r>
          </w:p>
        </w:tc>
      </w:tr>
      <w:tr>
        <w:trPr>
          <w:tblCellSpacing w:w="0" w:type="dxa"/>
        </w:trPr>
        <w:tc>
          <w:tcPr>
            <w:tcW w:w="0" w:type="auto"/>
            <w:hideMark/>
          </w:tcPr>
          <w:p>
            <w:pPr>
              <w:spacing w:before="240" w:after="0"/>
              <w:rPr>
                <w:rFonts w:eastAsia="Arial Unicode MS"/>
                <w:noProof/>
                <w:szCs w:val="24"/>
              </w:rPr>
            </w:pPr>
            <w:r>
              <w:rPr>
                <w:noProof/>
              </w:rPr>
              <w:t>4.3.</w:t>
            </w:r>
          </w:p>
        </w:tc>
        <w:tc>
          <w:tcPr>
            <w:tcW w:w="0" w:type="auto"/>
            <w:hideMark/>
          </w:tcPr>
          <w:p>
            <w:pPr>
              <w:spacing w:before="240" w:after="0"/>
              <w:rPr>
                <w:rFonts w:eastAsia="Arial Unicode MS"/>
                <w:noProof/>
                <w:szCs w:val="24"/>
              </w:rPr>
            </w:pPr>
            <w:r>
              <w:rPr>
                <w:noProof/>
              </w:rPr>
              <w:t>Les véhicules appartenant à la catégorie M</w:t>
            </w:r>
            <w:r>
              <w:rPr>
                <w:noProof/>
                <w:vertAlign w:val="subscript"/>
              </w:rPr>
              <w:t>3</w:t>
            </w:r>
            <w:r>
              <w:rPr>
                <w:noProof/>
              </w:rPr>
              <w:t xml:space="preserve"> ou N</w:t>
            </w:r>
            <w:r>
              <w:rPr>
                <w:noProof/>
                <w:vertAlign w:val="subscript"/>
              </w:rPr>
              <w:t>3</w:t>
            </w:r>
            <w:r>
              <w:rPr>
                <w:noProof/>
              </w:rPr>
              <w:t xml:space="preserve"> dont la masse maximale excède 12 tonnes sont classés dans la sous-catégorie des véhicules hors route s’ils satisfont à la condition indiquée au point a) ou aux deux conditions indiquées aux points b) et c):</w:t>
            </w:r>
          </w:p>
          <w:p>
            <w:pPr>
              <w:spacing w:before="60" w:after="0"/>
              <w:ind w:left="568" w:hanging="567"/>
              <w:rPr>
                <w:rFonts w:eastAsia="Arial Unicode MS"/>
                <w:noProof/>
                <w:szCs w:val="24"/>
              </w:rPr>
            </w:pPr>
            <w:r>
              <w:rPr>
                <w:noProof/>
              </w:rPr>
              <w:t>a)</w:t>
            </w:r>
            <w:r>
              <w:rPr>
                <w:noProof/>
              </w:rPr>
              <w:tab/>
              <w:t>tous leurs essieux sont simultanément moteurs, que la motricité d’un ou de plusieurs essieux puisse être débrayée ou non;</w:t>
            </w:r>
          </w:p>
          <w:p>
            <w:pPr>
              <w:tabs>
                <w:tab w:val="left" w:pos="567"/>
              </w:tabs>
              <w:spacing w:before="60" w:after="0"/>
              <w:ind w:left="1134" w:hanging="1134"/>
              <w:rPr>
                <w:rFonts w:eastAsia="Arial Unicode MS"/>
                <w:noProof/>
                <w:szCs w:val="24"/>
              </w:rPr>
            </w:pPr>
            <w:r>
              <w:rPr>
                <w:noProof/>
              </w:rPr>
              <w:t>b)</w:t>
            </w:r>
            <w:r>
              <w:rPr>
                <w:noProof/>
              </w:rPr>
              <w:tab/>
              <w:t>i)</w:t>
            </w:r>
            <w:r>
              <w:rPr>
                <w:noProof/>
              </w:rPr>
              <w:tab/>
              <w:t xml:space="preserve">au moins la moitié des essieux (ou deux essieux sur trois dans le cas d’un véhicule à trois essieux et trois essieux sur cinq dans le cas d’un véhicule à cinq essieux) sont conçus pour être simultanément moteurs, </w:t>
            </w:r>
            <w:r>
              <w:rPr>
                <w:noProof/>
              </w:rPr>
              <w:lastRenderedPageBreak/>
              <w:t>que la motricité d’un essieu puisse être débrayée ou non;</w:t>
            </w:r>
          </w:p>
          <w:p>
            <w:pPr>
              <w:spacing w:before="60" w:after="0"/>
              <w:ind w:left="1134" w:hanging="567"/>
              <w:jc w:val="left"/>
              <w:rPr>
                <w:rFonts w:eastAsia="Arial Unicode MS"/>
                <w:noProof/>
                <w:szCs w:val="24"/>
              </w:rPr>
            </w:pPr>
            <w:r>
              <w:rPr>
                <w:noProof/>
              </w:rPr>
              <w:t>ii)</w:t>
            </w:r>
            <w:r>
              <w:rPr>
                <w:noProof/>
              </w:rPr>
              <w:tab/>
              <w:t>ils sont pourvus d’au moins un mécanisme de blocage du différentiel ou d’un mécanisme assurant une fonction similaire;</w:t>
            </w:r>
          </w:p>
          <w:p>
            <w:pPr>
              <w:tabs>
                <w:tab w:val="left" w:pos="597"/>
              </w:tabs>
              <w:spacing w:before="60" w:after="0"/>
              <w:ind w:left="1134" w:hanging="567"/>
              <w:jc w:val="left"/>
              <w:rPr>
                <w:rFonts w:eastAsia="Arial Unicode MS"/>
                <w:noProof/>
                <w:szCs w:val="24"/>
              </w:rPr>
            </w:pPr>
            <w:r>
              <w:rPr>
                <w:noProof/>
              </w:rPr>
              <w:t>iii)</w:t>
            </w:r>
            <w:r>
              <w:rPr>
                <w:noProof/>
              </w:rPr>
              <w:tab/>
              <w:t>ils sont capables de gravir une pente de 25 % lorsqu’ils ne tractent pas de remorque;</w:t>
            </w:r>
          </w:p>
          <w:p>
            <w:pPr>
              <w:spacing w:before="60" w:after="0"/>
              <w:ind w:left="568" w:hanging="567"/>
              <w:rPr>
                <w:rFonts w:eastAsia="Arial Unicode MS"/>
                <w:noProof/>
                <w:szCs w:val="24"/>
              </w:rPr>
            </w:pPr>
            <w:r>
              <w:rPr>
                <w:noProof/>
              </w:rPr>
              <w:t>c)</w:t>
            </w:r>
            <w:r>
              <w:rPr>
                <w:noProof/>
              </w:rPr>
              <w:tab/>
              <w:t>ils satisfont au moins à quatre des six prescriptions suivantes:</w:t>
            </w:r>
          </w:p>
          <w:p>
            <w:pPr>
              <w:spacing w:before="60" w:after="0"/>
              <w:ind w:left="1134" w:hanging="567"/>
              <w:rPr>
                <w:rFonts w:eastAsia="Arial Unicode MS"/>
                <w:noProof/>
                <w:szCs w:val="24"/>
              </w:rPr>
            </w:pPr>
            <w:r>
              <w:rPr>
                <w:noProof/>
              </w:rPr>
              <w:t>i)</w:t>
            </w:r>
            <w:r>
              <w:rPr>
                <w:noProof/>
              </w:rPr>
              <w:tab/>
              <w:t>leur angle d’attaque est d’au moins 25 degrés;</w:t>
            </w:r>
          </w:p>
          <w:p>
            <w:pPr>
              <w:spacing w:before="60" w:after="0"/>
              <w:ind w:left="1134" w:hanging="567"/>
              <w:rPr>
                <w:rFonts w:eastAsia="Arial Unicode MS"/>
                <w:noProof/>
                <w:szCs w:val="24"/>
              </w:rPr>
            </w:pPr>
            <w:r>
              <w:rPr>
                <w:noProof/>
              </w:rPr>
              <w:t>ii)</w:t>
            </w:r>
            <w:r>
              <w:rPr>
                <w:noProof/>
              </w:rPr>
              <w:tab/>
              <w:t>leur angle de fuite est d’au moins 25 degrés;</w:t>
            </w:r>
          </w:p>
          <w:p>
            <w:pPr>
              <w:spacing w:before="60" w:after="0"/>
              <w:ind w:left="1134" w:hanging="567"/>
              <w:rPr>
                <w:rFonts w:eastAsia="Arial Unicode MS"/>
                <w:noProof/>
                <w:szCs w:val="24"/>
              </w:rPr>
            </w:pPr>
            <w:r>
              <w:rPr>
                <w:noProof/>
              </w:rPr>
              <w:t>iii)</w:t>
            </w:r>
            <w:r>
              <w:rPr>
                <w:noProof/>
              </w:rPr>
              <w:tab/>
              <w:t>leur angle de rampe est d’au moins 25 degrés;</w:t>
            </w:r>
          </w:p>
          <w:p>
            <w:pPr>
              <w:spacing w:before="60" w:after="0"/>
              <w:ind w:left="1134" w:hanging="567"/>
              <w:rPr>
                <w:rFonts w:eastAsia="Arial Unicode MS"/>
                <w:noProof/>
                <w:szCs w:val="24"/>
              </w:rPr>
            </w:pPr>
            <w:r>
              <w:rPr>
                <w:noProof/>
              </w:rPr>
              <w:t>iv)</w:t>
            </w:r>
            <w:r>
              <w:rPr>
                <w:noProof/>
              </w:rPr>
              <w:tab/>
              <w:t>leur garde au sol sous l’essieu avant est d’au moins 250 mm;</w:t>
            </w:r>
          </w:p>
          <w:p>
            <w:pPr>
              <w:spacing w:before="60" w:after="0"/>
              <w:ind w:left="1134" w:hanging="567"/>
              <w:rPr>
                <w:rFonts w:eastAsia="Arial Unicode MS"/>
                <w:noProof/>
                <w:szCs w:val="24"/>
              </w:rPr>
            </w:pPr>
            <w:r>
              <w:rPr>
                <w:noProof/>
              </w:rPr>
              <w:t>v)</w:t>
            </w:r>
            <w:r>
              <w:rPr>
                <w:noProof/>
              </w:rPr>
              <w:tab/>
              <w:t>leur garde au sol entre les essieux est d’au moins 300 mm;</w:t>
            </w:r>
          </w:p>
          <w:p>
            <w:pPr>
              <w:spacing w:before="60" w:after="0"/>
              <w:ind w:left="1134" w:hanging="567"/>
              <w:rPr>
                <w:rFonts w:eastAsia="Arial Unicode MS"/>
                <w:noProof/>
                <w:szCs w:val="24"/>
              </w:rPr>
            </w:pPr>
            <w:r>
              <w:rPr>
                <w:noProof/>
              </w:rPr>
              <w:t>vi)</w:t>
            </w:r>
            <w:r>
              <w:rPr>
                <w:noProof/>
              </w:rPr>
              <w:tab/>
              <w:t>leur garde au sol sous l’essieu arrière est d’au moins 250 mm.</w:t>
            </w:r>
          </w:p>
        </w:tc>
      </w:tr>
      <w:tr>
        <w:trPr>
          <w:tblCellSpacing w:w="0" w:type="dxa"/>
        </w:trPr>
        <w:tc>
          <w:tcPr>
            <w:tcW w:w="0" w:type="auto"/>
            <w:hideMark/>
          </w:tcPr>
          <w:p>
            <w:pPr>
              <w:spacing w:before="240" w:after="0"/>
              <w:rPr>
                <w:rFonts w:eastAsia="Arial Unicode MS"/>
                <w:noProof/>
                <w:szCs w:val="24"/>
              </w:rPr>
            </w:pPr>
            <w:r>
              <w:rPr>
                <w:noProof/>
              </w:rPr>
              <w:lastRenderedPageBreak/>
              <w:t>4.4.</w:t>
            </w:r>
          </w:p>
        </w:tc>
        <w:tc>
          <w:tcPr>
            <w:tcW w:w="0" w:type="auto"/>
            <w:hideMark/>
          </w:tcPr>
          <w:p>
            <w:pPr>
              <w:spacing w:before="240" w:after="0"/>
              <w:rPr>
                <w:rFonts w:eastAsia="Arial Unicode MS"/>
                <w:noProof/>
                <w:szCs w:val="24"/>
              </w:rPr>
            </w:pPr>
            <w:r>
              <w:rPr>
                <w:noProof/>
              </w:rPr>
              <w:t>La procédure de vérification du respect des dispositions géométriques visées dans cette section est définie à l’appendice 1.</w:t>
            </w:r>
          </w:p>
        </w:tc>
      </w:tr>
    </w:tbl>
    <w:p>
      <w:pPr>
        <w:spacing w:before="240"/>
        <w:ind w:left="1134" w:hanging="1134"/>
        <w:jc w:val="left"/>
        <w:rPr>
          <w:rFonts w:eastAsia="Arial Unicode MS"/>
          <w:b/>
          <w:bCs/>
          <w:noProof/>
          <w:szCs w:val="24"/>
        </w:rPr>
      </w:pPr>
      <w:r>
        <w:rPr>
          <w:noProof/>
        </w:rPr>
        <w:t>5.</w:t>
      </w:r>
      <w:r>
        <w:rPr>
          <w:noProof/>
        </w:rPr>
        <w:tab/>
      </w:r>
      <w:r>
        <w:rPr>
          <w:b/>
          <w:noProof/>
        </w:rPr>
        <w:t>Véhicules à usage spécial</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5"/>
        <w:gridCol w:w="1583"/>
        <w:gridCol w:w="702"/>
        <w:gridCol w:w="5857"/>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Nom</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noProof/>
              </w:rPr>
              <w:t>Code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Définition</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Autocaravane</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Un véhicule de catégorie M avec un compartiment habitable qui contient au moins l’équipement suivant:</w:t>
            </w:r>
          </w:p>
          <w:p>
            <w:pPr>
              <w:spacing w:before="0" w:after="0"/>
              <w:ind w:left="425" w:hanging="425"/>
              <w:rPr>
                <w:rFonts w:eastAsia="Arial Unicode MS"/>
                <w:noProof/>
                <w:szCs w:val="24"/>
              </w:rPr>
            </w:pPr>
            <w:r>
              <w:rPr>
                <w:noProof/>
              </w:rPr>
              <w:t>a)</w:t>
            </w:r>
            <w:r>
              <w:rPr>
                <w:noProof/>
              </w:rPr>
              <w:tab/>
              <w:t>des sièges et une table;</w:t>
            </w:r>
          </w:p>
          <w:p>
            <w:pPr>
              <w:spacing w:before="0" w:after="0"/>
              <w:ind w:left="425" w:hanging="425"/>
              <w:rPr>
                <w:rFonts w:eastAsia="Arial Unicode MS"/>
                <w:noProof/>
                <w:szCs w:val="24"/>
              </w:rPr>
            </w:pPr>
            <w:r>
              <w:rPr>
                <w:noProof/>
              </w:rPr>
              <w:t>b)</w:t>
            </w:r>
            <w:r>
              <w:rPr>
                <w:noProof/>
              </w:rPr>
              <w:tab/>
              <w:t>des couchettes (qui peuvent être obtenues en convertissant les sièges);</w:t>
            </w:r>
          </w:p>
          <w:p>
            <w:pPr>
              <w:spacing w:before="0" w:after="0"/>
              <w:ind w:left="425" w:hanging="425"/>
              <w:rPr>
                <w:rFonts w:eastAsia="Arial Unicode MS"/>
                <w:noProof/>
                <w:szCs w:val="24"/>
              </w:rPr>
            </w:pPr>
            <w:r>
              <w:rPr>
                <w:noProof/>
              </w:rPr>
              <w:t>c)</w:t>
            </w:r>
            <w:r>
              <w:rPr>
                <w:noProof/>
              </w:rPr>
              <w:tab/>
              <w:t>un coin cuisine;</w:t>
            </w:r>
          </w:p>
          <w:p>
            <w:pPr>
              <w:spacing w:before="0" w:after="0"/>
              <w:ind w:left="425" w:hanging="425"/>
              <w:rPr>
                <w:rFonts w:eastAsia="Arial Unicode MS"/>
                <w:noProof/>
                <w:szCs w:val="24"/>
              </w:rPr>
            </w:pPr>
            <w:r>
              <w:rPr>
                <w:noProof/>
              </w:rPr>
              <w:t>d)</w:t>
            </w:r>
            <w:r>
              <w:rPr>
                <w:noProof/>
              </w:rPr>
              <w:tab/>
              <w:t>des espaces de rangement.</w:t>
            </w:r>
          </w:p>
          <w:p>
            <w:pPr>
              <w:spacing w:before="60" w:after="60"/>
              <w:rPr>
                <w:rFonts w:eastAsia="Arial Unicode MS"/>
                <w:noProof/>
                <w:szCs w:val="24"/>
              </w:rPr>
            </w:pPr>
            <w:r>
              <w:rPr>
                <w:noProof/>
              </w:rPr>
              <w:t>Cet équipement doit être arrimé de façon rigide au compartiment habitable.</w:t>
            </w:r>
          </w:p>
          <w:p>
            <w:pPr>
              <w:spacing w:before="60"/>
              <w:rPr>
                <w:rFonts w:eastAsia="Arial Unicode MS"/>
                <w:noProof/>
                <w:szCs w:val="24"/>
              </w:rPr>
            </w:pPr>
            <w:r>
              <w:rPr>
                <w:noProof/>
              </w:rPr>
              <w:t>La table peut toutefois être conçue de manière à pouvoir être retirée facilement.</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Véhicule blindé</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véhicule destiné à la protection des personnes ou des marchandises transportées muni d’un blindage pare-balles.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Ambulance</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Un véhicule de la catégorie M destiné au transport de personnes malades ou blessées et spécialement équipé à cette fin.</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Corbillard</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véhicule de la catégorie M destiné au transport de personnes décédées et spécialement équipé à cette fin.</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Véhicule accessible en fauteuil roulant</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véhicule de catégorie M</w:t>
            </w:r>
            <w:r>
              <w:rPr>
                <w:noProof/>
                <w:vertAlign w:val="subscript"/>
              </w:rPr>
              <w:t>1</w:t>
            </w:r>
            <w:r>
              <w:rPr>
                <w:noProof/>
              </w:rPr>
              <w:t xml:space="preserve"> construit ou modifié spécialement de manière à recevoir, pour leur transport sur route, une ou plusieurs personnes en fauteuil roulant.</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lastRenderedPageBreak/>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Caravane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véhicule de la catégorie O tel que défini au point 3.2.1.3 de la norme ISO 3833: 1977.</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Grue mobile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véhicule de la catégorie N</w:t>
            </w:r>
            <w:r>
              <w:rPr>
                <w:noProof/>
                <w:vertAlign w:val="subscript"/>
              </w:rPr>
              <w:t>3</w:t>
            </w:r>
            <w:r>
              <w:rPr>
                <w:noProof/>
              </w:rPr>
              <w:t xml:space="preserve"> non équipé pour le transport de marchandises et muni d’une grue dont le couple de levage est égal ou supérieur à 400 kNm.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Groupe spécial</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 xml:space="preserve">Un véhicule à usage spécial qui n’entre dans aucune des définitions mentionnées dans la présente section. </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Dolly</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 xml:space="preserve">Un véhicule de catégorie O équipé d’une sellette d’attelage pour supporter une semi-remorque en vue de convertir cette dernière en une remorque. </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Remorque de transport de charges exceptionnelles</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Un véhicule de la catégorie O</w:t>
            </w:r>
            <w:r>
              <w:rPr>
                <w:noProof/>
                <w:vertAlign w:val="subscript"/>
              </w:rPr>
              <w:t>4</w:t>
            </w:r>
            <w:r>
              <w:rPr>
                <w:noProof/>
              </w:rPr>
              <w:t xml:space="preserve"> destiné au transport de chargements indivisibles faisant l’objet de restrictions en matière de vitesse et de trafic en raison de ses dimensions.</w:t>
            </w:r>
          </w:p>
          <w:p>
            <w:pPr>
              <w:spacing w:before="60"/>
              <w:rPr>
                <w:rFonts w:eastAsia="Arial Unicode MS"/>
                <w:noProof/>
                <w:szCs w:val="24"/>
              </w:rPr>
            </w:pPr>
            <w:r>
              <w:rPr>
                <w:noProof/>
              </w:rPr>
              <w:t>Ce terme recouvre également les remorques modulaires hydrauliques, quel que soit le nombre de modules.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Véhicule à moteur pour le transport de charges exceptionnelles</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Un tracteur routier ou une unité de traction pour semi-remorque de catégorie N</w:t>
            </w:r>
            <w:r>
              <w:rPr>
                <w:noProof/>
                <w:vertAlign w:val="subscript"/>
              </w:rPr>
              <w:t>3</w:t>
            </w:r>
            <w:r>
              <w:rPr>
                <w:noProof/>
              </w:rPr>
              <w:t xml:space="preserve"> répondant à l’ensemble des conditions suivantes:</w:t>
            </w:r>
          </w:p>
          <w:tbl>
            <w:tblPr>
              <w:tblW w:w="5000" w:type="pct"/>
              <w:tblCellSpacing w:w="0" w:type="dxa"/>
              <w:tblCellMar>
                <w:left w:w="0" w:type="dxa"/>
                <w:right w:w="0" w:type="dxa"/>
              </w:tblCellMar>
              <w:tblLook w:val="04A0" w:firstRow="1" w:lastRow="0" w:firstColumn="1" w:lastColumn="0" w:noHBand="0" w:noVBand="1"/>
            </w:tblPr>
            <w:tblGrid>
              <w:gridCol w:w="200"/>
              <w:gridCol w:w="5567"/>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le véhicule a plus de deux essieux, dont au moins la moitié (deux essieux sur trois dans le cas d’un véhicule à trois essieux et trois essieux sur cinq dans le cas d’un véhicule à cinq essieux) sont conçus pour être simultanément moteurs, que la motricité d’un essieu puisse être débrayée ou non;</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le véhicule est conçu pour tirer et pousser une remorque de transport de charges exceptionnelles de catégorie O</w:t>
                  </w:r>
                  <w:r>
                    <w:rPr>
                      <w:noProof/>
                      <w:vertAlign w:val="subscript"/>
                    </w:rPr>
                    <w:t>4</w:t>
                  </w:r>
                  <w:r>
                    <w:rPr>
                      <w:noProof/>
                    </w:rPr>
                    <w:t>;</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le moteur du véhicule a une puissance minimale de 350 kW;</w:t>
                  </w:r>
                </w:p>
              </w:tc>
            </w:tr>
            <w:tr>
              <w:trPr>
                <w:tblCellSpacing w:w="0" w:type="dxa"/>
              </w:trPr>
              <w:tc>
                <w:tcPr>
                  <w:tcW w:w="0" w:type="auto"/>
                  <w:hideMark/>
                </w:tcPr>
                <w:p>
                  <w:pPr>
                    <w:spacing w:after="0"/>
                    <w:rPr>
                      <w:rFonts w:eastAsia="Times New Roman"/>
                      <w:noProof/>
                      <w:szCs w:val="24"/>
                    </w:rPr>
                  </w:pPr>
                  <w:r>
                    <w:rPr>
                      <w:noProof/>
                    </w:rPr>
                    <w:t>d)</w:t>
                  </w:r>
                </w:p>
              </w:tc>
              <w:tc>
                <w:tcPr>
                  <w:tcW w:w="0" w:type="auto"/>
                  <w:hideMark/>
                </w:tcPr>
                <w:p>
                  <w:pPr>
                    <w:spacing w:after="0"/>
                    <w:rPr>
                      <w:rFonts w:eastAsia="Times New Roman"/>
                      <w:noProof/>
                      <w:szCs w:val="24"/>
                    </w:rPr>
                  </w:pPr>
                  <w:r>
                    <w:rPr>
                      <w:noProof/>
                    </w:rPr>
                    <w:t>le véhicule peut être équipé d’un dispositif d’attelage avant supplémentaire pour masses tractables lourdes.</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lastRenderedPageBreak/>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Véhicule porte-équipements</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Un véhicule hors route de catégorie N (tel que défini au point 2.3) conçu et construit pour tirer, pousser, porter et actionner certains équipements interchangeables,</w:t>
            </w:r>
          </w:p>
          <w:tbl>
            <w:tblPr>
              <w:tblW w:w="5000" w:type="pct"/>
              <w:tblCellSpacing w:w="0" w:type="dxa"/>
              <w:tblCellMar>
                <w:left w:w="0" w:type="dxa"/>
                <w:right w:w="0" w:type="dxa"/>
              </w:tblCellMar>
              <w:tblLook w:val="04A0" w:firstRow="1" w:lastRow="0" w:firstColumn="1" w:lastColumn="0" w:noHBand="0" w:noVBand="1"/>
            </w:tblPr>
            <w:tblGrid>
              <w:gridCol w:w="200"/>
              <w:gridCol w:w="5567"/>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possédant au moins deux zones de montage pour ces équipements,</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muni d’interfaces mécaniques, hydrauliques et/ou électriques normalisées (par exemple, prise de force) pour alimenter et actionner les équipements interchangeables et</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répondant à la définition du paragraphe 3.1.4 (véhicule spécial) de la norme ISO 3833-1977.</w:t>
                  </w:r>
                </w:p>
              </w:tc>
            </w:tr>
          </w:tbl>
          <w:p>
            <w:pPr>
              <w:spacing w:before="60" w:after="60"/>
              <w:rPr>
                <w:rFonts w:eastAsia="Times New Roman"/>
                <w:noProof/>
                <w:szCs w:val="24"/>
              </w:rPr>
            </w:pPr>
            <w:r>
              <w:rPr>
                <w:noProof/>
              </w:rPr>
              <w:t>Si le véhicule est équipé d’un plateau de chargement auxiliaire, sa longueur maximale ne doit pas excéder:</w:t>
            </w:r>
          </w:p>
          <w:tbl>
            <w:tblPr>
              <w:tblW w:w="5000" w:type="pct"/>
              <w:tblCellSpacing w:w="0" w:type="dxa"/>
              <w:tblCellMar>
                <w:left w:w="0" w:type="dxa"/>
                <w:right w:w="0" w:type="dxa"/>
              </w:tblCellMar>
              <w:tblLook w:val="04A0" w:firstRow="1" w:lastRow="0" w:firstColumn="1" w:lastColumn="0" w:noHBand="0" w:noVBand="1"/>
            </w:tblPr>
            <w:tblGrid>
              <w:gridCol w:w="200"/>
              <w:gridCol w:w="5567"/>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1,4 fois la largeur de voie avant ou arrière du véhicule, selon celle des deux qui est la plus grande, dans le cas de véhicules à deux essieux, ou</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2,0 fois la largeur de voie avant ou arrière du véhicule, selon celle des deux qui est la plus grande, dans le cas de véhicules ayant plus de deux essieux.</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noProof/>
        </w:rPr>
        <w:t>6.</w:t>
      </w:r>
      <w:r>
        <w:rPr>
          <w:noProof/>
        </w:rPr>
        <w:tab/>
      </w:r>
      <w:r>
        <w:rPr>
          <w:b/>
          <w:noProof/>
        </w:rPr>
        <w:t>Remarques</w:t>
      </w:r>
    </w:p>
    <w:tbl>
      <w:tblPr>
        <w:tblW w:w="5000" w:type="pct"/>
        <w:tblCellSpacing w:w="0" w:type="dxa"/>
        <w:tblCellMar>
          <w:left w:w="0" w:type="dxa"/>
          <w:right w:w="0" w:type="dxa"/>
        </w:tblCellMar>
        <w:tblLook w:val="04A0" w:firstRow="1" w:lastRow="0" w:firstColumn="1" w:lastColumn="0" w:noHBand="0" w:noVBand="1"/>
      </w:tblPr>
      <w:tblGrid>
        <w:gridCol w:w="1419"/>
        <w:gridCol w:w="7652"/>
      </w:tblGrid>
      <w:tr>
        <w:trPr>
          <w:tblCellSpacing w:w="0" w:type="dxa"/>
        </w:trPr>
        <w:tc>
          <w:tcPr>
            <w:tcW w:w="782" w:type="pct"/>
            <w:hideMark/>
          </w:tcPr>
          <w:p>
            <w:pPr>
              <w:spacing w:after="0"/>
              <w:rPr>
                <w:rFonts w:eastAsia="Arial Unicode MS"/>
                <w:noProof/>
                <w:szCs w:val="24"/>
              </w:rPr>
            </w:pPr>
            <w:r>
              <w:rPr>
                <w:noProof/>
              </w:rPr>
              <w:t>6.1.</w:t>
            </w:r>
          </w:p>
        </w:tc>
        <w:tc>
          <w:tcPr>
            <w:tcW w:w="4218" w:type="pct"/>
            <w:hideMark/>
          </w:tcPr>
          <w:p>
            <w:pPr>
              <w:spacing w:before="60" w:after="0"/>
              <w:rPr>
                <w:rFonts w:eastAsia="Arial Unicode MS"/>
                <w:noProof/>
                <w:szCs w:val="24"/>
              </w:rPr>
            </w:pPr>
            <w:r>
              <w:rPr>
                <w:noProof/>
              </w:rPr>
              <w:t>La réception par type n’est pas délivrée:</w:t>
            </w:r>
          </w:p>
          <w:p>
            <w:pPr>
              <w:spacing w:before="60" w:after="0"/>
              <w:ind w:left="284" w:hanging="284"/>
              <w:rPr>
                <w:rFonts w:eastAsia="Arial Unicode MS"/>
                <w:noProof/>
                <w:szCs w:val="24"/>
              </w:rPr>
            </w:pPr>
            <w:r>
              <w:rPr>
                <w:noProof/>
              </w:rPr>
              <w:t xml:space="preserve">a) </w:t>
            </w:r>
            <w:r>
              <w:rPr>
                <w:noProof/>
              </w:rPr>
              <w:tab/>
              <w:t>à un dolly, tel que défini dans la section 5 de la partie A;</w:t>
            </w:r>
          </w:p>
          <w:p>
            <w:pPr>
              <w:spacing w:before="60" w:after="0"/>
              <w:ind w:left="284" w:hanging="284"/>
              <w:rPr>
                <w:rFonts w:eastAsia="Arial Unicode MS"/>
                <w:noProof/>
                <w:szCs w:val="24"/>
              </w:rPr>
            </w:pPr>
            <w:r>
              <w:rPr>
                <w:noProof/>
              </w:rPr>
              <w:t xml:space="preserve">b) </w:t>
            </w:r>
            <w:r>
              <w:rPr>
                <w:noProof/>
              </w:rPr>
              <w:tab/>
              <w:t>aux remorques à timon rigide, telles que définies dans la section 4 de la partie C;</w:t>
            </w:r>
          </w:p>
          <w:p>
            <w:pPr>
              <w:spacing w:before="60" w:after="0"/>
              <w:ind w:left="284" w:hanging="284"/>
              <w:rPr>
                <w:rFonts w:eastAsia="Arial Unicode MS"/>
                <w:noProof/>
                <w:szCs w:val="24"/>
              </w:rPr>
            </w:pPr>
            <w:r>
              <w:rPr>
                <w:noProof/>
              </w:rPr>
              <w:t xml:space="preserve">c) </w:t>
            </w:r>
            <w:r>
              <w:rPr>
                <w:noProof/>
              </w:rPr>
              <w:tab/>
              <w:t>aux remorques qui, lorsqu’elles circulent sur la route, peuvent transporter des personnes.</w:t>
            </w:r>
          </w:p>
        </w:tc>
      </w:tr>
      <w:tr>
        <w:trPr>
          <w:tblCellSpacing w:w="0" w:type="dxa"/>
        </w:trPr>
        <w:tc>
          <w:tcPr>
            <w:tcW w:w="782" w:type="pct"/>
            <w:hideMark/>
          </w:tcPr>
          <w:p>
            <w:pPr>
              <w:spacing w:after="0"/>
              <w:rPr>
                <w:rFonts w:eastAsia="Arial Unicode MS"/>
                <w:noProof/>
                <w:szCs w:val="24"/>
              </w:rPr>
            </w:pPr>
            <w:r>
              <w:rPr>
                <w:noProof/>
              </w:rPr>
              <w:t>6.2.</w:t>
            </w:r>
          </w:p>
        </w:tc>
        <w:tc>
          <w:tcPr>
            <w:tcW w:w="4218" w:type="pct"/>
            <w:hideMark/>
          </w:tcPr>
          <w:p>
            <w:pPr>
              <w:spacing w:after="0"/>
              <w:rPr>
                <w:rFonts w:eastAsia="Arial Unicode MS"/>
                <w:noProof/>
                <w:szCs w:val="24"/>
              </w:rPr>
            </w:pPr>
            <w:r>
              <w:rPr>
                <w:noProof/>
              </w:rPr>
              <w:t>Le point 6.1 est sans préjudice des dispositions de l’article 40 concernant la réception nationale par type pour des véhicules produits en petites séries.</w:t>
            </w:r>
          </w:p>
        </w:tc>
      </w:tr>
    </w:tbl>
    <w:p>
      <w:pPr>
        <w:spacing w:before="0"/>
        <w:jc w:val="center"/>
        <w:rPr>
          <w:noProof/>
        </w:rPr>
      </w:pPr>
      <w:r>
        <w:rPr>
          <w:noProof/>
        </w:rPr>
        <w:br w:type="page"/>
      </w:r>
      <w:r>
        <w:rPr>
          <w:noProof/>
        </w:rPr>
        <w:lastRenderedPageBreak/>
        <w:t>PARTIE B</w:t>
      </w:r>
    </w:p>
    <w:p>
      <w:pPr>
        <w:spacing w:before="240" w:after="240"/>
        <w:jc w:val="center"/>
        <w:rPr>
          <w:rFonts w:eastAsia="Arial Unicode MS"/>
          <w:i/>
          <w:iCs/>
          <w:noProof/>
          <w:szCs w:val="24"/>
        </w:rPr>
      </w:pPr>
      <w:r>
        <w:rPr>
          <w:b/>
          <w:noProof/>
        </w:rPr>
        <w:t>Critères pour les types de véhicule, variantes et versions</w:t>
      </w:r>
      <w:r>
        <w:rPr>
          <w:i/>
          <w:noProof/>
        </w:rPr>
        <w:t xml:space="preserve"> </w:t>
      </w:r>
    </w:p>
    <w:p>
      <w:pPr>
        <w:ind w:left="1134" w:hanging="1134"/>
        <w:jc w:val="left"/>
        <w:rPr>
          <w:rFonts w:eastAsia="Arial Unicode MS"/>
          <w:b/>
          <w:bCs/>
          <w:noProof/>
          <w:szCs w:val="24"/>
        </w:rPr>
      </w:pPr>
      <w:r>
        <w:rPr>
          <w:noProof/>
        </w:rPr>
        <w:t>1.</w:t>
      </w:r>
      <w:r>
        <w:rPr>
          <w:noProof/>
        </w:rPr>
        <w:tab/>
      </w:r>
      <w:r>
        <w:rPr>
          <w:b/>
          <w:noProof/>
        </w:rPr>
        <w:t>Catégorie M</w:t>
      </w:r>
      <w:r>
        <w:rPr>
          <w:b/>
          <w:noProof/>
          <w:vertAlign w:val="subscript"/>
        </w:rPr>
        <w:t>1</w:t>
      </w:r>
      <w:r>
        <w:rPr>
          <w:b/>
          <w:noProof/>
        </w:rPr>
        <w:t xml:space="preserve"> </w:t>
      </w:r>
    </w:p>
    <w:p>
      <w:pPr>
        <w:spacing w:before="240"/>
        <w:ind w:left="1134" w:hanging="1134"/>
        <w:jc w:val="left"/>
        <w:rPr>
          <w:rFonts w:eastAsia="Arial Unicode MS"/>
          <w:bCs/>
          <w:noProof/>
          <w:szCs w:val="24"/>
        </w:rPr>
      </w:pPr>
      <w:r>
        <w:rPr>
          <w:noProof/>
        </w:rPr>
        <w:t>1.1.</w:t>
      </w:r>
      <w:r>
        <w:rPr>
          <w:noProof/>
        </w:rPr>
        <w:tab/>
        <w:t xml:space="preserve">Type de véhicule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Par «type de véhicule», on entend les véhicules qui ont en commun les éléments suivants:</w:t>
            </w:r>
          </w:p>
          <w:p>
            <w:pPr>
              <w:spacing w:after="0"/>
              <w:ind w:left="567" w:hanging="567"/>
              <w:rPr>
                <w:rFonts w:eastAsia="Arial Unicode MS"/>
                <w:noProof/>
                <w:szCs w:val="24"/>
              </w:rPr>
            </w:pPr>
            <w:r>
              <w:rPr>
                <w:noProof/>
              </w:rPr>
              <w:t>a)</w:t>
            </w:r>
            <w:r>
              <w:rPr>
                <w:noProof/>
              </w:rPr>
              <w:tab/>
              <w:t>le nom de la société du constructeur.</w:t>
            </w:r>
          </w:p>
          <w:p>
            <w:pPr>
              <w:ind w:left="567"/>
              <w:rPr>
                <w:rFonts w:eastAsia="Arial Unicode MS"/>
                <w:noProof/>
                <w:szCs w:val="24"/>
              </w:rPr>
            </w:pPr>
            <w:r>
              <w:rPr>
                <w:noProof/>
              </w:rPr>
              <w:t>Une modification de la forme juridique de propriété de la société ne requiert pas la délivrance d’une nouvelle réception;</w:t>
            </w:r>
          </w:p>
          <w:p>
            <w:pPr>
              <w:spacing w:after="0"/>
              <w:ind w:left="567" w:hanging="567"/>
              <w:rPr>
                <w:rFonts w:eastAsia="Arial Unicode MS"/>
                <w:noProof/>
                <w:szCs w:val="24"/>
              </w:rPr>
            </w:pPr>
            <w:r>
              <w:rPr>
                <w:noProof/>
              </w:rPr>
              <w:t>b)</w:t>
            </w:r>
            <w:r>
              <w:rPr>
                <w:noProof/>
              </w:rPr>
              <w:tab/>
              <w:t>la conception et l’assemblage des pièces essentielles de la structure de la carrosserie dans le cas d’une structure autoportante.</w:t>
            </w:r>
          </w:p>
          <w:p>
            <w:pPr>
              <w:spacing w:after="0"/>
              <w:ind w:left="567"/>
              <w:rPr>
                <w:rFonts w:eastAsia="Arial Unicode MS"/>
                <w:strike/>
                <w:noProof/>
                <w:szCs w:val="24"/>
              </w:rPr>
            </w:pPr>
            <w:r>
              <w:rPr>
                <w:noProof/>
              </w:rPr>
              <w:t>Cette disposition s’applique également aux véhicules dont la carrosserie est boulonnée ou soudée à un cadre distinct.</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Par dérogation aux prescriptions du point 1.1.1. b), lorsque le constructeur utilise la partie plancher de la structure de la carrosserie, ainsi que les éléments constitutifs essentiels formant la partie avant de la structure de la carrosserie située directement devant le pare-brise, dans la construction de différents types de carrosserie (par exemple, une berline et un coupé), ces véhicules peuvent être considérés comme appartenant au même type. Le constructeur en apporte la preuve.</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Un type se compose d’au moins une variante et une version.</w:t>
            </w:r>
          </w:p>
        </w:tc>
      </w:tr>
    </w:tbl>
    <w:p>
      <w:pPr>
        <w:spacing w:before="240"/>
        <w:ind w:left="1134" w:hanging="1134"/>
        <w:jc w:val="left"/>
        <w:rPr>
          <w:rFonts w:eastAsia="Arial Unicode MS"/>
          <w:bCs/>
          <w:noProof/>
          <w:szCs w:val="24"/>
        </w:rPr>
      </w:pPr>
      <w:r>
        <w:rPr>
          <w:noProof/>
        </w:rPr>
        <w:t>1.2.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 xml:space="preserve">Par «variante» au sein d’un type de véhicule, on entend les véhicules qui ont en commun les caractéristiques de construction suivantes: </w:t>
            </w:r>
          </w:p>
          <w:p>
            <w:pPr>
              <w:spacing w:after="0"/>
              <w:ind w:left="571" w:hanging="567"/>
              <w:rPr>
                <w:rFonts w:eastAsia="Arial Unicode MS"/>
                <w:noProof/>
                <w:szCs w:val="24"/>
              </w:rPr>
            </w:pPr>
            <w:r>
              <w:rPr>
                <w:noProof/>
              </w:rPr>
              <w:t>a)</w:t>
            </w:r>
            <w:r>
              <w:rPr>
                <w:noProof/>
              </w:rPr>
              <w:tab/>
              <w:t>le nombre de portes latérales ou le type de carrosserie tel que défini dans la section 2 de la partie C lorsque le constructeur utilise le critère du point 1.1.2;</w:t>
            </w:r>
          </w:p>
          <w:p>
            <w:pPr>
              <w:spacing w:after="0"/>
              <w:ind w:left="571" w:hanging="567"/>
              <w:rPr>
                <w:rFonts w:eastAsia="Arial Unicode MS"/>
                <w:noProof/>
                <w:szCs w:val="24"/>
              </w:rPr>
            </w:pPr>
            <w:r>
              <w:rPr>
                <w:noProof/>
              </w:rPr>
              <w:t>b) </w:t>
            </w:r>
            <w:r>
              <w:rPr>
                <w:noProof/>
              </w:rPr>
              <w:tab/>
              <w:t>le groupe moteur, en ce qui concerne les caractéristiques de construction suivantes:</w:t>
            </w:r>
          </w:p>
          <w:p>
            <w:pPr>
              <w:spacing w:after="0"/>
              <w:ind w:left="1138" w:hanging="567"/>
              <w:rPr>
                <w:rFonts w:eastAsia="Arial Unicode MS"/>
                <w:noProof/>
                <w:szCs w:val="24"/>
              </w:rPr>
            </w:pPr>
            <w:r>
              <w:rPr>
                <w:noProof/>
              </w:rPr>
              <w:t>i)</w:t>
            </w:r>
            <w:r>
              <w:rPr>
                <w:noProof/>
              </w:rPr>
              <w:tab/>
              <w:t>le type d’alimentation en énergie (moteur à combustion interne, moteur électrique ou autre);</w:t>
            </w:r>
          </w:p>
          <w:p>
            <w:pPr>
              <w:spacing w:after="0"/>
              <w:ind w:left="1138" w:hanging="567"/>
              <w:rPr>
                <w:rFonts w:eastAsia="Arial Unicode MS"/>
                <w:noProof/>
                <w:szCs w:val="24"/>
              </w:rPr>
            </w:pPr>
            <w:r>
              <w:rPr>
                <w:noProof/>
              </w:rPr>
              <w:t>ii)</w:t>
            </w:r>
            <w:r>
              <w:rPr>
                <w:noProof/>
              </w:rPr>
              <w:tab/>
              <w:t>le principe de fonctionnement (allumage commandé, allumage par compression ou autre);</w:t>
            </w:r>
          </w:p>
          <w:p>
            <w:pPr>
              <w:spacing w:after="0"/>
              <w:ind w:left="1138" w:hanging="567"/>
              <w:rPr>
                <w:rFonts w:eastAsia="Arial Unicode MS"/>
                <w:noProof/>
                <w:szCs w:val="24"/>
              </w:rPr>
            </w:pPr>
            <w:r>
              <w:rPr>
                <w:noProof/>
              </w:rPr>
              <w:t>iii)</w:t>
            </w:r>
            <w:r>
              <w:rPr>
                <w:noProof/>
              </w:rPr>
              <w:tab/>
              <w:t>le nombre et la disposition des cylindres dans le cas d’un moteur à combustion interne (L4, V6 ou autre);</w:t>
            </w:r>
          </w:p>
          <w:p>
            <w:pPr>
              <w:spacing w:after="0"/>
              <w:ind w:left="571" w:hanging="567"/>
              <w:rPr>
                <w:rFonts w:eastAsia="Arial Unicode MS"/>
                <w:noProof/>
                <w:szCs w:val="24"/>
              </w:rPr>
            </w:pPr>
            <w:r>
              <w:rPr>
                <w:noProof/>
              </w:rPr>
              <w:t>c)</w:t>
            </w:r>
            <w:r>
              <w:rPr>
                <w:noProof/>
              </w:rPr>
              <w:tab/>
              <w:t>le nombre d’essieux;</w:t>
            </w:r>
          </w:p>
          <w:p>
            <w:pPr>
              <w:spacing w:after="0"/>
              <w:ind w:left="571" w:hanging="567"/>
              <w:rPr>
                <w:rFonts w:eastAsia="Arial Unicode MS"/>
                <w:noProof/>
                <w:szCs w:val="24"/>
              </w:rPr>
            </w:pPr>
            <w:r>
              <w:rPr>
                <w:noProof/>
              </w:rPr>
              <w:t>d)</w:t>
            </w:r>
            <w:r>
              <w:rPr>
                <w:noProof/>
              </w:rPr>
              <w:tab/>
              <w:t>le nombre et l’interconnexion des essieux moteurs;</w:t>
            </w:r>
          </w:p>
          <w:p>
            <w:pPr>
              <w:spacing w:after="0"/>
              <w:ind w:left="571" w:hanging="567"/>
              <w:rPr>
                <w:rFonts w:eastAsia="Arial Unicode MS"/>
                <w:noProof/>
                <w:szCs w:val="24"/>
              </w:rPr>
            </w:pPr>
            <w:r>
              <w:rPr>
                <w:noProof/>
              </w:rPr>
              <w:lastRenderedPageBreak/>
              <w:t>e)</w:t>
            </w:r>
            <w:r>
              <w:rPr>
                <w:noProof/>
              </w:rPr>
              <w:tab/>
              <w:t>le nombre d’essieux directeurs;</w:t>
            </w:r>
          </w:p>
          <w:p>
            <w:pPr>
              <w:spacing w:after="0"/>
              <w:ind w:left="571" w:hanging="567"/>
              <w:rPr>
                <w:rFonts w:eastAsia="Arial Unicode MS"/>
                <w:noProof/>
                <w:szCs w:val="24"/>
              </w:rPr>
            </w:pPr>
            <w:r>
              <w:rPr>
                <w:noProof/>
              </w:rPr>
              <w:t>f)</w:t>
            </w:r>
            <w:r>
              <w:rPr>
                <w:noProof/>
              </w:rPr>
              <w:tab/>
              <w:t>le stade d’achèvement (par exemple, complet/incomplet);</w:t>
            </w:r>
          </w:p>
          <w:p>
            <w:pPr>
              <w:spacing w:after="0"/>
              <w:ind w:left="571" w:hanging="567"/>
              <w:rPr>
                <w:rFonts w:eastAsia="Arial Unicode MS"/>
                <w:noProof/>
                <w:szCs w:val="24"/>
              </w:rPr>
            </w:pPr>
            <w:r>
              <w:rPr>
                <w:noProof/>
              </w:rPr>
              <w:t>g)</w:t>
            </w:r>
            <w:r>
              <w:rPr>
                <w:noProof/>
              </w:rPr>
              <w:tab/>
              <w:t>dans le cas de véhicules construits en plusieurs étapes, le constructeur et le type du véhicule de l’étape antérieure.</w:t>
            </w:r>
          </w:p>
        </w:tc>
      </w:tr>
    </w:tbl>
    <w:p>
      <w:pPr>
        <w:rPr>
          <w:noProof/>
        </w:rPr>
      </w:pPr>
      <w:r>
        <w:rPr>
          <w:noProof/>
        </w:rPr>
        <w:lastRenderedPageBreak/>
        <w:t>1.3.</w:t>
      </w:r>
      <w:r>
        <w:rPr>
          <w:noProof/>
        </w:rPr>
        <w:tab/>
        <w:t xml:space="preserve">Version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Par «version» à l’intérieur d’une variante, on entend les véhicules ayant en commun les caractéristiques suivantes:</w:t>
            </w:r>
          </w:p>
          <w:p>
            <w:pPr>
              <w:spacing w:after="0"/>
              <w:ind w:left="567" w:hanging="567"/>
              <w:rPr>
                <w:rFonts w:eastAsia="Arial Unicode MS"/>
                <w:noProof/>
                <w:szCs w:val="24"/>
              </w:rPr>
            </w:pPr>
            <w:r>
              <w:rPr>
                <w:noProof/>
              </w:rPr>
              <w:t>a)</w:t>
            </w:r>
            <w:r>
              <w:rPr>
                <w:noProof/>
              </w:rPr>
              <w:tab/>
              <w:t>la masse en charge maximale techniquement admissible;</w:t>
            </w:r>
          </w:p>
          <w:p>
            <w:pPr>
              <w:spacing w:after="0"/>
              <w:ind w:left="567" w:hanging="567"/>
              <w:rPr>
                <w:rFonts w:eastAsia="Arial Unicode MS"/>
                <w:noProof/>
                <w:szCs w:val="24"/>
              </w:rPr>
            </w:pPr>
            <w:r>
              <w:rPr>
                <w:noProof/>
              </w:rPr>
              <w:t>b)</w:t>
            </w:r>
            <w:r>
              <w:rPr>
                <w:noProof/>
              </w:rPr>
              <w:tab/>
              <w:t>la cylindrée dans le cas d’un moteur à combustion interne;</w:t>
            </w:r>
          </w:p>
          <w:p>
            <w:pPr>
              <w:spacing w:after="0"/>
              <w:ind w:left="567" w:hanging="567"/>
              <w:rPr>
                <w:rFonts w:eastAsia="Arial Unicode MS"/>
                <w:noProof/>
                <w:szCs w:val="24"/>
              </w:rPr>
            </w:pPr>
            <w:r>
              <w:rPr>
                <w:noProof/>
              </w:rPr>
              <w:t>c)</w:t>
            </w:r>
            <w:r>
              <w:rPr>
                <w:noProof/>
              </w:rPr>
              <w:tab/>
              <w:t>la puissance de sortie maximale du moteur ou la puissance nominale continue maximale (moteur électrique);</w:t>
            </w:r>
          </w:p>
          <w:p>
            <w:pPr>
              <w:spacing w:after="0"/>
              <w:ind w:left="567" w:hanging="567"/>
              <w:rPr>
                <w:rFonts w:eastAsia="Arial Unicode MS"/>
                <w:noProof/>
                <w:szCs w:val="24"/>
              </w:rPr>
            </w:pPr>
            <w:r>
              <w:rPr>
                <w:noProof/>
              </w:rPr>
              <w:t>d)</w:t>
            </w:r>
            <w:r>
              <w:rPr>
                <w:noProof/>
              </w:rPr>
              <w:tab/>
              <w:t>la nature du carburant (essence, gazole, GPL, bicarburant ou autre);</w:t>
            </w:r>
          </w:p>
          <w:p>
            <w:pPr>
              <w:spacing w:after="0"/>
              <w:ind w:left="567" w:hanging="567"/>
              <w:rPr>
                <w:rFonts w:eastAsia="Arial Unicode MS"/>
                <w:noProof/>
                <w:szCs w:val="24"/>
              </w:rPr>
            </w:pPr>
            <w:r>
              <w:rPr>
                <w:noProof/>
              </w:rPr>
              <w:t>e)</w:t>
            </w:r>
            <w:r>
              <w:rPr>
                <w:noProof/>
              </w:rPr>
              <w:tab/>
              <w:t>le nombre maximal de places assises;</w:t>
            </w:r>
          </w:p>
          <w:p>
            <w:pPr>
              <w:spacing w:after="0"/>
              <w:ind w:left="567" w:hanging="567"/>
              <w:rPr>
                <w:rFonts w:eastAsia="Arial Unicode MS"/>
                <w:noProof/>
                <w:szCs w:val="24"/>
              </w:rPr>
            </w:pPr>
            <w:r>
              <w:rPr>
                <w:noProof/>
              </w:rPr>
              <w:t>f)</w:t>
            </w:r>
            <w:r>
              <w:rPr>
                <w:noProof/>
              </w:rPr>
              <w:tab/>
              <w:t>le niveau sonore du véhicule en marche (passage);</w:t>
            </w:r>
          </w:p>
          <w:p>
            <w:pPr>
              <w:spacing w:after="0"/>
              <w:ind w:left="567" w:hanging="567"/>
              <w:rPr>
                <w:rFonts w:eastAsia="Arial Unicode MS"/>
                <w:noProof/>
                <w:szCs w:val="24"/>
              </w:rPr>
            </w:pPr>
            <w:r>
              <w:rPr>
                <w:noProof/>
              </w:rPr>
              <w:t>g)</w:t>
            </w:r>
            <w:r>
              <w:rPr>
                <w:noProof/>
              </w:rPr>
              <w:tab/>
              <w:t>le niveau des émissions d’échappement (par exemple, Euro 5, Euro 6 ou autre);</w:t>
            </w:r>
          </w:p>
          <w:p>
            <w:pPr>
              <w:spacing w:after="0"/>
              <w:ind w:left="567" w:hanging="567"/>
              <w:rPr>
                <w:rFonts w:eastAsia="Arial Unicode MS"/>
                <w:noProof/>
                <w:szCs w:val="24"/>
              </w:rPr>
            </w:pPr>
            <w:r>
              <w:rPr>
                <w:noProof/>
              </w:rPr>
              <w:t>h)</w:t>
            </w:r>
            <w:r>
              <w:rPr>
                <w:noProof/>
              </w:rPr>
              <w:tab/>
              <w:t>les émissions combinées de CO</w:t>
            </w:r>
            <w:r>
              <w:rPr>
                <w:noProof/>
                <w:vertAlign w:val="subscript"/>
              </w:rPr>
              <w:t>2</w:t>
            </w:r>
            <w:r>
              <w:rPr>
                <w:noProof/>
              </w:rPr>
              <w:t xml:space="preserve"> en conditions mixtes ou pondérées;</w:t>
            </w:r>
          </w:p>
          <w:p>
            <w:pPr>
              <w:spacing w:after="0"/>
              <w:ind w:left="567" w:hanging="567"/>
              <w:rPr>
                <w:rFonts w:eastAsia="Arial Unicode MS"/>
                <w:noProof/>
                <w:szCs w:val="24"/>
              </w:rPr>
            </w:pPr>
            <w:r>
              <w:rPr>
                <w:noProof/>
              </w:rPr>
              <w:t>i)</w:t>
            </w:r>
            <w:r>
              <w:rPr>
                <w:noProof/>
              </w:rPr>
              <w:tab/>
              <w:t>la consommation d’énergie électrique (pondérée, conditions mixtes);</w:t>
            </w:r>
          </w:p>
          <w:p>
            <w:pPr>
              <w:spacing w:after="0"/>
              <w:ind w:left="567" w:hanging="567"/>
              <w:rPr>
                <w:rFonts w:eastAsia="Arial Unicode MS"/>
                <w:noProof/>
                <w:szCs w:val="24"/>
              </w:rPr>
            </w:pPr>
            <w:r>
              <w:rPr>
                <w:noProof/>
              </w:rPr>
              <w:t xml:space="preserve">j) </w:t>
            </w:r>
            <w:r>
              <w:rPr>
                <w:noProof/>
              </w:rPr>
              <w:tab/>
              <w:t>la consommation combinée de carburant en conditions mixtes ou pondérée;</w:t>
            </w:r>
          </w:p>
          <w:p>
            <w:pPr>
              <w:spacing w:after="0"/>
              <w:ind w:left="567" w:hanging="567"/>
              <w:rPr>
                <w:rFonts w:eastAsia="Arial Unicode MS"/>
                <w:noProof/>
                <w:szCs w:val="24"/>
              </w:rPr>
            </w:pPr>
            <w:r>
              <w:rPr>
                <w:noProof/>
              </w:rPr>
              <w:t>k)</w:t>
            </w:r>
            <w:r>
              <w:rPr>
                <w:noProof/>
              </w:rPr>
              <w:tab/>
              <w:t>l’existence d’un ensemble unique de technologies innovantes, tel que spécifié à l’article 12 du règlement (CE) n</w:t>
            </w:r>
            <w:r>
              <w:rPr>
                <w:noProof/>
                <w:vertAlign w:val="superscript"/>
              </w:rPr>
              <w:t>o</w:t>
            </w:r>
            <w:r>
              <w:rPr>
                <w:noProof/>
              </w:rPr>
              <w:t> 443/2009.</w:t>
            </w:r>
          </w:p>
        </w:tc>
      </w:tr>
    </w:tbl>
    <w:p>
      <w:pPr>
        <w:spacing w:before="240"/>
        <w:ind w:left="1134" w:hanging="1134"/>
        <w:jc w:val="left"/>
        <w:rPr>
          <w:rFonts w:eastAsia="Arial Unicode MS"/>
          <w:b/>
          <w:bCs/>
          <w:noProof/>
          <w:szCs w:val="24"/>
        </w:rPr>
      </w:pPr>
      <w:r>
        <w:rPr>
          <w:noProof/>
        </w:rPr>
        <w:t>2.</w:t>
      </w:r>
      <w:r>
        <w:rPr>
          <w:noProof/>
        </w:rPr>
        <w:tab/>
      </w:r>
      <w:r>
        <w:rPr>
          <w:b/>
          <w:noProof/>
        </w:rPr>
        <w:t>Catégories M</w:t>
      </w:r>
      <w:r>
        <w:rPr>
          <w:b/>
          <w:noProof/>
          <w:vertAlign w:val="subscript"/>
        </w:rPr>
        <w:t>2</w:t>
      </w:r>
      <w:r>
        <w:rPr>
          <w:b/>
          <w:noProof/>
        </w:rPr>
        <w:t xml:space="preserve"> et M</w:t>
      </w:r>
      <w:r>
        <w:rPr>
          <w:b/>
          <w:noProof/>
          <w:vertAlign w:val="subscript"/>
        </w:rPr>
        <w:t>3</w:t>
      </w:r>
      <w:r>
        <w:rPr>
          <w:b/>
          <w:noProof/>
        </w:rPr>
        <w:t xml:space="preserve"> </w:t>
      </w:r>
    </w:p>
    <w:p>
      <w:pPr>
        <w:spacing w:before="240"/>
        <w:ind w:left="1134" w:hanging="1134"/>
        <w:jc w:val="left"/>
        <w:rPr>
          <w:rFonts w:eastAsia="Arial Unicode MS"/>
          <w:bCs/>
          <w:noProof/>
          <w:szCs w:val="24"/>
        </w:rPr>
      </w:pPr>
      <w:r>
        <w:rPr>
          <w:noProof/>
        </w:rPr>
        <w:t>2.1.</w:t>
      </w:r>
      <w:r>
        <w:rPr>
          <w:noProof/>
        </w:rPr>
        <w:tab/>
        <w:t xml:space="preserve">Type de véhicule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Par «type de véhicule», on entend les véhicules qui ont en commun les éléments suivants:</w:t>
            </w:r>
          </w:p>
          <w:p>
            <w:pPr>
              <w:spacing w:after="0"/>
              <w:ind w:left="567" w:hanging="567"/>
              <w:rPr>
                <w:rFonts w:eastAsia="Arial Unicode MS"/>
                <w:noProof/>
                <w:szCs w:val="24"/>
              </w:rPr>
            </w:pPr>
            <w:r>
              <w:rPr>
                <w:noProof/>
              </w:rPr>
              <w:t>a)</w:t>
            </w:r>
            <w:r>
              <w:rPr>
                <w:noProof/>
              </w:rPr>
              <w:tab/>
              <w:t>le nom de la société du constructeur.</w:t>
            </w:r>
          </w:p>
          <w:p>
            <w:pPr>
              <w:ind w:left="567"/>
              <w:rPr>
                <w:rFonts w:eastAsia="Arial Unicode MS"/>
                <w:noProof/>
                <w:szCs w:val="24"/>
              </w:rPr>
            </w:pPr>
            <w:r>
              <w:rPr>
                <w:noProof/>
              </w:rPr>
              <w:t>Une modification de la forme juridique de propriété de la société ne requiert pas la délivrance d’une nouvelle réception;</w:t>
            </w:r>
          </w:p>
          <w:p>
            <w:pPr>
              <w:spacing w:after="0"/>
              <w:ind w:left="567" w:hanging="567"/>
              <w:rPr>
                <w:rFonts w:eastAsia="Arial Unicode MS"/>
                <w:noProof/>
                <w:szCs w:val="24"/>
              </w:rPr>
            </w:pPr>
            <w:r>
              <w:rPr>
                <w:noProof/>
              </w:rPr>
              <w:t>b)</w:t>
            </w:r>
            <w:r>
              <w:rPr>
                <w:noProof/>
              </w:rPr>
              <w:tab/>
              <w:t>la catégorie;</w:t>
            </w:r>
          </w:p>
          <w:p>
            <w:pPr>
              <w:spacing w:after="0"/>
              <w:ind w:left="567" w:hanging="567"/>
              <w:rPr>
                <w:rFonts w:eastAsia="Arial Unicode MS"/>
                <w:noProof/>
                <w:szCs w:val="24"/>
              </w:rPr>
            </w:pPr>
            <w:r>
              <w:rPr>
                <w:noProof/>
              </w:rPr>
              <w:t>c)</w:t>
            </w:r>
            <w:r>
              <w:rPr>
                <w:noProof/>
              </w:rPr>
              <w:tab/>
              <w:t>les aspects de construction et de conception suivants:</w:t>
            </w:r>
          </w:p>
          <w:p>
            <w:pPr>
              <w:spacing w:before="60" w:after="0"/>
              <w:ind w:left="1134" w:hanging="567"/>
              <w:rPr>
                <w:rFonts w:eastAsia="Arial Unicode MS"/>
                <w:noProof/>
                <w:szCs w:val="24"/>
              </w:rPr>
            </w:pPr>
            <w:r>
              <w:rPr>
                <w:noProof/>
              </w:rPr>
              <w:t>i)</w:t>
            </w:r>
            <w:r>
              <w:rPr>
                <w:noProof/>
              </w:rPr>
              <w:tab/>
              <w:t>la conception et la construction des éléments essentiels formant le châssis;</w:t>
            </w:r>
          </w:p>
          <w:p>
            <w:pPr>
              <w:spacing w:before="60" w:after="0"/>
              <w:ind w:left="1134" w:hanging="567"/>
              <w:rPr>
                <w:rFonts w:eastAsia="Arial Unicode MS"/>
                <w:noProof/>
                <w:szCs w:val="24"/>
              </w:rPr>
            </w:pPr>
            <w:r>
              <w:rPr>
                <w:noProof/>
              </w:rPr>
              <w:t>ii)</w:t>
            </w:r>
            <w:r>
              <w:rPr>
                <w:noProof/>
              </w:rPr>
              <w:tab/>
              <w:t>la conception et la construction des éléments essentiels formant la structure de la carrosserie dans le cas d’une structure autoportante;</w:t>
            </w:r>
          </w:p>
          <w:p>
            <w:pPr>
              <w:spacing w:after="0"/>
              <w:ind w:left="567" w:hanging="567"/>
              <w:rPr>
                <w:rFonts w:eastAsia="Arial Unicode MS"/>
                <w:noProof/>
                <w:szCs w:val="24"/>
              </w:rPr>
            </w:pPr>
            <w:r>
              <w:rPr>
                <w:noProof/>
              </w:rPr>
              <w:t>d)</w:t>
            </w:r>
            <w:r>
              <w:rPr>
                <w:noProof/>
              </w:rPr>
              <w:tab/>
              <w:t>le nombre d’étages (véhicule à un ou deux étages);</w:t>
            </w:r>
          </w:p>
          <w:p>
            <w:pPr>
              <w:spacing w:after="0"/>
              <w:ind w:left="567" w:hanging="567"/>
              <w:rPr>
                <w:rFonts w:eastAsia="Arial Unicode MS"/>
                <w:noProof/>
                <w:szCs w:val="24"/>
              </w:rPr>
            </w:pPr>
            <w:r>
              <w:rPr>
                <w:noProof/>
              </w:rPr>
              <w:lastRenderedPageBreak/>
              <w:t>e)</w:t>
            </w:r>
            <w:r>
              <w:rPr>
                <w:noProof/>
              </w:rPr>
              <w:tab/>
              <w:t>le nombre de sections (rigides/articulées);</w:t>
            </w:r>
          </w:p>
          <w:p>
            <w:pPr>
              <w:spacing w:after="0"/>
              <w:ind w:left="567" w:hanging="567"/>
              <w:rPr>
                <w:rFonts w:eastAsia="Arial Unicode MS"/>
                <w:noProof/>
                <w:szCs w:val="24"/>
              </w:rPr>
            </w:pPr>
            <w:r>
              <w:rPr>
                <w:noProof/>
              </w:rPr>
              <w:t>f)</w:t>
            </w:r>
            <w:r>
              <w:rPr>
                <w:noProof/>
              </w:rPr>
              <w:tab/>
              <w:t>le nombre d’essieux;</w:t>
            </w:r>
          </w:p>
          <w:p>
            <w:pPr>
              <w:spacing w:after="0"/>
              <w:ind w:left="567" w:hanging="567"/>
              <w:rPr>
                <w:rFonts w:eastAsia="Arial Unicode MS"/>
                <w:noProof/>
                <w:szCs w:val="24"/>
              </w:rPr>
            </w:pPr>
            <w:r>
              <w:rPr>
                <w:noProof/>
              </w:rPr>
              <w:t>g)</w:t>
            </w:r>
            <w:r>
              <w:rPr>
                <w:noProof/>
              </w:rPr>
              <w:tab/>
              <w:t>le mode d’alimentation en énergie (embarqué ou non embarqué).</w:t>
            </w:r>
          </w:p>
        </w:tc>
      </w:tr>
      <w:tr>
        <w:trPr>
          <w:tblCellSpacing w:w="0" w:type="dxa"/>
        </w:trPr>
        <w:tc>
          <w:tcPr>
            <w:tcW w:w="0" w:type="auto"/>
            <w:hideMark/>
          </w:tcPr>
          <w:p>
            <w:pPr>
              <w:spacing w:after="0"/>
              <w:rPr>
                <w:rFonts w:eastAsia="Arial Unicode MS"/>
                <w:noProof/>
                <w:szCs w:val="24"/>
              </w:rPr>
            </w:pPr>
            <w:r>
              <w:rPr>
                <w:noProof/>
              </w:rPr>
              <w:lastRenderedPageBreak/>
              <w:t>2.1.2.</w:t>
            </w:r>
          </w:p>
        </w:tc>
        <w:tc>
          <w:tcPr>
            <w:tcW w:w="0" w:type="auto"/>
            <w:hideMark/>
          </w:tcPr>
          <w:p>
            <w:pPr>
              <w:spacing w:after="0"/>
              <w:rPr>
                <w:rFonts w:eastAsia="Arial Unicode MS"/>
                <w:noProof/>
                <w:szCs w:val="24"/>
              </w:rPr>
            </w:pPr>
            <w:r>
              <w:rPr>
                <w:noProof/>
              </w:rPr>
              <w:t>Un type se compose d’au moins une variante et une version.</w:t>
            </w:r>
          </w:p>
        </w:tc>
      </w:tr>
    </w:tbl>
    <w:p>
      <w:pPr>
        <w:spacing w:before="240"/>
        <w:ind w:left="1134" w:hanging="1134"/>
        <w:rPr>
          <w:noProof/>
        </w:rPr>
      </w:pPr>
      <w:r>
        <w:rPr>
          <w:noProof/>
        </w:rPr>
        <w:t>2.2.</w:t>
      </w:r>
      <w:r>
        <w:rPr>
          <w:noProof/>
        </w:rPr>
        <w:tab/>
        <w:t xml:space="preserve">Variante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Par «variante» au sein d’un type de véhicule, on entend les véhicules qui ont en commun toutes les caractéristiques de construction suivantes:</w:t>
            </w:r>
          </w:p>
          <w:p>
            <w:pPr>
              <w:spacing w:after="0"/>
              <w:ind w:left="567" w:hanging="567"/>
              <w:rPr>
                <w:rFonts w:eastAsia="Arial Unicode MS"/>
                <w:noProof/>
                <w:szCs w:val="24"/>
              </w:rPr>
            </w:pPr>
            <w:r>
              <w:rPr>
                <w:noProof/>
              </w:rPr>
              <w:t>a)</w:t>
            </w:r>
            <w:r>
              <w:rPr>
                <w:noProof/>
              </w:rPr>
              <w:tab/>
              <w:t>le type de carrosserie, tel que défini dans la section 3 de la partie C;</w:t>
            </w:r>
          </w:p>
          <w:p>
            <w:pPr>
              <w:spacing w:after="0"/>
              <w:ind w:left="567" w:hanging="567"/>
              <w:rPr>
                <w:rFonts w:eastAsia="Arial Unicode MS"/>
                <w:noProof/>
                <w:szCs w:val="24"/>
              </w:rPr>
            </w:pPr>
            <w:r>
              <w:rPr>
                <w:noProof/>
              </w:rPr>
              <w:t>b)</w:t>
            </w:r>
            <w:r>
              <w:rPr>
                <w:noProof/>
              </w:rPr>
              <w:tab/>
              <w:t>la classe ou combinaison de classes de véhicules telle que définie au paragraphe 2.1.1 du règlement n</w:t>
            </w:r>
            <w:r>
              <w:rPr>
                <w:noProof/>
                <w:vertAlign w:val="superscript"/>
              </w:rPr>
              <w:t>o</w:t>
            </w:r>
            <w:r>
              <w:rPr>
                <w:noProof/>
              </w:rPr>
              <w:t> 107 de la CEE-ONU (uniquement dans le cas de véhicules complets et complétés);</w:t>
            </w:r>
          </w:p>
          <w:p>
            <w:pPr>
              <w:spacing w:after="0"/>
              <w:ind w:left="567" w:hanging="567"/>
              <w:rPr>
                <w:rFonts w:eastAsia="Arial Unicode MS"/>
                <w:noProof/>
                <w:szCs w:val="24"/>
              </w:rPr>
            </w:pPr>
            <w:r>
              <w:rPr>
                <w:noProof/>
              </w:rPr>
              <w:t>c)</w:t>
            </w:r>
            <w:r>
              <w:rPr>
                <w:noProof/>
              </w:rPr>
              <w:tab/>
              <w:t>le stade d’achèvement (par exemple, complet/incomplet/complété);</w:t>
            </w:r>
          </w:p>
          <w:p>
            <w:pPr>
              <w:spacing w:after="0"/>
              <w:ind w:left="567" w:hanging="567"/>
              <w:rPr>
                <w:rFonts w:eastAsia="Arial Unicode MS"/>
                <w:noProof/>
                <w:szCs w:val="24"/>
              </w:rPr>
            </w:pPr>
            <w:r>
              <w:rPr>
                <w:noProof/>
              </w:rPr>
              <w:t>d)</w:t>
            </w:r>
            <w:r>
              <w:rPr>
                <w:noProof/>
              </w:rPr>
              <w:tab/>
              <w:t>le groupe moteur, en ce qui concerne les caractéristiques de construction suivantes:</w:t>
            </w:r>
          </w:p>
          <w:p>
            <w:pPr>
              <w:spacing w:after="0"/>
              <w:ind w:left="1134" w:hanging="567"/>
              <w:rPr>
                <w:rFonts w:eastAsia="Arial Unicode MS"/>
                <w:noProof/>
                <w:szCs w:val="24"/>
              </w:rPr>
            </w:pPr>
            <w:r>
              <w:rPr>
                <w:noProof/>
              </w:rPr>
              <w:t>i)</w:t>
            </w:r>
            <w:r>
              <w:rPr>
                <w:noProof/>
              </w:rPr>
              <w:tab/>
              <w:t>le type d’alimentation en énergie (moteur à combustion interne, moteur électrique ou autre);</w:t>
            </w:r>
          </w:p>
          <w:p>
            <w:pPr>
              <w:spacing w:after="0"/>
              <w:ind w:left="1134" w:hanging="567"/>
              <w:rPr>
                <w:rFonts w:eastAsia="Arial Unicode MS"/>
                <w:noProof/>
                <w:szCs w:val="24"/>
              </w:rPr>
            </w:pPr>
            <w:r>
              <w:rPr>
                <w:noProof/>
              </w:rPr>
              <w:t>ii)</w:t>
            </w:r>
            <w:r>
              <w:rPr>
                <w:noProof/>
              </w:rPr>
              <w:tab/>
              <w:t>le principe de fonctionnement (allumage commandé, allumage par compression ou autre);</w:t>
            </w:r>
          </w:p>
          <w:p>
            <w:pPr>
              <w:spacing w:after="0"/>
              <w:ind w:left="1134" w:hanging="567"/>
              <w:rPr>
                <w:rFonts w:eastAsia="Arial Unicode MS"/>
                <w:noProof/>
                <w:szCs w:val="24"/>
              </w:rPr>
            </w:pPr>
            <w:r>
              <w:rPr>
                <w:noProof/>
              </w:rPr>
              <w:t>iii)</w:t>
            </w:r>
            <w:r>
              <w:rPr>
                <w:noProof/>
              </w:rPr>
              <w:tab/>
              <w:t>le nombre et la disposition des cylindres dans le cas d’un moteur à combustion interne (L6, V8 ou autre);</w:t>
            </w:r>
          </w:p>
          <w:p>
            <w:pPr>
              <w:spacing w:after="0"/>
              <w:ind w:left="567" w:hanging="567"/>
              <w:rPr>
                <w:rFonts w:eastAsia="Arial Unicode MS"/>
                <w:noProof/>
                <w:szCs w:val="24"/>
              </w:rPr>
            </w:pPr>
            <w:r>
              <w:rPr>
                <w:noProof/>
              </w:rPr>
              <w:t>e)</w:t>
            </w:r>
            <w:r>
              <w:rPr>
                <w:noProof/>
              </w:rPr>
              <w:tab/>
              <w:t>dans le cas de véhicules construits en plusieurs étapes, le constructeur et le type du véhicule de l’étape antérieure.</w:t>
            </w:r>
          </w:p>
        </w:tc>
      </w:tr>
    </w:tbl>
    <w:p>
      <w:pPr>
        <w:spacing w:before="240"/>
        <w:ind w:left="1134" w:hanging="1134"/>
        <w:jc w:val="left"/>
        <w:rPr>
          <w:rFonts w:eastAsia="Arial Unicode MS"/>
          <w:bCs/>
          <w:noProof/>
          <w:szCs w:val="24"/>
        </w:rPr>
      </w:pPr>
      <w:r>
        <w:rPr>
          <w:noProof/>
        </w:rPr>
        <w:t>2.3.</w:t>
      </w:r>
      <w:r>
        <w:rPr>
          <w:noProof/>
        </w:rPr>
        <w:tab/>
        <w:t xml:space="preserve">Version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Par «version» à l’intérieur d’une variante, on entend les véhicules ayant en commun toutes les caractéristiques suivantes:</w:t>
            </w:r>
          </w:p>
          <w:p>
            <w:pPr>
              <w:spacing w:after="0"/>
              <w:ind w:left="571" w:hanging="567"/>
              <w:rPr>
                <w:rFonts w:eastAsia="Arial Unicode MS"/>
                <w:noProof/>
                <w:szCs w:val="24"/>
              </w:rPr>
            </w:pPr>
            <w:r>
              <w:rPr>
                <w:noProof/>
              </w:rPr>
              <w:t>a)</w:t>
            </w:r>
            <w:r>
              <w:rPr>
                <w:noProof/>
              </w:rPr>
              <w:tab/>
              <w:t>la masse en charge maximale techniquement admissible;</w:t>
            </w:r>
          </w:p>
          <w:p>
            <w:pPr>
              <w:spacing w:after="0"/>
              <w:ind w:left="571" w:hanging="567"/>
              <w:rPr>
                <w:rFonts w:eastAsia="Arial Unicode MS"/>
                <w:noProof/>
                <w:szCs w:val="24"/>
              </w:rPr>
            </w:pPr>
            <w:r>
              <w:rPr>
                <w:noProof/>
              </w:rPr>
              <w:t>b)</w:t>
            </w:r>
            <w:r>
              <w:rPr>
                <w:noProof/>
              </w:rPr>
              <w:tab/>
              <w:t>la capacité ou l’incapacité du véhicule de tracter une remorque;</w:t>
            </w:r>
          </w:p>
          <w:p>
            <w:pPr>
              <w:spacing w:after="0"/>
              <w:ind w:left="571" w:hanging="567"/>
              <w:rPr>
                <w:rFonts w:eastAsia="Arial Unicode MS"/>
                <w:noProof/>
                <w:szCs w:val="24"/>
              </w:rPr>
            </w:pPr>
            <w:r>
              <w:rPr>
                <w:noProof/>
              </w:rPr>
              <w:t>c)</w:t>
            </w:r>
            <w:r>
              <w:rPr>
                <w:noProof/>
              </w:rPr>
              <w:tab/>
              <w:t>la cylindrée dans le cas d’un moteur à combustion interne;</w:t>
            </w:r>
          </w:p>
          <w:p>
            <w:pPr>
              <w:spacing w:after="0"/>
              <w:ind w:left="571" w:hanging="567"/>
              <w:rPr>
                <w:rFonts w:eastAsia="Arial Unicode MS"/>
                <w:noProof/>
                <w:szCs w:val="24"/>
              </w:rPr>
            </w:pPr>
            <w:r>
              <w:rPr>
                <w:noProof/>
              </w:rPr>
              <w:t>d)</w:t>
            </w:r>
            <w:r>
              <w:rPr>
                <w:noProof/>
              </w:rPr>
              <w:tab/>
              <w:t>la puissance de sortie maximale du moteur ou la puissance nominale continue maximale (moteur électrique);</w:t>
            </w:r>
          </w:p>
          <w:p>
            <w:pPr>
              <w:spacing w:after="0"/>
              <w:ind w:left="571" w:hanging="567"/>
              <w:rPr>
                <w:rFonts w:eastAsia="Arial Unicode MS"/>
                <w:noProof/>
                <w:szCs w:val="24"/>
              </w:rPr>
            </w:pPr>
            <w:r>
              <w:rPr>
                <w:noProof/>
              </w:rPr>
              <w:t>e)</w:t>
            </w:r>
            <w:r>
              <w:rPr>
                <w:noProof/>
              </w:rPr>
              <w:tab/>
              <w:t>la nature du carburant (essence, gazole, GPL, bicarburant ou autre);</w:t>
            </w:r>
          </w:p>
          <w:p>
            <w:pPr>
              <w:spacing w:after="0"/>
              <w:ind w:left="571" w:hanging="567"/>
              <w:rPr>
                <w:rFonts w:eastAsia="Arial Unicode MS"/>
                <w:noProof/>
                <w:szCs w:val="24"/>
              </w:rPr>
            </w:pPr>
            <w:r>
              <w:rPr>
                <w:noProof/>
              </w:rPr>
              <w:t>f)</w:t>
            </w:r>
            <w:r>
              <w:rPr>
                <w:noProof/>
              </w:rPr>
              <w:tab/>
              <w:t>le niveau sonore du véhicule en marche (passage);</w:t>
            </w:r>
          </w:p>
          <w:p>
            <w:pPr>
              <w:spacing w:after="0"/>
              <w:ind w:left="571" w:hanging="567"/>
              <w:rPr>
                <w:rFonts w:eastAsia="Arial Unicode MS"/>
                <w:noProof/>
                <w:szCs w:val="24"/>
              </w:rPr>
            </w:pPr>
            <w:r>
              <w:rPr>
                <w:noProof/>
              </w:rPr>
              <w:t>g)</w:t>
            </w:r>
            <w:r>
              <w:rPr>
                <w:noProof/>
              </w:rPr>
              <w:tab/>
              <w:t>le niveau des émissions d’échappement (par exemple, Euro IV, Euro V ou autre).</w:t>
            </w:r>
          </w:p>
        </w:tc>
      </w:tr>
    </w:tbl>
    <w:p>
      <w:pPr>
        <w:spacing w:before="240"/>
        <w:ind w:left="1134" w:hanging="1134"/>
        <w:jc w:val="left"/>
        <w:rPr>
          <w:rFonts w:eastAsia="Arial Unicode MS"/>
          <w:b/>
          <w:bCs/>
          <w:noProof/>
          <w:szCs w:val="24"/>
        </w:rPr>
      </w:pPr>
      <w:r>
        <w:rPr>
          <w:noProof/>
        </w:rPr>
        <w:t>3.</w:t>
      </w:r>
      <w:r>
        <w:rPr>
          <w:noProof/>
        </w:rPr>
        <w:tab/>
      </w:r>
      <w:r>
        <w:rPr>
          <w:b/>
          <w:noProof/>
        </w:rPr>
        <w:t>Catégorie N</w:t>
      </w:r>
      <w:r>
        <w:rPr>
          <w:b/>
          <w:noProof/>
          <w:vertAlign w:val="subscript"/>
        </w:rPr>
        <w:t>1</w:t>
      </w:r>
      <w:r>
        <w:rPr>
          <w:b/>
          <w:noProof/>
        </w:rPr>
        <w:t xml:space="preserve"> </w:t>
      </w:r>
    </w:p>
    <w:p>
      <w:pPr>
        <w:spacing w:before="240" w:after="0"/>
        <w:ind w:left="1134" w:hanging="1134"/>
        <w:jc w:val="left"/>
        <w:rPr>
          <w:rFonts w:eastAsia="Arial Unicode MS"/>
          <w:bCs/>
          <w:noProof/>
          <w:szCs w:val="24"/>
        </w:rPr>
      </w:pPr>
      <w:r>
        <w:rPr>
          <w:noProof/>
        </w:rPr>
        <w:lastRenderedPageBreak/>
        <w:t>3.1.</w:t>
      </w:r>
      <w:r>
        <w:rPr>
          <w:noProof/>
        </w:rPr>
        <w:tab/>
        <w:t xml:space="preserve">Type de véhicule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Par «type de véhicule», on entend les véhicules qui ont en commun les éléments suivants:</w:t>
            </w:r>
          </w:p>
          <w:p>
            <w:pPr>
              <w:spacing w:after="0"/>
              <w:ind w:left="571" w:hanging="567"/>
              <w:rPr>
                <w:rFonts w:eastAsia="Arial Unicode MS"/>
                <w:noProof/>
                <w:szCs w:val="24"/>
              </w:rPr>
            </w:pPr>
            <w:r>
              <w:rPr>
                <w:noProof/>
              </w:rPr>
              <w:t>a)</w:t>
            </w:r>
            <w:r>
              <w:rPr>
                <w:noProof/>
              </w:rPr>
              <w:tab/>
              <w:t>le nom de la société du constructeur.</w:t>
            </w:r>
          </w:p>
          <w:p>
            <w:pPr>
              <w:spacing w:before="60"/>
              <w:ind w:left="573"/>
              <w:rPr>
                <w:rFonts w:eastAsia="Arial Unicode MS"/>
                <w:noProof/>
                <w:szCs w:val="24"/>
              </w:rPr>
            </w:pPr>
            <w:r>
              <w:rPr>
                <w:noProof/>
              </w:rPr>
              <w:t>Une modification de la forme juridique de propriété de la société ne requiert pas la délivrance d’une nouvelle réception;</w:t>
            </w:r>
          </w:p>
          <w:p>
            <w:pPr>
              <w:spacing w:after="0"/>
              <w:ind w:left="571" w:hanging="567"/>
              <w:rPr>
                <w:rFonts w:eastAsia="Arial Unicode MS"/>
                <w:noProof/>
                <w:szCs w:val="24"/>
              </w:rPr>
            </w:pPr>
            <w:r>
              <w:rPr>
                <w:noProof/>
              </w:rPr>
              <w:t>b)</w:t>
            </w:r>
            <w:r>
              <w:rPr>
                <w:noProof/>
              </w:rPr>
              <w:tab/>
              <w:t>la conception et l’assemblage des pièces essentielles de la structure de la carrosserie dans le cas d’une structure autoportante;</w:t>
            </w:r>
          </w:p>
          <w:p>
            <w:pPr>
              <w:spacing w:after="0"/>
              <w:ind w:left="571" w:hanging="567"/>
              <w:rPr>
                <w:rFonts w:eastAsia="Arial Unicode MS"/>
                <w:noProof/>
                <w:szCs w:val="24"/>
              </w:rPr>
            </w:pPr>
            <w:r>
              <w:rPr>
                <w:noProof/>
              </w:rPr>
              <w:t>c)</w:t>
            </w:r>
            <w:r>
              <w:rPr>
                <w:noProof/>
              </w:rPr>
              <w:tab/>
              <w:t>la conception et la construction des éléments essentiels formant le châssis dans le cas d’une structure non autoportante.</w:t>
            </w:r>
          </w:p>
        </w:tc>
      </w:tr>
      <w:tr>
        <w:trPr>
          <w:tblCellSpacing w:w="0" w:type="dxa"/>
        </w:trPr>
        <w:tc>
          <w:tcPr>
            <w:tcW w:w="0" w:type="auto"/>
            <w:hideMark/>
          </w:tcPr>
          <w:p>
            <w:pPr>
              <w:spacing w:after="0"/>
              <w:rPr>
                <w:rFonts w:eastAsia="Arial Unicode MS"/>
                <w:noProof/>
                <w:szCs w:val="24"/>
              </w:rPr>
            </w:pPr>
            <w:r>
              <w:rPr>
                <w:noProof/>
              </w:rPr>
              <w:t>3.1.2.</w:t>
            </w:r>
          </w:p>
        </w:tc>
        <w:tc>
          <w:tcPr>
            <w:tcW w:w="0" w:type="auto"/>
            <w:hideMark/>
          </w:tcPr>
          <w:p>
            <w:pPr>
              <w:spacing w:after="0"/>
              <w:rPr>
                <w:rFonts w:eastAsia="Arial Unicode MS"/>
                <w:noProof/>
                <w:szCs w:val="24"/>
              </w:rPr>
            </w:pPr>
            <w:r>
              <w:rPr>
                <w:noProof/>
              </w:rPr>
              <w:t>Par dérogation aux prescriptions du point 3.1.1 b), lorsque le constructeur utilise la partie plancher de la structure de la carrosserie, ainsi que les éléments constitutifs essentiels formant la partie avant de la structure de la carrosserie située directement devant le pare-brise, dans la construction de différents types de carrosserie (par exemple, une camionnette et un châssis-cabine, différents empattements et différentes hauteurs de toit), ces véhicules peuvent être considérés comme appartenant au même type. Le constructeur en apporte la preuve.</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Un type de véhicule se compose d’au moins une variante et une version.</w:t>
            </w:r>
          </w:p>
        </w:tc>
      </w:tr>
    </w:tbl>
    <w:p>
      <w:pPr>
        <w:spacing w:before="360"/>
        <w:ind w:left="1134" w:hanging="1134"/>
        <w:jc w:val="left"/>
        <w:rPr>
          <w:rFonts w:eastAsia="Arial Unicode MS"/>
          <w:bCs/>
          <w:noProof/>
          <w:szCs w:val="24"/>
        </w:rPr>
      </w:pPr>
      <w:r>
        <w:rPr>
          <w:noProof/>
        </w:rPr>
        <w:t>3.2.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Par «variante» au sein d’un type de véhicule, on entend les véhicules qui ont en commun les caractéristiques de construction suivantes:</w:t>
            </w:r>
          </w:p>
          <w:p>
            <w:pPr>
              <w:spacing w:after="0"/>
              <w:ind w:left="571" w:hanging="567"/>
              <w:rPr>
                <w:rFonts w:eastAsia="Arial Unicode MS"/>
                <w:noProof/>
                <w:szCs w:val="24"/>
              </w:rPr>
            </w:pPr>
            <w:r>
              <w:rPr>
                <w:noProof/>
              </w:rPr>
              <w:t>a)</w:t>
            </w:r>
            <w:r>
              <w:rPr>
                <w:noProof/>
              </w:rPr>
              <w:tab/>
              <w:t>le nombre de portes latérales ou le type de carrosserie tel que défini dans la section 4 de la partie C (pour les véhicules complets et complétés) lorsque le constructeur utilise le critère du point 3.1.2;</w:t>
            </w:r>
          </w:p>
          <w:p>
            <w:pPr>
              <w:spacing w:after="0"/>
              <w:ind w:left="571" w:hanging="567"/>
              <w:rPr>
                <w:rFonts w:eastAsia="Arial Unicode MS"/>
                <w:noProof/>
                <w:szCs w:val="24"/>
              </w:rPr>
            </w:pPr>
            <w:r>
              <w:rPr>
                <w:noProof/>
              </w:rPr>
              <w:t>b)</w:t>
            </w:r>
            <w:r>
              <w:rPr>
                <w:noProof/>
              </w:rPr>
              <w:tab/>
              <w:t>le stade d’achèvement (par exemple, complet/incomplet/complété);</w:t>
            </w:r>
          </w:p>
          <w:p>
            <w:pPr>
              <w:spacing w:after="0"/>
              <w:ind w:left="571" w:hanging="567"/>
              <w:rPr>
                <w:rFonts w:eastAsia="Arial Unicode MS"/>
                <w:noProof/>
                <w:szCs w:val="24"/>
              </w:rPr>
            </w:pPr>
            <w:r>
              <w:rPr>
                <w:noProof/>
              </w:rPr>
              <w:t>c)</w:t>
            </w:r>
            <w:r>
              <w:rPr>
                <w:noProof/>
              </w:rPr>
              <w:tab/>
              <w:t>le groupe moteur, en ce qui concerne les caractéristiques de construction suivantes:</w:t>
            </w:r>
          </w:p>
          <w:p>
            <w:pPr>
              <w:spacing w:after="0"/>
              <w:ind w:left="1138" w:hanging="567"/>
              <w:rPr>
                <w:rFonts w:eastAsia="Arial Unicode MS"/>
                <w:noProof/>
                <w:szCs w:val="24"/>
              </w:rPr>
            </w:pPr>
            <w:r>
              <w:rPr>
                <w:noProof/>
              </w:rPr>
              <w:t>i)</w:t>
            </w:r>
            <w:r>
              <w:rPr>
                <w:noProof/>
              </w:rPr>
              <w:tab/>
              <w:t>le type d’alimentation en énergie (moteur à combustion interne, moteur électrique ou autre);</w:t>
            </w:r>
          </w:p>
          <w:p>
            <w:pPr>
              <w:spacing w:after="0"/>
              <w:ind w:left="1138" w:hanging="567"/>
              <w:rPr>
                <w:rFonts w:eastAsia="Arial Unicode MS"/>
                <w:noProof/>
                <w:szCs w:val="24"/>
              </w:rPr>
            </w:pPr>
            <w:r>
              <w:rPr>
                <w:noProof/>
              </w:rPr>
              <w:t>ii)</w:t>
            </w:r>
            <w:r>
              <w:rPr>
                <w:noProof/>
              </w:rPr>
              <w:tab/>
              <w:t>le principe de fonctionnement (allumage commandé, allumage par compression ou autre);</w:t>
            </w:r>
          </w:p>
          <w:p>
            <w:pPr>
              <w:spacing w:after="0"/>
              <w:ind w:left="1138" w:hanging="567"/>
              <w:rPr>
                <w:rFonts w:eastAsia="Arial Unicode MS"/>
                <w:noProof/>
                <w:szCs w:val="24"/>
              </w:rPr>
            </w:pPr>
            <w:r>
              <w:rPr>
                <w:noProof/>
              </w:rPr>
              <w:t>iii)</w:t>
            </w:r>
            <w:r>
              <w:rPr>
                <w:noProof/>
              </w:rPr>
              <w:tab/>
              <w:t>le nombre et la disposition des cylindres dans le cas d’un moteur à combustion interne (L6, V8 ou autre);</w:t>
            </w:r>
          </w:p>
          <w:p>
            <w:pPr>
              <w:spacing w:after="0"/>
              <w:ind w:left="571" w:hanging="567"/>
              <w:rPr>
                <w:rFonts w:eastAsia="Arial Unicode MS"/>
                <w:noProof/>
                <w:szCs w:val="24"/>
              </w:rPr>
            </w:pPr>
            <w:r>
              <w:rPr>
                <w:noProof/>
              </w:rPr>
              <w:t>d)</w:t>
            </w:r>
            <w:r>
              <w:rPr>
                <w:noProof/>
              </w:rPr>
              <w:tab/>
              <w:t>le nombre d’essieux;</w:t>
            </w:r>
          </w:p>
          <w:p>
            <w:pPr>
              <w:spacing w:after="0"/>
              <w:ind w:left="571" w:hanging="567"/>
              <w:rPr>
                <w:rFonts w:eastAsia="Arial Unicode MS"/>
                <w:noProof/>
                <w:szCs w:val="24"/>
              </w:rPr>
            </w:pPr>
            <w:r>
              <w:rPr>
                <w:noProof/>
              </w:rPr>
              <w:t>e)</w:t>
            </w:r>
            <w:r>
              <w:rPr>
                <w:noProof/>
              </w:rPr>
              <w:tab/>
              <w:t>le nombre et l’interconnexion des essieux moteurs;</w:t>
            </w:r>
          </w:p>
          <w:p>
            <w:pPr>
              <w:spacing w:after="0"/>
              <w:ind w:left="571" w:hanging="567"/>
              <w:rPr>
                <w:rFonts w:eastAsia="Arial Unicode MS"/>
                <w:noProof/>
                <w:szCs w:val="24"/>
              </w:rPr>
            </w:pPr>
            <w:r>
              <w:rPr>
                <w:noProof/>
              </w:rPr>
              <w:t>f)</w:t>
            </w:r>
            <w:r>
              <w:rPr>
                <w:noProof/>
              </w:rPr>
              <w:tab/>
              <w:t>le nombre d’essieux directeurs;</w:t>
            </w:r>
          </w:p>
          <w:p>
            <w:pPr>
              <w:spacing w:after="0"/>
              <w:ind w:left="571" w:hanging="567"/>
              <w:rPr>
                <w:rFonts w:eastAsia="Arial Unicode MS"/>
                <w:noProof/>
                <w:szCs w:val="24"/>
              </w:rPr>
            </w:pPr>
            <w:r>
              <w:rPr>
                <w:noProof/>
              </w:rPr>
              <w:t>g)</w:t>
            </w:r>
            <w:r>
              <w:rPr>
                <w:noProof/>
              </w:rPr>
              <w:tab/>
              <w:t>dans le cas de véhicules construits en plusieurs étapes, le constructeur et le type du véhicule de l’étape antérieure.</w:t>
            </w:r>
          </w:p>
        </w:tc>
      </w:tr>
    </w:tbl>
    <w:p>
      <w:pPr>
        <w:spacing w:before="360"/>
        <w:ind w:left="1134" w:hanging="1134"/>
        <w:jc w:val="left"/>
        <w:rPr>
          <w:rFonts w:eastAsia="Arial Unicode MS"/>
          <w:bCs/>
          <w:noProof/>
          <w:szCs w:val="24"/>
        </w:rPr>
      </w:pPr>
      <w:r>
        <w:rPr>
          <w:noProof/>
        </w:rPr>
        <w:lastRenderedPageBreak/>
        <w:t>3.3.</w:t>
      </w:r>
      <w:r>
        <w:rPr>
          <w:noProof/>
        </w:rPr>
        <w:tab/>
        <w:t xml:space="preserve">Version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Par «version» à l’intérieur d’une variante, on entend les véhicules ayant en commun les caractéristiques suivantes:</w:t>
            </w:r>
          </w:p>
          <w:p>
            <w:pPr>
              <w:spacing w:after="0"/>
              <w:ind w:left="567" w:hanging="567"/>
              <w:rPr>
                <w:rFonts w:eastAsia="Arial Unicode MS"/>
                <w:noProof/>
                <w:szCs w:val="24"/>
              </w:rPr>
            </w:pPr>
            <w:r>
              <w:rPr>
                <w:noProof/>
              </w:rPr>
              <w:t>a)</w:t>
            </w:r>
            <w:r>
              <w:rPr>
                <w:noProof/>
              </w:rPr>
              <w:tab/>
              <w:t>la masse en charge maximale techniquement admissible;</w:t>
            </w:r>
          </w:p>
          <w:p>
            <w:pPr>
              <w:spacing w:after="0"/>
              <w:ind w:left="567" w:hanging="567"/>
              <w:rPr>
                <w:rFonts w:eastAsia="Arial Unicode MS"/>
                <w:noProof/>
                <w:szCs w:val="24"/>
              </w:rPr>
            </w:pPr>
            <w:r>
              <w:rPr>
                <w:noProof/>
              </w:rPr>
              <w:t>b)</w:t>
            </w:r>
            <w:r>
              <w:rPr>
                <w:noProof/>
              </w:rPr>
              <w:tab/>
              <w:t>la cylindrée dans le cas d’un moteur à combustion interne;</w:t>
            </w:r>
          </w:p>
          <w:p>
            <w:pPr>
              <w:spacing w:after="0"/>
              <w:ind w:left="567" w:hanging="567"/>
              <w:rPr>
                <w:rFonts w:eastAsia="Arial Unicode MS"/>
                <w:noProof/>
                <w:szCs w:val="24"/>
              </w:rPr>
            </w:pPr>
            <w:r>
              <w:rPr>
                <w:noProof/>
              </w:rPr>
              <w:t>c)</w:t>
            </w:r>
            <w:r>
              <w:rPr>
                <w:noProof/>
              </w:rPr>
              <w:tab/>
              <w:t>la puissance de sortie maximale du moteur ou la puissance nominale continue maximale (moteur électrique);</w:t>
            </w:r>
          </w:p>
          <w:p>
            <w:pPr>
              <w:spacing w:after="0"/>
              <w:ind w:left="567" w:hanging="567"/>
              <w:rPr>
                <w:rFonts w:eastAsia="Arial Unicode MS"/>
                <w:noProof/>
                <w:szCs w:val="24"/>
              </w:rPr>
            </w:pPr>
            <w:r>
              <w:rPr>
                <w:noProof/>
              </w:rPr>
              <w:t>d)</w:t>
            </w:r>
            <w:r>
              <w:rPr>
                <w:noProof/>
              </w:rPr>
              <w:tab/>
              <w:t>la nature du carburant (essence, gazole, GPL, bicarburant ou autre);</w:t>
            </w:r>
          </w:p>
          <w:p>
            <w:pPr>
              <w:spacing w:after="0"/>
              <w:ind w:left="567" w:hanging="567"/>
              <w:rPr>
                <w:rFonts w:eastAsia="Arial Unicode MS"/>
                <w:noProof/>
                <w:szCs w:val="24"/>
              </w:rPr>
            </w:pPr>
            <w:r>
              <w:rPr>
                <w:noProof/>
              </w:rPr>
              <w:t>e)</w:t>
            </w:r>
            <w:r>
              <w:rPr>
                <w:noProof/>
              </w:rPr>
              <w:tab/>
              <w:t>le nombre maximal de places assises;</w:t>
            </w:r>
          </w:p>
          <w:p>
            <w:pPr>
              <w:spacing w:after="0"/>
              <w:ind w:left="567" w:hanging="567"/>
              <w:rPr>
                <w:rFonts w:eastAsia="Arial Unicode MS"/>
                <w:noProof/>
                <w:szCs w:val="24"/>
              </w:rPr>
            </w:pPr>
            <w:r>
              <w:rPr>
                <w:noProof/>
              </w:rPr>
              <w:t>f)</w:t>
            </w:r>
            <w:r>
              <w:rPr>
                <w:noProof/>
              </w:rPr>
              <w:tab/>
              <w:t>le niveau sonore du véhicule en marche (passage);</w:t>
            </w:r>
          </w:p>
          <w:p>
            <w:pPr>
              <w:spacing w:after="0"/>
              <w:ind w:left="567" w:hanging="567"/>
              <w:rPr>
                <w:rFonts w:eastAsia="Arial Unicode MS"/>
                <w:noProof/>
                <w:szCs w:val="24"/>
              </w:rPr>
            </w:pPr>
            <w:r>
              <w:rPr>
                <w:noProof/>
              </w:rPr>
              <w:t>g)</w:t>
            </w:r>
            <w:r>
              <w:rPr>
                <w:noProof/>
              </w:rPr>
              <w:tab/>
              <w:t>le niveau des émissions d’échappement (par exemple, Euro 5, Euro 6 ou autre);</w:t>
            </w:r>
          </w:p>
          <w:p>
            <w:pPr>
              <w:spacing w:after="0"/>
              <w:ind w:left="567" w:hanging="567"/>
              <w:rPr>
                <w:rFonts w:eastAsia="Arial Unicode MS"/>
                <w:noProof/>
                <w:szCs w:val="24"/>
              </w:rPr>
            </w:pPr>
            <w:r>
              <w:rPr>
                <w:noProof/>
              </w:rPr>
              <w:t>h)</w:t>
            </w:r>
            <w:r>
              <w:rPr>
                <w:noProof/>
              </w:rPr>
              <w:tab/>
              <w:t>les émissions combinées de CO</w:t>
            </w:r>
            <w:r>
              <w:rPr>
                <w:noProof/>
                <w:vertAlign w:val="subscript"/>
              </w:rPr>
              <w:t>2</w:t>
            </w:r>
            <w:r>
              <w:rPr>
                <w:noProof/>
              </w:rPr>
              <w:t xml:space="preserve"> en conditions mixtes ou pondérées;</w:t>
            </w:r>
          </w:p>
          <w:p>
            <w:pPr>
              <w:spacing w:after="0"/>
              <w:ind w:left="567" w:hanging="567"/>
              <w:rPr>
                <w:rFonts w:eastAsia="Arial Unicode MS"/>
                <w:noProof/>
                <w:szCs w:val="24"/>
              </w:rPr>
            </w:pPr>
            <w:r>
              <w:rPr>
                <w:noProof/>
              </w:rPr>
              <w:t>i)</w:t>
            </w:r>
            <w:r>
              <w:rPr>
                <w:noProof/>
              </w:rPr>
              <w:tab/>
              <w:t>la consommation d’énergie électrique (pondérée, conditions mixtes);</w:t>
            </w:r>
          </w:p>
          <w:p>
            <w:pPr>
              <w:spacing w:after="0"/>
              <w:ind w:left="567" w:hanging="567"/>
              <w:rPr>
                <w:rFonts w:eastAsia="Arial Unicode MS"/>
                <w:noProof/>
                <w:szCs w:val="24"/>
              </w:rPr>
            </w:pPr>
            <w:r>
              <w:rPr>
                <w:noProof/>
              </w:rPr>
              <w:t>j)</w:t>
            </w:r>
            <w:r>
              <w:rPr>
                <w:noProof/>
              </w:rPr>
              <w:tab/>
              <w:t>la consommation combinée de carburant en conditions mixtes ou pondérée.</w:t>
            </w:r>
          </w:p>
        </w:tc>
      </w:tr>
    </w:tbl>
    <w:p>
      <w:pPr>
        <w:spacing w:before="240"/>
        <w:rPr>
          <w:noProof/>
        </w:rPr>
      </w:pPr>
      <w:r>
        <w:rPr>
          <w:noProof/>
        </w:rPr>
        <w:t>4.</w:t>
      </w:r>
      <w:r>
        <w:rPr>
          <w:noProof/>
        </w:rPr>
        <w:tab/>
      </w:r>
      <w:r>
        <w:rPr>
          <w:b/>
          <w:noProof/>
        </w:rPr>
        <w:t>Catégories N</w:t>
      </w:r>
      <w:r>
        <w:rPr>
          <w:b/>
          <w:noProof/>
          <w:vertAlign w:val="subscript"/>
        </w:rPr>
        <w:t>2</w:t>
      </w:r>
      <w:r>
        <w:rPr>
          <w:b/>
          <w:noProof/>
        </w:rPr>
        <w:t xml:space="preserve"> et N</w:t>
      </w:r>
      <w:r>
        <w:rPr>
          <w:b/>
          <w:noProof/>
          <w:vertAlign w:val="subscript"/>
        </w:rPr>
        <w:t>3</w:t>
      </w:r>
    </w:p>
    <w:p>
      <w:pPr>
        <w:spacing w:before="240"/>
        <w:ind w:left="1134" w:hanging="1134"/>
        <w:jc w:val="left"/>
        <w:rPr>
          <w:rFonts w:eastAsia="Arial Unicode MS"/>
          <w:bCs/>
          <w:noProof/>
          <w:szCs w:val="24"/>
        </w:rPr>
      </w:pPr>
      <w:r>
        <w:rPr>
          <w:noProof/>
        </w:rPr>
        <w:t>4.1.</w:t>
      </w:r>
      <w:r>
        <w:rPr>
          <w:noProof/>
        </w:rPr>
        <w:tab/>
        <w:t xml:space="preserve">Type de véhicule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Par «type de véhicule», on entend les véhicules qui ont en commun les éléments suivants:</w:t>
            </w:r>
          </w:p>
          <w:p>
            <w:pPr>
              <w:spacing w:after="0"/>
              <w:ind w:left="571" w:hanging="567"/>
              <w:rPr>
                <w:rFonts w:eastAsia="Arial Unicode MS"/>
                <w:noProof/>
                <w:szCs w:val="24"/>
              </w:rPr>
            </w:pPr>
            <w:r>
              <w:rPr>
                <w:noProof/>
              </w:rPr>
              <w:t>a)</w:t>
            </w:r>
            <w:r>
              <w:rPr>
                <w:noProof/>
              </w:rPr>
              <w:tab/>
              <w:t>le nom de la société du constructeur.</w:t>
            </w:r>
          </w:p>
          <w:p>
            <w:pPr>
              <w:ind w:left="573"/>
              <w:rPr>
                <w:rFonts w:eastAsia="Arial Unicode MS"/>
                <w:noProof/>
                <w:szCs w:val="24"/>
              </w:rPr>
            </w:pPr>
            <w:r>
              <w:rPr>
                <w:noProof/>
              </w:rPr>
              <w:t>Une modification de la forme juridique de propriété de la société ne requiert pas la délivrance d’une nouvelle réception;</w:t>
            </w:r>
          </w:p>
          <w:p>
            <w:pPr>
              <w:spacing w:after="0"/>
              <w:ind w:left="571" w:hanging="567"/>
              <w:rPr>
                <w:rFonts w:eastAsia="Arial Unicode MS"/>
                <w:noProof/>
                <w:szCs w:val="24"/>
              </w:rPr>
            </w:pPr>
            <w:r>
              <w:rPr>
                <w:noProof/>
              </w:rPr>
              <w:t>b)</w:t>
            </w:r>
            <w:r>
              <w:rPr>
                <w:noProof/>
              </w:rPr>
              <w:tab/>
              <w:t>la catégorie;</w:t>
            </w:r>
          </w:p>
          <w:p>
            <w:pPr>
              <w:spacing w:after="0"/>
              <w:ind w:left="571" w:hanging="567"/>
              <w:rPr>
                <w:rFonts w:eastAsia="Arial Unicode MS"/>
                <w:noProof/>
                <w:szCs w:val="24"/>
              </w:rPr>
            </w:pPr>
            <w:r>
              <w:rPr>
                <w:noProof/>
              </w:rPr>
              <w:t>c)</w:t>
            </w:r>
            <w:r>
              <w:rPr>
                <w:noProof/>
              </w:rPr>
              <w:tab/>
              <w:t>la conception et la construction du châssis communes à une ligne de produits;</w:t>
            </w:r>
          </w:p>
          <w:p>
            <w:pPr>
              <w:spacing w:after="0"/>
              <w:ind w:left="571" w:hanging="567"/>
              <w:rPr>
                <w:rFonts w:eastAsia="Arial Unicode MS"/>
                <w:noProof/>
                <w:szCs w:val="24"/>
              </w:rPr>
            </w:pPr>
            <w:r>
              <w:rPr>
                <w:noProof/>
              </w:rPr>
              <w:t>d)</w:t>
            </w:r>
            <w:r>
              <w:rPr>
                <w:noProof/>
              </w:rPr>
              <w:tab/>
              <w:t>le nombre d’essieux.</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Un type de véhicule se compose d’au moins une variante et une version.</w:t>
            </w:r>
          </w:p>
        </w:tc>
      </w:tr>
    </w:tbl>
    <w:p>
      <w:pPr>
        <w:spacing w:before="240" w:after="0"/>
        <w:ind w:left="1134" w:hanging="1134"/>
        <w:jc w:val="left"/>
        <w:rPr>
          <w:rFonts w:eastAsia="Arial Unicode MS"/>
          <w:bCs/>
          <w:noProof/>
          <w:szCs w:val="24"/>
        </w:rPr>
      </w:pPr>
      <w:r>
        <w:rPr>
          <w:noProof/>
        </w:rPr>
        <w:t>4.2.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Par «variante» au sein d’un type de véhicule, on entend les véhicules qui ont en commun les caractéristiques de construction suivantes:</w:t>
            </w:r>
          </w:p>
          <w:p>
            <w:pPr>
              <w:spacing w:after="0"/>
              <w:ind w:left="573" w:hanging="567"/>
              <w:rPr>
                <w:rFonts w:eastAsia="Arial Unicode MS"/>
                <w:noProof/>
                <w:szCs w:val="24"/>
              </w:rPr>
            </w:pPr>
            <w:r>
              <w:rPr>
                <w:noProof/>
              </w:rPr>
              <w:t>a)</w:t>
            </w:r>
            <w:r>
              <w:rPr>
                <w:noProof/>
              </w:rPr>
              <w:tab/>
              <w:t>la structure de la carrosserie ou le type de carrosserie tel que défini dans la section 4 de la partie C et dans l’appendice 2 (uniquement pour véhicules complets et complétés);</w:t>
            </w:r>
          </w:p>
          <w:p>
            <w:pPr>
              <w:spacing w:after="0"/>
              <w:ind w:left="573" w:hanging="567"/>
              <w:rPr>
                <w:rFonts w:eastAsia="Arial Unicode MS"/>
                <w:noProof/>
                <w:szCs w:val="24"/>
              </w:rPr>
            </w:pPr>
            <w:r>
              <w:rPr>
                <w:noProof/>
              </w:rPr>
              <w:t>b)</w:t>
            </w:r>
            <w:r>
              <w:rPr>
                <w:noProof/>
              </w:rPr>
              <w:tab/>
              <w:t>le stade d’achèvement (par exemple, complet/incomplet/complété);</w:t>
            </w:r>
          </w:p>
          <w:p>
            <w:pPr>
              <w:spacing w:after="0"/>
              <w:ind w:left="573" w:hanging="567"/>
              <w:rPr>
                <w:rFonts w:eastAsia="Arial Unicode MS"/>
                <w:noProof/>
                <w:szCs w:val="24"/>
              </w:rPr>
            </w:pPr>
            <w:r>
              <w:rPr>
                <w:noProof/>
              </w:rPr>
              <w:t>c)</w:t>
            </w:r>
            <w:r>
              <w:rPr>
                <w:noProof/>
              </w:rPr>
              <w:tab/>
              <w:t xml:space="preserve">le groupe moteur, en ce qui concerne les caractéristiques de construction </w:t>
            </w:r>
            <w:r>
              <w:rPr>
                <w:noProof/>
              </w:rPr>
              <w:lastRenderedPageBreak/>
              <w:t>suivantes:</w:t>
            </w:r>
          </w:p>
          <w:p>
            <w:pPr>
              <w:spacing w:before="60" w:after="0"/>
              <w:ind w:left="1140" w:hanging="567"/>
              <w:rPr>
                <w:rFonts w:eastAsia="Arial Unicode MS"/>
                <w:noProof/>
                <w:szCs w:val="24"/>
              </w:rPr>
            </w:pPr>
            <w:r>
              <w:rPr>
                <w:noProof/>
              </w:rPr>
              <w:t>i)</w:t>
            </w:r>
            <w:r>
              <w:rPr>
                <w:noProof/>
              </w:rPr>
              <w:tab/>
              <w:t>le type d’alimentation en énergie (moteur à combustion interne, moteur électrique ou autre);</w:t>
            </w:r>
          </w:p>
          <w:p>
            <w:pPr>
              <w:spacing w:before="60" w:after="0"/>
              <w:ind w:left="1140" w:hanging="567"/>
              <w:rPr>
                <w:rFonts w:eastAsia="Arial Unicode MS"/>
                <w:noProof/>
                <w:szCs w:val="24"/>
              </w:rPr>
            </w:pPr>
            <w:r>
              <w:rPr>
                <w:noProof/>
              </w:rPr>
              <w:t>ii)</w:t>
            </w:r>
            <w:r>
              <w:rPr>
                <w:noProof/>
              </w:rPr>
              <w:tab/>
              <w:t>le principe de fonctionnement (allumage commandé, allumage par compression ou autre);</w:t>
            </w:r>
          </w:p>
          <w:p>
            <w:pPr>
              <w:spacing w:before="60" w:after="0"/>
              <w:ind w:left="1140" w:hanging="567"/>
              <w:rPr>
                <w:rFonts w:eastAsia="Arial Unicode MS"/>
                <w:noProof/>
                <w:szCs w:val="24"/>
              </w:rPr>
            </w:pPr>
            <w:r>
              <w:rPr>
                <w:noProof/>
              </w:rPr>
              <w:t>iii)</w:t>
            </w:r>
            <w:r>
              <w:rPr>
                <w:noProof/>
              </w:rPr>
              <w:tab/>
              <w:t>le nombre et la disposition des cylindres dans le cas d’un moteur à combustion interne (L6, V8 ou autre);</w:t>
            </w:r>
          </w:p>
          <w:p>
            <w:pPr>
              <w:spacing w:after="0"/>
              <w:ind w:left="573" w:hanging="567"/>
              <w:rPr>
                <w:rFonts w:eastAsia="Arial Unicode MS"/>
                <w:noProof/>
                <w:szCs w:val="24"/>
              </w:rPr>
            </w:pPr>
            <w:r>
              <w:rPr>
                <w:noProof/>
              </w:rPr>
              <w:t>d)</w:t>
            </w:r>
            <w:r>
              <w:rPr>
                <w:noProof/>
              </w:rPr>
              <w:tab/>
              <w:t>le nombre et l’interconnexion des essieux moteurs;</w:t>
            </w:r>
          </w:p>
          <w:p>
            <w:pPr>
              <w:spacing w:after="0"/>
              <w:ind w:left="573" w:hanging="567"/>
              <w:rPr>
                <w:rFonts w:eastAsia="Arial Unicode MS"/>
                <w:noProof/>
                <w:szCs w:val="24"/>
              </w:rPr>
            </w:pPr>
            <w:r>
              <w:rPr>
                <w:noProof/>
              </w:rPr>
              <w:t>e)</w:t>
            </w:r>
            <w:r>
              <w:rPr>
                <w:noProof/>
              </w:rPr>
              <w:tab/>
              <w:t>le nombre d’essieux directeurs;</w:t>
            </w:r>
          </w:p>
          <w:p>
            <w:pPr>
              <w:spacing w:after="0"/>
              <w:ind w:left="573" w:hanging="567"/>
              <w:rPr>
                <w:rFonts w:eastAsia="Arial Unicode MS"/>
                <w:noProof/>
                <w:szCs w:val="24"/>
              </w:rPr>
            </w:pPr>
            <w:r>
              <w:rPr>
                <w:noProof/>
              </w:rPr>
              <w:t>f)</w:t>
            </w:r>
            <w:r>
              <w:rPr>
                <w:noProof/>
              </w:rPr>
              <w:tab/>
              <w:t>dans le cas de véhicules construits en plusieurs étapes, le constructeur et le type du véhicule de l’étape antérieure.</w:t>
            </w:r>
          </w:p>
        </w:tc>
      </w:tr>
    </w:tbl>
    <w:p>
      <w:pPr>
        <w:spacing w:before="240" w:after="0"/>
        <w:ind w:left="1134" w:hanging="1134"/>
        <w:jc w:val="left"/>
        <w:rPr>
          <w:rFonts w:eastAsia="Arial Unicode MS"/>
          <w:bCs/>
          <w:noProof/>
          <w:szCs w:val="24"/>
        </w:rPr>
      </w:pPr>
      <w:r>
        <w:rPr>
          <w:noProof/>
        </w:rPr>
        <w:lastRenderedPageBreak/>
        <w:t>4.3.</w:t>
      </w:r>
      <w:r>
        <w:rPr>
          <w:noProof/>
        </w:rPr>
        <w:tab/>
        <w:t xml:space="preserve">Version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4.3.1.</w:t>
            </w:r>
          </w:p>
        </w:tc>
        <w:tc>
          <w:tcPr>
            <w:tcW w:w="4377" w:type="pct"/>
            <w:hideMark/>
          </w:tcPr>
          <w:p>
            <w:pPr>
              <w:spacing w:after="0"/>
              <w:rPr>
                <w:rFonts w:eastAsia="Arial Unicode MS"/>
                <w:noProof/>
                <w:szCs w:val="24"/>
              </w:rPr>
            </w:pPr>
            <w:r>
              <w:rPr>
                <w:noProof/>
              </w:rPr>
              <w:t>Par «version» à l’intérieur d’une variante, on entend les véhicules ayant en commun les caractéristiques suivantes:</w:t>
            </w:r>
          </w:p>
          <w:p>
            <w:pPr>
              <w:spacing w:after="0"/>
              <w:ind w:left="573" w:hanging="567"/>
              <w:rPr>
                <w:rFonts w:eastAsia="Arial Unicode MS"/>
                <w:noProof/>
                <w:szCs w:val="24"/>
              </w:rPr>
            </w:pPr>
            <w:r>
              <w:rPr>
                <w:noProof/>
              </w:rPr>
              <w:t>a)</w:t>
            </w:r>
            <w:r>
              <w:rPr>
                <w:noProof/>
              </w:rPr>
              <w:tab/>
              <w:t>la masse en charge maximale techniquement admissible;</w:t>
            </w:r>
          </w:p>
          <w:p>
            <w:pPr>
              <w:spacing w:after="0"/>
              <w:ind w:left="573" w:hanging="567"/>
              <w:rPr>
                <w:rFonts w:eastAsia="Arial Unicode MS"/>
                <w:noProof/>
                <w:szCs w:val="24"/>
              </w:rPr>
            </w:pPr>
            <w:r>
              <w:rPr>
                <w:noProof/>
              </w:rPr>
              <w:t>b)</w:t>
            </w:r>
            <w:r>
              <w:rPr>
                <w:noProof/>
              </w:rPr>
              <w:tab/>
              <w:t>la capacité ou l’incapacité de tracter l’une des remorques suivantes:</w:t>
            </w:r>
          </w:p>
          <w:p>
            <w:pPr>
              <w:spacing w:before="60" w:after="0"/>
              <w:ind w:left="1140" w:hanging="567"/>
              <w:rPr>
                <w:rFonts w:eastAsia="Arial Unicode MS"/>
                <w:noProof/>
                <w:szCs w:val="24"/>
              </w:rPr>
            </w:pPr>
            <w:r>
              <w:rPr>
                <w:noProof/>
              </w:rPr>
              <w:t>i)</w:t>
            </w:r>
            <w:r>
              <w:rPr>
                <w:noProof/>
              </w:rPr>
              <w:tab/>
              <w:t>une remorque non freinée;</w:t>
            </w:r>
          </w:p>
          <w:p>
            <w:pPr>
              <w:spacing w:before="60" w:after="0"/>
              <w:ind w:left="1140" w:hanging="567"/>
              <w:rPr>
                <w:rFonts w:eastAsia="Arial Unicode MS"/>
                <w:noProof/>
                <w:szCs w:val="24"/>
              </w:rPr>
            </w:pPr>
            <w:r>
              <w:rPr>
                <w:noProof/>
              </w:rPr>
              <w:t>ii)</w:t>
            </w:r>
            <w:r>
              <w:rPr>
                <w:noProof/>
              </w:rPr>
              <w:tab/>
              <w:t>une remorque équipée d’un système de freinage par inertie, tel que défini au paragraphe 2.12 du règlement n</w:t>
            </w:r>
            <w:r>
              <w:rPr>
                <w:noProof/>
                <w:vertAlign w:val="superscript"/>
              </w:rPr>
              <w:t>o</w:t>
            </w:r>
            <w:r>
              <w:rPr>
                <w:noProof/>
              </w:rPr>
              <w:t> 13 de la CEE-ONU;</w:t>
            </w:r>
          </w:p>
          <w:p>
            <w:pPr>
              <w:spacing w:before="60" w:after="0"/>
              <w:ind w:left="1140" w:hanging="567"/>
              <w:rPr>
                <w:rFonts w:eastAsia="Arial Unicode MS"/>
                <w:noProof/>
                <w:szCs w:val="24"/>
              </w:rPr>
            </w:pPr>
            <w:r>
              <w:rPr>
                <w:noProof/>
              </w:rPr>
              <w:t>iii)</w:t>
            </w:r>
            <w:r>
              <w:rPr>
                <w:noProof/>
              </w:rPr>
              <w:tab/>
              <w:t>une remorque équipée d’un système de freinage continu ou semi-continu, tel que défini aux paragraphes 2.9 et 2.10 du règlement n</w:t>
            </w:r>
            <w:r>
              <w:rPr>
                <w:noProof/>
                <w:vertAlign w:val="superscript"/>
              </w:rPr>
              <w:t>o</w:t>
            </w:r>
            <w:r>
              <w:rPr>
                <w:noProof/>
              </w:rPr>
              <w:t> 13 de la CEE-ONU;</w:t>
            </w:r>
          </w:p>
          <w:p>
            <w:pPr>
              <w:spacing w:before="60" w:after="0"/>
              <w:ind w:left="1140" w:hanging="567"/>
              <w:rPr>
                <w:rFonts w:eastAsia="Arial Unicode MS"/>
                <w:noProof/>
                <w:szCs w:val="24"/>
              </w:rPr>
            </w:pPr>
            <w:r>
              <w:rPr>
                <w:noProof/>
              </w:rPr>
              <w:t>iv)</w:t>
            </w:r>
            <w:r>
              <w:rPr>
                <w:noProof/>
              </w:rPr>
              <w:tab/>
              <w:t>une remorque de la catégorie O</w:t>
            </w:r>
            <w:r>
              <w:rPr>
                <w:noProof/>
                <w:vertAlign w:val="subscript"/>
              </w:rPr>
              <w:t>4</w:t>
            </w:r>
            <w:r>
              <w:rPr>
                <w:noProof/>
              </w:rPr>
              <w:t xml:space="preserve"> qui donne une masse maximale de l’ensemble n’excédant pas 44 tonnes;</w:t>
            </w:r>
          </w:p>
          <w:p>
            <w:pPr>
              <w:spacing w:before="60" w:after="0"/>
              <w:ind w:left="1140" w:hanging="567"/>
              <w:rPr>
                <w:rFonts w:eastAsia="Arial Unicode MS"/>
                <w:noProof/>
                <w:szCs w:val="24"/>
              </w:rPr>
            </w:pPr>
            <w:r>
              <w:rPr>
                <w:noProof/>
              </w:rPr>
              <w:t>v)</w:t>
            </w:r>
            <w:r>
              <w:rPr>
                <w:noProof/>
              </w:rPr>
              <w:tab/>
              <w:t>une remorque de la catégorie O</w:t>
            </w:r>
            <w:r>
              <w:rPr>
                <w:noProof/>
                <w:vertAlign w:val="subscript"/>
              </w:rPr>
              <w:t>4</w:t>
            </w:r>
            <w:r>
              <w:rPr>
                <w:noProof/>
              </w:rPr>
              <w:t xml:space="preserve"> qui donne une masse maximale de l’ensemble excédant 44 tonnes;</w:t>
            </w:r>
          </w:p>
          <w:p>
            <w:pPr>
              <w:spacing w:after="0"/>
              <w:ind w:left="573" w:hanging="567"/>
              <w:rPr>
                <w:rFonts w:eastAsia="Arial Unicode MS"/>
                <w:noProof/>
                <w:szCs w:val="24"/>
              </w:rPr>
            </w:pPr>
            <w:r>
              <w:rPr>
                <w:noProof/>
              </w:rPr>
              <w:t>c)</w:t>
            </w:r>
            <w:r>
              <w:rPr>
                <w:noProof/>
              </w:rPr>
              <w:tab/>
              <w:t>la cylindrée du moteur;</w:t>
            </w:r>
          </w:p>
          <w:p>
            <w:pPr>
              <w:spacing w:after="0"/>
              <w:ind w:left="573" w:hanging="567"/>
              <w:rPr>
                <w:rFonts w:eastAsia="Arial Unicode MS"/>
                <w:noProof/>
                <w:szCs w:val="24"/>
              </w:rPr>
            </w:pPr>
            <w:r>
              <w:rPr>
                <w:noProof/>
              </w:rPr>
              <w:t>d)</w:t>
            </w:r>
            <w:r>
              <w:rPr>
                <w:noProof/>
              </w:rPr>
              <w:tab/>
              <w:t>la puissance de sortie maximale du moteur;</w:t>
            </w:r>
          </w:p>
          <w:p>
            <w:pPr>
              <w:spacing w:after="0"/>
              <w:ind w:left="573" w:hanging="567"/>
              <w:rPr>
                <w:rFonts w:eastAsia="Arial Unicode MS"/>
                <w:noProof/>
                <w:szCs w:val="24"/>
              </w:rPr>
            </w:pPr>
            <w:r>
              <w:rPr>
                <w:noProof/>
              </w:rPr>
              <w:t>e)</w:t>
            </w:r>
            <w:r>
              <w:rPr>
                <w:noProof/>
              </w:rPr>
              <w:tab/>
              <w:t>la nature du carburant (essence, gazole, GPL, bicarburant ou autre);</w:t>
            </w:r>
          </w:p>
          <w:p>
            <w:pPr>
              <w:spacing w:after="0"/>
              <w:ind w:left="573" w:hanging="567"/>
              <w:rPr>
                <w:rFonts w:eastAsia="Arial Unicode MS"/>
                <w:noProof/>
                <w:szCs w:val="24"/>
              </w:rPr>
            </w:pPr>
            <w:r>
              <w:rPr>
                <w:noProof/>
              </w:rPr>
              <w:t>f)</w:t>
            </w:r>
            <w:r>
              <w:rPr>
                <w:noProof/>
              </w:rPr>
              <w:tab/>
              <w:t>le niveau sonore du véhicule en marche (passage);</w:t>
            </w:r>
          </w:p>
          <w:p>
            <w:pPr>
              <w:spacing w:after="0"/>
              <w:ind w:left="573" w:hanging="567"/>
              <w:rPr>
                <w:rFonts w:eastAsia="Arial Unicode MS"/>
                <w:noProof/>
                <w:szCs w:val="24"/>
              </w:rPr>
            </w:pPr>
            <w:r>
              <w:rPr>
                <w:noProof/>
              </w:rPr>
              <w:t>g)</w:t>
            </w:r>
            <w:r>
              <w:rPr>
                <w:noProof/>
              </w:rPr>
              <w:tab/>
              <w:t>le niveau des émissions d’échappement (par exemple, Euro IV, Euro V ou autre);</w:t>
            </w:r>
          </w:p>
        </w:tc>
      </w:tr>
    </w:tbl>
    <w:p>
      <w:pPr>
        <w:spacing w:before="240"/>
        <w:ind w:left="1134" w:hanging="1134"/>
        <w:jc w:val="left"/>
        <w:rPr>
          <w:rFonts w:eastAsia="Arial Unicode MS"/>
          <w:b/>
          <w:bCs/>
          <w:noProof/>
          <w:szCs w:val="24"/>
        </w:rPr>
      </w:pPr>
      <w:r>
        <w:rPr>
          <w:noProof/>
        </w:rPr>
        <w:t>5.</w:t>
      </w:r>
      <w:r>
        <w:rPr>
          <w:noProof/>
        </w:rPr>
        <w:tab/>
      </w:r>
      <w:r>
        <w:rPr>
          <w:b/>
          <w:noProof/>
        </w:rPr>
        <w:t>Catégories O</w:t>
      </w:r>
      <w:r>
        <w:rPr>
          <w:b/>
          <w:noProof/>
          <w:vertAlign w:val="subscript"/>
        </w:rPr>
        <w:t>1</w:t>
      </w:r>
      <w:r>
        <w:rPr>
          <w:b/>
          <w:noProof/>
        </w:rPr>
        <w:t xml:space="preserve"> et O</w:t>
      </w:r>
      <w:r>
        <w:rPr>
          <w:b/>
          <w:noProof/>
          <w:vertAlign w:val="subscript"/>
        </w:rPr>
        <w:t>2</w:t>
      </w:r>
      <w:r>
        <w:rPr>
          <w:b/>
          <w:noProof/>
        </w:rPr>
        <w:t xml:space="preserve"> </w:t>
      </w:r>
    </w:p>
    <w:p>
      <w:pPr>
        <w:spacing w:before="240"/>
        <w:ind w:left="1134" w:hanging="1134"/>
        <w:jc w:val="left"/>
        <w:rPr>
          <w:rFonts w:eastAsia="Arial Unicode MS"/>
          <w:bCs/>
          <w:noProof/>
          <w:szCs w:val="24"/>
        </w:rPr>
      </w:pPr>
      <w:r>
        <w:rPr>
          <w:noProof/>
        </w:rPr>
        <w:t>5.1.</w:t>
      </w:r>
      <w:r>
        <w:rPr>
          <w:noProof/>
        </w:rPr>
        <w:tab/>
        <w:t xml:space="preserve">Type de véhicule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Par «type de véhicule», on entend les véhicules qui ont en commun les éléments suivants:</w:t>
            </w:r>
          </w:p>
          <w:p>
            <w:pPr>
              <w:spacing w:after="0"/>
              <w:ind w:left="567" w:hanging="567"/>
              <w:rPr>
                <w:rFonts w:eastAsia="Arial Unicode MS"/>
                <w:noProof/>
                <w:szCs w:val="24"/>
              </w:rPr>
            </w:pPr>
            <w:r>
              <w:rPr>
                <w:noProof/>
              </w:rPr>
              <w:t>a)</w:t>
            </w:r>
            <w:r>
              <w:rPr>
                <w:noProof/>
              </w:rPr>
              <w:tab/>
              <w:t>le nom de la société du constructeur.</w:t>
            </w:r>
          </w:p>
          <w:p>
            <w:pPr>
              <w:ind w:left="567"/>
              <w:rPr>
                <w:rFonts w:eastAsia="Arial Unicode MS"/>
                <w:noProof/>
                <w:szCs w:val="24"/>
              </w:rPr>
            </w:pPr>
            <w:r>
              <w:rPr>
                <w:noProof/>
              </w:rPr>
              <w:t xml:space="preserve">Une modification de la forme juridique de propriété de la société ne requiert </w:t>
            </w:r>
            <w:r>
              <w:rPr>
                <w:noProof/>
              </w:rPr>
              <w:lastRenderedPageBreak/>
              <w:t>pas la délivrance d’une nouvelle réception;</w:t>
            </w:r>
          </w:p>
          <w:p>
            <w:pPr>
              <w:spacing w:after="0"/>
              <w:ind w:left="567" w:hanging="567"/>
              <w:rPr>
                <w:rFonts w:eastAsia="Arial Unicode MS"/>
                <w:noProof/>
                <w:szCs w:val="24"/>
              </w:rPr>
            </w:pPr>
            <w:r>
              <w:rPr>
                <w:noProof/>
              </w:rPr>
              <w:t>b)</w:t>
            </w:r>
            <w:r>
              <w:rPr>
                <w:noProof/>
              </w:rPr>
              <w:tab/>
              <w:t>la catégorie;</w:t>
            </w:r>
          </w:p>
          <w:p>
            <w:pPr>
              <w:spacing w:after="0"/>
              <w:ind w:left="567" w:hanging="567"/>
              <w:rPr>
                <w:rFonts w:eastAsia="Arial Unicode MS"/>
                <w:noProof/>
                <w:szCs w:val="24"/>
              </w:rPr>
            </w:pPr>
            <w:r>
              <w:rPr>
                <w:noProof/>
              </w:rPr>
              <w:t>c)</w:t>
            </w:r>
            <w:r>
              <w:rPr>
                <w:noProof/>
              </w:rPr>
              <w:tab/>
              <w:t>le concept, tel que défini dans la section 5 de la partie C;</w:t>
            </w:r>
          </w:p>
          <w:p>
            <w:pPr>
              <w:spacing w:after="0"/>
              <w:ind w:left="567" w:hanging="567"/>
              <w:rPr>
                <w:rFonts w:eastAsia="Arial Unicode MS"/>
                <w:noProof/>
                <w:szCs w:val="24"/>
              </w:rPr>
            </w:pPr>
            <w:r>
              <w:rPr>
                <w:noProof/>
              </w:rPr>
              <w:t>d)</w:t>
            </w:r>
            <w:r>
              <w:rPr>
                <w:noProof/>
              </w:rPr>
              <w:tab/>
              <w:t>les aspects de construction et de conception suivants:</w:t>
            </w:r>
          </w:p>
          <w:p>
            <w:pPr>
              <w:spacing w:after="0"/>
              <w:ind w:left="1134" w:hanging="567"/>
              <w:rPr>
                <w:rFonts w:eastAsia="Arial Unicode MS"/>
                <w:noProof/>
                <w:szCs w:val="24"/>
              </w:rPr>
            </w:pPr>
            <w:r>
              <w:rPr>
                <w:noProof/>
              </w:rPr>
              <w:t>i)</w:t>
            </w:r>
            <w:r>
              <w:rPr>
                <w:noProof/>
              </w:rPr>
              <w:tab/>
              <w:t>la conception et la construction des éléments essentiels formant le châssis;</w:t>
            </w:r>
          </w:p>
          <w:p>
            <w:pPr>
              <w:spacing w:after="0"/>
              <w:ind w:left="1134" w:hanging="567"/>
              <w:rPr>
                <w:rFonts w:eastAsia="Arial Unicode MS"/>
                <w:noProof/>
                <w:szCs w:val="24"/>
              </w:rPr>
            </w:pPr>
            <w:r>
              <w:rPr>
                <w:noProof/>
              </w:rPr>
              <w:t>ii)</w:t>
            </w:r>
            <w:r>
              <w:rPr>
                <w:noProof/>
              </w:rPr>
              <w:tab/>
              <w:t>la conception et la construction des éléments essentiels formant la structure de la carrosserie dans le cas d’une structure autoportante;</w:t>
            </w:r>
          </w:p>
          <w:p>
            <w:pPr>
              <w:spacing w:after="0"/>
              <w:ind w:left="567" w:hanging="567"/>
              <w:rPr>
                <w:rFonts w:eastAsia="Arial Unicode MS"/>
                <w:noProof/>
                <w:szCs w:val="24"/>
              </w:rPr>
            </w:pPr>
            <w:r>
              <w:rPr>
                <w:noProof/>
              </w:rPr>
              <w:t>e)</w:t>
            </w:r>
            <w:r>
              <w:rPr>
                <w:noProof/>
              </w:rPr>
              <w:tab/>
              <w:t>le nombre d’essieux.</w:t>
            </w:r>
          </w:p>
        </w:tc>
      </w:tr>
      <w:tr>
        <w:trPr>
          <w:tblCellSpacing w:w="0" w:type="dxa"/>
        </w:trPr>
        <w:tc>
          <w:tcPr>
            <w:tcW w:w="0" w:type="auto"/>
            <w:hideMark/>
          </w:tcPr>
          <w:p>
            <w:pPr>
              <w:spacing w:after="0"/>
              <w:rPr>
                <w:rFonts w:eastAsia="Arial Unicode MS"/>
                <w:noProof/>
                <w:szCs w:val="24"/>
              </w:rPr>
            </w:pPr>
            <w:r>
              <w:rPr>
                <w:noProof/>
              </w:rPr>
              <w:lastRenderedPageBreak/>
              <w:t>5.1.2.</w:t>
            </w:r>
          </w:p>
        </w:tc>
        <w:tc>
          <w:tcPr>
            <w:tcW w:w="0" w:type="auto"/>
            <w:hideMark/>
          </w:tcPr>
          <w:p>
            <w:pPr>
              <w:spacing w:after="0"/>
              <w:rPr>
                <w:rFonts w:eastAsia="Arial Unicode MS"/>
                <w:noProof/>
                <w:szCs w:val="24"/>
              </w:rPr>
            </w:pPr>
            <w:r>
              <w:rPr>
                <w:noProof/>
              </w:rPr>
              <w:t>Un type de véhicule se compose d’au moins une variante et une version.</w:t>
            </w:r>
          </w:p>
        </w:tc>
      </w:tr>
    </w:tbl>
    <w:p>
      <w:pPr>
        <w:spacing w:before="240"/>
        <w:ind w:left="1134" w:hanging="1134"/>
        <w:jc w:val="left"/>
        <w:rPr>
          <w:rFonts w:eastAsia="Arial Unicode MS"/>
          <w:bCs/>
          <w:noProof/>
          <w:szCs w:val="24"/>
        </w:rPr>
      </w:pPr>
      <w:r>
        <w:rPr>
          <w:noProof/>
        </w:rPr>
        <w:t>5.2.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5.2.1.</w:t>
            </w:r>
          </w:p>
        </w:tc>
        <w:tc>
          <w:tcPr>
            <w:tcW w:w="4377" w:type="pct"/>
            <w:hideMark/>
          </w:tcPr>
          <w:p>
            <w:pPr>
              <w:spacing w:after="0"/>
              <w:rPr>
                <w:rFonts w:eastAsia="Arial Unicode MS"/>
                <w:noProof/>
                <w:szCs w:val="24"/>
              </w:rPr>
            </w:pPr>
            <w:r>
              <w:rPr>
                <w:noProof/>
              </w:rPr>
              <w:t>Par «variante» au sein d’un type de véhicule, on entend les véhicules qui ont en commun les caractéristiques de construction suivantes:</w:t>
            </w:r>
          </w:p>
          <w:p>
            <w:pPr>
              <w:spacing w:after="0"/>
              <w:ind w:left="571" w:hanging="567"/>
              <w:rPr>
                <w:rFonts w:eastAsia="Arial Unicode MS"/>
                <w:noProof/>
                <w:szCs w:val="24"/>
              </w:rPr>
            </w:pPr>
            <w:r>
              <w:rPr>
                <w:noProof/>
              </w:rPr>
              <w:t>a)</w:t>
            </w:r>
            <w:r>
              <w:rPr>
                <w:noProof/>
              </w:rPr>
              <w:tab/>
              <w:t>le type de carrosserie, tel que défini dans l’appendice 2 (pour les véhicules complets et complétés);</w:t>
            </w:r>
          </w:p>
          <w:p>
            <w:pPr>
              <w:spacing w:after="0"/>
              <w:ind w:left="571" w:hanging="567"/>
              <w:rPr>
                <w:rFonts w:eastAsia="Arial Unicode MS"/>
                <w:noProof/>
                <w:szCs w:val="24"/>
              </w:rPr>
            </w:pPr>
            <w:r>
              <w:rPr>
                <w:noProof/>
              </w:rPr>
              <w:t>b)</w:t>
            </w:r>
            <w:r>
              <w:rPr>
                <w:noProof/>
              </w:rPr>
              <w:tab/>
              <w:t>le stade d’achèvement (par exemple, complet/incomplet/complété);</w:t>
            </w:r>
          </w:p>
          <w:p>
            <w:pPr>
              <w:spacing w:after="0"/>
              <w:ind w:left="571" w:hanging="567"/>
              <w:rPr>
                <w:rFonts w:eastAsia="Arial Unicode MS"/>
                <w:noProof/>
                <w:szCs w:val="24"/>
              </w:rPr>
            </w:pPr>
            <w:r>
              <w:rPr>
                <w:noProof/>
              </w:rPr>
              <w:t>c)</w:t>
            </w:r>
            <w:r>
              <w:rPr>
                <w:noProof/>
              </w:rPr>
              <w:tab/>
              <w:t>le type de système de freinage (par exemple, non freiné/par inertie/commandé);</w:t>
            </w:r>
          </w:p>
          <w:p>
            <w:pPr>
              <w:spacing w:after="0"/>
              <w:ind w:left="571" w:hanging="567"/>
              <w:rPr>
                <w:rFonts w:eastAsia="Arial Unicode MS"/>
                <w:noProof/>
                <w:szCs w:val="24"/>
              </w:rPr>
            </w:pPr>
            <w:r>
              <w:rPr>
                <w:noProof/>
              </w:rPr>
              <w:t>d)</w:t>
            </w:r>
            <w:r>
              <w:rPr>
                <w:noProof/>
              </w:rPr>
              <w:tab/>
              <w:t>dans le cas de véhicules construits en plusieurs étapes, le constructeur et le type du véhicule de l’étape antérieure.</w:t>
            </w:r>
          </w:p>
        </w:tc>
      </w:tr>
    </w:tbl>
    <w:p>
      <w:pPr>
        <w:spacing w:before="240"/>
        <w:ind w:left="1134" w:hanging="1134"/>
        <w:jc w:val="left"/>
        <w:rPr>
          <w:rFonts w:eastAsia="Arial Unicode MS"/>
          <w:bCs/>
          <w:noProof/>
          <w:szCs w:val="24"/>
        </w:rPr>
      </w:pPr>
      <w:r>
        <w:rPr>
          <w:noProof/>
        </w:rPr>
        <w:t>5.3.</w:t>
      </w:r>
      <w:r>
        <w:rPr>
          <w:noProof/>
        </w:rPr>
        <w:tab/>
        <w:t xml:space="preserve">Version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Par «version» à l’intérieur d’une variante, on entend les véhicules ayant en commun les caractéristiques suivantes:</w:t>
            </w:r>
          </w:p>
          <w:p>
            <w:pPr>
              <w:spacing w:after="0"/>
              <w:ind w:left="567" w:hanging="567"/>
              <w:rPr>
                <w:rFonts w:eastAsia="Arial Unicode MS"/>
                <w:noProof/>
                <w:szCs w:val="24"/>
              </w:rPr>
            </w:pPr>
            <w:r>
              <w:rPr>
                <w:noProof/>
              </w:rPr>
              <w:t>a)</w:t>
            </w:r>
            <w:r>
              <w:rPr>
                <w:noProof/>
              </w:rPr>
              <w:tab/>
              <w:t>la masse en charge maximale techniquement admissible;</w:t>
            </w:r>
          </w:p>
          <w:p>
            <w:pPr>
              <w:spacing w:after="0"/>
              <w:ind w:left="567" w:hanging="567"/>
              <w:rPr>
                <w:rFonts w:eastAsia="Arial Unicode MS"/>
                <w:noProof/>
                <w:szCs w:val="24"/>
              </w:rPr>
            </w:pPr>
            <w:r>
              <w:rPr>
                <w:noProof/>
              </w:rPr>
              <w:t>b)</w:t>
            </w:r>
            <w:r>
              <w:rPr>
                <w:noProof/>
              </w:rPr>
              <w:tab/>
              <w:t>le concept de suspension (suspension pneumatique, suspension métallique ou suspension en caoutchouc, barre de torsion ou autre);</w:t>
            </w:r>
          </w:p>
          <w:p>
            <w:pPr>
              <w:spacing w:after="0"/>
              <w:ind w:left="567" w:hanging="567"/>
              <w:rPr>
                <w:rFonts w:eastAsia="Arial Unicode MS"/>
                <w:noProof/>
                <w:szCs w:val="24"/>
              </w:rPr>
            </w:pPr>
            <w:r>
              <w:rPr>
                <w:noProof/>
              </w:rPr>
              <w:t>c)</w:t>
            </w:r>
            <w:r>
              <w:rPr>
                <w:noProof/>
              </w:rPr>
              <w:tab/>
              <w:t>le concept de timon (triangle, tube ou autre).</w:t>
            </w:r>
          </w:p>
        </w:tc>
      </w:tr>
    </w:tbl>
    <w:p>
      <w:pPr>
        <w:spacing w:before="240"/>
        <w:ind w:left="1134" w:hanging="1134"/>
        <w:jc w:val="left"/>
        <w:rPr>
          <w:rFonts w:eastAsia="Arial Unicode MS"/>
          <w:b/>
          <w:bCs/>
          <w:noProof/>
          <w:szCs w:val="24"/>
        </w:rPr>
      </w:pPr>
      <w:r>
        <w:rPr>
          <w:noProof/>
        </w:rPr>
        <w:t>6.</w:t>
      </w:r>
      <w:r>
        <w:rPr>
          <w:noProof/>
        </w:rPr>
        <w:tab/>
      </w:r>
      <w:r>
        <w:rPr>
          <w:b/>
          <w:noProof/>
        </w:rPr>
        <w:t>Catégories O</w:t>
      </w:r>
      <w:r>
        <w:rPr>
          <w:b/>
          <w:noProof/>
          <w:vertAlign w:val="subscript"/>
        </w:rPr>
        <w:t>3</w:t>
      </w:r>
      <w:r>
        <w:rPr>
          <w:b/>
          <w:noProof/>
        </w:rPr>
        <w:t xml:space="preserve"> et O</w:t>
      </w:r>
      <w:r>
        <w:rPr>
          <w:b/>
          <w:noProof/>
          <w:vertAlign w:val="subscript"/>
        </w:rPr>
        <w:t>4</w:t>
      </w:r>
      <w:r>
        <w:rPr>
          <w:b/>
          <w:noProof/>
        </w:rPr>
        <w:t xml:space="preserve"> </w:t>
      </w:r>
    </w:p>
    <w:p>
      <w:pPr>
        <w:spacing w:before="240"/>
        <w:ind w:left="1134" w:hanging="1134"/>
        <w:jc w:val="left"/>
        <w:rPr>
          <w:rFonts w:eastAsia="Arial Unicode MS"/>
          <w:bCs/>
          <w:noProof/>
          <w:szCs w:val="24"/>
        </w:rPr>
      </w:pPr>
      <w:r>
        <w:rPr>
          <w:noProof/>
        </w:rPr>
        <w:t>6.1.</w:t>
      </w:r>
      <w:r>
        <w:rPr>
          <w:noProof/>
        </w:rPr>
        <w:tab/>
        <w:t xml:space="preserve">Type de véhicule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Par «type de véhicule», on entend les véhicules qui ont en commun les éléments suivants:</w:t>
            </w:r>
          </w:p>
          <w:p>
            <w:pPr>
              <w:spacing w:after="0"/>
              <w:ind w:left="571" w:hanging="567"/>
              <w:rPr>
                <w:rFonts w:eastAsia="Arial Unicode MS"/>
                <w:noProof/>
                <w:szCs w:val="24"/>
              </w:rPr>
            </w:pPr>
            <w:r>
              <w:rPr>
                <w:noProof/>
              </w:rPr>
              <w:t>a)</w:t>
            </w:r>
            <w:r>
              <w:rPr>
                <w:noProof/>
              </w:rPr>
              <w:tab/>
              <w:t>le nom de la société du constructeur.</w:t>
            </w:r>
          </w:p>
          <w:p>
            <w:pPr>
              <w:ind w:left="573"/>
              <w:rPr>
                <w:rFonts w:eastAsia="Arial Unicode MS"/>
                <w:noProof/>
                <w:szCs w:val="24"/>
              </w:rPr>
            </w:pPr>
            <w:r>
              <w:rPr>
                <w:noProof/>
              </w:rPr>
              <w:t>Une modification de la forme juridique de propriété de la société ne requiert pas la délivrance d’une nouvelle réception;</w:t>
            </w:r>
          </w:p>
          <w:p>
            <w:pPr>
              <w:spacing w:after="0"/>
              <w:ind w:left="571" w:hanging="567"/>
              <w:rPr>
                <w:rFonts w:eastAsia="Arial Unicode MS"/>
                <w:noProof/>
                <w:szCs w:val="24"/>
              </w:rPr>
            </w:pPr>
            <w:r>
              <w:rPr>
                <w:noProof/>
              </w:rPr>
              <w:t>b)</w:t>
            </w:r>
            <w:r>
              <w:rPr>
                <w:noProof/>
              </w:rPr>
              <w:tab/>
              <w:t>la catégorie;</w:t>
            </w:r>
          </w:p>
          <w:p>
            <w:pPr>
              <w:spacing w:after="0"/>
              <w:ind w:left="571" w:hanging="567"/>
              <w:rPr>
                <w:rFonts w:eastAsia="Arial Unicode MS"/>
                <w:noProof/>
                <w:szCs w:val="24"/>
              </w:rPr>
            </w:pPr>
            <w:r>
              <w:rPr>
                <w:noProof/>
              </w:rPr>
              <w:lastRenderedPageBreak/>
              <w:t>c)</w:t>
            </w:r>
            <w:r>
              <w:rPr>
                <w:noProof/>
              </w:rPr>
              <w:tab/>
              <w:t>le concept de remorque par rapport aux définitions de la section 5 de la partie C;</w:t>
            </w:r>
          </w:p>
          <w:p>
            <w:pPr>
              <w:spacing w:after="0"/>
              <w:ind w:left="571" w:hanging="567"/>
              <w:rPr>
                <w:rFonts w:eastAsia="Arial Unicode MS"/>
                <w:noProof/>
                <w:szCs w:val="24"/>
              </w:rPr>
            </w:pPr>
            <w:r>
              <w:rPr>
                <w:noProof/>
              </w:rPr>
              <w:t>d)</w:t>
            </w:r>
            <w:r>
              <w:rPr>
                <w:noProof/>
              </w:rPr>
              <w:tab/>
              <w:t>les aspects de construction et de conception suivants:</w:t>
            </w:r>
          </w:p>
          <w:p>
            <w:pPr>
              <w:spacing w:after="0"/>
              <w:ind w:left="1138" w:hanging="567"/>
              <w:rPr>
                <w:rFonts w:eastAsia="Arial Unicode MS"/>
                <w:noProof/>
                <w:szCs w:val="24"/>
              </w:rPr>
            </w:pPr>
            <w:r>
              <w:rPr>
                <w:noProof/>
              </w:rPr>
              <w:t>i)</w:t>
            </w:r>
            <w:r>
              <w:rPr>
                <w:noProof/>
              </w:rPr>
              <w:tab/>
              <w:t>la conception et la construction des éléments essentiels formant le châssis;</w:t>
            </w:r>
          </w:p>
          <w:p>
            <w:pPr>
              <w:spacing w:after="0"/>
              <w:ind w:left="1138" w:hanging="567"/>
              <w:rPr>
                <w:rFonts w:eastAsia="Arial Unicode MS"/>
                <w:noProof/>
                <w:szCs w:val="24"/>
              </w:rPr>
            </w:pPr>
            <w:r>
              <w:rPr>
                <w:noProof/>
              </w:rPr>
              <w:t>ii)</w:t>
            </w:r>
            <w:r>
              <w:rPr>
                <w:noProof/>
              </w:rPr>
              <w:tab/>
              <w:t>la conception et la construction des éléments essentiels formant la structure de la carrosserie dans le cas de remorques munies d’une structure autoportante;</w:t>
            </w:r>
          </w:p>
          <w:p>
            <w:pPr>
              <w:spacing w:after="0"/>
              <w:ind w:left="571" w:hanging="567"/>
              <w:rPr>
                <w:rFonts w:eastAsia="Arial Unicode MS"/>
                <w:noProof/>
                <w:szCs w:val="24"/>
              </w:rPr>
            </w:pPr>
            <w:r>
              <w:rPr>
                <w:noProof/>
              </w:rPr>
              <w:t>e)</w:t>
            </w:r>
            <w:r>
              <w:rPr>
                <w:noProof/>
              </w:rPr>
              <w:tab/>
              <w:t>le nombre d’essieux.</w:t>
            </w:r>
          </w:p>
        </w:tc>
      </w:tr>
      <w:tr>
        <w:trPr>
          <w:tblCellSpacing w:w="0" w:type="dxa"/>
        </w:trPr>
        <w:tc>
          <w:tcPr>
            <w:tcW w:w="0" w:type="auto"/>
            <w:hideMark/>
          </w:tcPr>
          <w:p>
            <w:pPr>
              <w:spacing w:after="0"/>
              <w:rPr>
                <w:rFonts w:eastAsia="Arial Unicode MS"/>
                <w:noProof/>
                <w:szCs w:val="24"/>
              </w:rPr>
            </w:pPr>
            <w:r>
              <w:rPr>
                <w:noProof/>
              </w:rPr>
              <w:lastRenderedPageBreak/>
              <w:t>6.1.2.</w:t>
            </w:r>
          </w:p>
        </w:tc>
        <w:tc>
          <w:tcPr>
            <w:tcW w:w="0" w:type="auto"/>
            <w:hideMark/>
          </w:tcPr>
          <w:p>
            <w:pPr>
              <w:spacing w:after="0"/>
              <w:rPr>
                <w:rFonts w:eastAsia="Arial Unicode MS"/>
                <w:noProof/>
                <w:szCs w:val="24"/>
              </w:rPr>
            </w:pPr>
            <w:r>
              <w:rPr>
                <w:noProof/>
              </w:rPr>
              <w:t>Un type de véhicule se compose d’au moins une variante et une version.</w:t>
            </w:r>
          </w:p>
        </w:tc>
      </w:tr>
    </w:tbl>
    <w:p>
      <w:pPr>
        <w:spacing w:before="240"/>
        <w:ind w:left="1134" w:hanging="1134"/>
        <w:jc w:val="left"/>
        <w:rPr>
          <w:rFonts w:eastAsia="Arial Unicode MS"/>
          <w:bCs/>
          <w:noProof/>
          <w:szCs w:val="24"/>
        </w:rPr>
      </w:pPr>
      <w:r>
        <w:rPr>
          <w:noProof/>
        </w:rPr>
        <w:t>6.2.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Par «variante» au sein d’un type de véhicule, on entend les véhicules qui ont en commun les caractéristiques de construction et de conception suivantes:</w:t>
            </w:r>
          </w:p>
          <w:p>
            <w:pPr>
              <w:spacing w:after="0"/>
              <w:ind w:left="571" w:hanging="567"/>
              <w:rPr>
                <w:rFonts w:eastAsia="Arial Unicode MS"/>
                <w:noProof/>
                <w:szCs w:val="24"/>
              </w:rPr>
            </w:pPr>
            <w:r>
              <w:rPr>
                <w:noProof/>
              </w:rPr>
              <w:t>a)</w:t>
            </w:r>
            <w:r>
              <w:rPr>
                <w:noProof/>
              </w:rPr>
              <w:tab/>
              <w:t>le type de carrosserie, tel que visé dans l’appendice 2 (pour les véhicules complets et complétés);</w:t>
            </w:r>
          </w:p>
          <w:p>
            <w:pPr>
              <w:spacing w:after="0"/>
              <w:ind w:left="571" w:hanging="567"/>
              <w:rPr>
                <w:rFonts w:eastAsia="Arial Unicode MS"/>
                <w:noProof/>
                <w:szCs w:val="24"/>
              </w:rPr>
            </w:pPr>
            <w:r>
              <w:rPr>
                <w:noProof/>
              </w:rPr>
              <w:t>b)</w:t>
            </w:r>
            <w:r>
              <w:rPr>
                <w:noProof/>
              </w:rPr>
              <w:tab/>
              <w:t>le stade d’achèvement (par exemple, complet/incomplet/complété);</w:t>
            </w:r>
          </w:p>
          <w:p>
            <w:pPr>
              <w:spacing w:after="0"/>
              <w:ind w:left="571" w:hanging="567"/>
              <w:rPr>
                <w:rFonts w:eastAsia="Arial Unicode MS"/>
                <w:noProof/>
                <w:szCs w:val="24"/>
              </w:rPr>
            </w:pPr>
            <w:r>
              <w:rPr>
                <w:noProof/>
              </w:rPr>
              <w:t>c)</w:t>
            </w:r>
            <w:r>
              <w:rPr>
                <w:noProof/>
              </w:rPr>
              <w:tab/>
              <w:t>le concept de suspension (suspension métallique, suspension pneumatique ou suspension hydraulique).</w:t>
            </w:r>
          </w:p>
          <w:p>
            <w:pPr>
              <w:spacing w:after="0"/>
              <w:ind w:left="571" w:hanging="567"/>
              <w:rPr>
                <w:rFonts w:eastAsia="Arial Unicode MS"/>
                <w:noProof/>
                <w:szCs w:val="24"/>
              </w:rPr>
            </w:pPr>
            <w:r>
              <w:rPr>
                <w:noProof/>
              </w:rPr>
              <w:t>d)</w:t>
            </w:r>
            <w:r>
              <w:rPr>
                <w:noProof/>
              </w:rPr>
              <w:tab/>
              <w:t>les caractéristiques techniques suivantes:</w:t>
            </w:r>
          </w:p>
          <w:p>
            <w:pPr>
              <w:spacing w:before="60" w:after="0"/>
              <w:ind w:left="1140" w:hanging="567"/>
              <w:rPr>
                <w:rFonts w:eastAsia="Arial Unicode MS"/>
                <w:noProof/>
                <w:szCs w:val="24"/>
              </w:rPr>
            </w:pPr>
            <w:r>
              <w:rPr>
                <w:noProof/>
              </w:rPr>
              <w:t>i)</w:t>
            </w:r>
            <w:r>
              <w:rPr>
                <w:noProof/>
              </w:rPr>
              <w:tab/>
              <w:t>la nature extensible ou non du châssis;</w:t>
            </w:r>
          </w:p>
          <w:p>
            <w:pPr>
              <w:spacing w:before="60" w:after="0"/>
              <w:ind w:left="1140" w:hanging="567"/>
              <w:rPr>
                <w:rFonts w:eastAsia="Arial Unicode MS"/>
                <w:noProof/>
                <w:szCs w:val="24"/>
              </w:rPr>
            </w:pPr>
            <w:r>
              <w:rPr>
                <w:noProof/>
              </w:rPr>
              <w:t>ii)</w:t>
            </w:r>
            <w:r>
              <w:rPr>
                <w:noProof/>
              </w:rPr>
              <w:tab/>
              <w:t>la hauteur de la plateforme (normale, surbaissée, à moitié surbaissée, etc.);</w:t>
            </w:r>
          </w:p>
          <w:p>
            <w:pPr>
              <w:spacing w:before="60" w:after="0"/>
              <w:ind w:left="571" w:hanging="567"/>
              <w:rPr>
                <w:rFonts w:eastAsia="Arial Unicode MS"/>
                <w:noProof/>
                <w:szCs w:val="24"/>
              </w:rPr>
            </w:pPr>
            <w:r>
              <w:rPr>
                <w:noProof/>
              </w:rPr>
              <w:t>e)</w:t>
            </w:r>
            <w:r>
              <w:rPr>
                <w:noProof/>
              </w:rPr>
              <w:tab/>
              <w:t>dans le cas de véhicules construits en plusieurs étapes, le constructeur et le type du véhicule de l’étape antérieure.</w:t>
            </w:r>
          </w:p>
        </w:tc>
      </w:tr>
    </w:tbl>
    <w:p>
      <w:pPr>
        <w:spacing w:before="240"/>
        <w:ind w:left="1134" w:hanging="1134"/>
        <w:jc w:val="left"/>
        <w:rPr>
          <w:rFonts w:eastAsia="Arial Unicode MS"/>
          <w:bCs/>
          <w:noProof/>
          <w:szCs w:val="24"/>
        </w:rPr>
      </w:pPr>
      <w:r>
        <w:rPr>
          <w:noProof/>
        </w:rPr>
        <w:t>6.3.</w:t>
      </w:r>
      <w:r>
        <w:rPr>
          <w:noProof/>
        </w:rPr>
        <w:tab/>
        <w:t xml:space="preserve">Version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Par «version» à l’intérieur d’une variante, on entend les véhicules ayant en commun les caractéristiques suivantes:</w:t>
            </w:r>
          </w:p>
          <w:p>
            <w:pPr>
              <w:spacing w:after="0"/>
              <w:ind w:left="567" w:hanging="567"/>
              <w:rPr>
                <w:rFonts w:eastAsia="Arial Unicode MS"/>
                <w:noProof/>
                <w:szCs w:val="24"/>
              </w:rPr>
            </w:pPr>
            <w:r>
              <w:rPr>
                <w:noProof/>
              </w:rPr>
              <w:t>a)</w:t>
            </w:r>
            <w:r>
              <w:rPr>
                <w:noProof/>
              </w:rPr>
              <w:tab/>
              <w:t>la masse en charge maximale techniquement admissible;</w:t>
            </w:r>
          </w:p>
          <w:p>
            <w:pPr>
              <w:spacing w:after="0"/>
              <w:ind w:left="567" w:hanging="567"/>
              <w:rPr>
                <w:rFonts w:eastAsia="Arial Unicode MS"/>
                <w:noProof/>
                <w:szCs w:val="24"/>
              </w:rPr>
            </w:pPr>
            <w:r>
              <w:rPr>
                <w:noProof/>
              </w:rPr>
              <w:t>b)</w:t>
            </w:r>
            <w:r>
              <w:rPr>
                <w:noProof/>
              </w:rPr>
              <w:tab/>
              <w:t>les subdivisions ou ensembles de subdivisions visés aux points 3.2 et 3.3 de l’annexe I de la directive 96/53/CE du Conseil</w:t>
            </w:r>
            <w:r>
              <w:rPr>
                <w:rStyle w:val="FootnoteReference"/>
                <w:noProof/>
              </w:rPr>
              <w:footnoteReference w:id="14"/>
            </w:r>
            <w:r>
              <w:rPr>
                <w:noProof/>
              </w:rPr>
              <w:t xml:space="preserve"> auxquels appartient l’écartement des essieux entre deux essieux consécutifs formant un groupe;</w:t>
            </w:r>
          </w:p>
          <w:p>
            <w:pPr>
              <w:spacing w:after="0"/>
              <w:ind w:left="567" w:hanging="567"/>
              <w:rPr>
                <w:rFonts w:eastAsia="Arial Unicode MS"/>
                <w:noProof/>
                <w:szCs w:val="24"/>
              </w:rPr>
            </w:pPr>
            <w:r>
              <w:rPr>
                <w:noProof/>
              </w:rPr>
              <w:t>c)</w:t>
            </w:r>
            <w:r>
              <w:rPr>
                <w:noProof/>
              </w:rPr>
              <w:tab/>
              <w:t>la définition des essieux, en ce qui concerne les aspects suivants:</w:t>
            </w:r>
          </w:p>
          <w:p>
            <w:pPr>
              <w:spacing w:before="60" w:after="0"/>
              <w:ind w:left="1134" w:hanging="567"/>
              <w:rPr>
                <w:rFonts w:eastAsia="Arial Unicode MS"/>
                <w:noProof/>
                <w:szCs w:val="24"/>
              </w:rPr>
            </w:pPr>
            <w:r>
              <w:rPr>
                <w:noProof/>
              </w:rPr>
              <w:t>i)</w:t>
            </w:r>
            <w:r>
              <w:rPr>
                <w:noProof/>
              </w:rPr>
              <w:tab/>
              <w:t>essieux relevables (nombre et emplacement);</w:t>
            </w:r>
          </w:p>
          <w:p>
            <w:pPr>
              <w:spacing w:before="60" w:after="0"/>
              <w:ind w:left="1134" w:hanging="567"/>
              <w:rPr>
                <w:rFonts w:eastAsia="Arial Unicode MS"/>
                <w:noProof/>
                <w:szCs w:val="24"/>
              </w:rPr>
            </w:pPr>
            <w:r>
              <w:rPr>
                <w:noProof/>
              </w:rPr>
              <w:t>ii)</w:t>
            </w:r>
            <w:r>
              <w:rPr>
                <w:noProof/>
              </w:rPr>
              <w:tab/>
              <w:t>essieux chargeables (nombre et emplacement);</w:t>
            </w:r>
          </w:p>
          <w:p>
            <w:pPr>
              <w:spacing w:before="60" w:after="0"/>
              <w:ind w:left="1134" w:hanging="567"/>
              <w:rPr>
                <w:rFonts w:eastAsia="Arial Unicode MS"/>
                <w:noProof/>
                <w:szCs w:val="24"/>
              </w:rPr>
            </w:pPr>
            <w:r>
              <w:rPr>
                <w:noProof/>
              </w:rPr>
              <w:t>iii)</w:t>
            </w:r>
            <w:r>
              <w:rPr>
                <w:noProof/>
              </w:rPr>
              <w:tab/>
              <w:t>essieux directeurs (nombre et emplacement).</w:t>
            </w:r>
          </w:p>
        </w:tc>
      </w:tr>
    </w:tbl>
    <w:p>
      <w:pPr>
        <w:spacing w:before="480"/>
        <w:ind w:left="1134" w:hanging="1134"/>
        <w:jc w:val="left"/>
        <w:rPr>
          <w:rFonts w:eastAsia="Arial Unicode MS"/>
          <w:b/>
          <w:bCs/>
          <w:noProof/>
          <w:szCs w:val="24"/>
        </w:rPr>
      </w:pPr>
      <w:r>
        <w:rPr>
          <w:noProof/>
        </w:rPr>
        <w:lastRenderedPageBreak/>
        <w:t>7.</w:t>
      </w:r>
      <w:r>
        <w:rPr>
          <w:noProof/>
        </w:rPr>
        <w:tab/>
      </w:r>
      <w:r>
        <w:rPr>
          <w:b/>
          <w:noProof/>
        </w:rPr>
        <w:t xml:space="preserve">Prescriptions communes pour toutes les catégories de véhicules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Lorsqu’un véhicule appartient à plusieurs catégories du fait de sa masse maximale et/ou du nombre de places assises, le constructeur peut choisir d’utiliser les critères de l’une ou l’autre catégorie de véhicules pour la définition des variantes et des versions.</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Exemples:</w:t>
            </w:r>
          </w:p>
          <w:p>
            <w:pPr>
              <w:spacing w:after="0"/>
              <w:ind w:left="576" w:hanging="576"/>
              <w:rPr>
                <w:rFonts w:eastAsia="Arial Unicode MS"/>
                <w:noProof/>
                <w:szCs w:val="24"/>
              </w:rPr>
            </w:pPr>
            <w:r>
              <w:rPr>
                <w:noProof/>
              </w:rPr>
              <w:t>a)</w:t>
            </w:r>
            <w:r>
              <w:rPr>
                <w:noProof/>
              </w:rPr>
              <w:tab/>
              <w:t>un véhicule «A» peut être réceptionné par type en tant que véhicule de catégorie N</w:t>
            </w:r>
            <w:r>
              <w:rPr>
                <w:noProof/>
                <w:vertAlign w:val="subscript"/>
              </w:rPr>
              <w:t>1</w:t>
            </w:r>
            <w:r>
              <w:rPr>
                <w:noProof/>
              </w:rPr>
              <w:t xml:space="preserve"> (3,5 tonnes) et N</w:t>
            </w:r>
            <w:r>
              <w:rPr>
                <w:noProof/>
                <w:vertAlign w:val="subscript"/>
              </w:rPr>
              <w:t>2</w:t>
            </w:r>
            <w:r>
              <w:rPr>
                <w:noProof/>
              </w:rPr>
              <w:t xml:space="preserve"> (4,2 tonnes) selon sa masse maximale. Dans ce cas, les paramètres mentionnés dans la catégorie N</w:t>
            </w:r>
            <w:r>
              <w:rPr>
                <w:noProof/>
                <w:vertAlign w:val="subscript"/>
              </w:rPr>
              <w:t>1</w:t>
            </w:r>
            <w:r>
              <w:rPr>
                <w:noProof/>
              </w:rPr>
              <w:t xml:space="preserve"> peuvent également être utilisés pour le véhicule appartenant à la catégorie N</w:t>
            </w:r>
            <w:r>
              <w:rPr>
                <w:noProof/>
                <w:vertAlign w:val="subscript"/>
              </w:rPr>
              <w:t>2</w:t>
            </w:r>
            <w:r>
              <w:rPr>
                <w:noProof/>
              </w:rPr>
              <w:t xml:space="preserve"> (ou vice versa);</w:t>
            </w:r>
          </w:p>
          <w:p>
            <w:pPr>
              <w:spacing w:after="0"/>
              <w:ind w:left="576" w:hanging="576"/>
              <w:rPr>
                <w:rFonts w:eastAsia="Arial Unicode MS"/>
                <w:noProof/>
                <w:szCs w:val="24"/>
              </w:rPr>
            </w:pPr>
            <w:r>
              <w:rPr>
                <w:noProof/>
              </w:rPr>
              <w:t>b)</w:t>
            </w:r>
            <w:r>
              <w:rPr>
                <w:noProof/>
              </w:rPr>
              <w:tab/>
              <w:t>un véhicule «B» peut être réceptionné par type en tant que véhicule de catégorie M</w:t>
            </w:r>
            <w:r>
              <w:rPr>
                <w:noProof/>
                <w:vertAlign w:val="subscript"/>
              </w:rPr>
              <w:t>1</w:t>
            </w:r>
            <w:r>
              <w:rPr>
                <w:noProof/>
              </w:rPr>
              <w:t xml:space="preserve"> et M</w:t>
            </w:r>
            <w:r>
              <w:rPr>
                <w:noProof/>
                <w:vertAlign w:val="subscript"/>
              </w:rPr>
              <w:t>2</w:t>
            </w:r>
            <w:r>
              <w:rPr>
                <w:noProof/>
              </w:rPr>
              <w:t xml:space="preserve"> selon le nombre de places assises (7 + 1 ou 10 + 1). Les paramètres mentionnés dans la catégorie M</w:t>
            </w:r>
            <w:r>
              <w:rPr>
                <w:noProof/>
                <w:vertAlign w:val="subscript"/>
              </w:rPr>
              <w:t>1</w:t>
            </w:r>
            <w:r>
              <w:rPr>
                <w:noProof/>
              </w:rPr>
              <w:t xml:space="preserve"> peuvent également être utilisés pour le véhicule appartenant à la catégorie M</w:t>
            </w:r>
            <w:r>
              <w:rPr>
                <w:noProof/>
                <w:vertAlign w:val="subscript"/>
              </w:rPr>
              <w:t>2</w:t>
            </w:r>
            <w:r>
              <w:rPr>
                <w:noProof/>
              </w:rPr>
              <w:t xml:space="preserve"> (ou vice versa).</w:t>
            </w:r>
          </w:p>
        </w:tc>
      </w:tr>
      <w:tr>
        <w:trPr>
          <w:tblCellSpacing w:w="0" w:type="dxa"/>
        </w:trPr>
        <w:tc>
          <w:tcPr>
            <w:tcW w:w="0" w:type="auto"/>
            <w:hideMark/>
          </w:tcPr>
          <w:p>
            <w:pPr>
              <w:spacing w:after="0"/>
              <w:rPr>
                <w:rFonts w:eastAsia="Arial Unicode MS"/>
                <w:noProof/>
                <w:szCs w:val="24"/>
              </w:rPr>
            </w:pPr>
            <w:r>
              <w:rPr>
                <w:noProof/>
              </w:rPr>
              <w:t>7.2.</w:t>
            </w:r>
          </w:p>
        </w:tc>
        <w:tc>
          <w:tcPr>
            <w:tcW w:w="0" w:type="auto"/>
            <w:gridSpan w:val="2"/>
            <w:hideMark/>
          </w:tcPr>
          <w:p>
            <w:pPr>
              <w:spacing w:after="0"/>
              <w:rPr>
                <w:rFonts w:eastAsia="Arial Unicode MS"/>
                <w:noProof/>
                <w:szCs w:val="24"/>
              </w:rPr>
            </w:pPr>
            <w:r>
              <w:rPr>
                <w:noProof/>
              </w:rPr>
              <w:t>Un véhicule de catégorie N peut être réceptionné par type en fonction des dispositions requises pour la catégorie M</w:t>
            </w:r>
            <w:r>
              <w:rPr>
                <w:noProof/>
                <w:vertAlign w:val="subscript"/>
              </w:rPr>
              <w:t>1</w:t>
            </w:r>
            <w:r>
              <w:rPr>
                <w:noProof/>
              </w:rPr>
              <w:t xml:space="preserve"> ou M</w:t>
            </w:r>
            <w:r>
              <w:rPr>
                <w:noProof/>
                <w:vertAlign w:val="subscript"/>
              </w:rPr>
              <w:t>2</w:t>
            </w:r>
            <w:r>
              <w:rPr>
                <w:noProof/>
              </w:rPr>
              <w:t>, selon le cas, lorsqu’il est prévu de le convertir en véhicule de cette catégorie à l’étape suivante d’une procédure de réception par type multi-étapes.</w:t>
            </w:r>
          </w:p>
        </w:tc>
      </w:tr>
      <w:tr>
        <w:trPr>
          <w:tblCellSpacing w:w="0" w:type="dxa"/>
        </w:trPr>
        <w:tc>
          <w:tcPr>
            <w:tcW w:w="0" w:type="auto"/>
          </w:tcPr>
          <w:p>
            <w:pPr>
              <w:spacing w:after="0"/>
              <w:rPr>
                <w:rFonts w:eastAsia="Arial Unicode MS"/>
                <w:noProof/>
                <w:szCs w:val="24"/>
              </w:rPr>
            </w:pPr>
            <w:r>
              <w:rPr>
                <w:noProof/>
              </w:rPr>
              <w:t>7.2.1.</w:t>
            </w:r>
          </w:p>
        </w:tc>
        <w:tc>
          <w:tcPr>
            <w:tcW w:w="0" w:type="auto"/>
            <w:gridSpan w:val="2"/>
          </w:tcPr>
          <w:p>
            <w:pPr>
              <w:spacing w:after="0"/>
              <w:rPr>
                <w:rFonts w:eastAsia="Arial Unicode MS"/>
                <w:noProof/>
                <w:szCs w:val="24"/>
              </w:rPr>
            </w:pPr>
            <w:r>
              <w:rPr>
                <w:noProof/>
              </w:rPr>
              <w:t>Cette option n’est permise que pour les véhicules incomplets.</w:t>
            </w:r>
          </w:p>
          <w:p>
            <w:pPr>
              <w:spacing w:after="0"/>
              <w:rPr>
                <w:rFonts w:eastAsia="Arial Unicode MS"/>
                <w:noProof/>
                <w:szCs w:val="24"/>
              </w:rPr>
            </w:pPr>
            <w:r>
              <w:rPr>
                <w:noProof/>
              </w:rPr>
              <w:t>Ces véhicules sont identifiés par un code de variante précis fourni par le constructeur du véhicule de base.</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Désignations du type, de la variante et de la version</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Le constructeur attribue à chaque type de véhicule, variante et version un code alphanumérique composé de caractères latins et/ou de chiffres arabes.</w:t>
            </w:r>
          </w:p>
          <w:p>
            <w:pPr>
              <w:spacing w:after="0"/>
              <w:rPr>
                <w:rFonts w:eastAsia="Arial Unicode MS"/>
                <w:noProof/>
                <w:szCs w:val="24"/>
              </w:rPr>
            </w:pPr>
            <w:r>
              <w:rPr>
                <w:noProof/>
              </w:rPr>
              <w:t>L’utilisation de parenthèses et de tirets est permise pour autant qu’ils ne remplacent pas une lettre ou un chiffre.</w:t>
            </w:r>
          </w:p>
        </w:tc>
      </w:tr>
      <w:tr>
        <w:trPr>
          <w:tblCellSpacing w:w="0" w:type="dxa"/>
        </w:trPr>
        <w:tc>
          <w:tcPr>
            <w:tcW w:w="0" w:type="auto"/>
            <w:hideMark/>
          </w:tcPr>
          <w:p>
            <w:pPr>
              <w:spacing w:after="0"/>
              <w:rPr>
                <w:rFonts w:eastAsia="Arial Unicode MS"/>
                <w:noProof/>
                <w:szCs w:val="24"/>
              </w:rPr>
            </w:pPr>
            <w:r>
              <w:rPr>
                <w:noProof/>
              </w:rPr>
              <w:t>7.3.2.</w:t>
            </w:r>
          </w:p>
        </w:tc>
        <w:tc>
          <w:tcPr>
            <w:tcW w:w="0" w:type="auto"/>
            <w:gridSpan w:val="2"/>
            <w:hideMark/>
          </w:tcPr>
          <w:p>
            <w:pPr>
              <w:spacing w:after="0"/>
              <w:rPr>
                <w:rFonts w:eastAsia="Arial Unicode MS"/>
                <w:noProof/>
                <w:szCs w:val="24"/>
              </w:rPr>
            </w:pPr>
            <w:r>
              <w:rPr>
                <w:noProof/>
              </w:rPr>
              <w:t>L’intégralité du code est désignée comme suit: type-variante-version ou «TVV».</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Le code TVV doit identifier de façon claire et univoque une combinaison unique de caractéristiques techniques en rapport avec les critères définis dans la partie B de la présente annexe.</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Un même constructeur peut utiliser le même code pour définir un type de véhicule lorsque ce dernier relève de deux catégories ou plus.</w:t>
            </w:r>
          </w:p>
        </w:tc>
      </w:tr>
      <w:tr>
        <w:trPr>
          <w:tblCellSpacing w:w="0" w:type="dxa"/>
        </w:trPr>
        <w:tc>
          <w:tcPr>
            <w:tcW w:w="0" w:type="auto"/>
            <w:hideMark/>
          </w:tcPr>
          <w:p>
            <w:pPr>
              <w:spacing w:after="0"/>
              <w:rPr>
                <w:rFonts w:eastAsia="Arial Unicode MS"/>
                <w:noProof/>
                <w:szCs w:val="24"/>
              </w:rPr>
            </w:pPr>
            <w:r>
              <w:rPr>
                <w:noProof/>
              </w:rPr>
              <w:t>7.3.5.</w:t>
            </w:r>
          </w:p>
        </w:tc>
        <w:tc>
          <w:tcPr>
            <w:tcW w:w="4380" w:type="pct"/>
            <w:gridSpan w:val="2"/>
            <w:hideMark/>
          </w:tcPr>
          <w:p>
            <w:pPr>
              <w:spacing w:after="0"/>
              <w:rPr>
                <w:rFonts w:eastAsia="Arial Unicode MS"/>
                <w:noProof/>
                <w:szCs w:val="24"/>
              </w:rPr>
            </w:pPr>
            <w:r>
              <w:rPr>
                <w:noProof/>
              </w:rPr>
              <w:t>Un même constructeur ne peut utiliser le même code pour définir un type de véhicule pour plus d’une réception par type dans la même catégorie de véhicules.</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Nombre de caractères pour le TVV</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Le nombre de caractères ne doit pas dépasser:</w:t>
            </w:r>
          </w:p>
          <w:p>
            <w:pPr>
              <w:spacing w:after="0"/>
              <w:ind w:left="576" w:hanging="567"/>
              <w:rPr>
                <w:rFonts w:eastAsia="Arial Unicode MS"/>
                <w:noProof/>
                <w:szCs w:val="24"/>
              </w:rPr>
            </w:pPr>
            <w:r>
              <w:rPr>
                <w:noProof/>
              </w:rPr>
              <w:t>a)</w:t>
            </w:r>
            <w:r>
              <w:rPr>
                <w:noProof/>
              </w:rPr>
              <w:tab/>
              <w:t>15 pour le code du type de véhicule;</w:t>
            </w:r>
          </w:p>
          <w:p>
            <w:pPr>
              <w:spacing w:after="0"/>
              <w:ind w:left="576" w:hanging="567"/>
              <w:rPr>
                <w:rFonts w:eastAsia="Arial Unicode MS"/>
                <w:noProof/>
                <w:szCs w:val="24"/>
              </w:rPr>
            </w:pPr>
            <w:r>
              <w:rPr>
                <w:noProof/>
              </w:rPr>
              <w:t>b)</w:t>
            </w:r>
            <w:r>
              <w:rPr>
                <w:noProof/>
              </w:rPr>
              <w:tab/>
              <w:t>25 pour le code d’une variante;</w:t>
            </w:r>
          </w:p>
          <w:p>
            <w:pPr>
              <w:spacing w:after="0"/>
              <w:ind w:left="576" w:hanging="567"/>
              <w:rPr>
                <w:rFonts w:eastAsia="Arial Unicode MS"/>
                <w:noProof/>
                <w:szCs w:val="24"/>
              </w:rPr>
            </w:pPr>
            <w:r>
              <w:rPr>
                <w:noProof/>
              </w:rPr>
              <w:t>c)</w:t>
            </w:r>
            <w:r>
              <w:rPr>
                <w:noProof/>
              </w:rPr>
              <w:tab/>
              <w:t>35 pour le code d’une version.</w:t>
            </w:r>
          </w:p>
        </w:tc>
      </w:tr>
      <w:tr>
        <w:trPr>
          <w:tblCellSpacing w:w="0" w:type="dxa"/>
        </w:trPr>
        <w:tc>
          <w:tcPr>
            <w:tcW w:w="0" w:type="auto"/>
            <w:hideMark/>
          </w:tcPr>
          <w:p>
            <w:pPr>
              <w:spacing w:after="0"/>
              <w:rPr>
                <w:rFonts w:eastAsia="Arial Unicode MS"/>
                <w:noProof/>
                <w:szCs w:val="24"/>
              </w:rPr>
            </w:pPr>
            <w:r>
              <w:rPr>
                <w:noProof/>
              </w:rPr>
              <w:lastRenderedPageBreak/>
              <w:t>7.4.2.</w:t>
            </w:r>
          </w:p>
        </w:tc>
        <w:tc>
          <w:tcPr>
            <w:tcW w:w="4380" w:type="pct"/>
            <w:gridSpan w:val="2"/>
            <w:hideMark/>
          </w:tcPr>
          <w:p>
            <w:pPr>
              <w:spacing w:after="0"/>
              <w:rPr>
                <w:rFonts w:eastAsia="Arial Unicode MS"/>
                <w:noProof/>
                <w:szCs w:val="24"/>
              </w:rPr>
            </w:pPr>
            <w:r>
              <w:rPr>
                <w:noProof/>
              </w:rPr>
              <w:t>Le code alphanumérique «TVV» complet ne doit pas contenir plus de 75 caractères.</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Lorsque le code TVV est utilisé en entier, un espace doit être laissé entre le type, la variante et la version.</w:t>
            </w:r>
          </w:p>
          <w:p>
            <w:pPr>
              <w:spacing w:after="0"/>
              <w:rPr>
                <w:rFonts w:eastAsia="Arial Unicode MS"/>
                <w:noProof/>
                <w:szCs w:val="24"/>
              </w:rPr>
            </w:pPr>
            <w:r>
              <w:rPr>
                <w:noProof/>
              </w:rPr>
              <w:t>Exemple de code TVV: 159AF[…</w:t>
            </w:r>
            <w:r>
              <w:rPr>
                <w:i/>
                <w:noProof/>
              </w:rPr>
              <w:t>espace</w:t>
            </w:r>
            <w:r>
              <w:rPr>
                <w:noProof/>
              </w:rPr>
              <w:t>]0054[…</w:t>
            </w:r>
            <w:r>
              <w:rPr>
                <w:i/>
                <w:noProof/>
              </w:rPr>
              <w:t>espace</w:t>
            </w:r>
            <w:r>
              <w:rPr>
                <w:noProof/>
              </w:rPr>
              <w:t>]977K(BE).</w:t>
            </w:r>
          </w:p>
        </w:tc>
      </w:tr>
    </w:tbl>
    <w:p>
      <w:pPr>
        <w:jc w:val="center"/>
        <w:rPr>
          <w:noProof/>
        </w:rPr>
      </w:pPr>
    </w:p>
    <w:p>
      <w:pPr>
        <w:jc w:val="center"/>
        <w:rPr>
          <w:noProof/>
        </w:rPr>
      </w:pPr>
      <w:r>
        <w:rPr>
          <w:noProof/>
        </w:rPr>
        <w:br w:type="page"/>
      </w:r>
      <w:r>
        <w:rPr>
          <w:noProof/>
        </w:rPr>
        <w:lastRenderedPageBreak/>
        <w:t>PARTIE C</w:t>
      </w:r>
    </w:p>
    <w:p>
      <w:pPr>
        <w:spacing w:after="0"/>
        <w:jc w:val="center"/>
        <w:rPr>
          <w:rFonts w:eastAsia="Arial Unicode MS"/>
          <w:i/>
          <w:iCs/>
          <w:noProof/>
          <w:szCs w:val="24"/>
        </w:rPr>
      </w:pPr>
      <w:r>
        <w:rPr>
          <w:b/>
          <w:noProof/>
        </w:rPr>
        <w:t>Définitions des types de carrosserie</w:t>
      </w:r>
    </w:p>
    <w:p>
      <w:pPr>
        <w:spacing w:after="0"/>
        <w:ind w:left="851" w:hanging="851"/>
        <w:jc w:val="left"/>
        <w:rPr>
          <w:rFonts w:eastAsia="Arial Unicode MS"/>
          <w:b/>
          <w:bCs/>
          <w:noProof/>
          <w:szCs w:val="24"/>
        </w:rPr>
      </w:pPr>
      <w:r>
        <w:rPr>
          <w:noProof/>
        </w:rPr>
        <w:t>1.</w:t>
      </w:r>
      <w:r>
        <w:rPr>
          <w:noProof/>
        </w:rPr>
        <w:tab/>
      </w:r>
      <w:r>
        <w:rPr>
          <w:b/>
          <w:noProof/>
        </w:rPr>
        <w:t>Généralités</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Le type de carrosserie visé dans la section 9 de l’annexe I et dans la partie 1 de l’annexe III ainsi que le code de carrosserie visé au point 38 de l’annexe IX sont indiqués par codification.</w:t>
            </w:r>
          </w:p>
          <w:p>
            <w:pPr>
              <w:spacing w:before="60" w:after="0"/>
              <w:rPr>
                <w:rFonts w:eastAsia="Arial Unicode MS"/>
                <w:noProof/>
                <w:szCs w:val="24"/>
              </w:rPr>
            </w:pPr>
            <w:r>
              <w:rPr>
                <w:noProof/>
              </w:rPr>
              <w:t>La liste des codes s’applique avant tout aux véhicules complets et complétés.</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En ce qui concerne les véhicules de la catégorie M, le code du type de carrosserie se compose de deux lettres, comme précisé dans les sections 2 et 3.</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En ce qui concerne les véhicules des catégories N et O, le code du type de carrosserie se compose de deux lettres, comme précisé dans les sections 4 et 5.</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Si nécessaire (notamment pour les types de carrosserie visés respectivement aux points 4.1 et 4.6 et aux points 5.1 à 5.4), ces codes sont complétés de deux chiffres.</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La liste des chiffres figure dans l’appendice 2 de la présente annexe.</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Pour les véhicules à usage spécial, le code du type de carrosserie à utiliser est lié à la catégorie du véhicule.</w:t>
            </w:r>
          </w:p>
        </w:tc>
      </w:tr>
    </w:tbl>
    <w:p>
      <w:pPr>
        <w:ind w:left="851" w:hanging="851"/>
        <w:jc w:val="left"/>
        <w:rPr>
          <w:rFonts w:eastAsia="Arial Unicode MS"/>
          <w:b/>
          <w:bCs/>
          <w:noProof/>
          <w:szCs w:val="24"/>
        </w:rPr>
      </w:pPr>
      <w:r>
        <w:rPr>
          <w:noProof/>
        </w:rPr>
        <w:t>2.</w:t>
      </w:r>
      <w:r>
        <w:rPr>
          <w:noProof/>
        </w:rPr>
        <w:tab/>
      </w:r>
      <w:r>
        <w:rPr>
          <w:b/>
          <w:noProof/>
        </w:rPr>
        <w:t>Véhicules appartenant à la catégorie M</w:t>
      </w:r>
      <w:r>
        <w:rPr>
          <w:b/>
          <w:noProof/>
          <w:vertAlign w:val="subscript"/>
        </w:rPr>
        <w:t>1</w:t>
      </w:r>
      <w:r>
        <w:rPr>
          <w:b/>
          <w:noProof/>
        </w:rPr>
        <w:t xml:space="preserve"> </w:t>
      </w:r>
    </w:p>
    <w:tbl>
      <w:tblPr>
        <w:tblW w:w="8228"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9"/>
        <w:gridCol w:w="708"/>
        <w:gridCol w:w="1276"/>
        <w:gridCol w:w="5535"/>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Réf.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Nom</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Définition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Berline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défini au point 3.1.1.1 de la norme ISO 3833-1977, comportant au moins quatre vitres latérales.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Voiture à hayon arrière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Une berline, telle que définie sous 2.1 dotée d’un hayon à l’arrière du véhicule.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Break (familiale)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défini au point 3.1.1.4 de la norme ISO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Coupé</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défini au point 3.1.1.5 de la norme ISO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Cabriolet</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Un véhicule défini au point 3.1.1.6 de la norme ISO 3833-1977. </w:t>
            </w:r>
          </w:p>
          <w:p>
            <w:pPr>
              <w:spacing w:before="60" w:after="60"/>
              <w:rPr>
                <w:rFonts w:eastAsia="Arial Unicode MS"/>
                <w:noProof/>
                <w:szCs w:val="24"/>
              </w:rPr>
            </w:pPr>
            <w:r>
              <w:rPr>
                <w:noProof/>
              </w:rPr>
              <w:t>Cependant, un cabriolet peut ne pas avoir de porte.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Véhicule à usages multiples</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autre que ceux relevant des codes AG et AA à AE, destiné à transporter des personnes et leurs bagages, ou occasionnellement des marchandises, dans un seul et même compartiment.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Break (utilitaire)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défini au point 3.1.1.4.1 de la norme ISO 3833-1977.</w:t>
            </w:r>
          </w:p>
          <w:p>
            <w:pPr>
              <w:spacing w:before="60" w:after="60"/>
              <w:rPr>
                <w:rFonts w:eastAsia="Arial Unicode MS"/>
                <w:noProof/>
                <w:szCs w:val="24"/>
              </w:rPr>
            </w:pPr>
            <w:r>
              <w:rPr>
                <w:noProof/>
              </w:rPr>
              <w:t xml:space="preserve">Le compartiment à bagages doit toutefois être </w:t>
            </w:r>
            <w:r>
              <w:rPr>
                <w:noProof/>
              </w:rPr>
              <w:lastRenderedPageBreak/>
              <w:t>entièrement séparé de l’habitacle.</w:t>
            </w:r>
          </w:p>
          <w:p>
            <w:pPr>
              <w:spacing w:before="60" w:after="60"/>
              <w:rPr>
                <w:rFonts w:eastAsia="Arial Unicode MS"/>
                <w:noProof/>
                <w:szCs w:val="24"/>
              </w:rPr>
            </w:pPr>
            <w:r>
              <w:rPr>
                <w:noProof/>
              </w:rPr>
              <w:t>En outre, il n’est pas nécessaire que le point de référence de la place assise du conducteur soit à au moins 750 mm au-dessus de la surface d’appui du véhicule.</w:t>
            </w:r>
          </w:p>
        </w:tc>
      </w:tr>
    </w:tbl>
    <w:p>
      <w:pPr>
        <w:spacing w:before="240" w:after="240"/>
        <w:ind w:left="851" w:hanging="851"/>
        <w:jc w:val="left"/>
        <w:rPr>
          <w:rFonts w:eastAsia="Arial Unicode MS"/>
          <w:b/>
          <w:bCs/>
          <w:noProof/>
          <w:szCs w:val="24"/>
        </w:rPr>
      </w:pPr>
      <w:r>
        <w:rPr>
          <w:noProof/>
        </w:rPr>
        <w:lastRenderedPageBreak/>
        <w:t>3.</w:t>
      </w:r>
      <w:r>
        <w:rPr>
          <w:noProof/>
        </w:rPr>
        <w:tab/>
      </w:r>
      <w:r>
        <w:rPr>
          <w:b/>
          <w:noProof/>
        </w:rPr>
        <w:t>Véhicules appartenant à la catégorie M</w:t>
      </w:r>
      <w:r>
        <w:rPr>
          <w:b/>
          <w:noProof/>
          <w:vertAlign w:val="subscript"/>
        </w:rPr>
        <w:t xml:space="preserve">2 </w:t>
      </w:r>
      <w:r>
        <w:rPr>
          <w:b/>
          <w:noProof/>
        </w:rPr>
        <w:t>ou M</w:t>
      </w:r>
      <w:r>
        <w:rPr>
          <w:b/>
          <w:noProof/>
          <w:vertAlign w:val="subscript"/>
        </w:rPr>
        <w:t>3</w:t>
      </w:r>
      <w:r>
        <w:rPr>
          <w:b/>
          <w:noProof/>
        </w:rPr>
        <w:t xml:space="preserve">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Réf.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Nom</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Définition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Véhicule à un étage</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dont les espaces destinés aux passagers sont agencés sur un seul niveau ou de telle sorte qu’ils ne constituent pas deux niveaux superposés.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Véhicule à deux étages</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défini au paragraphe 2.1.6 du règlement n</w:t>
            </w:r>
            <w:r>
              <w:rPr>
                <w:noProof/>
                <w:vertAlign w:val="superscript"/>
              </w:rPr>
              <w:t>o</w:t>
            </w:r>
            <w:r>
              <w:rPr>
                <w:noProof/>
              </w:rPr>
              <w:t> 107 de la CEE-ONU.</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Véhicule articulé à un étage</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défini au paragraphe 2.1.3 du règlement n</w:t>
            </w:r>
            <w:r>
              <w:rPr>
                <w:noProof/>
                <w:vertAlign w:val="superscript"/>
              </w:rPr>
              <w:t>o</w:t>
            </w:r>
            <w:r>
              <w:rPr>
                <w:noProof/>
              </w:rPr>
              <w:t> 107 de la CEE-ONU avec un seul étage.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Véhicule articulé à deux étages</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défini au paragraphe 2.1.3.1 du règlement n</w:t>
            </w:r>
            <w:r>
              <w:rPr>
                <w:noProof/>
                <w:vertAlign w:val="superscript"/>
              </w:rPr>
              <w:t>o</w:t>
            </w:r>
            <w:r>
              <w:rPr>
                <w:noProof/>
              </w:rPr>
              <w:t> 107 de la CEE-ONU.</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Véhicule à un étage à plancher surbaissé</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défini au paragraphe 2.1.4 du règlement n</w:t>
            </w:r>
            <w:r>
              <w:rPr>
                <w:noProof/>
                <w:vertAlign w:val="superscript"/>
              </w:rPr>
              <w:t>o</w:t>
            </w:r>
            <w:r>
              <w:rPr>
                <w:noProof/>
              </w:rPr>
              <w:t> 107 de la CEE-ONU avec un seul étage.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Véhicule à deux étages à plancher surbaissé</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défini au paragraphe 2.1.4 du règlement n</w:t>
            </w:r>
            <w:r>
              <w:rPr>
                <w:noProof/>
                <w:vertAlign w:val="superscript"/>
              </w:rPr>
              <w:t>o</w:t>
            </w:r>
            <w:r>
              <w:rPr>
                <w:noProof/>
              </w:rPr>
              <w:t> 107 de la CEE-ONU avec deux étages.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Véhicule articulé à un étage à plancher surbaissé</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qui combine les caractéristiques techniques des points 3.3 et 3.5 du présent tableau.</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Véhicule articulé à deux étages à plancher surbaissé</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qui combine les caractéristiques techniques des points 3.4 et 3.6 du présent tableau.</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 xml:space="preserve">Véhicule à un étage à </w:t>
            </w:r>
            <w:r>
              <w:rPr>
                <w:noProof/>
              </w:rPr>
              <w:lastRenderedPageBreak/>
              <w:t>toit ouvert</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lastRenderedPageBreak/>
              <w:t>Un véhicule à toit partiel ou sans toit.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Véhicule à deux étages à toit ouvert</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sans toit sur tout ou partie de son étage supérieur.</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Châssis d’autobus</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incomplet uniquement muni de longerons de cadre de châssis ou d’un faisceau tubulaire, d’un système de propulsion et d’essieux, destiné à être complété d’une carrosserie et adapté aux besoins du transporteur.</w:t>
            </w:r>
          </w:p>
        </w:tc>
      </w:tr>
    </w:tbl>
    <w:p>
      <w:pPr>
        <w:spacing w:before="240" w:after="240"/>
        <w:ind w:left="851" w:hanging="851"/>
        <w:jc w:val="left"/>
        <w:rPr>
          <w:rFonts w:eastAsia="Arial Unicode MS"/>
          <w:b/>
          <w:bCs/>
          <w:noProof/>
          <w:szCs w:val="24"/>
        </w:rPr>
      </w:pPr>
      <w:r>
        <w:rPr>
          <w:noProof/>
        </w:rPr>
        <w:t>4.</w:t>
      </w:r>
      <w:r>
        <w:rPr>
          <w:noProof/>
        </w:rPr>
        <w:tab/>
      </w:r>
      <w:r>
        <w:rPr>
          <w:b/>
          <w:noProof/>
        </w:rPr>
        <w:t>Véhicules à moteur des catégories N</w:t>
      </w:r>
      <w:r>
        <w:rPr>
          <w:b/>
          <w:noProof/>
          <w:vertAlign w:val="subscript"/>
        </w:rPr>
        <w:t>1</w:t>
      </w:r>
      <w:r>
        <w:rPr>
          <w:b/>
          <w:noProof/>
        </w:rPr>
        <w:t>, N</w:t>
      </w:r>
      <w:r>
        <w:rPr>
          <w:b/>
          <w:noProof/>
          <w:vertAlign w:val="subscript"/>
        </w:rPr>
        <w:t>2</w:t>
      </w:r>
      <w:r>
        <w:rPr>
          <w:b/>
          <w:noProof/>
        </w:rPr>
        <w:t xml:space="preserve"> ou N</w:t>
      </w:r>
      <w:r>
        <w:rPr>
          <w:b/>
          <w:noProof/>
          <w:vertAlign w:val="subscript"/>
        </w:rPr>
        <w:t>3</w:t>
      </w:r>
      <w:r>
        <w:rPr>
          <w:b/>
          <w:noProof/>
        </w:rPr>
        <w:t xml:space="preserve">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9"/>
        <w:gridCol w:w="708"/>
        <w:gridCol w:w="1418"/>
        <w:gridCol w:w="5386"/>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Réf.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Nom</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Définition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Camion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noProof/>
              </w:rPr>
            </w:pPr>
            <w:r>
              <w:rPr>
                <w:noProof/>
              </w:rPr>
              <w:t>Un véhicule conçu et construit exclusivement ou principalement pour transporter des marchandises.</w:t>
            </w:r>
          </w:p>
          <w:p>
            <w:pPr>
              <w:spacing w:before="60" w:after="60"/>
              <w:rPr>
                <w:rFonts w:eastAsia="Arial Unicode MS"/>
                <w:noProof/>
                <w:szCs w:val="24"/>
              </w:rPr>
            </w:pPr>
            <w:r>
              <w:rPr>
                <w:noProof/>
              </w:rPr>
              <w:t>Il peut également tracter une remorque.</w:t>
            </w: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Camionnette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camion dont le compartiment du conducteur et la zone de cargaison se trouvent dans une seule et même unité.</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Unité de traction pour semi-remorque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de traction construit exclusivement ou principalement pour tracter des semi-remorques.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Tracteur routier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de traction conçu et construit exclusivement pour tracter des remorques autres que des semi-remorques.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Camion pick-up</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dont la masse maximale n’excède pas 3 500 kg et dans lequel les places assises et la zone de cargaison ne se trouvent pas dans un seul et même compartiment.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Châssis-cabine ou châssis-capot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véhicule incomplet uniquement muni d’une cabine (complète ou partielle), de longerons de cadre de châssis, d’un système de propulsion et d’essieux, destiné à être complété d’une carrosserie et adapté aux besoins du transporteur.</w:t>
            </w:r>
          </w:p>
        </w:tc>
      </w:tr>
    </w:tbl>
    <w:p>
      <w:pPr>
        <w:spacing w:before="240" w:after="240"/>
        <w:ind w:left="851" w:hanging="851"/>
        <w:jc w:val="left"/>
        <w:rPr>
          <w:rFonts w:eastAsia="Arial Unicode MS"/>
          <w:b/>
          <w:bCs/>
          <w:noProof/>
          <w:szCs w:val="24"/>
        </w:rPr>
      </w:pPr>
      <w:r>
        <w:rPr>
          <w:noProof/>
        </w:rPr>
        <w:t>5.</w:t>
      </w:r>
      <w:r>
        <w:rPr>
          <w:noProof/>
        </w:rPr>
        <w:tab/>
      </w:r>
      <w:r>
        <w:rPr>
          <w:b/>
          <w:noProof/>
        </w:rPr>
        <w:t xml:space="preserve">Véhicules de la catégorie O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9"/>
        <w:gridCol w:w="708"/>
        <w:gridCol w:w="1418"/>
        <w:gridCol w:w="5391"/>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Réf.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Nom</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Définition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Semi-</w:t>
            </w:r>
            <w:r>
              <w:rPr>
                <w:noProof/>
              </w:rPr>
              <w:lastRenderedPageBreak/>
              <w:t>remorque</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lastRenderedPageBreak/>
              <w:t xml:space="preserve">Une remorque conçue et construite pour être attelée à </w:t>
            </w:r>
            <w:r>
              <w:rPr>
                <w:noProof/>
              </w:rPr>
              <w:lastRenderedPageBreak/>
              <w:t>une unité de traction ou à un dolly et pour transmettre une charge verticale importante au véhicule de traction ou au dolly.</w:t>
            </w:r>
          </w:p>
          <w:p>
            <w:pPr>
              <w:spacing w:before="60" w:after="60"/>
              <w:rPr>
                <w:rFonts w:eastAsia="Arial Unicode MS"/>
                <w:noProof/>
                <w:szCs w:val="24"/>
              </w:rPr>
            </w:pPr>
            <w:r>
              <w:rPr>
                <w:noProof/>
              </w:rPr>
              <w:t>L’attelage à utiliser pour un ensemble de véhicules se compose d’un pivot et d’une sellette d’attelage.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Remorque à timon</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Une remorque munie d’au moins deux essieux, dont au moins un est un essieu directeur:</w:t>
            </w:r>
          </w:p>
          <w:p>
            <w:pPr>
              <w:spacing w:before="60" w:after="0"/>
              <w:rPr>
                <w:rFonts w:eastAsia="Arial Unicode MS"/>
                <w:noProof/>
                <w:szCs w:val="24"/>
              </w:rPr>
            </w:pPr>
            <w:r>
              <w:rPr>
                <w:noProof/>
              </w:rPr>
              <w:t>a) équipée d’un dispositif d’attelage qui a une mobilité verticale (par rapport à la remorque) et</w:t>
            </w:r>
          </w:p>
          <w:p>
            <w:pPr>
              <w:spacing w:before="60" w:after="0"/>
              <w:rPr>
                <w:rFonts w:eastAsia="Arial Unicode MS"/>
                <w:noProof/>
                <w:szCs w:val="24"/>
              </w:rPr>
            </w:pPr>
            <w:r>
              <w:rPr>
                <w:noProof/>
              </w:rPr>
              <w:t>b) qui transmet au véhicule de traction moins de 100 daN de charge verticale statique.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Remorque à essieu central</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Une remorque dont le ou les essieux sont situés près du centre de gravité du véhicule (lorsque sa charge est uniformément répartie), de sorte que seule une faible charge statique verticale, ne dépassant pas 10 % de la charge correspondant à la masse maximale de la remorque ou une charge de 1 000 daN (retenir la plus faible des deux), soit transmise au véhicule tracteur.</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Remorque à timon rigide</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Une remorque équipée d’un essieu ou d’un groupe d’essieux, munie d’un timon qui transmet une charge statique n’excédant pas 4 000 daN au véhicule tracteur en raison de sa construction et qui ne rentre pas dans la définition d’une remorque à essieu central.</w:t>
            </w:r>
          </w:p>
          <w:p>
            <w:pPr>
              <w:spacing w:before="60" w:after="60"/>
              <w:rPr>
                <w:rFonts w:eastAsia="Arial Unicode MS"/>
                <w:noProof/>
                <w:szCs w:val="24"/>
              </w:rPr>
            </w:pPr>
            <w:r>
              <w:rPr>
                <w:noProof/>
              </w:rPr>
              <w:t>L’attelage à utiliser pour un ensemble de véhicules ne se compose pas d’un pivot et d’une sellette d’attelage.</w:t>
            </w:r>
          </w:p>
        </w:tc>
      </w:tr>
    </w:tbl>
    <w:p>
      <w:pPr>
        <w:spacing w:before="0" w:after="0"/>
        <w:jc w:val="left"/>
        <w:rPr>
          <w:rFonts w:eastAsia="Arial Unicode MS"/>
          <w:noProof/>
          <w:szCs w:val="24"/>
        </w:rPr>
      </w:pPr>
      <w:r>
        <w:rPr>
          <w:rFonts w:eastAsia="Arial Unicode MS"/>
          <w:noProof/>
          <w:szCs w:val="24"/>
        </w:rPr>
        <w:pict>
          <v:rect id="_x0000_i102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Appendice 1</w:t>
      </w:r>
    </w:p>
    <w:p>
      <w:pPr>
        <w:rPr>
          <w:rFonts w:eastAsia="Arial Unicode MS"/>
          <w:b/>
          <w:bCs/>
          <w:noProof/>
          <w:szCs w:val="24"/>
        </w:rPr>
      </w:pPr>
      <w:r>
        <w:rPr>
          <w:b/>
          <w:noProof/>
        </w:rPr>
        <w:t>Procédure à suivre pour vérifier si un véhicule peut être classé dans la catégorie des véhicules hors route</w:t>
      </w:r>
    </w:p>
    <w:p>
      <w:pPr>
        <w:spacing w:before="360"/>
        <w:ind w:left="1134" w:hanging="1134"/>
        <w:jc w:val="left"/>
        <w:rPr>
          <w:rFonts w:eastAsia="Arial Unicode MS"/>
          <w:b/>
          <w:bCs/>
          <w:noProof/>
          <w:szCs w:val="24"/>
        </w:rPr>
      </w:pPr>
      <w:r>
        <w:rPr>
          <w:noProof/>
        </w:rPr>
        <w:t>1.</w:t>
      </w:r>
      <w:r>
        <w:rPr>
          <w:noProof/>
        </w:rPr>
        <w:tab/>
      </w:r>
      <w:r>
        <w:rPr>
          <w:b/>
          <w:noProof/>
        </w:rPr>
        <w:t xml:space="preserve">Généralités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Aux fins de la classification d’un véhicule dans la catégorie des véhicules hors route, la procédure décrite dans le présent appendice s’applique.</w:t>
            </w:r>
          </w:p>
        </w:tc>
      </w:tr>
    </w:tbl>
    <w:p>
      <w:pPr>
        <w:spacing w:before="240"/>
        <w:ind w:left="1134" w:hanging="1134"/>
        <w:jc w:val="left"/>
        <w:rPr>
          <w:rFonts w:eastAsia="Arial Unicode MS"/>
          <w:b/>
          <w:bCs/>
          <w:noProof/>
          <w:szCs w:val="24"/>
        </w:rPr>
      </w:pPr>
      <w:r>
        <w:rPr>
          <w:noProof/>
        </w:rPr>
        <w:t>2.</w:t>
      </w:r>
      <w:r>
        <w:rPr>
          <w:noProof/>
        </w:rPr>
        <w:tab/>
      </w:r>
      <w:r>
        <w:rPr>
          <w:b/>
          <w:noProof/>
        </w:rPr>
        <w:t xml:space="preserve">Conditions d’essai pour les mesures géométriques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Les véhicules appartenant à la catégorie M</w:t>
            </w:r>
            <w:r>
              <w:rPr>
                <w:noProof/>
                <w:vertAlign w:val="subscript"/>
              </w:rPr>
              <w:t>1</w:t>
            </w:r>
            <w:r>
              <w:rPr>
                <w:noProof/>
              </w:rPr>
              <w:t xml:space="preserve"> ou N</w:t>
            </w:r>
            <w:r>
              <w:rPr>
                <w:noProof/>
                <w:vertAlign w:val="subscript"/>
              </w:rPr>
              <w:t>1</w:t>
            </w:r>
            <w:r>
              <w:rPr>
                <w:noProof/>
              </w:rPr>
              <w:t xml:space="preserve"> sont sans chargement et pourvus d’un mannequin d’homme du 50</w:t>
            </w:r>
            <w:r>
              <w:rPr>
                <w:noProof/>
                <w:vertAlign w:val="superscript"/>
              </w:rPr>
              <w:t>e</w:t>
            </w:r>
            <w:r>
              <w:rPr>
                <w:noProof/>
              </w:rPr>
              <w:t xml:space="preserve"> centile installé sur le siège du conducteur, ainsi que de leurs fluide de refroidissement, lubrifiants, carburant, outillage et roue de secours (si ces équipements sont fournis d’origine).</w:t>
            </w:r>
          </w:p>
          <w:p>
            <w:pPr>
              <w:spacing w:after="0"/>
              <w:rPr>
                <w:rFonts w:eastAsia="Arial Unicode MS"/>
                <w:noProof/>
                <w:szCs w:val="24"/>
              </w:rPr>
            </w:pPr>
            <w:r>
              <w:rPr>
                <w:noProof/>
              </w:rPr>
              <w:t>Le mannequin peut être remplacé par un dispositif similaire ayant la même masse.</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Les véhicules autres que ceux visés au point 2.1 sont chargés jusqu’à leur masse en charge maximale techniquement admissible.</w:t>
            </w:r>
          </w:p>
          <w:p>
            <w:pPr>
              <w:spacing w:after="0"/>
              <w:rPr>
                <w:rFonts w:eastAsia="Arial Unicode MS"/>
                <w:noProof/>
                <w:szCs w:val="24"/>
              </w:rPr>
            </w:pPr>
            <w:r>
              <w:rPr>
                <w:noProof/>
              </w:rPr>
              <w:t>La répartition de la masse sur les essieux est la plus défavorable par rapport aux critères à respecter.</w:t>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Un véhicule représentatif du type est présenté au service technique dans les conditions visées au point 2.1 ou 2.2. Le véhicule est à l’arrêt, les roues en ligne droite.</w:t>
            </w:r>
          </w:p>
          <w:p>
            <w:pPr>
              <w:spacing w:after="0"/>
              <w:rPr>
                <w:rFonts w:eastAsia="Arial Unicode MS"/>
                <w:noProof/>
                <w:szCs w:val="24"/>
              </w:rPr>
            </w:pPr>
            <w:r>
              <w:rPr>
                <w:noProof/>
              </w:rPr>
              <w:t>Le sol sur lequel les mesures sont effectuées est aussi plat et horizontal (inclinaison maximale de 0,5 %) que possible.</w:t>
            </w:r>
          </w:p>
        </w:tc>
      </w:tr>
    </w:tbl>
    <w:p>
      <w:pPr>
        <w:spacing w:before="240"/>
        <w:ind w:left="1134" w:hanging="1134"/>
        <w:jc w:val="left"/>
        <w:rPr>
          <w:rFonts w:eastAsia="Arial Unicode MS"/>
          <w:b/>
          <w:bCs/>
          <w:noProof/>
          <w:szCs w:val="24"/>
        </w:rPr>
      </w:pPr>
      <w:r>
        <w:rPr>
          <w:noProof/>
        </w:rPr>
        <w:t>3.</w:t>
      </w:r>
      <w:r>
        <w:rPr>
          <w:noProof/>
        </w:rPr>
        <w:tab/>
      </w:r>
      <w:r>
        <w:rPr>
          <w:b/>
          <w:noProof/>
        </w:rPr>
        <w:t xml:space="preserve">Mesure des angles d’attaque, de fuite et de rampe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L’angle d’attaque est mesuré conformément au paragraphe 6.10 de la norme ISO 612: 1978.</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L’angle de fuite est mesuré conformément au paragraphe 6.11 de la norme ISO 612: 1978.</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L’angle de rampe est mesuré conformément au paragraphe 6.9 de la norme ISO 612: 1978.</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Lorsque l’angle de fuite est mesuré, les dispositifs de protection arrière contre l’encastrement qui sont ajustables en hauteur peuvent être mis dans la position supérieure.</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La prescription du point 3.4 n’est pas à interpréter comme imposant que le véhicule de base soit équipé d’origine d’un dispositif de protection arrière contre l’encastrement. Néanmoins, le constructeur du véhicule de base doit informer le constructeur de l’étape suivante que le véhicule doit être conforme aux prescriptions relatives à l’angle de fuite lorsqu’il est équipé d’un dispositif de protection arrière contre l’encastrement.</w:t>
            </w:r>
          </w:p>
        </w:tc>
      </w:tr>
    </w:tbl>
    <w:p>
      <w:pPr>
        <w:spacing w:before="240"/>
        <w:ind w:left="1134" w:hanging="1134"/>
        <w:jc w:val="left"/>
        <w:rPr>
          <w:rFonts w:eastAsia="Arial Unicode MS"/>
          <w:b/>
          <w:bCs/>
          <w:noProof/>
          <w:szCs w:val="24"/>
        </w:rPr>
      </w:pPr>
      <w:r>
        <w:rPr>
          <w:noProof/>
        </w:rPr>
        <w:t>4.</w:t>
      </w:r>
      <w:r>
        <w:rPr>
          <w:noProof/>
        </w:rPr>
        <w:tab/>
      </w:r>
      <w:r>
        <w:rPr>
          <w:b/>
          <w:noProof/>
        </w:rPr>
        <w:t xml:space="preserve">Mesure de la garde au sol </w:t>
      </w:r>
    </w:p>
    <w:p>
      <w:pPr>
        <w:ind w:left="1134" w:hanging="1134"/>
        <w:jc w:val="left"/>
        <w:rPr>
          <w:rFonts w:eastAsia="Arial Unicode MS"/>
          <w:bCs/>
          <w:noProof/>
          <w:szCs w:val="24"/>
        </w:rPr>
      </w:pPr>
      <w:r>
        <w:rPr>
          <w:noProof/>
        </w:rPr>
        <w:lastRenderedPageBreak/>
        <w:t>4.1.</w:t>
      </w:r>
      <w:r>
        <w:rPr>
          <w:noProof/>
        </w:rPr>
        <w:tab/>
        <w:t xml:space="preserve">Garde au sol entre les essieux </w:t>
      </w:r>
    </w:p>
    <w:p>
      <w:pPr>
        <w:spacing w:after="0"/>
        <w:ind w:left="1134" w:hanging="1134"/>
        <w:rPr>
          <w:rFonts w:eastAsia="Arial Unicode MS"/>
          <w:noProof/>
          <w:szCs w:val="24"/>
        </w:rPr>
      </w:pPr>
      <w:r>
        <w:rPr>
          <w:noProof/>
        </w:rPr>
        <w:t>4.1.1.</w:t>
      </w:r>
      <w:r>
        <w:rPr>
          <w:noProof/>
        </w:rPr>
        <w:tab/>
        <w:t>Par «</w:t>
      </w:r>
      <w:r>
        <w:rPr>
          <w:i/>
          <w:noProof/>
        </w:rPr>
        <w:t>garde au sol entre les essieux</w:t>
      </w:r>
      <w:r>
        <w:rPr>
          <w:noProof/>
        </w:rPr>
        <w:t>», on entend la plus petite distance entre le plan du sol et le point fixe le plus bas du véhicule.</w:t>
      </w:r>
    </w:p>
    <w:p>
      <w:pPr>
        <w:spacing w:before="100" w:beforeAutospacing="1" w:after="100" w:afterAutospacing="1"/>
        <w:ind w:left="1134"/>
        <w:rPr>
          <w:rFonts w:eastAsia="Arial Unicode MS"/>
          <w:noProof/>
          <w:szCs w:val="24"/>
        </w:rPr>
      </w:pPr>
      <w:r>
        <w:rPr>
          <w:noProof/>
        </w:rPr>
        <w:t>Pour l’application de la définition, il est tenu compte de la distance entre le dernier essieu d’un groupe d’essieux avant et le premier essieu d’un groupe d’essieux arrière.</w:t>
      </w:r>
    </w:p>
    <w:p>
      <w:pPr>
        <w:ind w:left="283" w:hanging="79"/>
        <w:jc w:val="center"/>
        <w:rPr>
          <w:rFonts w:eastAsia="Arial Unicode MS"/>
          <w:noProof/>
          <w:szCs w:val="24"/>
        </w:rPr>
      </w:pPr>
      <w:r>
        <w:rPr>
          <w:noProof/>
          <w:lang w:val="en-US" w:eastAsia="en-US"/>
        </w:rPr>
        <w:drawing>
          <wp:inline distT="0" distB="0" distL="0" distR="0">
            <wp:extent cx="4619048" cy="159047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619048" cy="1590476"/>
                    </a:xfrm>
                    <a:prstGeom prst="rect">
                      <a:avLst/>
                    </a:prstGeom>
                  </pic:spPr>
                </pic:pic>
              </a:graphicData>
            </a:graphic>
          </wp:inline>
        </w:drawing>
      </w:r>
    </w:p>
    <w:p>
      <w:pPr>
        <w:spacing w:after="0"/>
        <w:ind w:left="1134" w:hanging="1134"/>
        <w:rPr>
          <w:rFonts w:eastAsia="Arial Unicode MS"/>
          <w:noProof/>
          <w:szCs w:val="24"/>
        </w:rPr>
      </w:pPr>
      <w:r>
        <w:rPr>
          <w:noProof/>
        </w:rPr>
        <w:t>4.1.2.</w:t>
      </w:r>
      <w:r>
        <w:rPr>
          <w:noProof/>
        </w:rPr>
        <w:tab/>
        <w:t>Aucune partie rigide du véhicule ne doit déborder dans le segment hachuré du graphique.</w:t>
      </w:r>
    </w:p>
    <w:p>
      <w:pPr>
        <w:spacing w:before="240"/>
        <w:ind w:left="1134" w:hanging="1134"/>
        <w:jc w:val="left"/>
        <w:rPr>
          <w:rFonts w:eastAsia="Arial Unicode MS"/>
          <w:bCs/>
          <w:noProof/>
          <w:szCs w:val="24"/>
        </w:rPr>
      </w:pPr>
      <w:r>
        <w:rPr>
          <w:noProof/>
        </w:rPr>
        <w:t>4.2.</w:t>
      </w:r>
      <w:r>
        <w:rPr>
          <w:noProof/>
        </w:rPr>
        <w:tab/>
        <w:t xml:space="preserve">Garde au sol sous un essieu </w:t>
      </w:r>
    </w:p>
    <w:p>
      <w:pPr>
        <w:spacing w:after="0"/>
        <w:ind w:left="1134" w:hanging="1134"/>
        <w:rPr>
          <w:rFonts w:eastAsia="Arial Unicode MS"/>
          <w:noProof/>
          <w:szCs w:val="24"/>
        </w:rPr>
      </w:pPr>
      <w:r>
        <w:rPr>
          <w:noProof/>
        </w:rPr>
        <w:t>4.2.1.</w:t>
      </w:r>
      <w:r>
        <w:rPr>
          <w:noProof/>
        </w:rPr>
        <w:tab/>
        <w:t>Par «</w:t>
      </w:r>
      <w:r>
        <w:rPr>
          <w:i/>
          <w:noProof/>
        </w:rPr>
        <w:t>garde au sol sous un essieu</w:t>
      </w:r>
      <w:r>
        <w:rPr>
          <w:noProof/>
        </w:rPr>
        <w:t>», on entend la distance sous le point le plus haut de l’arc de cercle passant par le centre de l’empreinte des pneumatiques des roues d’un essieu (roues intérieures dans le cas de pneumatiques jumelés) et touchant le point fixe le plus bas du véhicule entre les roues.</w:t>
      </w:r>
    </w:p>
    <w:p>
      <w:pPr>
        <w:jc w:val="center"/>
        <w:rPr>
          <w:rFonts w:eastAsia="Arial Unicode MS"/>
          <w:noProof/>
          <w:szCs w:val="24"/>
        </w:rPr>
      </w:pPr>
      <w:r>
        <w:rPr>
          <w:noProof/>
          <w:lang w:val="en-US" w:eastAsia="en-US"/>
        </w:rPr>
        <w:drawing>
          <wp:inline distT="0" distB="0" distL="0" distR="0">
            <wp:extent cx="4066667" cy="1904762"/>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066667" cy="1904762"/>
                    </a:xfrm>
                    <a:prstGeom prst="rect">
                      <a:avLst/>
                    </a:prstGeom>
                  </pic:spPr>
                </pic:pic>
              </a:graphicData>
            </a:graphic>
          </wp:inline>
        </w:drawing>
      </w:r>
    </w:p>
    <w:p>
      <w:pPr>
        <w:spacing w:before="0" w:after="0"/>
        <w:ind w:left="1134" w:hanging="1134"/>
        <w:rPr>
          <w:rFonts w:eastAsia="Arial Unicode MS"/>
          <w:noProof/>
          <w:szCs w:val="24"/>
        </w:rPr>
      </w:pPr>
      <w:r>
        <w:rPr>
          <w:noProof/>
        </w:rPr>
        <w:t>4.2.2.</w:t>
      </w:r>
      <w:r>
        <w:rPr>
          <w:noProof/>
        </w:rPr>
        <w:tab/>
        <w:t>Le cas échéant, la mesure de la garde au sol est réalisée sur chacun des essieux d’un groupe d’essieux.</w:t>
      </w:r>
    </w:p>
    <w:p>
      <w:pPr>
        <w:spacing w:before="240"/>
        <w:ind w:left="1134" w:hanging="1134"/>
        <w:jc w:val="left"/>
        <w:rPr>
          <w:rFonts w:eastAsia="Arial Unicode MS"/>
          <w:b/>
          <w:bCs/>
          <w:noProof/>
          <w:szCs w:val="24"/>
        </w:rPr>
      </w:pPr>
      <w:r>
        <w:rPr>
          <w:noProof/>
        </w:rPr>
        <w:t>5.</w:t>
      </w:r>
      <w:r>
        <w:rPr>
          <w:noProof/>
        </w:rPr>
        <w:tab/>
      </w:r>
      <w:r>
        <w:rPr>
          <w:b/>
          <w:noProof/>
        </w:rPr>
        <w:t>Capacité de gravissement</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Par «</w:t>
            </w:r>
            <w:r>
              <w:rPr>
                <w:i/>
                <w:noProof/>
              </w:rPr>
              <w:t>capacité de gravissement</w:t>
            </w:r>
            <w:r>
              <w:rPr>
                <w:noProof/>
              </w:rPr>
              <w:t>», on entend la capacité d’un véhicule de gravir une pente.</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Un essai est effectué afin de vérifier la capacité de gravissement d’un véhicule incomplet et d’un véhicule complet des catégories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et N</w:t>
            </w:r>
            <w:r>
              <w:rPr>
                <w:noProof/>
                <w:vertAlign w:val="subscript"/>
              </w:rPr>
              <w:t>3</w:t>
            </w:r>
            <w:r>
              <w:rPr>
                <w:noProof/>
              </w:rPr>
              <w:t>.</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 xml:space="preserve">L'essai est effectué par le service technique, qui utilise, pour ce faire, un véhicule </w:t>
            </w:r>
            <w:r>
              <w:rPr>
                <w:noProof/>
              </w:rPr>
              <w:lastRenderedPageBreak/>
              <w:t>représentatif du type soumis à l’essai.</w:t>
            </w:r>
          </w:p>
        </w:tc>
      </w:tr>
      <w:tr>
        <w:trPr>
          <w:tblCellSpacing w:w="0" w:type="dxa"/>
        </w:trPr>
        <w:tc>
          <w:tcPr>
            <w:tcW w:w="0" w:type="auto"/>
            <w:hideMark/>
          </w:tcPr>
          <w:p>
            <w:pPr>
              <w:spacing w:after="0"/>
              <w:rPr>
                <w:rFonts w:eastAsia="Arial Unicode MS"/>
                <w:noProof/>
                <w:szCs w:val="24"/>
              </w:rPr>
            </w:pPr>
            <w:r>
              <w:rPr>
                <w:noProof/>
              </w:rPr>
              <w:lastRenderedPageBreak/>
              <w:t>5.4.</w:t>
            </w:r>
          </w:p>
        </w:tc>
        <w:tc>
          <w:tcPr>
            <w:tcW w:w="0" w:type="auto"/>
            <w:hideMark/>
          </w:tcPr>
          <w:p>
            <w:pPr>
              <w:spacing w:after="0"/>
              <w:rPr>
                <w:rFonts w:eastAsia="Arial Unicode MS"/>
                <w:noProof/>
                <w:szCs w:val="24"/>
              </w:rPr>
            </w:pPr>
            <w:r>
              <w:rPr>
                <w:noProof/>
              </w:rPr>
              <w:t>À la demande du constructeur et dans les conditions visées à l’annexe XVI, la capacité de gravissement d’un type de véhicule peut être démontrée par un essai virtuel.</w:t>
            </w:r>
          </w:p>
        </w:tc>
      </w:tr>
    </w:tbl>
    <w:p>
      <w:pPr>
        <w:spacing w:before="240" w:after="0"/>
        <w:ind w:left="1134" w:hanging="1134"/>
        <w:jc w:val="left"/>
        <w:rPr>
          <w:rFonts w:eastAsia="Arial Unicode MS"/>
          <w:b/>
          <w:bCs/>
          <w:noProof/>
          <w:szCs w:val="24"/>
        </w:rPr>
      </w:pPr>
      <w:r>
        <w:rPr>
          <w:noProof/>
        </w:rPr>
        <w:t>6.</w:t>
      </w:r>
      <w:r>
        <w:rPr>
          <w:noProof/>
        </w:rPr>
        <w:tab/>
      </w:r>
      <w:r>
        <w:rPr>
          <w:b/>
          <w:noProof/>
        </w:rPr>
        <w:t xml:space="preserve">Conditions d’essai et critère de réussite/d’échec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t>6.1.</w:t>
            </w:r>
          </w:p>
        </w:tc>
        <w:tc>
          <w:tcPr>
            <w:tcW w:w="4334" w:type="pct"/>
            <w:hideMark/>
          </w:tcPr>
          <w:p>
            <w:pPr>
              <w:spacing w:after="0"/>
              <w:rPr>
                <w:rFonts w:eastAsia="Arial Unicode MS"/>
                <w:noProof/>
                <w:szCs w:val="24"/>
              </w:rPr>
            </w:pPr>
            <w:r>
              <w:rPr>
                <w:noProof/>
              </w:rPr>
              <w:t>Les conditions énoncées dans l’annexe II du règlement (UE) n</w:t>
            </w:r>
            <w:r>
              <w:rPr>
                <w:noProof/>
                <w:vertAlign w:val="superscript"/>
              </w:rPr>
              <w:t>o</w:t>
            </w:r>
            <w:r>
              <w:rPr>
                <w:noProof/>
              </w:rPr>
              <w:t> 1230/2012 s’appliquent.</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Le véhicule gravit la pente à une vitesse constante, sans glissement de roue, longitudinalement ou latéralement.</w:t>
            </w:r>
          </w:p>
        </w:tc>
      </w:tr>
    </w:tbl>
    <w:p>
      <w:pPr>
        <w:spacing w:before="0" w:after="0"/>
        <w:jc w:val="left"/>
        <w:rPr>
          <w:rFonts w:eastAsia="Arial Unicode MS"/>
          <w:noProof/>
          <w:szCs w:val="24"/>
        </w:rPr>
      </w:pPr>
      <w:r>
        <w:rPr>
          <w:rFonts w:eastAsia="Arial Unicode MS"/>
          <w:noProof/>
          <w:szCs w:val="24"/>
        </w:rPr>
        <w:pict>
          <v:rect id="_x0000_i1029" style="width:45.35pt;height:.75pt" o:hrpct="100" o:hralign="center" o:hrstd="t" o:hrnoshade="t" o:hr="t" fillcolor="black" stroked="f"/>
        </w:pict>
      </w:r>
    </w:p>
    <w:p>
      <w:pPr>
        <w:spacing w:before="0"/>
        <w:jc w:val="center"/>
        <w:rPr>
          <w:rFonts w:eastAsia="Arial Unicode MS"/>
          <w:i/>
          <w:iCs/>
          <w:noProof/>
          <w:szCs w:val="24"/>
        </w:rPr>
      </w:pPr>
      <w:r>
        <w:rPr>
          <w:i/>
          <w:noProof/>
        </w:rPr>
        <w:t>Appendice 2</w:t>
      </w:r>
    </w:p>
    <w:p>
      <w:pPr>
        <w:jc w:val="left"/>
        <w:rPr>
          <w:rFonts w:eastAsia="Arial Unicode MS"/>
          <w:b/>
          <w:bCs/>
          <w:noProof/>
          <w:szCs w:val="24"/>
        </w:rPr>
      </w:pPr>
      <w:r>
        <w:rPr>
          <w:b/>
          <w:noProof/>
        </w:rPr>
        <w:t>Chiffres utilisés pour compléter les codes à utiliser pour divers types de carrosserie</w:t>
      </w:r>
    </w:p>
    <w:p>
      <w:pPr>
        <w:spacing w:before="100" w:after="0"/>
        <w:ind w:left="567" w:hanging="567"/>
        <w:rPr>
          <w:rFonts w:eastAsia="Arial Unicode MS"/>
          <w:noProof/>
          <w:szCs w:val="24"/>
        </w:rPr>
      </w:pPr>
      <w:r>
        <w:rPr>
          <w:noProof/>
        </w:rPr>
        <w:t>01</w:t>
      </w:r>
      <w:r>
        <w:rPr>
          <w:noProof/>
        </w:rPr>
        <w:tab/>
        <w:t>Plate-forme</w:t>
      </w:r>
    </w:p>
    <w:p>
      <w:pPr>
        <w:spacing w:before="100" w:after="0"/>
        <w:ind w:left="567" w:hanging="567"/>
        <w:rPr>
          <w:rFonts w:eastAsia="Arial Unicode MS"/>
          <w:noProof/>
          <w:szCs w:val="24"/>
        </w:rPr>
      </w:pPr>
      <w:r>
        <w:rPr>
          <w:noProof/>
        </w:rPr>
        <w:t>02</w:t>
      </w:r>
      <w:r>
        <w:rPr>
          <w:noProof/>
        </w:rPr>
        <w:tab/>
        <w:t>Ridelle rabattable</w:t>
      </w:r>
    </w:p>
    <w:p>
      <w:pPr>
        <w:spacing w:before="100" w:after="0"/>
        <w:ind w:left="567" w:hanging="567"/>
        <w:rPr>
          <w:rFonts w:eastAsia="Arial Unicode MS"/>
          <w:noProof/>
          <w:szCs w:val="24"/>
        </w:rPr>
      </w:pPr>
      <w:r>
        <w:rPr>
          <w:noProof/>
        </w:rPr>
        <w:t>03</w:t>
      </w:r>
      <w:r>
        <w:rPr>
          <w:noProof/>
        </w:rPr>
        <w:tab/>
        <w:t>Fourgon</w:t>
      </w:r>
    </w:p>
    <w:p>
      <w:pPr>
        <w:spacing w:before="100" w:after="0"/>
        <w:ind w:left="567" w:hanging="567"/>
        <w:rPr>
          <w:rFonts w:eastAsia="Arial Unicode MS"/>
          <w:noProof/>
          <w:szCs w:val="24"/>
        </w:rPr>
      </w:pPr>
      <w:r>
        <w:rPr>
          <w:noProof/>
        </w:rPr>
        <w:t>04</w:t>
      </w:r>
      <w:r>
        <w:rPr>
          <w:noProof/>
        </w:rPr>
        <w:tab/>
        <w:t>Carrosserie aménagée au moyen de cloisons isolées et d’équipements pour maintenir la température intérieure</w:t>
      </w:r>
    </w:p>
    <w:p>
      <w:pPr>
        <w:spacing w:before="100" w:after="0"/>
        <w:ind w:left="567" w:hanging="567"/>
        <w:rPr>
          <w:rFonts w:eastAsia="Arial Unicode MS"/>
          <w:noProof/>
          <w:szCs w:val="24"/>
        </w:rPr>
      </w:pPr>
      <w:r>
        <w:rPr>
          <w:noProof/>
        </w:rPr>
        <w:t>05</w:t>
      </w:r>
      <w:r>
        <w:rPr>
          <w:noProof/>
        </w:rPr>
        <w:tab/>
        <w:t>Carrosserie aménagée au moyen de cloisons isolées mais pas d’équipements pour maintenir la température intérieure</w:t>
      </w:r>
    </w:p>
    <w:p>
      <w:pPr>
        <w:spacing w:before="100" w:after="0"/>
        <w:ind w:left="567" w:hanging="567"/>
        <w:rPr>
          <w:rFonts w:eastAsia="Arial Unicode MS"/>
          <w:noProof/>
          <w:szCs w:val="24"/>
        </w:rPr>
      </w:pPr>
      <w:r>
        <w:rPr>
          <w:noProof/>
        </w:rPr>
        <w:t>06</w:t>
      </w:r>
      <w:r>
        <w:rPr>
          <w:noProof/>
        </w:rPr>
        <w:tab/>
        <w:t>Bâchés</w:t>
      </w:r>
    </w:p>
    <w:p>
      <w:pPr>
        <w:spacing w:before="100" w:after="0"/>
        <w:ind w:left="567" w:hanging="567"/>
        <w:rPr>
          <w:rFonts w:eastAsia="Arial Unicode MS"/>
          <w:noProof/>
          <w:szCs w:val="24"/>
        </w:rPr>
      </w:pPr>
      <w:r>
        <w:rPr>
          <w:noProof/>
        </w:rPr>
        <w:t>07</w:t>
      </w:r>
      <w:r>
        <w:rPr>
          <w:noProof/>
        </w:rPr>
        <w:tab/>
        <w:t>Carrosserie amovible (superstructure interchangeable)</w:t>
      </w:r>
    </w:p>
    <w:p>
      <w:pPr>
        <w:spacing w:before="100" w:after="0"/>
        <w:ind w:left="567" w:hanging="567"/>
        <w:rPr>
          <w:rFonts w:eastAsia="Arial Unicode MS"/>
          <w:noProof/>
          <w:szCs w:val="24"/>
        </w:rPr>
      </w:pPr>
      <w:r>
        <w:rPr>
          <w:noProof/>
        </w:rPr>
        <w:t>08</w:t>
      </w:r>
      <w:r>
        <w:rPr>
          <w:noProof/>
        </w:rPr>
        <w:tab/>
        <w:t>Porte-conteneur</w:t>
      </w:r>
    </w:p>
    <w:p>
      <w:pPr>
        <w:spacing w:before="100" w:after="0"/>
        <w:ind w:left="567" w:hanging="567"/>
        <w:rPr>
          <w:rFonts w:eastAsia="Arial Unicode MS"/>
          <w:noProof/>
          <w:szCs w:val="24"/>
        </w:rPr>
      </w:pPr>
      <w:r>
        <w:rPr>
          <w:noProof/>
        </w:rPr>
        <w:t>09</w:t>
      </w:r>
      <w:r>
        <w:rPr>
          <w:noProof/>
        </w:rPr>
        <w:tab/>
        <w:t>Véhicules équipés d’une grue à crochet</w:t>
      </w:r>
    </w:p>
    <w:p>
      <w:pPr>
        <w:spacing w:before="100" w:after="0"/>
        <w:ind w:left="567" w:hanging="567"/>
        <w:rPr>
          <w:rFonts w:eastAsia="Arial Unicode MS"/>
          <w:noProof/>
          <w:szCs w:val="24"/>
        </w:rPr>
      </w:pPr>
      <w:r>
        <w:rPr>
          <w:noProof/>
        </w:rPr>
        <w:t>10</w:t>
      </w:r>
      <w:r>
        <w:rPr>
          <w:noProof/>
        </w:rPr>
        <w:tab/>
        <w:t>Benne basculante</w:t>
      </w:r>
    </w:p>
    <w:p>
      <w:pPr>
        <w:spacing w:before="100" w:after="0"/>
        <w:ind w:left="567" w:hanging="567"/>
        <w:rPr>
          <w:rFonts w:eastAsia="Arial Unicode MS"/>
          <w:noProof/>
          <w:szCs w:val="24"/>
        </w:rPr>
      </w:pPr>
      <w:r>
        <w:rPr>
          <w:noProof/>
        </w:rPr>
        <w:t>11</w:t>
      </w:r>
      <w:r>
        <w:rPr>
          <w:noProof/>
        </w:rPr>
        <w:tab/>
        <w:t>Citerne</w:t>
      </w:r>
    </w:p>
    <w:p>
      <w:pPr>
        <w:spacing w:before="100" w:after="0"/>
        <w:ind w:left="567" w:hanging="567"/>
        <w:rPr>
          <w:rFonts w:eastAsia="Arial Unicode MS"/>
          <w:noProof/>
          <w:szCs w:val="24"/>
        </w:rPr>
      </w:pPr>
      <w:r>
        <w:rPr>
          <w:noProof/>
        </w:rPr>
        <w:t>12</w:t>
      </w:r>
      <w:r>
        <w:rPr>
          <w:noProof/>
        </w:rPr>
        <w:tab/>
        <w:t>Citerne destinée au transport de marchandises dangereuses</w:t>
      </w:r>
    </w:p>
    <w:p>
      <w:pPr>
        <w:spacing w:before="100" w:after="0"/>
        <w:ind w:left="567" w:hanging="567"/>
        <w:rPr>
          <w:rFonts w:eastAsia="Arial Unicode MS"/>
          <w:noProof/>
          <w:szCs w:val="24"/>
        </w:rPr>
      </w:pPr>
      <w:r>
        <w:rPr>
          <w:noProof/>
        </w:rPr>
        <w:t>13</w:t>
      </w:r>
      <w:r>
        <w:rPr>
          <w:noProof/>
        </w:rPr>
        <w:tab/>
        <w:t>Bétaillère</w:t>
      </w:r>
    </w:p>
    <w:p>
      <w:pPr>
        <w:spacing w:before="100" w:after="0"/>
        <w:ind w:left="567" w:hanging="567"/>
        <w:rPr>
          <w:rFonts w:eastAsia="Arial Unicode MS"/>
          <w:noProof/>
          <w:szCs w:val="24"/>
        </w:rPr>
      </w:pPr>
      <w:r>
        <w:rPr>
          <w:noProof/>
        </w:rPr>
        <w:t>14</w:t>
      </w:r>
      <w:r>
        <w:rPr>
          <w:noProof/>
        </w:rPr>
        <w:tab/>
        <w:t>Transporteur de véhicules</w:t>
      </w:r>
    </w:p>
    <w:p>
      <w:pPr>
        <w:spacing w:before="100" w:after="0"/>
        <w:ind w:left="567" w:hanging="567"/>
        <w:rPr>
          <w:rFonts w:eastAsia="Arial Unicode MS"/>
          <w:noProof/>
          <w:szCs w:val="24"/>
        </w:rPr>
      </w:pPr>
      <w:r>
        <w:rPr>
          <w:noProof/>
        </w:rPr>
        <w:t>15</w:t>
      </w:r>
      <w:r>
        <w:rPr>
          <w:noProof/>
        </w:rPr>
        <w:tab/>
        <w:t>Bétonneuse</w:t>
      </w:r>
    </w:p>
    <w:p>
      <w:pPr>
        <w:spacing w:before="100" w:after="0"/>
        <w:ind w:left="567" w:hanging="567"/>
        <w:rPr>
          <w:rFonts w:eastAsia="Arial Unicode MS"/>
          <w:noProof/>
          <w:szCs w:val="24"/>
        </w:rPr>
      </w:pPr>
      <w:r>
        <w:rPr>
          <w:noProof/>
        </w:rPr>
        <w:t>16</w:t>
      </w:r>
      <w:r>
        <w:rPr>
          <w:noProof/>
        </w:rPr>
        <w:tab/>
        <w:t>Véhicule pompe à béton</w:t>
      </w:r>
    </w:p>
    <w:p>
      <w:pPr>
        <w:spacing w:before="100" w:after="0"/>
        <w:ind w:left="567" w:hanging="567"/>
        <w:rPr>
          <w:rFonts w:eastAsia="Arial Unicode MS"/>
          <w:noProof/>
          <w:szCs w:val="24"/>
        </w:rPr>
      </w:pPr>
      <w:r>
        <w:rPr>
          <w:noProof/>
        </w:rPr>
        <w:t>17</w:t>
      </w:r>
      <w:r>
        <w:rPr>
          <w:noProof/>
        </w:rPr>
        <w:tab/>
        <w:t>Transporteur de bois</w:t>
      </w:r>
    </w:p>
    <w:p>
      <w:pPr>
        <w:spacing w:before="100" w:after="0"/>
        <w:ind w:left="567" w:hanging="567"/>
        <w:rPr>
          <w:rFonts w:eastAsia="Arial Unicode MS"/>
          <w:noProof/>
          <w:szCs w:val="24"/>
        </w:rPr>
      </w:pPr>
      <w:r>
        <w:rPr>
          <w:noProof/>
        </w:rPr>
        <w:t>18</w:t>
      </w:r>
      <w:r>
        <w:rPr>
          <w:noProof/>
        </w:rPr>
        <w:tab/>
        <w:t>Benne à ordures ménagères</w:t>
      </w:r>
    </w:p>
    <w:p>
      <w:pPr>
        <w:spacing w:before="100" w:after="0"/>
        <w:ind w:left="567" w:hanging="567"/>
        <w:rPr>
          <w:rFonts w:eastAsia="Arial Unicode MS"/>
          <w:noProof/>
          <w:szCs w:val="24"/>
        </w:rPr>
      </w:pPr>
      <w:r>
        <w:rPr>
          <w:noProof/>
        </w:rPr>
        <w:t>19</w:t>
      </w:r>
      <w:r>
        <w:rPr>
          <w:noProof/>
        </w:rPr>
        <w:tab/>
        <w:t>Balayeuse, véhicules de nettoyage et véhicules de curage de canalisations</w:t>
      </w:r>
    </w:p>
    <w:p>
      <w:pPr>
        <w:spacing w:before="100" w:after="0"/>
        <w:ind w:left="567" w:hanging="567"/>
        <w:rPr>
          <w:rFonts w:eastAsia="Arial Unicode MS"/>
          <w:noProof/>
          <w:szCs w:val="24"/>
        </w:rPr>
      </w:pPr>
      <w:r>
        <w:rPr>
          <w:noProof/>
        </w:rPr>
        <w:t>20</w:t>
      </w:r>
      <w:r>
        <w:rPr>
          <w:noProof/>
        </w:rPr>
        <w:tab/>
        <w:t>Compresseur</w:t>
      </w:r>
    </w:p>
    <w:p>
      <w:pPr>
        <w:spacing w:before="100" w:after="0"/>
        <w:ind w:left="567" w:hanging="567"/>
        <w:rPr>
          <w:rFonts w:eastAsia="Arial Unicode MS"/>
          <w:noProof/>
          <w:szCs w:val="24"/>
        </w:rPr>
      </w:pPr>
      <w:r>
        <w:rPr>
          <w:noProof/>
        </w:rPr>
        <w:t>21</w:t>
      </w:r>
      <w:r>
        <w:rPr>
          <w:noProof/>
        </w:rPr>
        <w:tab/>
        <w:t>Porte-bateau</w:t>
      </w:r>
    </w:p>
    <w:p>
      <w:pPr>
        <w:spacing w:before="100" w:after="0"/>
        <w:ind w:left="567" w:hanging="567"/>
        <w:rPr>
          <w:rFonts w:eastAsia="Arial Unicode MS"/>
          <w:noProof/>
          <w:szCs w:val="24"/>
        </w:rPr>
      </w:pPr>
      <w:r>
        <w:rPr>
          <w:noProof/>
        </w:rPr>
        <w:t>22</w:t>
      </w:r>
      <w:r>
        <w:rPr>
          <w:noProof/>
        </w:rPr>
        <w:tab/>
        <w:t>Porte-planeur</w:t>
      </w:r>
    </w:p>
    <w:p>
      <w:pPr>
        <w:spacing w:before="100" w:after="0"/>
        <w:ind w:left="567" w:hanging="567"/>
        <w:rPr>
          <w:rFonts w:eastAsia="Arial Unicode MS"/>
          <w:noProof/>
          <w:szCs w:val="24"/>
        </w:rPr>
      </w:pPr>
      <w:r>
        <w:rPr>
          <w:noProof/>
        </w:rPr>
        <w:t>23</w:t>
      </w:r>
      <w:r>
        <w:rPr>
          <w:noProof/>
        </w:rPr>
        <w:tab/>
        <w:t>Véhicules pour commerce ambulant ou exposition itinérante</w:t>
      </w:r>
    </w:p>
    <w:p>
      <w:pPr>
        <w:spacing w:before="100" w:after="0"/>
        <w:ind w:left="567" w:hanging="567"/>
        <w:rPr>
          <w:rFonts w:eastAsia="Arial Unicode MS"/>
          <w:noProof/>
          <w:szCs w:val="24"/>
        </w:rPr>
      </w:pPr>
      <w:r>
        <w:rPr>
          <w:noProof/>
        </w:rPr>
        <w:lastRenderedPageBreak/>
        <w:t>24</w:t>
      </w:r>
      <w:r>
        <w:rPr>
          <w:noProof/>
        </w:rPr>
        <w:tab/>
        <w:t>Dépanneuse</w:t>
      </w:r>
    </w:p>
    <w:p>
      <w:pPr>
        <w:spacing w:before="100" w:after="0"/>
        <w:ind w:left="567" w:hanging="567"/>
        <w:rPr>
          <w:rFonts w:eastAsia="Arial Unicode MS"/>
          <w:noProof/>
          <w:szCs w:val="24"/>
        </w:rPr>
      </w:pPr>
      <w:r>
        <w:rPr>
          <w:noProof/>
        </w:rPr>
        <w:t>25</w:t>
      </w:r>
      <w:r>
        <w:rPr>
          <w:noProof/>
        </w:rPr>
        <w:tab/>
        <w:t>Véhicule à échelle</w:t>
      </w:r>
    </w:p>
    <w:p>
      <w:pPr>
        <w:spacing w:before="100" w:after="0"/>
        <w:ind w:left="567" w:hanging="567"/>
        <w:rPr>
          <w:rFonts w:eastAsia="Arial Unicode MS"/>
          <w:noProof/>
          <w:szCs w:val="24"/>
        </w:rPr>
      </w:pPr>
      <w:r>
        <w:rPr>
          <w:noProof/>
        </w:rPr>
        <w:t>26</w:t>
      </w:r>
      <w:r>
        <w:rPr>
          <w:noProof/>
        </w:rPr>
        <w:tab/>
        <w:t>Camion-grue (autre qu’une grue mobile telle que définie dans la section 5 de la partie A de l’annexe II)</w:t>
      </w:r>
    </w:p>
    <w:p>
      <w:pPr>
        <w:spacing w:before="100" w:after="0"/>
        <w:ind w:left="567" w:hanging="567"/>
        <w:rPr>
          <w:rFonts w:eastAsia="Arial Unicode MS"/>
          <w:noProof/>
          <w:szCs w:val="24"/>
        </w:rPr>
      </w:pPr>
      <w:r>
        <w:rPr>
          <w:noProof/>
        </w:rPr>
        <w:t>27</w:t>
      </w:r>
      <w:r>
        <w:rPr>
          <w:noProof/>
        </w:rPr>
        <w:tab/>
        <w:t>Véhicule à nacelle pour travaux aériens</w:t>
      </w:r>
    </w:p>
    <w:p>
      <w:pPr>
        <w:spacing w:before="100" w:after="0"/>
        <w:ind w:left="567" w:hanging="567"/>
        <w:rPr>
          <w:rFonts w:eastAsia="Arial Unicode MS"/>
          <w:noProof/>
          <w:szCs w:val="24"/>
        </w:rPr>
      </w:pPr>
      <w:r>
        <w:rPr>
          <w:noProof/>
        </w:rPr>
        <w:t>28</w:t>
      </w:r>
      <w:r>
        <w:rPr>
          <w:noProof/>
        </w:rPr>
        <w:tab/>
        <w:t>Véhicule équipé d’outils de forage</w:t>
      </w:r>
    </w:p>
    <w:p>
      <w:pPr>
        <w:spacing w:before="100" w:after="0"/>
        <w:ind w:left="567" w:hanging="567"/>
        <w:rPr>
          <w:rFonts w:eastAsia="Arial Unicode MS"/>
          <w:noProof/>
          <w:szCs w:val="24"/>
        </w:rPr>
      </w:pPr>
      <w:r>
        <w:rPr>
          <w:noProof/>
        </w:rPr>
        <w:t>29</w:t>
      </w:r>
      <w:r>
        <w:rPr>
          <w:noProof/>
        </w:rPr>
        <w:tab/>
        <w:t>Remorque surbaissée</w:t>
      </w:r>
    </w:p>
    <w:p>
      <w:pPr>
        <w:spacing w:before="100" w:after="0"/>
        <w:ind w:left="567" w:hanging="567"/>
        <w:rPr>
          <w:rFonts w:eastAsia="Arial Unicode MS"/>
          <w:noProof/>
          <w:szCs w:val="24"/>
        </w:rPr>
      </w:pPr>
      <w:r>
        <w:rPr>
          <w:noProof/>
        </w:rPr>
        <w:t>30</w:t>
      </w:r>
      <w:r>
        <w:rPr>
          <w:noProof/>
        </w:rPr>
        <w:tab/>
        <w:t>Transporteur de vitrage</w:t>
      </w:r>
    </w:p>
    <w:p>
      <w:pPr>
        <w:spacing w:before="100" w:after="0"/>
        <w:ind w:left="567" w:hanging="567"/>
        <w:rPr>
          <w:rFonts w:eastAsia="Arial Unicode MS"/>
          <w:noProof/>
          <w:szCs w:val="24"/>
        </w:rPr>
      </w:pPr>
      <w:r>
        <w:rPr>
          <w:noProof/>
        </w:rPr>
        <w:t>31</w:t>
      </w:r>
      <w:r>
        <w:rPr>
          <w:noProof/>
        </w:rPr>
        <w:tab/>
        <w:t>Véhicule d’incendie</w:t>
      </w:r>
    </w:p>
    <w:p>
      <w:pPr>
        <w:spacing w:before="100" w:after="0"/>
        <w:ind w:left="567" w:hanging="567"/>
        <w:rPr>
          <w:rFonts w:eastAsia="Arial Unicode MS"/>
          <w:noProof/>
          <w:szCs w:val="24"/>
        </w:rPr>
      </w:pPr>
      <w:r>
        <w:rPr>
          <w:noProof/>
        </w:rPr>
        <w:t>99</w:t>
      </w:r>
      <w:r>
        <w:rPr>
          <w:noProof/>
        </w:rPr>
        <w:tab/>
        <w:t>Carrosserie non incluse dans la présente liste</w:t>
      </w:r>
    </w:p>
    <w:p>
      <w:pPr>
        <w:spacing w:before="0" w:after="0"/>
        <w:jc w:val="left"/>
        <w:rPr>
          <w:rFonts w:eastAsia="Arial Unicode MS"/>
          <w:noProof/>
          <w:szCs w:val="24"/>
        </w:rPr>
      </w:pPr>
      <w:r>
        <w:rPr>
          <w:rFonts w:eastAsia="Arial Unicode MS"/>
          <w:noProof/>
          <w:szCs w:val="24"/>
        </w:rPr>
        <w:pict>
          <v:rect id="_x0000_i1030" style="width:45.35pt;height:.75pt" o:hrpct="100" o:hralign="center" o:hrstd="t" o:hrnoshade="t" o:hr="t" fillcolor="black" stroked="f"/>
        </w:pict>
      </w:r>
    </w:p>
    <w:p>
      <w:pPr>
        <w:rPr>
          <w:noProof/>
        </w:rPr>
      </w:pPr>
      <w:r>
        <w:rPr>
          <w:noProof/>
        </w:rPr>
        <w:br w:type="page"/>
      </w:r>
    </w:p>
    <w:p>
      <w:pPr>
        <w:pStyle w:val="Annexetitre"/>
        <w:rPr>
          <w:noProof/>
        </w:rPr>
      </w:pPr>
      <w:r>
        <w:rPr>
          <w:noProof/>
        </w:rPr>
        <w:lastRenderedPageBreak/>
        <w:t>ANNEXE III</w:t>
      </w:r>
    </w:p>
    <w:p>
      <w:pPr>
        <w:spacing w:before="360"/>
        <w:jc w:val="center"/>
        <w:rPr>
          <w:rFonts w:eastAsia="Arial Unicode MS"/>
          <w:b/>
          <w:bCs/>
          <w:noProof/>
          <w:szCs w:val="24"/>
        </w:rPr>
      </w:pPr>
      <w:r>
        <w:rPr>
          <w:b/>
          <w:noProof/>
        </w:rPr>
        <w:t>FICHE DE RENSEIGNEMENTS AUX FINS DE LA RÉCEPTION UE PAR TYPE DE VÉHICULES</w:t>
      </w:r>
    </w:p>
    <w:p>
      <w:pPr>
        <w:spacing w:before="360" w:after="240"/>
        <w:jc w:val="center"/>
        <w:rPr>
          <w:rFonts w:eastAsia="Arial Unicode MS"/>
          <w:bCs/>
          <w:noProof/>
          <w:szCs w:val="24"/>
        </w:rPr>
      </w:pPr>
      <w:r>
        <w:rPr>
          <w:noProof/>
        </w:rPr>
        <w:t>PARTIE I</w:t>
      </w:r>
    </w:p>
    <w:p>
      <w:pPr>
        <w:spacing w:after="0"/>
        <w:rPr>
          <w:rFonts w:eastAsia="Arial Unicode MS"/>
          <w:noProof/>
          <w:szCs w:val="24"/>
        </w:rPr>
      </w:pPr>
      <w:r>
        <w:rPr>
          <w:noProof/>
        </w:rPr>
        <w:t xml:space="preserve">Les informations figurant ci-après sont fournies en triple exemplaire et sont accompagnées d’une liste des éléments inclus. </w:t>
      </w:r>
    </w:p>
    <w:p>
      <w:pPr>
        <w:spacing w:after="0"/>
        <w:rPr>
          <w:rFonts w:eastAsia="Arial Unicode MS"/>
          <w:noProof/>
          <w:szCs w:val="24"/>
        </w:rPr>
      </w:pPr>
      <w:r>
        <w:rPr>
          <w:noProof/>
        </w:rPr>
        <w:t xml:space="preserve">Les dessins sont fournis à une échelle appropriée et avec suffisamment de détails, en format A4 ou sur un dépliant de ce format. </w:t>
      </w:r>
    </w:p>
    <w:p>
      <w:pPr>
        <w:spacing w:after="0"/>
        <w:rPr>
          <w:rFonts w:eastAsia="Arial Unicode MS"/>
          <w:noProof/>
          <w:szCs w:val="24"/>
        </w:rPr>
      </w:pPr>
      <w:r>
        <w:rPr>
          <w:noProof/>
        </w:rPr>
        <w:t>Les photographies, s’il en existe, doivent être suffisamment détaillées.</w:t>
      </w:r>
    </w:p>
    <w:p>
      <w:pPr>
        <w:spacing w:before="360"/>
        <w:ind w:left="425" w:hanging="425"/>
        <w:jc w:val="center"/>
        <w:rPr>
          <w:rFonts w:eastAsia="Arial Unicode MS"/>
          <w:b/>
          <w:bCs/>
          <w:noProof/>
          <w:szCs w:val="24"/>
        </w:rPr>
      </w:pPr>
      <w:r>
        <w:rPr>
          <w:noProof/>
        </w:rPr>
        <w:t>A.</w:t>
      </w:r>
      <w:r>
        <w:rPr>
          <w:noProof/>
        </w:rPr>
        <w:tab/>
      </w:r>
      <w:r>
        <w:rPr>
          <w:b/>
          <w:noProof/>
        </w:rPr>
        <w:t>Catégories M et N</w:t>
      </w:r>
    </w:p>
    <w:p>
      <w:pPr>
        <w:ind w:left="1701" w:hanging="1701"/>
        <w:jc w:val="left"/>
        <w:rPr>
          <w:rFonts w:eastAsia="Arial Unicode MS"/>
          <w:bCs/>
          <w:noProof/>
          <w:szCs w:val="24"/>
        </w:rPr>
      </w:pPr>
      <w:r>
        <w:rPr>
          <w:noProof/>
        </w:rPr>
        <w:t>1.</w:t>
      </w:r>
      <w:r>
        <w:rPr>
          <w:noProof/>
        </w:rPr>
        <w:tab/>
        <w:t xml:space="preserve">GÉNÉRALITÉS </w:t>
      </w:r>
    </w:p>
    <w:p>
      <w:pPr>
        <w:spacing w:after="0"/>
        <w:ind w:left="1701" w:hanging="1701"/>
        <w:rPr>
          <w:rFonts w:eastAsia="Arial Unicode MS"/>
          <w:noProof/>
          <w:szCs w:val="24"/>
        </w:rPr>
      </w:pPr>
      <w:r>
        <w:rPr>
          <w:noProof/>
        </w:rPr>
        <w:t>1.1.</w:t>
      </w:r>
      <w:r>
        <w:rPr>
          <w:noProof/>
        </w:rPr>
        <w:tab/>
        <w:t>Marque (dénomination commerciale du constructeur): …</w:t>
      </w:r>
    </w:p>
    <w:p>
      <w:pPr>
        <w:spacing w:after="0"/>
        <w:ind w:left="1701" w:hanging="1701"/>
        <w:rPr>
          <w:rFonts w:eastAsia="Arial Unicode MS"/>
          <w:noProof/>
          <w:szCs w:val="24"/>
        </w:rPr>
      </w:pPr>
      <w:r>
        <w:rPr>
          <w:noProof/>
        </w:rPr>
        <w:t>1.2.</w:t>
      </w:r>
      <w:r>
        <w:rPr>
          <w:noProof/>
        </w:rPr>
        <w:tab/>
        <w:t>Type: …</w:t>
      </w:r>
    </w:p>
    <w:p>
      <w:pPr>
        <w:spacing w:after="0"/>
        <w:ind w:left="1701" w:hanging="1701"/>
        <w:rPr>
          <w:rFonts w:eastAsia="Arial Unicode MS"/>
          <w:noProof/>
          <w:szCs w:val="24"/>
        </w:rPr>
      </w:pPr>
      <w:r>
        <w:rPr>
          <w:noProof/>
        </w:rPr>
        <w:t>1.2.1.</w:t>
      </w:r>
      <w:r>
        <w:rPr>
          <w:noProof/>
        </w:rPr>
        <w:tab/>
        <w:t>Appellation(s) commerciale(s) (le cas échéant): …</w:t>
      </w:r>
    </w:p>
    <w:p>
      <w:pPr>
        <w:spacing w:after="0"/>
        <w:ind w:left="1701" w:hanging="1701"/>
        <w:rPr>
          <w:rFonts w:eastAsia="Arial Unicode MS"/>
          <w:noProof/>
          <w:szCs w:val="24"/>
        </w:rPr>
      </w:pPr>
      <w:r>
        <w:rPr>
          <w:noProof/>
        </w:rPr>
        <w:t>1.2.2.</w:t>
      </w:r>
      <w:r>
        <w:rPr>
          <w:noProof/>
        </w:rPr>
        <w:tab/>
        <w:t>Pour les véhicules faisant l’objet d’une réception par type multi-étapes, informations relatives à la réception par type du véhicule de base/véhicule de l’étape antérieure (énumérer les informations pour chaque étape. Ceci peut être fait sous forme de matrice.)</w:t>
      </w:r>
    </w:p>
    <w:p>
      <w:pPr>
        <w:spacing w:after="0"/>
        <w:ind w:left="1701"/>
        <w:rPr>
          <w:rFonts w:eastAsia="Arial Unicode MS"/>
          <w:noProof/>
          <w:szCs w:val="24"/>
        </w:rPr>
      </w:pPr>
      <w:r>
        <w:rPr>
          <w:noProof/>
        </w:rPr>
        <w:t>Type: …………………………………………………………………………</w:t>
      </w:r>
    </w:p>
    <w:p>
      <w:pPr>
        <w:spacing w:after="0"/>
        <w:ind w:left="1701"/>
        <w:rPr>
          <w:rFonts w:eastAsia="Arial Unicode MS"/>
          <w:noProof/>
          <w:szCs w:val="24"/>
        </w:rPr>
      </w:pPr>
      <w:r>
        <w:rPr>
          <w:noProof/>
        </w:rPr>
        <w:t>Variante(s): …………………………………………………………………..</w:t>
      </w:r>
    </w:p>
    <w:p>
      <w:pPr>
        <w:spacing w:after="0"/>
        <w:ind w:left="1701"/>
        <w:rPr>
          <w:rFonts w:eastAsia="Arial Unicode MS"/>
          <w:noProof/>
          <w:szCs w:val="24"/>
        </w:rPr>
      </w:pPr>
      <w:r>
        <w:rPr>
          <w:noProof/>
        </w:rPr>
        <w:t>Version(s): …………………………………………………………………...</w:t>
      </w:r>
    </w:p>
    <w:p>
      <w:pPr>
        <w:spacing w:after="0"/>
        <w:ind w:left="1701"/>
        <w:rPr>
          <w:rFonts w:eastAsia="Arial Unicode MS"/>
          <w:noProof/>
          <w:szCs w:val="24"/>
        </w:rPr>
      </w:pPr>
      <w:r>
        <w:rPr>
          <w:noProof/>
        </w:rPr>
        <w:t xml:space="preserve">Numéro de réception par type, y compris le numéro d’extension: ……………………… </w:t>
      </w:r>
    </w:p>
    <w:p>
      <w:pPr>
        <w:spacing w:after="0"/>
        <w:ind w:left="1701" w:hanging="1701"/>
        <w:rPr>
          <w:rFonts w:eastAsia="Arial Unicode MS"/>
          <w:noProof/>
          <w:szCs w:val="24"/>
        </w:rPr>
      </w:pPr>
      <w:r>
        <w:rPr>
          <w:noProof/>
        </w:rPr>
        <w:t>1.3.</w:t>
      </w:r>
      <w:r>
        <w:rPr>
          <w:noProof/>
        </w:rPr>
        <w:tab/>
        <w:t>Moyens d’identification du type, s’il est indiqué sur le véhicule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Emplacement de ce marquage: …</w:t>
      </w:r>
    </w:p>
    <w:p>
      <w:pPr>
        <w:spacing w:after="0"/>
        <w:ind w:left="1701" w:hanging="1701"/>
        <w:rPr>
          <w:rFonts w:eastAsia="Arial Unicode MS"/>
          <w:noProof/>
          <w:szCs w:val="24"/>
        </w:rPr>
      </w:pPr>
      <w:r>
        <w:rPr>
          <w:noProof/>
        </w:rPr>
        <w:t>1.4.</w:t>
      </w:r>
      <w:r>
        <w:rPr>
          <w:noProof/>
        </w:rPr>
        <w:tab/>
        <w:t>Catégorie de véhicule(</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Classification(s) en fonction des marchandises dangereuses pour le transport desquelles le véhicule est conçu: …</w:t>
      </w:r>
    </w:p>
    <w:p>
      <w:pPr>
        <w:spacing w:after="0"/>
        <w:ind w:left="1701" w:hanging="1701"/>
        <w:rPr>
          <w:rFonts w:eastAsia="Arial Unicode MS"/>
          <w:noProof/>
          <w:szCs w:val="24"/>
        </w:rPr>
      </w:pPr>
      <w:r>
        <w:rPr>
          <w:noProof/>
        </w:rPr>
        <w:t>1.5.</w:t>
      </w:r>
      <w:r>
        <w:rPr>
          <w:noProof/>
        </w:rPr>
        <w:tab/>
        <w:t>Raison sociale et adresse du constructeur: …</w:t>
      </w:r>
    </w:p>
    <w:p>
      <w:pPr>
        <w:spacing w:after="0"/>
        <w:ind w:left="1701" w:hanging="1701"/>
        <w:rPr>
          <w:rFonts w:eastAsia="Arial Unicode MS"/>
          <w:noProof/>
          <w:szCs w:val="24"/>
        </w:rPr>
      </w:pPr>
      <w:r>
        <w:rPr>
          <w:noProof/>
        </w:rPr>
        <w:t>1.5.1.</w:t>
      </w:r>
      <w:r>
        <w:rPr>
          <w:noProof/>
        </w:rPr>
        <w:tab/>
        <w:t>Pour les véhicules faisant l’objet d’une réception par type multi-étapes, raison sociale et adresse du constructeur du véhicule de base/véhicule de la ou des étapes antérieures</w:t>
      </w:r>
    </w:p>
    <w:p>
      <w:pPr>
        <w:spacing w:after="0"/>
        <w:ind w:left="1701" w:hanging="1701"/>
        <w:rPr>
          <w:rFonts w:eastAsia="Arial Unicode MS"/>
          <w:noProof/>
          <w:szCs w:val="24"/>
        </w:rPr>
      </w:pPr>
      <w:r>
        <w:rPr>
          <w:noProof/>
        </w:rPr>
        <w:t>1.8.</w:t>
      </w:r>
      <w:r>
        <w:rPr>
          <w:noProof/>
        </w:rPr>
        <w:tab/>
        <w:t>Nom(s) et adresse(s) de la ou des usines d’assemblage: …</w:t>
      </w:r>
    </w:p>
    <w:p>
      <w:pPr>
        <w:spacing w:after="0"/>
        <w:ind w:left="1701" w:hanging="1701"/>
        <w:rPr>
          <w:rFonts w:eastAsia="Arial Unicode MS"/>
          <w:noProof/>
          <w:szCs w:val="24"/>
        </w:rPr>
      </w:pPr>
      <w:r>
        <w:rPr>
          <w:noProof/>
        </w:rPr>
        <w:t>1.9.</w:t>
      </w:r>
      <w:r>
        <w:rPr>
          <w:noProof/>
        </w:rPr>
        <w:tab/>
        <w:t>Nom et adresse du mandataire du constructeur (le cas échéant): …</w:t>
      </w:r>
    </w:p>
    <w:p>
      <w:pPr>
        <w:spacing w:before="360"/>
        <w:ind w:left="1701" w:hanging="1701"/>
        <w:jc w:val="left"/>
        <w:rPr>
          <w:rFonts w:eastAsia="Arial Unicode MS"/>
          <w:bCs/>
          <w:noProof/>
          <w:szCs w:val="24"/>
        </w:rPr>
      </w:pPr>
      <w:r>
        <w:rPr>
          <w:noProof/>
        </w:rPr>
        <w:lastRenderedPageBreak/>
        <w:t>2.</w:t>
      </w:r>
      <w:r>
        <w:rPr>
          <w:noProof/>
        </w:rPr>
        <w:tab/>
        <w:t xml:space="preserve">CARACTÉRISTIQUES GÉNÉRALES DE CONSTRUCTION DU VÉHICULE </w:t>
      </w:r>
    </w:p>
    <w:p>
      <w:pPr>
        <w:spacing w:after="0"/>
        <w:ind w:left="1701" w:hanging="1701"/>
        <w:rPr>
          <w:rFonts w:eastAsia="Arial Unicode MS"/>
          <w:noProof/>
          <w:szCs w:val="24"/>
        </w:rPr>
      </w:pPr>
      <w:r>
        <w:rPr>
          <w:noProof/>
        </w:rPr>
        <w:t>2.1.</w:t>
      </w:r>
      <w:r>
        <w:rPr>
          <w:noProof/>
        </w:rPr>
        <w:tab/>
        <w:t>Photographies et/ou dessins d’un véhicule représentatif: …</w:t>
      </w:r>
    </w:p>
    <w:p>
      <w:pPr>
        <w:spacing w:after="0"/>
        <w:ind w:left="1701" w:hanging="1701"/>
        <w:rPr>
          <w:rFonts w:eastAsia="Arial Unicode MS"/>
          <w:noProof/>
          <w:szCs w:val="24"/>
        </w:rPr>
      </w:pPr>
      <w:r>
        <w:rPr>
          <w:noProof/>
        </w:rPr>
        <w:t>2.3.</w:t>
      </w:r>
      <w:r>
        <w:rPr>
          <w:noProof/>
        </w:rPr>
        <w:tab/>
        <w:t>Nombre d’essieux et de roues: …</w:t>
      </w:r>
    </w:p>
    <w:p>
      <w:pPr>
        <w:spacing w:after="0"/>
        <w:ind w:left="1701" w:hanging="1701"/>
        <w:rPr>
          <w:rFonts w:eastAsia="Arial Unicode MS"/>
          <w:noProof/>
          <w:szCs w:val="24"/>
        </w:rPr>
      </w:pPr>
      <w:r>
        <w:rPr>
          <w:noProof/>
        </w:rPr>
        <w:t>2.3.1.</w:t>
      </w:r>
      <w:r>
        <w:rPr>
          <w:noProof/>
        </w:rPr>
        <w:tab/>
        <w:t>Nombre et emplacement des essieux à roues jumelées: …</w:t>
      </w:r>
    </w:p>
    <w:p>
      <w:pPr>
        <w:spacing w:after="0"/>
        <w:ind w:left="1701" w:hanging="1701"/>
        <w:rPr>
          <w:rFonts w:eastAsia="Arial Unicode MS"/>
          <w:noProof/>
          <w:szCs w:val="24"/>
        </w:rPr>
      </w:pPr>
      <w:r>
        <w:rPr>
          <w:noProof/>
        </w:rPr>
        <w:t>2.3.2.</w:t>
      </w:r>
      <w:r>
        <w:rPr>
          <w:noProof/>
        </w:rPr>
        <w:tab/>
        <w:t>Nombre et emplacement des essieux directeurs: …</w:t>
      </w:r>
    </w:p>
    <w:p>
      <w:pPr>
        <w:spacing w:after="0"/>
        <w:ind w:left="1701" w:hanging="1701"/>
        <w:rPr>
          <w:rFonts w:eastAsia="Arial Unicode MS"/>
          <w:noProof/>
          <w:szCs w:val="24"/>
        </w:rPr>
      </w:pPr>
      <w:r>
        <w:rPr>
          <w:noProof/>
        </w:rPr>
        <w:t>2.3.3.</w:t>
      </w:r>
      <w:r>
        <w:rPr>
          <w:noProof/>
        </w:rPr>
        <w:tab/>
        <w:t>Essieux moteurs (nombre, emplacement, crabotage d’un autre essieu): …</w:t>
      </w:r>
    </w:p>
    <w:p>
      <w:pPr>
        <w:spacing w:after="0"/>
        <w:ind w:left="1701" w:hanging="1701"/>
        <w:rPr>
          <w:rFonts w:eastAsia="Arial Unicode MS"/>
          <w:noProof/>
          <w:szCs w:val="24"/>
        </w:rPr>
      </w:pPr>
      <w:r>
        <w:rPr>
          <w:noProof/>
        </w:rPr>
        <w:t>2.4.</w:t>
      </w:r>
      <w:r>
        <w:rPr>
          <w:noProof/>
        </w:rPr>
        <w:tab/>
        <w:t>Châssis (le cas échéant) (dessin d’ensemble): …</w:t>
      </w:r>
    </w:p>
    <w:p>
      <w:pPr>
        <w:spacing w:after="0"/>
        <w:ind w:left="1701" w:hanging="1701"/>
        <w:rPr>
          <w:rFonts w:eastAsia="Arial Unicode MS"/>
          <w:noProof/>
          <w:szCs w:val="24"/>
        </w:rPr>
      </w:pPr>
      <w:r>
        <w:rPr>
          <w:noProof/>
        </w:rPr>
        <w:t>2.6.</w:t>
      </w:r>
      <w:r>
        <w:rPr>
          <w:noProof/>
        </w:rPr>
        <w:tab/>
        <w:t>Emplacement et disposition du moteur: …</w:t>
      </w:r>
    </w:p>
    <w:p>
      <w:pPr>
        <w:spacing w:after="0"/>
        <w:ind w:left="1701" w:hanging="1701"/>
        <w:rPr>
          <w:rFonts w:eastAsia="Arial Unicode MS"/>
          <w:noProof/>
          <w:szCs w:val="24"/>
        </w:rPr>
      </w:pPr>
      <w:r>
        <w:rPr>
          <w:noProof/>
        </w:rPr>
        <w:t>2.8.</w:t>
      </w:r>
      <w:r>
        <w:rPr>
          <w:noProof/>
        </w:rPr>
        <w:tab/>
        <w:t>Côté de conduite: gauche/droite (</w:t>
      </w:r>
      <w:r>
        <w:rPr>
          <w:noProof/>
          <w:vertAlign w:val="superscript"/>
        </w:rPr>
        <w:t>1</w:t>
      </w:r>
      <w:r>
        <w:rPr>
          <w:noProof/>
        </w:rPr>
        <w:t>)</w:t>
      </w:r>
    </w:p>
    <w:p>
      <w:pPr>
        <w:spacing w:after="0"/>
        <w:ind w:left="1701" w:hanging="1701"/>
        <w:rPr>
          <w:rFonts w:eastAsia="Arial Unicode MS"/>
          <w:noProof/>
          <w:szCs w:val="24"/>
        </w:rPr>
      </w:pPr>
      <w:r>
        <w:rPr>
          <w:noProof/>
        </w:rPr>
        <w:t>2.8.1.</w:t>
      </w:r>
      <w:r>
        <w:rPr>
          <w:noProof/>
        </w:rPr>
        <w:tab/>
        <w:t>Le véhicule est équipé pour la conduite à droite/à gauche (</w:t>
      </w:r>
      <w:r>
        <w:rPr>
          <w:noProof/>
          <w:vertAlign w:val="superscript"/>
        </w:rPr>
        <w:t>1</w:t>
      </w:r>
      <w:r>
        <w:rPr>
          <w:noProof/>
        </w:rPr>
        <w:t>)</w:t>
      </w:r>
    </w:p>
    <w:p>
      <w:pPr>
        <w:spacing w:after="0"/>
        <w:ind w:left="1701" w:hanging="1701"/>
        <w:rPr>
          <w:rFonts w:eastAsia="Arial Unicode MS"/>
          <w:noProof/>
          <w:szCs w:val="24"/>
        </w:rPr>
      </w:pPr>
      <w:r>
        <w:rPr>
          <w:noProof/>
        </w:rPr>
        <w:t>2.9.</w:t>
      </w:r>
      <w:r>
        <w:rPr>
          <w:noProof/>
        </w:rPr>
        <w:tab/>
        <w:t>Préciser si le véhicule tracteur est conçu pour tracter des semi-remorques ou d’autres remorques et si la remorque est une semi-remorque, une remorque à timon, une remorque à essieu central ou une remorque à timon rigide: …</w:t>
      </w:r>
    </w:p>
    <w:p>
      <w:pPr>
        <w:spacing w:after="0"/>
        <w:ind w:left="1701" w:hanging="1701"/>
        <w:rPr>
          <w:rFonts w:eastAsia="Arial Unicode MS"/>
          <w:noProof/>
          <w:szCs w:val="24"/>
        </w:rPr>
      </w:pPr>
      <w:r>
        <w:rPr>
          <w:noProof/>
        </w:rPr>
        <w:t>2.10.</w:t>
      </w:r>
      <w:r>
        <w:rPr>
          <w:noProof/>
        </w:rPr>
        <w:tab/>
        <w:t>Préciser si le véhicule est spécialement conçu pour le transport de marchandises sous température contrôlée: …</w:t>
      </w:r>
    </w:p>
    <w:p>
      <w:pPr>
        <w:spacing w:before="360"/>
        <w:ind w:left="1701" w:hanging="1701"/>
        <w:jc w:val="left"/>
        <w:rPr>
          <w:rFonts w:eastAsia="Arial Unicode MS"/>
          <w:bCs/>
          <w:noProof/>
          <w:szCs w:val="24"/>
        </w:rPr>
      </w:pPr>
      <w:r>
        <w:rPr>
          <w:noProof/>
        </w:rPr>
        <w:t>3.</w:t>
      </w:r>
      <w:r>
        <w:rPr>
          <w:noProof/>
        </w:rPr>
        <w:tab/>
        <w:t>MASSES ET DIMENSIONS (</w:t>
      </w:r>
      <w:r>
        <w:rPr>
          <w:noProof/>
          <w:vertAlign w:val="superscript"/>
        </w:rPr>
        <w:t>f</w:t>
      </w:r>
      <w:r>
        <w:rPr>
          <w:noProof/>
        </w:rPr>
        <w:t>) (</w:t>
      </w:r>
      <w:r>
        <w:rPr>
          <w:noProof/>
          <w:vertAlign w:val="superscript"/>
        </w:rPr>
        <w:t>g</w:t>
      </w:r>
      <w:r>
        <w:rPr>
          <w:noProof/>
        </w:rPr>
        <w:t>) (</w:t>
      </w:r>
      <w:r>
        <w:rPr>
          <w:noProof/>
          <w:vertAlign w:val="superscript"/>
        </w:rPr>
        <w:t>7</w:t>
      </w:r>
      <w:r>
        <w:rPr>
          <w:noProof/>
        </w:rPr>
        <w:t xml:space="preserve">) </w:t>
      </w:r>
    </w:p>
    <w:p>
      <w:pPr>
        <w:spacing w:after="0"/>
        <w:ind w:left="1701"/>
        <w:rPr>
          <w:rFonts w:eastAsia="Arial Unicode MS"/>
          <w:noProof/>
          <w:szCs w:val="24"/>
        </w:rPr>
      </w:pPr>
      <w:r>
        <w:rPr>
          <w:noProof/>
        </w:rPr>
        <w:t>(en kg et mm) (se référer à un dessin, le cas échéant)</w:t>
      </w:r>
    </w:p>
    <w:p>
      <w:pPr>
        <w:ind w:left="1701" w:hanging="1701"/>
        <w:jc w:val="left"/>
        <w:rPr>
          <w:rFonts w:eastAsia="Arial Unicode MS"/>
          <w:b/>
          <w:bCs/>
          <w:noProof/>
          <w:szCs w:val="24"/>
        </w:rPr>
      </w:pPr>
      <w:r>
        <w:rPr>
          <w:noProof/>
        </w:rPr>
        <w:t>3.1.</w:t>
      </w:r>
      <w:r>
        <w:rPr>
          <w:noProof/>
        </w:rPr>
        <w:tab/>
      </w:r>
      <w:r>
        <w:rPr>
          <w:b/>
          <w:noProof/>
        </w:rPr>
        <w:t>Empattement(s) (à pleine charge) (</w:t>
      </w:r>
      <w:r>
        <w:rPr>
          <w:b/>
          <w:noProof/>
          <w:vertAlign w:val="superscript"/>
        </w:rPr>
        <w:t>g1</w:t>
      </w:r>
      <w:r>
        <w:rPr>
          <w:b/>
          <w:noProof/>
        </w:rPr>
        <w:t xml:space="preserve">): </w:t>
      </w:r>
    </w:p>
    <w:p>
      <w:pPr>
        <w:spacing w:before="240" w:after="0"/>
        <w:ind w:left="1701" w:hanging="1701"/>
        <w:rPr>
          <w:rFonts w:eastAsia="Arial Unicode MS"/>
          <w:noProof/>
          <w:szCs w:val="24"/>
        </w:rPr>
      </w:pPr>
      <w:r>
        <w:rPr>
          <w:noProof/>
        </w:rPr>
        <w:t>3.1.1.</w:t>
      </w:r>
      <w:r>
        <w:rPr>
          <w:noProof/>
        </w:rPr>
        <w:tab/>
      </w:r>
      <w:r>
        <w:rPr>
          <w:i/>
          <w:noProof/>
        </w:rPr>
        <w:t>Véhicules à deux essieux:</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Véhicules à trois essieux ou plus</w:t>
      </w:r>
      <w:r>
        <w:rPr>
          <w:noProof/>
        </w:rPr>
        <w:t xml:space="preserve"> </w:t>
      </w:r>
    </w:p>
    <w:p>
      <w:pPr>
        <w:spacing w:after="0"/>
        <w:ind w:left="1701" w:hanging="1701"/>
        <w:rPr>
          <w:rFonts w:eastAsia="Arial Unicode MS"/>
          <w:noProof/>
          <w:szCs w:val="24"/>
        </w:rPr>
      </w:pPr>
      <w:r>
        <w:rPr>
          <w:noProof/>
        </w:rPr>
        <w:t>3.1.2.1.</w:t>
      </w:r>
      <w:r>
        <w:rPr>
          <w:noProof/>
        </w:rPr>
        <w:tab/>
        <w:t>Distance entre essieux consécutifs, de celui situé le plus à l’avant à celui situé le plus à l’arrière: …</w:t>
      </w:r>
    </w:p>
    <w:p>
      <w:pPr>
        <w:spacing w:after="0"/>
        <w:ind w:left="1701" w:hanging="1701"/>
        <w:rPr>
          <w:rFonts w:eastAsia="Arial Unicode MS"/>
          <w:noProof/>
          <w:szCs w:val="24"/>
        </w:rPr>
      </w:pPr>
      <w:r>
        <w:rPr>
          <w:noProof/>
        </w:rPr>
        <w:t>3.1.2.2.</w:t>
      </w:r>
      <w:r>
        <w:rPr>
          <w:noProof/>
        </w:rPr>
        <w:tab/>
        <w:t>Distance totale entre les essieux: …</w:t>
      </w:r>
    </w:p>
    <w:p>
      <w:pPr>
        <w:spacing w:after="0"/>
        <w:ind w:left="1701" w:hanging="1701"/>
        <w:rPr>
          <w:rFonts w:eastAsia="Arial Unicode MS"/>
          <w:noProof/>
          <w:szCs w:val="24"/>
        </w:rPr>
      </w:pPr>
      <w:r>
        <w:rPr>
          <w:noProof/>
        </w:rPr>
        <w:t>3.3.1.</w:t>
      </w:r>
      <w:r>
        <w:rPr>
          <w:noProof/>
        </w:rPr>
        <w:tab/>
        <w:t>Voie de chaque essieu directeur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Voie de tous les autres essieux (</w:t>
      </w:r>
      <w:r>
        <w:rPr>
          <w:noProof/>
          <w:vertAlign w:val="superscript"/>
        </w:rPr>
        <w:t>g4</w:t>
      </w:r>
      <w:r>
        <w:rPr>
          <w:noProof/>
        </w:rPr>
        <w:t>): …</w:t>
      </w:r>
    </w:p>
    <w:p>
      <w:pPr>
        <w:spacing w:before="360"/>
        <w:ind w:left="1701" w:hanging="1701"/>
        <w:jc w:val="left"/>
        <w:rPr>
          <w:rFonts w:eastAsia="Arial Unicode MS"/>
          <w:b/>
          <w:bCs/>
          <w:noProof/>
          <w:szCs w:val="24"/>
        </w:rPr>
      </w:pPr>
      <w:r>
        <w:rPr>
          <w:noProof/>
        </w:rPr>
        <w:t>3.4.</w:t>
      </w:r>
      <w:r>
        <w:rPr>
          <w:noProof/>
        </w:rPr>
        <w:tab/>
      </w:r>
      <w:r>
        <w:rPr>
          <w:b/>
          <w:noProof/>
        </w:rPr>
        <w:t>Plage de dimensions du véhicule</w:t>
      </w:r>
      <w:r>
        <w:rPr>
          <w:noProof/>
        </w:rPr>
        <w:t xml:space="preserve"> (hors tout)</w:t>
      </w:r>
      <w:r>
        <w:rPr>
          <w:b/>
          <w:noProof/>
        </w:rPr>
        <w:t xml:space="preserve"> </w:t>
      </w:r>
    </w:p>
    <w:p>
      <w:pPr>
        <w:spacing w:before="240"/>
        <w:ind w:left="1701" w:hanging="1701"/>
        <w:jc w:val="left"/>
        <w:rPr>
          <w:rFonts w:eastAsia="Arial Unicode MS"/>
          <w:bCs/>
          <w:noProof/>
          <w:szCs w:val="24"/>
        </w:rPr>
      </w:pPr>
      <w:r>
        <w:rPr>
          <w:noProof/>
        </w:rPr>
        <w:t>3.4.1.</w:t>
      </w:r>
      <w:r>
        <w:rPr>
          <w:noProof/>
        </w:rPr>
        <w:tab/>
      </w:r>
      <w:r>
        <w:rPr>
          <w:i/>
          <w:noProof/>
        </w:rPr>
        <w:t>Pour les châssis non carrossés</w:t>
      </w:r>
      <w:r>
        <w:rPr>
          <w:noProof/>
        </w:rPr>
        <w:t xml:space="preserve"> </w:t>
      </w:r>
    </w:p>
    <w:p>
      <w:pPr>
        <w:spacing w:after="0"/>
        <w:ind w:left="1701" w:hanging="1701"/>
        <w:rPr>
          <w:rFonts w:eastAsia="Arial Unicode MS"/>
          <w:noProof/>
          <w:szCs w:val="24"/>
        </w:rPr>
      </w:pPr>
      <w:r>
        <w:rPr>
          <w:noProof/>
        </w:rPr>
        <w:t>3.4.1.1.</w:t>
      </w:r>
      <w:r>
        <w:rPr>
          <w:noProof/>
        </w:rPr>
        <w:tab/>
        <w:t>Longueur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Longueur maximale admissible: …</w:t>
      </w:r>
    </w:p>
    <w:p>
      <w:pPr>
        <w:spacing w:after="0"/>
        <w:ind w:left="1701" w:hanging="1701"/>
        <w:rPr>
          <w:rFonts w:eastAsia="Arial Unicode MS"/>
          <w:noProof/>
          <w:szCs w:val="24"/>
        </w:rPr>
      </w:pPr>
      <w:r>
        <w:rPr>
          <w:noProof/>
        </w:rPr>
        <w:t>3.4.1.1.2.</w:t>
      </w:r>
      <w:r>
        <w:rPr>
          <w:noProof/>
        </w:rPr>
        <w:tab/>
        <w:t>Longueur minimale admissible: …</w:t>
      </w:r>
    </w:p>
    <w:p>
      <w:pPr>
        <w:spacing w:after="0"/>
        <w:ind w:left="1701" w:hanging="1701"/>
        <w:rPr>
          <w:rFonts w:eastAsia="Arial Unicode MS"/>
          <w:noProof/>
          <w:szCs w:val="24"/>
        </w:rPr>
      </w:pPr>
      <w:r>
        <w:rPr>
          <w:noProof/>
        </w:rPr>
        <w:t>3.4.1.2.</w:t>
      </w:r>
      <w:r>
        <w:rPr>
          <w:noProof/>
        </w:rPr>
        <w:tab/>
        <w:t>Largeur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Largeur maximale admissible: …</w:t>
      </w:r>
    </w:p>
    <w:p>
      <w:pPr>
        <w:spacing w:after="0"/>
        <w:ind w:left="1701" w:hanging="1701"/>
        <w:rPr>
          <w:rFonts w:eastAsia="Arial Unicode MS"/>
          <w:noProof/>
          <w:szCs w:val="24"/>
        </w:rPr>
      </w:pPr>
      <w:r>
        <w:rPr>
          <w:noProof/>
        </w:rPr>
        <w:lastRenderedPageBreak/>
        <w:t>3.4.1.2.2.</w:t>
      </w:r>
      <w:r>
        <w:rPr>
          <w:noProof/>
        </w:rPr>
        <w:tab/>
        <w:t>Largeur minimale admissible: …</w:t>
      </w:r>
    </w:p>
    <w:p>
      <w:pPr>
        <w:spacing w:after="0"/>
        <w:ind w:left="1701" w:hanging="1701"/>
        <w:rPr>
          <w:rFonts w:eastAsia="Arial Unicode MS"/>
          <w:noProof/>
          <w:szCs w:val="24"/>
        </w:rPr>
      </w:pPr>
      <w:r>
        <w:rPr>
          <w:noProof/>
        </w:rPr>
        <w:t>3.4.1.3.</w:t>
      </w:r>
      <w:r>
        <w:rPr>
          <w:noProof/>
        </w:rPr>
        <w:tab/>
        <w:t>Hauteur (en ordre de marche) (</w:t>
      </w:r>
      <w:r>
        <w:rPr>
          <w:noProof/>
          <w:vertAlign w:val="superscript"/>
        </w:rPr>
        <w:t>g8</w:t>
      </w:r>
      <w:r>
        <w:rPr>
          <w:noProof/>
        </w:rPr>
        <w:t>) (lorsque la suspension est réglable en hauteur, indiquer la position de marche normale): …</w:t>
      </w:r>
    </w:p>
    <w:p>
      <w:pPr>
        <w:spacing w:before="240"/>
        <w:ind w:left="1701" w:hanging="1701"/>
        <w:jc w:val="left"/>
        <w:rPr>
          <w:rFonts w:eastAsia="Arial Unicode MS"/>
          <w:bCs/>
          <w:noProof/>
          <w:szCs w:val="24"/>
        </w:rPr>
      </w:pPr>
      <w:r>
        <w:rPr>
          <w:noProof/>
        </w:rPr>
        <w:t>3.4.2.</w:t>
      </w:r>
      <w:r>
        <w:rPr>
          <w:noProof/>
        </w:rPr>
        <w:tab/>
      </w:r>
      <w:r>
        <w:rPr>
          <w:i/>
          <w:noProof/>
        </w:rPr>
        <w:t>Pour les châssis carrossés</w:t>
      </w:r>
      <w:r>
        <w:rPr>
          <w:noProof/>
        </w:rPr>
        <w:t xml:space="preserve"> </w:t>
      </w:r>
    </w:p>
    <w:p>
      <w:pPr>
        <w:spacing w:after="0"/>
        <w:ind w:left="1701" w:hanging="1701"/>
        <w:rPr>
          <w:rFonts w:eastAsia="Arial Unicode MS"/>
          <w:noProof/>
          <w:szCs w:val="24"/>
        </w:rPr>
      </w:pPr>
      <w:r>
        <w:rPr>
          <w:noProof/>
        </w:rPr>
        <w:t>3.4.2.1.</w:t>
      </w:r>
      <w:r>
        <w:rPr>
          <w:noProof/>
        </w:rPr>
        <w:tab/>
        <w:t>Longueur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Longueur de la zone de chargement: …</w:t>
      </w:r>
    </w:p>
    <w:p>
      <w:pPr>
        <w:spacing w:after="0"/>
        <w:ind w:left="1701" w:hanging="1701"/>
        <w:rPr>
          <w:rFonts w:eastAsia="Arial Unicode MS"/>
          <w:noProof/>
          <w:szCs w:val="24"/>
        </w:rPr>
      </w:pPr>
      <w:r>
        <w:rPr>
          <w:noProof/>
        </w:rPr>
        <w:t>3.4.2.2.</w:t>
      </w:r>
      <w:r>
        <w:rPr>
          <w:noProof/>
        </w:rPr>
        <w:tab/>
        <w:t>Largeur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Épaisseur des parois (dans le cas d’un véhicule prévu pour le transport de marchandises sous température contrôlée): …</w:t>
      </w:r>
    </w:p>
    <w:p>
      <w:pPr>
        <w:spacing w:after="0"/>
        <w:ind w:left="1701" w:hanging="1701"/>
        <w:rPr>
          <w:rFonts w:eastAsia="Arial Unicode MS"/>
          <w:noProof/>
          <w:szCs w:val="24"/>
        </w:rPr>
      </w:pPr>
      <w:r>
        <w:rPr>
          <w:noProof/>
        </w:rPr>
        <w:t>3.4.2.3.</w:t>
      </w:r>
      <w:r>
        <w:rPr>
          <w:noProof/>
        </w:rPr>
        <w:tab/>
        <w:t>Hauteur (en ordre de marche) (</w:t>
      </w:r>
      <w:r>
        <w:rPr>
          <w:noProof/>
          <w:vertAlign w:val="superscript"/>
        </w:rPr>
        <w:t>g8</w:t>
      </w:r>
      <w:r>
        <w:rPr>
          <w:noProof/>
        </w:rPr>
        <w:t>) (lorsque la suspension est réglable en hauteur, indiquer la position de marche normale): …</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noProof/>
              </w:rPr>
              <w:t>Masse minimale sur le ou les essieux directeurs pour les véhicules incomplets:</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noProof/>
              </w:rPr>
              <w:t>Masse en ordre de marche</w:t>
            </w:r>
            <w:r>
              <w:rPr>
                <w:noProof/>
              </w:rPr>
              <w:t xml:space="preserve"> (</w:t>
            </w:r>
            <w:r>
              <w:rPr>
                <w:noProof/>
                <w:vertAlign w:val="superscript"/>
              </w:rPr>
              <w:t>h</w:t>
            </w:r>
            <w:r>
              <w:rPr>
                <w:noProof/>
              </w:rPr>
              <w:t xml:space="preserve">) </w:t>
            </w:r>
          </w:p>
          <w:p>
            <w:pPr>
              <w:spacing w:after="0"/>
              <w:rPr>
                <w:rFonts w:eastAsia="Arial Unicode MS"/>
                <w:bCs/>
                <w:noProof/>
                <w:szCs w:val="24"/>
              </w:rPr>
            </w:pPr>
            <w:r>
              <w:rPr>
                <w:noProof/>
              </w:rPr>
              <w:t>a)</w:t>
            </w:r>
            <w:r>
              <w:rPr>
                <w:noProof/>
              </w:rPr>
              <w:tab/>
              <w:t>minimum et maximum pour chaque variante: …</w:t>
            </w:r>
          </w:p>
          <w:p>
            <w:pPr>
              <w:spacing w:after="0"/>
              <w:rPr>
                <w:rFonts w:eastAsia="Arial Unicode MS"/>
                <w:bCs/>
                <w:noProof/>
                <w:szCs w:val="24"/>
              </w:rPr>
            </w:pPr>
            <w:r>
              <w:rPr>
                <w:noProof/>
              </w:rPr>
              <w:t>b)</w:t>
            </w:r>
            <w:r>
              <w:rPr>
                <w:noProof/>
              </w:rPr>
              <w:tab/>
              <w:t>masse de chaque version (fournir une matrice s’il y a plus d’une version à l’intérieur de la même variante):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noProof/>
              </w:rPr>
              <w:t>Répartition de cette masse entre les essieux et, dans le cas d’une semi-remorque, d’une remorque à timon rigide ou d’une remorque à essieu central, la masse sur le point d’attelage:</w:t>
            </w:r>
          </w:p>
          <w:p>
            <w:pPr>
              <w:spacing w:after="0"/>
              <w:rPr>
                <w:rFonts w:eastAsia="Arial Unicode MS"/>
                <w:bCs/>
                <w:noProof/>
                <w:szCs w:val="24"/>
              </w:rPr>
            </w:pPr>
            <w:r>
              <w:rPr>
                <w:noProof/>
              </w:rPr>
              <w:t>a)</w:t>
            </w:r>
            <w:r>
              <w:rPr>
                <w:noProof/>
              </w:rPr>
              <w:tab/>
              <w:t>minimum et maximum pour chaque variante: …</w:t>
            </w:r>
          </w:p>
          <w:p>
            <w:pPr>
              <w:spacing w:after="0"/>
              <w:rPr>
                <w:rFonts w:eastAsia="Arial Unicode MS"/>
                <w:bCs/>
                <w:noProof/>
                <w:szCs w:val="24"/>
              </w:rPr>
            </w:pPr>
            <w:r>
              <w:rPr>
                <w:noProof/>
              </w:rPr>
              <w:t>b)</w:t>
            </w:r>
            <w:r>
              <w:rPr>
                <w:noProof/>
              </w:rPr>
              <w:tab/>
              <w:t>masse de chaque version (fournir une matrice s’il y a plus d’une version à l’intérieur de la même variante):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noProof/>
              </w:rPr>
              <w:t>Masse des équipements en option [voir la définition donnée à l’article 2, point 5, du règlement (UE) n</w:t>
            </w:r>
            <w:r>
              <w:rPr>
                <w:noProof/>
                <w:vertAlign w:val="superscript"/>
              </w:rPr>
              <w:t>o</w:t>
            </w:r>
            <w:r>
              <w:rPr>
                <w:noProof/>
              </w:rPr>
              <w:t> 1230/2012]: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b/>
                <w:noProof/>
              </w:rPr>
              <w:t>Masse minimale du véhicule complété</w:t>
            </w:r>
            <w:r>
              <w:rPr>
                <w:noProof/>
              </w:rPr>
              <w:t xml:space="preserve"> déclarée par le constructeur, dans le cas d’un véhicule incomplet: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b/>
                <w:noProof/>
              </w:rPr>
              <w:t>Masse en charge maximale techniquement admissible</w:t>
            </w:r>
            <w:r>
              <w:rPr>
                <w:noProof/>
              </w:rPr>
              <w:t xml:space="preserve"> déclarée par le constructeur (</w:t>
            </w:r>
            <w:r>
              <w:rPr>
                <w:noProof/>
                <w:vertAlign w:val="superscript"/>
              </w:rPr>
              <w:t>i</w:t>
            </w:r>
            <w:r>
              <w:rPr>
                <w:noProof/>
              </w:rPr>
              <w:t>) (</w:t>
            </w:r>
            <w:r>
              <w:rPr>
                <w:noProof/>
                <w:vertAlign w:val="superscript"/>
              </w:rPr>
              <w:t>3</w:t>
            </w:r>
            <w:r>
              <w:rPr>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noProof/>
              </w:rPr>
              <w:t>Répartition de cette masse entre les essieux et, dans le cas d’une semi-remorque ou d’une remorque à essieu central, charge au point d’attelage (</w:t>
            </w:r>
            <w:r>
              <w:rPr>
                <w:noProof/>
                <w:vertAlign w:val="superscript"/>
              </w:rPr>
              <w:t>3</w:t>
            </w:r>
            <w:r>
              <w:rPr>
                <w:noProof/>
              </w:rPr>
              <w:t>): …</w:t>
            </w:r>
          </w:p>
        </w:tc>
      </w:tr>
    </w:tbl>
    <w:p>
      <w:pPr>
        <w:spacing w:after="0"/>
        <w:ind w:left="1701" w:hanging="1701"/>
        <w:rPr>
          <w:rFonts w:eastAsia="Arial Unicode MS"/>
          <w:noProof/>
          <w:szCs w:val="24"/>
        </w:rPr>
      </w:pPr>
      <w:r>
        <w:rPr>
          <w:noProof/>
        </w:rPr>
        <w:t>3.9.</w:t>
      </w:r>
      <w:r>
        <w:rPr>
          <w:noProof/>
        </w:rPr>
        <w:tab/>
      </w:r>
      <w:r>
        <w:rPr>
          <w:b/>
          <w:noProof/>
        </w:rPr>
        <w:t>Masse maximale techniquement admissible sur chaque essieu:</w:t>
      </w:r>
      <w:r>
        <w:rPr>
          <w:noProof/>
        </w:rPr>
        <w:t xml:space="preserve"> …</w:t>
      </w:r>
    </w:p>
    <w:p>
      <w:pPr>
        <w:spacing w:after="0"/>
        <w:ind w:left="1701" w:hanging="1701"/>
        <w:rPr>
          <w:rFonts w:eastAsia="Arial Unicode MS"/>
          <w:noProof/>
          <w:szCs w:val="24"/>
        </w:rPr>
      </w:pPr>
      <w:r>
        <w:rPr>
          <w:noProof/>
        </w:rPr>
        <w:t>3.10.</w:t>
      </w:r>
      <w:r>
        <w:rPr>
          <w:noProof/>
        </w:rPr>
        <w:tab/>
      </w:r>
      <w:r>
        <w:rPr>
          <w:b/>
          <w:noProof/>
        </w:rPr>
        <w:t>Masse techniquement admissible sur chaque groupe d’essieux:</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b/>
                <w:noProof/>
                <w:szCs w:val="24"/>
              </w:rPr>
            </w:pPr>
            <w:r>
              <w:rPr>
                <w:noProof/>
              </w:rPr>
              <w:t>3.11.</w:t>
            </w:r>
            <w:r>
              <w:rPr>
                <w:noProof/>
              </w:rPr>
              <w:tab/>
            </w:r>
            <w:r>
              <w:rPr>
                <w:b/>
                <w:noProof/>
              </w:rPr>
              <w:t xml:space="preserve">Masse tractable maximale techniquement admissible du véhicule tracteur </w:t>
            </w:r>
          </w:p>
          <w:p>
            <w:pPr>
              <w:spacing w:after="0"/>
              <w:ind w:left="1695"/>
              <w:rPr>
                <w:rFonts w:eastAsia="Arial Unicode MS"/>
                <w:noProof/>
                <w:szCs w:val="24"/>
              </w:rPr>
            </w:pPr>
            <w:r>
              <w:rPr>
                <w:noProof/>
              </w:rPr>
              <w:t>dans le cas:</w:t>
            </w:r>
          </w:p>
          <w:p>
            <w:pPr>
              <w:spacing w:after="0"/>
              <w:ind w:left="1695" w:hanging="1695"/>
              <w:rPr>
                <w:rFonts w:eastAsia="Arial Unicode MS"/>
                <w:noProof/>
                <w:szCs w:val="24"/>
              </w:rPr>
            </w:pPr>
            <w:r>
              <w:rPr>
                <w:noProof/>
              </w:rPr>
              <w:t>3.11.1.</w:t>
            </w:r>
            <w:r>
              <w:rPr>
                <w:noProof/>
              </w:rPr>
              <w:tab/>
              <w:t>d’une remorque à timon: …</w:t>
            </w:r>
          </w:p>
          <w:p>
            <w:pPr>
              <w:spacing w:after="0"/>
              <w:ind w:left="1695" w:hanging="1695"/>
              <w:rPr>
                <w:rFonts w:eastAsia="Arial Unicode MS"/>
                <w:noProof/>
                <w:szCs w:val="24"/>
              </w:rPr>
            </w:pPr>
            <w:r>
              <w:rPr>
                <w:noProof/>
              </w:rPr>
              <w:lastRenderedPageBreak/>
              <w:t>3.11.2.</w:t>
            </w:r>
            <w:r>
              <w:rPr>
                <w:noProof/>
              </w:rPr>
              <w:tab/>
              <w:t>d’une semi-remorque: …</w:t>
            </w:r>
          </w:p>
          <w:p>
            <w:pPr>
              <w:spacing w:after="0"/>
              <w:ind w:left="1695" w:hanging="1695"/>
              <w:rPr>
                <w:rFonts w:eastAsia="Arial Unicode MS"/>
                <w:noProof/>
                <w:szCs w:val="24"/>
              </w:rPr>
            </w:pPr>
            <w:r>
              <w:rPr>
                <w:noProof/>
              </w:rPr>
              <w:t>3.11.3.</w:t>
            </w:r>
            <w:r>
              <w:rPr>
                <w:noProof/>
              </w:rPr>
              <w:tab/>
              <w:t>d’une remorque à essieu central: …</w:t>
            </w:r>
          </w:p>
          <w:p>
            <w:pPr>
              <w:spacing w:after="0"/>
              <w:ind w:left="1695" w:hanging="1695"/>
              <w:rPr>
                <w:rFonts w:eastAsia="Arial Unicode MS"/>
                <w:noProof/>
                <w:szCs w:val="24"/>
              </w:rPr>
            </w:pPr>
            <w:r>
              <w:rPr>
                <w:noProof/>
              </w:rPr>
              <w:t>3.11.4.</w:t>
            </w:r>
            <w:r>
              <w:rPr>
                <w:noProof/>
              </w:rPr>
              <w:tab/>
              <w:t>d’une remorque à timon rigide: …</w:t>
            </w:r>
          </w:p>
          <w:p>
            <w:pPr>
              <w:spacing w:after="0"/>
              <w:ind w:left="1695" w:hanging="1695"/>
              <w:rPr>
                <w:rFonts w:eastAsia="Arial Unicode MS"/>
                <w:noProof/>
                <w:szCs w:val="24"/>
              </w:rPr>
            </w:pPr>
            <w:r>
              <w:rPr>
                <w:noProof/>
              </w:rPr>
              <w:t>3.11.5.</w:t>
            </w:r>
            <w:r>
              <w:rPr>
                <w:noProof/>
              </w:rPr>
              <w:tab/>
              <w:t>Masse en charge maximale techniquement admissible de l’ensemble(</w:t>
            </w:r>
            <w:r>
              <w:rPr>
                <w:noProof/>
                <w:vertAlign w:val="superscript"/>
              </w:rPr>
              <w:t>3</w:t>
            </w:r>
            <w:r>
              <w:rPr>
                <w:noProof/>
              </w:rPr>
              <w:t>): …</w:t>
            </w:r>
          </w:p>
          <w:p>
            <w:pPr>
              <w:spacing w:after="0"/>
              <w:ind w:left="1695" w:hanging="1695"/>
              <w:rPr>
                <w:rFonts w:eastAsia="Arial Unicode MS"/>
                <w:noProof/>
                <w:szCs w:val="24"/>
              </w:rPr>
            </w:pPr>
            <w:r>
              <w:rPr>
                <w:noProof/>
              </w:rPr>
              <w:t>3.11.6.</w:t>
            </w:r>
            <w:r>
              <w:rPr>
                <w:noProof/>
              </w:rPr>
              <w:tab/>
              <w:t>Masse maximale de la remorque non freinée: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noProof/>
              </w:rPr>
              <w:t>Masse maximale techniquement admissible au point d’attelage:</w:t>
            </w:r>
            <w:r>
              <w:rPr>
                <w:noProof/>
              </w:rPr>
              <w:t xml:space="preserve"> </w:t>
            </w:r>
          </w:p>
          <w:p>
            <w:pPr>
              <w:spacing w:after="0"/>
              <w:ind w:left="1701" w:hanging="1701"/>
              <w:rPr>
                <w:rFonts w:eastAsia="Arial Unicode MS"/>
                <w:noProof/>
                <w:szCs w:val="24"/>
              </w:rPr>
            </w:pPr>
            <w:r>
              <w:rPr>
                <w:noProof/>
              </w:rPr>
              <w:t>3.12.1.</w:t>
            </w:r>
            <w:r>
              <w:rPr>
                <w:noProof/>
              </w:rPr>
              <w:tab/>
              <w:t>d’un véhicule tracteur: …</w:t>
            </w:r>
          </w:p>
          <w:p>
            <w:pPr>
              <w:spacing w:after="0"/>
              <w:ind w:left="1701" w:hanging="1701"/>
              <w:rPr>
                <w:rFonts w:eastAsia="Arial Unicode MS"/>
                <w:noProof/>
                <w:szCs w:val="24"/>
              </w:rPr>
            </w:pPr>
            <w:r>
              <w:rPr>
                <w:noProof/>
              </w:rPr>
              <w:t>3.12.2.</w:t>
            </w:r>
            <w:r>
              <w:rPr>
                <w:noProof/>
              </w:rPr>
              <w:tab/>
              <w:t>d’une semi-remorque, d’une remorque à essieu central ou d’une remorque à timon rigide: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Masses maximales admissibles à l’immatriculation/en service (facultatif)</w:t>
            </w:r>
          </w:p>
          <w:p>
            <w:pPr>
              <w:spacing w:after="0"/>
              <w:ind w:left="1701" w:hanging="1701"/>
              <w:rPr>
                <w:rFonts w:eastAsia="Arial Unicode MS"/>
                <w:noProof/>
                <w:szCs w:val="24"/>
              </w:rPr>
            </w:pPr>
            <w:r>
              <w:rPr>
                <w:noProof/>
              </w:rPr>
              <w:t>3.16.1.</w:t>
            </w:r>
            <w:r>
              <w:rPr>
                <w:noProof/>
              </w:rPr>
              <w:tab/>
              <w:t>Masse en charge maximale admissible à l’immatriculation/en service: …</w:t>
            </w:r>
          </w:p>
          <w:p>
            <w:pPr>
              <w:spacing w:after="0"/>
              <w:ind w:left="1701" w:hanging="1701"/>
              <w:rPr>
                <w:rFonts w:eastAsia="Arial Unicode MS"/>
                <w:noProof/>
                <w:szCs w:val="24"/>
              </w:rPr>
            </w:pPr>
            <w:r>
              <w:rPr>
                <w:noProof/>
              </w:rPr>
              <w:t>3.16.2.</w:t>
            </w:r>
            <w:r>
              <w:rPr>
                <w:noProof/>
              </w:rPr>
              <w:tab/>
              <w:t>Masse maximale admissible à l’immatriculation/en service sur chaque essieu et, dans le cas d’une semi-remorque ou d’une remorque à essieu central, charge prévue au point d’attelage déclarée par le constructeur lorsqu’elle est inférieure à la masse maximale techniquement admissible au point d’attelage: …</w:t>
            </w:r>
          </w:p>
          <w:p>
            <w:pPr>
              <w:spacing w:after="0"/>
              <w:ind w:left="1701" w:hanging="1701"/>
              <w:rPr>
                <w:rFonts w:eastAsia="Arial Unicode MS"/>
                <w:noProof/>
                <w:szCs w:val="24"/>
              </w:rPr>
            </w:pPr>
            <w:r>
              <w:rPr>
                <w:noProof/>
              </w:rPr>
              <w:t>3.16.3.</w:t>
            </w:r>
            <w:r>
              <w:rPr>
                <w:noProof/>
              </w:rPr>
              <w:tab/>
              <w:t>Masse maximale admissible à l’immatriculation/en service sur chaque groupe d’essieux: …</w:t>
            </w:r>
          </w:p>
          <w:p>
            <w:pPr>
              <w:spacing w:after="0"/>
              <w:ind w:left="1701" w:hanging="1701"/>
              <w:rPr>
                <w:rFonts w:eastAsia="Arial Unicode MS"/>
                <w:noProof/>
                <w:szCs w:val="24"/>
              </w:rPr>
            </w:pPr>
            <w:r>
              <w:rPr>
                <w:noProof/>
              </w:rPr>
              <w:t>3.16.4.</w:t>
            </w:r>
            <w:r>
              <w:rPr>
                <w:noProof/>
              </w:rPr>
              <w:tab/>
              <w:t>Masse tractable maximale admissible à l’immatriculation/en service: …</w:t>
            </w:r>
          </w:p>
          <w:p>
            <w:pPr>
              <w:spacing w:after="0"/>
              <w:ind w:left="1701" w:hanging="1701"/>
              <w:rPr>
                <w:rFonts w:eastAsia="Arial Unicode MS"/>
                <w:noProof/>
                <w:szCs w:val="24"/>
              </w:rPr>
            </w:pPr>
            <w:r>
              <w:rPr>
                <w:noProof/>
              </w:rPr>
              <w:t>3.16.5.</w:t>
            </w:r>
            <w:r>
              <w:rPr>
                <w:noProof/>
              </w:rPr>
              <w:tab/>
              <w:t>Masse maximale admissible à l’immatriculation/en service de l’ensemble: …</w:t>
            </w:r>
          </w:p>
        </w:tc>
      </w:tr>
    </w:tbl>
    <w:p>
      <w:pPr>
        <w:ind w:left="1701" w:hanging="1701"/>
        <w:rPr>
          <w:rFonts w:eastAsia="Arial Unicode MS"/>
          <w:bCs/>
          <w:noProof/>
          <w:szCs w:val="24"/>
        </w:rPr>
      </w:pPr>
      <w:r>
        <w:rPr>
          <w:noProof/>
        </w:rPr>
        <w:t>3.17.</w:t>
      </w:r>
      <w:r>
        <w:rPr>
          <w:noProof/>
        </w:rPr>
        <w:tab/>
        <w:t>Véhicule soumis à la réception par type multi-étapes [uniquement dans le cas des véhicules incomplets ou complétés de catégorie N</w:t>
      </w:r>
      <w:r>
        <w:rPr>
          <w:noProof/>
          <w:vertAlign w:val="subscript"/>
        </w:rPr>
        <w:t>1</w:t>
      </w:r>
      <w:r>
        <w:rPr>
          <w:noProof/>
        </w:rPr>
        <w:t xml:space="preserve"> relevant du règlement (CE) n</w:t>
      </w:r>
      <w:r>
        <w:rPr>
          <w:noProof/>
          <w:vertAlign w:val="superscript"/>
        </w:rPr>
        <w:t>o</w:t>
      </w:r>
      <w:r>
        <w:rPr>
          <w:noProof/>
        </w:rPr>
        <w:t> 715/2007]: oui/non (</w:t>
      </w:r>
      <w:r>
        <w:rPr>
          <w:noProof/>
          <w:vertAlign w:val="superscript"/>
        </w:rPr>
        <w:t>1</w:t>
      </w:r>
      <w:r>
        <w:rPr>
          <w:noProof/>
        </w:rPr>
        <w:t>)</w:t>
      </w:r>
    </w:p>
    <w:p>
      <w:pPr>
        <w:spacing w:before="0"/>
        <w:ind w:left="1701" w:hanging="1701"/>
        <w:rPr>
          <w:rFonts w:eastAsia="Arial Unicode MS"/>
          <w:bCs/>
          <w:noProof/>
          <w:szCs w:val="24"/>
        </w:rPr>
      </w:pPr>
      <w:r>
        <w:rPr>
          <w:noProof/>
        </w:rPr>
        <w:t>3.17.1.</w:t>
      </w:r>
      <w:r>
        <w:rPr>
          <w:noProof/>
        </w:rPr>
        <w:tab/>
        <w:t>Masse en ordre de marche du véhicule de base: ……………...……kg.</w:t>
      </w:r>
    </w:p>
    <w:p>
      <w:pPr>
        <w:spacing w:before="0"/>
        <w:ind w:left="1701" w:hanging="1701"/>
        <w:rPr>
          <w:rFonts w:eastAsia="Arial Unicode MS"/>
          <w:bCs/>
          <w:noProof/>
          <w:szCs w:val="24"/>
        </w:rPr>
      </w:pPr>
      <w:r>
        <w:rPr>
          <w:noProof/>
        </w:rPr>
        <w:t>3.17.2.</w:t>
      </w:r>
      <w:r>
        <w:rPr>
          <w:noProof/>
        </w:rPr>
        <w:tab/>
        <w:t>Masse ajoutée par défaut (DAM), calculée conformément au point 5 de l’annexe XII du règlement (CE) n</w:t>
      </w:r>
      <w:r>
        <w:rPr>
          <w:noProof/>
          <w:vertAlign w:val="superscript"/>
        </w:rPr>
        <w:t>o</w:t>
      </w:r>
      <w:r>
        <w:rPr>
          <w:noProof/>
        </w:rPr>
        <w:t> 692/2008: ……………kg.</w:t>
      </w:r>
    </w:p>
    <w:p>
      <w:pPr>
        <w:spacing w:before="240"/>
        <w:ind w:left="1701" w:hanging="1701"/>
        <w:jc w:val="left"/>
        <w:rPr>
          <w:rFonts w:eastAsia="Arial Unicode MS"/>
          <w:bCs/>
          <w:noProof/>
          <w:szCs w:val="24"/>
        </w:rPr>
      </w:pPr>
      <w:r>
        <w:rPr>
          <w:noProof/>
        </w:rPr>
        <w:t>4.</w:t>
      </w:r>
      <w:r>
        <w:rPr>
          <w:noProof/>
        </w:rPr>
        <w:tab/>
      </w:r>
      <w:r>
        <w:rPr>
          <w:b/>
          <w:noProof/>
        </w:rPr>
        <w:t xml:space="preserve">GROUPE MOTEUR </w:t>
      </w:r>
      <w:r>
        <w:rPr>
          <w:noProof/>
        </w:rPr>
        <w:t>(</w:t>
      </w:r>
      <w:r>
        <w:rPr>
          <w:noProof/>
          <w:vertAlign w:val="superscript"/>
        </w:rPr>
        <w:t>k</w:t>
      </w:r>
      <w:r>
        <w:rPr>
          <w:noProof/>
        </w:rPr>
        <w:t xml:space="preserve">) </w:t>
      </w:r>
    </w:p>
    <w:p>
      <w:pPr>
        <w:spacing w:before="240" w:after="0"/>
        <w:ind w:left="1701" w:hanging="1701"/>
        <w:rPr>
          <w:rFonts w:eastAsia="Arial Unicode MS"/>
          <w:noProof/>
          <w:szCs w:val="24"/>
        </w:rPr>
      </w:pPr>
      <w:r>
        <w:rPr>
          <w:noProof/>
        </w:rPr>
        <w:t>4.1.</w:t>
      </w:r>
      <w:r>
        <w:rPr>
          <w:noProof/>
        </w:rPr>
        <w:tab/>
      </w:r>
      <w:r>
        <w:rPr>
          <w:b/>
          <w:noProof/>
        </w:rPr>
        <w:t>Constructeur du moteur:</w:t>
      </w:r>
      <w:r>
        <w:rPr>
          <w:noProof/>
        </w:rPr>
        <w:t xml:space="preserve"> …</w:t>
      </w:r>
    </w:p>
    <w:p>
      <w:pPr>
        <w:spacing w:after="0"/>
        <w:ind w:left="1701" w:hanging="1701"/>
        <w:rPr>
          <w:rFonts w:eastAsia="Arial Unicode MS"/>
          <w:noProof/>
          <w:szCs w:val="24"/>
        </w:rPr>
      </w:pPr>
      <w:r>
        <w:rPr>
          <w:noProof/>
        </w:rPr>
        <w:t>4.1.1.</w:t>
      </w:r>
      <w:r>
        <w:rPr>
          <w:noProof/>
        </w:rPr>
        <w:tab/>
        <w:t>Code moteur du constructeur (inscrit sur le moteur): …</w:t>
      </w:r>
    </w:p>
    <w:p>
      <w:pPr>
        <w:spacing w:after="0"/>
        <w:ind w:left="1701" w:hanging="1701"/>
        <w:rPr>
          <w:rFonts w:eastAsia="Arial Unicode MS"/>
          <w:noProof/>
          <w:szCs w:val="24"/>
        </w:rPr>
      </w:pPr>
      <w:r>
        <w:rPr>
          <w:noProof/>
        </w:rPr>
        <w:t>4.1.2.</w:t>
      </w:r>
      <w:r>
        <w:rPr>
          <w:noProof/>
        </w:rPr>
        <w:tab/>
        <w:t>Numéro de réception (le cas échéant), avec marquage d’identification du carburant: …</w:t>
      </w:r>
    </w:p>
    <w:p>
      <w:pPr>
        <w:ind w:left="1701"/>
        <w:rPr>
          <w:rFonts w:eastAsia="Arial Unicode MS"/>
          <w:noProof/>
          <w:szCs w:val="24"/>
        </w:rPr>
      </w:pPr>
      <w:r>
        <w:rPr>
          <w:noProof/>
        </w:rPr>
        <w:t>(véhicules lourds uniquement)</w:t>
      </w:r>
    </w:p>
    <w:p>
      <w:pPr>
        <w:spacing w:before="240"/>
        <w:ind w:left="1701" w:hanging="1701"/>
        <w:jc w:val="left"/>
        <w:rPr>
          <w:rFonts w:eastAsia="Arial Unicode MS"/>
          <w:b/>
          <w:bCs/>
          <w:noProof/>
          <w:szCs w:val="24"/>
        </w:rPr>
      </w:pPr>
      <w:r>
        <w:rPr>
          <w:noProof/>
        </w:rPr>
        <w:t>4.2.</w:t>
      </w:r>
      <w:r>
        <w:rPr>
          <w:noProof/>
        </w:rPr>
        <w:tab/>
      </w:r>
      <w:r>
        <w:rPr>
          <w:b/>
          <w:noProof/>
        </w:rPr>
        <w:t xml:space="preserve">Moteur à combustion interne </w:t>
      </w:r>
    </w:p>
    <w:p>
      <w:pPr>
        <w:spacing w:after="0"/>
        <w:ind w:left="1701" w:hanging="1701"/>
        <w:rPr>
          <w:rFonts w:eastAsia="Arial Unicode MS"/>
          <w:noProof/>
          <w:szCs w:val="24"/>
        </w:rPr>
      </w:pPr>
      <w:r>
        <w:rPr>
          <w:noProof/>
        </w:rPr>
        <w:t>4.2.1.1.</w:t>
      </w:r>
      <w:r>
        <w:rPr>
          <w:noProof/>
        </w:rPr>
        <w:tab/>
        <w:t>Principe de fonctionnement: allumage commandé/allumage par compression/à double carburant (</w:t>
      </w:r>
      <w:r>
        <w:rPr>
          <w:noProof/>
          <w:vertAlign w:val="superscript"/>
        </w:rPr>
        <w:t>1</w:t>
      </w:r>
      <w:r>
        <w:rPr>
          <w:noProof/>
        </w:rPr>
        <w:t>)</w:t>
      </w:r>
    </w:p>
    <w:p>
      <w:pPr>
        <w:spacing w:after="0"/>
        <w:ind w:left="1701"/>
        <w:rPr>
          <w:rFonts w:eastAsia="Arial Unicode MS"/>
          <w:noProof/>
          <w:szCs w:val="24"/>
        </w:rPr>
      </w:pPr>
      <w:r>
        <w:rPr>
          <w:noProof/>
        </w:rPr>
        <w:lastRenderedPageBreak/>
        <w:t>Cycle quatre temps/deux temps/rotatif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Type de moteur à double carburant</w:t>
      </w:r>
      <w:r>
        <w:rPr>
          <w:i/>
          <w:noProof/>
        </w:rPr>
        <w:t>:</w:t>
      </w:r>
      <w:r>
        <w:rPr>
          <w:noProof/>
        </w:rPr>
        <w:t xml:space="preserve"> Type 1A/Type 1B/Type 2A/Type 2B/Type 3B (</w:t>
      </w:r>
      <w:r>
        <w:rPr>
          <w:noProof/>
          <w:vertAlign w:val="superscript"/>
        </w:rPr>
        <w:t>1</w:t>
      </w:r>
      <w:r>
        <w:rPr>
          <w:noProof/>
        </w:rPr>
        <w:t>) (</w:t>
      </w:r>
      <w:r>
        <w:rPr>
          <w:noProof/>
          <w:vertAlign w:val="superscript"/>
        </w:rPr>
        <w:t>x1</w:t>
      </w:r>
      <w:r>
        <w:rPr>
          <w:noProof/>
        </w:rPr>
        <w:t>)</w:t>
      </w:r>
    </w:p>
    <w:p>
      <w:pPr>
        <w:spacing w:after="0"/>
        <w:ind w:left="1701" w:hanging="1701"/>
        <w:rPr>
          <w:rFonts w:eastAsia="Arial Unicode MS"/>
          <w:noProof/>
          <w:szCs w:val="24"/>
        </w:rPr>
      </w:pPr>
      <w:r>
        <w:rPr>
          <w:noProof/>
        </w:rPr>
        <w:t>4.2.1.1.2.</w:t>
      </w:r>
      <w:r>
        <w:rPr>
          <w:noProof/>
        </w:rPr>
        <w:tab/>
        <w:t>Rapport énergétique du gaz lors de la partie démarrage à chaud du cycle d’essais WHTC: … %</w:t>
      </w:r>
    </w:p>
    <w:p>
      <w:pPr>
        <w:spacing w:after="0"/>
        <w:ind w:left="1701" w:hanging="1701"/>
        <w:rPr>
          <w:rFonts w:eastAsia="Arial Unicode MS"/>
          <w:noProof/>
          <w:szCs w:val="24"/>
        </w:rPr>
      </w:pPr>
      <w:r>
        <w:rPr>
          <w:noProof/>
        </w:rPr>
        <w:t>4.2.1.2.</w:t>
      </w:r>
      <w:r>
        <w:rPr>
          <w:noProof/>
        </w:rPr>
        <w:tab/>
        <w:t>Nombre et disposition des cylindres: …</w:t>
      </w:r>
    </w:p>
    <w:p>
      <w:pPr>
        <w:spacing w:after="0"/>
        <w:ind w:left="1701" w:hanging="1701"/>
        <w:rPr>
          <w:rFonts w:eastAsia="Arial Unicode MS"/>
          <w:noProof/>
          <w:szCs w:val="24"/>
        </w:rPr>
      </w:pPr>
      <w:r>
        <w:rPr>
          <w:noProof/>
        </w:rPr>
        <w:t>4.2.1.3.</w:t>
      </w:r>
      <w:r>
        <w:rPr>
          <w:noProof/>
        </w:rPr>
        <w:tab/>
        <w:t>Cylindrée (</w:t>
      </w:r>
      <w:r>
        <w:rPr>
          <w:noProof/>
          <w:vertAlign w:val="superscript"/>
        </w:rPr>
        <w:t>m</w:t>
      </w:r>
      <w:r>
        <w:rPr>
          <w:noProof/>
        </w:rPr>
        <w:t>):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Régime de ralenti normal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noProof/>
        </w:rPr>
        <w:t>4.2.1.6.1.</w:t>
      </w:r>
      <w:r>
        <w:rPr>
          <w:noProof/>
        </w:rPr>
        <w:tab/>
        <w:t>Régime de ralenti accéléré (</w:t>
      </w:r>
      <w:r>
        <w:rPr>
          <w:noProof/>
          <w:vertAlign w:val="superscript"/>
        </w:rPr>
        <w:t>2</w:t>
      </w:r>
      <w:r>
        <w:rPr>
          <w:noProof/>
        </w:rPr>
        <w:t>): …… min</w:t>
      </w:r>
      <w:r>
        <w:rPr>
          <w:noProof/>
          <w:vertAlign w:val="superscript"/>
        </w:rPr>
        <w:t>-1</w:t>
      </w:r>
    </w:p>
    <w:p>
      <w:pPr>
        <w:spacing w:after="0"/>
        <w:ind w:left="1701" w:hanging="1701"/>
        <w:rPr>
          <w:rFonts w:eastAsia="Arial Unicode MS"/>
          <w:noProof/>
          <w:szCs w:val="24"/>
        </w:rPr>
      </w:pPr>
      <w:r>
        <w:rPr>
          <w:noProof/>
        </w:rPr>
        <w:t>4.2.1.6.2.</w:t>
      </w:r>
      <w:r>
        <w:rPr>
          <w:noProof/>
        </w:rPr>
        <w:tab/>
        <w:t>Ralenti en mode diesel: oui/non (</w:t>
      </w:r>
      <w:r>
        <w:rPr>
          <w:noProof/>
          <w:vertAlign w:val="superscript"/>
        </w:rPr>
        <w:t>1</w:t>
      </w:r>
      <w:r>
        <w:rPr>
          <w:noProof/>
        </w:rPr>
        <w:t>) (</w:t>
      </w:r>
      <w:r>
        <w:rPr>
          <w:noProof/>
          <w:vertAlign w:val="superscript"/>
        </w:rPr>
        <w:t>x1</w:t>
      </w:r>
      <w:r>
        <w:rPr>
          <w:noProof/>
        </w:rPr>
        <w:t>)</w:t>
      </w:r>
    </w:p>
    <w:p>
      <w:pPr>
        <w:spacing w:after="0"/>
        <w:ind w:left="1701" w:hanging="1701"/>
        <w:rPr>
          <w:rFonts w:eastAsia="Arial Unicode MS"/>
          <w:noProof/>
          <w:szCs w:val="24"/>
        </w:rPr>
      </w:pPr>
      <w:r>
        <w:rPr>
          <w:noProof/>
        </w:rPr>
        <w:t>4.2.1.8.</w:t>
      </w:r>
      <w:r>
        <w:rPr>
          <w:noProof/>
        </w:rPr>
        <w:tab/>
        <w:t>Puissance nette maximale(</w:t>
      </w:r>
      <w:r>
        <w:rPr>
          <w:noProof/>
          <w:vertAlign w:val="superscript"/>
        </w:rPr>
        <w:t>n</w:t>
      </w:r>
      <w:r>
        <w:rPr>
          <w:noProof/>
        </w:rPr>
        <w:t>): …… kW à …… min</w:t>
      </w:r>
      <w:r>
        <w:rPr>
          <w:noProof/>
          <w:vertAlign w:val="superscript"/>
        </w:rPr>
        <w:t>-1</w:t>
      </w:r>
      <w:r>
        <w:rPr>
          <w:noProof/>
        </w:rPr>
        <w:t xml:space="preserve"> (valeur déclarée par le constructeur)</w:t>
      </w:r>
    </w:p>
    <w:p>
      <w:pPr>
        <w:spacing w:after="0"/>
        <w:ind w:left="1701" w:hanging="1701"/>
        <w:rPr>
          <w:rFonts w:eastAsia="Arial Unicode MS"/>
          <w:noProof/>
          <w:szCs w:val="24"/>
        </w:rPr>
      </w:pPr>
      <w:r>
        <w:rPr>
          <w:noProof/>
        </w:rPr>
        <w:t>4.2.1.11.</w:t>
      </w:r>
      <w:r>
        <w:rPr>
          <w:noProof/>
        </w:rPr>
        <w:tab/>
        <w:t>(Euro VI uniquement) Références du constructeur du dossier de documentation requis par les articles 5, 7 et 9 du règlement (UE) n</w:t>
      </w:r>
      <w:r>
        <w:rPr>
          <w:noProof/>
          <w:vertAlign w:val="superscript"/>
        </w:rPr>
        <w:t>o</w:t>
      </w:r>
      <w:r>
        <w:rPr>
          <w:noProof/>
        </w:rPr>
        <w:t> 582/2011 permettant à l’autorité compétente en matière de réception d’évaluer les stratégies de maîtrise des émissions et les systèmes présents sur le moteur pour assurer le fonctionnement correct des mesures de contrôle des NO</w:t>
      </w:r>
      <w:r>
        <w:rPr>
          <w:noProof/>
          <w:vertAlign w:val="subscript"/>
        </w:rPr>
        <w:t>x</w:t>
      </w:r>
      <w:r>
        <w:rPr>
          <w:i/>
          <w:noProof/>
        </w:rPr>
        <w:t xml:space="preserve"> </w:t>
      </w:r>
    </w:p>
    <w:p>
      <w:pPr>
        <w:spacing w:after="0"/>
        <w:ind w:left="1701" w:hanging="1701"/>
        <w:rPr>
          <w:rFonts w:eastAsia="Arial Unicode MS"/>
          <w:noProof/>
          <w:szCs w:val="24"/>
        </w:rPr>
      </w:pPr>
      <w:r>
        <w:rPr>
          <w:noProof/>
        </w:rPr>
        <w:t xml:space="preserve">4.2.2.1. </w:t>
      </w:r>
      <w:r>
        <w:rPr>
          <w:noProof/>
        </w:rPr>
        <w:tab/>
        <w:t>Véhicules légers: gazole/essence/GPL/GN ou biométhane/éthanol (E85)/biogazole/hydrogène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w:t>
      </w:r>
      <w:r>
        <w:rPr>
          <w:noProof/>
        </w:rPr>
        <w:tab/>
        <w:t>Véhicules lourds: gazole/essence/GPL/GN-H/GN-L/GN-HL/éthanol (ED95)/éthanol (E85)/GNL/GNL</w:t>
      </w:r>
      <w:r>
        <w:rPr>
          <w:noProof/>
          <w:vertAlign w:val="subscript"/>
        </w:rPr>
        <w:t>20</w:t>
      </w:r>
      <w:r>
        <w:rPr>
          <w:noProof/>
        </w:rPr>
        <w:t>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4.2.2.2.1.</w:t>
      </w:r>
      <w:r>
        <w:rPr>
          <w:noProof/>
        </w:rPr>
        <w:tab/>
        <w:t>(Euro VI uniquement) Carburants compatibles pour utilisation avec le moteur déclarés par le constructeur conformément au point 1.1.3 de l’annexe I du règlement (UE) n</w:t>
      </w:r>
      <w:r>
        <w:rPr>
          <w:noProof/>
          <w:vertAlign w:val="superscript"/>
        </w:rPr>
        <w:t>o</w:t>
      </w:r>
      <w:r>
        <w:rPr>
          <w:noProof/>
        </w:rPr>
        <w:t> 582/2011 (le cas échéant)</w:t>
      </w:r>
    </w:p>
    <w:p>
      <w:pPr>
        <w:spacing w:after="0"/>
        <w:ind w:left="1701" w:hanging="1701"/>
        <w:rPr>
          <w:rFonts w:eastAsia="Arial Unicode MS"/>
          <w:noProof/>
          <w:szCs w:val="24"/>
        </w:rPr>
      </w:pPr>
      <w:r>
        <w:rPr>
          <w:noProof/>
        </w:rPr>
        <w:t>4.2.2.4.</w:t>
      </w:r>
      <w:r>
        <w:rPr>
          <w:noProof/>
        </w:rPr>
        <w:tab/>
        <w:t>Type de carburant du véhicule: monocarburant/bicarburant/polycarburant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Quantité maximale de biocarburant acceptable dans le carburant (valeur déclarée par le constructeur): …… % en volume</w:t>
      </w:r>
    </w:p>
    <w:p>
      <w:pPr>
        <w:spacing w:before="240"/>
        <w:ind w:left="1701" w:hanging="1701"/>
        <w:jc w:val="left"/>
        <w:rPr>
          <w:rFonts w:eastAsia="Arial Unicode MS"/>
          <w:bCs/>
          <w:noProof/>
          <w:szCs w:val="24"/>
        </w:rPr>
      </w:pPr>
      <w:r>
        <w:rPr>
          <w:noProof/>
        </w:rPr>
        <w:t>4.2.3.</w:t>
      </w:r>
      <w:r>
        <w:rPr>
          <w:noProof/>
        </w:rPr>
        <w:tab/>
      </w:r>
      <w:r>
        <w:rPr>
          <w:i/>
          <w:noProof/>
        </w:rPr>
        <w:t>Réservoir(s) de carburant</w:t>
      </w:r>
      <w:r>
        <w:rPr>
          <w:noProof/>
        </w:rPr>
        <w:t xml:space="preserve"> </w:t>
      </w:r>
    </w:p>
    <w:p>
      <w:pPr>
        <w:spacing w:after="0"/>
        <w:ind w:left="1701" w:hanging="1701"/>
        <w:rPr>
          <w:rFonts w:eastAsia="Arial Unicode MS"/>
          <w:noProof/>
          <w:szCs w:val="24"/>
        </w:rPr>
      </w:pPr>
      <w:r>
        <w:rPr>
          <w:noProof/>
        </w:rPr>
        <w:t>4.2.3.1.</w:t>
      </w:r>
      <w:r>
        <w:rPr>
          <w:noProof/>
        </w:rPr>
        <w:tab/>
        <w:t>Réservoir(s) de carburant de service</w:t>
      </w:r>
    </w:p>
    <w:p>
      <w:pPr>
        <w:spacing w:after="0"/>
        <w:ind w:left="1701" w:hanging="1701"/>
        <w:rPr>
          <w:rFonts w:eastAsia="Arial Unicode MS"/>
          <w:noProof/>
          <w:szCs w:val="24"/>
        </w:rPr>
      </w:pPr>
      <w:r>
        <w:rPr>
          <w:noProof/>
        </w:rPr>
        <w:t>4.2.3.1.1.</w:t>
      </w:r>
      <w:r>
        <w:rPr>
          <w:noProof/>
        </w:rPr>
        <w:tab/>
        <w:t>Nombre de réservoirs et contenance de chacun: …</w:t>
      </w:r>
    </w:p>
    <w:p>
      <w:pPr>
        <w:spacing w:after="0"/>
        <w:ind w:left="1701" w:hanging="1701"/>
        <w:rPr>
          <w:rFonts w:eastAsia="Arial Unicode MS"/>
          <w:noProof/>
          <w:szCs w:val="24"/>
        </w:rPr>
      </w:pPr>
      <w:r>
        <w:rPr>
          <w:noProof/>
        </w:rPr>
        <w:t>4.2.3.2.</w:t>
      </w:r>
      <w:r>
        <w:rPr>
          <w:noProof/>
        </w:rPr>
        <w:tab/>
        <w:t>Réservoir(s) de carburant de réserve</w:t>
      </w:r>
    </w:p>
    <w:p>
      <w:pPr>
        <w:spacing w:after="0"/>
        <w:ind w:left="1701" w:hanging="1701"/>
        <w:rPr>
          <w:rFonts w:eastAsia="Arial Unicode MS"/>
          <w:noProof/>
          <w:szCs w:val="24"/>
        </w:rPr>
      </w:pPr>
      <w:r>
        <w:rPr>
          <w:noProof/>
        </w:rPr>
        <w:t>4.2.3.2.1.</w:t>
      </w:r>
      <w:r>
        <w:rPr>
          <w:noProof/>
        </w:rPr>
        <w:tab/>
        <w:t>Nombre de réservoirs et contenance de chacun: …</w:t>
      </w:r>
    </w:p>
    <w:p>
      <w:pPr>
        <w:spacing w:before="240"/>
        <w:ind w:left="1701" w:hanging="1701"/>
        <w:jc w:val="left"/>
        <w:rPr>
          <w:rFonts w:eastAsia="Arial Unicode MS"/>
          <w:bCs/>
          <w:noProof/>
          <w:szCs w:val="24"/>
        </w:rPr>
      </w:pPr>
      <w:r>
        <w:rPr>
          <w:noProof/>
        </w:rPr>
        <w:t>4.2.4.</w:t>
      </w:r>
      <w:r>
        <w:rPr>
          <w:noProof/>
        </w:rPr>
        <w:tab/>
      </w:r>
      <w:r>
        <w:rPr>
          <w:i/>
          <w:noProof/>
        </w:rPr>
        <w:t>Alimentation en carburant</w:t>
      </w:r>
      <w:r>
        <w:rPr>
          <w:noProof/>
        </w:rPr>
        <w:t xml:space="preserve"> </w:t>
      </w:r>
    </w:p>
    <w:p>
      <w:pPr>
        <w:spacing w:after="0"/>
        <w:ind w:left="1701" w:hanging="1701"/>
        <w:rPr>
          <w:rFonts w:eastAsia="Arial Unicode MS"/>
          <w:noProof/>
          <w:szCs w:val="24"/>
        </w:rPr>
      </w:pPr>
      <w:r>
        <w:rPr>
          <w:noProof/>
        </w:rPr>
        <w:t>4.2.4.1.</w:t>
      </w:r>
      <w:r>
        <w:rPr>
          <w:noProof/>
        </w:rPr>
        <w:tab/>
        <w:t>Par carburateur(s): oui/non (</w:t>
      </w:r>
      <w:r>
        <w:rPr>
          <w:noProof/>
          <w:vertAlign w:val="superscript"/>
        </w:rPr>
        <w:t>1</w:t>
      </w:r>
      <w:r>
        <w:rPr>
          <w:noProof/>
        </w:rPr>
        <w:t>)</w:t>
      </w:r>
    </w:p>
    <w:p>
      <w:pPr>
        <w:spacing w:after="0"/>
        <w:ind w:left="1701" w:hanging="1701"/>
        <w:rPr>
          <w:rFonts w:eastAsia="Arial Unicode MS"/>
          <w:noProof/>
          <w:szCs w:val="24"/>
        </w:rPr>
      </w:pPr>
      <w:r>
        <w:rPr>
          <w:noProof/>
        </w:rPr>
        <w:t>4.2.4.2.</w:t>
      </w:r>
      <w:r>
        <w:rPr>
          <w:noProof/>
        </w:rPr>
        <w:tab/>
        <w:t>Par injection de carburant (allumage par compression ou double carburant</w:t>
      </w:r>
      <w:r>
        <w:rPr>
          <w:i/>
          <w:noProof/>
        </w:rPr>
        <w:t xml:space="preserve"> </w:t>
      </w:r>
      <w:r>
        <w:rPr>
          <w:noProof/>
        </w:rPr>
        <w:t>uniquement): oui/non (</w:t>
      </w:r>
      <w:r>
        <w:rPr>
          <w:noProof/>
          <w:vertAlign w:val="superscript"/>
        </w:rPr>
        <w:t>1</w:t>
      </w:r>
      <w:r>
        <w:rPr>
          <w:noProof/>
        </w:rPr>
        <w:t>)</w:t>
      </w:r>
    </w:p>
    <w:p>
      <w:pPr>
        <w:spacing w:after="0"/>
        <w:ind w:left="1701" w:hanging="1701"/>
        <w:rPr>
          <w:rFonts w:eastAsia="Arial Unicode MS"/>
          <w:noProof/>
          <w:szCs w:val="24"/>
        </w:rPr>
      </w:pPr>
      <w:r>
        <w:rPr>
          <w:noProof/>
        </w:rPr>
        <w:lastRenderedPageBreak/>
        <w:t>4.2.4.2.2.</w:t>
      </w:r>
      <w:r>
        <w:rPr>
          <w:noProof/>
        </w:rPr>
        <w:tab/>
        <w:t>Principe de fonctionnement: injection directe/chambre de précombustion/chambre de turbulence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Par injection de carburant (allumage commandé uniquement): oui/non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noProof/>
        </w:rPr>
        <w:t xml:space="preserve">Système de refroidissement: </w:t>
      </w:r>
      <w:r>
        <w:rPr>
          <w:noProof/>
        </w:rPr>
        <w:t>par liquide/par air (</w:t>
      </w:r>
      <w:r>
        <w:rPr>
          <w:noProof/>
          <w:vertAlign w:val="superscript"/>
        </w:rPr>
        <w:t>1</w:t>
      </w:r>
      <w:r>
        <w:rPr>
          <w:noProof/>
        </w:rPr>
        <w:t>)</w:t>
      </w:r>
    </w:p>
    <w:p>
      <w:pPr>
        <w:spacing w:before="240"/>
        <w:ind w:left="1701" w:hanging="1701"/>
        <w:jc w:val="left"/>
        <w:rPr>
          <w:rFonts w:eastAsia="Arial Unicode MS"/>
          <w:bCs/>
          <w:noProof/>
          <w:szCs w:val="24"/>
        </w:rPr>
      </w:pPr>
      <w:r>
        <w:rPr>
          <w:noProof/>
        </w:rPr>
        <w:t>4.2.8.</w:t>
      </w:r>
      <w:r>
        <w:rPr>
          <w:noProof/>
        </w:rPr>
        <w:tab/>
      </w:r>
      <w:r>
        <w:rPr>
          <w:i/>
          <w:noProof/>
        </w:rPr>
        <w:t>Système d’admission</w:t>
      </w:r>
      <w:r>
        <w:rPr>
          <w:noProof/>
        </w:rPr>
        <w:t xml:space="preserve"> </w:t>
      </w:r>
    </w:p>
    <w:p>
      <w:pPr>
        <w:spacing w:after="0"/>
        <w:ind w:left="1701" w:hanging="1701"/>
        <w:rPr>
          <w:rFonts w:eastAsia="Arial Unicode MS"/>
          <w:noProof/>
          <w:szCs w:val="24"/>
        </w:rPr>
      </w:pPr>
      <w:r>
        <w:rPr>
          <w:noProof/>
        </w:rPr>
        <w:t>4.2.8.1.</w:t>
      </w:r>
      <w:r>
        <w:rPr>
          <w:noProof/>
        </w:rPr>
        <w:tab/>
        <w:t>Suralimentation: oui/non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Refroidisseur intermédiaire: oui/non (</w:t>
      </w:r>
      <w:r>
        <w:rPr>
          <w:noProof/>
          <w:vertAlign w:val="superscript"/>
        </w:rPr>
        <w:t>1</w:t>
      </w:r>
      <w:r>
        <w:rPr>
          <w:noProof/>
        </w:rPr>
        <w:t>)</w:t>
      </w:r>
    </w:p>
    <w:p>
      <w:pPr>
        <w:spacing w:after="0"/>
        <w:ind w:left="1701" w:hanging="1701"/>
        <w:rPr>
          <w:rFonts w:eastAsia="Arial Unicode MS"/>
          <w:noProof/>
          <w:szCs w:val="24"/>
        </w:rPr>
      </w:pPr>
      <w:r>
        <w:rPr>
          <w:noProof/>
        </w:rPr>
        <w:t>4.2.8.3.3.</w:t>
      </w:r>
      <w:r>
        <w:rPr>
          <w:noProof/>
        </w:rPr>
        <w:tab/>
        <w:t>(Euro VI uniquement) Dépression effective du système d’admission au régime nominal du moteur et à 100 % de charge sur le véhicule: … kPa</w:t>
      </w:r>
    </w:p>
    <w:p>
      <w:pPr>
        <w:spacing w:before="240"/>
        <w:ind w:left="1701" w:hanging="1701"/>
        <w:jc w:val="left"/>
        <w:rPr>
          <w:rFonts w:eastAsia="Arial Unicode MS"/>
          <w:bCs/>
          <w:noProof/>
          <w:szCs w:val="24"/>
        </w:rPr>
      </w:pPr>
      <w:r>
        <w:rPr>
          <w:noProof/>
        </w:rPr>
        <w:t>4.2.9.</w:t>
      </w:r>
      <w:r>
        <w:rPr>
          <w:noProof/>
        </w:rPr>
        <w:tab/>
      </w:r>
      <w:r>
        <w:rPr>
          <w:i/>
          <w:noProof/>
        </w:rPr>
        <w:t>Système d’échappement</w:t>
      </w:r>
      <w:r>
        <w:rPr>
          <w:noProof/>
        </w:rPr>
        <w:t xml:space="preserve"> </w:t>
      </w:r>
    </w:p>
    <w:p>
      <w:pPr>
        <w:spacing w:after="0"/>
        <w:ind w:left="1701" w:hanging="1701"/>
        <w:rPr>
          <w:rFonts w:eastAsia="Arial Unicode MS"/>
          <w:noProof/>
          <w:szCs w:val="24"/>
        </w:rPr>
      </w:pPr>
      <w:r>
        <w:rPr>
          <w:noProof/>
        </w:rPr>
        <w:t>4.2.9.2.1.</w:t>
      </w:r>
      <w:r>
        <w:rPr>
          <w:noProof/>
        </w:rPr>
        <w:tab/>
        <w:t>(Euro VI uniquement) Description et/ou dessin des éléments du système d’échappement qui ne font pas partie du système moteur</w:t>
      </w:r>
    </w:p>
    <w:p>
      <w:pPr>
        <w:spacing w:after="0"/>
        <w:ind w:left="1701" w:hanging="1701"/>
        <w:rPr>
          <w:rFonts w:eastAsia="Arial Unicode MS"/>
          <w:noProof/>
          <w:szCs w:val="24"/>
        </w:rPr>
      </w:pPr>
      <w:r>
        <w:rPr>
          <w:noProof/>
        </w:rPr>
        <w:t>4.2.9.3.1.</w:t>
      </w:r>
      <w:r>
        <w:rPr>
          <w:noProof/>
        </w:rPr>
        <w:tab/>
        <w:t>(Euro VI uniquement) Contrepression effective à l’échappement au régime nominal du moteur et à 100 % de charge sur le véhicule (moteurs à allumage par compression uniquement): … kPa</w:t>
      </w:r>
    </w:p>
    <w:p>
      <w:pPr>
        <w:spacing w:after="0"/>
        <w:ind w:left="1701" w:hanging="1701"/>
        <w:rPr>
          <w:rFonts w:eastAsia="Arial Unicode MS"/>
          <w:noProof/>
          <w:szCs w:val="24"/>
        </w:rPr>
      </w:pPr>
      <w:r>
        <w:rPr>
          <w:noProof/>
        </w:rPr>
        <w:t>4.2.9.4.</w:t>
      </w:r>
      <w:r>
        <w:rPr>
          <w:noProof/>
        </w:rPr>
        <w:tab/>
        <w:t>Type, marque du ou des silencieux d’échappement: …</w:t>
      </w:r>
    </w:p>
    <w:p>
      <w:pPr>
        <w:ind w:left="1701"/>
        <w:rPr>
          <w:rFonts w:eastAsia="Arial Unicode MS"/>
          <w:noProof/>
          <w:szCs w:val="24"/>
        </w:rPr>
      </w:pPr>
      <w:r>
        <w:rPr>
          <w:noProof/>
        </w:rPr>
        <w:t>En ce qui concerne le bruit extérieur, mesures de réduction du bruit dans le compartiment moteur et sur le moteur: …</w:t>
      </w:r>
    </w:p>
    <w:p>
      <w:pPr>
        <w:spacing w:after="0"/>
        <w:ind w:left="1701" w:hanging="1701"/>
        <w:rPr>
          <w:rFonts w:eastAsia="Arial Unicode MS"/>
          <w:noProof/>
          <w:szCs w:val="24"/>
        </w:rPr>
      </w:pPr>
      <w:r>
        <w:rPr>
          <w:noProof/>
        </w:rPr>
        <w:t>4.2.9.5.</w:t>
      </w:r>
      <w:r>
        <w:rPr>
          <w:noProof/>
        </w:rPr>
        <w:tab/>
        <w:t>Emplacement de la sortie des gaz d’échappement: …</w:t>
      </w:r>
    </w:p>
    <w:p>
      <w:pPr>
        <w:spacing w:after="0"/>
        <w:ind w:left="1701" w:hanging="1701"/>
        <w:rPr>
          <w:rFonts w:eastAsia="Arial Unicode MS"/>
          <w:noProof/>
          <w:szCs w:val="24"/>
        </w:rPr>
      </w:pPr>
      <w:r>
        <w:rPr>
          <w:noProof/>
        </w:rPr>
        <w:t>4.2.9.7.1.</w:t>
      </w:r>
      <w:r>
        <w:rPr>
          <w:noProof/>
        </w:rPr>
        <w:tab/>
        <w:t>(Euro VI uniquement) Volume du système d’échappement acceptable: … dm</w:t>
      </w:r>
      <w:r>
        <w:rPr>
          <w:noProof/>
          <w:vertAlign w:val="superscript"/>
        </w:rPr>
        <w:t>3</w:t>
      </w:r>
      <w:r>
        <w:rPr>
          <w:noProof/>
        </w:rPr>
        <w:t xml:space="preserve"> </w:t>
      </w:r>
    </w:p>
    <w:p>
      <w:pPr>
        <w:spacing w:before="240"/>
        <w:ind w:left="1701" w:hanging="1701"/>
        <w:jc w:val="left"/>
        <w:rPr>
          <w:rFonts w:eastAsia="Arial Unicode MS"/>
          <w:bCs/>
          <w:noProof/>
          <w:szCs w:val="24"/>
        </w:rPr>
      </w:pPr>
      <w:r>
        <w:rPr>
          <w:noProof/>
        </w:rPr>
        <w:t>4.2.12.</w:t>
      </w:r>
      <w:r>
        <w:rPr>
          <w:noProof/>
        </w:rPr>
        <w:tab/>
      </w:r>
      <w:r>
        <w:rPr>
          <w:i/>
          <w:noProof/>
        </w:rPr>
        <w:t>Mesures prises contre la pollution de l’air</w:t>
      </w:r>
      <w:r>
        <w:rPr>
          <w:noProof/>
        </w:rPr>
        <w:t xml:space="preserve"> </w:t>
      </w:r>
    </w:p>
    <w:p>
      <w:pPr>
        <w:spacing w:after="0"/>
        <w:ind w:left="1701" w:hanging="1701"/>
        <w:rPr>
          <w:rFonts w:eastAsia="Arial Unicode MS"/>
          <w:noProof/>
          <w:szCs w:val="24"/>
        </w:rPr>
      </w:pPr>
      <w:r>
        <w:rPr>
          <w:noProof/>
        </w:rPr>
        <w:t>4.2.12.1.1.</w:t>
      </w:r>
      <w:r>
        <w:rPr>
          <w:noProof/>
        </w:rPr>
        <w:tab/>
        <w:t>(Euro VI uniquement) Dispositif pour recycler les gaz de carter: oui/non (</w:t>
      </w:r>
      <w:r>
        <w:rPr>
          <w:noProof/>
          <w:vertAlign w:val="superscript"/>
        </w:rPr>
        <w:t>2</w:t>
      </w:r>
      <w:r>
        <w:rPr>
          <w:noProof/>
        </w:rPr>
        <w:t>)</w:t>
      </w:r>
    </w:p>
    <w:p>
      <w:pPr>
        <w:ind w:left="1701"/>
        <w:rPr>
          <w:rFonts w:eastAsia="Arial Unicode MS"/>
          <w:noProof/>
          <w:szCs w:val="24"/>
        </w:rPr>
      </w:pPr>
      <w:r>
        <w:rPr>
          <w:noProof/>
        </w:rPr>
        <w:t>Si oui, description et dessins</w:t>
      </w:r>
    </w:p>
    <w:p>
      <w:pPr>
        <w:ind w:left="1701"/>
        <w:rPr>
          <w:rFonts w:eastAsia="Arial Unicode MS"/>
          <w:noProof/>
          <w:szCs w:val="24"/>
        </w:rPr>
      </w:pPr>
      <w:r>
        <w:rPr>
          <w:noProof/>
        </w:rPr>
        <w:t>Si non, conformité à l’annexe V du règlement (UE) n</w:t>
      </w:r>
      <w:r>
        <w:rPr>
          <w:noProof/>
          <w:vertAlign w:val="superscript"/>
        </w:rPr>
        <w:t>o</w:t>
      </w:r>
      <w:r>
        <w:rPr>
          <w:noProof/>
        </w:rPr>
        <w:t> 582/2011 requise</w:t>
      </w:r>
    </w:p>
    <w:p>
      <w:pPr>
        <w:spacing w:before="240" w:after="0"/>
        <w:ind w:left="1701" w:hanging="1701"/>
        <w:rPr>
          <w:rFonts w:eastAsia="Arial Unicode MS"/>
          <w:noProof/>
          <w:szCs w:val="24"/>
        </w:rPr>
      </w:pPr>
      <w:r>
        <w:rPr>
          <w:noProof/>
        </w:rPr>
        <w:t>4.2.12.2.</w:t>
      </w:r>
      <w:r>
        <w:rPr>
          <w:noProof/>
        </w:rPr>
        <w:tab/>
        <w:t>Dispositifs antipollution supplémentaires (s’ils existent et s’ils ne sont pas couverts par une autre rubrique)</w:t>
      </w:r>
    </w:p>
    <w:p>
      <w:pPr>
        <w:spacing w:after="0"/>
        <w:ind w:left="1701" w:hanging="1701"/>
        <w:rPr>
          <w:rFonts w:eastAsia="Arial Unicode MS"/>
          <w:noProof/>
          <w:szCs w:val="24"/>
        </w:rPr>
      </w:pPr>
      <w:r>
        <w:rPr>
          <w:noProof/>
        </w:rPr>
        <w:t>4.2.12.2.1.</w:t>
      </w:r>
      <w:r>
        <w:rPr>
          <w:noProof/>
        </w:rPr>
        <w:tab/>
        <w:t>Convertisseur catalytique: oui/non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Systèmes/méthodes de régénération des systèmes de post-traitement des gaz d’échappement, description: …</w:t>
      </w:r>
    </w:p>
    <w:p>
      <w:pPr>
        <w:spacing w:after="0"/>
        <w:ind w:left="1701" w:hanging="1701"/>
        <w:rPr>
          <w:rFonts w:eastAsia="Arial Unicode MS"/>
          <w:noProof/>
          <w:szCs w:val="24"/>
        </w:rPr>
      </w:pPr>
      <w:r>
        <w:rPr>
          <w:noProof/>
        </w:rPr>
        <w:t>4.2.12.2.1.11.6.</w:t>
      </w:r>
      <w:r>
        <w:rPr>
          <w:noProof/>
        </w:rPr>
        <w:tab/>
        <w:t>Réactifs consommables: oui/non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Type et concentration du réactif nécessaire à l’action catalytique: …</w:t>
      </w:r>
    </w:p>
    <w:p>
      <w:pPr>
        <w:spacing w:before="240" w:after="0"/>
        <w:ind w:left="1701" w:hanging="1701"/>
        <w:rPr>
          <w:rFonts w:eastAsia="Arial Unicode MS"/>
          <w:noProof/>
          <w:szCs w:val="24"/>
        </w:rPr>
      </w:pPr>
      <w:r>
        <w:rPr>
          <w:noProof/>
        </w:rPr>
        <w:t>4.2.12.2.2.</w:t>
      </w:r>
      <w:r>
        <w:rPr>
          <w:noProof/>
        </w:rPr>
        <w:tab/>
        <w:t>Capteur(s) d’oxygène: oui/non (</w:t>
      </w:r>
      <w:r>
        <w:rPr>
          <w:noProof/>
          <w:vertAlign w:val="superscript"/>
        </w:rPr>
        <w:t>1</w:t>
      </w:r>
      <w:r>
        <w:rPr>
          <w:noProof/>
        </w:rPr>
        <w:t>)</w:t>
      </w:r>
    </w:p>
    <w:p>
      <w:pPr>
        <w:spacing w:before="240" w:after="0"/>
        <w:ind w:left="1701" w:hanging="1701"/>
        <w:rPr>
          <w:rFonts w:eastAsia="Arial Unicode MS"/>
          <w:noProof/>
          <w:szCs w:val="24"/>
        </w:rPr>
      </w:pPr>
      <w:r>
        <w:rPr>
          <w:noProof/>
        </w:rPr>
        <w:t>4.2.12.2.3.</w:t>
      </w:r>
      <w:r>
        <w:rPr>
          <w:noProof/>
        </w:rPr>
        <w:tab/>
        <w:t>Injection d’air: oui/non (</w:t>
      </w:r>
      <w:r>
        <w:rPr>
          <w:noProof/>
          <w:vertAlign w:val="superscript"/>
        </w:rPr>
        <w:t>1</w:t>
      </w:r>
      <w:r>
        <w:rPr>
          <w:noProof/>
        </w:rPr>
        <w:t>)</w:t>
      </w:r>
    </w:p>
    <w:p>
      <w:pPr>
        <w:spacing w:before="240" w:after="0"/>
        <w:ind w:left="1701" w:hanging="1701"/>
        <w:rPr>
          <w:rFonts w:eastAsia="Arial Unicode MS"/>
          <w:noProof/>
          <w:szCs w:val="24"/>
        </w:rPr>
      </w:pPr>
      <w:r>
        <w:rPr>
          <w:noProof/>
        </w:rPr>
        <w:lastRenderedPageBreak/>
        <w:t>4.2.12.2.4.</w:t>
      </w:r>
      <w:r>
        <w:rPr>
          <w:noProof/>
        </w:rPr>
        <w:tab/>
        <w:t>Recirculation des gaz d’échappement: oui/non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Système de contrôle des émissions par évaporation: oui/non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Piège à particules (PT): oui/non (</w:t>
      </w:r>
      <w:r>
        <w:rPr>
          <w:noProof/>
          <w:vertAlign w:val="superscript"/>
        </w:rPr>
        <w:t>1</w:t>
      </w:r>
      <w:r>
        <w:rPr>
          <w:noProof/>
        </w:rPr>
        <w:t>)</w:t>
      </w:r>
    </w:p>
    <w:p>
      <w:pPr>
        <w:spacing w:after="0"/>
        <w:ind w:left="1701" w:hanging="1701"/>
        <w:rPr>
          <w:rFonts w:eastAsia="Arial Unicode MS"/>
          <w:noProof/>
          <w:szCs w:val="24"/>
        </w:rPr>
      </w:pPr>
      <w:r>
        <w:rPr>
          <w:noProof/>
        </w:rPr>
        <w:t>4.2.12.2.6.9.</w:t>
      </w:r>
      <w:r>
        <w:rPr>
          <w:noProof/>
        </w:rPr>
        <w:tab/>
        <w:t>Autres systèmes: oui/non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Description et fonctionnement</w:t>
      </w:r>
    </w:p>
    <w:p>
      <w:pPr>
        <w:spacing w:before="240" w:after="0"/>
        <w:ind w:left="1701" w:hanging="1701"/>
        <w:rPr>
          <w:rFonts w:eastAsia="Arial Unicode MS"/>
          <w:noProof/>
          <w:szCs w:val="24"/>
        </w:rPr>
      </w:pPr>
      <w:r>
        <w:rPr>
          <w:noProof/>
        </w:rPr>
        <w:t>4.2.12.2.7.</w:t>
      </w:r>
      <w:r>
        <w:rPr>
          <w:noProof/>
        </w:rPr>
        <w:tab/>
        <w:t>Système de diagnostic embarqué (OBD): oui/non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(Euro VI uniquement) Nombre de familles de moteurs OBD au sein de la famille de moteurs</w:t>
      </w:r>
    </w:p>
    <w:p>
      <w:pPr>
        <w:spacing w:after="0"/>
        <w:ind w:left="1701" w:hanging="1701"/>
        <w:rPr>
          <w:rFonts w:eastAsia="Arial Unicode MS"/>
          <w:noProof/>
          <w:szCs w:val="24"/>
        </w:rPr>
      </w:pPr>
      <w:r>
        <w:rPr>
          <w:noProof/>
        </w:rPr>
        <w:t>4.2.12.2.7.0.2.</w:t>
      </w:r>
      <w:r>
        <w:rPr>
          <w:noProof/>
        </w:rPr>
        <w:tab/>
        <w:t>(Euro VI uniquement) Liste des familles de moteurs OBD (le cas échéant)</w:t>
      </w:r>
    </w:p>
    <w:p>
      <w:pPr>
        <w:spacing w:after="0"/>
        <w:ind w:left="1701" w:hanging="1701"/>
        <w:rPr>
          <w:rFonts w:eastAsia="Arial Unicode MS"/>
          <w:noProof/>
          <w:szCs w:val="24"/>
        </w:rPr>
      </w:pPr>
      <w:r>
        <w:rPr>
          <w:noProof/>
        </w:rPr>
        <w:t>4.2.12.2.7.0.3.</w:t>
      </w:r>
      <w:r>
        <w:rPr>
          <w:noProof/>
        </w:rPr>
        <w:tab/>
        <w:t>(Euro VI uniquement) Numéro de la famille de moteurs OBD à laquelle le moteur parent / le moteur membre appartient:</w:t>
      </w:r>
    </w:p>
    <w:p>
      <w:pPr>
        <w:spacing w:after="0"/>
        <w:ind w:left="1701" w:hanging="1701"/>
        <w:rPr>
          <w:rFonts w:eastAsia="Arial Unicode MS"/>
          <w:noProof/>
          <w:szCs w:val="24"/>
        </w:rPr>
      </w:pPr>
      <w:r>
        <w:rPr>
          <w:noProof/>
        </w:rPr>
        <w:t>4.2.12.2.7.0.4.</w:t>
      </w:r>
      <w:r>
        <w:rPr>
          <w:noProof/>
        </w:rPr>
        <w:tab/>
        <w:t>(Euro VI uniquement) Références du constructeur de la documentation OBD requise par l’article 5, paragraphe 4, point c), et l’article 9, paragraphe 4, du règlement (UE) n</w:t>
      </w:r>
      <w:r>
        <w:rPr>
          <w:noProof/>
          <w:vertAlign w:val="superscript"/>
        </w:rPr>
        <w:t>o</w:t>
      </w:r>
      <w:r>
        <w:rPr>
          <w:noProof/>
        </w:rPr>
        <w:t> 582/2011 et spécifiée dans l’annexe X de ce règlement pour les besoins de la réception du système OBD</w:t>
      </w:r>
    </w:p>
    <w:p>
      <w:pPr>
        <w:spacing w:after="0"/>
        <w:ind w:left="1701" w:hanging="1701"/>
        <w:rPr>
          <w:rFonts w:eastAsia="Arial Unicode MS"/>
          <w:noProof/>
          <w:szCs w:val="24"/>
        </w:rPr>
      </w:pPr>
      <w:r>
        <w:rPr>
          <w:noProof/>
        </w:rPr>
        <w:t>4.2.12.2.7.0.5.</w:t>
      </w:r>
      <w:r>
        <w:rPr>
          <w:noProof/>
        </w:rPr>
        <w:tab/>
        <w:t>(Euro VI uniquement) Le cas échéant, référence du constructeur de la documentation pour le montage sur un véhicule d’un moteur équipé d’un système OBD</w:t>
      </w:r>
    </w:p>
    <w:p>
      <w:pPr>
        <w:spacing w:after="0"/>
        <w:ind w:left="1701" w:hanging="1701"/>
        <w:rPr>
          <w:rFonts w:eastAsia="Arial Unicode MS"/>
          <w:noProof/>
          <w:szCs w:val="24"/>
        </w:rPr>
      </w:pPr>
      <w:r>
        <w:rPr>
          <w:noProof/>
        </w:rPr>
        <w:t>4.2.12.2.7.0.6.</w:t>
      </w:r>
      <w:r>
        <w:rPr>
          <w:noProof/>
        </w:rPr>
        <w:tab/>
        <w:t>(Euro VI uniquement) Le cas échéant, référence du constructeur du dossier de documentation relatif au montage sur le véhicule du système OBD d’un moteur réceptionné</w:t>
      </w:r>
    </w:p>
    <w:p>
      <w:pPr>
        <w:spacing w:after="0"/>
        <w:ind w:left="1701" w:hanging="1701"/>
        <w:rPr>
          <w:rFonts w:eastAsia="Arial Unicode MS"/>
          <w:noProof/>
          <w:szCs w:val="24"/>
        </w:rPr>
      </w:pPr>
      <w:r>
        <w:rPr>
          <w:noProof/>
        </w:rPr>
        <w:t>4.2.12.2.7.6.5.</w:t>
      </w:r>
      <w:r>
        <w:rPr>
          <w:noProof/>
        </w:rPr>
        <w:tab/>
        <w:t>(Euro VI uniquement) Norme du protocole de communication OBD: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(EuroVI uniquement) Référence du constructeur des informations relatives au système OBD requises par l’article 5, paragraphe 4, point d), et l’article 9, paragraphe 4, du règlement (UE) n</w:t>
      </w:r>
      <w:r>
        <w:rPr>
          <w:noProof/>
          <w:vertAlign w:val="superscript"/>
        </w:rPr>
        <w:t>o </w:t>
      </w:r>
      <w:r>
        <w:rPr>
          <w:noProof/>
        </w:rPr>
        <w:t>582/2011 pour satisfaire aux dispositions concernant l’accès aux informations du système OBD des véhicules et aux informations sur la réparation et l’entretien des véhicules, ou</w:t>
      </w:r>
    </w:p>
    <w:p>
      <w:pPr>
        <w:spacing w:after="0"/>
        <w:ind w:left="1701" w:hanging="1701"/>
        <w:rPr>
          <w:rFonts w:eastAsia="Arial Unicode MS"/>
          <w:noProof/>
          <w:szCs w:val="24"/>
        </w:rPr>
      </w:pPr>
      <w:r>
        <w:rPr>
          <w:noProof/>
        </w:rPr>
        <w:t>4.2.12.2.7.7.1.</w:t>
      </w:r>
      <w:r>
        <w:rPr>
          <w:noProof/>
        </w:rPr>
        <w:tab/>
        <w:t>Au lieu de la référence du constructeur visée au point 4.2.12.2.7.7, référence du document joint au document d’information indiqué à l’appendice 4 de l’annexe III du règlement (UE) n</w:t>
      </w:r>
      <w:r>
        <w:rPr>
          <w:noProof/>
          <w:vertAlign w:val="superscript"/>
        </w:rPr>
        <w:t>o</w:t>
      </w:r>
      <w:r>
        <w:rPr>
          <w:noProof/>
        </w:rPr>
        <w:t> 582/2011 qui contient le tableau suivant, une fois complété conformément à l’exemple donné:</w:t>
      </w:r>
    </w:p>
    <w:p>
      <w:pPr>
        <w:spacing w:after="0"/>
        <w:ind w:left="1701"/>
        <w:rPr>
          <w:rFonts w:eastAsia="Arial Unicode MS"/>
          <w:noProof/>
          <w:szCs w:val="24"/>
        </w:rPr>
      </w:pPr>
      <w:r>
        <w:rPr>
          <w:noProof/>
        </w:rPr>
        <w:t>Composant – Code d’anomalie – Stratégie de surveillance – Critères de détection des anomalies – Critères d’activation MI – Paramètres secondaires – Préconditionnement – Essai de démonstration</w:t>
      </w:r>
    </w:p>
    <w:p>
      <w:pPr>
        <w:spacing w:after="0"/>
        <w:ind w:left="1701"/>
        <w:rPr>
          <w:rFonts w:eastAsia="Arial Unicode MS"/>
          <w:noProof/>
          <w:szCs w:val="24"/>
        </w:rPr>
      </w:pPr>
      <w:r>
        <w:rPr>
          <w:noProof/>
        </w:rPr>
        <w:t>Catalyseur – P0420 – Signaux des capteurs d’oxygène 1 et 2 – Différence entre les signaux des capteurs 1 et 2 – 3</w:t>
      </w:r>
      <w:r>
        <w:rPr>
          <w:noProof/>
          <w:vertAlign w:val="superscript"/>
        </w:rPr>
        <w:t>e</w:t>
      </w:r>
      <w:r>
        <w:rPr>
          <w:noProof/>
        </w:rPr>
        <w:t xml:space="preserve"> cycle – Régime du moteur, charge du moteur, mode A/F, température du catalyseur – Deux cycles de type 1 – Type 1</w:t>
      </w:r>
    </w:p>
    <w:p>
      <w:pPr>
        <w:spacing w:after="0"/>
        <w:ind w:left="1701" w:hanging="1701"/>
        <w:rPr>
          <w:rFonts w:eastAsia="Arial Unicode MS"/>
          <w:noProof/>
          <w:szCs w:val="24"/>
        </w:rPr>
      </w:pPr>
      <w:r>
        <w:rPr>
          <w:noProof/>
        </w:rPr>
        <w:t>4.2.12.2.7.8.</w:t>
      </w:r>
      <w:r>
        <w:rPr>
          <w:noProof/>
        </w:rPr>
        <w:tab/>
        <w:t>(EURO VI uniquement) Composants OBD présents sur le véhicule</w:t>
      </w:r>
    </w:p>
    <w:p>
      <w:pPr>
        <w:spacing w:after="0"/>
        <w:ind w:left="1701" w:hanging="1701"/>
        <w:rPr>
          <w:rFonts w:eastAsia="Arial Unicode MS"/>
          <w:noProof/>
          <w:szCs w:val="24"/>
        </w:rPr>
      </w:pPr>
      <w:r>
        <w:rPr>
          <w:noProof/>
        </w:rPr>
        <w:lastRenderedPageBreak/>
        <w:t>4.2.12.2.7.8.1.</w:t>
      </w:r>
      <w:r>
        <w:rPr>
          <w:noProof/>
        </w:rPr>
        <w:tab/>
        <w:t>Liste des composants OBD présents sur le véhicule</w:t>
      </w:r>
    </w:p>
    <w:p>
      <w:pPr>
        <w:spacing w:after="0"/>
        <w:ind w:left="1701" w:hanging="1701"/>
        <w:rPr>
          <w:rFonts w:eastAsia="Arial Unicode MS"/>
          <w:noProof/>
          <w:szCs w:val="24"/>
        </w:rPr>
      </w:pPr>
      <w:r>
        <w:rPr>
          <w:noProof/>
        </w:rPr>
        <w:t>4.2.12.2.7.8.2.</w:t>
      </w:r>
      <w:r>
        <w:rPr>
          <w:noProof/>
        </w:rPr>
        <w:tab/>
        <w:t>Description écrite et/ou dessin de l’indicateur de défaut de fonctionnement MI (</w:t>
      </w:r>
      <w:r>
        <w:rPr>
          <w:noProof/>
          <w:vertAlign w:val="superscript"/>
        </w:rPr>
        <w:t>10</w:t>
      </w:r>
      <w:r>
        <w:rPr>
          <w:noProof/>
        </w:rPr>
        <w:t>)</w:t>
      </w:r>
    </w:p>
    <w:p>
      <w:pPr>
        <w:spacing w:after="0"/>
        <w:ind w:left="1701" w:hanging="1701"/>
        <w:rPr>
          <w:rFonts w:eastAsia="Arial Unicode MS"/>
          <w:noProof/>
          <w:szCs w:val="24"/>
        </w:rPr>
      </w:pPr>
      <w:r>
        <w:rPr>
          <w:noProof/>
        </w:rPr>
        <w:t>4.2.12.2.7.8.3.</w:t>
      </w:r>
      <w:r>
        <w:rPr>
          <w:noProof/>
        </w:rPr>
        <w:tab/>
        <w:t>Description écrite et/ou dessin de l’interface de communication OBD hors véhicule (</w:t>
      </w:r>
      <w:r>
        <w:rPr>
          <w:noProof/>
          <w:vertAlign w:val="superscript"/>
        </w:rPr>
        <w:t>10</w:t>
      </w:r>
      <w:r>
        <w:rPr>
          <w:noProof/>
        </w:rPr>
        <w:t>)</w:t>
      </w:r>
    </w:p>
    <w:p>
      <w:pPr>
        <w:spacing w:before="240" w:after="0"/>
        <w:ind w:left="1701" w:hanging="1701"/>
        <w:rPr>
          <w:rFonts w:eastAsia="Arial Unicode MS"/>
          <w:noProof/>
          <w:szCs w:val="24"/>
        </w:rPr>
      </w:pPr>
      <w:r>
        <w:rPr>
          <w:noProof/>
        </w:rPr>
        <w:t>4.2.12.2.8.</w:t>
      </w:r>
      <w:r>
        <w:rPr>
          <w:noProof/>
        </w:rPr>
        <w:tab/>
        <w:t>Autres systèmes (description et fonctionnement): …</w:t>
      </w:r>
    </w:p>
    <w:p>
      <w:pPr>
        <w:spacing w:after="0"/>
        <w:ind w:left="1701" w:hanging="1701"/>
        <w:rPr>
          <w:rFonts w:eastAsia="Arial Unicode MS"/>
          <w:noProof/>
          <w:szCs w:val="24"/>
        </w:rPr>
      </w:pPr>
      <w:r>
        <w:rPr>
          <w:noProof/>
        </w:rPr>
        <w:t>4.2.12.2.8.1.</w:t>
      </w:r>
      <w:r>
        <w:rPr>
          <w:noProof/>
        </w:rPr>
        <w:tab/>
        <w:t>(Euro VI uniquement) Systèmes permettant d’assurer le fonctionnement correct des mesures de contrôle des NO</w:t>
      </w:r>
      <w:r>
        <w:rPr>
          <w:noProof/>
          <w:vertAlign w:val="subscript"/>
        </w:rPr>
        <w:t>x</w:t>
      </w:r>
    </w:p>
    <w:p>
      <w:pPr>
        <w:spacing w:after="0"/>
        <w:ind w:left="1701" w:hanging="1701"/>
        <w:rPr>
          <w:rFonts w:eastAsia="Arial Unicode MS"/>
          <w:noProof/>
          <w:szCs w:val="24"/>
        </w:rPr>
      </w:pPr>
      <w:r>
        <w:rPr>
          <w:noProof/>
        </w:rPr>
        <w:t>4.2.12.2.8.2.</w:t>
      </w:r>
      <w:r>
        <w:rPr>
          <w:noProof/>
        </w:rPr>
        <w:tab/>
        <w:t>Système d’incitation du conducteur</w:t>
      </w:r>
    </w:p>
    <w:p>
      <w:pPr>
        <w:spacing w:after="0"/>
        <w:ind w:left="1701" w:hanging="1701"/>
        <w:rPr>
          <w:rFonts w:eastAsia="Arial Unicode MS"/>
          <w:noProof/>
          <w:szCs w:val="24"/>
        </w:rPr>
      </w:pPr>
      <w:r>
        <w:rPr>
          <w:noProof/>
        </w:rPr>
        <w:t>4.2.12.2.8.2.1.</w:t>
      </w:r>
      <w:r>
        <w:rPr>
          <w:noProof/>
        </w:rPr>
        <w:tab/>
        <w:t>(Euro VI uniquement) Moteur avec désactivation permanente de l’incitation du conducteur, destiné à être utilisé par les services de secours ou sur les véhicules spécifiés à l’article 2, paragraphe 3, point b): oui/non (</w:t>
      </w:r>
      <w:r>
        <w:rPr>
          <w:noProof/>
          <w:vertAlign w:val="superscript"/>
        </w:rPr>
        <w:t>1</w:t>
      </w:r>
      <w:r>
        <w:rPr>
          <w:noProof/>
        </w:rPr>
        <w:t>)</w:t>
      </w:r>
    </w:p>
    <w:p>
      <w:pPr>
        <w:spacing w:after="0"/>
        <w:ind w:left="1701" w:hanging="1701"/>
        <w:rPr>
          <w:rFonts w:eastAsia="Arial Unicode MS"/>
          <w:noProof/>
          <w:szCs w:val="24"/>
        </w:rPr>
      </w:pPr>
      <w:r>
        <w:rPr>
          <w:noProof/>
        </w:rPr>
        <w:t>4.2.12.2.8.3.</w:t>
      </w:r>
      <w:r>
        <w:rPr>
          <w:noProof/>
        </w:rPr>
        <w:tab/>
        <w:t>(Euro VI uniquement) Nombre de familles de moteurs OBD au sein de la famille de moteurs considérée aux fins d’assurer le fonctionnement correct des mesures de contrôle des NO</w:t>
      </w:r>
      <w:r>
        <w:rPr>
          <w:noProof/>
          <w:vertAlign w:val="subscript"/>
        </w:rPr>
        <w:t>x</w:t>
      </w:r>
    </w:p>
    <w:p>
      <w:pPr>
        <w:spacing w:after="0"/>
        <w:ind w:left="1701" w:hanging="1701"/>
        <w:rPr>
          <w:rFonts w:eastAsia="Arial Unicode MS"/>
          <w:noProof/>
          <w:szCs w:val="24"/>
        </w:rPr>
      </w:pPr>
      <w:r>
        <w:rPr>
          <w:noProof/>
        </w:rPr>
        <w:t>4.2.12.2.8.4.</w:t>
      </w:r>
      <w:r>
        <w:rPr>
          <w:noProof/>
        </w:rPr>
        <w:tab/>
        <w:t>(Euro VI uniquement) Liste des familles de moteurs OBD (le cas échéant)</w:t>
      </w:r>
    </w:p>
    <w:p>
      <w:pPr>
        <w:spacing w:after="0"/>
        <w:ind w:left="1701" w:hanging="1701"/>
        <w:rPr>
          <w:rFonts w:eastAsia="Arial Unicode MS"/>
          <w:noProof/>
          <w:szCs w:val="24"/>
        </w:rPr>
      </w:pPr>
      <w:r>
        <w:rPr>
          <w:noProof/>
        </w:rPr>
        <w:t>4.2.12.2.8.5.</w:t>
      </w:r>
      <w:r>
        <w:rPr>
          <w:noProof/>
        </w:rPr>
        <w:tab/>
        <w:t>(Euro VI uniquement) Numéro de la famille de moteurs OBD à laquelle le moteur parent / le moteur membre appartient</w:t>
      </w:r>
    </w:p>
    <w:p>
      <w:pPr>
        <w:spacing w:after="0"/>
        <w:ind w:left="1701" w:hanging="1701"/>
        <w:rPr>
          <w:rFonts w:eastAsia="Arial Unicode MS"/>
          <w:noProof/>
          <w:szCs w:val="24"/>
        </w:rPr>
      </w:pPr>
      <w:r>
        <w:rPr>
          <w:noProof/>
        </w:rPr>
        <w:t>4.2.12.2.8.6.</w:t>
      </w:r>
      <w:r>
        <w:rPr>
          <w:noProof/>
        </w:rPr>
        <w:tab/>
        <w:t>(Euro VI uniquement) Concentration la plus faible de l’ingrédient actif présent dans le réactif qui n’active pas le système d’avertissement (CD</w:t>
      </w:r>
      <w:r>
        <w:rPr>
          <w:noProof/>
          <w:vertAlign w:val="subscript"/>
        </w:rPr>
        <w:t>min</w:t>
      </w:r>
      <w:r>
        <w:rPr>
          <w:noProof/>
        </w:rPr>
        <w:t>): (% vol.)</w:t>
      </w:r>
    </w:p>
    <w:p>
      <w:pPr>
        <w:spacing w:after="0"/>
        <w:ind w:left="1701" w:hanging="1701"/>
        <w:rPr>
          <w:rFonts w:eastAsia="Arial Unicode MS"/>
          <w:noProof/>
          <w:szCs w:val="24"/>
        </w:rPr>
      </w:pPr>
      <w:r>
        <w:rPr>
          <w:noProof/>
        </w:rPr>
        <w:t>4.2.12.2.8.7.</w:t>
      </w:r>
      <w:r>
        <w:rPr>
          <w:noProof/>
        </w:rPr>
        <w:tab/>
        <w:t>(Euro VI uniquement) Le cas échéant, référence du constructeur de la documentation pour le montage sur un véhicule des systèmes destinés à assurer le fonctionnement correct des mesures de contrôle des NO</w:t>
      </w:r>
      <w:r>
        <w:rPr>
          <w:noProof/>
          <w:vertAlign w:val="subscript"/>
        </w:rPr>
        <w:t>x</w:t>
      </w:r>
    </w:p>
    <w:p>
      <w:pPr>
        <w:spacing w:after="0"/>
        <w:ind w:left="1701" w:hanging="1701"/>
        <w:rPr>
          <w:rFonts w:eastAsia="Arial Unicode MS"/>
          <w:noProof/>
          <w:szCs w:val="24"/>
        </w:rPr>
      </w:pPr>
      <w:r>
        <w:rPr>
          <w:noProof/>
        </w:rPr>
        <w:t>4.2.12.2.8.8.</w:t>
      </w:r>
      <w:r>
        <w:rPr>
          <w:noProof/>
        </w:rPr>
        <w:tab/>
        <w:t>Composants, présents sur le véhicule, des systèmes assurant le fonctionnement correct des mesures de contrôle des NO</w:t>
      </w:r>
      <w:r>
        <w:rPr>
          <w:noProof/>
          <w:vertAlign w:val="subscript"/>
        </w:rPr>
        <w:t>x</w:t>
      </w:r>
    </w:p>
    <w:p>
      <w:pPr>
        <w:spacing w:after="0"/>
        <w:ind w:left="1701" w:hanging="1701"/>
        <w:rPr>
          <w:rFonts w:eastAsia="Arial Unicode MS"/>
          <w:noProof/>
          <w:szCs w:val="24"/>
        </w:rPr>
      </w:pPr>
      <w:r>
        <w:rPr>
          <w:noProof/>
        </w:rPr>
        <w:t>4.2.12.2.8.8.1.</w:t>
      </w:r>
      <w:r>
        <w:rPr>
          <w:noProof/>
        </w:rPr>
        <w:tab/>
        <w:t>Activation du mode «marche lente»:</w:t>
      </w:r>
    </w:p>
    <w:p>
      <w:pPr>
        <w:ind w:left="1701"/>
        <w:rPr>
          <w:rFonts w:eastAsia="Arial Unicode MS"/>
          <w:noProof/>
          <w:szCs w:val="24"/>
        </w:rPr>
      </w:pPr>
      <w:r>
        <w:rPr>
          <w:noProof/>
        </w:rPr>
        <w:t>«neutralisation après redémarrage» / «neutralisation après ravitaillement en carburant» / «neutralisation après stationnement»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Le cas échéant, référence du constructeur du dossier de documentation relatif au montage sur le véhicule du système permettant d’assurer le fonctionnement correct des mesures de contrôle des NO</w:t>
      </w:r>
      <w:r>
        <w:rPr>
          <w:noProof/>
          <w:vertAlign w:val="subscript"/>
        </w:rPr>
        <w:t>x</w:t>
      </w:r>
      <w:r>
        <w:rPr>
          <w:noProof/>
        </w:rPr>
        <w:t xml:space="preserve"> d’un moteur réceptionné</w:t>
      </w:r>
    </w:p>
    <w:p>
      <w:pPr>
        <w:spacing w:after="0"/>
        <w:ind w:left="1701" w:hanging="1701"/>
        <w:rPr>
          <w:rFonts w:eastAsia="Arial Unicode MS"/>
          <w:noProof/>
          <w:szCs w:val="24"/>
        </w:rPr>
      </w:pPr>
      <w:r>
        <w:rPr>
          <w:noProof/>
        </w:rPr>
        <w:t>4.2.12.2.8.8.3.</w:t>
      </w:r>
      <w:r>
        <w:rPr>
          <w:noProof/>
        </w:rPr>
        <w:tab/>
        <w:t>Description écrite et/ou dessin du signal d’avertissement (</w:t>
      </w:r>
      <w:r>
        <w:rPr>
          <w:noProof/>
          <w:vertAlign w:val="superscript"/>
        </w:rPr>
        <w:t>6</w:t>
      </w:r>
      <w:r>
        <w:rPr>
          <w:noProof/>
        </w:rPr>
        <w:t>)</w:t>
      </w:r>
    </w:p>
    <w:p>
      <w:pPr>
        <w:spacing w:before="240" w:after="0"/>
        <w:ind w:left="1701" w:hanging="1701"/>
        <w:rPr>
          <w:rFonts w:eastAsia="Arial Unicode MS"/>
          <w:noProof/>
          <w:szCs w:val="24"/>
        </w:rPr>
      </w:pPr>
      <w:r>
        <w:rPr>
          <w:noProof/>
        </w:rPr>
        <w:t>4.2.12.2.9.</w:t>
      </w:r>
      <w:r>
        <w:rPr>
          <w:noProof/>
        </w:rPr>
        <w:tab/>
        <w:t>Limiteur de couple: oui/non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Emplacement du symbole du coefficient d’absorption (moteurs à allumage par compression uniquement): …</w:t>
      </w:r>
    </w:p>
    <w:p>
      <w:pPr>
        <w:spacing w:before="240" w:after="0"/>
        <w:ind w:left="1701" w:hanging="1701"/>
        <w:rPr>
          <w:rFonts w:eastAsia="Arial Unicode MS"/>
          <w:noProof/>
          <w:szCs w:val="24"/>
        </w:rPr>
      </w:pPr>
      <w:r>
        <w:rPr>
          <w:noProof/>
        </w:rPr>
        <w:t>4.2.15.</w:t>
      </w:r>
      <w:r>
        <w:rPr>
          <w:noProof/>
        </w:rPr>
        <w:tab/>
        <w:t>Système d’alimentation au GPL: oui/non (</w:t>
      </w:r>
      <w:r>
        <w:rPr>
          <w:noProof/>
          <w:vertAlign w:val="superscript"/>
        </w:rPr>
        <w:t>1</w:t>
      </w:r>
      <w:r>
        <w:rPr>
          <w:noProof/>
        </w:rPr>
        <w:t>)</w:t>
      </w:r>
    </w:p>
    <w:p>
      <w:pPr>
        <w:spacing w:before="240" w:after="0"/>
        <w:ind w:left="1701" w:hanging="1701"/>
        <w:rPr>
          <w:rFonts w:eastAsia="Arial Unicode MS"/>
          <w:noProof/>
          <w:szCs w:val="24"/>
        </w:rPr>
      </w:pPr>
      <w:r>
        <w:rPr>
          <w:noProof/>
        </w:rPr>
        <w:lastRenderedPageBreak/>
        <w:t>4.2.16.</w:t>
      </w:r>
      <w:r>
        <w:rPr>
          <w:noProof/>
        </w:rPr>
        <w:tab/>
        <w:t>Système d’alimentation au gaz naturel: oui/non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 xml:space="preserve">(Euro VI uniquement) Auto-adaptation? Oui/Non </w:t>
      </w:r>
      <w:r>
        <w:rPr>
          <w:noProof/>
          <w:vertAlign w:val="superscript"/>
        </w:rPr>
        <w:t>(1)</w:t>
      </w:r>
      <w:r>
        <w:rPr>
          <w:noProof/>
        </w:rPr>
        <w:t xml:space="preserve"> </w:t>
      </w:r>
    </w:p>
    <w:p>
      <w:pPr>
        <w:spacing w:after="0"/>
        <w:ind w:left="1701" w:hanging="1701"/>
        <w:rPr>
          <w:rFonts w:eastAsia="Arial Unicode MS"/>
          <w:noProof/>
          <w:szCs w:val="24"/>
        </w:rPr>
      </w:pPr>
      <w:r>
        <w:rPr>
          <w:noProof/>
        </w:rPr>
        <w:t>4.2.17.8.1.0.2.</w:t>
      </w:r>
      <w:r>
        <w:rPr>
          <w:noProof/>
        </w:rPr>
        <w:tab/>
        <w:t>(EuroVI uniquement) Étalonnage pour une composition de gaz spécifique GN-H/GN-L/GN-HL (</w:t>
      </w:r>
      <w:r>
        <w:rPr>
          <w:noProof/>
          <w:vertAlign w:val="superscript"/>
        </w:rPr>
        <w:t>1</w:t>
      </w:r>
      <w:r>
        <w:rPr>
          <w:noProof/>
        </w:rPr>
        <w:t>)</w:t>
      </w:r>
    </w:p>
    <w:p>
      <w:pPr>
        <w:ind w:left="1701"/>
        <w:jc w:val="left"/>
        <w:rPr>
          <w:rFonts w:eastAsia="Arial Unicode MS"/>
          <w:noProof/>
          <w:szCs w:val="24"/>
        </w:rPr>
      </w:pPr>
      <w:r>
        <w:rPr>
          <w:noProof/>
        </w:rPr>
        <w:t>Transformation pour une composition de gaz spécifique GN-H</w:t>
      </w:r>
      <w:r>
        <w:rPr>
          <w:noProof/>
          <w:vertAlign w:val="subscript"/>
        </w:rPr>
        <w:t>t</w:t>
      </w:r>
      <w:r>
        <w:rPr>
          <w:noProof/>
        </w:rPr>
        <w:t>/GN-L</w:t>
      </w:r>
      <w:r>
        <w:rPr>
          <w:noProof/>
          <w:vertAlign w:val="subscript"/>
        </w:rPr>
        <w:t>t</w:t>
      </w:r>
      <w:r>
        <w:rPr>
          <w:noProof/>
        </w:rPr>
        <w:t>/GN-HL</w:t>
      </w:r>
      <w:r>
        <w:rPr>
          <w:noProof/>
          <w:vertAlign w:val="subscript"/>
        </w:rPr>
        <w:t>t</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4.3.</w:t>
      </w:r>
      <w:r>
        <w:rPr>
          <w:noProof/>
        </w:rPr>
        <w:tab/>
      </w:r>
      <w:r>
        <w:rPr>
          <w:b/>
          <w:noProof/>
        </w:rPr>
        <w:t xml:space="preserve">Moteur électrique </w:t>
      </w:r>
    </w:p>
    <w:p>
      <w:pPr>
        <w:spacing w:before="240" w:after="0"/>
        <w:ind w:left="1701" w:hanging="1701"/>
        <w:rPr>
          <w:rFonts w:eastAsia="Arial Unicode MS"/>
          <w:noProof/>
          <w:szCs w:val="24"/>
        </w:rPr>
      </w:pPr>
      <w:r>
        <w:rPr>
          <w:noProof/>
        </w:rPr>
        <w:t>4.3.1.</w:t>
      </w:r>
      <w:r>
        <w:rPr>
          <w:noProof/>
        </w:rPr>
        <w:tab/>
        <w:t>Type (bobinage, excitation): …</w:t>
      </w:r>
    </w:p>
    <w:p>
      <w:pPr>
        <w:spacing w:after="0"/>
        <w:ind w:left="1701" w:hanging="1701"/>
        <w:rPr>
          <w:rFonts w:eastAsia="Arial Unicode MS"/>
          <w:noProof/>
          <w:szCs w:val="24"/>
        </w:rPr>
      </w:pPr>
      <w:r>
        <w:rPr>
          <w:noProof/>
        </w:rPr>
        <w:t>4.3.1.1.</w:t>
      </w:r>
      <w:r>
        <w:rPr>
          <w:noProof/>
        </w:rPr>
        <w:tab/>
        <w:t>Puissance horaire maximale: …… kW</w:t>
      </w:r>
    </w:p>
    <w:p>
      <w:pPr>
        <w:spacing w:after="0"/>
        <w:ind w:left="1701" w:hanging="1701"/>
        <w:rPr>
          <w:rFonts w:eastAsia="Arial Unicode MS"/>
          <w:noProof/>
          <w:szCs w:val="24"/>
        </w:rPr>
      </w:pPr>
      <w:r>
        <w:rPr>
          <w:noProof/>
        </w:rPr>
        <w:t>4.3.1.1.1.</w:t>
      </w:r>
      <w:r>
        <w:rPr>
          <w:noProof/>
        </w:rPr>
        <w:tab/>
        <w:t>Puissance nette maximale(</w:t>
      </w:r>
      <w:r>
        <w:rPr>
          <w:noProof/>
          <w:vertAlign w:val="superscript"/>
        </w:rPr>
        <w:t>n</w:t>
      </w:r>
      <w:r>
        <w:rPr>
          <w:noProof/>
        </w:rPr>
        <w:t>) ... kW</w:t>
      </w:r>
    </w:p>
    <w:p>
      <w:pPr>
        <w:spacing w:after="0"/>
        <w:ind w:left="1701"/>
        <w:rPr>
          <w:rFonts w:eastAsia="Arial Unicode MS"/>
          <w:noProof/>
          <w:szCs w:val="24"/>
        </w:rPr>
      </w:pPr>
      <w:r>
        <w:rPr>
          <w:noProof/>
        </w:rPr>
        <w:t>(valeur déclarée par le constructeur)</w:t>
      </w:r>
    </w:p>
    <w:p>
      <w:pPr>
        <w:spacing w:after="0"/>
        <w:ind w:left="1701" w:hanging="1701"/>
        <w:rPr>
          <w:rFonts w:eastAsia="Arial Unicode MS"/>
          <w:noProof/>
          <w:szCs w:val="24"/>
        </w:rPr>
      </w:pPr>
      <w:r>
        <w:rPr>
          <w:noProof/>
        </w:rPr>
        <w:t>4.3.1.1.2.</w:t>
      </w:r>
      <w:r>
        <w:rPr>
          <w:noProof/>
        </w:rPr>
        <w:tab/>
        <w:t>Puissance maximale sur 30 minutes (</w:t>
      </w:r>
      <w:r>
        <w:rPr>
          <w:noProof/>
          <w:vertAlign w:val="superscript"/>
        </w:rPr>
        <w:t>n</w:t>
      </w:r>
      <w:r>
        <w:rPr>
          <w:noProof/>
        </w:rPr>
        <w:t>) ... kW</w:t>
      </w:r>
    </w:p>
    <w:p>
      <w:pPr>
        <w:spacing w:after="0"/>
        <w:ind w:left="1701"/>
        <w:rPr>
          <w:rFonts w:eastAsia="Arial Unicode MS"/>
          <w:noProof/>
          <w:szCs w:val="24"/>
        </w:rPr>
      </w:pPr>
      <w:r>
        <w:rPr>
          <w:noProof/>
        </w:rPr>
        <w:t>(valeur déclarée par le constructeur)</w:t>
      </w:r>
    </w:p>
    <w:p>
      <w:pPr>
        <w:spacing w:after="0"/>
        <w:ind w:left="1701" w:hanging="1701"/>
        <w:rPr>
          <w:rFonts w:eastAsia="Arial Unicode MS"/>
          <w:noProof/>
          <w:szCs w:val="24"/>
        </w:rPr>
      </w:pPr>
      <w:r>
        <w:rPr>
          <w:noProof/>
        </w:rPr>
        <w:t>4.3.1.2.</w:t>
      </w:r>
      <w:r>
        <w:rPr>
          <w:noProof/>
        </w:rPr>
        <w:tab/>
        <w:t>Tension de service: …… V</w:t>
      </w:r>
    </w:p>
    <w:p>
      <w:pPr>
        <w:spacing w:before="240" w:after="0"/>
        <w:ind w:left="1701" w:hanging="1701"/>
        <w:rPr>
          <w:rFonts w:eastAsia="Arial Unicode MS"/>
          <w:noProof/>
          <w:szCs w:val="24"/>
        </w:rPr>
      </w:pPr>
      <w:r>
        <w:rPr>
          <w:noProof/>
        </w:rPr>
        <w:t>4.3.2.</w:t>
      </w:r>
      <w:r>
        <w:rPr>
          <w:noProof/>
        </w:rPr>
        <w:tab/>
        <w:t>Batterie</w:t>
      </w:r>
    </w:p>
    <w:p>
      <w:pPr>
        <w:spacing w:after="0"/>
        <w:ind w:left="1701" w:hanging="1701"/>
        <w:rPr>
          <w:rFonts w:eastAsia="Arial Unicode MS"/>
          <w:noProof/>
          <w:szCs w:val="24"/>
        </w:rPr>
      </w:pPr>
      <w:r>
        <w:rPr>
          <w:noProof/>
        </w:rPr>
        <w:t>4.3.2.4.</w:t>
      </w:r>
      <w:r>
        <w:rPr>
          <w:noProof/>
        </w:rPr>
        <w:tab/>
        <w:t>Emplacement: …</w:t>
      </w:r>
    </w:p>
    <w:p>
      <w:pPr>
        <w:spacing w:before="240"/>
        <w:ind w:left="1701" w:hanging="1701"/>
        <w:jc w:val="left"/>
        <w:rPr>
          <w:rFonts w:eastAsia="Arial Unicode MS"/>
          <w:b/>
          <w:bCs/>
          <w:noProof/>
          <w:szCs w:val="24"/>
        </w:rPr>
      </w:pPr>
      <w:r>
        <w:rPr>
          <w:noProof/>
        </w:rPr>
        <w:t>4.4.</w:t>
      </w:r>
      <w:r>
        <w:rPr>
          <w:noProof/>
        </w:rPr>
        <w:tab/>
      </w:r>
      <w:r>
        <w:rPr>
          <w:b/>
          <w:noProof/>
        </w:rPr>
        <w:t xml:space="preserve">Combinaison de moteurs </w:t>
      </w:r>
    </w:p>
    <w:p>
      <w:pPr>
        <w:spacing w:before="240" w:after="0"/>
        <w:ind w:left="1701" w:hanging="1701"/>
        <w:rPr>
          <w:rFonts w:eastAsia="Arial Unicode MS"/>
          <w:noProof/>
          <w:szCs w:val="24"/>
        </w:rPr>
      </w:pPr>
      <w:r>
        <w:rPr>
          <w:noProof/>
        </w:rPr>
        <w:t>4.4.1.</w:t>
      </w:r>
      <w:r>
        <w:rPr>
          <w:noProof/>
        </w:rPr>
        <w:tab/>
        <w:t>Véhicule électrique hybride: oui/non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Catégorie de véhicule électrique hybride: rechargeable de l’extérieur/non rechargeable de l’extérieur: (</w:t>
      </w:r>
      <w:r>
        <w:rPr>
          <w:noProof/>
          <w:vertAlign w:val="superscript"/>
        </w:rPr>
        <w:t>1</w:t>
      </w:r>
      <w:r>
        <w:rPr>
          <w:noProof/>
        </w:rPr>
        <w:t>)</w:t>
      </w:r>
    </w:p>
    <w:p>
      <w:pPr>
        <w:spacing w:before="240"/>
        <w:ind w:left="1701" w:hanging="1701"/>
        <w:rPr>
          <w:rFonts w:eastAsia="Arial Unicode MS"/>
          <w:bCs/>
          <w:noProof/>
          <w:szCs w:val="24"/>
        </w:rPr>
      </w:pPr>
      <w:r>
        <w:rPr>
          <w:noProof/>
        </w:rPr>
        <w:t>4.5.4.</w:t>
      </w:r>
      <w:r>
        <w:rPr>
          <w:noProof/>
        </w:rPr>
        <w:tab/>
      </w:r>
      <w:r>
        <w:rPr>
          <w:i/>
          <w:noProof/>
        </w:rPr>
        <w:t>(Euro VI uniquement) Émissions de CO</w:t>
      </w:r>
      <w:r>
        <w:rPr>
          <w:i/>
          <w:noProof/>
          <w:vertAlign w:val="subscript"/>
        </w:rPr>
        <w:t>2</w:t>
      </w:r>
      <w:r>
        <w:rPr>
          <w:i/>
          <w:noProof/>
        </w:rPr>
        <w:t xml:space="preserve"> pour les moteurs de véhicules lourds</w:t>
      </w:r>
      <w:r>
        <w:rPr>
          <w:noProof/>
        </w:rPr>
        <w:t xml:space="preserve"> </w:t>
      </w:r>
    </w:p>
    <w:p>
      <w:pPr>
        <w:spacing w:after="0"/>
        <w:ind w:left="1701" w:hanging="1701"/>
        <w:jc w:val="left"/>
        <w:rPr>
          <w:rFonts w:eastAsia="Arial Unicode MS"/>
          <w:noProof/>
          <w:szCs w:val="24"/>
        </w:rPr>
      </w:pPr>
      <w:r>
        <w:rPr>
          <w:noProof/>
        </w:rPr>
        <w:t>4.5.4.1.</w:t>
      </w:r>
      <w:r>
        <w:rPr>
          <w:noProof/>
        </w:rPr>
        <w:tab/>
        <w:t>Émissions massiques de CO</w:t>
      </w:r>
      <w:r>
        <w:rPr>
          <w:noProof/>
          <w:vertAlign w:val="subscript"/>
        </w:rPr>
        <w:t>2</w:t>
      </w:r>
      <w:r>
        <w:rPr>
          <w:noProof/>
        </w:rPr>
        <w:t xml:space="preserve"> lors de l’essai WHSC (</w:t>
      </w:r>
      <w:r>
        <w:rPr>
          <w:noProof/>
          <w:vertAlign w:val="superscript"/>
        </w:rPr>
        <w:t>x3</w:t>
      </w:r>
      <w:r>
        <w:rPr>
          <w:noProof/>
        </w:rPr>
        <w:t>): … g/kWh</w:t>
      </w:r>
    </w:p>
    <w:p>
      <w:pPr>
        <w:spacing w:after="0"/>
        <w:ind w:left="1701" w:hanging="1701"/>
        <w:rPr>
          <w:rFonts w:eastAsia="Arial Unicode MS"/>
          <w:noProof/>
          <w:szCs w:val="24"/>
        </w:rPr>
      </w:pPr>
      <w:r>
        <w:rPr>
          <w:noProof/>
        </w:rPr>
        <w:t>4.5.4.2.</w:t>
      </w:r>
      <w:r>
        <w:rPr>
          <w:noProof/>
        </w:rPr>
        <w:tab/>
        <w:t>Émissions massiques de CO</w:t>
      </w:r>
      <w:r>
        <w:rPr>
          <w:noProof/>
          <w:vertAlign w:val="subscript"/>
        </w:rPr>
        <w:t>2</w:t>
      </w:r>
      <w:r>
        <w:rPr>
          <w:noProof/>
        </w:rPr>
        <w:t xml:space="preserve"> lors de l’essai WHSC en mode diesel (</w:t>
      </w:r>
      <w:r>
        <w:rPr>
          <w:noProof/>
          <w:vertAlign w:val="superscript"/>
        </w:rPr>
        <w:t>x2</w:t>
      </w:r>
      <w:r>
        <w:rPr>
          <w:noProof/>
        </w:rPr>
        <w:t>): … g/kWh</w:t>
      </w:r>
    </w:p>
    <w:p>
      <w:pPr>
        <w:spacing w:after="0"/>
        <w:ind w:left="1701" w:hanging="1701"/>
        <w:jc w:val="left"/>
        <w:rPr>
          <w:rFonts w:eastAsia="Arial Unicode MS"/>
          <w:noProof/>
          <w:szCs w:val="24"/>
        </w:rPr>
      </w:pPr>
      <w:r>
        <w:rPr>
          <w:noProof/>
        </w:rPr>
        <w:t>4.5.4.3.</w:t>
      </w:r>
      <w:r>
        <w:rPr>
          <w:noProof/>
        </w:rPr>
        <w:tab/>
        <w:t>Émissions massiques de CO</w:t>
      </w:r>
      <w:r>
        <w:rPr>
          <w:noProof/>
          <w:vertAlign w:val="subscript"/>
        </w:rPr>
        <w:t>2</w:t>
      </w:r>
      <w:r>
        <w:rPr>
          <w:noProof/>
        </w:rPr>
        <w:t xml:space="preserve"> lors de l’essai WHSC en mode double carburant (</w:t>
      </w:r>
      <w:r>
        <w:rPr>
          <w:noProof/>
          <w:vertAlign w:val="superscript"/>
        </w:rPr>
        <w:t>x1</w:t>
      </w:r>
      <w:r>
        <w:rPr>
          <w:noProof/>
        </w:rPr>
        <w:t>): … g/kWh</w:t>
      </w:r>
    </w:p>
    <w:p>
      <w:pPr>
        <w:spacing w:after="0"/>
        <w:ind w:left="1701" w:hanging="1701"/>
        <w:jc w:val="left"/>
        <w:rPr>
          <w:rFonts w:eastAsia="Arial Unicode MS"/>
          <w:noProof/>
          <w:szCs w:val="24"/>
        </w:rPr>
      </w:pPr>
      <w:r>
        <w:rPr>
          <w:noProof/>
        </w:rPr>
        <w:t>4.5.4.4.</w:t>
      </w:r>
      <w:r>
        <w:rPr>
          <w:noProof/>
        </w:rPr>
        <w:tab/>
        <w:t>Émissions massiques de CO</w:t>
      </w:r>
      <w:r>
        <w:rPr>
          <w:noProof/>
          <w:vertAlign w:val="subscript"/>
        </w:rPr>
        <w:t>2</w:t>
      </w:r>
      <w:r>
        <w:rPr>
          <w:noProof/>
        </w:rPr>
        <w:t xml:space="preserve"> lors de l’essai WHTC (</w:t>
      </w:r>
      <w:r>
        <w:rPr>
          <w:noProof/>
          <w:vertAlign w:val="superscript"/>
        </w:rPr>
        <w:t>8</w:t>
      </w:r>
      <w:r>
        <w:rPr>
          <w:noProof/>
        </w:rPr>
        <w:t>) (</w:t>
      </w:r>
      <w:r>
        <w:rPr>
          <w:noProof/>
          <w:vertAlign w:val="superscript"/>
        </w:rPr>
        <w:t>x3</w:t>
      </w:r>
      <w:r>
        <w:rPr>
          <w:noProof/>
        </w:rPr>
        <w:t>): … g/kWh</w:t>
      </w:r>
    </w:p>
    <w:p>
      <w:pPr>
        <w:spacing w:after="0"/>
        <w:ind w:left="1701" w:hanging="1701"/>
        <w:rPr>
          <w:rFonts w:eastAsia="Arial Unicode MS"/>
          <w:noProof/>
          <w:szCs w:val="24"/>
        </w:rPr>
      </w:pPr>
      <w:r>
        <w:rPr>
          <w:noProof/>
        </w:rPr>
        <w:t>4.5.4.5.</w:t>
      </w:r>
      <w:r>
        <w:rPr>
          <w:noProof/>
        </w:rPr>
        <w:tab/>
        <w:t>Émissions massiques de CO</w:t>
      </w:r>
      <w:r>
        <w:rPr>
          <w:noProof/>
          <w:vertAlign w:val="subscript"/>
        </w:rPr>
        <w:t>2</w:t>
      </w:r>
      <w:r>
        <w:rPr>
          <w:noProof/>
        </w:rPr>
        <w:t xml:space="preserve"> lors de l’essai WHTC en mode diesel (</w:t>
      </w:r>
      <w:r>
        <w:rPr>
          <w:noProof/>
          <w:vertAlign w:val="superscript"/>
        </w:rPr>
        <w:t>8</w:t>
      </w:r>
      <w:r>
        <w:rPr>
          <w:noProof/>
        </w:rPr>
        <w:t>) (</w:t>
      </w:r>
      <w:r>
        <w:rPr>
          <w:noProof/>
          <w:vertAlign w:val="superscript"/>
        </w:rPr>
        <w:t>x2</w:t>
      </w:r>
      <w:r>
        <w:rPr>
          <w:noProof/>
        </w:rPr>
        <w:t>): … g/kWh</w:t>
      </w:r>
    </w:p>
    <w:p>
      <w:pPr>
        <w:spacing w:after="0"/>
        <w:ind w:left="1701" w:hanging="1701"/>
        <w:rPr>
          <w:rFonts w:eastAsia="Arial Unicode MS"/>
          <w:noProof/>
          <w:szCs w:val="24"/>
        </w:rPr>
      </w:pPr>
      <w:r>
        <w:rPr>
          <w:noProof/>
        </w:rPr>
        <w:t>4.5.4.6.</w:t>
      </w:r>
      <w:r>
        <w:rPr>
          <w:noProof/>
        </w:rPr>
        <w:tab/>
        <w:t>Émissions massiques de CO</w:t>
      </w:r>
      <w:r>
        <w:rPr>
          <w:noProof/>
          <w:vertAlign w:val="subscript"/>
        </w:rPr>
        <w:t>2</w:t>
      </w:r>
      <w:r>
        <w:rPr>
          <w:noProof/>
        </w:rPr>
        <w:t xml:space="preserve"> lors de l’essai WHTC en mode double carburant (</w:t>
      </w:r>
      <w:r>
        <w:rPr>
          <w:noProof/>
          <w:vertAlign w:val="superscript"/>
        </w:rPr>
        <w:t>8</w:t>
      </w:r>
      <w:r>
        <w:rPr>
          <w:noProof/>
        </w:rPr>
        <w:t>) (</w:t>
      </w:r>
      <w:r>
        <w:rPr>
          <w:noProof/>
          <w:vertAlign w:val="superscript"/>
        </w:rPr>
        <w:t>x1</w:t>
      </w:r>
      <w:r>
        <w:rPr>
          <w:noProof/>
        </w:rPr>
        <w:t>): … g/kWh</w:t>
      </w:r>
    </w:p>
    <w:p>
      <w:pPr>
        <w:spacing w:before="240"/>
        <w:ind w:left="1701" w:hanging="1701"/>
        <w:rPr>
          <w:rFonts w:eastAsia="Arial Unicode MS"/>
          <w:bCs/>
          <w:noProof/>
          <w:szCs w:val="24"/>
        </w:rPr>
      </w:pPr>
      <w:r>
        <w:rPr>
          <w:noProof/>
        </w:rPr>
        <w:t>4.5.5.</w:t>
      </w:r>
      <w:r>
        <w:rPr>
          <w:noProof/>
        </w:rPr>
        <w:tab/>
      </w:r>
      <w:r>
        <w:rPr>
          <w:i/>
          <w:noProof/>
        </w:rPr>
        <w:t>(Euro VI uniquement) Consommation de carburant pour les moteurs de véhicules lourds</w:t>
      </w:r>
      <w:r>
        <w:rPr>
          <w:noProof/>
        </w:rPr>
        <w:t xml:space="preserve"> </w:t>
      </w:r>
    </w:p>
    <w:p>
      <w:pPr>
        <w:spacing w:after="0"/>
        <w:ind w:left="1701" w:hanging="1701"/>
        <w:rPr>
          <w:rFonts w:eastAsia="Arial Unicode MS"/>
          <w:noProof/>
          <w:szCs w:val="24"/>
        </w:rPr>
      </w:pPr>
      <w:r>
        <w:rPr>
          <w:noProof/>
        </w:rPr>
        <w:lastRenderedPageBreak/>
        <w:t>4.5.5.1.</w:t>
      </w:r>
      <w:r>
        <w:rPr>
          <w:noProof/>
        </w:rPr>
        <w:tab/>
        <w:t>Consommation de carburant lors de l’essai WHSC (</w:t>
      </w:r>
      <w:r>
        <w:rPr>
          <w:noProof/>
          <w:vertAlign w:val="superscript"/>
        </w:rPr>
        <w:t>x3</w:t>
      </w:r>
      <w:r>
        <w:rPr>
          <w:noProof/>
        </w:rPr>
        <w:t>): … g/kWh</w:t>
      </w:r>
    </w:p>
    <w:p>
      <w:pPr>
        <w:spacing w:after="0"/>
        <w:ind w:left="1701" w:hanging="1701"/>
        <w:rPr>
          <w:rFonts w:eastAsia="Arial Unicode MS"/>
          <w:noProof/>
          <w:szCs w:val="24"/>
        </w:rPr>
      </w:pPr>
      <w:r>
        <w:rPr>
          <w:noProof/>
        </w:rPr>
        <w:t>4.5.5.2.</w:t>
      </w:r>
      <w:r>
        <w:rPr>
          <w:noProof/>
        </w:rPr>
        <w:tab/>
        <w:t>Consommation de carburant lors de l’essai WHSC en mode diesel (</w:t>
      </w:r>
      <w:r>
        <w:rPr>
          <w:noProof/>
          <w:vertAlign w:val="superscript"/>
        </w:rPr>
        <w:t>x2</w:t>
      </w:r>
      <w:r>
        <w:rPr>
          <w:noProof/>
        </w:rPr>
        <w:t>): … g/kWh</w:t>
      </w:r>
    </w:p>
    <w:p>
      <w:pPr>
        <w:spacing w:after="0"/>
        <w:ind w:left="1701" w:hanging="1701"/>
        <w:jc w:val="left"/>
        <w:rPr>
          <w:rFonts w:eastAsia="Arial Unicode MS"/>
          <w:noProof/>
          <w:szCs w:val="24"/>
        </w:rPr>
      </w:pPr>
      <w:r>
        <w:rPr>
          <w:noProof/>
        </w:rPr>
        <w:t>4.5.5.3.</w:t>
      </w:r>
      <w:r>
        <w:rPr>
          <w:noProof/>
        </w:rPr>
        <w:tab/>
        <w:t>Consommation de carburant lors de l’essai WHSC en mode double carburant (</w:t>
      </w:r>
      <w:r>
        <w:rPr>
          <w:noProof/>
          <w:vertAlign w:val="superscript"/>
        </w:rPr>
        <w:t>x1</w:t>
      </w:r>
      <w:r>
        <w:rPr>
          <w:noProof/>
        </w:rPr>
        <w:t>): … g/kWh</w:t>
      </w:r>
    </w:p>
    <w:p>
      <w:pPr>
        <w:spacing w:after="0"/>
        <w:ind w:left="1701" w:hanging="1701"/>
        <w:jc w:val="left"/>
        <w:rPr>
          <w:rFonts w:eastAsia="Arial Unicode MS"/>
          <w:noProof/>
          <w:szCs w:val="24"/>
        </w:rPr>
      </w:pPr>
      <w:r>
        <w:rPr>
          <w:noProof/>
        </w:rPr>
        <w:t>4.5.5.4.</w:t>
      </w:r>
      <w:r>
        <w:rPr>
          <w:noProof/>
        </w:rPr>
        <w:tab/>
        <w:t>Consommation de carburant lors de l’essai WHTC (</w:t>
      </w:r>
      <w:r>
        <w:rPr>
          <w:noProof/>
          <w:vertAlign w:val="superscript"/>
        </w:rPr>
        <w:t>8</w:t>
      </w:r>
      <w:r>
        <w:rPr>
          <w:noProof/>
        </w:rPr>
        <w:t>) (</w:t>
      </w:r>
      <w:r>
        <w:rPr>
          <w:noProof/>
          <w:vertAlign w:val="superscript"/>
        </w:rPr>
        <w:t>x3</w:t>
      </w:r>
      <w:r>
        <w:rPr>
          <w:noProof/>
        </w:rPr>
        <w:t>): … g/kWh</w:t>
      </w:r>
    </w:p>
    <w:p>
      <w:pPr>
        <w:spacing w:after="0"/>
        <w:ind w:left="1701" w:hanging="1701"/>
        <w:jc w:val="left"/>
        <w:rPr>
          <w:rFonts w:eastAsia="Arial Unicode MS"/>
          <w:noProof/>
          <w:szCs w:val="24"/>
        </w:rPr>
      </w:pPr>
      <w:r>
        <w:rPr>
          <w:noProof/>
        </w:rPr>
        <w:t>4.5.5.5.</w:t>
      </w:r>
      <w:r>
        <w:rPr>
          <w:noProof/>
        </w:rPr>
        <w:tab/>
        <w:t>Consommation de carburant lors de l’essai WHTC en mode diesel (</w:t>
      </w:r>
      <w:r>
        <w:rPr>
          <w:noProof/>
          <w:vertAlign w:val="superscript"/>
        </w:rPr>
        <w:t>8</w:t>
      </w:r>
      <w:r>
        <w:rPr>
          <w:noProof/>
        </w:rPr>
        <w:t>) (</w:t>
      </w:r>
      <w:r>
        <w:rPr>
          <w:noProof/>
          <w:vertAlign w:val="superscript"/>
        </w:rPr>
        <w:t>x2</w:t>
      </w:r>
      <w:r>
        <w:rPr>
          <w:noProof/>
        </w:rPr>
        <w:t>): … g/kWh</w:t>
      </w:r>
    </w:p>
    <w:p>
      <w:pPr>
        <w:spacing w:after="0"/>
        <w:ind w:left="1701" w:hanging="1701"/>
        <w:jc w:val="left"/>
        <w:rPr>
          <w:rFonts w:eastAsia="Arial Unicode MS"/>
          <w:noProof/>
          <w:szCs w:val="24"/>
        </w:rPr>
      </w:pPr>
      <w:r>
        <w:rPr>
          <w:noProof/>
        </w:rPr>
        <w:t>4.5.5.6.</w:t>
      </w:r>
      <w:r>
        <w:rPr>
          <w:noProof/>
        </w:rPr>
        <w:tab/>
        <w:t>Consommation de carburant lors de l’essai WHTC en mode double carburant (</w:t>
      </w:r>
      <w:r>
        <w:rPr>
          <w:noProof/>
          <w:vertAlign w:val="superscript"/>
        </w:rPr>
        <w:t>8</w:t>
      </w:r>
      <w:r>
        <w:rPr>
          <w:noProof/>
        </w:rPr>
        <w:t>) (</w:t>
      </w:r>
      <w:r>
        <w:rPr>
          <w:noProof/>
          <w:vertAlign w:val="superscript"/>
        </w:rPr>
        <w:t>x1</w:t>
      </w:r>
      <w:r>
        <w:rPr>
          <w:noProof/>
        </w:rPr>
        <w:t>): … g/kWh</w:t>
      </w:r>
    </w:p>
    <w:p>
      <w:pPr>
        <w:spacing w:before="360"/>
        <w:ind w:left="1701" w:hanging="1701"/>
        <w:jc w:val="left"/>
        <w:rPr>
          <w:rFonts w:eastAsia="Arial Unicode MS"/>
          <w:bCs/>
          <w:noProof/>
          <w:szCs w:val="24"/>
        </w:rPr>
      </w:pPr>
      <w:r>
        <w:rPr>
          <w:noProof/>
        </w:rPr>
        <w:t>4.6.5.</w:t>
      </w:r>
      <w:r>
        <w:rPr>
          <w:noProof/>
        </w:rPr>
        <w:tab/>
      </w:r>
      <w:r>
        <w:rPr>
          <w:i/>
          <w:noProof/>
        </w:rPr>
        <w:t>Température du lubrifiant</w:t>
      </w:r>
      <w:r>
        <w:rPr>
          <w:noProof/>
        </w:rPr>
        <w:t xml:space="preserve"> </w:t>
      </w:r>
    </w:p>
    <w:p>
      <w:pPr>
        <w:spacing w:before="60" w:after="0"/>
        <w:ind w:left="1701"/>
        <w:rPr>
          <w:rFonts w:eastAsia="Arial Unicode MS"/>
          <w:noProof/>
          <w:szCs w:val="24"/>
        </w:rPr>
      </w:pPr>
      <w:r>
        <w:rPr>
          <w:noProof/>
        </w:rPr>
        <w:t>Minimum: …… K</w:t>
      </w:r>
    </w:p>
    <w:p>
      <w:pPr>
        <w:spacing w:before="60" w:after="0"/>
        <w:ind w:left="1701"/>
        <w:rPr>
          <w:rFonts w:eastAsia="Arial Unicode MS"/>
          <w:noProof/>
          <w:szCs w:val="24"/>
        </w:rPr>
      </w:pPr>
      <w:r>
        <w:rPr>
          <w:noProof/>
        </w:rPr>
        <w:t>Maximum: …… K</w:t>
      </w:r>
    </w:p>
    <w:p>
      <w:pPr>
        <w:spacing w:before="240"/>
        <w:ind w:left="1701" w:hanging="1701"/>
        <w:jc w:val="left"/>
        <w:rPr>
          <w:rFonts w:eastAsia="Arial Unicode MS"/>
          <w:bCs/>
          <w:noProof/>
          <w:szCs w:val="24"/>
        </w:rPr>
      </w:pPr>
      <w:r>
        <w:rPr>
          <w:noProof/>
        </w:rPr>
        <w:t>5.</w:t>
      </w:r>
      <w:r>
        <w:rPr>
          <w:noProof/>
        </w:rPr>
        <w:tab/>
        <w:t>TRANSMISSION (</w:t>
      </w:r>
      <w:r>
        <w:rPr>
          <w:noProof/>
          <w:vertAlign w:val="superscript"/>
        </w:rPr>
        <w:t>p</w:t>
      </w:r>
      <w:r>
        <w:rPr>
          <w:noProof/>
        </w:rPr>
        <w:t xml:space="preserve">) </w:t>
      </w:r>
    </w:p>
    <w:p>
      <w:pPr>
        <w:spacing w:before="240" w:after="0"/>
        <w:ind w:left="1701" w:hanging="1701"/>
        <w:rPr>
          <w:rFonts w:eastAsia="Arial Unicode MS"/>
          <w:noProof/>
          <w:szCs w:val="24"/>
        </w:rPr>
      </w:pPr>
      <w:r>
        <w:rPr>
          <w:noProof/>
        </w:rPr>
        <w:t>5.2.</w:t>
      </w:r>
      <w:r>
        <w:rPr>
          <w:noProof/>
        </w:rPr>
        <w:tab/>
      </w:r>
      <w:r>
        <w:rPr>
          <w:b/>
          <w:noProof/>
        </w:rPr>
        <w:t>Type</w:t>
      </w:r>
      <w:r>
        <w:rPr>
          <w:noProof/>
        </w:rPr>
        <w:t xml:space="preserve"> (mécanique, hydraulique, électrique, etc.): …</w:t>
      </w:r>
    </w:p>
    <w:p>
      <w:pPr>
        <w:spacing w:before="240"/>
        <w:ind w:left="1701" w:hanging="1701"/>
        <w:jc w:val="left"/>
        <w:rPr>
          <w:rFonts w:eastAsia="Arial Unicode MS"/>
          <w:b/>
          <w:bCs/>
          <w:noProof/>
          <w:szCs w:val="24"/>
        </w:rPr>
      </w:pPr>
      <w:r>
        <w:rPr>
          <w:noProof/>
        </w:rPr>
        <w:t>5.5.</w:t>
      </w:r>
      <w:r>
        <w:rPr>
          <w:noProof/>
        </w:rPr>
        <w:tab/>
      </w:r>
      <w:r>
        <w:rPr>
          <w:b/>
          <w:noProof/>
        </w:rPr>
        <w:t xml:space="preserve">Boîte de vitesses </w:t>
      </w:r>
    </w:p>
    <w:p>
      <w:pPr>
        <w:spacing w:after="0"/>
        <w:ind w:left="1701" w:hanging="1701"/>
        <w:rPr>
          <w:rFonts w:eastAsia="Arial Unicode MS"/>
          <w:noProof/>
          <w:szCs w:val="24"/>
        </w:rPr>
      </w:pPr>
      <w:r>
        <w:rPr>
          <w:noProof/>
        </w:rPr>
        <w:t>5.5.1.</w:t>
      </w:r>
      <w:r>
        <w:rPr>
          <w:noProof/>
        </w:rPr>
        <w:tab/>
      </w:r>
      <w:r>
        <w:rPr>
          <w:i/>
          <w:noProof/>
        </w:rPr>
        <w:t>Type</w:t>
      </w:r>
      <w:r>
        <w:rPr>
          <w:noProof/>
        </w:rPr>
        <w:t xml:space="preserve"> [manuelle/automatique/CVT(variation continue)] (</w:t>
      </w:r>
      <w:r>
        <w:rPr>
          <w:noProof/>
          <w:vertAlign w:val="superscript"/>
        </w:rPr>
        <w:t>1</w:t>
      </w:r>
      <w:r>
        <w:rPr>
          <w:noProof/>
        </w:rPr>
        <w:t>)</w:t>
      </w:r>
    </w:p>
    <w:p>
      <w:pPr>
        <w:spacing w:before="240" w:after="0"/>
        <w:ind w:left="1701" w:hanging="1701"/>
        <w:jc w:val="left"/>
        <w:rPr>
          <w:rFonts w:eastAsia="Arial Unicode MS"/>
          <w:b/>
          <w:bCs/>
          <w:noProof/>
          <w:szCs w:val="24"/>
        </w:rPr>
      </w:pPr>
      <w:r>
        <w:rPr>
          <w:noProof/>
        </w:rPr>
        <w:t>5.6.</w:t>
      </w:r>
      <w:r>
        <w:rPr>
          <w:noProof/>
        </w:rPr>
        <w:tab/>
      </w:r>
      <w:r>
        <w:rPr>
          <w:b/>
          <w:noProof/>
        </w:rPr>
        <w:t xml:space="preserve">Rapports de démultiplication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1906"/>
        <w:gridCol w:w="1833"/>
        <w:gridCol w:w="1647"/>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Cs w:val="24"/>
              </w:rPr>
            </w:pPr>
            <w:r>
              <w:rPr>
                <w:noProof/>
                <w:sz w:val="22"/>
              </w:rPr>
              <w:t>Rapport</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Rapport de boîte (rapport entre le régime du moteur et la vitesse de rotation de l’arbre de sortie de la boîte de vitesses)</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Rapport de transmission final (rapport entre la vitesse de rotation de l’arbre de sortie de la boîte de vitesses et la vitesse de rotation des roues motrices)</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Démultiplication totale</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r>
              <w:rPr>
                <w:noProof/>
                <w:sz w:val="22"/>
              </w:rPr>
              <w:t xml:space="preserve">Maximum pour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r>
              <w:rPr>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r>
              <w:rPr>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r>
              <w:rPr>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r>
              <w:rPr>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r>
              <w:rPr>
                <w:noProof/>
                <w:sz w:val="22"/>
              </w:rPr>
              <w:t xml:space="preserve">Minimum pour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r>
              <w:rPr>
                <w:noProof/>
                <w:sz w:val="22"/>
              </w:rPr>
              <w:t>Marche arrière</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Cs w:val="24"/>
              </w:rPr>
            </w:pPr>
          </w:p>
        </w:tc>
      </w:tr>
    </w:tbl>
    <w:p>
      <w:pPr>
        <w:spacing w:before="240" w:after="0"/>
        <w:ind w:left="1701" w:hanging="1701"/>
        <w:rPr>
          <w:rFonts w:eastAsia="Arial Unicode MS"/>
          <w:noProof/>
          <w:szCs w:val="24"/>
        </w:rPr>
      </w:pPr>
      <w:r>
        <w:rPr>
          <w:noProof/>
        </w:rPr>
        <w:t>5.7.</w:t>
      </w:r>
      <w:r>
        <w:rPr>
          <w:noProof/>
        </w:rPr>
        <w:tab/>
      </w:r>
      <w:r>
        <w:rPr>
          <w:b/>
          <w:noProof/>
        </w:rPr>
        <w:t xml:space="preserve">Vitesse maximale par construction du véhicule </w:t>
      </w:r>
      <w:r>
        <w:rPr>
          <w:noProof/>
        </w:rPr>
        <w:t>(en km/h) (</w:t>
      </w:r>
      <w:r>
        <w:rPr>
          <w:noProof/>
          <w:vertAlign w:val="superscript"/>
        </w:rPr>
        <w:t>q</w:t>
      </w:r>
      <w:r>
        <w:rPr>
          <w:noProof/>
        </w:rPr>
        <w:t>)</w:t>
      </w:r>
    </w:p>
    <w:p>
      <w:pPr>
        <w:spacing w:before="240" w:after="0"/>
        <w:ind w:left="1701" w:hanging="1701"/>
        <w:rPr>
          <w:rFonts w:eastAsia="Arial Unicode MS"/>
          <w:noProof/>
          <w:szCs w:val="24"/>
        </w:rPr>
      </w:pPr>
      <w:r>
        <w:rPr>
          <w:noProof/>
        </w:rPr>
        <w:lastRenderedPageBreak/>
        <w:t>5.9.</w:t>
      </w:r>
      <w:r>
        <w:rPr>
          <w:noProof/>
        </w:rPr>
        <w:tab/>
      </w:r>
      <w:r>
        <w:rPr>
          <w:b/>
          <w:noProof/>
        </w:rPr>
        <w:t xml:space="preserve">Tachygraphe: </w:t>
      </w:r>
      <w:r>
        <w:rPr>
          <w:noProof/>
        </w:rPr>
        <w:t>oui/non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noProof/>
        </w:rPr>
        <w:t>Marque de réception:</w:t>
      </w:r>
      <w:r>
        <w:rPr>
          <w:noProof/>
        </w:rPr>
        <w:t xml:space="preserve"> …</w:t>
      </w:r>
    </w:p>
    <w:p>
      <w:pPr>
        <w:spacing w:before="240"/>
        <w:ind w:left="1701" w:hanging="1701"/>
        <w:jc w:val="left"/>
        <w:rPr>
          <w:rFonts w:eastAsia="Arial Unicode MS"/>
          <w:b/>
          <w:bCs/>
          <w:noProof/>
          <w:szCs w:val="24"/>
        </w:rPr>
      </w:pPr>
      <w:r>
        <w:rPr>
          <w:noProof/>
        </w:rPr>
        <w:t>5.11.</w:t>
      </w:r>
      <w:r>
        <w:rPr>
          <w:noProof/>
        </w:rPr>
        <w:tab/>
      </w:r>
      <w:r>
        <w:rPr>
          <w:b/>
          <w:noProof/>
        </w:rPr>
        <w:t xml:space="preserve">Indicateur de changement de vitesse (GSI) </w:t>
      </w:r>
    </w:p>
    <w:p>
      <w:pPr>
        <w:spacing w:after="0"/>
        <w:ind w:left="1701" w:hanging="1701"/>
        <w:rPr>
          <w:rFonts w:eastAsia="Arial Unicode MS"/>
          <w:noProof/>
          <w:szCs w:val="24"/>
        </w:rPr>
      </w:pPr>
      <w:r>
        <w:rPr>
          <w:noProof/>
        </w:rPr>
        <w:t>5.11.1.</w:t>
      </w:r>
      <w:r>
        <w:rPr>
          <w:noProof/>
        </w:rPr>
        <w:tab/>
        <w:t>Indication sonore disponible oui/non (</w:t>
      </w:r>
      <w:r>
        <w:rPr>
          <w:noProof/>
          <w:vertAlign w:val="superscript"/>
        </w:rPr>
        <w:t>1</w:t>
      </w:r>
      <w:r>
        <w:rPr>
          <w:noProof/>
        </w:rPr>
        <w:t>). Si oui, description du son et du niveau sonore aux oreilles du conducteur, en dB(A) (Indication sonore toujours activable/désactivable)</w:t>
      </w:r>
    </w:p>
    <w:p>
      <w:pPr>
        <w:spacing w:after="0"/>
        <w:ind w:left="1701" w:hanging="1701"/>
        <w:rPr>
          <w:rFonts w:eastAsia="Arial Unicode MS"/>
          <w:noProof/>
          <w:szCs w:val="24"/>
        </w:rPr>
      </w:pPr>
      <w:r>
        <w:rPr>
          <w:noProof/>
        </w:rPr>
        <w:t>5.11.2.</w:t>
      </w:r>
      <w:r>
        <w:rPr>
          <w:noProof/>
        </w:rPr>
        <w:tab/>
        <w:t>Informations conformément au point 4.6 de l’annexe I du règlement (UE) n</w:t>
      </w:r>
      <w:r>
        <w:rPr>
          <w:noProof/>
          <w:vertAlign w:val="superscript"/>
        </w:rPr>
        <w:t>o</w:t>
      </w:r>
      <w:r>
        <w:rPr>
          <w:noProof/>
        </w:rPr>
        <w:t> 65/2012 (déterminées lors de la réception par type)</w:t>
      </w:r>
    </w:p>
    <w:p>
      <w:pPr>
        <w:spacing w:before="360"/>
        <w:ind w:left="1701" w:hanging="1701"/>
        <w:jc w:val="left"/>
        <w:rPr>
          <w:rFonts w:eastAsia="Arial Unicode MS"/>
          <w:bCs/>
          <w:noProof/>
          <w:szCs w:val="24"/>
        </w:rPr>
      </w:pPr>
      <w:r>
        <w:rPr>
          <w:noProof/>
        </w:rPr>
        <w:t>6.</w:t>
      </w:r>
      <w:r>
        <w:rPr>
          <w:noProof/>
        </w:rPr>
        <w:tab/>
        <w:t xml:space="preserve">ESSIEUX </w:t>
      </w:r>
    </w:p>
    <w:p>
      <w:pPr>
        <w:spacing w:after="0"/>
        <w:ind w:left="1701" w:hanging="1701"/>
        <w:rPr>
          <w:rFonts w:eastAsia="Arial Unicode MS"/>
          <w:noProof/>
          <w:szCs w:val="24"/>
        </w:rPr>
      </w:pPr>
      <w:r>
        <w:rPr>
          <w:noProof/>
        </w:rPr>
        <w:t>6.1.</w:t>
      </w:r>
      <w:r>
        <w:rPr>
          <w:noProof/>
        </w:rPr>
        <w:tab/>
        <w:t>Description de chaque essieu: …</w:t>
      </w:r>
    </w:p>
    <w:p>
      <w:pPr>
        <w:spacing w:after="0"/>
        <w:ind w:left="1701" w:hanging="1701"/>
        <w:rPr>
          <w:rFonts w:eastAsia="Arial Unicode MS"/>
          <w:noProof/>
          <w:szCs w:val="24"/>
        </w:rPr>
      </w:pPr>
      <w:r>
        <w:rPr>
          <w:noProof/>
        </w:rPr>
        <w:t>6.2.</w:t>
      </w:r>
      <w:r>
        <w:rPr>
          <w:noProof/>
        </w:rPr>
        <w:tab/>
        <w:t>Marque: …</w:t>
      </w:r>
    </w:p>
    <w:p>
      <w:pPr>
        <w:spacing w:after="0"/>
        <w:ind w:left="1701" w:hanging="1701"/>
        <w:rPr>
          <w:rFonts w:eastAsia="Arial Unicode MS"/>
          <w:noProof/>
          <w:szCs w:val="24"/>
        </w:rPr>
      </w:pPr>
      <w:r>
        <w:rPr>
          <w:noProof/>
        </w:rPr>
        <w:t>6.3.</w:t>
      </w:r>
      <w:r>
        <w:rPr>
          <w:noProof/>
        </w:rPr>
        <w:tab/>
        <w:t>Type: …</w:t>
      </w:r>
    </w:p>
    <w:p>
      <w:pPr>
        <w:spacing w:after="0"/>
        <w:ind w:left="1701" w:hanging="1701"/>
        <w:rPr>
          <w:rFonts w:eastAsia="Arial Unicode MS"/>
          <w:noProof/>
          <w:szCs w:val="24"/>
        </w:rPr>
      </w:pPr>
      <w:r>
        <w:rPr>
          <w:noProof/>
        </w:rPr>
        <w:t>6.4.</w:t>
      </w:r>
      <w:r>
        <w:rPr>
          <w:noProof/>
        </w:rPr>
        <w:tab/>
        <w:t>Emplacement du ou des essieux rétractables: …</w:t>
      </w:r>
    </w:p>
    <w:p>
      <w:pPr>
        <w:spacing w:after="0"/>
        <w:ind w:left="1701" w:hanging="1701"/>
        <w:rPr>
          <w:rFonts w:eastAsia="Arial Unicode MS"/>
          <w:noProof/>
          <w:szCs w:val="24"/>
        </w:rPr>
      </w:pPr>
      <w:r>
        <w:rPr>
          <w:noProof/>
        </w:rPr>
        <w:t>6.5.</w:t>
      </w:r>
      <w:r>
        <w:rPr>
          <w:noProof/>
        </w:rPr>
        <w:tab/>
        <w:t>Emplacement du ou des essieux chargeables: …</w:t>
      </w:r>
    </w:p>
    <w:p>
      <w:pPr>
        <w:spacing w:before="360"/>
        <w:ind w:left="1701" w:hanging="1701"/>
        <w:jc w:val="left"/>
        <w:rPr>
          <w:rFonts w:eastAsia="Arial Unicode MS"/>
          <w:bCs/>
          <w:noProof/>
          <w:szCs w:val="24"/>
        </w:rPr>
      </w:pPr>
      <w:r>
        <w:rPr>
          <w:noProof/>
        </w:rPr>
        <w:t>7.</w:t>
      </w:r>
      <w:r>
        <w:rPr>
          <w:noProof/>
        </w:rPr>
        <w:tab/>
        <w:t xml:space="preserve">SUSPENSION </w:t>
      </w:r>
    </w:p>
    <w:p>
      <w:pPr>
        <w:spacing w:before="240" w:after="0"/>
        <w:ind w:left="1701" w:hanging="1701"/>
        <w:rPr>
          <w:rFonts w:eastAsia="Arial Unicode MS"/>
          <w:noProof/>
          <w:szCs w:val="24"/>
        </w:rPr>
      </w:pPr>
      <w:r>
        <w:rPr>
          <w:noProof/>
        </w:rPr>
        <w:t>7.2.</w:t>
      </w:r>
      <w:r>
        <w:rPr>
          <w:noProof/>
        </w:rPr>
        <w:tab/>
        <w:t>Type et nature de la suspension de chaque essieu ou roue: …</w:t>
      </w:r>
    </w:p>
    <w:p>
      <w:pPr>
        <w:spacing w:after="0"/>
        <w:ind w:left="1701" w:hanging="1701"/>
        <w:rPr>
          <w:rFonts w:eastAsia="Arial Unicode MS"/>
          <w:noProof/>
          <w:szCs w:val="24"/>
        </w:rPr>
      </w:pPr>
      <w:r>
        <w:rPr>
          <w:noProof/>
        </w:rPr>
        <w:t>7.2.1.</w:t>
      </w:r>
      <w:r>
        <w:rPr>
          <w:noProof/>
        </w:rPr>
        <w:tab/>
        <w:t>Réglage du niveau: oui/non/en option (</w:t>
      </w:r>
      <w:r>
        <w:rPr>
          <w:noProof/>
          <w:vertAlign w:val="superscript"/>
        </w:rPr>
        <w:t>1</w:t>
      </w:r>
      <w:r>
        <w:rPr>
          <w:noProof/>
        </w:rPr>
        <w:t>)</w:t>
      </w:r>
    </w:p>
    <w:p>
      <w:pPr>
        <w:spacing w:after="0"/>
        <w:ind w:left="1701" w:hanging="1701"/>
        <w:rPr>
          <w:rFonts w:eastAsia="Arial Unicode MS"/>
          <w:noProof/>
          <w:szCs w:val="24"/>
        </w:rPr>
      </w:pPr>
      <w:r>
        <w:rPr>
          <w:noProof/>
        </w:rPr>
        <w:t>7.2.3.</w:t>
      </w:r>
      <w:r>
        <w:rPr>
          <w:noProof/>
        </w:rPr>
        <w:tab/>
        <w:t>Suspension pneumatique pour le ou les essieux moteurs: oui/non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Suspension d’essieu moteur équivalente à une suspension pneumatique: oui/non (</w:t>
      </w:r>
      <w:r>
        <w:rPr>
          <w:noProof/>
          <w:vertAlign w:val="superscript"/>
        </w:rPr>
        <w:t>1</w:t>
      </w:r>
      <w:r>
        <w:rPr>
          <w:noProof/>
        </w:rPr>
        <w:t>)</w:t>
      </w:r>
    </w:p>
    <w:p>
      <w:pPr>
        <w:spacing w:after="0"/>
        <w:ind w:left="1701" w:hanging="1701"/>
        <w:rPr>
          <w:rFonts w:eastAsia="Arial Unicode MS"/>
          <w:noProof/>
          <w:szCs w:val="24"/>
        </w:rPr>
      </w:pPr>
      <w:r>
        <w:rPr>
          <w:noProof/>
        </w:rPr>
        <w:t>7.2.4.</w:t>
      </w:r>
      <w:r>
        <w:rPr>
          <w:noProof/>
        </w:rPr>
        <w:tab/>
        <w:t>Suspension pneumatique pour le ou les essieux non moteurs: oui/non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Suspension du ou des essieux non moteurs équivalente à une suspension pneumatique: oui/non (</w:t>
      </w:r>
      <w:r>
        <w:rPr>
          <w:noProof/>
          <w:vertAlign w:val="superscript"/>
        </w:rPr>
        <w:t>1</w:t>
      </w:r>
      <w:r>
        <w:rPr>
          <w:noProof/>
        </w:rPr>
        <w:t>)</w:t>
      </w:r>
    </w:p>
    <w:p>
      <w:pPr>
        <w:spacing w:before="240"/>
        <w:ind w:left="1701" w:hanging="1701"/>
        <w:jc w:val="left"/>
        <w:rPr>
          <w:rFonts w:eastAsia="Arial Unicode MS"/>
          <w:bCs/>
          <w:noProof/>
          <w:szCs w:val="24"/>
        </w:rPr>
      </w:pPr>
      <w:r>
        <w:rPr>
          <w:noProof/>
        </w:rPr>
        <w:t>7.6.1.</w:t>
      </w:r>
      <w:r>
        <w:rPr>
          <w:noProof/>
        </w:rPr>
        <w:tab/>
      </w:r>
      <w:r>
        <w:rPr>
          <w:i/>
          <w:noProof/>
        </w:rPr>
        <w:t>Combinaisons pneumatiques/roues:</w:t>
      </w:r>
      <w:r>
        <w:rPr>
          <w:noProof/>
        </w:rPr>
        <w:t xml:space="preserve"> </w:t>
      </w:r>
    </w:p>
    <w:p>
      <w:pPr>
        <w:spacing w:after="0"/>
        <w:ind w:left="2268" w:hanging="567"/>
        <w:rPr>
          <w:rFonts w:eastAsia="Arial Unicode MS"/>
          <w:noProof/>
          <w:szCs w:val="24"/>
        </w:rPr>
      </w:pPr>
      <w:r>
        <w:rPr>
          <w:noProof/>
        </w:rPr>
        <w:t>a)</w:t>
      </w:r>
      <w:r>
        <w:rPr>
          <w:noProof/>
        </w:rPr>
        <w:tab/>
        <w:t>pour les pneumatiques, indiquer la désignation de la dimension, l’indice de capacité de charge, le symbole de catégorie de vitesse et la résistance au roulement conformément à la norme ISO 28580 (s’il y a lieu)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pour les roues, indiquer la ou les dimensions et le ou les déports de la jante.</w:t>
      </w:r>
    </w:p>
    <w:p>
      <w:pPr>
        <w:spacing w:after="0"/>
        <w:ind w:left="1701" w:hanging="1701"/>
        <w:rPr>
          <w:rFonts w:eastAsia="Arial Unicode MS"/>
          <w:noProof/>
          <w:szCs w:val="24"/>
        </w:rPr>
      </w:pPr>
      <w:r>
        <w:rPr>
          <w:noProof/>
        </w:rPr>
        <w:t>7.6.1.1.</w:t>
      </w:r>
      <w:r>
        <w:rPr>
          <w:noProof/>
        </w:rPr>
        <w:tab/>
        <w:t>Essieux</w:t>
      </w:r>
    </w:p>
    <w:p>
      <w:pPr>
        <w:spacing w:after="0"/>
        <w:ind w:left="1701" w:hanging="1701"/>
        <w:rPr>
          <w:rFonts w:eastAsia="Arial Unicode MS"/>
          <w:noProof/>
          <w:szCs w:val="24"/>
        </w:rPr>
      </w:pPr>
      <w:r>
        <w:rPr>
          <w:noProof/>
        </w:rPr>
        <w:t>7.6.1.1.1.</w:t>
      </w:r>
      <w:r>
        <w:rPr>
          <w:noProof/>
        </w:rPr>
        <w:tab/>
        <w:t>Essieu 1: …</w:t>
      </w:r>
    </w:p>
    <w:p>
      <w:pPr>
        <w:spacing w:after="0"/>
        <w:ind w:left="1701" w:hanging="1701"/>
        <w:rPr>
          <w:rFonts w:eastAsia="Arial Unicode MS"/>
          <w:noProof/>
          <w:szCs w:val="24"/>
        </w:rPr>
      </w:pPr>
      <w:r>
        <w:rPr>
          <w:noProof/>
        </w:rPr>
        <w:t>7.6.1.1.2.</w:t>
      </w:r>
      <w:r>
        <w:rPr>
          <w:noProof/>
        </w:rPr>
        <w:tab/>
        <w:t>Essieu 2: …</w:t>
      </w:r>
    </w:p>
    <w:p>
      <w:pPr>
        <w:ind w:left="2070" w:hanging="369"/>
        <w:rPr>
          <w:rFonts w:eastAsia="Arial Unicode MS"/>
          <w:noProof/>
          <w:szCs w:val="24"/>
        </w:rPr>
      </w:pPr>
      <w:r>
        <w:rPr>
          <w:noProof/>
        </w:rPr>
        <w:t>etc.</w:t>
      </w:r>
    </w:p>
    <w:p>
      <w:pPr>
        <w:spacing w:after="0"/>
        <w:ind w:left="1701" w:hanging="1701"/>
        <w:rPr>
          <w:rFonts w:eastAsia="Arial Unicode MS"/>
          <w:noProof/>
          <w:szCs w:val="24"/>
        </w:rPr>
      </w:pPr>
      <w:r>
        <w:rPr>
          <w:noProof/>
        </w:rPr>
        <w:t>7.6.1.2.</w:t>
      </w:r>
      <w:r>
        <w:rPr>
          <w:noProof/>
        </w:rPr>
        <w:tab/>
        <w:t>Roue de secours, le cas échéant: …</w:t>
      </w:r>
    </w:p>
    <w:p>
      <w:pPr>
        <w:spacing w:before="240"/>
        <w:ind w:left="1701" w:hanging="1701"/>
        <w:jc w:val="left"/>
        <w:rPr>
          <w:rFonts w:eastAsia="Arial Unicode MS"/>
          <w:bCs/>
          <w:noProof/>
          <w:szCs w:val="24"/>
        </w:rPr>
      </w:pPr>
      <w:r>
        <w:rPr>
          <w:noProof/>
        </w:rPr>
        <w:lastRenderedPageBreak/>
        <w:t>7.6.2.</w:t>
      </w:r>
      <w:r>
        <w:rPr>
          <w:noProof/>
        </w:rPr>
        <w:tab/>
      </w:r>
      <w:r>
        <w:rPr>
          <w:i/>
          <w:noProof/>
        </w:rPr>
        <w:t>Limite supérieure et limite inférieure des rayons de roulement</w:t>
      </w:r>
      <w:r>
        <w:rPr>
          <w:noProof/>
        </w:rPr>
        <w:t xml:space="preserve"> </w:t>
      </w:r>
    </w:p>
    <w:p>
      <w:pPr>
        <w:spacing w:after="0"/>
        <w:ind w:left="1701" w:hanging="1701"/>
        <w:rPr>
          <w:rFonts w:eastAsia="Arial Unicode MS"/>
          <w:noProof/>
          <w:szCs w:val="24"/>
        </w:rPr>
      </w:pPr>
      <w:r>
        <w:rPr>
          <w:noProof/>
        </w:rPr>
        <w:t>7.6.2.1.</w:t>
      </w:r>
      <w:r>
        <w:rPr>
          <w:noProof/>
        </w:rPr>
        <w:tab/>
        <w:t>Essieu 1: …</w:t>
      </w:r>
    </w:p>
    <w:p>
      <w:pPr>
        <w:spacing w:after="0"/>
        <w:ind w:left="1701" w:hanging="1701"/>
        <w:rPr>
          <w:rFonts w:eastAsia="Arial Unicode MS"/>
          <w:noProof/>
          <w:szCs w:val="24"/>
        </w:rPr>
      </w:pPr>
      <w:r>
        <w:rPr>
          <w:noProof/>
        </w:rPr>
        <w:t>7.6.2.2.</w:t>
      </w:r>
      <w:r>
        <w:rPr>
          <w:noProof/>
        </w:rPr>
        <w:tab/>
        <w:t>Essieu 2: …</w:t>
      </w:r>
    </w:p>
    <w:p>
      <w:pPr>
        <w:ind w:left="1701"/>
        <w:rPr>
          <w:rFonts w:eastAsia="Arial Unicode MS"/>
          <w:noProof/>
          <w:szCs w:val="24"/>
        </w:rPr>
      </w:pPr>
      <w:r>
        <w:rPr>
          <w:noProof/>
        </w:rPr>
        <w:t>etc.</w:t>
      </w:r>
    </w:p>
    <w:p>
      <w:pPr>
        <w:spacing w:before="360"/>
        <w:ind w:left="1701" w:hanging="1701"/>
        <w:jc w:val="left"/>
        <w:rPr>
          <w:rFonts w:eastAsia="Arial Unicode MS"/>
          <w:bCs/>
          <w:noProof/>
          <w:szCs w:val="24"/>
        </w:rPr>
      </w:pPr>
      <w:r>
        <w:rPr>
          <w:noProof/>
        </w:rPr>
        <w:t>8.</w:t>
      </w:r>
      <w:r>
        <w:rPr>
          <w:noProof/>
        </w:rPr>
        <w:tab/>
        <w:t xml:space="preserve">DIRECTION </w:t>
      </w:r>
    </w:p>
    <w:p>
      <w:pPr>
        <w:spacing w:before="240"/>
        <w:ind w:left="1701" w:hanging="1701"/>
        <w:jc w:val="left"/>
        <w:rPr>
          <w:rFonts w:eastAsia="Arial Unicode MS"/>
          <w:b/>
          <w:bCs/>
          <w:noProof/>
          <w:szCs w:val="24"/>
        </w:rPr>
      </w:pPr>
      <w:r>
        <w:rPr>
          <w:noProof/>
        </w:rPr>
        <w:t>8.2.</w:t>
      </w:r>
      <w:r>
        <w:rPr>
          <w:noProof/>
        </w:rPr>
        <w:tab/>
      </w:r>
      <w:r>
        <w:rPr>
          <w:b/>
          <w:noProof/>
        </w:rPr>
        <w:t>Timonerie et commande</w:t>
      </w:r>
    </w:p>
    <w:p>
      <w:pPr>
        <w:spacing w:after="0"/>
        <w:ind w:left="1701" w:hanging="1701"/>
        <w:rPr>
          <w:rFonts w:eastAsia="Arial Unicode MS"/>
          <w:noProof/>
          <w:szCs w:val="24"/>
        </w:rPr>
      </w:pPr>
      <w:r>
        <w:rPr>
          <w:noProof/>
        </w:rPr>
        <w:t>8.2.1.</w:t>
      </w:r>
      <w:r>
        <w:rPr>
          <w:noProof/>
        </w:rPr>
        <w:tab/>
        <w:t>Type de timonerie de direction (le cas échéant, préciser pour l’avant et l’arrière): …</w:t>
      </w:r>
    </w:p>
    <w:p>
      <w:pPr>
        <w:spacing w:after="0"/>
        <w:ind w:left="1701" w:hanging="1701"/>
        <w:rPr>
          <w:rFonts w:eastAsia="Arial Unicode MS"/>
          <w:noProof/>
          <w:szCs w:val="24"/>
        </w:rPr>
      </w:pPr>
      <w:r>
        <w:rPr>
          <w:noProof/>
        </w:rPr>
        <w:t>8.2.2.</w:t>
      </w:r>
      <w:r>
        <w:rPr>
          <w:noProof/>
        </w:rPr>
        <w:tab/>
        <w:t>Transmission aux roues (y compris les moyens autres que mécaniques; le cas échéant, préciser pour l’avant et l’arrière): …</w:t>
      </w:r>
    </w:p>
    <w:p>
      <w:pPr>
        <w:spacing w:after="0"/>
        <w:ind w:left="1701" w:hanging="1701"/>
        <w:rPr>
          <w:rFonts w:eastAsia="Arial Unicode MS"/>
          <w:noProof/>
          <w:szCs w:val="24"/>
        </w:rPr>
      </w:pPr>
      <w:r>
        <w:rPr>
          <w:noProof/>
        </w:rPr>
        <w:t>8.2.3.</w:t>
      </w:r>
      <w:r>
        <w:rPr>
          <w:noProof/>
        </w:rPr>
        <w:tab/>
        <w:t>Mode d’assistance (le cas échéant): …</w:t>
      </w:r>
    </w:p>
    <w:p>
      <w:pPr>
        <w:spacing w:before="360"/>
        <w:ind w:left="1701" w:hanging="1701"/>
        <w:jc w:val="left"/>
        <w:rPr>
          <w:rFonts w:eastAsia="Arial Unicode MS"/>
          <w:bCs/>
          <w:noProof/>
          <w:szCs w:val="24"/>
        </w:rPr>
      </w:pPr>
      <w:r>
        <w:rPr>
          <w:noProof/>
        </w:rPr>
        <w:t>9.</w:t>
      </w:r>
      <w:r>
        <w:rPr>
          <w:noProof/>
        </w:rPr>
        <w:tab/>
        <w:t xml:space="preserve">FREINS </w:t>
      </w:r>
    </w:p>
    <w:p>
      <w:pPr>
        <w:spacing w:before="240" w:after="0"/>
        <w:ind w:left="1701" w:hanging="1701"/>
        <w:rPr>
          <w:rFonts w:eastAsia="Arial Unicode MS"/>
          <w:noProof/>
          <w:szCs w:val="24"/>
        </w:rPr>
      </w:pPr>
      <w:r>
        <w:rPr>
          <w:noProof/>
        </w:rPr>
        <w:t>9.5.</w:t>
      </w:r>
      <w:r>
        <w:rPr>
          <w:noProof/>
        </w:rPr>
        <w:tab/>
        <w:t>Système de freinage avec antiblocage des roues: oui/non/en option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Brève description de l’équipement de freinage conformément au paragraphe 2.6 du règlement n</w:t>
      </w:r>
      <w:r>
        <w:rPr>
          <w:noProof/>
          <w:vertAlign w:val="superscript"/>
        </w:rPr>
        <w:t>o</w:t>
      </w:r>
      <w:r>
        <w:rPr>
          <w:noProof/>
        </w:rPr>
        <w:t> 13-H de la CEE-ONU: …</w:t>
      </w:r>
    </w:p>
    <w:p>
      <w:pPr>
        <w:spacing w:before="240" w:after="0"/>
        <w:ind w:left="1701" w:hanging="1701"/>
        <w:rPr>
          <w:rFonts w:eastAsia="Arial Unicode MS"/>
          <w:noProof/>
          <w:szCs w:val="24"/>
        </w:rPr>
      </w:pPr>
      <w:r>
        <w:rPr>
          <w:noProof/>
        </w:rPr>
        <w:t>9.11.</w:t>
      </w:r>
      <w:r>
        <w:rPr>
          <w:noProof/>
        </w:rPr>
        <w:tab/>
        <w:t>Détails concernant le ou les types de systèmes de freinage d’endurance: …</w:t>
      </w:r>
    </w:p>
    <w:p>
      <w:pPr>
        <w:spacing w:before="480" w:after="0"/>
        <w:ind w:left="1701" w:hanging="1701"/>
        <w:jc w:val="left"/>
        <w:rPr>
          <w:rFonts w:eastAsia="Arial Unicode MS"/>
          <w:bCs/>
          <w:noProof/>
          <w:szCs w:val="24"/>
        </w:rPr>
      </w:pPr>
      <w:r>
        <w:rPr>
          <w:noProof/>
        </w:rPr>
        <w:t>10.</w:t>
      </w:r>
      <w:r>
        <w:rPr>
          <w:noProof/>
        </w:rPr>
        <w:tab/>
        <w:t xml:space="preserve">CARROSSERIE </w:t>
      </w:r>
    </w:p>
    <w:p>
      <w:pPr>
        <w:spacing w:after="0"/>
        <w:ind w:left="1701" w:hanging="1701"/>
        <w:rPr>
          <w:rFonts w:eastAsia="Arial Unicode MS"/>
          <w:noProof/>
          <w:szCs w:val="24"/>
        </w:rPr>
      </w:pPr>
      <w:r>
        <w:rPr>
          <w:noProof/>
        </w:rPr>
        <w:t>10.1.</w:t>
      </w:r>
      <w:r>
        <w:rPr>
          <w:noProof/>
        </w:rPr>
        <w:tab/>
        <w:t>Type de carrosserie, selon les codes définis dans la partie C de l’annexe II: …</w:t>
      </w:r>
    </w:p>
    <w:p>
      <w:pPr>
        <w:ind w:left="1701" w:hanging="1701"/>
        <w:jc w:val="left"/>
        <w:rPr>
          <w:rFonts w:eastAsia="Arial Unicode MS"/>
          <w:b/>
          <w:bCs/>
          <w:noProof/>
          <w:szCs w:val="24"/>
        </w:rPr>
      </w:pPr>
      <w:r>
        <w:rPr>
          <w:noProof/>
        </w:rPr>
        <w:t>10.3.</w:t>
      </w:r>
      <w:r>
        <w:rPr>
          <w:noProof/>
        </w:rPr>
        <w:tab/>
      </w:r>
      <w:r>
        <w:rPr>
          <w:b/>
          <w:noProof/>
        </w:rPr>
        <w:t xml:space="preserve">Portes pour occupants, serrures et charnières </w:t>
      </w:r>
    </w:p>
    <w:p>
      <w:pPr>
        <w:spacing w:after="0"/>
        <w:ind w:left="1701" w:hanging="1701"/>
        <w:rPr>
          <w:rFonts w:eastAsia="Arial Unicode MS"/>
          <w:noProof/>
          <w:szCs w:val="24"/>
        </w:rPr>
      </w:pPr>
      <w:r>
        <w:rPr>
          <w:noProof/>
        </w:rPr>
        <w:t>10.3.1.</w:t>
      </w:r>
      <w:r>
        <w:rPr>
          <w:noProof/>
        </w:rPr>
        <w:tab/>
        <w:t>Configuration des portes et nombre de portes: …</w:t>
      </w:r>
    </w:p>
    <w:p>
      <w:pPr>
        <w:ind w:left="1701" w:hanging="1701"/>
        <w:jc w:val="left"/>
        <w:rPr>
          <w:rFonts w:eastAsia="Arial Unicode MS"/>
          <w:b/>
          <w:bCs/>
          <w:noProof/>
          <w:szCs w:val="24"/>
        </w:rPr>
      </w:pPr>
      <w:r>
        <w:rPr>
          <w:noProof/>
        </w:rPr>
        <w:t>10.9.</w:t>
      </w:r>
      <w:r>
        <w:rPr>
          <w:noProof/>
        </w:rPr>
        <w:tab/>
      </w:r>
      <w:r>
        <w:rPr>
          <w:b/>
          <w:noProof/>
        </w:rPr>
        <w:t xml:space="preserve">Dispositifs de vision indirecte </w:t>
      </w:r>
    </w:p>
    <w:p>
      <w:pPr>
        <w:spacing w:after="0"/>
        <w:ind w:left="1701" w:hanging="1701"/>
        <w:rPr>
          <w:rFonts w:eastAsia="Arial Unicode MS"/>
          <w:noProof/>
          <w:szCs w:val="24"/>
        </w:rPr>
      </w:pPr>
      <w:r>
        <w:rPr>
          <w:noProof/>
        </w:rPr>
        <w:t>10.9.1.</w:t>
      </w:r>
      <w:r>
        <w:rPr>
          <w:noProof/>
        </w:rPr>
        <w:tab/>
        <w:t>Rétroviseurs. Indiquer pour chaque rétroviseur:</w:t>
      </w:r>
    </w:p>
    <w:p>
      <w:pPr>
        <w:spacing w:after="0"/>
        <w:ind w:left="1701" w:hanging="1701"/>
        <w:rPr>
          <w:rFonts w:eastAsia="Arial Unicode MS"/>
          <w:noProof/>
          <w:szCs w:val="24"/>
        </w:rPr>
      </w:pPr>
      <w:r>
        <w:rPr>
          <w:noProof/>
        </w:rPr>
        <w:t>10.9.1.1.</w:t>
      </w:r>
      <w:r>
        <w:rPr>
          <w:noProof/>
        </w:rPr>
        <w:tab/>
        <w:t>Marque: …</w:t>
      </w:r>
    </w:p>
    <w:p>
      <w:pPr>
        <w:spacing w:after="0"/>
        <w:ind w:left="1701" w:hanging="1701"/>
        <w:rPr>
          <w:rFonts w:eastAsia="Arial Unicode MS"/>
          <w:noProof/>
          <w:szCs w:val="24"/>
        </w:rPr>
      </w:pPr>
      <w:r>
        <w:rPr>
          <w:noProof/>
        </w:rPr>
        <w:t>10.9.1.2.</w:t>
      </w:r>
      <w:r>
        <w:rPr>
          <w:noProof/>
        </w:rPr>
        <w:tab/>
        <w:t>Marque de réception par type: …</w:t>
      </w:r>
    </w:p>
    <w:p>
      <w:pPr>
        <w:spacing w:after="0"/>
        <w:ind w:left="1701" w:hanging="1701"/>
        <w:rPr>
          <w:rFonts w:eastAsia="Arial Unicode MS"/>
          <w:noProof/>
          <w:szCs w:val="24"/>
        </w:rPr>
      </w:pPr>
      <w:r>
        <w:rPr>
          <w:noProof/>
        </w:rPr>
        <w:t>10.9.1.3.</w:t>
      </w:r>
      <w:r>
        <w:rPr>
          <w:noProof/>
        </w:rPr>
        <w:tab/>
        <w:t>Variante: …</w:t>
      </w:r>
    </w:p>
    <w:p>
      <w:pPr>
        <w:spacing w:after="0"/>
        <w:ind w:left="1701" w:hanging="1701"/>
        <w:rPr>
          <w:rFonts w:eastAsia="Arial Unicode MS"/>
          <w:noProof/>
          <w:szCs w:val="24"/>
        </w:rPr>
      </w:pPr>
      <w:r>
        <w:rPr>
          <w:noProof/>
        </w:rPr>
        <w:t>10.9.1.6.</w:t>
      </w:r>
      <w:r>
        <w:rPr>
          <w:noProof/>
        </w:rPr>
        <w:tab/>
        <w:t>Équipement en option pouvant restreindre le champ de vision vers l’arrière: …</w:t>
      </w:r>
    </w:p>
    <w:p>
      <w:pPr>
        <w:spacing w:after="0"/>
        <w:ind w:left="1701" w:hanging="1701"/>
        <w:rPr>
          <w:rFonts w:eastAsia="Arial Unicode MS"/>
          <w:noProof/>
          <w:szCs w:val="24"/>
        </w:rPr>
      </w:pPr>
      <w:r>
        <w:rPr>
          <w:noProof/>
        </w:rPr>
        <w:t>10.9.2.</w:t>
      </w:r>
      <w:r>
        <w:rPr>
          <w:noProof/>
        </w:rPr>
        <w:tab/>
        <w:t>Dispositifs de vision indirecte autres que les rétroviseurs: …</w:t>
      </w:r>
    </w:p>
    <w:p>
      <w:pPr>
        <w:spacing w:after="0"/>
        <w:ind w:left="1701" w:hanging="1701"/>
        <w:rPr>
          <w:rFonts w:eastAsia="Arial Unicode MS"/>
          <w:noProof/>
          <w:szCs w:val="24"/>
        </w:rPr>
      </w:pPr>
      <w:r>
        <w:rPr>
          <w:noProof/>
        </w:rPr>
        <w:t>10.9.2.1.</w:t>
      </w:r>
      <w:r>
        <w:rPr>
          <w:noProof/>
        </w:rPr>
        <w:tab/>
        <w:t>Type et description du dispositif: …</w:t>
      </w:r>
    </w:p>
    <w:p>
      <w:pPr>
        <w:ind w:left="1701" w:hanging="1701"/>
        <w:jc w:val="left"/>
        <w:rPr>
          <w:rFonts w:eastAsia="Arial Unicode MS"/>
          <w:b/>
          <w:bCs/>
          <w:noProof/>
          <w:szCs w:val="24"/>
        </w:rPr>
      </w:pPr>
      <w:r>
        <w:rPr>
          <w:noProof/>
        </w:rPr>
        <w:t>10.10.</w:t>
      </w:r>
      <w:r>
        <w:rPr>
          <w:noProof/>
        </w:rPr>
        <w:tab/>
      </w:r>
      <w:r>
        <w:rPr>
          <w:b/>
          <w:noProof/>
        </w:rPr>
        <w:t xml:space="preserve">Aménagement intérieur </w:t>
      </w:r>
    </w:p>
    <w:p>
      <w:pPr>
        <w:ind w:left="1701" w:hanging="1701"/>
        <w:jc w:val="left"/>
        <w:rPr>
          <w:rFonts w:eastAsia="Arial Unicode MS"/>
          <w:noProof/>
          <w:szCs w:val="24"/>
        </w:rPr>
      </w:pPr>
      <w:r>
        <w:rPr>
          <w:noProof/>
        </w:rPr>
        <w:t>10.10.3.</w:t>
      </w:r>
      <w:r>
        <w:rPr>
          <w:noProof/>
        </w:rPr>
        <w:tab/>
      </w:r>
      <w:r>
        <w:rPr>
          <w:i/>
          <w:noProof/>
        </w:rPr>
        <w:t>Sièges</w:t>
      </w:r>
      <w:r>
        <w:rPr>
          <w:noProof/>
        </w:rPr>
        <w:t xml:space="preserve"> </w:t>
      </w:r>
    </w:p>
    <w:p>
      <w:pPr>
        <w:spacing w:after="0"/>
        <w:ind w:left="1701" w:hanging="1701"/>
        <w:rPr>
          <w:rFonts w:eastAsia="Arial Unicode MS"/>
          <w:noProof/>
          <w:szCs w:val="24"/>
        </w:rPr>
      </w:pPr>
      <w:r>
        <w:rPr>
          <w:noProof/>
        </w:rPr>
        <w:lastRenderedPageBreak/>
        <w:t>10.10.3.1.</w:t>
      </w:r>
      <w:r>
        <w:rPr>
          <w:noProof/>
        </w:rPr>
        <w:tab/>
        <w:t>Nombre de places assises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Emplacement et disposition: …</w:t>
      </w:r>
    </w:p>
    <w:p>
      <w:pPr>
        <w:spacing w:after="0"/>
        <w:ind w:left="1701" w:hanging="1701"/>
        <w:rPr>
          <w:rFonts w:eastAsia="Arial Unicode MS"/>
          <w:noProof/>
          <w:szCs w:val="24"/>
        </w:rPr>
      </w:pPr>
      <w:r>
        <w:rPr>
          <w:noProof/>
        </w:rPr>
        <w:t>10.10.3.2.</w:t>
      </w:r>
      <w:r>
        <w:rPr>
          <w:noProof/>
        </w:rPr>
        <w:tab/>
        <w:t>Place(s) assise(s) conçue(s) pour être utilisée(s) uniquement lorsque le véhicule est à l’arrêt: …</w:t>
      </w:r>
    </w:p>
    <w:p>
      <w:pPr>
        <w:spacing w:after="0"/>
        <w:ind w:left="1701" w:hanging="1701"/>
        <w:rPr>
          <w:rFonts w:eastAsia="Arial Unicode MS"/>
          <w:noProof/>
          <w:szCs w:val="24"/>
        </w:rPr>
      </w:pPr>
      <w:r>
        <w:rPr>
          <w:noProof/>
        </w:rPr>
        <w:t>10.10.4.1.</w:t>
      </w:r>
      <w:r>
        <w:rPr>
          <w:noProof/>
        </w:rPr>
        <w:tab/>
        <w:t>Type(s) d’appuie-tête: intégrés/amovibles/séparés (</w:t>
      </w:r>
      <w:r>
        <w:rPr>
          <w:noProof/>
          <w:vertAlign w:val="superscript"/>
        </w:rPr>
        <w:t>1</w:t>
      </w:r>
      <w:r>
        <w:rPr>
          <w:noProof/>
        </w:rPr>
        <w:t>)</w:t>
      </w:r>
    </w:p>
    <w:p>
      <w:pPr>
        <w:spacing w:after="0"/>
        <w:ind w:left="1701" w:hanging="1701"/>
        <w:rPr>
          <w:rFonts w:eastAsia="Arial Unicode MS"/>
          <w:noProof/>
          <w:szCs w:val="24"/>
        </w:rPr>
      </w:pPr>
      <w:r>
        <w:rPr>
          <w:noProof/>
        </w:rPr>
        <w:t>10.10.4.2.</w:t>
      </w:r>
      <w:r>
        <w:rPr>
          <w:noProof/>
        </w:rPr>
        <w:tab/>
        <w:t>Numéro(s) de réception par type, le cas échéant: …</w:t>
      </w:r>
    </w:p>
    <w:p>
      <w:pPr>
        <w:spacing w:after="0"/>
        <w:ind w:left="1701" w:hanging="1701"/>
        <w:rPr>
          <w:rFonts w:eastAsia="Arial Unicode MS"/>
          <w:noProof/>
          <w:szCs w:val="24"/>
        </w:rPr>
      </w:pPr>
      <w:r>
        <w:rPr>
          <w:noProof/>
        </w:rPr>
        <w:t>10.10.8.</w:t>
      </w:r>
      <w:r>
        <w:rPr>
          <w:noProof/>
        </w:rPr>
        <w:tab/>
        <w:t>Gaz utilisé comme réfrigérant dans le système de climatisation: …</w:t>
      </w:r>
    </w:p>
    <w:p>
      <w:pPr>
        <w:spacing w:after="0"/>
        <w:ind w:left="1701" w:hanging="1701"/>
        <w:rPr>
          <w:rFonts w:eastAsia="Arial Unicode MS"/>
          <w:noProof/>
          <w:szCs w:val="24"/>
        </w:rPr>
      </w:pPr>
      <w:r>
        <w:rPr>
          <w:noProof/>
        </w:rPr>
        <w:t>10.10.8.1.</w:t>
      </w:r>
      <w:r>
        <w:rPr>
          <w:noProof/>
        </w:rPr>
        <w:tab/>
        <w:t>Le système de climatisation est conçu pour contenir des gaz à effet de serre fluorés dont le potentiel de réchauffement planétaire est supérieur à 150: oui/non (</w:t>
      </w:r>
      <w:r>
        <w:rPr>
          <w:noProof/>
          <w:vertAlign w:val="superscript"/>
        </w:rPr>
        <w:t>1</w:t>
      </w:r>
      <w:r>
        <w:rPr>
          <w:noProof/>
        </w:rPr>
        <w:t>)</w:t>
      </w:r>
    </w:p>
    <w:p>
      <w:pPr>
        <w:spacing w:after="240"/>
        <w:ind w:left="1701" w:hanging="1701"/>
        <w:rPr>
          <w:rFonts w:eastAsia="Arial Unicode MS"/>
          <w:noProof/>
          <w:szCs w:val="24"/>
        </w:rPr>
      </w:pPr>
      <w:r>
        <w:rPr>
          <w:noProof/>
        </w:rPr>
        <w:t>10.12.2.</w:t>
      </w:r>
      <w:r>
        <w:rPr>
          <w:noProof/>
        </w:rPr>
        <w:tab/>
        <w:t>Nature et emplacement des systèmes de retenue complémentaires (indiquer oui/non/en option):</w:t>
      </w:r>
    </w:p>
    <w:p>
      <w:pPr>
        <w:rPr>
          <w:noProof/>
        </w:rPr>
      </w:pPr>
      <w:r>
        <w:rPr>
          <w:noProof/>
        </w:rPr>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0"/>
                <w:szCs w:val="20"/>
              </w:rPr>
            </w:pPr>
            <w:r>
              <w:rPr>
                <w:noProof/>
                <w:sz w:val="20"/>
                <w:szCs w:val="20"/>
              </w:rPr>
              <w:lastRenderedPageBreak/>
              <w:t>(L = côté gauche, R = côté droit, C = centre)</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Airbag frontal</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Cs w:val="24"/>
              </w:rPr>
            </w:pPr>
            <w:r>
              <w:rPr>
                <w:noProof/>
                <w:sz w:val="22"/>
              </w:rPr>
              <w:t>Airbag latéral</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Tendeur de sangle de la ceinture</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3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6"/>
              <w:gridCol w:w="574"/>
            </w:tblGrid>
            <w:tr>
              <w:trPr>
                <w:tblCellSpacing w:w="15" w:type="dxa"/>
              </w:trPr>
              <w:tc>
                <w:tcPr>
                  <w:tcW w:w="3672" w:type="pct"/>
                  <w:hideMark/>
                </w:tcPr>
                <w:p>
                  <w:pPr>
                    <w:spacing w:after="0"/>
                    <w:jc w:val="left"/>
                    <w:rPr>
                      <w:rFonts w:eastAsia="Arial Unicode MS"/>
                      <w:noProof/>
                      <w:szCs w:val="24"/>
                    </w:rPr>
                  </w:pPr>
                  <w:r>
                    <w:rPr>
                      <w:noProof/>
                      <w:sz w:val="22"/>
                    </w:rPr>
                    <w:t>Première rangée de sièges</w:t>
                  </w:r>
                </w:p>
              </w:tc>
              <w:tc>
                <w:tcPr>
                  <w:tcW w:w="1135" w:type="pct"/>
                </w:tcPr>
                <w:p>
                  <w:pPr>
                    <w:spacing w:after="0"/>
                    <w:ind w:left="1701" w:hanging="1701"/>
                    <w:jc w:val="left"/>
                    <w:rPr>
                      <w:rFonts w:eastAsia="Arial Unicode MS"/>
                      <w:noProof/>
                      <w:szCs w:val="24"/>
                    </w:rPr>
                  </w:pPr>
                  <w:r>
                    <w:rPr>
                      <w:rFonts w:eastAsia="Arial Unicode MS"/>
                      <w:noProof/>
                      <w:szCs w:val="24"/>
                      <w:lang w:val="en-US" w:eastAsia="en-US"/>
                    </w:rPr>
                    <w:drawing>
                      <wp:inline distT="0" distB="0" distL="0" distR="0">
                        <wp:extent cx="170180" cy="67564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0180" cy="675640"/>
                                </a:xfrm>
                                <a:prstGeom prst="rect">
                                  <a:avLst/>
                                </a:prstGeom>
                                <a:noFill/>
                                <a:ln>
                                  <a:noFill/>
                                </a:ln>
                              </pic:spPr>
                            </pic:pic>
                          </a:graphicData>
                        </a:graphic>
                      </wp:inline>
                    </w:drawing>
                  </w:r>
                </w:p>
              </w:tc>
            </w:tr>
          </w:tbl>
          <w:p>
            <w:pPr>
              <w:spacing w:after="0"/>
              <w:ind w:left="1701" w:hanging="1701"/>
              <w:rPr>
                <w:rFonts w:eastAsia="Arial Unicode MS"/>
                <w:noProof/>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6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2"/>
              <w:gridCol w:w="600"/>
            </w:tblGrid>
            <w:tr>
              <w:trPr>
                <w:tblCellSpacing w:w="15" w:type="dxa"/>
              </w:trPr>
              <w:tc>
                <w:tcPr>
                  <w:tcW w:w="1717" w:type="dxa"/>
                  <w:vAlign w:val="center"/>
                  <w:hideMark/>
                </w:tcPr>
                <w:p>
                  <w:pPr>
                    <w:spacing w:after="0"/>
                    <w:jc w:val="left"/>
                    <w:rPr>
                      <w:rFonts w:eastAsia="Arial Unicode MS"/>
                      <w:noProof/>
                      <w:szCs w:val="24"/>
                    </w:rPr>
                  </w:pPr>
                  <w:r>
                    <w:rPr>
                      <w:noProof/>
                      <w:sz w:val="22"/>
                    </w:rPr>
                    <w:t>Deuxième rangée de sièges (</w:t>
                  </w:r>
                  <w:r>
                    <w:rPr>
                      <w:noProof/>
                      <w:sz w:val="22"/>
                      <w:vertAlign w:val="superscript"/>
                    </w:rPr>
                    <w:t>*</w:t>
                  </w:r>
                  <w:r>
                    <w:rPr>
                      <w:noProof/>
                      <w:sz w:val="22"/>
                    </w:rPr>
                    <w:t xml:space="preserve">) </w:t>
                  </w:r>
                </w:p>
              </w:tc>
              <w:tc>
                <w:tcPr>
                  <w:tcW w:w="555" w:type="dxa"/>
                  <w:vAlign w:val="center"/>
                </w:tcPr>
                <w:p>
                  <w:pPr>
                    <w:spacing w:after="0"/>
                    <w:jc w:val="left"/>
                    <w:rPr>
                      <w:rFonts w:eastAsia="Arial Unicode MS"/>
                      <w:noProof/>
                      <w:szCs w:val="24"/>
                    </w:rPr>
                  </w:pPr>
                  <w:r>
                    <w:rPr>
                      <w:rFonts w:eastAsia="Arial Unicode MS"/>
                      <w:noProof/>
                      <w:szCs w:val="24"/>
                      <w:lang w:val="en-US" w:eastAsia="en-US"/>
                    </w:rPr>
                    <w:drawing>
                      <wp:inline distT="0" distB="0" distL="0" distR="0">
                        <wp:extent cx="170180" cy="735330"/>
                        <wp:effectExtent l="0" t="0" r="127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0180" cy="735330"/>
                                </a:xfrm>
                                <a:prstGeom prst="rect">
                                  <a:avLst/>
                                </a:prstGeom>
                                <a:noFill/>
                                <a:ln>
                                  <a:noFill/>
                                </a:ln>
                              </pic:spPr>
                            </pic:pic>
                          </a:graphicData>
                        </a:graphic>
                      </wp:inline>
                    </w:drawing>
                  </w:r>
                </w:p>
              </w:tc>
            </w:tr>
          </w:tbl>
          <w:p>
            <w:pPr>
              <w:spacing w:after="0"/>
              <w:ind w:left="1701" w:hanging="1701"/>
              <w:rPr>
                <w:rFonts w:eastAsia="Arial Unicode MS"/>
                <w:noProof/>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0"/>
                <w:szCs w:val="20"/>
              </w:rPr>
            </w:pPr>
            <w:r>
              <w:rPr>
                <w:noProof/>
                <w:sz w:val="20"/>
                <w:szCs w:val="20"/>
              </w:rPr>
              <w:t>(</w:t>
            </w:r>
            <w:r>
              <w:rPr>
                <w:noProof/>
                <w:sz w:val="20"/>
                <w:szCs w:val="20"/>
                <w:vertAlign w:val="superscript"/>
              </w:rPr>
              <w:t>*</w:t>
            </w:r>
            <w:r>
              <w:rPr>
                <w:noProof/>
                <w:sz w:val="20"/>
                <w:szCs w:val="20"/>
              </w:rPr>
              <w:t>)</w:t>
            </w:r>
            <w:r>
              <w:rPr>
                <w:noProof/>
                <w:sz w:val="20"/>
                <w:szCs w:val="20"/>
              </w:rPr>
              <w:tab/>
              <w:t>Le tableau peut être étendu, si nécessaire, pour les véhicules équipés de plus de deux rangées de sièges ou de plus de trois sièges par rangée.</w:t>
            </w:r>
          </w:p>
        </w:tc>
      </w:tr>
    </w:tbl>
    <w:p>
      <w:pPr>
        <w:spacing w:before="240"/>
        <w:ind w:left="1843" w:hanging="1843"/>
        <w:jc w:val="left"/>
        <w:rPr>
          <w:rFonts w:eastAsia="Arial Unicode MS"/>
          <w:b/>
          <w:bCs/>
          <w:noProof/>
          <w:szCs w:val="24"/>
        </w:rPr>
      </w:pPr>
      <w:r>
        <w:rPr>
          <w:noProof/>
        </w:rPr>
        <w:t>10.17.</w:t>
      </w:r>
      <w:r>
        <w:rPr>
          <w:noProof/>
        </w:rPr>
        <w:tab/>
      </w:r>
      <w:r>
        <w:rPr>
          <w:b/>
          <w:noProof/>
        </w:rPr>
        <w:t xml:space="preserve">Plaques réglementaires </w:t>
      </w:r>
    </w:p>
    <w:p>
      <w:pPr>
        <w:spacing w:after="0"/>
        <w:ind w:left="1843" w:hanging="1843"/>
        <w:rPr>
          <w:rFonts w:eastAsia="Arial Unicode MS"/>
          <w:noProof/>
          <w:szCs w:val="24"/>
        </w:rPr>
      </w:pPr>
      <w:r>
        <w:rPr>
          <w:noProof/>
        </w:rPr>
        <w:t>10.17.1.</w:t>
      </w:r>
      <w:r>
        <w:rPr>
          <w:noProof/>
        </w:rPr>
        <w:tab/>
        <w:t>Photographies et/ou dessins montrant l’emplacement des plaques et des inscriptions réglementaires et du numéro d'identification du véhicule: …</w:t>
      </w:r>
    </w:p>
    <w:p>
      <w:pPr>
        <w:spacing w:after="0"/>
        <w:ind w:left="1843" w:hanging="1843"/>
        <w:rPr>
          <w:rFonts w:eastAsia="Arial Unicode MS"/>
          <w:noProof/>
          <w:szCs w:val="24"/>
        </w:rPr>
      </w:pPr>
      <w:r>
        <w:rPr>
          <w:noProof/>
        </w:rPr>
        <w:t>10.17.2.</w:t>
      </w:r>
      <w:r>
        <w:rPr>
          <w:noProof/>
        </w:rPr>
        <w:tab/>
        <w:t>Photographies et/ou dessins des plaques et des inscriptions réglementaires (exemple complété avec dimensions): …</w:t>
      </w:r>
    </w:p>
    <w:p>
      <w:pPr>
        <w:spacing w:after="0"/>
        <w:ind w:left="1843" w:hanging="1843"/>
        <w:rPr>
          <w:rFonts w:eastAsia="Arial Unicode MS"/>
          <w:noProof/>
          <w:szCs w:val="24"/>
        </w:rPr>
      </w:pPr>
      <w:r>
        <w:rPr>
          <w:noProof/>
        </w:rPr>
        <w:t>10.17.3.</w:t>
      </w:r>
      <w:r>
        <w:rPr>
          <w:noProof/>
        </w:rPr>
        <w:tab/>
        <w:t>Photographies et/ou dessins du numéro d'identification du véhicule (exemple complété avec dimensions): …</w:t>
      </w:r>
    </w:p>
    <w:p>
      <w:pPr>
        <w:spacing w:after="0"/>
        <w:ind w:left="1843" w:hanging="1843"/>
        <w:rPr>
          <w:rFonts w:eastAsia="Arial Unicode MS"/>
          <w:noProof/>
          <w:szCs w:val="24"/>
        </w:rPr>
      </w:pPr>
      <w:r>
        <w:rPr>
          <w:noProof/>
        </w:rPr>
        <w:t>10.17.4.1.</w:t>
      </w:r>
      <w:r>
        <w:rPr>
          <w:noProof/>
        </w:rPr>
        <w:tab/>
        <w:t>La signification des caractères de la partie «descripteur du véhicule» du VIN et, le cas échéant, de la partie «désignation du véhicule» du VIN, lorsqu’ils sont utilisés pour satisfaire aux prescriptions du paragraphe 5.3 de la norme ISO 3779-1983, doit être expliquée: …</w:t>
      </w:r>
    </w:p>
    <w:p>
      <w:pPr>
        <w:spacing w:after="0"/>
        <w:ind w:left="1843" w:hanging="1843"/>
        <w:rPr>
          <w:rFonts w:eastAsia="Arial Unicode MS"/>
          <w:noProof/>
          <w:szCs w:val="24"/>
        </w:rPr>
      </w:pPr>
      <w:r>
        <w:rPr>
          <w:noProof/>
        </w:rPr>
        <w:t>10.17.4.2.</w:t>
      </w:r>
      <w:r>
        <w:rPr>
          <w:noProof/>
        </w:rPr>
        <w:tab/>
        <w:t>Si les caractères de la partie «descripteur du véhicule» du VIN sont utilisés pour satisfaire aux prescriptions du paragraphe 5.4 de la norme ISO 3779-1983, ces caractères doivent être indiqués.</w:t>
      </w:r>
    </w:p>
    <w:p>
      <w:pPr>
        <w:spacing w:before="240"/>
        <w:ind w:left="1701" w:hanging="1701"/>
        <w:jc w:val="left"/>
        <w:rPr>
          <w:rFonts w:eastAsia="Arial Unicode MS"/>
          <w:b/>
          <w:bCs/>
          <w:noProof/>
          <w:szCs w:val="24"/>
        </w:rPr>
      </w:pPr>
      <w:r>
        <w:rPr>
          <w:noProof/>
        </w:rPr>
        <w:t>10.22.</w:t>
      </w:r>
      <w:r>
        <w:rPr>
          <w:noProof/>
        </w:rPr>
        <w:tab/>
      </w:r>
      <w:r>
        <w:rPr>
          <w:b/>
          <w:noProof/>
        </w:rPr>
        <w:t xml:space="preserve">Protection avant contre l’encastrement </w:t>
      </w:r>
    </w:p>
    <w:p>
      <w:pPr>
        <w:spacing w:after="0"/>
        <w:ind w:left="1701" w:hanging="1701"/>
        <w:rPr>
          <w:rFonts w:eastAsia="Arial Unicode MS"/>
          <w:noProof/>
          <w:szCs w:val="24"/>
        </w:rPr>
      </w:pPr>
      <w:r>
        <w:rPr>
          <w:noProof/>
        </w:rPr>
        <w:t>10.22.0.</w:t>
      </w:r>
      <w:r>
        <w:rPr>
          <w:noProof/>
        </w:rPr>
        <w:tab/>
        <w:t>Présence: oui/non/incomplète (</w:t>
      </w:r>
      <w:r>
        <w:rPr>
          <w:noProof/>
          <w:vertAlign w:val="superscript"/>
        </w:rPr>
        <w:t>1</w:t>
      </w:r>
      <w:r>
        <w:rPr>
          <w:noProof/>
        </w:rPr>
        <w:t>)</w:t>
      </w:r>
    </w:p>
    <w:p>
      <w:pPr>
        <w:spacing w:before="240"/>
        <w:ind w:left="1701" w:hanging="1701"/>
        <w:jc w:val="left"/>
        <w:rPr>
          <w:rFonts w:eastAsia="Arial Unicode MS"/>
          <w:b/>
          <w:bCs/>
          <w:noProof/>
          <w:szCs w:val="24"/>
        </w:rPr>
      </w:pPr>
      <w:r>
        <w:rPr>
          <w:noProof/>
        </w:rPr>
        <w:t>10.23.</w:t>
      </w:r>
      <w:r>
        <w:rPr>
          <w:noProof/>
        </w:rPr>
        <w:tab/>
      </w:r>
      <w:r>
        <w:rPr>
          <w:b/>
          <w:noProof/>
        </w:rPr>
        <w:t xml:space="preserve">Protection des piétons </w:t>
      </w:r>
    </w:p>
    <w:p>
      <w:pPr>
        <w:spacing w:after="0"/>
        <w:ind w:left="1701" w:hanging="1701"/>
        <w:rPr>
          <w:rFonts w:eastAsia="Arial Unicode MS"/>
          <w:noProof/>
          <w:szCs w:val="24"/>
        </w:rPr>
      </w:pPr>
      <w:r>
        <w:rPr>
          <w:noProof/>
        </w:rPr>
        <w:t>10.23.1.</w:t>
      </w:r>
      <w:r>
        <w:rPr>
          <w:noProof/>
        </w:rPr>
        <w:tab/>
        <w:t>Description détaillée, comprenant des photographies et/ou des dessins, du véhicule, en ce qui concerne la structure, les dimensions, les lignes de référence pertinentes et les matériaux constitutifs de la partie frontale du véhicule (intérieur et extérieur), ainsi que le détail de tout système de protection active installé</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Systèmes de protection frontale</w:t>
            </w:r>
          </w:p>
        </w:tc>
      </w:tr>
      <w:tr>
        <w:trPr>
          <w:tblCellSpacing w:w="0" w:type="dxa"/>
        </w:trPr>
        <w:tc>
          <w:tcPr>
            <w:tcW w:w="923" w:type="pct"/>
          </w:tcPr>
          <w:p>
            <w:pPr>
              <w:spacing w:after="0"/>
              <w:rPr>
                <w:rFonts w:eastAsia="Arial Unicode MS"/>
                <w:noProof/>
                <w:szCs w:val="24"/>
              </w:rPr>
            </w:pPr>
            <w:r>
              <w:rPr>
                <w:noProof/>
              </w:rPr>
              <w:t>10.24.1.</w:t>
            </w:r>
          </w:p>
        </w:tc>
        <w:tc>
          <w:tcPr>
            <w:tcW w:w="4077" w:type="pct"/>
          </w:tcPr>
          <w:p>
            <w:pPr>
              <w:spacing w:after="0"/>
              <w:rPr>
                <w:rFonts w:eastAsia="Arial Unicode MS"/>
                <w:noProof/>
                <w:szCs w:val="24"/>
              </w:rPr>
            </w:pPr>
            <w:r>
              <w:rPr>
                <w:noProof/>
              </w:rPr>
              <w:t>Vue d’ensemble (dessins ou photographies) montrant la position et la fixation des systèmes de protection frontale</w:t>
            </w:r>
          </w:p>
        </w:tc>
      </w:tr>
      <w:tr>
        <w:trPr>
          <w:tblCellSpacing w:w="0" w:type="dxa"/>
        </w:trPr>
        <w:tc>
          <w:tcPr>
            <w:tcW w:w="923" w:type="pct"/>
          </w:tcPr>
          <w:p>
            <w:pPr>
              <w:spacing w:after="0"/>
              <w:rPr>
                <w:rFonts w:eastAsia="Arial Unicode MS"/>
                <w:noProof/>
                <w:szCs w:val="24"/>
              </w:rPr>
            </w:pPr>
            <w:r>
              <w:rPr>
                <w:noProof/>
              </w:rPr>
              <w:lastRenderedPageBreak/>
              <w:t>10.24.3.</w:t>
            </w:r>
          </w:p>
        </w:tc>
        <w:tc>
          <w:tcPr>
            <w:tcW w:w="4077" w:type="pct"/>
          </w:tcPr>
          <w:p>
            <w:pPr>
              <w:spacing w:after="0"/>
              <w:rPr>
                <w:rFonts w:eastAsia="Arial Unicode MS"/>
                <w:noProof/>
                <w:szCs w:val="24"/>
              </w:rPr>
            </w:pPr>
            <w:r>
              <w:rPr>
                <w:noProof/>
              </w:rPr>
              <w:t>Détail complet des éléments de fixation nécessaires et instructions complètes de montage, y compris prescriptions en matière de couples de serrage</w:t>
            </w:r>
          </w:p>
        </w:tc>
      </w:tr>
    </w:tbl>
    <w:p>
      <w:pPr>
        <w:spacing w:before="360"/>
        <w:ind w:left="1701" w:hanging="1701"/>
        <w:jc w:val="left"/>
        <w:rPr>
          <w:rFonts w:eastAsia="Arial Unicode MS"/>
          <w:bCs/>
          <w:noProof/>
          <w:szCs w:val="24"/>
        </w:rPr>
      </w:pPr>
      <w:r>
        <w:rPr>
          <w:noProof/>
        </w:rPr>
        <w:t>11.</w:t>
      </w:r>
      <w:r>
        <w:rPr>
          <w:noProof/>
        </w:rPr>
        <w:tab/>
        <w:t xml:space="preserve">LIAISONS ENTRE VÉHICULES TRACTEURS ET REMORQUES ET SEMI-REMORQUES </w:t>
      </w:r>
    </w:p>
    <w:p>
      <w:pPr>
        <w:spacing w:before="240" w:after="0"/>
        <w:ind w:left="1701" w:hanging="1701"/>
        <w:rPr>
          <w:rFonts w:eastAsia="Arial Unicode MS"/>
          <w:noProof/>
          <w:szCs w:val="24"/>
        </w:rPr>
      </w:pPr>
      <w:r>
        <w:rPr>
          <w:noProof/>
        </w:rPr>
        <w:t>11.1.</w:t>
      </w:r>
      <w:r>
        <w:rPr>
          <w:noProof/>
        </w:rPr>
        <w:tab/>
        <w:t>Classe et type du ou des dispositifs d’attelage montés ou à monter: …</w:t>
      </w:r>
    </w:p>
    <w:p>
      <w:pPr>
        <w:spacing w:before="240" w:after="0"/>
        <w:ind w:left="1701" w:hanging="1701"/>
        <w:rPr>
          <w:rFonts w:eastAsia="Arial Unicode MS"/>
          <w:noProof/>
          <w:szCs w:val="24"/>
        </w:rPr>
      </w:pPr>
      <w:r>
        <w:rPr>
          <w:noProof/>
        </w:rPr>
        <w:t>11.3.</w:t>
      </w:r>
      <w:r>
        <w:rPr>
          <w:noProof/>
        </w:rPr>
        <w:tab/>
        <w:t>Instructions concernant la mise en place du dispositif d’attelage sur le véhicule et photographies ou dessins des points d’attache sur le véhicule indiqués par le constructeur; informations complémentaires si le type d’attelage en cause est réservé à certaines variantes ou versions du type de véhicule: …</w:t>
      </w:r>
    </w:p>
    <w:p>
      <w:pPr>
        <w:spacing w:before="240" w:after="0"/>
        <w:ind w:left="1701" w:hanging="1701"/>
        <w:rPr>
          <w:rFonts w:eastAsia="Arial Unicode MS"/>
          <w:noProof/>
          <w:szCs w:val="24"/>
        </w:rPr>
      </w:pPr>
      <w:r>
        <w:rPr>
          <w:noProof/>
        </w:rPr>
        <w:t>11.4.</w:t>
      </w:r>
      <w:r>
        <w:rPr>
          <w:noProof/>
        </w:rPr>
        <w:tab/>
        <w:t>Informations concernant la mise en place de supports ou de socles de remorquage spéciaux: …</w:t>
      </w:r>
    </w:p>
    <w:p>
      <w:pPr>
        <w:spacing w:before="240" w:after="0"/>
        <w:ind w:left="1701" w:hanging="1701"/>
        <w:rPr>
          <w:rFonts w:eastAsia="Arial Unicode MS"/>
          <w:noProof/>
          <w:szCs w:val="24"/>
        </w:rPr>
      </w:pPr>
      <w:r>
        <w:rPr>
          <w:noProof/>
        </w:rPr>
        <w:t>11.5.</w:t>
      </w:r>
      <w:r>
        <w:rPr>
          <w:noProof/>
        </w:rPr>
        <w:tab/>
        <w:t>Numéro(s) de réception par type: …</w:t>
      </w:r>
    </w:p>
    <w:p>
      <w:pPr>
        <w:spacing w:before="360"/>
        <w:ind w:left="1701" w:hanging="1701"/>
        <w:jc w:val="left"/>
        <w:rPr>
          <w:rFonts w:eastAsia="Arial Unicode MS"/>
          <w:bCs/>
          <w:noProof/>
          <w:szCs w:val="24"/>
        </w:rPr>
      </w:pPr>
      <w:r>
        <w:rPr>
          <w:noProof/>
        </w:rPr>
        <w:t>12.</w:t>
      </w:r>
      <w:r>
        <w:rPr>
          <w:noProof/>
        </w:rPr>
        <w:tab/>
        <w:t xml:space="preserve">DIVERS </w:t>
      </w:r>
    </w:p>
    <w:p>
      <w:pPr>
        <w:spacing w:before="240" w:after="0"/>
        <w:ind w:left="1701" w:hanging="1701"/>
        <w:rPr>
          <w:rFonts w:eastAsia="Arial Unicode MS"/>
          <w:noProof/>
          <w:szCs w:val="24"/>
        </w:rPr>
      </w:pPr>
      <w:r>
        <w:rPr>
          <w:noProof/>
        </w:rPr>
        <w:t>12.7.1.</w:t>
      </w:r>
      <w:r>
        <w:rPr>
          <w:noProof/>
        </w:rPr>
        <w:tab/>
        <w:t>Véhicule équipé d’un système radar à courte portée de 24 GHz: oui/non (</w:t>
      </w:r>
      <w:r>
        <w:rPr>
          <w:noProof/>
          <w:vertAlign w:val="superscript"/>
        </w:rPr>
        <w:t>1</w:t>
      </w:r>
      <w:r>
        <w:rPr>
          <w:noProof/>
        </w:rPr>
        <w:t>)</w:t>
      </w:r>
    </w:p>
    <w:p>
      <w:pPr>
        <w:spacing w:before="360"/>
        <w:ind w:left="1701" w:hanging="1701"/>
        <w:jc w:val="left"/>
        <w:rPr>
          <w:rFonts w:eastAsia="Arial Unicode MS"/>
          <w:bCs/>
          <w:noProof/>
          <w:szCs w:val="24"/>
        </w:rPr>
      </w:pPr>
      <w:r>
        <w:rPr>
          <w:noProof/>
        </w:rPr>
        <w:t>13.</w:t>
      </w:r>
      <w:r>
        <w:rPr>
          <w:noProof/>
        </w:rPr>
        <w:tab/>
        <w:t xml:space="preserve">DISPOSITIONS PARTICULIÈRES POUR LES AUTOBUS ET AUTOCARS </w:t>
      </w:r>
    </w:p>
    <w:p>
      <w:pPr>
        <w:spacing w:after="0"/>
        <w:ind w:left="1701" w:hanging="1701"/>
        <w:rPr>
          <w:rFonts w:eastAsia="Arial Unicode MS"/>
          <w:noProof/>
          <w:szCs w:val="24"/>
        </w:rPr>
      </w:pPr>
      <w:r>
        <w:rPr>
          <w:noProof/>
        </w:rPr>
        <w:t>13.1.</w:t>
      </w:r>
      <w:r>
        <w:rPr>
          <w:noProof/>
        </w:rPr>
        <w:tab/>
      </w:r>
      <w:r>
        <w:rPr>
          <w:b/>
          <w:noProof/>
        </w:rPr>
        <w:t>Classe de véhicule:</w:t>
      </w:r>
      <w:r>
        <w:rPr>
          <w:noProof/>
        </w:rPr>
        <w:t xml:space="preserve"> classe I, classe II, classe III, classe A, classe B (</w:t>
      </w:r>
      <w:r>
        <w:rPr>
          <w:noProof/>
          <w:vertAlign w:val="superscript"/>
        </w:rPr>
        <w:t>1</w:t>
      </w:r>
      <w:r>
        <w:rPr>
          <w:noProof/>
        </w:rPr>
        <w:t>)</w:t>
      </w:r>
    </w:p>
    <w:p>
      <w:pPr>
        <w:spacing w:after="0"/>
        <w:ind w:left="1701" w:hanging="1701"/>
        <w:rPr>
          <w:rFonts w:eastAsia="Arial Unicode MS"/>
          <w:noProof/>
          <w:szCs w:val="24"/>
        </w:rPr>
      </w:pPr>
      <w:r>
        <w:rPr>
          <w:noProof/>
        </w:rPr>
        <w:t>13.1.2.</w:t>
      </w:r>
      <w:r>
        <w:rPr>
          <w:noProof/>
        </w:rPr>
        <w:tab/>
        <w:t>Types de châssis sur lesquels la carrosserie réceptionnée par type peut être installée [constructeur(s) et type(s) de véhicule]: …</w:t>
      </w:r>
    </w:p>
    <w:p>
      <w:pPr>
        <w:spacing w:after="0"/>
        <w:ind w:left="1701" w:hanging="1701"/>
        <w:rPr>
          <w:rFonts w:eastAsia="Arial Unicode MS"/>
          <w:noProof/>
          <w:szCs w:val="24"/>
        </w:rPr>
      </w:pPr>
      <w:r>
        <w:rPr>
          <w:noProof/>
        </w:rPr>
        <w:t>13.3.</w:t>
      </w:r>
      <w:r>
        <w:rPr>
          <w:noProof/>
        </w:rPr>
        <w:tab/>
      </w:r>
      <w:r>
        <w:rPr>
          <w:b/>
          <w:noProof/>
        </w:rPr>
        <w:t>Nombre de passagers</w:t>
      </w:r>
      <w:r>
        <w:rPr>
          <w:noProof/>
        </w:rPr>
        <w:t xml:space="preserve"> (assis et debout)</w:t>
      </w:r>
    </w:p>
    <w:p>
      <w:pPr>
        <w:spacing w:after="0"/>
        <w:ind w:left="1701" w:hanging="1701"/>
        <w:rPr>
          <w:rFonts w:eastAsia="Arial Unicode MS"/>
          <w:noProof/>
          <w:szCs w:val="24"/>
        </w:rPr>
      </w:pPr>
      <w:r>
        <w:rPr>
          <w:noProof/>
        </w:rPr>
        <w:t>13.3.1.</w:t>
      </w:r>
      <w:r>
        <w:rPr>
          <w:noProof/>
        </w:rPr>
        <w:tab/>
        <w:t>Total (N): …</w:t>
      </w:r>
    </w:p>
    <w:p>
      <w:pPr>
        <w:spacing w:after="0"/>
        <w:ind w:left="1701" w:hanging="1701"/>
        <w:rPr>
          <w:rFonts w:eastAsia="Arial Unicode MS"/>
          <w:noProof/>
          <w:szCs w:val="24"/>
        </w:rPr>
      </w:pPr>
      <w:r>
        <w:rPr>
          <w:noProof/>
        </w:rPr>
        <w:t>13.3.2.</w:t>
      </w:r>
      <w:r>
        <w:rPr>
          <w:noProof/>
        </w:rPr>
        <w:tab/>
        <w:t>Étage supérieur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Étage inférieur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r>
      <w:r>
        <w:rPr>
          <w:b/>
          <w:noProof/>
        </w:rPr>
        <w:t>Nombre de passagers</w:t>
      </w:r>
      <w:r>
        <w:rPr>
          <w:noProof/>
        </w:rPr>
        <w:t xml:space="preserve"> (assis)</w:t>
      </w:r>
    </w:p>
    <w:p>
      <w:pPr>
        <w:spacing w:after="0"/>
        <w:ind w:left="1701" w:hanging="1701"/>
        <w:rPr>
          <w:rFonts w:eastAsia="Arial Unicode MS"/>
          <w:noProof/>
          <w:szCs w:val="24"/>
        </w:rPr>
      </w:pPr>
      <w:r>
        <w:rPr>
          <w:noProof/>
        </w:rPr>
        <w:t>13.4.1.</w:t>
      </w:r>
      <w:r>
        <w:rPr>
          <w:noProof/>
        </w:rPr>
        <w:tab/>
        <w:t>Total (A): …</w:t>
      </w:r>
    </w:p>
    <w:p>
      <w:pPr>
        <w:spacing w:after="0"/>
        <w:ind w:left="1701" w:hanging="1701"/>
        <w:rPr>
          <w:rFonts w:eastAsia="Arial Unicode MS"/>
          <w:noProof/>
          <w:szCs w:val="24"/>
        </w:rPr>
      </w:pPr>
      <w:r>
        <w:rPr>
          <w:noProof/>
        </w:rPr>
        <w:t>13.4.2.</w:t>
      </w:r>
      <w:r>
        <w:rPr>
          <w:noProof/>
        </w:rPr>
        <w:tab/>
        <w:t>Étage supérieur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13.4.3.</w:t>
      </w:r>
      <w:r>
        <w:rPr>
          <w:noProof/>
        </w:rPr>
        <w:tab/>
        <w:t>Étage inférieur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13.4.4.</w:t>
      </w:r>
      <w:r>
        <w:rPr>
          <w:noProof/>
        </w:rPr>
        <w:tab/>
        <w:t>Nombre de places pour fauteuil roulant (véhicules des catégories M</w:t>
      </w:r>
      <w:r>
        <w:rPr>
          <w:noProof/>
          <w:vertAlign w:val="subscript"/>
        </w:rPr>
        <w:t>2</w:t>
      </w:r>
      <w:r>
        <w:rPr>
          <w:noProof/>
        </w:rPr>
        <w:t xml:space="preserve"> et M</w:t>
      </w:r>
      <w:r>
        <w:rPr>
          <w:noProof/>
          <w:vertAlign w:val="subscript"/>
        </w:rPr>
        <w:t>3</w:t>
      </w:r>
      <w:r>
        <w:rPr>
          <w:noProof/>
        </w:rPr>
        <w:t>): …</w:t>
      </w:r>
    </w:p>
    <w:p>
      <w:pPr>
        <w:spacing w:before="360"/>
        <w:ind w:left="1701" w:hanging="1701"/>
        <w:jc w:val="left"/>
        <w:rPr>
          <w:rFonts w:eastAsia="Arial Unicode MS"/>
          <w:bCs/>
          <w:noProof/>
          <w:szCs w:val="24"/>
        </w:rPr>
      </w:pPr>
      <w:r>
        <w:rPr>
          <w:noProof/>
        </w:rPr>
        <w:t>16.</w:t>
      </w:r>
      <w:r>
        <w:rPr>
          <w:noProof/>
        </w:rPr>
        <w:tab/>
        <w:t xml:space="preserve">ACCÈS AUX INFORMATIONS SUR LA RÉPARATION ET L’ENTRETIEN DES VÉHICULES </w:t>
      </w:r>
    </w:p>
    <w:p>
      <w:pPr>
        <w:spacing w:after="0"/>
        <w:ind w:left="1701" w:hanging="1701"/>
        <w:rPr>
          <w:rFonts w:eastAsia="Arial Unicode MS"/>
          <w:noProof/>
          <w:szCs w:val="24"/>
        </w:rPr>
      </w:pPr>
      <w:r>
        <w:rPr>
          <w:noProof/>
        </w:rPr>
        <w:lastRenderedPageBreak/>
        <w:t>16.1.</w:t>
      </w:r>
      <w:r>
        <w:rPr>
          <w:noProof/>
        </w:rPr>
        <w:tab/>
        <w:t>Adresse du principal site internet permettant d’accéder aux informations sur la réparation et l’entretien des véhicules: …</w:t>
      </w:r>
    </w:p>
    <w:p>
      <w:pPr>
        <w:spacing w:before="0" w:after="200" w:line="276" w:lineRule="auto"/>
        <w:jc w:val="left"/>
        <w:rPr>
          <w:rFonts w:eastAsia="Arial Unicode MS"/>
          <w:bCs/>
          <w:noProof/>
          <w:szCs w:val="24"/>
        </w:rPr>
      </w:pPr>
      <w:r>
        <w:rPr>
          <w:noProof/>
        </w:rPr>
        <w:br w:type="page"/>
      </w:r>
    </w:p>
    <w:p>
      <w:pPr>
        <w:spacing w:before="360" w:after="360"/>
        <w:ind w:left="567" w:hanging="567"/>
        <w:jc w:val="center"/>
        <w:rPr>
          <w:rFonts w:eastAsia="Arial Unicode MS"/>
          <w:b/>
          <w:bCs/>
          <w:noProof/>
          <w:szCs w:val="24"/>
        </w:rPr>
      </w:pPr>
      <w:r>
        <w:rPr>
          <w:noProof/>
        </w:rPr>
        <w:lastRenderedPageBreak/>
        <w:t>B.</w:t>
      </w:r>
      <w:r>
        <w:rPr>
          <w:noProof/>
        </w:rPr>
        <w:tab/>
      </w:r>
      <w:r>
        <w:rPr>
          <w:b/>
          <w:noProof/>
        </w:rPr>
        <w:t>Catégorie O</w:t>
      </w:r>
    </w:p>
    <w:p>
      <w:pPr>
        <w:ind w:left="1701" w:hanging="1701"/>
        <w:jc w:val="left"/>
        <w:rPr>
          <w:rFonts w:eastAsia="Arial Unicode MS"/>
          <w:b/>
          <w:bCs/>
          <w:noProof/>
          <w:szCs w:val="24"/>
        </w:rPr>
      </w:pPr>
      <w:r>
        <w:rPr>
          <w:noProof/>
        </w:rPr>
        <w:t>1.</w:t>
      </w:r>
      <w:r>
        <w:rPr>
          <w:noProof/>
        </w:rPr>
        <w:tab/>
      </w:r>
      <w:r>
        <w:rPr>
          <w:b/>
          <w:noProof/>
        </w:rPr>
        <w:t xml:space="preserve">GÉNÉRALITÉS </w:t>
      </w:r>
    </w:p>
    <w:p>
      <w:pPr>
        <w:spacing w:before="240" w:after="0"/>
        <w:ind w:left="1701" w:hanging="1701"/>
        <w:rPr>
          <w:rFonts w:eastAsia="Arial Unicode MS"/>
          <w:noProof/>
          <w:szCs w:val="24"/>
        </w:rPr>
      </w:pPr>
      <w:r>
        <w:rPr>
          <w:noProof/>
        </w:rPr>
        <w:t>1.1.</w:t>
      </w:r>
      <w:r>
        <w:rPr>
          <w:noProof/>
        </w:rPr>
        <w:tab/>
        <w:t>Marque (dénomination commerciale du constructeur): …</w:t>
      </w:r>
    </w:p>
    <w:p>
      <w:pPr>
        <w:spacing w:after="0"/>
        <w:ind w:left="1701" w:hanging="1701"/>
        <w:rPr>
          <w:rFonts w:eastAsia="Arial Unicode MS"/>
          <w:noProof/>
          <w:szCs w:val="24"/>
        </w:rPr>
      </w:pPr>
      <w:r>
        <w:rPr>
          <w:noProof/>
        </w:rPr>
        <w:t>1.2.</w:t>
      </w:r>
      <w:r>
        <w:rPr>
          <w:noProof/>
        </w:rPr>
        <w:tab/>
        <w:t>Type: …</w:t>
      </w:r>
    </w:p>
    <w:p>
      <w:pPr>
        <w:spacing w:after="0"/>
        <w:ind w:left="1701" w:hanging="1701"/>
        <w:rPr>
          <w:rFonts w:eastAsia="Arial Unicode MS"/>
          <w:noProof/>
          <w:szCs w:val="24"/>
        </w:rPr>
      </w:pPr>
      <w:r>
        <w:rPr>
          <w:noProof/>
        </w:rPr>
        <w:t>1.2.1.</w:t>
      </w:r>
      <w:r>
        <w:rPr>
          <w:noProof/>
        </w:rPr>
        <w:tab/>
        <w:t>Appellation(s) commerciale(s) (le cas échéant): …</w:t>
      </w:r>
    </w:p>
    <w:p>
      <w:pPr>
        <w:spacing w:after="0"/>
        <w:ind w:left="1701" w:hanging="1701"/>
        <w:rPr>
          <w:rFonts w:eastAsia="Arial Unicode MS"/>
          <w:noProof/>
          <w:szCs w:val="24"/>
        </w:rPr>
      </w:pPr>
      <w:r>
        <w:rPr>
          <w:noProof/>
        </w:rPr>
        <w:t>1.3.</w:t>
      </w:r>
      <w:r>
        <w:rPr>
          <w:noProof/>
        </w:rPr>
        <w:tab/>
        <w:t>Moyens d’identification du type, s’il est indiqué sur le véhicule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Emplacement de ce marquage: …</w:t>
      </w:r>
    </w:p>
    <w:p>
      <w:pPr>
        <w:spacing w:after="0"/>
        <w:ind w:left="1701" w:hanging="1701"/>
        <w:rPr>
          <w:rFonts w:eastAsia="Arial Unicode MS"/>
          <w:noProof/>
          <w:szCs w:val="24"/>
        </w:rPr>
      </w:pPr>
      <w:r>
        <w:rPr>
          <w:noProof/>
        </w:rPr>
        <w:t>1.4.</w:t>
      </w:r>
      <w:r>
        <w:rPr>
          <w:noProof/>
        </w:rPr>
        <w:tab/>
        <w:t>Catégorie de véhicule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Classification(s) en fonction des marchandises dangereuses pour le transport desquelles le véhicule est conçu: …</w:t>
      </w:r>
    </w:p>
    <w:p>
      <w:pPr>
        <w:spacing w:after="0"/>
        <w:ind w:left="1701" w:hanging="1701"/>
        <w:rPr>
          <w:rFonts w:eastAsia="Arial Unicode MS"/>
          <w:noProof/>
          <w:szCs w:val="24"/>
        </w:rPr>
      </w:pPr>
      <w:r>
        <w:rPr>
          <w:noProof/>
        </w:rPr>
        <w:t>1.5.</w:t>
      </w:r>
      <w:r>
        <w:rPr>
          <w:noProof/>
        </w:rPr>
        <w:tab/>
        <w:t>Raison sociale et adresse du constructeur: …</w:t>
      </w:r>
    </w:p>
    <w:p>
      <w:pPr>
        <w:spacing w:after="0"/>
        <w:ind w:left="1701" w:hanging="1701"/>
        <w:rPr>
          <w:rFonts w:eastAsia="Arial Unicode MS"/>
          <w:noProof/>
          <w:szCs w:val="24"/>
        </w:rPr>
      </w:pPr>
      <w:r>
        <w:rPr>
          <w:noProof/>
        </w:rPr>
        <w:t>1.8.</w:t>
      </w:r>
      <w:r>
        <w:rPr>
          <w:noProof/>
        </w:rPr>
        <w:tab/>
        <w:t>Nom(s) et adresse(s) de la ou des usines d’assemblage: …</w:t>
      </w:r>
    </w:p>
    <w:p>
      <w:pPr>
        <w:spacing w:after="0"/>
        <w:ind w:left="1701" w:hanging="1701"/>
        <w:rPr>
          <w:rFonts w:eastAsia="Arial Unicode MS"/>
          <w:noProof/>
          <w:szCs w:val="24"/>
        </w:rPr>
      </w:pPr>
      <w:r>
        <w:rPr>
          <w:noProof/>
        </w:rPr>
        <w:t>1.9.</w:t>
      </w:r>
      <w:r>
        <w:rPr>
          <w:noProof/>
        </w:rPr>
        <w:tab/>
        <w:t>Nom et adresse du mandataire du constructeur (le cas échéant): …</w:t>
      </w:r>
    </w:p>
    <w:p>
      <w:pPr>
        <w:spacing w:before="240"/>
        <w:ind w:left="1701" w:hanging="1701"/>
        <w:jc w:val="left"/>
        <w:rPr>
          <w:rFonts w:eastAsia="Arial Unicode MS"/>
          <w:bCs/>
          <w:noProof/>
          <w:szCs w:val="24"/>
        </w:rPr>
      </w:pPr>
      <w:r>
        <w:rPr>
          <w:noProof/>
        </w:rPr>
        <w:t>2.</w:t>
      </w:r>
      <w:r>
        <w:rPr>
          <w:noProof/>
        </w:rPr>
        <w:tab/>
        <w:t xml:space="preserve">CARACTÉRISTIQUES GÉNÉRALES DE CONSTRUCTION DU VÉHICULE </w:t>
      </w:r>
    </w:p>
    <w:p>
      <w:pPr>
        <w:spacing w:after="0"/>
        <w:ind w:left="1701" w:hanging="1701"/>
        <w:rPr>
          <w:rFonts w:eastAsia="Arial Unicode MS"/>
          <w:noProof/>
          <w:szCs w:val="24"/>
        </w:rPr>
      </w:pPr>
      <w:r>
        <w:rPr>
          <w:noProof/>
        </w:rPr>
        <w:t>2.1.</w:t>
      </w:r>
      <w:r>
        <w:rPr>
          <w:noProof/>
        </w:rPr>
        <w:tab/>
        <w:t>Photographies et/ou dessins d’un véhicule représentatif: …</w:t>
      </w:r>
    </w:p>
    <w:p>
      <w:pPr>
        <w:spacing w:after="0"/>
        <w:ind w:left="1701" w:hanging="1701"/>
        <w:rPr>
          <w:rFonts w:eastAsia="Arial Unicode MS"/>
          <w:noProof/>
          <w:szCs w:val="24"/>
        </w:rPr>
      </w:pPr>
      <w:r>
        <w:rPr>
          <w:noProof/>
        </w:rPr>
        <w:t>2.3.</w:t>
      </w:r>
      <w:r>
        <w:rPr>
          <w:noProof/>
        </w:rPr>
        <w:tab/>
        <w:t>Nombre d’essieux et de roues: …</w:t>
      </w:r>
    </w:p>
    <w:p>
      <w:pPr>
        <w:spacing w:after="0"/>
        <w:ind w:left="1701" w:hanging="1701"/>
        <w:rPr>
          <w:rFonts w:eastAsia="Arial Unicode MS"/>
          <w:noProof/>
          <w:szCs w:val="24"/>
        </w:rPr>
      </w:pPr>
      <w:r>
        <w:rPr>
          <w:noProof/>
        </w:rPr>
        <w:t>2.3.1.</w:t>
      </w:r>
      <w:r>
        <w:rPr>
          <w:noProof/>
        </w:rPr>
        <w:tab/>
        <w:t>Nombre et emplacement des essieux à roues jumelées: …</w:t>
      </w:r>
    </w:p>
    <w:p>
      <w:pPr>
        <w:spacing w:after="0"/>
        <w:ind w:left="1701" w:hanging="1701"/>
        <w:rPr>
          <w:rFonts w:eastAsia="Arial Unicode MS"/>
          <w:noProof/>
          <w:szCs w:val="24"/>
        </w:rPr>
      </w:pPr>
      <w:r>
        <w:rPr>
          <w:noProof/>
        </w:rPr>
        <w:t>2.3.2.</w:t>
      </w:r>
      <w:r>
        <w:rPr>
          <w:noProof/>
        </w:rPr>
        <w:tab/>
        <w:t>Nombre et emplacement des essieux directeurs: …</w:t>
      </w:r>
    </w:p>
    <w:p>
      <w:pPr>
        <w:spacing w:after="0"/>
        <w:ind w:left="1701" w:hanging="1701"/>
        <w:rPr>
          <w:rFonts w:eastAsia="Arial Unicode MS"/>
          <w:noProof/>
          <w:szCs w:val="24"/>
        </w:rPr>
      </w:pPr>
      <w:r>
        <w:rPr>
          <w:noProof/>
        </w:rPr>
        <w:t>2.4.</w:t>
      </w:r>
      <w:r>
        <w:rPr>
          <w:noProof/>
        </w:rPr>
        <w:tab/>
        <w:t>Châssis (le cas échéant) (dessin d’ensemble): …</w:t>
      </w:r>
    </w:p>
    <w:p>
      <w:pPr>
        <w:spacing w:after="0"/>
        <w:ind w:left="1701" w:hanging="1701"/>
        <w:rPr>
          <w:rFonts w:eastAsia="Arial Unicode MS"/>
          <w:noProof/>
          <w:szCs w:val="24"/>
        </w:rPr>
      </w:pPr>
      <w:r>
        <w:rPr>
          <w:noProof/>
        </w:rPr>
        <w:t>2.9.</w:t>
      </w:r>
      <w:r>
        <w:rPr>
          <w:noProof/>
        </w:rPr>
        <w:tab/>
        <w:t>Préciser si le véhicule tracteur est conçu pour tracter des semi-remorques ou d’autres remorques et si la remorque est une semi-remorque, une remorque à timon, une remorque à essieu central ou une remorque à timon rigide: …</w:t>
      </w:r>
    </w:p>
    <w:p>
      <w:pPr>
        <w:spacing w:after="0"/>
        <w:ind w:left="1701" w:hanging="1701"/>
        <w:rPr>
          <w:rFonts w:eastAsia="Arial Unicode MS"/>
          <w:noProof/>
          <w:szCs w:val="24"/>
        </w:rPr>
      </w:pPr>
      <w:r>
        <w:rPr>
          <w:noProof/>
        </w:rPr>
        <w:t>2.10.</w:t>
      </w:r>
      <w:r>
        <w:rPr>
          <w:noProof/>
        </w:rPr>
        <w:tab/>
        <w:t>Préciser si le véhicule est spécialement conçu pour le transport de marchandises sous température contrôlée: …</w:t>
      </w:r>
    </w:p>
    <w:p>
      <w:pPr>
        <w:spacing w:before="240" w:after="240"/>
        <w:ind w:left="1701" w:hanging="1701"/>
        <w:jc w:val="left"/>
        <w:rPr>
          <w:rFonts w:eastAsia="Arial Unicode MS"/>
          <w:bCs/>
          <w:noProof/>
          <w:szCs w:val="24"/>
        </w:rPr>
      </w:pPr>
      <w:r>
        <w:rPr>
          <w:noProof/>
        </w:rPr>
        <w:t>3.</w:t>
      </w:r>
      <w:r>
        <w:rPr>
          <w:noProof/>
        </w:rPr>
        <w:tab/>
        <w:t>MASSES ET DIMENSIONS (</w:t>
      </w:r>
      <w:r>
        <w:rPr>
          <w:noProof/>
          <w:vertAlign w:val="superscript"/>
        </w:rPr>
        <w:t>f</w:t>
      </w:r>
      <w:r>
        <w:rPr>
          <w:noProof/>
        </w:rPr>
        <w:t>) (</w:t>
      </w:r>
      <w:r>
        <w:rPr>
          <w:noProof/>
          <w:vertAlign w:val="superscript"/>
        </w:rPr>
        <w:t>g</w:t>
      </w:r>
      <w:r>
        <w:rPr>
          <w:noProof/>
        </w:rPr>
        <w:t>) (</w:t>
      </w:r>
      <w:r>
        <w:rPr>
          <w:noProof/>
          <w:vertAlign w:val="superscript"/>
        </w:rPr>
        <w:t>7</w:t>
      </w:r>
      <w:r>
        <w:rPr>
          <w:noProof/>
        </w:rPr>
        <w:t xml:space="preserve">) </w:t>
      </w:r>
    </w:p>
    <w:p>
      <w:pPr>
        <w:spacing w:after="0"/>
        <w:ind w:left="1701"/>
        <w:rPr>
          <w:rFonts w:eastAsia="Arial Unicode MS"/>
          <w:noProof/>
          <w:szCs w:val="24"/>
        </w:rPr>
      </w:pPr>
      <w:r>
        <w:rPr>
          <w:noProof/>
        </w:rPr>
        <w:t>(en kg et mm) (se référer à des dessins, le cas échéant)</w:t>
      </w:r>
    </w:p>
    <w:p>
      <w:pPr>
        <w:spacing w:before="240"/>
        <w:ind w:left="1701" w:hanging="1701"/>
        <w:jc w:val="left"/>
        <w:rPr>
          <w:rFonts w:eastAsia="Arial Unicode MS"/>
          <w:b/>
          <w:bCs/>
          <w:noProof/>
          <w:szCs w:val="24"/>
        </w:rPr>
      </w:pPr>
      <w:r>
        <w:rPr>
          <w:noProof/>
        </w:rPr>
        <w:t>3.1.</w:t>
      </w:r>
      <w:r>
        <w:rPr>
          <w:noProof/>
        </w:rPr>
        <w:tab/>
      </w:r>
      <w:r>
        <w:rPr>
          <w:b/>
          <w:noProof/>
        </w:rPr>
        <w:t>Empattement(s) (à pleine charge)</w:t>
      </w:r>
      <w:r>
        <w:rPr>
          <w:noProof/>
        </w:rPr>
        <w:t xml:space="preserve"> (</w:t>
      </w:r>
      <w:r>
        <w:rPr>
          <w:noProof/>
          <w:vertAlign w:val="superscript"/>
        </w:rPr>
        <w:t>g1</w:t>
      </w:r>
      <w:r>
        <w:rPr>
          <w:noProof/>
        </w:rPr>
        <w:t>):</w:t>
      </w:r>
      <w:r>
        <w:rPr>
          <w:b/>
          <w:noProof/>
        </w:rPr>
        <w:t xml:space="preserve"> </w:t>
      </w:r>
    </w:p>
    <w:p>
      <w:pPr>
        <w:spacing w:after="0"/>
        <w:ind w:left="1701" w:hanging="1701"/>
        <w:rPr>
          <w:rFonts w:eastAsia="Arial Unicode MS"/>
          <w:noProof/>
          <w:szCs w:val="24"/>
        </w:rPr>
      </w:pPr>
      <w:r>
        <w:rPr>
          <w:noProof/>
        </w:rPr>
        <w:t>3.1.1.</w:t>
      </w:r>
      <w:r>
        <w:rPr>
          <w:noProof/>
        </w:rPr>
        <w:tab/>
      </w:r>
      <w:r>
        <w:rPr>
          <w:i/>
          <w:noProof/>
        </w:rPr>
        <w:t>Véhicules à deux essieux:</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Véhicules à trois essieux ou plus</w:t>
      </w:r>
      <w:r>
        <w:rPr>
          <w:noProof/>
        </w:rPr>
        <w:t xml:space="preserve"> </w:t>
      </w:r>
    </w:p>
    <w:p>
      <w:pPr>
        <w:spacing w:after="0"/>
        <w:ind w:left="1701" w:hanging="1701"/>
        <w:rPr>
          <w:rFonts w:eastAsia="Arial Unicode MS"/>
          <w:noProof/>
          <w:szCs w:val="24"/>
        </w:rPr>
      </w:pPr>
      <w:r>
        <w:rPr>
          <w:noProof/>
        </w:rPr>
        <w:t>3.1.2.1.</w:t>
      </w:r>
      <w:r>
        <w:rPr>
          <w:noProof/>
        </w:rPr>
        <w:tab/>
        <w:t>Distance entre essieux consécutifs, de celui situé le plus à l’avant à celui situé le plus à l’arrière: …</w:t>
      </w:r>
    </w:p>
    <w:p>
      <w:pPr>
        <w:spacing w:after="0"/>
        <w:ind w:left="1701" w:hanging="1701"/>
        <w:rPr>
          <w:rFonts w:eastAsia="Arial Unicode MS"/>
          <w:noProof/>
          <w:szCs w:val="24"/>
        </w:rPr>
      </w:pPr>
      <w:r>
        <w:rPr>
          <w:noProof/>
        </w:rPr>
        <w:t>3.1.2.2.</w:t>
      </w:r>
      <w:r>
        <w:rPr>
          <w:noProof/>
        </w:rPr>
        <w:tab/>
        <w:t>Distance totale entre les essieux: …</w:t>
      </w:r>
    </w:p>
    <w:p>
      <w:pPr>
        <w:spacing w:after="0"/>
        <w:ind w:left="1701" w:hanging="1701"/>
        <w:rPr>
          <w:rFonts w:eastAsia="Arial Unicode MS"/>
          <w:noProof/>
          <w:szCs w:val="24"/>
        </w:rPr>
      </w:pPr>
      <w:r>
        <w:rPr>
          <w:noProof/>
        </w:rPr>
        <w:lastRenderedPageBreak/>
        <w:t>3.3.1.</w:t>
      </w:r>
      <w:r>
        <w:rPr>
          <w:noProof/>
        </w:rPr>
        <w:tab/>
        <w:t>Voie de chaque essieu directeur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Voie de tous les autres essieux (</w:t>
      </w:r>
      <w:r>
        <w:rPr>
          <w:noProof/>
          <w:vertAlign w:val="superscript"/>
        </w:rPr>
        <w:t>g4</w:t>
      </w:r>
      <w:r>
        <w:rPr>
          <w:noProof/>
        </w:rPr>
        <w:t>): …</w:t>
      </w:r>
    </w:p>
    <w:p>
      <w:pPr>
        <w:ind w:left="1701" w:hanging="1701"/>
        <w:jc w:val="left"/>
        <w:rPr>
          <w:rFonts w:eastAsia="Arial Unicode MS"/>
          <w:b/>
          <w:bCs/>
          <w:noProof/>
          <w:szCs w:val="24"/>
        </w:rPr>
      </w:pPr>
      <w:r>
        <w:rPr>
          <w:noProof/>
        </w:rPr>
        <w:t>3.4.</w:t>
      </w:r>
      <w:r>
        <w:rPr>
          <w:noProof/>
        </w:rPr>
        <w:tab/>
      </w:r>
      <w:r>
        <w:rPr>
          <w:b/>
          <w:noProof/>
        </w:rPr>
        <w:t>Plage de dimensions du véhicule</w:t>
      </w:r>
      <w:r>
        <w:rPr>
          <w:noProof/>
        </w:rPr>
        <w:t xml:space="preserve"> (hors tout)</w:t>
      </w:r>
      <w:r>
        <w:rPr>
          <w:b/>
          <w:noProof/>
        </w:rPr>
        <w:t xml:space="preserve"> </w:t>
      </w:r>
    </w:p>
    <w:p>
      <w:pPr>
        <w:ind w:left="1701" w:hanging="1701"/>
        <w:jc w:val="left"/>
        <w:rPr>
          <w:rFonts w:eastAsia="Arial Unicode MS"/>
          <w:bCs/>
          <w:noProof/>
          <w:szCs w:val="24"/>
        </w:rPr>
      </w:pPr>
      <w:r>
        <w:rPr>
          <w:noProof/>
        </w:rPr>
        <w:t>3.4.1.</w:t>
      </w:r>
      <w:r>
        <w:rPr>
          <w:noProof/>
        </w:rPr>
        <w:tab/>
      </w:r>
      <w:r>
        <w:rPr>
          <w:i/>
          <w:noProof/>
        </w:rPr>
        <w:t>Pour les châssis non carrossés</w:t>
      </w:r>
      <w:r>
        <w:rPr>
          <w:noProof/>
        </w:rPr>
        <w:t xml:space="preserve"> </w:t>
      </w:r>
    </w:p>
    <w:p>
      <w:pPr>
        <w:spacing w:after="0"/>
        <w:ind w:left="1701" w:hanging="1701"/>
        <w:rPr>
          <w:rFonts w:eastAsia="Arial Unicode MS"/>
          <w:noProof/>
          <w:szCs w:val="24"/>
        </w:rPr>
      </w:pPr>
      <w:r>
        <w:rPr>
          <w:noProof/>
        </w:rPr>
        <w:t>3.4.1.1.</w:t>
      </w:r>
      <w:r>
        <w:rPr>
          <w:noProof/>
        </w:rPr>
        <w:tab/>
        <w:t>Longueur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Longueur maximale admissible: …</w:t>
      </w:r>
    </w:p>
    <w:p>
      <w:pPr>
        <w:spacing w:after="0"/>
        <w:ind w:left="1701" w:hanging="1701"/>
        <w:rPr>
          <w:rFonts w:eastAsia="Arial Unicode MS"/>
          <w:noProof/>
          <w:szCs w:val="24"/>
        </w:rPr>
      </w:pPr>
      <w:r>
        <w:rPr>
          <w:noProof/>
        </w:rPr>
        <w:t>3.4.1.1.2.</w:t>
      </w:r>
      <w:r>
        <w:rPr>
          <w:noProof/>
        </w:rPr>
        <w:tab/>
        <w:t>Longueur minimale admissible: …</w:t>
      </w:r>
    </w:p>
    <w:p>
      <w:pPr>
        <w:spacing w:after="0"/>
        <w:ind w:left="1701" w:hanging="1701"/>
        <w:rPr>
          <w:rFonts w:eastAsia="Arial Unicode MS"/>
          <w:noProof/>
          <w:szCs w:val="24"/>
        </w:rPr>
      </w:pPr>
      <w:r>
        <w:rPr>
          <w:noProof/>
        </w:rPr>
        <w:t>3.4.1.1.3.</w:t>
      </w:r>
      <w:r>
        <w:rPr>
          <w:noProof/>
        </w:rPr>
        <w:tab/>
        <w:t>Dans le cas des remorques, longueur maximale admissible du timon (</w:t>
      </w:r>
      <w:r>
        <w:rPr>
          <w:noProof/>
          <w:vertAlign w:val="superscript"/>
        </w:rPr>
        <w:t>g6</w:t>
      </w:r>
      <w:r>
        <w:rPr>
          <w:noProof/>
        </w:rPr>
        <w:t>): …</w:t>
      </w:r>
    </w:p>
    <w:p>
      <w:pPr>
        <w:spacing w:after="0"/>
        <w:ind w:left="1701" w:hanging="1701"/>
        <w:rPr>
          <w:rFonts w:eastAsia="Arial Unicode MS"/>
          <w:noProof/>
          <w:szCs w:val="24"/>
        </w:rPr>
      </w:pPr>
      <w:r>
        <w:rPr>
          <w:noProof/>
        </w:rPr>
        <w:t>3.4.1.2.</w:t>
      </w:r>
      <w:r>
        <w:rPr>
          <w:noProof/>
        </w:rPr>
        <w:tab/>
        <w:t>Largeur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Largeur maximale admissible: …</w:t>
      </w:r>
    </w:p>
    <w:p>
      <w:pPr>
        <w:spacing w:after="0"/>
        <w:ind w:left="1701" w:hanging="1701"/>
        <w:rPr>
          <w:rFonts w:eastAsia="Arial Unicode MS"/>
          <w:noProof/>
          <w:szCs w:val="24"/>
        </w:rPr>
      </w:pPr>
      <w:r>
        <w:rPr>
          <w:noProof/>
        </w:rPr>
        <w:t>3.4.1.2.2.</w:t>
      </w:r>
      <w:r>
        <w:rPr>
          <w:noProof/>
        </w:rPr>
        <w:tab/>
        <w:t>Largeur minimale admissible: …</w:t>
      </w:r>
    </w:p>
    <w:p>
      <w:pPr>
        <w:ind w:left="1701" w:hanging="1701"/>
        <w:jc w:val="left"/>
        <w:rPr>
          <w:rFonts w:eastAsia="Arial Unicode MS"/>
          <w:bCs/>
          <w:noProof/>
          <w:szCs w:val="24"/>
        </w:rPr>
      </w:pPr>
      <w:r>
        <w:rPr>
          <w:noProof/>
        </w:rPr>
        <w:t>3.4.2.</w:t>
      </w:r>
      <w:r>
        <w:rPr>
          <w:noProof/>
        </w:rPr>
        <w:tab/>
      </w:r>
      <w:r>
        <w:rPr>
          <w:i/>
          <w:noProof/>
        </w:rPr>
        <w:t>Pour les châssis carrossés</w:t>
      </w:r>
      <w:r>
        <w:rPr>
          <w:noProof/>
        </w:rPr>
        <w:t xml:space="preserve"> </w:t>
      </w:r>
    </w:p>
    <w:p>
      <w:pPr>
        <w:spacing w:after="0"/>
        <w:ind w:left="1701" w:hanging="1701"/>
        <w:rPr>
          <w:rFonts w:eastAsia="Arial Unicode MS"/>
          <w:noProof/>
          <w:szCs w:val="24"/>
        </w:rPr>
      </w:pPr>
      <w:r>
        <w:rPr>
          <w:noProof/>
        </w:rPr>
        <w:t>3.4.2.1.</w:t>
      </w:r>
      <w:r>
        <w:rPr>
          <w:noProof/>
        </w:rPr>
        <w:tab/>
        <w:t>Longueur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Longueur de la zone de chargement: …</w:t>
      </w:r>
    </w:p>
    <w:p>
      <w:pPr>
        <w:spacing w:after="0"/>
        <w:ind w:left="1701" w:hanging="1701"/>
        <w:rPr>
          <w:rFonts w:eastAsia="Arial Unicode MS"/>
          <w:noProof/>
          <w:szCs w:val="24"/>
        </w:rPr>
      </w:pPr>
      <w:r>
        <w:rPr>
          <w:noProof/>
        </w:rPr>
        <w:t>3.4.2.1.2.</w:t>
      </w:r>
      <w:r>
        <w:rPr>
          <w:noProof/>
        </w:rPr>
        <w:tab/>
        <w:t>Dans le cas des remorques, longueur maximale admissible du timon (</w:t>
      </w:r>
      <w:r>
        <w:rPr>
          <w:noProof/>
          <w:vertAlign w:val="superscript"/>
        </w:rPr>
        <w:t>g6</w:t>
      </w:r>
      <w:r>
        <w:rPr>
          <w:noProof/>
        </w:rPr>
        <w:t>): …</w:t>
      </w:r>
    </w:p>
    <w:p>
      <w:pPr>
        <w:spacing w:after="0"/>
        <w:ind w:left="1701" w:hanging="1701"/>
        <w:rPr>
          <w:rFonts w:eastAsia="Arial Unicode MS"/>
          <w:noProof/>
          <w:szCs w:val="24"/>
        </w:rPr>
      </w:pPr>
      <w:r>
        <w:rPr>
          <w:noProof/>
        </w:rPr>
        <w:t>3.4.2.2.</w:t>
      </w:r>
      <w:r>
        <w:rPr>
          <w:noProof/>
        </w:rPr>
        <w:tab/>
        <w:t>Largeur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Épaisseur des parois (dans le cas d’un véhicule prévu pour le transport de marchandises sous température contrôlée): …</w:t>
      </w:r>
    </w:p>
    <w:p>
      <w:pPr>
        <w:spacing w:after="0"/>
        <w:ind w:left="1701" w:hanging="1701"/>
        <w:rPr>
          <w:rFonts w:eastAsia="Arial Unicode MS"/>
          <w:noProof/>
          <w:szCs w:val="24"/>
        </w:rPr>
      </w:pPr>
      <w:r>
        <w:rPr>
          <w:noProof/>
        </w:rPr>
        <w:t>3.4.2.3.</w:t>
      </w:r>
      <w:r>
        <w:rPr>
          <w:noProof/>
        </w:rPr>
        <w:tab/>
        <w:t>Hauteur (en ordre de marche) (</w:t>
      </w:r>
      <w:r>
        <w:rPr>
          <w:noProof/>
          <w:vertAlign w:val="superscript"/>
        </w:rPr>
        <w:t>g8</w:t>
      </w:r>
      <w:r>
        <w:rPr>
          <w:noProof/>
        </w:rPr>
        <w:t>) (lorsque la suspension est réglable en hauteur, indiquer la position de marche normale): …</w:t>
      </w:r>
    </w:p>
    <w:p>
      <w:pPr>
        <w:spacing w:before="180" w:after="0"/>
        <w:ind w:left="1701" w:hanging="1701"/>
        <w:jc w:val="left"/>
        <w:rPr>
          <w:rFonts w:eastAsia="Arial Unicode MS"/>
          <w:b/>
          <w:bCs/>
          <w:noProof/>
          <w:szCs w:val="24"/>
        </w:rPr>
      </w:pPr>
      <w:r>
        <w:rPr>
          <w:noProof/>
        </w:rPr>
        <w:t>3.6.</w:t>
      </w:r>
      <w:r>
        <w:rPr>
          <w:noProof/>
        </w:rPr>
        <w:tab/>
      </w:r>
      <w:r>
        <w:rPr>
          <w:b/>
          <w:noProof/>
        </w:rPr>
        <w:t>Masse en ordre de marche (</w:t>
      </w:r>
      <w:r>
        <w:rPr>
          <w:b/>
          <w:noProof/>
          <w:vertAlign w:val="superscript"/>
        </w:rPr>
        <w:t>h</w:t>
      </w:r>
      <w:r>
        <w:rPr>
          <w:b/>
          <w:noProof/>
        </w:rPr>
        <w:t xml:space="preserve">) </w:t>
      </w:r>
    </w:p>
    <w:p>
      <w:pPr>
        <w:spacing w:before="60" w:after="60"/>
        <w:ind w:left="2268" w:hanging="567"/>
        <w:rPr>
          <w:rFonts w:eastAsia="Arial Unicode MS"/>
          <w:noProof/>
          <w:szCs w:val="24"/>
        </w:rPr>
      </w:pPr>
      <w:r>
        <w:rPr>
          <w:noProof/>
        </w:rPr>
        <w:t>a)</w:t>
      </w:r>
      <w:r>
        <w:rPr>
          <w:noProof/>
        </w:rPr>
        <w:tab/>
        <w:t>minimum et maximum pour chaque variante: …</w:t>
      </w:r>
    </w:p>
    <w:p>
      <w:pPr>
        <w:spacing w:before="60" w:after="60"/>
        <w:ind w:left="2268" w:hanging="567"/>
        <w:rPr>
          <w:rFonts w:eastAsia="Arial Unicode MS"/>
          <w:noProof/>
          <w:szCs w:val="24"/>
        </w:rPr>
      </w:pPr>
      <w:r>
        <w:rPr>
          <w:noProof/>
        </w:rPr>
        <w:t>b)</w:t>
      </w:r>
      <w:r>
        <w:rPr>
          <w:noProof/>
        </w:rPr>
        <w:tab/>
        <w:t>masse de chaque version (une matrice doit être fournie): …</w:t>
      </w:r>
    </w:p>
    <w:p>
      <w:pPr>
        <w:spacing w:after="0"/>
        <w:ind w:left="1701" w:hanging="1701"/>
        <w:rPr>
          <w:rFonts w:eastAsia="Arial Unicode MS"/>
          <w:noProof/>
          <w:szCs w:val="24"/>
        </w:rPr>
      </w:pPr>
      <w:r>
        <w:rPr>
          <w:noProof/>
        </w:rPr>
        <w:t>3.6.1.</w:t>
      </w:r>
      <w:r>
        <w:rPr>
          <w:noProof/>
        </w:rPr>
        <w:tab/>
        <w:t>Répartition de cette masse entre les essieux et, dans le cas d’une semi-remorque, d’une remorque à timon rigide ou d’une remorque à essieu central, la masse au point d’attelage: …</w:t>
      </w:r>
    </w:p>
    <w:p>
      <w:pPr>
        <w:spacing w:before="60" w:after="60"/>
        <w:ind w:left="2268" w:hanging="567"/>
        <w:rPr>
          <w:rFonts w:eastAsia="Arial Unicode MS"/>
          <w:noProof/>
          <w:szCs w:val="24"/>
        </w:rPr>
      </w:pPr>
      <w:r>
        <w:rPr>
          <w:noProof/>
        </w:rPr>
        <w:t>a)</w:t>
      </w:r>
      <w:r>
        <w:rPr>
          <w:noProof/>
        </w:rPr>
        <w:tab/>
        <w:t>minimum et maximum pour chaque variante: …</w:t>
      </w:r>
    </w:p>
    <w:p>
      <w:pPr>
        <w:spacing w:before="60" w:after="60"/>
        <w:ind w:left="2268" w:hanging="567"/>
        <w:rPr>
          <w:rFonts w:eastAsia="Arial Unicode MS"/>
          <w:noProof/>
          <w:szCs w:val="24"/>
        </w:rPr>
      </w:pPr>
      <w:r>
        <w:rPr>
          <w:noProof/>
        </w:rPr>
        <w:t>b)</w:t>
      </w:r>
      <w:r>
        <w:rPr>
          <w:noProof/>
        </w:rPr>
        <w:tab/>
        <w:t>masse de chaque version (une matrice doit être fournie): …</w:t>
      </w:r>
    </w:p>
    <w:p>
      <w:pPr>
        <w:spacing w:after="0"/>
        <w:ind w:left="1701" w:hanging="1701"/>
        <w:rPr>
          <w:rFonts w:eastAsia="Arial Unicode MS"/>
          <w:noProof/>
          <w:szCs w:val="24"/>
        </w:rPr>
      </w:pPr>
      <w:r>
        <w:rPr>
          <w:noProof/>
        </w:rPr>
        <w:t>3.6.2.</w:t>
      </w:r>
      <w:r>
        <w:rPr>
          <w:noProof/>
        </w:rPr>
        <w:tab/>
        <w:t>Masse des équipements en option [voir la définition donnée à l’article 2, point 5, du règlement (UE) n</w:t>
      </w:r>
      <w:r>
        <w:rPr>
          <w:noProof/>
          <w:vertAlign w:val="superscript"/>
        </w:rPr>
        <w:t>o</w:t>
      </w:r>
      <w:r>
        <w:rPr>
          <w:noProof/>
        </w:rPr>
        <w:t> 1230/2012]: …</w:t>
      </w:r>
    </w:p>
    <w:p>
      <w:pPr>
        <w:spacing w:before="200" w:after="0"/>
        <w:ind w:left="1701" w:hanging="1701"/>
        <w:rPr>
          <w:rFonts w:eastAsia="Arial Unicode MS"/>
          <w:noProof/>
          <w:szCs w:val="24"/>
        </w:rPr>
      </w:pPr>
      <w:r>
        <w:rPr>
          <w:noProof/>
        </w:rPr>
        <w:t>3.7.</w:t>
      </w:r>
      <w:r>
        <w:rPr>
          <w:noProof/>
        </w:rPr>
        <w:tab/>
      </w:r>
      <w:r>
        <w:rPr>
          <w:b/>
          <w:noProof/>
        </w:rPr>
        <w:t>Masse minimale du véhicule complété</w:t>
      </w:r>
      <w:r>
        <w:rPr>
          <w:noProof/>
        </w:rPr>
        <w:t xml:space="preserve"> déclarée par le constructeur, dans le cas d’un véhicule incomplet: …</w:t>
      </w:r>
    </w:p>
    <w:p>
      <w:pPr>
        <w:spacing w:before="240" w:after="0"/>
        <w:ind w:left="1701" w:hanging="1701"/>
        <w:rPr>
          <w:rFonts w:eastAsia="Arial Unicode MS"/>
          <w:noProof/>
          <w:szCs w:val="24"/>
        </w:rPr>
      </w:pPr>
      <w:r>
        <w:rPr>
          <w:noProof/>
        </w:rPr>
        <w:t>3.8.</w:t>
      </w:r>
      <w:r>
        <w:rPr>
          <w:noProof/>
        </w:rPr>
        <w:tab/>
      </w:r>
      <w:r>
        <w:rPr>
          <w:b/>
          <w:noProof/>
        </w:rPr>
        <w:t>Masse en charge maximale techniquement admissible</w:t>
      </w:r>
      <w:r>
        <w:rPr>
          <w:noProof/>
        </w:rPr>
        <w:t xml:space="preserve"> déclarée par le constructeur (</w:t>
      </w:r>
      <w:r>
        <w:rPr>
          <w:noProof/>
          <w:vertAlign w:val="superscript"/>
        </w:rPr>
        <w:t>i</w:t>
      </w:r>
      <w:r>
        <w:rPr>
          <w:noProof/>
        </w:rPr>
        <w:t>) (</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Répartition de cette masse entre les essieux et, dans le cas d’une semi-remorque ou d’une remorque à essieu central, charge au point d’attelage (</w:t>
      </w:r>
      <w:r>
        <w:rPr>
          <w:noProof/>
          <w:vertAlign w:val="superscript"/>
        </w:rPr>
        <w:t>3</w:t>
      </w:r>
      <w:r>
        <w:rPr>
          <w:noProof/>
        </w:rPr>
        <w:t>): …</w:t>
      </w:r>
    </w:p>
    <w:p>
      <w:pPr>
        <w:spacing w:before="200" w:after="0"/>
        <w:ind w:left="1701" w:hanging="1701"/>
        <w:rPr>
          <w:rFonts w:eastAsia="Arial Unicode MS"/>
          <w:noProof/>
          <w:szCs w:val="24"/>
        </w:rPr>
      </w:pPr>
      <w:r>
        <w:rPr>
          <w:noProof/>
        </w:rPr>
        <w:lastRenderedPageBreak/>
        <w:t>3.9.</w:t>
      </w:r>
      <w:r>
        <w:rPr>
          <w:noProof/>
        </w:rPr>
        <w:tab/>
      </w:r>
      <w:r>
        <w:rPr>
          <w:b/>
          <w:noProof/>
        </w:rPr>
        <w:t>Masse maximale techniquement admissible sur chaque essieu:</w:t>
      </w:r>
      <w:r>
        <w:rPr>
          <w:noProof/>
        </w:rPr>
        <w:t xml:space="preserve"> …</w:t>
      </w:r>
    </w:p>
    <w:p>
      <w:pPr>
        <w:spacing w:before="240" w:after="0"/>
        <w:ind w:left="1701" w:hanging="1701"/>
        <w:rPr>
          <w:rFonts w:eastAsia="Arial Unicode MS"/>
          <w:noProof/>
          <w:szCs w:val="24"/>
        </w:rPr>
      </w:pPr>
      <w:r>
        <w:rPr>
          <w:noProof/>
        </w:rPr>
        <w:t>3.10.</w:t>
      </w:r>
      <w:r>
        <w:rPr>
          <w:noProof/>
        </w:rPr>
        <w:tab/>
      </w:r>
      <w:r>
        <w:rPr>
          <w:b/>
          <w:noProof/>
        </w:rPr>
        <w:t>Masse techniquement admissible sur chaque groupe d’essieux:</w:t>
      </w:r>
      <w:r>
        <w:rPr>
          <w:noProof/>
        </w:rPr>
        <w:t xml:space="preserve"> …</w:t>
      </w:r>
    </w:p>
    <w:p>
      <w:pPr>
        <w:spacing w:before="240" w:after="0"/>
        <w:ind w:left="1701" w:hanging="1701"/>
        <w:rPr>
          <w:rFonts w:eastAsia="Arial Unicode MS"/>
          <w:noProof/>
          <w:szCs w:val="24"/>
        </w:rPr>
      </w:pPr>
      <w:r>
        <w:rPr>
          <w:noProof/>
        </w:rPr>
        <w:t>3.12.</w:t>
      </w:r>
      <w:r>
        <w:rPr>
          <w:noProof/>
        </w:rPr>
        <w:tab/>
      </w:r>
      <w:r>
        <w:rPr>
          <w:b/>
          <w:noProof/>
        </w:rPr>
        <w:t>Masse maximale techniquement admissible au point d’attelage:</w:t>
      </w:r>
      <w:r>
        <w:rPr>
          <w:noProof/>
        </w:rPr>
        <w:t xml:space="preserve"> </w:t>
      </w:r>
    </w:p>
    <w:p>
      <w:pPr>
        <w:spacing w:after="0"/>
        <w:ind w:left="1701" w:hanging="1701"/>
        <w:rPr>
          <w:rFonts w:eastAsia="Arial Unicode MS"/>
          <w:noProof/>
          <w:szCs w:val="24"/>
        </w:rPr>
      </w:pPr>
      <w:r>
        <w:rPr>
          <w:noProof/>
        </w:rPr>
        <w:t>3.12.2.</w:t>
      </w:r>
      <w:r>
        <w:rPr>
          <w:noProof/>
        </w:rPr>
        <w:tab/>
        <w:t>d’une semi-remorque, d’une remorque à essieu central ou d’une remorque à timon rigide: …</w:t>
      </w:r>
    </w:p>
    <w:p>
      <w:pPr>
        <w:spacing w:before="240" w:after="0"/>
        <w:ind w:left="1701" w:hanging="1701"/>
        <w:rPr>
          <w:rFonts w:eastAsia="Arial Unicode MS"/>
          <w:noProof/>
          <w:szCs w:val="24"/>
        </w:rPr>
      </w:pPr>
      <w:r>
        <w:rPr>
          <w:noProof/>
        </w:rPr>
        <w:t>3.16.</w:t>
      </w:r>
      <w:r>
        <w:rPr>
          <w:noProof/>
        </w:rPr>
        <w:tab/>
      </w:r>
      <w:r>
        <w:rPr>
          <w:b/>
          <w:noProof/>
        </w:rPr>
        <w:t>Masses maximales admissibles à l’immatriculation/en service (facultatif)</w:t>
      </w:r>
      <w:r>
        <w:rPr>
          <w:noProof/>
        </w:rPr>
        <w:t xml:space="preserve"> </w:t>
      </w:r>
    </w:p>
    <w:p>
      <w:pPr>
        <w:spacing w:after="0"/>
        <w:ind w:left="1701" w:hanging="1701"/>
        <w:rPr>
          <w:rFonts w:eastAsia="Arial Unicode MS"/>
          <w:noProof/>
          <w:szCs w:val="24"/>
        </w:rPr>
      </w:pPr>
      <w:r>
        <w:rPr>
          <w:noProof/>
        </w:rPr>
        <w:t>3.16.1.</w:t>
      </w:r>
      <w:r>
        <w:rPr>
          <w:noProof/>
        </w:rPr>
        <w:tab/>
        <w:t>Masse en charge maximale admissible à l’immatriculation/en service: …</w:t>
      </w:r>
    </w:p>
    <w:p>
      <w:pPr>
        <w:spacing w:after="0"/>
        <w:ind w:left="1701" w:hanging="1701"/>
        <w:rPr>
          <w:rFonts w:eastAsia="Arial Unicode MS"/>
          <w:noProof/>
          <w:szCs w:val="24"/>
        </w:rPr>
      </w:pPr>
      <w:r>
        <w:rPr>
          <w:noProof/>
        </w:rPr>
        <w:t>3.16.2.</w:t>
      </w:r>
      <w:r>
        <w:rPr>
          <w:noProof/>
        </w:rPr>
        <w:tab/>
        <w:t>Masse maximale admissible à l’immatriculation/en service sur chaque essieu et, dans le cas d’une semi-remorque ou d’une remorque à essieu central, charge prévue au point d’attelage déclarée par le constructeur lorsqu’elle est inférieure à la masse maximale techniquement admissible au point d’attelage: …</w:t>
      </w:r>
    </w:p>
    <w:p>
      <w:pPr>
        <w:spacing w:after="0"/>
        <w:ind w:left="1701" w:hanging="1701"/>
        <w:rPr>
          <w:rFonts w:eastAsia="Arial Unicode MS"/>
          <w:noProof/>
          <w:szCs w:val="24"/>
        </w:rPr>
      </w:pPr>
      <w:r>
        <w:rPr>
          <w:noProof/>
        </w:rPr>
        <w:t>3.16.3.</w:t>
      </w:r>
      <w:r>
        <w:rPr>
          <w:noProof/>
        </w:rPr>
        <w:tab/>
        <w:t>Masse maximale admissible à l’immatriculation/en service sur chaque groupe d’essieux: …</w:t>
      </w:r>
    </w:p>
    <w:p>
      <w:pPr>
        <w:spacing w:after="0"/>
        <w:ind w:left="1701" w:hanging="1701"/>
        <w:rPr>
          <w:rFonts w:eastAsia="Arial Unicode MS"/>
          <w:noProof/>
          <w:szCs w:val="24"/>
        </w:rPr>
      </w:pPr>
      <w:r>
        <w:rPr>
          <w:noProof/>
        </w:rPr>
        <w:t>3.16.4.</w:t>
      </w:r>
      <w:r>
        <w:rPr>
          <w:noProof/>
        </w:rPr>
        <w:tab/>
        <w:t>Masse tractable maximale admissible à l’immatriculation/en service prévue [plusieurs entrées possibles pour chaque configuration technique (</w:t>
      </w:r>
      <w:r>
        <w:rPr>
          <w:noProof/>
          <w:vertAlign w:val="superscript"/>
        </w:rPr>
        <w:t>5</w:t>
      </w:r>
      <w:r>
        <w:rPr>
          <w:noProof/>
        </w:rPr>
        <w:t>)]: …</w:t>
      </w:r>
    </w:p>
    <w:p>
      <w:pPr>
        <w:spacing w:before="240"/>
        <w:ind w:left="1701" w:hanging="1701"/>
        <w:jc w:val="left"/>
        <w:rPr>
          <w:rFonts w:eastAsia="Arial Unicode MS"/>
          <w:bCs/>
          <w:noProof/>
          <w:szCs w:val="24"/>
        </w:rPr>
      </w:pPr>
      <w:r>
        <w:rPr>
          <w:noProof/>
        </w:rPr>
        <w:t>4.</w:t>
      </w:r>
      <w:r>
        <w:rPr>
          <w:noProof/>
        </w:rPr>
        <w:tab/>
        <w:t xml:space="preserve">TRANSMISSION </w:t>
      </w:r>
    </w:p>
    <w:p>
      <w:pPr>
        <w:spacing w:after="0"/>
        <w:ind w:left="1701" w:hanging="1701"/>
        <w:rPr>
          <w:rFonts w:eastAsia="Arial Unicode MS"/>
          <w:noProof/>
          <w:szCs w:val="24"/>
        </w:rPr>
      </w:pPr>
      <w:r>
        <w:rPr>
          <w:noProof/>
        </w:rPr>
        <w:t>4.7.</w:t>
      </w:r>
      <w:r>
        <w:rPr>
          <w:noProof/>
        </w:rPr>
        <w:tab/>
        <w:t>Vitesse maximale par construction du véhicule</w:t>
      </w:r>
      <w:r>
        <w:rPr>
          <w:b/>
          <w:noProof/>
        </w:rPr>
        <w:t xml:space="preserve"> </w:t>
      </w:r>
      <w:r>
        <w:rPr>
          <w:noProof/>
        </w:rPr>
        <w:t>(en km/h) (</w:t>
      </w:r>
      <w:r>
        <w:rPr>
          <w:noProof/>
          <w:vertAlign w:val="superscript"/>
        </w:rPr>
        <w:t>q</w:t>
      </w:r>
      <w:r>
        <w:rPr>
          <w:noProof/>
        </w:rPr>
        <w:t>)</w:t>
      </w:r>
    </w:p>
    <w:p>
      <w:pPr>
        <w:spacing w:before="240"/>
        <w:ind w:left="1701" w:hanging="1701"/>
        <w:jc w:val="left"/>
        <w:rPr>
          <w:rFonts w:eastAsia="Arial Unicode MS"/>
          <w:bCs/>
          <w:noProof/>
          <w:szCs w:val="24"/>
        </w:rPr>
      </w:pPr>
      <w:r>
        <w:rPr>
          <w:noProof/>
        </w:rPr>
        <w:t>5.</w:t>
      </w:r>
      <w:r>
        <w:rPr>
          <w:noProof/>
        </w:rPr>
        <w:tab/>
        <w:t xml:space="preserve">ESSIEUX </w:t>
      </w:r>
    </w:p>
    <w:p>
      <w:pPr>
        <w:spacing w:after="0"/>
        <w:ind w:left="1701" w:hanging="1701"/>
        <w:rPr>
          <w:rFonts w:eastAsia="Arial Unicode MS"/>
          <w:noProof/>
          <w:szCs w:val="24"/>
        </w:rPr>
      </w:pPr>
      <w:r>
        <w:rPr>
          <w:noProof/>
        </w:rPr>
        <w:t>5.1.</w:t>
      </w:r>
      <w:r>
        <w:rPr>
          <w:noProof/>
        </w:rPr>
        <w:tab/>
        <w:t>Description de chaque essieu: …</w:t>
      </w:r>
    </w:p>
    <w:p>
      <w:pPr>
        <w:spacing w:after="0"/>
        <w:ind w:left="1701" w:hanging="1701"/>
        <w:rPr>
          <w:rFonts w:eastAsia="Arial Unicode MS"/>
          <w:noProof/>
          <w:szCs w:val="24"/>
        </w:rPr>
      </w:pPr>
      <w:r>
        <w:rPr>
          <w:noProof/>
        </w:rPr>
        <w:t>5.2.</w:t>
      </w:r>
      <w:r>
        <w:rPr>
          <w:noProof/>
        </w:rPr>
        <w:tab/>
        <w:t>Marque: …</w:t>
      </w:r>
    </w:p>
    <w:p>
      <w:pPr>
        <w:spacing w:after="0"/>
        <w:ind w:left="1701" w:hanging="1701"/>
        <w:rPr>
          <w:rFonts w:eastAsia="Arial Unicode MS"/>
          <w:noProof/>
          <w:szCs w:val="24"/>
        </w:rPr>
      </w:pPr>
      <w:r>
        <w:rPr>
          <w:noProof/>
        </w:rPr>
        <w:t>5.3.</w:t>
      </w:r>
      <w:r>
        <w:rPr>
          <w:noProof/>
        </w:rPr>
        <w:tab/>
        <w:t>Type: …</w:t>
      </w:r>
    </w:p>
    <w:p>
      <w:pPr>
        <w:spacing w:after="0"/>
        <w:ind w:left="1701" w:hanging="1701"/>
        <w:rPr>
          <w:rFonts w:eastAsia="Arial Unicode MS"/>
          <w:noProof/>
          <w:szCs w:val="24"/>
        </w:rPr>
      </w:pPr>
      <w:r>
        <w:rPr>
          <w:noProof/>
        </w:rPr>
        <w:t>5.4.</w:t>
      </w:r>
      <w:r>
        <w:rPr>
          <w:noProof/>
        </w:rPr>
        <w:tab/>
        <w:t>Emplacement du ou des essieux rétractables: …</w:t>
      </w:r>
    </w:p>
    <w:p>
      <w:pPr>
        <w:spacing w:after="0"/>
        <w:ind w:left="1701" w:hanging="1701"/>
        <w:rPr>
          <w:rFonts w:eastAsia="Arial Unicode MS"/>
          <w:noProof/>
          <w:szCs w:val="24"/>
        </w:rPr>
      </w:pPr>
      <w:r>
        <w:rPr>
          <w:noProof/>
        </w:rPr>
        <w:t>5.5.</w:t>
      </w:r>
      <w:r>
        <w:rPr>
          <w:noProof/>
        </w:rPr>
        <w:tab/>
        <w:t>Emplacement du ou des essieux chargeables: …</w:t>
      </w:r>
    </w:p>
    <w:p>
      <w:pPr>
        <w:spacing w:before="240"/>
        <w:ind w:left="1701" w:hanging="1701"/>
        <w:jc w:val="left"/>
        <w:rPr>
          <w:rFonts w:eastAsia="Arial Unicode MS"/>
          <w:bCs/>
          <w:noProof/>
          <w:szCs w:val="24"/>
        </w:rPr>
      </w:pPr>
      <w:r>
        <w:rPr>
          <w:noProof/>
        </w:rPr>
        <w:t>6.</w:t>
      </w:r>
      <w:r>
        <w:rPr>
          <w:noProof/>
        </w:rPr>
        <w:tab/>
        <w:t xml:space="preserve">SUSPENSION </w:t>
      </w:r>
    </w:p>
    <w:p>
      <w:pPr>
        <w:spacing w:after="0"/>
        <w:ind w:left="1701" w:hanging="1701"/>
        <w:rPr>
          <w:rFonts w:eastAsia="Arial Unicode MS"/>
          <w:noProof/>
          <w:szCs w:val="24"/>
        </w:rPr>
      </w:pPr>
      <w:r>
        <w:rPr>
          <w:noProof/>
        </w:rPr>
        <w:t>6.2.</w:t>
      </w:r>
      <w:r>
        <w:rPr>
          <w:noProof/>
        </w:rPr>
        <w:tab/>
        <w:t>Type et nature de la suspension de chaque essieu ou roue: …</w:t>
      </w:r>
    </w:p>
    <w:p>
      <w:pPr>
        <w:spacing w:after="0"/>
        <w:ind w:left="1701" w:hanging="1701"/>
        <w:rPr>
          <w:rFonts w:eastAsia="Arial Unicode MS"/>
          <w:noProof/>
          <w:szCs w:val="24"/>
        </w:rPr>
      </w:pPr>
      <w:r>
        <w:rPr>
          <w:noProof/>
        </w:rPr>
        <w:t>6.2.1.</w:t>
      </w:r>
      <w:r>
        <w:rPr>
          <w:noProof/>
        </w:rPr>
        <w:tab/>
        <w:t>Réglage du niveau: oui/non/en option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Suspension pneumatique pour le ou les essieux non moteurs: oui/non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Suspension du ou des essieux non moteurs équivalente à une suspension pneumatique: oui/non (</w:t>
      </w:r>
      <w:r>
        <w:rPr>
          <w:noProof/>
          <w:vertAlign w:val="superscript"/>
        </w:rPr>
        <w:t>1</w:t>
      </w:r>
      <w:r>
        <w:rPr>
          <w:noProof/>
        </w:rPr>
        <w:t>)</w:t>
      </w:r>
    </w:p>
    <w:p>
      <w:pPr>
        <w:ind w:left="1701" w:hanging="1701"/>
        <w:jc w:val="left"/>
        <w:rPr>
          <w:rFonts w:eastAsia="Arial Unicode MS"/>
          <w:bCs/>
          <w:noProof/>
          <w:szCs w:val="24"/>
        </w:rPr>
      </w:pPr>
      <w:r>
        <w:rPr>
          <w:noProof/>
        </w:rPr>
        <w:t>6.6.1.</w:t>
      </w:r>
      <w:r>
        <w:rPr>
          <w:noProof/>
        </w:rPr>
        <w:tab/>
      </w:r>
      <w:r>
        <w:rPr>
          <w:i/>
          <w:noProof/>
        </w:rPr>
        <w:t>Combinaisons pneumatiques/roues:</w:t>
      </w:r>
      <w:r>
        <w:rPr>
          <w:noProof/>
        </w:rPr>
        <w:t xml:space="preserve"> </w:t>
      </w:r>
    </w:p>
    <w:p>
      <w:pPr>
        <w:spacing w:after="0"/>
        <w:ind w:left="2268" w:hanging="567"/>
        <w:rPr>
          <w:rFonts w:eastAsia="Arial Unicode MS"/>
          <w:noProof/>
          <w:szCs w:val="24"/>
        </w:rPr>
      </w:pPr>
      <w:r>
        <w:rPr>
          <w:noProof/>
        </w:rPr>
        <w:t>a)</w:t>
      </w:r>
      <w:r>
        <w:rPr>
          <w:noProof/>
        </w:rPr>
        <w:tab/>
        <w:t>pour les pneumatiques, indiquer la désignation de la dimension, l’indice de capacité de charge, le symbole de catégorie de vitesse et la résistance au roulement conformément à la norme ISO 28580 (s’il y a lieu) (</w:t>
      </w:r>
      <w:r>
        <w:rPr>
          <w:noProof/>
          <w:vertAlign w:val="superscript"/>
        </w:rPr>
        <w:t>r</w:t>
      </w:r>
      <w:r>
        <w:rPr>
          <w:noProof/>
        </w:rPr>
        <w:t>);</w:t>
      </w:r>
    </w:p>
    <w:p>
      <w:pPr>
        <w:spacing w:after="0"/>
        <w:ind w:left="2268" w:hanging="567"/>
        <w:rPr>
          <w:rFonts w:eastAsia="Arial Unicode MS"/>
          <w:noProof/>
          <w:szCs w:val="24"/>
        </w:rPr>
      </w:pPr>
      <w:r>
        <w:rPr>
          <w:noProof/>
        </w:rPr>
        <w:lastRenderedPageBreak/>
        <w:t>b)</w:t>
      </w:r>
      <w:r>
        <w:rPr>
          <w:noProof/>
        </w:rPr>
        <w:tab/>
        <w:t>pour les roues, indiquer la ou les dimensions et le ou les déports de la jante.</w:t>
      </w:r>
    </w:p>
    <w:p>
      <w:pPr>
        <w:ind w:left="1701" w:hanging="1701"/>
        <w:jc w:val="left"/>
        <w:rPr>
          <w:rFonts w:eastAsia="Arial Unicode MS"/>
          <w:bCs/>
          <w:noProof/>
          <w:szCs w:val="24"/>
        </w:rPr>
      </w:pPr>
      <w:r>
        <w:rPr>
          <w:noProof/>
        </w:rPr>
        <w:t>6.6.1.1.</w:t>
      </w:r>
      <w:r>
        <w:rPr>
          <w:noProof/>
        </w:rPr>
        <w:tab/>
        <w:t xml:space="preserve">Essieux </w:t>
      </w:r>
    </w:p>
    <w:p>
      <w:pPr>
        <w:spacing w:after="0"/>
        <w:ind w:left="1701" w:hanging="1701"/>
        <w:rPr>
          <w:rFonts w:eastAsia="Arial Unicode MS"/>
          <w:noProof/>
          <w:szCs w:val="24"/>
        </w:rPr>
      </w:pPr>
      <w:r>
        <w:rPr>
          <w:noProof/>
        </w:rPr>
        <w:t>6.6.1.1.1.</w:t>
      </w:r>
      <w:r>
        <w:rPr>
          <w:noProof/>
        </w:rPr>
        <w:tab/>
        <w:t>Essieu 1: …</w:t>
      </w:r>
    </w:p>
    <w:p>
      <w:pPr>
        <w:spacing w:after="0"/>
        <w:ind w:left="1701" w:hanging="1701"/>
        <w:rPr>
          <w:rFonts w:eastAsia="Arial Unicode MS"/>
          <w:noProof/>
          <w:szCs w:val="24"/>
        </w:rPr>
      </w:pPr>
      <w:r>
        <w:rPr>
          <w:noProof/>
        </w:rPr>
        <w:t>6.6.1.1.2.</w:t>
      </w:r>
      <w:r>
        <w:rPr>
          <w:noProof/>
        </w:rPr>
        <w:tab/>
        <w:t>Essieu 2: …</w:t>
      </w:r>
    </w:p>
    <w:p>
      <w:pPr>
        <w:ind w:left="1701"/>
        <w:rPr>
          <w:rFonts w:eastAsia="Arial Unicode MS"/>
          <w:noProof/>
          <w:szCs w:val="24"/>
        </w:rPr>
      </w:pPr>
      <w:r>
        <w:rPr>
          <w:noProof/>
        </w:rPr>
        <w:t>etc.</w:t>
      </w:r>
    </w:p>
    <w:p>
      <w:pPr>
        <w:spacing w:after="0"/>
        <w:ind w:left="1701" w:hanging="1701"/>
        <w:rPr>
          <w:rFonts w:eastAsia="Arial Unicode MS"/>
          <w:noProof/>
          <w:szCs w:val="24"/>
        </w:rPr>
      </w:pPr>
      <w:r>
        <w:rPr>
          <w:noProof/>
        </w:rPr>
        <w:t>6.6.1.2.</w:t>
      </w:r>
      <w:r>
        <w:rPr>
          <w:noProof/>
        </w:rPr>
        <w:tab/>
        <w:t>Roue de secours, le cas échéant: …</w:t>
      </w:r>
    </w:p>
    <w:p>
      <w:pPr>
        <w:ind w:left="1701" w:hanging="1701"/>
        <w:jc w:val="left"/>
        <w:rPr>
          <w:rFonts w:eastAsia="Arial Unicode MS"/>
          <w:bCs/>
          <w:noProof/>
          <w:szCs w:val="24"/>
        </w:rPr>
      </w:pPr>
      <w:r>
        <w:rPr>
          <w:noProof/>
        </w:rPr>
        <w:t>6.6.2.</w:t>
      </w:r>
      <w:r>
        <w:rPr>
          <w:noProof/>
        </w:rPr>
        <w:tab/>
      </w:r>
      <w:r>
        <w:rPr>
          <w:i/>
          <w:noProof/>
        </w:rPr>
        <w:t>Limite supérieure et limite inférieure des rayons de roulement</w:t>
      </w:r>
      <w:r>
        <w:rPr>
          <w:noProof/>
        </w:rPr>
        <w:t xml:space="preserve"> </w:t>
      </w:r>
    </w:p>
    <w:p>
      <w:pPr>
        <w:spacing w:after="0"/>
        <w:ind w:left="1701" w:hanging="1701"/>
        <w:rPr>
          <w:rFonts w:eastAsia="Arial Unicode MS"/>
          <w:noProof/>
          <w:szCs w:val="24"/>
        </w:rPr>
      </w:pPr>
      <w:r>
        <w:rPr>
          <w:noProof/>
        </w:rPr>
        <w:t>6.6.2.1.</w:t>
      </w:r>
      <w:r>
        <w:rPr>
          <w:noProof/>
        </w:rPr>
        <w:tab/>
        <w:t>Essieu 1: …</w:t>
      </w:r>
    </w:p>
    <w:p>
      <w:pPr>
        <w:spacing w:after="0"/>
        <w:ind w:left="1701" w:hanging="1701"/>
        <w:rPr>
          <w:rFonts w:eastAsia="Arial Unicode MS"/>
          <w:noProof/>
          <w:szCs w:val="24"/>
        </w:rPr>
      </w:pPr>
      <w:r>
        <w:rPr>
          <w:noProof/>
        </w:rPr>
        <w:t>6.6.2.2.</w:t>
      </w:r>
      <w:r>
        <w:rPr>
          <w:noProof/>
        </w:rPr>
        <w:tab/>
        <w:t>Essieu 2: …</w:t>
      </w:r>
    </w:p>
    <w:p>
      <w:pPr>
        <w:ind w:left="1831" w:hanging="130"/>
        <w:rPr>
          <w:rFonts w:eastAsia="Arial Unicode MS"/>
          <w:noProof/>
          <w:szCs w:val="24"/>
        </w:rPr>
      </w:pPr>
      <w:r>
        <w:rPr>
          <w:noProof/>
        </w:rPr>
        <w:t>etc.</w:t>
      </w:r>
    </w:p>
    <w:p>
      <w:pPr>
        <w:spacing w:before="240" w:after="240"/>
        <w:ind w:left="1701" w:hanging="1701"/>
        <w:jc w:val="left"/>
        <w:rPr>
          <w:rFonts w:eastAsia="Arial Unicode MS"/>
          <w:bCs/>
          <w:noProof/>
          <w:szCs w:val="24"/>
        </w:rPr>
      </w:pPr>
      <w:r>
        <w:rPr>
          <w:noProof/>
        </w:rPr>
        <w:t>7.</w:t>
      </w:r>
      <w:r>
        <w:rPr>
          <w:noProof/>
        </w:rPr>
        <w:tab/>
        <w:t xml:space="preserve">DIRECTION </w:t>
      </w:r>
    </w:p>
    <w:p>
      <w:pPr>
        <w:spacing w:before="240"/>
        <w:ind w:left="1701" w:hanging="1701"/>
        <w:jc w:val="left"/>
        <w:rPr>
          <w:rFonts w:eastAsia="Arial Unicode MS"/>
          <w:b/>
          <w:bCs/>
          <w:noProof/>
          <w:szCs w:val="24"/>
        </w:rPr>
      </w:pPr>
      <w:r>
        <w:rPr>
          <w:noProof/>
        </w:rPr>
        <w:t>7.2.</w:t>
      </w:r>
      <w:r>
        <w:rPr>
          <w:noProof/>
        </w:rPr>
        <w:tab/>
      </w:r>
      <w:r>
        <w:rPr>
          <w:b/>
          <w:noProof/>
        </w:rPr>
        <w:t>Timonerie et commande</w:t>
      </w:r>
    </w:p>
    <w:p>
      <w:pPr>
        <w:spacing w:after="0"/>
        <w:ind w:left="1701" w:hanging="1701"/>
        <w:rPr>
          <w:rFonts w:eastAsia="Arial Unicode MS"/>
          <w:noProof/>
          <w:szCs w:val="24"/>
        </w:rPr>
      </w:pPr>
      <w:r>
        <w:rPr>
          <w:noProof/>
        </w:rPr>
        <w:t>7.2.1.</w:t>
      </w:r>
      <w:r>
        <w:rPr>
          <w:noProof/>
        </w:rPr>
        <w:tab/>
        <w:t>Type de timonerie de direction (le cas échéant, préciser pour l’avant et l’arrière): …</w:t>
      </w:r>
    </w:p>
    <w:p>
      <w:pPr>
        <w:spacing w:after="0"/>
        <w:ind w:left="1701" w:hanging="1701"/>
        <w:rPr>
          <w:rFonts w:eastAsia="Arial Unicode MS"/>
          <w:noProof/>
          <w:szCs w:val="24"/>
        </w:rPr>
      </w:pPr>
      <w:r>
        <w:rPr>
          <w:noProof/>
        </w:rPr>
        <w:t>7.2.2.</w:t>
      </w:r>
      <w:r>
        <w:rPr>
          <w:noProof/>
        </w:rPr>
        <w:tab/>
        <w:t>Transmission aux roues (y compris les moyens autres que mécaniques; le cas échéant, préciser pour l’avant et l’arrière): …</w:t>
      </w:r>
    </w:p>
    <w:p>
      <w:pPr>
        <w:spacing w:after="0"/>
        <w:ind w:left="1701" w:hanging="1701"/>
        <w:rPr>
          <w:rFonts w:eastAsia="Arial Unicode MS"/>
          <w:noProof/>
          <w:szCs w:val="24"/>
        </w:rPr>
      </w:pPr>
      <w:r>
        <w:rPr>
          <w:noProof/>
        </w:rPr>
        <w:t>7.2.3.</w:t>
      </w:r>
      <w:r>
        <w:rPr>
          <w:noProof/>
        </w:rPr>
        <w:tab/>
        <w:t>Mode d’assistance (le cas échéant): …</w:t>
      </w:r>
    </w:p>
    <w:p>
      <w:pPr>
        <w:spacing w:before="240" w:after="240"/>
        <w:ind w:left="1701" w:hanging="1701"/>
        <w:jc w:val="left"/>
        <w:rPr>
          <w:rFonts w:eastAsia="Arial Unicode MS"/>
          <w:bCs/>
          <w:noProof/>
          <w:szCs w:val="24"/>
        </w:rPr>
      </w:pPr>
      <w:r>
        <w:rPr>
          <w:noProof/>
        </w:rPr>
        <w:t>8.</w:t>
      </w:r>
      <w:r>
        <w:rPr>
          <w:noProof/>
        </w:rPr>
        <w:tab/>
        <w:t xml:space="preserve">FREINS </w:t>
      </w:r>
    </w:p>
    <w:p>
      <w:pPr>
        <w:spacing w:after="0"/>
        <w:ind w:left="1701" w:hanging="1701"/>
        <w:rPr>
          <w:rFonts w:eastAsia="Arial Unicode MS"/>
          <w:noProof/>
          <w:szCs w:val="24"/>
        </w:rPr>
      </w:pPr>
      <w:r>
        <w:rPr>
          <w:noProof/>
        </w:rPr>
        <w:t>8.5.</w:t>
      </w:r>
      <w:r>
        <w:rPr>
          <w:noProof/>
        </w:rPr>
        <w:tab/>
        <w:t>Système de freinage avec antiblocage des roues: oui/non/en option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Brève description de l’équipement de freinage conformément au paragraphe 2.6 du règlement n</w:t>
      </w:r>
      <w:r>
        <w:rPr>
          <w:noProof/>
          <w:vertAlign w:val="superscript"/>
        </w:rPr>
        <w:t>o</w:t>
      </w:r>
      <w:r>
        <w:rPr>
          <w:noProof/>
        </w:rPr>
        <w:t> 13-H de la CEE-ONU: …</w:t>
      </w:r>
    </w:p>
    <w:p>
      <w:pPr>
        <w:spacing w:before="240" w:after="240"/>
        <w:ind w:left="1701" w:hanging="1701"/>
        <w:jc w:val="left"/>
        <w:rPr>
          <w:rFonts w:eastAsia="Arial Unicode MS"/>
          <w:bCs/>
          <w:noProof/>
          <w:szCs w:val="24"/>
        </w:rPr>
      </w:pPr>
      <w:r>
        <w:rPr>
          <w:noProof/>
        </w:rPr>
        <w:t>9.</w:t>
      </w:r>
      <w:r>
        <w:rPr>
          <w:noProof/>
        </w:rPr>
        <w:tab/>
        <w:t xml:space="preserve">CARROSSERIE </w:t>
      </w:r>
    </w:p>
    <w:p>
      <w:pPr>
        <w:spacing w:after="0"/>
        <w:ind w:left="1701" w:hanging="1701"/>
        <w:rPr>
          <w:rFonts w:eastAsia="Arial Unicode MS"/>
          <w:noProof/>
          <w:szCs w:val="24"/>
        </w:rPr>
      </w:pPr>
      <w:r>
        <w:rPr>
          <w:noProof/>
        </w:rPr>
        <w:t>9.1.</w:t>
      </w:r>
      <w:r>
        <w:rPr>
          <w:noProof/>
        </w:rPr>
        <w:tab/>
        <w:t>Type de carrosserie, selon les codes définis dans la partie C de l’annexe II: …</w:t>
      </w:r>
    </w:p>
    <w:p>
      <w:pPr>
        <w:spacing w:before="240"/>
        <w:ind w:left="1701" w:hanging="1701"/>
        <w:jc w:val="left"/>
        <w:rPr>
          <w:rFonts w:eastAsia="Arial Unicode MS"/>
          <w:b/>
          <w:bCs/>
          <w:noProof/>
          <w:szCs w:val="24"/>
        </w:rPr>
      </w:pPr>
      <w:r>
        <w:rPr>
          <w:noProof/>
        </w:rPr>
        <w:t>9.17.</w:t>
      </w:r>
      <w:r>
        <w:rPr>
          <w:noProof/>
        </w:rPr>
        <w:tab/>
      </w:r>
      <w:r>
        <w:rPr>
          <w:b/>
          <w:noProof/>
        </w:rPr>
        <w:t xml:space="preserve">Plaques réglementaires </w:t>
      </w:r>
    </w:p>
    <w:p>
      <w:pPr>
        <w:spacing w:after="0"/>
        <w:ind w:left="1701" w:hanging="1701"/>
        <w:rPr>
          <w:rFonts w:eastAsia="Arial Unicode MS"/>
          <w:noProof/>
          <w:szCs w:val="24"/>
        </w:rPr>
      </w:pPr>
      <w:r>
        <w:rPr>
          <w:noProof/>
        </w:rPr>
        <w:t>9.17.1.</w:t>
      </w:r>
      <w:r>
        <w:rPr>
          <w:noProof/>
        </w:rPr>
        <w:tab/>
        <w:t>Photographies et/ou dessins montrant l’emplacement des plaques et des inscriptions réglementaires et du numéro d'identification du véhicule: …</w:t>
      </w:r>
    </w:p>
    <w:p>
      <w:pPr>
        <w:spacing w:after="0"/>
        <w:ind w:left="1701" w:hanging="1701"/>
        <w:rPr>
          <w:rFonts w:eastAsia="Arial Unicode MS"/>
          <w:noProof/>
          <w:szCs w:val="24"/>
        </w:rPr>
      </w:pPr>
      <w:r>
        <w:rPr>
          <w:noProof/>
        </w:rPr>
        <w:t>9.17.2.</w:t>
      </w:r>
      <w:r>
        <w:rPr>
          <w:noProof/>
        </w:rPr>
        <w:tab/>
        <w:t>Photographies et/ou dessins de la plaque réglementaire et des inscriptions (exemple complété avec dimensions): …</w:t>
      </w:r>
    </w:p>
    <w:p>
      <w:pPr>
        <w:spacing w:after="0"/>
        <w:ind w:left="1701" w:hanging="1701"/>
        <w:rPr>
          <w:rFonts w:eastAsia="Arial Unicode MS"/>
          <w:noProof/>
          <w:szCs w:val="24"/>
        </w:rPr>
      </w:pPr>
      <w:r>
        <w:rPr>
          <w:noProof/>
        </w:rPr>
        <w:t>9.17.3.</w:t>
      </w:r>
      <w:r>
        <w:rPr>
          <w:noProof/>
        </w:rPr>
        <w:tab/>
        <w:t>Photographies et/ou dessins du numéro d'identification du véhicule (exemple complété avec dimensions): …</w:t>
      </w:r>
    </w:p>
    <w:p>
      <w:pPr>
        <w:spacing w:after="0"/>
        <w:ind w:left="1701" w:hanging="1701"/>
        <w:rPr>
          <w:rFonts w:eastAsia="Arial Unicode MS"/>
          <w:noProof/>
          <w:szCs w:val="24"/>
        </w:rPr>
      </w:pPr>
      <w:r>
        <w:rPr>
          <w:noProof/>
        </w:rPr>
        <w:t>9.17.4.1.</w:t>
      </w:r>
      <w:r>
        <w:rPr>
          <w:noProof/>
        </w:rPr>
        <w:tab/>
        <w:t xml:space="preserve">La signification des caractères de la partie «descripteur du véhicule» du VIN et, le cas échéant, de la partie «désignation du véhicule» du VIN, lorsqu’ils </w:t>
      </w:r>
      <w:r>
        <w:rPr>
          <w:noProof/>
        </w:rPr>
        <w:lastRenderedPageBreak/>
        <w:t>sont utilisés pour satisfaire aux prescriptions du paragraphe 5.3 de la norme ISO 3779-1983, doit être expliquée: …</w:t>
      </w:r>
    </w:p>
    <w:p>
      <w:pPr>
        <w:spacing w:after="0"/>
        <w:ind w:left="1701" w:hanging="1701"/>
        <w:rPr>
          <w:rFonts w:eastAsia="Arial Unicode MS"/>
          <w:noProof/>
          <w:szCs w:val="24"/>
        </w:rPr>
      </w:pPr>
      <w:r>
        <w:rPr>
          <w:noProof/>
        </w:rPr>
        <w:t>9.17.4.2.</w:t>
      </w:r>
      <w:r>
        <w:rPr>
          <w:noProof/>
        </w:rPr>
        <w:tab/>
        <w:t>Si les caractères de la partie «descripteur du véhicule» du VIN, sont utilisés pour satisfaire aux prescriptions du paragraphe 5.4 de la norme ISO 3779-1983, ces caractères doivent être indiqués: …</w:t>
      </w:r>
    </w:p>
    <w:p>
      <w:pPr>
        <w:spacing w:before="360"/>
        <w:ind w:left="1701" w:hanging="1701"/>
        <w:jc w:val="left"/>
        <w:rPr>
          <w:rFonts w:eastAsia="Arial Unicode MS"/>
          <w:bCs/>
          <w:noProof/>
          <w:szCs w:val="24"/>
        </w:rPr>
      </w:pPr>
      <w:r>
        <w:rPr>
          <w:noProof/>
        </w:rPr>
        <w:t>11.</w:t>
      </w:r>
      <w:r>
        <w:rPr>
          <w:noProof/>
        </w:rPr>
        <w:tab/>
        <w:t xml:space="preserve">LIAISONS ENTRE VÉHICULES TRACTEURS ET REMORQUES ET SEMI-REMORQUES </w:t>
      </w:r>
    </w:p>
    <w:p>
      <w:pPr>
        <w:spacing w:after="0"/>
        <w:ind w:left="1701" w:hanging="1701"/>
        <w:rPr>
          <w:rFonts w:eastAsia="Arial Unicode MS"/>
          <w:noProof/>
          <w:szCs w:val="24"/>
        </w:rPr>
      </w:pPr>
      <w:r>
        <w:rPr>
          <w:noProof/>
        </w:rPr>
        <w:t>11.1.</w:t>
      </w:r>
      <w:r>
        <w:rPr>
          <w:noProof/>
        </w:rPr>
        <w:tab/>
        <w:t>Classe et type du ou des dispositif(s) d’attelage monté(s) ou à monter: …</w:t>
      </w:r>
    </w:p>
    <w:p>
      <w:pPr>
        <w:spacing w:after="0"/>
        <w:ind w:left="1701" w:hanging="1701"/>
        <w:rPr>
          <w:rFonts w:eastAsia="Arial Unicode MS"/>
          <w:noProof/>
          <w:szCs w:val="24"/>
        </w:rPr>
      </w:pPr>
      <w:r>
        <w:rPr>
          <w:noProof/>
        </w:rPr>
        <w:t>11.5.</w:t>
      </w:r>
      <w:r>
        <w:rPr>
          <w:noProof/>
        </w:rPr>
        <w:tab/>
        <w:t>Numéro(s) de réception par type: …</w:t>
      </w:r>
    </w:p>
    <w:p>
      <w:pPr>
        <w:spacing w:before="0" w:after="0"/>
        <w:jc w:val="left"/>
        <w:rPr>
          <w:rFonts w:eastAsia="Arial Unicode MS"/>
          <w:noProof/>
          <w:szCs w:val="24"/>
        </w:rPr>
      </w:pPr>
      <w:r>
        <w:rPr>
          <w:rFonts w:eastAsia="Arial Unicode MS"/>
          <w:noProof/>
          <w:color w:val="0070C0"/>
          <w:szCs w:val="24"/>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noProof/>
        </w:rPr>
        <w:br w:type="page"/>
      </w:r>
    </w:p>
    <w:p>
      <w:pPr>
        <w:spacing w:before="720" w:after="360"/>
        <w:jc w:val="center"/>
        <w:rPr>
          <w:rFonts w:eastAsia="Arial Unicode MS"/>
          <w:bCs/>
          <w:noProof/>
          <w:szCs w:val="24"/>
        </w:rPr>
      </w:pPr>
      <w:r>
        <w:rPr>
          <w:noProof/>
        </w:rPr>
        <w:lastRenderedPageBreak/>
        <w:t>PARTIE II</w:t>
      </w:r>
    </w:p>
    <w:p>
      <w:pPr>
        <w:jc w:val="left"/>
        <w:rPr>
          <w:rFonts w:eastAsia="Arial Unicode MS"/>
          <w:b/>
          <w:bCs/>
          <w:noProof/>
          <w:szCs w:val="24"/>
        </w:rPr>
      </w:pPr>
      <w:r>
        <w:rPr>
          <w:b/>
          <w:noProof/>
        </w:rPr>
        <w:t>Matrice présentant les combinaisons des entrées énumérées dans la partie I au sein des versions et variantes du type de véhicule</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Élément n</w:t>
            </w:r>
            <w:r>
              <w:rPr>
                <w:noProof/>
                <w:sz w:val="22"/>
                <w:vertAlign w:val="superscript"/>
              </w:rPr>
              <w:t>o</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Toutes</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Version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Version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Version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Cs w:val="24"/>
              </w:rPr>
            </w:pPr>
            <w:r>
              <w:rPr>
                <w:noProof/>
                <w:sz w:val="22"/>
              </w:rPr>
              <w:t>Version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bl>
    <w:p>
      <w:pPr>
        <w:spacing w:after="0"/>
        <w:rPr>
          <w:rFonts w:eastAsia="Arial Unicode MS"/>
          <w:b/>
          <w:noProof/>
          <w:szCs w:val="24"/>
        </w:rPr>
      </w:pPr>
      <w:r>
        <w:rPr>
          <w:b/>
          <w:i/>
          <w:noProof/>
        </w:rPr>
        <w:t>Notes explicatives</w:t>
      </w:r>
    </w:p>
    <w:p>
      <w:pPr>
        <w:spacing w:after="0"/>
        <w:ind w:left="567" w:hanging="567"/>
        <w:rPr>
          <w:rFonts w:eastAsia="Arial Unicode MS"/>
          <w:noProof/>
          <w:szCs w:val="24"/>
        </w:rPr>
      </w:pPr>
      <w:r>
        <w:rPr>
          <w:noProof/>
        </w:rPr>
        <w:t>a)</w:t>
      </w:r>
      <w:r>
        <w:rPr>
          <w:noProof/>
        </w:rPr>
        <w:tab/>
        <w:t>Une matrice distincte doit être établie pour chaque variante au sein du type.</w:t>
      </w:r>
    </w:p>
    <w:p>
      <w:pPr>
        <w:spacing w:after="0"/>
        <w:ind w:left="567" w:hanging="567"/>
        <w:rPr>
          <w:rFonts w:eastAsia="Arial Unicode MS"/>
          <w:noProof/>
          <w:szCs w:val="24"/>
        </w:rPr>
      </w:pPr>
      <w:r>
        <w:rPr>
          <w:noProof/>
        </w:rPr>
        <w:t>b)</w:t>
      </w:r>
      <w:r>
        <w:rPr>
          <w:noProof/>
        </w:rPr>
        <w:tab/>
        <w:t>Les entrées pour lesquelles il n’existe aucune restriction quant à leur combinaison au sein d’une variante sont énumérées dans la colonne intitulée «Toutes».</w:t>
      </w:r>
    </w:p>
    <w:p>
      <w:pPr>
        <w:spacing w:after="0"/>
        <w:ind w:left="567" w:hanging="567"/>
        <w:rPr>
          <w:rFonts w:eastAsia="Arial Unicode MS"/>
          <w:noProof/>
          <w:szCs w:val="24"/>
        </w:rPr>
      </w:pPr>
      <w:r>
        <w:rPr>
          <w:noProof/>
        </w:rPr>
        <w:t>c)</w:t>
      </w:r>
      <w:r>
        <w:rPr>
          <w:noProof/>
        </w:rPr>
        <w:tab/>
        <w:t>Les informations à fournir conformément à la partie II peuvent être présentées sous une autre forme ou fusionnées avec les informations fournies conformément à la partie I.</w:t>
      </w:r>
    </w:p>
    <w:p>
      <w:pPr>
        <w:spacing w:after="0"/>
        <w:ind w:left="567" w:hanging="567"/>
        <w:rPr>
          <w:rFonts w:eastAsia="Arial Unicode MS"/>
          <w:noProof/>
          <w:szCs w:val="24"/>
        </w:rPr>
      </w:pPr>
      <w:r>
        <w:rPr>
          <w:noProof/>
        </w:rPr>
        <w:t>d)</w:t>
      </w:r>
      <w:r>
        <w:rPr>
          <w:noProof/>
        </w:rPr>
        <w:tab/>
        <w:t>Chaque variante et chaque version est identifiée par un code alphanumérique consistant en une combinaison de lettres et de chiffres, qui doit être indiqué également dans le certificat de conformité (annexe IX) du véhicule concerné.</w:t>
      </w:r>
    </w:p>
    <w:p>
      <w:pPr>
        <w:spacing w:after="0"/>
        <w:ind w:left="567" w:hanging="567"/>
        <w:rPr>
          <w:rFonts w:eastAsia="Arial Unicode MS"/>
          <w:noProof/>
          <w:sz w:val="28"/>
          <w:szCs w:val="28"/>
        </w:rPr>
      </w:pPr>
      <w:r>
        <w:rPr>
          <w:noProof/>
        </w:rPr>
        <w:t>e)</w:t>
      </w:r>
      <w:r>
        <w:rPr>
          <w:noProof/>
        </w:rPr>
        <w:tab/>
        <w:t>Les variantes relevant de la partie III de l’annexe IV sont identifiées par un code alphanumérique spécifique.</w:t>
      </w:r>
    </w:p>
    <w:p>
      <w:pPr>
        <w:spacing w:before="0" w:after="0"/>
        <w:jc w:val="left"/>
        <w:rPr>
          <w:rFonts w:eastAsia="Arial Unicode MS"/>
          <w:noProof/>
          <w:color w:val="0070C0"/>
          <w:szCs w:val="24"/>
        </w:rPr>
      </w:pPr>
      <w:r>
        <w:rPr>
          <w:rFonts w:eastAsia="Arial Unicode MS"/>
          <w:noProof/>
          <w:color w:val="0070C0"/>
          <w:szCs w:val="24"/>
        </w:rPr>
        <w:pict>
          <v:rect id="_x0000_i1032" style="width:45.35pt;height:.75pt" o:hrpct="100" o:hralign="center" o:hrstd="t" o:hrnoshade="t" o:hr="t" fillcolor="black" stroked="f"/>
        </w:pict>
      </w:r>
    </w:p>
    <w:p>
      <w:pPr>
        <w:spacing w:before="480"/>
        <w:jc w:val="center"/>
        <w:rPr>
          <w:rFonts w:eastAsia="Arial Unicode MS"/>
          <w:bCs/>
          <w:noProof/>
          <w:szCs w:val="24"/>
        </w:rPr>
      </w:pPr>
      <w:r>
        <w:rPr>
          <w:noProof/>
        </w:rPr>
        <w:br w:type="page"/>
      </w:r>
      <w:r>
        <w:rPr>
          <w:noProof/>
        </w:rPr>
        <w:lastRenderedPageBreak/>
        <w:t>PARTIE III</w:t>
      </w:r>
    </w:p>
    <w:p>
      <w:pPr>
        <w:jc w:val="center"/>
        <w:rPr>
          <w:rFonts w:eastAsia="Arial Unicode MS"/>
          <w:b/>
          <w:bCs/>
          <w:noProof/>
          <w:szCs w:val="24"/>
        </w:rPr>
      </w:pPr>
      <w:r>
        <w:rPr>
          <w:b/>
          <w:noProof/>
        </w:rPr>
        <w:t>Numéros de réception par type</w:t>
      </w:r>
    </w:p>
    <w:p>
      <w:pPr>
        <w:rPr>
          <w:rFonts w:eastAsia="Arial Unicode MS"/>
          <w:noProof/>
          <w:szCs w:val="24"/>
        </w:rPr>
      </w:pPr>
      <w:r>
        <w:rPr>
          <w:noProof/>
        </w:rPr>
        <w:t xml:space="preserve">Les informations requises par l’article 22 sont à fournir dans le tableau suivant pour les réceptions par type de systèmes, d’entités techniques distinctes et de composants destinés à ce véhicule qui ont été accordées conformément aux actes réglementaires énumérés dans l’annexe IV. </w:t>
      </w:r>
    </w:p>
    <w:p>
      <w:pPr>
        <w:rPr>
          <w:rFonts w:eastAsia="Arial Unicode MS"/>
          <w:noProof/>
          <w:szCs w:val="24"/>
        </w:rPr>
      </w:pPr>
      <w:r>
        <w:rPr>
          <w:noProof/>
        </w:rPr>
        <w:t>(Toutes les réceptions pertinentes pour chaque système, entité technique distincte et composant doivent être indiquées. Toutefois, les informations concernant les composants ne sont pas requises ici dans la mesure où elles sont incluses dans la fiche de réception relative aux prescriptions d’installation.)</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5"/>
        <w:gridCol w:w="2226"/>
        <w:gridCol w:w="2727"/>
        <w:gridCol w:w="1583"/>
        <w:gridCol w:w="202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szCs w:val="20"/>
              </w:rPr>
              <w:t>Objet</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szCs w:val="20"/>
              </w:rPr>
              <w:t>Numéro de réception par type ou numéro de rapport d’essais (</w:t>
            </w:r>
            <w:r>
              <w:rPr>
                <w:noProof/>
                <w:sz w:val="20"/>
                <w:szCs w:val="20"/>
                <w:vertAlign w:val="superscript"/>
              </w:rPr>
              <w:t>***</w:t>
            </w:r>
            <w:r>
              <w:rPr>
                <w:noProof/>
                <w:sz w:val="20"/>
                <w:szCs w:val="20"/>
              </w:rPr>
              <w:t>)</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szCs w:val="20"/>
              </w:rPr>
              <w:t>État membre ou partie contractante (</w:t>
            </w:r>
            <w:r>
              <w:rPr>
                <w:noProof/>
                <w:sz w:val="20"/>
                <w:szCs w:val="20"/>
                <w:vertAlign w:val="superscript"/>
              </w:rPr>
              <w:t>*</w:t>
            </w:r>
            <w:r>
              <w:rPr>
                <w:noProof/>
                <w:sz w:val="20"/>
                <w:szCs w:val="20"/>
              </w:rPr>
              <w:t>) délivrant la réception par type (</w:t>
            </w:r>
            <w:r>
              <w:rPr>
                <w:noProof/>
                <w:sz w:val="20"/>
                <w:szCs w:val="20"/>
                <w:vertAlign w:val="superscript"/>
              </w:rPr>
              <w:t>**</w:t>
            </w:r>
            <w:r>
              <w:rPr>
                <w:noProof/>
                <w:sz w:val="20"/>
                <w:szCs w:val="20"/>
              </w:rPr>
              <w:t>) ou le rapport d’essais (</w:t>
            </w:r>
            <w:r>
              <w:rPr>
                <w:noProof/>
                <w:sz w:val="20"/>
                <w:szCs w:val="20"/>
                <w:vertAlign w:val="superscript"/>
              </w:rPr>
              <w:t>***</w:t>
            </w:r>
            <w:r>
              <w:rPr>
                <w:noProof/>
                <w:sz w:val="20"/>
                <w:szCs w:val="20"/>
              </w:rPr>
              <w:t>)</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Date de l’extension</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Variante(s)/version(s)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rPr>
            </w:pPr>
            <w:r>
              <w:rPr>
                <w:noProof/>
                <w:sz w:val="22"/>
              </w:rPr>
              <w:t>(</w:t>
            </w:r>
            <w:r>
              <w:rPr>
                <w:noProof/>
                <w:sz w:val="22"/>
                <w:vertAlign w:val="superscript"/>
              </w:rPr>
              <w:t>*</w:t>
            </w:r>
            <w:r>
              <w:rPr>
                <w:noProof/>
                <w:sz w:val="22"/>
              </w:rPr>
              <w:t>)</w:t>
            </w:r>
            <w:r>
              <w:rPr>
                <w:noProof/>
                <w:sz w:val="22"/>
              </w:rPr>
              <w:tab/>
              <w:t>Parties contractantes à l’accord de 1958 révisé.</w:t>
            </w:r>
          </w:p>
          <w:p>
            <w:pPr>
              <w:spacing w:before="60" w:after="60"/>
              <w:ind w:left="694" w:hanging="694"/>
              <w:rPr>
                <w:rFonts w:eastAsia="Arial Unicode MS"/>
                <w:noProof/>
              </w:rPr>
            </w:pPr>
            <w:r>
              <w:rPr>
                <w:noProof/>
                <w:sz w:val="22"/>
              </w:rPr>
              <w:t>(</w:t>
            </w:r>
            <w:r>
              <w:rPr>
                <w:noProof/>
                <w:sz w:val="22"/>
                <w:vertAlign w:val="superscript"/>
              </w:rPr>
              <w:t>**</w:t>
            </w:r>
            <w:r>
              <w:rPr>
                <w:noProof/>
                <w:sz w:val="22"/>
              </w:rPr>
              <w:t>)</w:t>
            </w:r>
            <w:r>
              <w:rPr>
                <w:noProof/>
                <w:sz w:val="22"/>
              </w:rPr>
              <w:tab/>
              <w:t>À indiquer si l’information ne peut être déduite du numéro de réception par type.</w:t>
            </w:r>
          </w:p>
          <w:p>
            <w:pPr>
              <w:spacing w:before="60" w:after="60"/>
              <w:ind w:left="694" w:hanging="694"/>
              <w:rPr>
                <w:rFonts w:eastAsia="Arial Unicode MS"/>
                <w:noProof/>
                <w:sz w:val="20"/>
                <w:szCs w:val="20"/>
              </w:rPr>
            </w:pPr>
            <w:r>
              <w:rPr>
                <w:noProof/>
                <w:sz w:val="22"/>
              </w:rPr>
              <w:t>(</w:t>
            </w:r>
            <w:r>
              <w:rPr>
                <w:noProof/>
                <w:sz w:val="22"/>
                <w:vertAlign w:val="superscript"/>
              </w:rPr>
              <w:t>***</w:t>
            </w:r>
            <w:r>
              <w:rPr>
                <w:noProof/>
                <w:sz w:val="22"/>
              </w:rPr>
              <w:t>)</w:t>
            </w:r>
            <w:r>
              <w:rPr>
                <w:noProof/>
                <w:sz w:val="22"/>
              </w:rPr>
              <w:tab/>
              <w:t>À indiquer si le constructeur applique les dispositions de l’article 40, paragraphe 1. Dans ce cas, l’acte réglementaire applicable est précisé dans la deuxième colonne.</w:t>
            </w:r>
          </w:p>
        </w:tc>
      </w:tr>
    </w:tbl>
    <w:p>
      <w:pPr>
        <w:spacing w:after="0"/>
        <w:rPr>
          <w:rFonts w:eastAsia="Arial Unicode MS"/>
          <w:noProof/>
          <w:szCs w:val="24"/>
        </w:rPr>
      </w:pPr>
      <w:r>
        <w:rPr>
          <w:noProof/>
        </w:rPr>
        <w:t>Signé: …</w:t>
      </w:r>
    </w:p>
    <w:p>
      <w:pPr>
        <w:spacing w:after="0"/>
        <w:rPr>
          <w:rFonts w:eastAsia="Arial Unicode MS"/>
          <w:noProof/>
          <w:szCs w:val="24"/>
        </w:rPr>
      </w:pPr>
      <w:r>
        <w:rPr>
          <w:noProof/>
        </w:rPr>
        <w:t>Fonctions dans la société: …</w:t>
      </w:r>
    </w:p>
    <w:p>
      <w:pPr>
        <w:spacing w:after="0"/>
        <w:rPr>
          <w:rFonts w:eastAsia="Arial Unicode MS"/>
          <w:noProof/>
          <w:szCs w:val="24"/>
        </w:rPr>
      </w:pPr>
      <w:r>
        <w:rPr>
          <w:noProof/>
        </w:rPr>
        <w:t>Date: …</w:t>
      </w:r>
    </w:p>
    <w:p>
      <w:pPr>
        <w:spacing w:before="0" w:after="0"/>
        <w:jc w:val="left"/>
        <w:rPr>
          <w:rFonts w:eastAsia="Arial Unicode MS"/>
          <w:noProof/>
          <w:color w:val="0070C0"/>
          <w:szCs w:val="24"/>
        </w:rPr>
      </w:pPr>
      <w:r>
        <w:rPr>
          <w:rFonts w:eastAsia="Arial Unicode MS"/>
          <w:noProof/>
          <w:color w:val="0070C0"/>
          <w:szCs w:val="24"/>
        </w:rPr>
        <w:pict>
          <v:rect id="_x0000_i1033" style="width:45.35pt;height:.75pt" o:hrpct="100" o:hralign="center" o:hrstd="t" o:hrnoshade="t" o:hr="t" fillcolor="black" stroked="f"/>
        </w:pict>
      </w:r>
    </w:p>
    <w:p>
      <w:pPr>
        <w:rPr>
          <w:noProof/>
        </w:rPr>
      </w:pPr>
      <w:r>
        <w:rPr>
          <w:noProof/>
        </w:rPr>
        <w:br w:type="page"/>
      </w:r>
    </w:p>
    <w:p>
      <w:pPr>
        <w:spacing w:before="0" w:after="0"/>
        <w:jc w:val="left"/>
        <w:rPr>
          <w:rFonts w:eastAsia="Arial Unicode MS"/>
          <w:noProof/>
          <w:color w:val="0070C0"/>
          <w:spacing w:val="-8"/>
          <w:szCs w:val="24"/>
        </w:rPr>
      </w:pPr>
    </w:p>
    <w:p>
      <w:pPr>
        <w:pStyle w:val="Annexetitre"/>
        <w:rPr>
          <w:noProof/>
          <w:spacing w:val="-8"/>
        </w:rPr>
      </w:pPr>
      <w:r>
        <w:rPr>
          <w:noProof/>
          <w:spacing w:val="-8"/>
        </w:rPr>
        <w:t>ANNEXE IV</w:t>
      </w:r>
    </w:p>
    <w:p>
      <w:pPr>
        <w:spacing w:before="240" w:after="240"/>
        <w:jc w:val="center"/>
        <w:rPr>
          <w:rFonts w:eastAsia="Arial Unicode MS"/>
          <w:b/>
          <w:bCs/>
          <w:noProof/>
          <w:spacing w:val="-8"/>
          <w:szCs w:val="24"/>
        </w:rPr>
      </w:pPr>
      <w:r>
        <w:rPr>
          <w:b/>
          <w:noProof/>
          <w:spacing w:val="-8"/>
        </w:rPr>
        <w:t>PRESCRIPTIONS AUX FINS DE LA RÉCEPTION UE PAR TYPE DE VÉHICULES, DE SYSTÈMES, DE COMPOSANTS OU D’ENTITÉS TECHNIQUES DISTINCTES</w:t>
      </w:r>
    </w:p>
    <w:p>
      <w:pPr>
        <w:spacing w:after="240"/>
        <w:jc w:val="center"/>
        <w:rPr>
          <w:rFonts w:eastAsia="Arial Unicode MS"/>
          <w:bCs/>
          <w:noProof/>
          <w:spacing w:val="-8"/>
          <w:szCs w:val="24"/>
        </w:rPr>
      </w:pPr>
      <w:r>
        <w:rPr>
          <w:noProof/>
          <w:spacing w:val="-8"/>
        </w:rPr>
        <w:t>PARTIE I</w:t>
      </w:r>
    </w:p>
    <w:p>
      <w:pPr>
        <w:spacing w:before="240" w:after="240"/>
        <w:jc w:val="center"/>
        <w:rPr>
          <w:rFonts w:eastAsia="Arial Unicode MS"/>
          <w:b/>
          <w:bCs/>
          <w:noProof/>
          <w:spacing w:val="-8"/>
          <w:szCs w:val="24"/>
        </w:rPr>
      </w:pPr>
      <w:r>
        <w:rPr>
          <w:b/>
          <w:noProof/>
          <w:spacing w:val="-8"/>
        </w:rPr>
        <w:t>Actes réglementaires applicables aux fins de la réception UE par type de véhicules produits en séries illimitées</w:t>
      </w:r>
    </w:p>
    <w:p>
      <w:pPr>
        <w:spacing w:before="0" w:after="240"/>
        <w:jc w:val="center"/>
        <w:rPr>
          <w:rFonts w:eastAsia="Arial Unicode MS"/>
          <w:b/>
          <w:bCs/>
          <w:noProof/>
          <w:spacing w:val="-8"/>
          <w:szCs w:val="24"/>
        </w:rPr>
      </w:pPr>
    </w:p>
    <w:tbl>
      <w:tblPr>
        <w:tblW w:w="937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7"/>
        <w:gridCol w:w="1560"/>
        <w:gridCol w:w="1264"/>
        <w:gridCol w:w="517"/>
        <w:gridCol w:w="512"/>
        <w:gridCol w:w="512"/>
        <w:gridCol w:w="517"/>
        <w:gridCol w:w="500"/>
        <w:gridCol w:w="500"/>
        <w:gridCol w:w="471"/>
        <w:gridCol w:w="471"/>
        <w:gridCol w:w="471"/>
        <w:gridCol w:w="471"/>
        <w:gridCol w:w="825"/>
      </w:tblGrid>
      <w:tr>
        <w:trPr>
          <w:cantSplit/>
          <w:tblCellSpacing w:w="0" w:type="dxa"/>
          <w:jc w:val="center"/>
        </w:trPr>
        <w:tc>
          <w:tcPr>
            <w:tcW w:w="811" w:type="dxa"/>
            <w:vMerge w:val="restart"/>
            <w:tcBorders>
              <w:top w:val="outset" w:sz="6" w:space="0" w:color="auto"/>
              <w:left w:val="single" w:sz="4"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Élément</w:t>
            </w:r>
          </w:p>
        </w:tc>
        <w:tc>
          <w:tcPr>
            <w:tcW w:w="1451"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Objet</w:t>
            </w:r>
          </w:p>
        </w:tc>
        <w:tc>
          <w:tcPr>
            <w:tcW w:w="1312"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Acte réglementaire</w:t>
            </w:r>
          </w:p>
        </w:tc>
        <w:tc>
          <w:tcPr>
            <w:tcW w:w="497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Applicabilité</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pacing w:val="-8"/>
                <w:sz w:val="20"/>
                <w:szCs w:val="20"/>
              </w:rPr>
            </w:pPr>
          </w:p>
        </w:tc>
      </w:tr>
      <w:tr>
        <w:trPr>
          <w:cantSplit/>
          <w:tblCellSpacing w:w="0" w:type="dxa"/>
          <w:jc w:val="center"/>
        </w:trPr>
        <w:tc>
          <w:tcPr>
            <w:tcW w:w="811" w:type="dxa"/>
            <w:vMerge/>
            <w:tcBorders>
              <w:top w:val="outset" w:sz="6" w:space="0" w:color="auto"/>
              <w:left w:val="single" w:sz="4" w:space="0" w:color="auto"/>
              <w:bottom w:val="outset" w:sz="6" w:space="0" w:color="auto"/>
              <w:right w:val="outset" w:sz="6" w:space="0" w:color="auto"/>
            </w:tcBorders>
            <w:vAlign w:val="center"/>
            <w:hideMark/>
          </w:tcPr>
          <w:p>
            <w:pPr>
              <w:spacing w:after="0"/>
              <w:jc w:val="center"/>
              <w:rPr>
                <w:rFonts w:eastAsia="Arial Unicode MS"/>
                <w:b/>
                <w:bCs/>
                <w:noProof/>
                <w:spacing w:val="-8"/>
                <w:sz w:val="20"/>
                <w:szCs w:val="20"/>
              </w:rPr>
            </w:pPr>
          </w:p>
        </w:tc>
        <w:tc>
          <w:tcPr>
            <w:tcW w:w="1451"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pacing w:val="-8"/>
                <w:sz w:val="18"/>
                <w:szCs w:val="18"/>
              </w:rPr>
            </w:pPr>
          </w:p>
        </w:tc>
        <w:tc>
          <w:tcPr>
            <w:tcW w:w="131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pacing w:val="-8"/>
                <w:sz w:val="18"/>
                <w:szCs w:val="18"/>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M</w:t>
            </w:r>
            <w:r>
              <w:rPr>
                <w:noProof/>
                <w:spacing w:val="-8"/>
                <w:sz w:val="20"/>
                <w:vertAlign w:val="subscript"/>
              </w:rPr>
              <w:t>2</w:t>
            </w:r>
            <w:r>
              <w:rPr>
                <w:noProof/>
                <w:spacing w:val="-8"/>
                <w:sz w:val="20"/>
              </w:rPr>
              <w:t xml:space="preserve"> </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M</w:t>
            </w:r>
            <w:r>
              <w:rPr>
                <w:noProof/>
                <w:spacing w:val="-8"/>
                <w:sz w:val="20"/>
                <w:vertAlign w:val="subscript"/>
              </w:rPr>
              <w:t>3</w:t>
            </w:r>
            <w:r>
              <w:rPr>
                <w:noProof/>
                <w:spacing w:val="-8"/>
                <w:sz w:val="20"/>
              </w:rPr>
              <w:t xml:space="preserve"> </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N</w:t>
            </w:r>
            <w:r>
              <w:rPr>
                <w:noProof/>
                <w:spacing w:val="-8"/>
                <w:sz w:val="20"/>
                <w:vertAlign w:val="subscript"/>
              </w:rPr>
              <w:t>1</w:t>
            </w:r>
            <w:r>
              <w:rPr>
                <w:noProof/>
                <w:spacing w:val="-8"/>
                <w:sz w:val="20"/>
              </w:rPr>
              <w:t xml:space="preserve"> </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N</w:t>
            </w:r>
            <w:r>
              <w:rPr>
                <w:noProof/>
                <w:spacing w:val="-8"/>
                <w:sz w:val="20"/>
                <w:vertAlign w:val="subscript"/>
              </w:rPr>
              <w:t>2</w:t>
            </w:r>
            <w:r>
              <w:rPr>
                <w:noProof/>
                <w:spacing w:val="-8"/>
                <w:sz w:val="20"/>
              </w:rPr>
              <w:t xml:space="preserve"> </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N</w:t>
            </w:r>
            <w:r>
              <w:rPr>
                <w:noProof/>
                <w:spacing w:val="-8"/>
                <w:sz w:val="20"/>
                <w:vertAlign w:val="subscript"/>
              </w:rPr>
              <w:t>3</w:t>
            </w:r>
            <w:r>
              <w:rPr>
                <w:noProof/>
                <w:spacing w:val="-8"/>
                <w:sz w:val="20"/>
              </w:rPr>
              <w:t xml:space="preserve"> </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O</w:t>
            </w:r>
            <w:r>
              <w:rPr>
                <w:noProof/>
                <w:spacing w:val="-8"/>
                <w:sz w:val="20"/>
                <w:vertAlign w:val="subscript"/>
              </w:rPr>
              <w:t>1</w:t>
            </w:r>
            <w:r>
              <w:rPr>
                <w:noProof/>
                <w:spacing w:val="-8"/>
                <w:sz w:val="20"/>
              </w:rPr>
              <w:t xml:space="preserve"> </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O</w:t>
            </w:r>
            <w:r>
              <w:rPr>
                <w:noProof/>
                <w:spacing w:val="-8"/>
                <w:sz w:val="20"/>
                <w:vertAlign w:val="subscript"/>
              </w:rPr>
              <w:t>2</w:t>
            </w:r>
            <w:r>
              <w:rPr>
                <w:noProof/>
                <w:spacing w:val="-8"/>
                <w:sz w:val="20"/>
              </w:rPr>
              <w:t xml:space="preserve"> </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O</w:t>
            </w:r>
            <w:r>
              <w:rPr>
                <w:noProof/>
                <w:spacing w:val="-8"/>
                <w:sz w:val="20"/>
                <w:vertAlign w:val="subscript"/>
              </w:rPr>
              <w:t>3</w:t>
            </w:r>
            <w:r>
              <w:rPr>
                <w:noProof/>
                <w:spacing w:val="-8"/>
                <w:sz w:val="20"/>
              </w:rPr>
              <w:t xml:space="preserve"> </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O</w:t>
            </w:r>
            <w:r>
              <w:rPr>
                <w:noProof/>
                <w:spacing w:val="-8"/>
                <w:sz w:val="20"/>
                <w:vertAlign w:val="subscript"/>
              </w:rPr>
              <w:t>4</w:t>
            </w:r>
            <w:r>
              <w:rPr>
                <w:noProof/>
                <w:spacing w:val="-8"/>
                <w:sz w:val="20"/>
              </w:rPr>
              <w:t xml:space="preserve"> </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pacing w:val="-8"/>
                <w:sz w:val="18"/>
                <w:szCs w:val="18"/>
              </w:rPr>
            </w:pPr>
            <w:r>
              <w:rPr>
                <w:noProof/>
                <w:spacing w:val="-8"/>
                <w:sz w:val="18"/>
              </w:rPr>
              <w:t xml:space="preserve">ETD ou </w:t>
            </w:r>
            <w:r>
              <w:rPr>
                <w:rFonts w:eastAsia="Arial Unicode MS"/>
                <w:bCs/>
                <w:noProof/>
                <w:spacing w:val="-8"/>
                <w:sz w:val="18"/>
                <w:szCs w:val="18"/>
              </w:rPr>
              <w:br/>
            </w:r>
            <w:r>
              <w:rPr>
                <w:noProof/>
                <w:spacing w:val="-8"/>
                <w:sz w:val="18"/>
              </w:rPr>
              <w:t>composant</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1A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18"/>
                <w:szCs w:val="18"/>
              </w:rPr>
            </w:pPr>
            <w:r>
              <w:rPr>
                <w:noProof/>
                <w:spacing w:val="-8"/>
                <w:sz w:val="18"/>
              </w:rPr>
              <w:t>Niveau sonore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18"/>
                <w:szCs w:val="18"/>
              </w:rPr>
            </w:pPr>
            <w:r>
              <w:rPr>
                <w:noProof/>
                <w:spacing w:val="-8"/>
                <w:sz w:val="18"/>
              </w:rPr>
              <w:t>Règlement (UE) n</w:t>
            </w:r>
            <w:r>
              <w:rPr>
                <w:noProof/>
                <w:spacing w:val="-8"/>
                <w:sz w:val="18"/>
                <w:vertAlign w:val="superscript"/>
              </w:rPr>
              <w:t>o</w:t>
            </w:r>
            <w:r>
              <w:rPr>
                <w:noProof/>
                <w:spacing w:val="-8"/>
                <w:sz w:val="18"/>
              </w:rPr>
              <w:t> 540/2014 du Parlement européen et du Conseil</w:t>
            </w:r>
            <w:r>
              <w:rPr>
                <w:rStyle w:val="FootnoteReference"/>
                <w:noProof/>
                <w:spacing w:val="-8"/>
                <w:sz w:val="18"/>
              </w:rPr>
              <w:footnoteReference w:id="15"/>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Émissions des véhicules légers (Euro 5 et 6) / accès aux informations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715/2007</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1</w:t>
            </w:r>
            <w:r>
              <w:rPr>
                <w:noProof/>
                <w:spacing w:val="-8"/>
                <w:sz w:val="20"/>
              </w:rPr>
              <w:t xml:space="preserve">) </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1</w:t>
            </w:r>
            <w:r>
              <w:rPr>
                <w:noProof/>
                <w:spacing w:val="-8"/>
                <w:sz w:val="20"/>
              </w:rPr>
              <w:t xml:space="preserve">) </w:t>
            </w: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1</w:t>
            </w:r>
            <w:r>
              <w:rPr>
                <w:noProof/>
                <w:spacing w:val="-8"/>
                <w:sz w:val="20"/>
              </w:rPr>
              <w:t xml:space="preserve">) </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1</w:t>
            </w:r>
            <w:r>
              <w:rPr>
                <w:noProof/>
                <w:spacing w:val="-8"/>
                <w:sz w:val="20"/>
              </w:rPr>
              <w:t xml:space="preserve">) </w:t>
            </w: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Prévention des risques d’incendie (réservoirs de carburant liquide)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34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Dispositifs arrière de protection anti-encastrement et leur montage; protection contre l’encastrement à l’arrière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58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Emplacement pour le montage et la fixation des plaques d’immatriculation arrière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1003/2010 de la Commission</w:t>
            </w:r>
            <w:r>
              <w:rPr>
                <w:rStyle w:val="FootnoteReference"/>
                <w:noProof/>
                <w:spacing w:val="-8"/>
                <w:sz w:val="18"/>
              </w:rPr>
              <w:footnoteReference w:id="16"/>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5A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Équipement de direction</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79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Accès au véhicule et manœuvrabilité (marches, marchepieds et poignées)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130/2012</w:t>
            </w:r>
            <w:r>
              <w:rPr>
                <w:rStyle w:val="FootnoteReference"/>
                <w:noProof/>
                <w:spacing w:val="-8"/>
                <w:sz w:val="18"/>
              </w:rPr>
              <w:footnoteReference w:id="17"/>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Serrures et organes de fixation des portes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11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7A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Avertisseurs sonores et signalisation sonore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28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8A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Systèmes de vision indirecte et leur montage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46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9A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Freinage des véhicules et des remorques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13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3</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3</w:t>
            </w:r>
            <w:r>
              <w:rPr>
                <w:noProof/>
                <w:spacing w:val="-8"/>
                <w:sz w:val="20"/>
              </w:rPr>
              <w:t>)</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3</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3</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3</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3</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3</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3</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3</w:t>
            </w:r>
            <w:r>
              <w:rPr>
                <w:noProof/>
                <w:spacing w:val="-8"/>
                <w:sz w:val="20"/>
              </w:rPr>
              <w:t>)</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9B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Freinage des voitures particulières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13-H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4</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4</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10A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Compatibilité électromagnétique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10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12A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Aménagements intérieurs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21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13A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Protection des véhicules à moteur contre une utilisation non autorisée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18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51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13B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Protection des véhicules à moteur contre une utilisation non autorisée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116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14A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Protection du conducteur contre le dispositif de conduite en cas de choc</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12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15A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Sièges, leurs ancrages et appuie-tête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17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4 B</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4 B</w:t>
            </w:r>
            <w:r>
              <w:rPr>
                <w:noProof/>
                <w:spacing w:val="-8"/>
                <w:sz w:val="20"/>
              </w:rPr>
              <w:t>)</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15B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Sièges des véhicules de grandes dimensions pour le transport de voyageurs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80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16A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Saillies extérieures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26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17A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Accès au véhicule et manœuvrabilité (marche arrière)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130/2012</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17B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Appareil indicateur de vitesse, y compris son installation</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39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18A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Plaque réglementaire du constructeur et numéro d’identification du véhicule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19/2011</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19A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Ancrages de ceintures de sécurité, systèmes d’ancrage Isofix et ancrages pour fixation supérieure Isofix</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14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20A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Installation des dispositifs d’éclairage et de signalisation lumineuse sur les véhicules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48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21A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Dispositifs catadioptriques pour les véhicules à moteur et leurs remorques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3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22A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Feux de position avant et arrière, feux stop et feux d’encombrement pour les véhicules à moteur et leurs remorques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7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22B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Feux de circulation diurne pour les véhicules à moteur</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87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22C</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Feux de position latéraux pour les véhicules à moteur et leurs remorques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91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23A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Feux indicateurs de direction pour les véhicules à moteur et leurs remorques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6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24A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Dispositifs d’éclairage de la plaque d’immatriculation arrière des véhicules à moteur et de leurs remorques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4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Projecteurs scellés halogènes, pour véhicules à moteur, émettant un faisceau de croisement asymétrique européen ou un faisceau de route, ou les deux à la fois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31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Lampes à incandescence destinées à être utilisées dans les feux homologués des véhicules à moteur et de leurs remorques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37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25C</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Projecteurs de véhicules à moteur munis de sources lumineuses à décharge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98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25D</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Sources lumineuses à décharge pour projecteurs homologués de véhicules à moteur</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99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25E</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Projecteurs pour véhicules à moteur émettant un faisceau de croisement asymétrique ou un faisceau de route, ou les deux à la fois, et équipés de lampes à incandescence et/ou de modules DEL</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112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25F</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Systèmes d’éclairage avant adaptatifs (AFS) destinés aux véhicules automobiles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123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26A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Feux de brouillard avant des véhicules à moteur</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19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27A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Dispositifs de remorquage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1005/2010</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28A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Feux de brouillard arrière des véhicules à moteur et de leurs remorques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38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29A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Feux de marche arrière des véhicules à moteur et de leurs remorques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23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30A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Feux de stationnement pour véhicules à moteur</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77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31A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Ceintures de sécurité, systèmes de retenue, dispositifs de retenue pour enfants et dispositifs de retenue pour enfants Isofix</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16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32A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Champ de vision vers l’avant</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125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33A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Emplacement et moyens d’identification des commandes manuelles, des témoins et des indicateurs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121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34A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Dispositifs de dégivrage et de désembuage du pare-brise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672/2010 de la Commission</w:t>
            </w:r>
            <w:r>
              <w:rPr>
                <w:rStyle w:val="FootnoteReference"/>
                <w:noProof/>
                <w:spacing w:val="-8"/>
                <w:sz w:val="18"/>
              </w:rPr>
              <w:footnoteReference w:id="18"/>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w:t>
            </w:r>
            <w:r>
              <w:rPr>
                <w:noProof/>
                <w:spacing w:val="-8"/>
                <w:sz w:val="20"/>
                <w:vertAlign w:val="superscript"/>
              </w:rPr>
              <w:t>5</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w:t>
            </w:r>
            <w:r>
              <w:rPr>
                <w:noProof/>
                <w:spacing w:val="-8"/>
                <w:sz w:val="20"/>
                <w:vertAlign w:val="superscript"/>
              </w:rPr>
              <w:t>5</w:t>
            </w:r>
            <w:r>
              <w:rPr>
                <w:noProof/>
                <w:spacing w:val="-8"/>
                <w:sz w:val="20"/>
              </w:rPr>
              <w:t>)</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w:t>
            </w:r>
            <w:r>
              <w:rPr>
                <w:noProof/>
                <w:spacing w:val="-8"/>
                <w:sz w:val="20"/>
                <w:vertAlign w:val="superscript"/>
              </w:rPr>
              <w:t>5</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w:t>
            </w:r>
            <w:r>
              <w:rPr>
                <w:noProof/>
                <w:spacing w:val="-8"/>
                <w:sz w:val="20"/>
                <w:vertAlign w:val="superscript"/>
              </w:rPr>
              <w:t>5</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w:t>
            </w:r>
            <w:r>
              <w:rPr>
                <w:noProof/>
                <w:spacing w:val="-8"/>
                <w:sz w:val="20"/>
                <w:vertAlign w:val="superscript"/>
              </w:rPr>
              <w:t>5</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35A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Essuie-glace et lave-glace du pare-brise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1008/2010 de la Commission</w:t>
            </w:r>
            <w:r>
              <w:rPr>
                <w:rStyle w:val="FootnoteReference"/>
                <w:noProof/>
                <w:spacing w:val="-8"/>
                <w:sz w:val="18"/>
              </w:rPr>
              <w:footnoteReference w:id="19"/>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w:t>
            </w:r>
            <w:r>
              <w:rPr>
                <w:noProof/>
                <w:spacing w:val="-8"/>
                <w:sz w:val="20"/>
                <w:vertAlign w:val="superscript"/>
              </w:rPr>
              <w:t>6</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w:t>
            </w:r>
            <w:r>
              <w:rPr>
                <w:noProof/>
                <w:spacing w:val="-8"/>
                <w:sz w:val="20"/>
                <w:vertAlign w:val="superscript"/>
              </w:rPr>
              <w:t>6</w:t>
            </w:r>
            <w:r>
              <w:rPr>
                <w:noProof/>
                <w:spacing w:val="-8"/>
                <w:sz w:val="20"/>
              </w:rPr>
              <w:t>)</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w:t>
            </w:r>
            <w:r>
              <w:rPr>
                <w:noProof/>
                <w:spacing w:val="-8"/>
                <w:sz w:val="20"/>
                <w:vertAlign w:val="superscript"/>
              </w:rPr>
              <w:t>6</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w:t>
            </w:r>
            <w:r>
              <w:rPr>
                <w:noProof/>
                <w:spacing w:val="-8"/>
                <w:sz w:val="20"/>
                <w:vertAlign w:val="superscript"/>
              </w:rPr>
              <w:t>6</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w:t>
            </w:r>
            <w:r>
              <w:rPr>
                <w:noProof/>
                <w:spacing w:val="-8"/>
                <w:sz w:val="20"/>
                <w:vertAlign w:val="superscript"/>
              </w:rPr>
              <w:t>6</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36A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Systèmes de chauffage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122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37A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Protecteurs de roues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1009/2010</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38A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Appuie-tête incorporés ou non dans les sièges des véhicules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25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41A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Émissions (Euro VI) de véhicules lourds/accès aux informations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595/2009</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9</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9</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9</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r>
              <w:rPr>
                <w:noProof/>
                <w:spacing w:val="-8"/>
                <w:sz w:val="20"/>
                <w:vertAlign w:val="superscript"/>
              </w:rPr>
              <w:t>9</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42A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Protection latérale des véhicules utilitaires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73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43A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Systèmes antiprojections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109/2011</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44A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Masses et dimensions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1230/2012</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45A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Vitrages de sécurité et leur installation sur les véhicules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43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Pneumatiques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Directive 92/23/CEE</w:t>
            </w:r>
            <w:r>
              <w:rPr>
                <w:rStyle w:val="FootnoteReference"/>
                <w:noProof/>
                <w:spacing w:val="-8"/>
                <w:sz w:val="18"/>
              </w:rPr>
              <w:footnoteReference w:id="20"/>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Montage des pneumatiques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458/2011 de la Commission</w:t>
            </w:r>
            <w:r>
              <w:rPr>
                <w:rStyle w:val="FootnoteReference"/>
                <w:noProof/>
                <w:spacing w:val="-8"/>
                <w:sz w:val="18"/>
              </w:rPr>
              <w:footnoteReference w:id="21"/>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Pneumatiques pour les véhicules à moteur et leurs remorques (classe C1)</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30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46C</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Pneumatiques pour les véhicules utilitaires et leurs remorques (classes C2 et C3)</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54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46D</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Émissions sonores de roulement, adhérence sur sol mouillé et résistance au roulement (classes C1, C2 et C3)</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117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46E</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Équipement de secours à usage temporaire, pneumatiques/système pour roulage à plat et système de surveillance de la pression des pneumatiques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64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9 A</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9 A</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47A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Systèmes de limitation de vitesse des véhicules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89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48A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Masses et dimensions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1230/2012</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49A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Saillies extérieures à l’avant de la cloison postérieure de la cabine des véhicules utilitaires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61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50A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Pièces mécaniques d’attelage des ensembles de véhicules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55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50B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Dispositifs d’attelage court (DAC); installation d’un type réceptionné de DAC</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102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51A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Comportement au feu des matériaux utilisés dans l’aménagement intérieur de certaines catégories de véhicules à moteur</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118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52A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Véhicules M</w:t>
            </w:r>
            <w:r>
              <w:rPr>
                <w:noProof/>
                <w:spacing w:val="-8"/>
                <w:sz w:val="18"/>
                <w:vertAlign w:val="subscript"/>
              </w:rPr>
              <w:t>2</w:t>
            </w:r>
            <w:r>
              <w:rPr>
                <w:noProof/>
                <w:spacing w:val="-8"/>
                <w:sz w:val="18"/>
              </w:rPr>
              <w:t xml:space="preserve"> et M</w:t>
            </w:r>
            <w:r>
              <w:rPr>
                <w:noProof/>
                <w:spacing w:val="-8"/>
                <w:sz w:val="18"/>
                <w:vertAlign w:val="subscript"/>
              </w:rPr>
              <w:t>3</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107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52B</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Résistance mécanique de la superstructure des véhicules de grande capacité pour le transport de personnes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66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53A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Protection des occupants en cas de collision frontale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94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11</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54A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Protection des occupants en cas de collision latérale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95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12</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12</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55</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(vide)</w:t>
            </w:r>
          </w:p>
        </w:tc>
        <w:tc>
          <w:tcPr>
            <w:tcW w:w="1312"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18"/>
                <w:szCs w:val="18"/>
              </w:rPr>
            </w:pP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56A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Véhicules destinés au transport de marchandises dangereuses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105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57A</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Dispositifs avant de protection anti-encastrement et leur montage; protection contre l’encastrement à l’avant</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 </w:t>
            </w:r>
            <w:r>
              <w:rPr>
                <w:noProof/>
                <w:spacing w:val="-8"/>
                <w:sz w:val="18"/>
              </w:rPr>
              <w:t>93 de la CEE-ONU</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58</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18"/>
                <w:szCs w:val="18"/>
              </w:rPr>
            </w:pPr>
            <w:r>
              <w:rPr>
                <w:noProof/>
                <w:spacing w:val="-8"/>
                <w:sz w:val="18"/>
              </w:rPr>
              <w:t>Protection des piétons</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78/2009 du Parlement européen et du Conseil</w:t>
            </w:r>
            <w:r>
              <w:rPr>
                <w:rStyle w:val="FootnoteReference"/>
                <w:noProof/>
                <w:spacing w:val="-8"/>
                <w:sz w:val="18"/>
              </w:rPr>
              <w:footnoteReference w:id="22"/>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59</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Recyclabilité</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Directive 2005/64/CE du Parlement européen et du Conseil</w:t>
            </w:r>
            <w:r>
              <w:rPr>
                <w:rStyle w:val="FootnoteReference"/>
                <w:noProof/>
                <w:spacing w:val="-8"/>
                <w:sz w:val="18"/>
              </w:rPr>
              <w:footnoteReference w:id="23"/>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60</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(vide)</w:t>
            </w:r>
          </w:p>
        </w:tc>
        <w:tc>
          <w:tcPr>
            <w:tcW w:w="1312"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18"/>
                <w:szCs w:val="18"/>
              </w:rPr>
            </w:pP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61</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Systèmes de climatisation</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Directive 2006/40/CE du Parlement européen et du Conseil</w:t>
            </w:r>
            <w:r>
              <w:rPr>
                <w:rStyle w:val="FootnoteReference"/>
                <w:noProof/>
                <w:spacing w:val="-8"/>
                <w:sz w:val="18"/>
              </w:rPr>
              <w:footnoteReference w:id="24"/>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14</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62</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Système hydrogène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79/2009</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63</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Sécurité générale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4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832"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64</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Indicateurs de changement de vitesse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65/2012</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65</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Système avancé de freinage d’urgence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347/2012 de la Commission</w:t>
            </w:r>
            <w:r>
              <w:rPr>
                <w:rStyle w:val="FootnoteReference"/>
                <w:noProof/>
                <w:spacing w:val="-8"/>
                <w:sz w:val="18"/>
              </w:rPr>
              <w:footnoteReference w:id="25"/>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66</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Système d’avertissement de franchissement de ligne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(UE) n</w:t>
            </w:r>
            <w:r>
              <w:rPr>
                <w:noProof/>
                <w:spacing w:val="-8"/>
                <w:sz w:val="18"/>
                <w:vertAlign w:val="superscript"/>
              </w:rPr>
              <w:t>o</w:t>
            </w:r>
            <w:r>
              <w:rPr>
                <w:noProof/>
                <w:spacing w:val="-8"/>
                <w:sz w:val="18"/>
              </w:rPr>
              <w:t> 351/2012 de la Commission</w:t>
            </w:r>
            <w:r>
              <w:rPr>
                <w:rStyle w:val="FootnoteReference"/>
                <w:noProof/>
                <w:spacing w:val="-8"/>
                <w:sz w:val="18"/>
              </w:rPr>
              <w:footnoteReference w:id="26"/>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67</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Organes spéciaux pour l’alimentation des moteurs au gaz de pétrole liquéfié (GPL) et leur installation sur les véhicules à moteur</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67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68</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Systèmes d’alarme pour véhicules (SAV)</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97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50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69</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Sécurité électrique</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100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70</w:t>
            </w:r>
          </w:p>
        </w:tc>
        <w:tc>
          <w:tcPr>
            <w:tcW w:w="14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Organes spéciaux pour l’alimentation des moteurs au GNC et leur installation sur les véhicules à moteur</w:t>
            </w:r>
          </w:p>
        </w:tc>
        <w:tc>
          <w:tcPr>
            <w:tcW w:w="131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110 de la CEE-ONU</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50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X</w:t>
            </w: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pacing w:val="-8"/>
                <w:sz w:val="20"/>
                <w:szCs w:val="20"/>
              </w:rPr>
            </w:pPr>
            <w:r>
              <w:rPr>
                <w:noProof/>
                <w:spacing w:val="-8"/>
                <w:sz w:val="20"/>
              </w:rPr>
              <w:t>X</w:t>
            </w:r>
          </w:p>
        </w:tc>
      </w:tr>
      <w:tr>
        <w:trPr>
          <w:cantSplit/>
          <w:tblCellSpacing w:w="0" w:type="dxa"/>
          <w:jc w:val="center"/>
        </w:trPr>
        <w:tc>
          <w:tcPr>
            <w:tcW w:w="811"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pacing w:val="-8"/>
                <w:sz w:val="20"/>
                <w:szCs w:val="20"/>
              </w:rPr>
            </w:pPr>
            <w:r>
              <w:rPr>
                <w:noProof/>
                <w:spacing w:val="-8"/>
                <w:sz w:val="20"/>
              </w:rPr>
              <w:t>71</w:t>
            </w:r>
          </w:p>
        </w:tc>
        <w:tc>
          <w:tcPr>
            <w:tcW w:w="1451"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pacing w:val="-8"/>
                <w:sz w:val="18"/>
                <w:szCs w:val="18"/>
              </w:rPr>
            </w:pPr>
            <w:r>
              <w:rPr>
                <w:noProof/>
                <w:spacing w:val="-8"/>
                <w:sz w:val="18"/>
              </w:rPr>
              <w:t>Résistance de la cabine</w:t>
            </w:r>
          </w:p>
        </w:tc>
        <w:tc>
          <w:tcPr>
            <w:tcW w:w="1312"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pacing w:val="-8"/>
                <w:sz w:val="18"/>
                <w:szCs w:val="18"/>
              </w:rPr>
            </w:pPr>
            <w:r>
              <w:rPr>
                <w:noProof/>
                <w:spacing w:val="-8"/>
                <w:sz w:val="18"/>
              </w:rPr>
              <w:t>Règlement (CE) n</w:t>
            </w:r>
            <w:r>
              <w:rPr>
                <w:noProof/>
                <w:spacing w:val="-8"/>
                <w:sz w:val="18"/>
                <w:vertAlign w:val="superscript"/>
              </w:rPr>
              <w:t>o</w:t>
            </w:r>
            <w:r>
              <w:rPr>
                <w:noProof/>
                <w:spacing w:val="-8"/>
                <w:sz w:val="18"/>
              </w:rPr>
              <w:t> 661/2009</w:t>
            </w:r>
          </w:p>
          <w:p>
            <w:pPr>
              <w:spacing w:before="60" w:after="60"/>
              <w:jc w:val="left"/>
              <w:rPr>
                <w:rFonts w:eastAsia="Arial Unicode MS"/>
                <w:noProof/>
                <w:spacing w:val="-8"/>
                <w:sz w:val="18"/>
                <w:szCs w:val="18"/>
              </w:rPr>
            </w:pPr>
            <w:r>
              <w:rPr>
                <w:noProof/>
                <w:spacing w:val="-8"/>
                <w:sz w:val="18"/>
              </w:rPr>
              <w:t>Règlement n</w:t>
            </w:r>
            <w:r>
              <w:rPr>
                <w:noProof/>
                <w:spacing w:val="-8"/>
                <w:sz w:val="18"/>
                <w:vertAlign w:val="superscript"/>
              </w:rPr>
              <w:t>o</w:t>
            </w:r>
            <w:r>
              <w:rPr>
                <w:noProof/>
                <w:spacing w:val="-8"/>
                <w:sz w:val="18"/>
              </w:rPr>
              <w:t xml:space="preserve"> 29 de la CEE-ONU</w:t>
            </w:r>
          </w:p>
        </w:tc>
        <w:tc>
          <w:tcPr>
            <w:tcW w:w="51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c>
          <w:tcPr>
            <w:tcW w:w="51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p>
        </w:tc>
        <w:tc>
          <w:tcPr>
            <w:tcW w:w="51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caps/>
                <w:noProof/>
                <w:spacing w:val="-8"/>
                <w:sz w:val="20"/>
              </w:rPr>
              <w:t>x</w:t>
            </w:r>
          </w:p>
        </w:tc>
        <w:tc>
          <w:tcPr>
            <w:tcW w:w="50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caps/>
                <w:noProof/>
                <w:spacing w:val="-8"/>
                <w:sz w:val="20"/>
              </w:rPr>
              <w:t>x</w:t>
            </w:r>
          </w:p>
        </w:tc>
        <w:tc>
          <w:tcPr>
            <w:tcW w:w="50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caps/>
                <w:noProof/>
                <w:spacing w:val="-8"/>
                <w:sz w:val="20"/>
              </w:rPr>
              <w:t xml:space="preserve">x </w:t>
            </w:r>
          </w:p>
        </w:tc>
        <w:tc>
          <w:tcPr>
            <w:tcW w:w="47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c>
          <w:tcPr>
            <w:tcW w:w="47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c>
          <w:tcPr>
            <w:tcW w:w="832" w:type="dxa"/>
            <w:tcBorders>
              <w:top w:val="outset" w:sz="6" w:space="0" w:color="auto"/>
              <w:left w:val="outset" w:sz="6" w:space="0" w:color="auto"/>
              <w:bottom w:val="outset" w:sz="6" w:space="0" w:color="auto"/>
              <w:right w:val="outset" w:sz="6" w:space="0" w:color="auto"/>
            </w:tcBorders>
          </w:tcPr>
          <w:p>
            <w:pPr>
              <w:spacing w:after="0"/>
              <w:rPr>
                <w:rFonts w:eastAsia="Arial Unicode MS"/>
                <w:noProof/>
                <w:spacing w:val="-8"/>
                <w:sz w:val="20"/>
                <w:szCs w:val="20"/>
              </w:rPr>
            </w:pPr>
          </w:p>
        </w:tc>
      </w:tr>
      <w:tr>
        <w:trPr>
          <w:cantSplit/>
          <w:tblCellSpacing w:w="0" w:type="dxa"/>
          <w:jc w:val="center"/>
        </w:trPr>
        <w:tc>
          <w:tcPr>
            <w:tcW w:w="8546"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pacing w:val="-8"/>
                <w:sz w:val="18"/>
                <w:szCs w:val="18"/>
              </w:rPr>
            </w:pPr>
            <w:r>
              <w:rPr>
                <w:b/>
                <w:noProof/>
                <w:spacing w:val="-8"/>
                <w:sz w:val="18"/>
              </w:rPr>
              <w:lastRenderedPageBreak/>
              <w:t>Notes explicatives</w:t>
            </w:r>
          </w:p>
          <w:p>
            <w:pPr>
              <w:spacing w:after="0"/>
              <w:ind w:left="376" w:hanging="376"/>
              <w:rPr>
                <w:rFonts w:eastAsia="Arial Unicode MS"/>
                <w:noProof/>
                <w:spacing w:val="-8"/>
                <w:sz w:val="18"/>
                <w:szCs w:val="18"/>
              </w:rPr>
            </w:pPr>
            <w:r>
              <w:rPr>
                <w:noProof/>
                <w:spacing w:val="-8"/>
                <w:sz w:val="18"/>
              </w:rPr>
              <w:t>X</w:t>
            </w:r>
            <w:r>
              <w:rPr>
                <w:noProof/>
                <w:spacing w:val="-8"/>
              </w:rPr>
              <w:tab/>
            </w:r>
            <w:r>
              <w:rPr>
                <w:noProof/>
                <w:spacing w:val="-8"/>
                <w:sz w:val="18"/>
              </w:rPr>
              <w:t>Acte réglementaire applicable.</w:t>
            </w:r>
          </w:p>
          <w:p>
            <w:pPr>
              <w:spacing w:after="0"/>
              <w:ind w:left="376" w:hanging="376"/>
              <w:rPr>
                <w:rFonts w:eastAsia="Arial Unicode MS"/>
                <w:noProof/>
                <w:spacing w:val="-8"/>
                <w:sz w:val="18"/>
                <w:szCs w:val="18"/>
              </w:rPr>
            </w:pPr>
            <w:r>
              <w:rPr>
                <w:noProof/>
                <w:spacing w:val="-8"/>
              </w:rPr>
              <w:t>(</w:t>
            </w:r>
            <w:r>
              <w:rPr>
                <w:noProof/>
                <w:spacing w:val="-8"/>
                <w:sz w:val="18"/>
                <w:szCs w:val="18"/>
                <w:vertAlign w:val="superscript"/>
              </w:rPr>
              <w:t>1</w:t>
            </w:r>
            <w:r>
              <w:rPr>
                <w:noProof/>
                <w:spacing w:val="-8"/>
                <w:sz w:val="18"/>
                <w:szCs w:val="18"/>
              </w:rPr>
              <w:t>)</w:t>
            </w:r>
            <w:r>
              <w:rPr>
                <w:noProof/>
                <w:spacing w:val="-8"/>
                <w:sz w:val="18"/>
                <w:szCs w:val="18"/>
              </w:rPr>
              <w:tab/>
              <w:t>Pour les véhicules ayant une masse de référence inférieure ou égale à 2 610 kg. À la demande du constructeur, le règlement (CE) n</w:t>
            </w:r>
            <w:r>
              <w:rPr>
                <w:noProof/>
                <w:spacing w:val="-8"/>
                <w:sz w:val="18"/>
                <w:szCs w:val="18"/>
                <w:vertAlign w:val="superscript"/>
              </w:rPr>
              <w:t>o</w:t>
            </w:r>
            <w:r>
              <w:rPr>
                <w:noProof/>
                <w:spacing w:val="-8"/>
                <w:sz w:val="18"/>
                <w:szCs w:val="18"/>
              </w:rPr>
              <w:t> 715/2007 peut s’appliquer aux véhicules dont la masse de référence ne dépasse pas 2 840 kg.</w:t>
            </w:r>
          </w:p>
          <w:p>
            <w:pPr>
              <w:spacing w:after="0"/>
              <w:ind w:left="376" w:hanging="376"/>
              <w:rPr>
                <w:rFonts w:eastAsia="Arial Unicode MS"/>
                <w:noProof/>
                <w:spacing w:val="-8"/>
                <w:sz w:val="18"/>
                <w:szCs w:val="18"/>
              </w:rPr>
            </w:pPr>
            <w:r>
              <w:rPr>
                <w:noProof/>
                <w:spacing w:val="-8"/>
                <w:sz w:val="18"/>
                <w:szCs w:val="18"/>
              </w:rPr>
              <w:t>(</w:t>
            </w:r>
            <w:r>
              <w:rPr>
                <w:noProof/>
                <w:spacing w:val="-8"/>
                <w:sz w:val="18"/>
                <w:szCs w:val="18"/>
                <w:vertAlign w:val="superscript"/>
              </w:rPr>
              <w:t>2</w:t>
            </w:r>
            <w:r>
              <w:rPr>
                <w:noProof/>
                <w:spacing w:val="-8"/>
                <w:sz w:val="18"/>
                <w:szCs w:val="18"/>
              </w:rPr>
              <w:t>)</w:t>
            </w:r>
            <w:r>
              <w:rPr>
                <w:noProof/>
                <w:spacing w:val="-8"/>
                <w:sz w:val="18"/>
                <w:szCs w:val="18"/>
              </w:rPr>
              <w:tab/>
              <w:t>Dans le cas de véhicules équipés d’une installation à GPL ou à GNC, une réception par type au titre du règlement n</w:t>
            </w:r>
            <w:r>
              <w:rPr>
                <w:noProof/>
                <w:spacing w:val="-8"/>
                <w:sz w:val="18"/>
                <w:szCs w:val="18"/>
                <w:vertAlign w:val="superscript"/>
              </w:rPr>
              <w:t>o</w:t>
            </w:r>
            <w:r>
              <w:rPr>
                <w:noProof/>
                <w:spacing w:val="-8"/>
                <w:sz w:val="18"/>
                <w:szCs w:val="18"/>
              </w:rPr>
              <w:t> 67 ou du règlement n</w:t>
            </w:r>
            <w:r>
              <w:rPr>
                <w:noProof/>
                <w:spacing w:val="-8"/>
                <w:sz w:val="18"/>
                <w:szCs w:val="18"/>
                <w:vertAlign w:val="superscript"/>
              </w:rPr>
              <w:t>o</w:t>
            </w:r>
            <w:r>
              <w:rPr>
                <w:noProof/>
                <w:spacing w:val="-8"/>
                <w:sz w:val="18"/>
                <w:szCs w:val="18"/>
              </w:rPr>
              <w:t> 110 de la CEE-ONU est requise.</w:t>
            </w:r>
          </w:p>
          <w:p>
            <w:pPr>
              <w:spacing w:after="0"/>
              <w:ind w:left="376" w:hanging="376"/>
              <w:rPr>
                <w:rFonts w:eastAsia="Arial Unicode MS"/>
                <w:noProof/>
                <w:spacing w:val="-8"/>
                <w:sz w:val="18"/>
                <w:szCs w:val="18"/>
              </w:rPr>
            </w:pPr>
            <w:r>
              <w:rPr>
                <w:noProof/>
                <w:spacing w:val="-8"/>
                <w:sz w:val="18"/>
                <w:szCs w:val="18"/>
              </w:rPr>
              <w:t>(</w:t>
            </w:r>
            <w:r>
              <w:rPr>
                <w:noProof/>
                <w:spacing w:val="-8"/>
                <w:sz w:val="18"/>
                <w:szCs w:val="18"/>
                <w:vertAlign w:val="superscript"/>
              </w:rPr>
              <w:t>3</w:t>
            </w:r>
            <w:r>
              <w:rPr>
                <w:noProof/>
                <w:spacing w:val="-8"/>
                <w:sz w:val="18"/>
                <w:szCs w:val="18"/>
              </w:rPr>
              <w:t>)</w:t>
            </w:r>
            <w:r>
              <w:rPr>
                <w:noProof/>
                <w:spacing w:val="-8"/>
                <w:sz w:val="18"/>
                <w:szCs w:val="18"/>
              </w:rPr>
              <w:tab/>
              <w:t>L’installation d’un système de contrôle électronique de la stabilité (ESC) est requise en vertu de l’article 12 et de l’article 13 du règlement (CE) n</w:t>
            </w:r>
            <w:r>
              <w:rPr>
                <w:noProof/>
                <w:spacing w:val="-8"/>
                <w:sz w:val="18"/>
                <w:szCs w:val="18"/>
                <w:vertAlign w:val="superscript"/>
              </w:rPr>
              <w:t>o</w:t>
            </w:r>
            <w:r>
              <w:rPr>
                <w:noProof/>
                <w:spacing w:val="-8"/>
                <w:sz w:val="18"/>
                <w:szCs w:val="18"/>
              </w:rPr>
              <w:t xml:space="preserve"> 661/2009. </w:t>
            </w:r>
          </w:p>
          <w:p>
            <w:pPr>
              <w:spacing w:after="0"/>
              <w:ind w:left="376" w:hanging="376"/>
              <w:rPr>
                <w:rFonts w:eastAsia="Arial Unicode MS"/>
                <w:noProof/>
                <w:spacing w:val="-8"/>
                <w:sz w:val="18"/>
                <w:szCs w:val="18"/>
              </w:rPr>
            </w:pPr>
            <w:r>
              <w:rPr>
                <w:noProof/>
                <w:spacing w:val="-8"/>
                <w:sz w:val="18"/>
                <w:szCs w:val="18"/>
              </w:rPr>
              <w:t>(</w:t>
            </w:r>
            <w:r>
              <w:rPr>
                <w:noProof/>
                <w:spacing w:val="-8"/>
                <w:sz w:val="18"/>
                <w:szCs w:val="18"/>
                <w:vertAlign w:val="superscript"/>
              </w:rPr>
              <w:t>4</w:t>
            </w:r>
            <w:r>
              <w:rPr>
                <w:noProof/>
                <w:spacing w:val="-8"/>
                <w:sz w:val="18"/>
                <w:szCs w:val="18"/>
              </w:rPr>
              <w:t>)</w:t>
            </w:r>
            <w:r>
              <w:rPr>
                <w:noProof/>
                <w:spacing w:val="-8"/>
                <w:sz w:val="18"/>
                <w:szCs w:val="18"/>
              </w:rPr>
              <w:tab/>
              <w:t>L’installation d’un système de contrôle électronique de la stabilité (ESC) est requise en vertu de l’article 12 et de l’article 13 du règlement (CE) n</w:t>
            </w:r>
            <w:r>
              <w:rPr>
                <w:noProof/>
                <w:spacing w:val="-8"/>
                <w:sz w:val="18"/>
                <w:szCs w:val="18"/>
                <w:vertAlign w:val="superscript"/>
              </w:rPr>
              <w:t>o</w:t>
            </w:r>
            <w:r>
              <w:rPr>
                <w:noProof/>
                <w:spacing w:val="-8"/>
                <w:sz w:val="18"/>
                <w:szCs w:val="18"/>
              </w:rPr>
              <w:t xml:space="preserve"> 661/2009. </w:t>
            </w:r>
          </w:p>
          <w:p>
            <w:pPr>
              <w:spacing w:after="0"/>
              <w:ind w:left="376" w:hanging="376"/>
              <w:rPr>
                <w:rFonts w:eastAsia="Arial Unicode MS"/>
                <w:noProof/>
                <w:spacing w:val="-8"/>
                <w:sz w:val="18"/>
                <w:szCs w:val="18"/>
              </w:rPr>
            </w:pPr>
            <w:r>
              <w:rPr>
                <w:noProof/>
                <w:spacing w:val="-8"/>
                <w:sz w:val="18"/>
                <w:szCs w:val="18"/>
              </w:rPr>
              <w:t>(</w:t>
            </w:r>
            <w:r>
              <w:rPr>
                <w:noProof/>
                <w:spacing w:val="-8"/>
                <w:sz w:val="18"/>
                <w:szCs w:val="18"/>
                <w:vertAlign w:val="superscript"/>
              </w:rPr>
              <w:t>4A</w:t>
            </w:r>
            <w:r>
              <w:rPr>
                <w:noProof/>
                <w:spacing w:val="-8"/>
                <w:sz w:val="18"/>
                <w:szCs w:val="18"/>
              </w:rPr>
              <w:t>)</w:t>
            </w:r>
            <w:r>
              <w:rPr>
                <w:noProof/>
                <w:spacing w:val="-8"/>
                <w:sz w:val="18"/>
                <w:szCs w:val="18"/>
              </w:rPr>
              <w:tab/>
              <w:t>Tout dispositif de protection éventuellement installé doit respecter les prescriptions du règlement n</w:t>
            </w:r>
            <w:r>
              <w:rPr>
                <w:noProof/>
                <w:spacing w:val="-8"/>
                <w:sz w:val="18"/>
                <w:szCs w:val="18"/>
                <w:vertAlign w:val="superscript"/>
              </w:rPr>
              <w:t>o</w:t>
            </w:r>
            <w:r>
              <w:rPr>
                <w:noProof/>
                <w:spacing w:val="-8"/>
                <w:sz w:val="18"/>
                <w:szCs w:val="18"/>
              </w:rPr>
              <w:t> 18 de la CEE-ONU.</w:t>
            </w:r>
          </w:p>
          <w:p>
            <w:pPr>
              <w:spacing w:after="0"/>
              <w:ind w:left="376" w:hanging="376"/>
              <w:rPr>
                <w:rFonts w:eastAsia="Arial Unicode MS"/>
                <w:noProof/>
                <w:spacing w:val="-8"/>
                <w:sz w:val="18"/>
                <w:szCs w:val="18"/>
              </w:rPr>
            </w:pPr>
            <w:r>
              <w:rPr>
                <w:noProof/>
                <w:spacing w:val="-8"/>
                <w:sz w:val="18"/>
                <w:szCs w:val="18"/>
              </w:rPr>
              <w:t>(</w:t>
            </w:r>
            <w:r>
              <w:rPr>
                <w:noProof/>
                <w:spacing w:val="-8"/>
                <w:sz w:val="18"/>
                <w:szCs w:val="18"/>
                <w:vertAlign w:val="superscript"/>
              </w:rPr>
              <w:t>4B</w:t>
            </w:r>
            <w:r>
              <w:rPr>
                <w:noProof/>
                <w:spacing w:val="-8"/>
                <w:sz w:val="18"/>
                <w:szCs w:val="18"/>
              </w:rPr>
              <w:t>)</w:t>
            </w:r>
            <w:r>
              <w:rPr>
                <w:noProof/>
                <w:spacing w:val="-8"/>
                <w:sz w:val="18"/>
                <w:szCs w:val="18"/>
              </w:rPr>
              <w:tab/>
              <w:t>Le présent règlement s’applique aux sièges qui n’entrent pas dans le champ d’application du règlement n</w:t>
            </w:r>
            <w:r>
              <w:rPr>
                <w:noProof/>
                <w:spacing w:val="-8"/>
                <w:sz w:val="18"/>
                <w:szCs w:val="18"/>
                <w:vertAlign w:val="superscript"/>
              </w:rPr>
              <w:t>o</w:t>
            </w:r>
            <w:r>
              <w:rPr>
                <w:noProof/>
                <w:spacing w:val="-8"/>
                <w:sz w:val="18"/>
                <w:szCs w:val="18"/>
              </w:rPr>
              <w:t> 80 de la CEE-ONU.</w:t>
            </w:r>
          </w:p>
          <w:p>
            <w:pPr>
              <w:spacing w:after="0"/>
              <w:ind w:left="376" w:hanging="376"/>
              <w:rPr>
                <w:rFonts w:eastAsia="Arial Unicode MS"/>
                <w:noProof/>
                <w:spacing w:val="-8"/>
                <w:sz w:val="18"/>
                <w:szCs w:val="18"/>
              </w:rPr>
            </w:pPr>
            <w:r>
              <w:rPr>
                <w:noProof/>
                <w:spacing w:val="-8"/>
                <w:sz w:val="18"/>
                <w:szCs w:val="18"/>
              </w:rPr>
              <w:t>(</w:t>
            </w:r>
            <w:r>
              <w:rPr>
                <w:noProof/>
                <w:spacing w:val="-8"/>
                <w:sz w:val="18"/>
                <w:szCs w:val="18"/>
                <w:vertAlign w:val="superscript"/>
              </w:rPr>
              <w:t>9</w:t>
            </w:r>
            <w:r>
              <w:rPr>
                <w:noProof/>
                <w:spacing w:val="-8"/>
                <w:sz w:val="18"/>
                <w:szCs w:val="18"/>
              </w:rPr>
              <w:t>)</w:t>
            </w:r>
            <w:r>
              <w:rPr>
                <w:noProof/>
                <w:spacing w:val="-8"/>
                <w:sz w:val="18"/>
                <w:szCs w:val="18"/>
              </w:rPr>
              <w:tab/>
              <w:t>Pour les véhicules ayant une masse de référence dépassant 2 610 kg qui ne sont pas réceptionnés par type au titre du règlement (CE) n</w:t>
            </w:r>
            <w:r>
              <w:rPr>
                <w:noProof/>
                <w:spacing w:val="-8"/>
                <w:sz w:val="18"/>
                <w:szCs w:val="18"/>
                <w:vertAlign w:val="superscript"/>
              </w:rPr>
              <w:t>o</w:t>
            </w:r>
            <w:r>
              <w:rPr>
                <w:noProof/>
                <w:spacing w:val="-8"/>
                <w:sz w:val="18"/>
                <w:szCs w:val="18"/>
              </w:rPr>
              <w:t> 715/2007 (à la demande du constructeur et pour autant que leur masse de référence ne dépasse pas 2 840 kg).</w:t>
            </w:r>
          </w:p>
          <w:p>
            <w:pPr>
              <w:spacing w:after="0"/>
              <w:ind w:left="376" w:hanging="376"/>
              <w:rPr>
                <w:rFonts w:eastAsia="Arial Unicode MS"/>
                <w:noProof/>
                <w:spacing w:val="-8"/>
                <w:sz w:val="18"/>
                <w:szCs w:val="18"/>
              </w:rPr>
            </w:pPr>
            <w:r>
              <w:rPr>
                <w:noProof/>
                <w:spacing w:val="-8"/>
                <w:sz w:val="18"/>
                <w:szCs w:val="18"/>
              </w:rPr>
              <w:t>(</w:t>
            </w:r>
            <w:r>
              <w:rPr>
                <w:noProof/>
                <w:spacing w:val="-8"/>
                <w:sz w:val="18"/>
                <w:szCs w:val="18"/>
                <w:vertAlign w:val="superscript"/>
              </w:rPr>
              <w:t>9A</w:t>
            </w:r>
            <w:r>
              <w:rPr>
                <w:noProof/>
                <w:spacing w:val="-8"/>
                <w:sz w:val="18"/>
                <w:szCs w:val="18"/>
              </w:rPr>
              <w:t>)</w:t>
            </w:r>
            <w:r>
              <w:rPr>
                <w:noProof/>
                <w:spacing w:val="-8"/>
                <w:sz w:val="18"/>
                <w:szCs w:val="18"/>
              </w:rPr>
              <w:tab/>
              <w:t>S’applique uniquement lorsque les véhicules sont dotés d’un équipement visé par le règlement n</w:t>
            </w:r>
            <w:r>
              <w:rPr>
                <w:noProof/>
                <w:spacing w:val="-8"/>
                <w:sz w:val="18"/>
                <w:szCs w:val="18"/>
                <w:vertAlign w:val="superscript"/>
              </w:rPr>
              <w:t>o</w:t>
            </w:r>
            <w:r>
              <w:rPr>
                <w:noProof/>
                <w:spacing w:val="-8"/>
                <w:sz w:val="18"/>
                <w:szCs w:val="18"/>
              </w:rPr>
              <w:t> 64 de la CEE-ONU. Système de surveillance de la pression des pneumatiques obligatoire pour les véhicules M1 conformément à l’article 9, paragraphe 2, du règlement (CE) n</w:t>
            </w:r>
            <w:r>
              <w:rPr>
                <w:noProof/>
                <w:spacing w:val="-8"/>
                <w:sz w:val="18"/>
                <w:szCs w:val="18"/>
                <w:vertAlign w:val="superscript"/>
              </w:rPr>
              <w:t>o</w:t>
            </w:r>
            <w:r>
              <w:rPr>
                <w:noProof/>
                <w:spacing w:val="-8"/>
                <w:sz w:val="18"/>
                <w:szCs w:val="18"/>
              </w:rPr>
              <w:t> 661/2009.</w:t>
            </w:r>
          </w:p>
          <w:p>
            <w:pPr>
              <w:spacing w:after="0"/>
              <w:ind w:left="376" w:hanging="376"/>
              <w:rPr>
                <w:rFonts w:eastAsia="Arial Unicode MS"/>
                <w:noProof/>
                <w:spacing w:val="-8"/>
                <w:sz w:val="18"/>
                <w:szCs w:val="18"/>
              </w:rPr>
            </w:pPr>
            <w:r>
              <w:rPr>
                <w:noProof/>
                <w:spacing w:val="-8"/>
                <w:sz w:val="18"/>
                <w:szCs w:val="18"/>
              </w:rPr>
              <w:t>(</w:t>
            </w:r>
            <w:r>
              <w:rPr>
                <w:noProof/>
                <w:spacing w:val="-8"/>
                <w:sz w:val="18"/>
                <w:szCs w:val="18"/>
                <w:vertAlign w:val="superscript"/>
              </w:rPr>
              <w:t>10</w:t>
            </w:r>
            <w:r>
              <w:rPr>
                <w:noProof/>
                <w:spacing w:val="-8"/>
                <w:sz w:val="18"/>
                <w:szCs w:val="18"/>
              </w:rPr>
              <w:t>)</w:t>
            </w:r>
            <w:r>
              <w:rPr>
                <w:noProof/>
                <w:spacing w:val="-8"/>
                <w:sz w:val="18"/>
                <w:szCs w:val="18"/>
              </w:rPr>
              <w:tab/>
              <w:t>S’applique uniquement aux véhicules équipés d’attelage(s).</w:t>
            </w:r>
          </w:p>
          <w:p>
            <w:pPr>
              <w:spacing w:after="0"/>
              <w:ind w:left="376" w:hanging="376"/>
              <w:rPr>
                <w:rFonts w:eastAsia="Arial Unicode MS"/>
                <w:noProof/>
                <w:spacing w:val="-8"/>
                <w:sz w:val="18"/>
                <w:szCs w:val="18"/>
              </w:rPr>
            </w:pPr>
            <w:r>
              <w:rPr>
                <w:noProof/>
                <w:spacing w:val="-8"/>
                <w:sz w:val="18"/>
                <w:szCs w:val="18"/>
              </w:rPr>
              <w:t>(</w:t>
            </w:r>
            <w:r>
              <w:rPr>
                <w:noProof/>
                <w:spacing w:val="-8"/>
                <w:sz w:val="18"/>
                <w:szCs w:val="18"/>
                <w:vertAlign w:val="superscript"/>
              </w:rPr>
              <w:t>11</w:t>
            </w:r>
            <w:r>
              <w:rPr>
                <w:noProof/>
                <w:spacing w:val="-8"/>
                <w:sz w:val="18"/>
                <w:szCs w:val="18"/>
              </w:rPr>
              <w:t>)</w:t>
            </w:r>
            <w:r>
              <w:rPr>
                <w:noProof/>
                <w:spacing w:val="-8"/>
                <w:sz w:val="18"/>
                <w:szCs w:val="18"/>
              </w:rPr>
              <w:tab/>
              <w:t>S’applique aux véhicules dont la masse en charge maximale techniquement admissible ne dépasse pas 2,5 tonnes.</w:t>
            </w:r>
          </w:p>
          <w:p>
            <w:pPr>
              <w:spacing w:after="0"/>
              <w:ind w:left="376" w:hanging="376"/>
              <w:rPr>
                <w:rFonts w:eastAsia="Arial Unicode MS"/>
                <w:noProof/>
                <w:spacing w:val="-8"/>
                <w:sz w:val="18"/>
                <w:szCs w:val="18"/>
              </w:rPr>
            </w:pPr>
            <w:r>
              <w:rPr>
                <w:noProof/>
                <w:spacing w:val="-8"/>
                <w:sz w:val="18"/>
                <w:szCs w:val="18"/>
              </w:rPr>
              <w:t>(</w:t>
            </w:r>
            <w:r>
              <w:rPr>
                <w:noProof/>
                <w:spacing w:val="-8"/>
                <w:sz w:val="18"/>
                <w:szCs w:val="18"/>
                <w:vertAlign w:val="superscript"/>
              </w:rPr>
              <w:t>12</w:t>
            </w:r>
            <w:r>
              <w:rPr>
                <w:noProof/>
                <w:spacing w:val="-8"/>
                <w:sz w:val="18"/>
                <w:szCs w:val="18"/>
              </w:rPr>
              <w:t>)</w:t>
            </w:r>
            <w:r>
              <w:rPr>
                <w:noProof/>
                <w:spacing w:val="-8"/>
                <w:sz w:val="18"/>
                <w:szCs w:val="18"/>
              </w:rPr>
              <w:tab/>
              <w:t>Uniquement applicable aux véhicules dont le «point de référence de place assise (point "R")» du siège le plus bas n’est pas situé à plus de 700 mm au-dessus du niveau du sol.</w:t>
            </w:r>
          </w:p>
          <w:p>
            <w:pPr>
              <w:spacing w:before="60" w:after="0"/>
              <w:ind w:left="374" w:hanging="374"/>
              <w:rPr>
                <w:rFonts w:eastAsia="Arial Unicode MS"/>
                <w:noProof/>
                <w:spacing w:val="-8"/>
                <w:sz w:val="18"/>
                <w:szCs w:val="18"/>
              </w:rPr>
            </w:pPr>
            <w:r>
              <w:rPr>
                <w:noProof/>
                <w:spacing w:val="-8"/>
                <w:sz w:val="18"/>
                <w:szCs w:val="18"/>
              </w:rPr>
              <w:t>(</w:t>
            </w:r>
            <w:r>
              <w:rPr>
                <w:noProof/>
                <w:spacing w:val="-8"/>
                <w:sz w:val="18"/>
                <w:szCs w:val="18"/>
                <w:vertAlign w:val="superscript"/>
              </w:rPr>
              <w:t>13</w:t>
            </w:r>
            <w:r>
              <w:rPr>
                <w:noProof/>
                <w:spacing w:val="-8"/>
                <w:sz w:val="18"/>
                <w:szCs w:val="18"/>
              </w:rPr>
              <w:t>)</w:t>
            </w:r>
            <w:r>
              <w:rPr>
                <w:noProof/>
                <w:spacing w:val="-8"/>
                <w:sz w:val="18"/>
                <w:szCs w:val="18"/>
              </w:rPr>
              <w:tab/>
              <w:t>S’applique uniquement lorsque le constructeur demande la réception par type de véhicules destinés au transport de marchandises dangereuses.</w:t>
            </w:r>
          </w:p>
          <w:p>
            <w:pPr>
              <w:spacing w:before="60" w:after="0"/>
              <w:ind w:left="374" w:hanging="374"/>
              <w:rPr>
                <w:rFonts w:eastAsia="Arial Unicode MS"/>
                <w:noProof/>
                <w:spacing w:val="-8"/>
                <w:sz w:val="18"/>
                <w:szCs w:val="18"/>
              </w:rPr>
            </w:pPr>
            <w:r>
              <w:rPr>
                <w:noProof/>
                <w:spacing w:val="-8"/>
                <w:sz w:val="18"/>
                <w:szCs w:val="18"/>
              </w:rPr>
              <w:t>(</w:t>
            </w:r>
            <w:r>
              <w:rPr>
                <w:noProof/>
                <w:spacing w:val="-8"/>
                <w:sz w:val="18"/>
                <w:szCs w:val="18"/>
                <w:vertAlign w:val="superscript"/>
              </w:rPr>
              <w:t>14</w:t>
            </w:r>
            <w:r>
              <w:rPr>
                <w:noProof/>
                <w:spacing w:val="-8"/>
                <w:sz w:val="18"/>
                <w:szCs w:val="18"/>
              </w:rPr>
              <w:t>)</w:t>
            </w:r>
            <w:r>
              <w:rPr>
                <w:noProof/>
                <w:spacing w:val="-8"/>
                <w:sz w:val="18"/>
                <w:szCs w:val="18"/>
              </w:rPr>
              <w:tab/>
              <w:t>S’applique uniquement aux véhicules de catégorie N</w:t>
            </w:r>
            <w:r>
              <w:rPr>
                <w:noProof/>
                <w:spacing w:val="-8"/>
                <w:sz w:val="18"/>
                <w:szCs w:val="18"/>
                <w:vertAlign w:val="subscript"/>
              </w:rPr>
              <w:t>1</w:t>
            </w:r>
            <w:r>
              <w:rPr>
                <w:noProof/>
                <w:spacing w:val="-8"/>
                <w:sz w:val="18"/>
                <w:szCs w:val="18"/>
              </w:rPr>
              <w:t>, classe I comme décrit dans l’annexe I du règlement (CE) n</w:t>
            </w:r>
            <w:r>
              <w:rPr>
                <w:noProof/>
                <w:spacing w:val="-8"/>
                <w:sz w:val="18"/>
                <w:szCs w:val="18"/>
                <w:vertAlign w:val="superscript"/>
              </w:rPr>
              <w:t>o</w:t>
            </w:r>
            <w:r>
              <w:rPr>
                <w:noProof/>
                <w:spacing w:val="-8"/>
                <w:sz w:val="18"/>
                <w:szCs w:val="18"/>
              </w:rPr>
              <w:t> 715/2007.</w:t>
            </w:r>
          </w:p>
          <w:p>
            <w:pPr>
              <w:spacing w:before="60" w:after="0"/>
              <w:ind w:left="374" w:hanging="374"/>
              <w:rPr>
                <w:rFonts w:eastAsia="Arial Unicode MS"/>
                <w:noProof/>
                <w:spacing w:val="-8"/>
                <w:sz w:val="18"/>
                <w:szCs w:val="18"/>
              </w:rPr>
            </w:pPr>
            <w:r>
              <w:rPr>
                <w:noProof/>
                <w:spacing w:val="-8"/>
                <w:sz w:val="18"/>
                <w:szCs w:val="18"/>
              </w:rPr>
              <w:t>(</w:t>
            </w:r>
            <w:r>
              <w:rPr>
                <w:noProof/>
                <w:spacing w:val="-8"/>
                <w:sz w:val="18"/>
                <w:szCs w:val="18"/>
                <w:vertAlign w:val="superscript"/>
              </w:rPr>
              <w:t>15</w:t>
            </w:r>
            <w:r>
              <w:rPr>
                <w:noProof/>
                <w:spacing w:val="-8"/>
                <w:sz w:val="18"/>
                <w:szCs w:val="18"/>
              </w:rPr>
              <w:t>)</w:t>
            </w:r>
            <w:r>
              <w:rPr>
                <w:noProof/>
                <w:spacing w:val="-8"/>
                <w:sz w:val="18"/>
                <w:szCs w:val="18"/>
              </w:rPr>
              <w:tab/>
              <w:t>La conformité au règlement (CE) n</w:t>
            </w:r>
            <w:r>
              <w:rPr>
                <w:noProof/>
                <w:spacing w:val="-8"/>
                <w:sz w:val="18"/>
                <w:szCs w:val="18"/>
                <w:vertAlign w:val="superscript"/>
              </w:rPr>
              <w:t>o</w:t>
            </w:r>
            <w:r>
              <w:rPr>
                <w:noProof/>
                <w:spacing w:val="-8"/>
                <w:sz w:val="18"/>
                <w:szCs w:val="18"/>
              </w:rPr>
              <w:t> 661/2009 est obligatoire. Toutefois, la réception par type au titre de ce numéro d’élément n’est pas prévue car il représente la collection des éléments individuels 3A, 3B, 4A, 5A, 6A, 6B, 7A, 8A, 9A, 9B, 10A, 12A, 13A, 13B, 14A, 15A, 15B, 16A, 17A, 17B, 18A, 19A, 20A, 21A, 22A, 22B, 22C, 23A, 24A, 25A, 25B, 25C, 25D, 25E, 25F, 26A, 27A, 28A, 29A, 30A, 31A, 32A, 33A, 34A, 35A, 36A, 37A, 38A, 42A, 43A, 44A, 45A, 46A, 46B, 46C, 46D, 46E, 47A, 48A, 49A, 50A, 50B, 51A, 52A, 52B, 53A, 54A, 56A, 57A et 64 à 71. Les séries d’amendements des règlements de la CEE-ONU ayant valeur contraignante sont énumérées dans l’annexe IV du règlement (CE) n</w:t>
            </w:r>
            <w:r>
              <w:rPr>
                <w:noProof/>
                <w:spacing w:val="-8"/>
                <w:sz w:val="18"/>
                <w:szCs w:val="18"/>
                <w:vertAlign w:val="superscript"/>
              </w:rPr>
              <w:t>o</w:t>
            </w:r>
            <w:r>
              <w:rPr>
                <w:noProof/>
                <w:spacing w:val="-8"/>
                <w:sz w:val="18"/>
                <w:szCs w:val="18"/>
              </w:rPr>
              <w:t> 661/2009. Les séries d’amendements adoptées par la suite sont acceptées en leur lieu et place.</w:t>
            </w:r>
          </w:p>
        </w:tc>
        <w:tc>
          <w:tcPr>
            <w:tcW w:w="832"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pacing w:val="-8"/>
                <w:sz w:val="18"/>
                <w:szCs w:val="18"/>
              </w:rPr>
            </w:pPr>
          </w:p>
        </w:tc>
      </w:tr>
    </w:tbl>
    <w:p>
      <w:pPr>
        <w:spacing w:before="0" w:after="0"/>
        <w:jc w:val="left"/>
        <w:rPr>
          <w:rFonts w:eastAsia="Arial Unicode MS"/>
          <w:noProof/>
          <w:color w:val="0070C0"/>
          <w:spacing w:val="-8"/>
          <w:szCs w:val="24"/>
        </w:rPr>
      </w:pPr>
      <w:r>
        <w:rPr>
          <w:rFonts w:eastAsia="Arial Unicode MS"/>
          <w:noProof/>
          <w:color w:val="0070C0"/>
          <w:spacing w:val="-8"/>
          <w:szCs w:val="24"/>
        </w:rPr>
        <w:pict>
          <v:rect id="_x0000_i1034" style="width:45.35pt;height:.75pt" o:hrpct="100" o:hralign="center" o:hrstd="t" o:hrnoshade="t" o:hr="t" fillcolor="black" stroked="f"/>
        </w:pict>
      </w:r>
    </w:p>
    <w:p>
      <w:pPr>
        <w:spacing w:before="0" w:after="200" w:line="276" w:lineRule="auto"/>
        <w:jc w:val="left"/>
        <w:rPr>
          <w:rFonts w:eastAsia="Arial Unicode MS"/>
          <w:bCs/>
          <w:noProof/>
          <w:spacing w:val="-8"/>
          <w:szCs w:val="24"/>
        </w:rPr>
      </w:pPr>
      <w:r>
        <w:rPr>
          <w:noProof/>
          <w:spacing w:val="-8"/>
        </w:rPr>
        <w:br w:type="page"/>
      </w:r>
    </w:p>
    <w:p>
      <w:pPr>
        <w:spacing w:after="0"/>
        <w:jc w:val="center"/>
        <w:rPr>
          <w:rFonts w:eastAsia="Arial Unicode MS"/>
          <w:bCs/>
          <w:noProof/>
          <w:spacing w:val="-8"/>
          <w:szCs w:val="24"/>
        </w:rPr>
      </w:pPr>
      <w:r>
        <w:rPr>
          <w:i/>
          <w:noProof/>
          <w:spacing w:val="-8"/>
        </w:rPr>
        <w:lastRenderedPageBreak/>
        <w:t>Appendice 1</w:t>
      </w:r>
    </w:p>
    <w:p>
      <w:pPr>
        <w:jc w:val="center"/>
        <w:rPr>
          <w:rFonts w:eastAsia="Arial Unicode MS"/>
          <w:b/>
          <w:bCs/>
          <w:noProof/>
          <w:spacing w:val="-8"/>
          <w:szCs w:val="24"/>
        </w:rPr>
      </w:pPr>
      <w:r>
        <w:rPr>
          <w:b/>
          <w:noProof/>
          <w:spacing w:val="-8"/>
        </w:rPr>
        <w:t>Actes réglementaires applicables aux fins de la réception UE par type de véhicules produits en petites séries en vertu de l’article 39</w:t>
      </w:r>
    </w:p>
    <w:p>
      <w:pPr>
        <w:jc w:val="center"/>
        <w:rPr>
          <w:rFonts w:eastAsia="Arial Unicode MS"/>
          <w:bCs/>
          <w:noProof/>
          <w:spacing w:val="-8"/>
          <w:szCs w:val="24"/>
        </w:rPr>
      </w:pPr>
      <w:r>
        <w:rPr>
          <w:i/>
          <w:noProof/>
          <w:spacing w:val="-8"/>
        </w:rPr>
        <w:t>Tableau 1</w:t>
      </w:r>
      <w:r>
        <w:rPr>
          <w:noProof/>
          <w:spacing w:val="-8"/>
        </w:rPr>
        <w:t xml:space="preserve"> </w:t>
      </w:r>
    </w:p>
    <w:p>
      <w:pPr>
        <w:jc w:val="center"/>
        <w:rPr>
          <w:rFonts w:eastAsia="Arial Unicode MS"/>
          <w:b/>
          <w:bCs/>
          <w:noProof/>
          <w:spacing w:val="-8"/>
          <w:szCs w:val="24"/>
        </w:rPr>
      </w:pPr>
      <w:r>
        <w:rPr>
          <w:b/>
          <w:noProof/>
          <w:spacing w:val="-8"/>
        </w:rPr>
        <w:t>Véhicules M</w:t>
      </w:r>
      <w:r>
        <w:rPr>
          <w:b/>
          <w:noProof/>
          <w:spacing w:val="-8"/>
          <w:vertAlign w:val="subscript"/>
        </w:rPr>
        <w:t>1</w:t>
      </w:r>
      <w:r>
        <w:rPr>
          <w:b/>
          <w:noProof/>
          <w:spacing w:val="-8"/>
        </w:rPr>
        <w:t xml:space="preserve"> </w:t>
      </w:r>
    </w:p>
    <w:tbl>
      <w:tblPr>
        <w:tblW w:w="9573"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50"/>
        <w:gridCol w:w="1800"/>
        <w:gridCol w:w="1920"/>
        <w:gridCol w:w="1560"/>
        <w:gridCol w:w="3543"/>
      </w:tblGrid>
      <w:tr>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szCs w:val="20"/>
              </w:rPr>
              <w:t>Élément</w:t>
            </w:r>
          </w:p>
        </w:tc>
        <w:tc>
          <w:tcPr>
            <w:tcW w:w="18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Objet</w:t>
            </w:r>
          </w:p>
        </w:tc>
        <w:tc>
          <w:tcPr>
            <w:tcW w:w="192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Acte réglementaire</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pacing w:val="-8"/>
                <w:sz w:val="20"/>
                <w:szCs w:val="20"/>
              </w:rPr>
            </w:pPr>
            <w:r>
              <w:rPr>
                <w:noProof/>
                <w:spacing w:val="-8"/>
                <w:sz w:val="20"/>
              </w:rPr>
              <w:t>Aspects spécifiques</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Applicabilité et prescriptions spécifiques</w:t>
            </w:r>
          </w:p>
        </w:tc>
      </w:tr>
      <w:tr>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1</w:t>
            </w:r>
          </w:p>
        </w:tc>
        <w:tc>
          <w:tcPr>
            <w:tcW w:w="18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Niveau sonore</w:t>
            </w:r>
          </w:p>
        </w:tc>
        <w:tc>
          <w:tcPr>
            <w:tcW w:w="19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 xml:space="preserve">Directive 70/157/CEE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1A</w:t>
            </w:r>
          </w:p>
        </w:tc>
        <w:tc>
          <w:tcPr>
            <w:tcW w:w="18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Niveau sonore</w:t>
            </w:r>
          </w:p>
        </w:tc>
        <w:tc>
          <w:tcPr>
            <w:tcW w:w="19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540/2014</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750"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w:t>
            </w:r>
          </w:p>
        </w:tc>
        <w:tc>
          <w:tcPr>
            <w:tcW w:w="18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Émissions des véhicules légers (Euro 5 et 6) / accès aux informations</w:t>
            </w:r>
          </w:p>
        </w:tc>
        <w:tc>
          <w:tcPr>
            <w:tcW w:w="192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szCs w:val="20"/>
              </w:rPr>
              <w:t>Règlement (CE) n</w:t>
            </w:r>
            <w:r>
              <w:rPr>
                <w:noProof/>
                <w:spacing w:val="-8"/>
                <w:sz w:val="20"/>
                <w:szCs w:val="20"/>
                <w:vertAlign w:val="superscript"/>
              </w:rPr>
              <w:t>o</w:t>
            </w:r>
            <w:r>
              <w:rPr>
                <w:noProof/>
                <w:spacing w:val="-8"/>
                <w:sz w:val="20"/>
                <w:szCs w:val="20"/>
              </w:rPr>
              <w:t> 715/2007</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750" w:type="dxa"/>
            <w:vMerge/>
            <w:tcBorders>
              <w:left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0"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0"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a)</w:t>
            </w:r>
            <w:r>
              <w:rPr>
                <w:noProof/>
                <w:spacing w:val="-8"/>
                <w:sz w:val="20"/>
                <w:szCs w:val="20"/>
              </w:rPr>
              <w:tab/>
              <w:t>Système de diagnostic embarqué (OBD)</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 véhicule est équipé d’un système OBD qui satisfait aux prescriptions de l’article 4, paragraphes 1 et 2, du règlement (CE) n</w:t>
            </w:r>
            <w:r>
              <w:rPr>
                <w:noProof/>
                <w:spacing w:val="-8"/>
                <w:sz w:val="20"/>
                <w:vertAlign w:val="superscript"/>
              </w:rPr>
              <w:t>o</w:t>
            </w:r>
            <w:r>
              <w:rPr>
                <w:noProof/>
                <w:spacing w:val="-8"/>
                <w:sz w:val="20"/>
              </w:rPr>
              <w:t> 692/2008 (le système OBD doit être conçu pour enregistrer au moins le dysfonctionnement du système de gestion du moteur).</w:t>
            </w:r>
          </w:p>
          <w:p>
            <w:pPr>
              <w:spacing w:before="60" w:after="60"/>
              <w:rPr>
                <w:rFonts w:eastAsia="Arial Unicode MS"/>
                <w:noProof/>
                <w:spacing w:val="-8"/>
                <w:sz w:val="20"/>
                <w:szCs w:val="20"/>
              </w:rPr>
            </w:pPr>
            <w:r>
              <w:rPr>
                <w:noProof/>
                <w:spacing w:val="-8"/>
                <w:sz w:val="20"/>
              </w:rPr>
              <w:t>L’interface OBD doit être en mesure de communiquer avec les outils de diagnostic généralement disponibles.</w:t>
            </w:r>
          </w:p>
        </w:tc>
      </w:tr>
      <w:tr>
        <w:trPr>
          <w:tblCellSpacing w:w="0" w:type="dxa"/>
        </w:trPr>
        <w:tc>
          <w:tcPr>
            <w:tcW w:w="750" w:type="dxa"/>
            <w:vMerge/>
            <w:tcBorders>
              <w:left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0"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0"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b)</w:t>
            </w:r>
            <w:r>
              <w:rPr>
                <w:noProof/>
                <w:spacing w:val="-8"/>
                <w:sz w:val="20"/>
                <w:szCs w:val="20"/>
              </w:rPr>
              <w:tab/>
              <w:t>Conformité en service</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Sans objet</w:t>
            </w:r>
          </w:p>
        </w:tc>
      </w:tr>
      <w:tr>
        <w:trPr>
          <w:tblCellSpacing w:w="0" w:type="dxa"/>
        </w:trPr>
        <w:tc>
          <w:tcPr>
            <w:tcW w:w="750" w:type="dxa"/>
            <w:vMerge/>
            <w:tcBorders>
              <w:left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0"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0"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c)</w:t>
            </w:r>
            <w:r>
              <w:rPr>
                <w:noProof/>
                <w:spacing w:val="-8"/>
                <w:sz w:val="20"/>
                <w:szCs w:val="20"/>
              </w:rPr>
              <w:tab/>
              <w:t>Accès aux informations</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 xml:space="preserve">Il suffit que le constructeur du véhicule prévoie un accès aisé et rapide aux informations relatives à la réparation et à l’entretien. </w:t>
            </w:r>
          </w:p>
        </w:tc>
      </w:tr>
      <w:tr>
        <w:trPr>
          <w:tblCellSpacing w:w="0" w:type="dxa"/>
        </w:trPr>
        <w:tc>
          <w:tcPr>
            <w:tcW w:w="750"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pacing w:val="-8"/>
                <w:sz w:val="20"/>
                <w:szCs w:val="20"/>
              </w:rPr>
            </w:pPr>
          </w:p>
        </w:tc>
        <w:tc>
          <w:tcPr>
            <w:tcW w:w="18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pacing w:val="-8"/>
                <w:sz w:val="20"/>
                <w:szCs w:val="20"/>
              </w:rPr>
            </w:pPr>
          </w:p>
        </w:tc>
        <w:tc>
          <w:tcPr>
            <w:tcW w:w="192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pacing w:val="-8"/>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pacing w:val="-8"/>
                      <w:sz w:val="20"/>
                      <w:szCs w:val="20"/>
                    </w:rPr>
                  </w:pPr>
                  <w:r>
                    <w:rPr>
                      <w:noProof/>
                      <w:spacing w:val="-8"/>
                      <w:sz w:val="20"/>
                    </w:rPr>
                    <w:t>d)</w:t>
                  </w:r>
                </w:p>
              </w:tc>
              <w:tc>
                <w:tcPr>
                  <w:tcW w:w="1184" w:type="dxa"/>
                  <w:hideMark/>
                </w:tcPr>
                <w:p>
                  <w:pPr>
                    <w:spacing w:after="0"/>
                    <w:rPr>
                      <w:rFonts w:eastAsia="Times New Roman"/>
                      <w:noProof/>
                      <w:spacing w:val="-8"/>
                      <w:sz w:val="20"/>
                      <w:szCs w:val="20"/>
                    </w:rPr>
                  </w:pPr>
                  <w:r>
                    <w:rPr>
                      <w:noProof/>
                      <w:spacing w:val="-8"/>
                      <w:sz w:val="20"/>
                    </w:rPr>
                    <w:t>Mesure de la puissance</w:t>
                  </w:r>
                </w:p>
              </w:tc>
            </w:tr>
          </w:tbl>
          <w:p>
            <w:pPr>
              <w:spacing w:after="0"/>
              <w:rPr>
                <w:rFonts w:eastAsia="Times New Roman"/>
                <w:noProof/>
                <w:spacing w:val="-8"/>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i/>
                <w:noProof/>
                <w:spacing w:val="-8"/>
                <w:sz w:val="20"/>
              </w:rPr>
              <w:t>(Lorsque le constructeur du véhicule utilise un moteur d’un autre constructeur)</w:t>
            </w:r>
            <w:r>
              <w:rPr>
                <w:noProof/>
                <w:spacing w:val="-8"/>
                <w:sz w:val="20"/>
              </w:rPr>
              <w:t xml:space="preserve"> </w:t>
            </w:r>
          </w:p>
          <w:p>
            <w:pPr>
              <w:spacing w:before="60" w:after="60"/>
              <w:rPr>
                <w:rFonts w:eastAsia="Times New Roman"/>
                <w:noProof/>
                <w:spacing w:val="-8"/>
                <w:sz w:val="20"/>
                <w:szCs w:val="20"/>
              </w:rPr>
            </w:pPr>
            <w:r>
              <w:rPr>
                <w:noProof/>
                <w:spacing w:val="-8"/>
                <w:sz w:val="20"/>
              </w:rPr>
              <w:t>Les données sur les essais au banc réalisés par le constructeur du moteur sont acceptées, à condition que le système de gestion du moteur soit identique [c’est-à-dire ait au moins la même unité électronique de commande (ECU)].</w:t>
            </w:r>
          </w:p>
          <w:p>
            <w:pPr>
              <w:spacing w:before="60" w:after="60"/>
              <w:rPr>
                <w:rFonts w:eastAsia="Times New Roman"/>
                <w:noProof/>
                <w:spacing w:val="-8"/>
                <w:sz w:val="20"/>
                <w:szCs w:val="20"/>
              </w:rPr>
            </w:pPr>
            <w:r>
              <w:rPr>
                <w:noProof/>
                <w:spacing w:val="-8"/>
                <w:sz w:val="20"/>
              </w:rPr>
              <w:t>Les essais sur la puissance de sortie peuvent être effectués sur un banc dynamométrique. La perte de puissance dans la transmission doit être prise en compte.</w:t>
            </w:r>
          </w:p>
        </w:tc>
      </w:tr>
    </w:tbl>
    <w:p>
      <w:pPr>
        <w:rPr>
          <w:noProof/>
        </w:rPr>
      </w:pPr>
    </w:p>
    <w:p>
      <w:pPr>
        <w:rPr>
          <w:noProof/>
        </w:rPr>
      </w:pPr>
      <w:r>
        <w:rPr>
          <w:noProof/>
        </w:rPr>
        <w:br w:type="page"/>
      </w:r>
    </w:p>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42"/>
        <w:gridCol w:w="8"/>
        <w:gridCol w:w="1752"/>
        <w:gridCol w:w="45"/>
        <w:gridCol w:w="1877"/>
        <w:gridCol w:w="11"/>
        <w:gridCol w:w="33"/>
        <w:gridCol w:w="1562"/>
        <w:gridCol w:w="3214"/>
      </w:tblGrid>
      <w:tr>
        <w:trPr>
          <w:tblHeade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Élément</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Objet</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Acte réglementaire</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szCs w:val="20"/>
              </w:rPr>
              <w:t>Aspects spécifiques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Applicabilité et prescriptions spécifiques</w:t>
            </w:r>
          </w:p>
        </w:tc>
      </w:tr>
      <w:tr>
        <w:trPr>
          <w:cantSplit/>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Prévention des risques d’incendie (réservoirs de carburant liquide)</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34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a)</w:t>
            </w:r>
            <w:r>
              <w:rPr>
                <w:noProof/>
                <w:spacing w:val="-8"/>
                <w:sz w:val="20"/>
                <w:szCs w:val="20"/>
              </w:rPr>
              <w:tab/>
              <w:t>Réservoirs de carburant liquide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b)</w:t>
            </w:r>
            <w:r>
              <w:rPr>
                <w:noProof/>
                <w:spacing w:val="-8"/>
                <w:sz w:val="20"/>
                <w:szCs w:val="20"/>
              </w:rPr>
              <w:tab/>
              <w:t>Installation dans le véhicule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3B</w:t>
            </w:r>
          </w:p>
        </w:tc>
        <w:tc>
          <w:tcPr>
            <w:tcW w:w="1805" w:type="dxa"/>
            <w:gridSpan w:val="3"/>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arrière de protection anti-encastrement et leur montage; protection contre l’encastrement à l’arrière</w:t>
            </w:r>
          </w:p>
        </w:tc>
        <w:tc>
          <w:tcPr>
            <w:tcW w:w="1921" w:type="dxa"/>
            <w:gridSpan w:val="3"/>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58 de la CEE-ONU</w:t>
            </w:r>
          </w:p>
        </w:tc>
        <w:tc>
          <w:tcPr>
            <w:tcW w:w="1562"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B</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Emplacement pour le montage et la fixation des plaques d’immatriculation arrière</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1003/2010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Équipement de direction</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79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a)</w:t>
            </w:r>
            <w:r>
              <w:rPr>
                <w:noProof/>
                <w:spacing w:val="-8"/>
                <w:sz w:val="20"/>
                <w:szCs w:val="20"/>
              </w:rPr>
              <w:tab/>
              <w:t>Systèmes mécaniques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dispositions du paragraphe 5 du règlement n</w:t>
            </w:r>
            <w:r>
              <w:rPr>
                <w:noProof/>
                <w:spacing w:val="-8"/>
                <w:sz w:val="20"/>
                <w:vertAlign w:val="superscript"/>
              </w:rPr>
              <w:t>o</w:t>
            </w:r>
            <w:r>
              <w:rPr>
                <w:noProof/>
                <w:spacing w:val="-8"/>
                <w:sz w:val="20"/>
              </w:rPr>
              <w:t> 79 de la CEE-ONU s’appliquent.</w:t>
            </w:r>
          </w:p>
          <w:p>
            <w:pPr>
              <w:spacing w:before="60" w:after="60"/>
              <w:rPr>
                <w:rFonts w:eastAsia="Arial Unicode MS"/>
                <w:noProof/>
                <w:spacing w:val="-8"/>
                <w:sz w:val="20"/>
                <w:szCs w:val="20"/>
              </w:rPr>
            </w:pPr>
            <w:r>
              <w:rPr>
                <w:noProof/>
                <w:spacing w:val="-8"/>
                <w:sz w:val="20"/>
              </w:rPr>
              <w:t>Tous les essais prescrits au paragraphe 6.2 du règlement n</w:t>
            </w:r>
            <w:r>
              <w:rPr>
                <w:noProof/>
                <w:spacing w:val="-8"/>
                <w:sz w:val="20"/>
                <w:vertAlign w:val="superscript"/>
              </w:rPr>
              <w:t>o</w:t>
            </w:r>
            <w:r>
              <w:rPr>
                <w:noProof/>
                <w:spacing w:val="-8"/>
                <w:sz w:val="20"/>
              </w:rPr>
              <w:t> 79 de la CEE-ONU sont effectués et les prescriptions du paragraphe 6.1 du règlement n</w:t>
            </w:r>
            <w:r>
              <w:rPr>
                <w:noProof/>
                <w:spacing w:val="-8"/>
                <w:sz w:val="20"/>
                <w:vertAlign w:val="superscript"/>
              </w:rPr>
              <w:t>o</w:t>
            </w:r>
            <w:r>
              <w:rPr>
                <w:noProof/>
                <w:spacing w:val="-8"/>
                <w:sz w:val="20"/>
              </w:rPr>
              <w:t> 79 de la CEE-ONU s’appliquent.</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b)</w:t>
            </w:r>
            <w:r>
              <w:rPr>
                <w:noProof/>
                <w:spacing w:val="-8"/>
                <w:sz w:val="20"/>
                <w:szCs w:val="20"/>
              </w:rPr>
              <w:tab/>
              <w:t>Système complexe de commande électronique des véhicules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Toutes les prescriptions de l’annexe 6 du règlement n</w:t>
            </w:r>
            <w:r>
              <w:rPr>
                <w:noProof/>
                <w:spacing w:val="-8"/>
                <w:sz w:val="20"/>
                <w:vertAlign w:val="superscript"/>
              </w:rPr>
              <w:t>o</w:t>
            </w:r>
            <w:r>
              <w:rPr>
                <w:noProof/>
                <w:spacing w:val="-8"/>
                <w:sz w:val="20"/>
              </w:rPr>
              <w:t> 79 de la CEE-ONU s’appliquent.</w:t>
            </w:r>
          </w:p>
          <w:p>
            <w:pPr>
              <w:spacing w:before="60" w:after="60"/>
              <w:rPr>
                <w:rFonts w:eastAsia="Arial Unicode MS"/>
                <w:noProof/>
                <w:spacing w:val="-8"/>
                <w:sz w:val="20"/>
                <w:szCs w:val="20"/>
              </w:rPr>
            </w:pPr>
            <w:r>
              <w:rPr>
                <w:noProof/>
                <w:spacing w:val="-8"/>
                <w:sz w:val="20"/>
              </w:rPr>
              <w:t>La conformité à ces prescriptions ne peut être contrôlée que par un service technique.</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Serrures et organes de fixation des portes</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11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a)</w:t>
            </w:r>
            <w:r>
              <w:rPr>
                <w:noProof/>
                <w:spacing w:val="-8"/>
                <w:sz w:val="20"/>
                <w:szCs w:val="20"/>
              </w:rPr>
              <w:tab/>
              <w:t>Prescriptions générales [paragraphe 5 du règlement n</w:t>
            </w:r>
            <w:r>
              <w:rPr>
                <w:noProof/>
                <w:spacing w:val="-8"/>
                <w:sz w:val="20"/>
                <w:szCs w:val="20"/>
                <w:vertAlign w:val="superscript"/>
              </w:rPr>
              <w:t>o</w:t>
            </w:r>
            <w:r>
              <w:rPr>
                <w:noProof/>
                <w:spacing w:val="-8"/>
                <w:sz w:val="20"/>
                <w:szCs w:val="20"/>
              </w:rPr>
              <w:t> 11 de la CEE-ONU]</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Toutes les prescriptions s’appliquent.</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b)</w:t>
            </w:r>
            <w:r>
              <w:rPr>
                <w:noProof/>
                <w:spacing w:val="-8"/>
                <w:sz w:val="20"/>
                <w:szCs w:val="20"/>
              </w:rPr>
              <w:tab/>
              <w:t>Prescriptions en matière de performances [paragraphe 6 du règlement n</w:t>
            </w:r>
            <w:r>
              <w:rPr>
                <w:noProof/>
                <w:spacing w:val="-8"/>
                <w:sz w:val="20"/>
                <w:szCs w:val="20"/>
                <w:vertAlign w:val="superscript"/>
              </w:rPr>
              <w:t>o</w:t>
            </w:r>
            <w:r>
              <w:rPr>
                <w:noProof/>
                <w:spacing w:val="-8"/>
                <w:sz w:val="20"/>
                <w:szCs w:val="20"/>
              </w:rPr>
              <w:t> 11 de la CEE-ONU]</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Seules les prescriptions du paragraphe 6.1.5.4 et du paragraphe 6.3 du règlement n</w:t>
            </w:r>
            <w:r>
              <w:rPr>
                <w:noProof/>
                <w:spacing w:val="-8"/>
                <w:sz w:val="20"/>
                <w:vertAlign w:val="superscript"/>
              </w:rPr>
              <w:t>o</w:t>
            </w:r>
            <w:r>
              <w:rPr>
                <w:noProof/>
                <w:spacing w:val="-8"/>
                <w:sz w:val="20"/>
              </w:rPr>
              <w:t> 11 de la CEE-ONU s’appliquent.</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keepNext/>
              <w:spacing w:before="60" w:after="60"/>
              <w:jc w:val="center"/>
              <w:rPr>
                <w:rFonts w:eastAsia="Arial Unicode MS"/>
                <w:noProof/>
                <w:spacing w:val="-8"/>
                <w:sz w:val="20"/>
                <w:szCs w:val="20"/>
              </w:rPr>
            </w:pPr>
            <w:r>
              <w:rPr>
                <w:noProof/>
                <w:spacing w:val="-8"/>
                <w:sz w:val="20"/>
              </w:rPr>
              <w:lastRenderedPageBreak/>
              <w:t>7A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Avertisseurs sonores et signalisation sonore</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28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a)</w:t>
            </w:r>
            <w:r>
              <w:rPr>
                <w:noProof/>
                <w:spacing w:val="-8"/>
                <w:sz w:val="20"/>
                <w:szCs w:val="20"/>
              </w:rPr>
              <w:tab/>
              <w:t>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b)</w:t>
            </w:r>
            <w:r>
              <w:rPr>
                <w:noProof/>
                <w:spacing w:val="-8"/>
                <w:sz w:val="20"/>
                <w:szCs w:val="20"/>
              </w:rPr>
              <w:tab/>
              <w:t>Installation dans le véhicule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8A</w:t>
            </w:r>
          </w:p>
        </w:tc>
        <w:tc>
          <w:tcPr>
            <w:tcW w:w="1805" w:type="dxa"/>
            <w:gridSpan w:val="3"/>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Systèmes de vision indirecte et leur montage</w:t>
            </w:r>
          </w:p>
        </w:tc>
        <w:tc>
          <w:tcPr>
            <w:tcW w:w="1921" w:type="dxa"/>
            <w:gridSpan w:val="3"/>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46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r>
              <w:rPr>
                <w:noProof/>
                <w:spacing w:val="-8"/>
                <w:sz w:val="20"/>
                <w:szCs w:val="20"/>
              </w:rPr>
              <w:t>a)</w:t>
            </w:r>
            <w:r>
              <w:rPr>
                <w:noProof/>
                <w:spacing w:val="-8"/>
                <w:sz w:val="20"/>
                <w:szCs w:val="20"/>
              </w:rPr>
              <w:tab/>
              <w:t>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vMerge/>
            <w:tcBorders>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p>
        </w:tc>
        <w:tc>
          <w:tcPr>
            <w:tcW w:w="1805" w:type="dxa"/>
            <w:gridSpan w:val="3"/>
            <w:vMerge/>
            <w:tcBorders>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p>
        </w:tc>
        <w:tc>
          <w:tcPr>
            <w:tcW w:w="1921" w:type="dxa"/>
            <w:gridSpan w:val="3"/>
            <w:vMerge/>
            <w:tcBorders>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r>
              <w:rPr>
                <w:noProof/>
                <w:spacing w:val="-8"/>
                <w:sz w:val="20"/>
                <w:szCs w:val="20"/>
              </w:rPr>
              <w:t>b)</w:t>
            </w:r>
            <w:r>
              <w:rPr>
                <w:noProof/>
                <w:spacing w:val="-8"/>
                <w:sz w:val="20"/>
                <w:szCs w:val="20"/>
              </w:rPr>
              <w:tab/>
              <w:t>Installation dans le véhicule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9B</w:t>
            </w:r>
          </w:p>
        </w:tc>
        <w:tc>
          <w:tcPr>
            <w:tcW w:w="1805" w:type="dxa"/>
            <w:gridSpan w:val="3"/>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Freinage</w:t>
            </w:r>
          </w:p>
        </w:tc>
        <w:tc>
          <w:tcPr>
            <w:tcW w:w="1921" w:type="dxa"/>
            <w:gridSpan w:val="3"/>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13-H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r>
              <w:rPr>
                <w:noProof/>
                <w:spacing w:val="-8"/>
                <w:sz w:val="20"/>
                <w:szCs w:val="20"/>
              </w:rPr>
              <w:t>a)</w:t>
            </w:r>
            <w:r>
              <w:rPr>
                <w:noProof/>
                <w:spacing w:val="-8"/>
                <w:sz w:val="20"/>
                <w:szCs w:val="20"/>
              </w:rPr>
              <w:tab/>
              <w:t>Exigences en matière de conception et d’essais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742" w:type="dxa"/>
            <w:vMerge/>
            <w:tcBorders>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p>
        </w:tc>
        <w:tc>
          <w:tcPr>
            <w:tcW w:w="1805" w:type="dxa"/>
            <w:gridSpan w:val="3"/>
            <w:vMerge/>
            <w:tcBorders>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p>
        </w:tc>
        <w:tc>
          <w:tcPr>
            <w:tcW w:w="1921" w:type="dxa"/>
            <w:gridSpan w:val="3"/>
            <w:vMerge/>
            <w:tcBorders>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r>
              <w:rPr>
                <w:noProof/>
                <w:spacing w:val="-8"/>
                <w:sz w:val="20"/>
                <w:szCs w:val="20"/>
              </w:rPr>
              <w:t>b)</w:t>
            </w:r>
            <w:r>
              <w:rPr>
                <w:noProof/>
                <w:spacing w:val="-8"/>
                <w:sz w:val="20"/>
                <w:szCs w:val="20"/>
              </w:rPr>
              <w:tab/>
              <w:t>Contrôle électronique de la stabilité (ESC) et systèmes d’assistance au freinage (BAS)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L’installation des systèmes BAS et ESC n’est pas requise. S’ils sont installés, ils doivent être conformes aux prescriptions du règlement n</w:t>
            </w:r>
            <w:r>
              <w:rPr>
                <w:noProof/>
                <w:spacing w:val="-8"/>
                <w:sz w:val="20"/>
                <w:vertAlign w:val="superscript"/>
              </w:rPr>
              <w:t>o</w:t>
            </w:r>
            <w:r>
              <w:rPr>
                <w:noProof/>
                <w:spacing w:val="-8"/>
                <w:sz w:val="20"/>
              </w:rPr>
              <w:t> 13-H de la CEE-ONU.</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10A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Compatibilité électromagnétique</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10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12A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Aménagements intérieurs</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21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a)</w:t>
            </w:r>
            <w:r>
              <w:rPr>
                <w:noProof/>
                <w:spacing w:val="-8"/>
                <w:sz w:val="20"/>
                <w:szCs w:val="20"/>
              </w:rPr>
              <w:tab/>
              <w:t>Aménagement intérieur</w:t>
            </w:r>
          </w:p>
        </w:tc>
        <w:tc>
          <w:tcPr>
            <w:tcW w:w="3214"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i) Prescriptions en matière de rayons et de saillie pour les boutons, tirettes et autres éléments similaires, commandes et aménagement intérieur général</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Il peut être dérogé aux prescriptions des paragraphes 5.1 à 5.6 du règlement n</w:t>
            </w:r>
            <w:r>
              <w:rPr>
                <w:noProof/>
                <w:spacing w:val="-8"/>
                <w:sz w:val="20"/>
                <w:vertAlign w:val="superscript"/>
              </w:rPr>
              <w:t>o</w:t>
            </w:r>
            <w:r>
              <w:rPr>
                <w:noProof/>
                <w:spacing w:val="-8"/>
                <w:sz w:val="20"/>
              </w:rPr>
              <w:t> 21 de la CEE-ONU à la demande du constructeur.</w:t>
            </w:r>
          </w:p>
          <w:p>
            <w:pPr>
              <w:spacing w:before="60" w:after="60"/>
              <w:rPr>
                <w:rFonts w:eastAsia="Arial Unicode MS"/>
                <w:noProof/>
                <w:spacing w:val="-8"/>
                <w:sz w:val="20"/>
                <w:szCs w:val="20"/>
              </w:rPr>
            </w:pPr>
            <w:r>
              <w:rPr>
                <w:noProof/>
                <w:spacing w:val="-8"/>
                <w:sz w:val="20"/>
              </w:rPr>
              <w:t>Les prescriptions du paragraphe 5.2 du règlement n</w:t>
            </w:r>
            <w:r>
              <w:rPr>
                <w:noProof/>
                <w:spacing w:val="-8"/>
                <w:sz w:val="20"/>
                <w:vertAlign w:val="superscript"/>
              </w:rPr>
              <w:t>o</w:t>
            </w:r>
            <w:r>
              <w:rPr>
                <w:noProof/>
                <w:spacing w:val="-8"/>
                <w:sz w:val="20"/>
              </w:rPr>
              <w:t> 21 de la CEE-ONU, à l’exception des paragraphes 5.2.3.1, 5.2.3.2 et 5.2.4, s’appliquent.</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ii)</w:t>
            </w:r>
            <w:r>
              <w:rPr>
                <w:noProof/>
                <w:spacing w:val="-8"/>
                <w:sz w:val="20"/>
                <w:szCs w:val="20"/>
              </w:rPr>
              <w:tab/>
              <w:t>Essais d’absorption d’énergie sur la partie supérieure du tableau de bord</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essais d’absorption d’énergie sur la partie supérieure du tableau de bord ne seront effectués que lorsque le véhicule n’est pas équipé d’au moins deux airbags avant ou deux harnais statiques à quatre points.</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iii)</w:t>
            </w:r>
            <w:r>
              <w:rPr>
                <w:noProof/>
                <w:spacing w:val="-8"/>
                <w:sz w:val="20"/>
                <w:szCs w:val="20"/>
              </w:rPr>
              <w:tab/>
              <w:t xml:space="preserve">Essai d’absorption d’énergie de la partie arrière des </w:t>
            </w:r>
            <w:r>
              <w:rPr>
                <w:noProof/>
                <w:spacing w:val="-8"/>
                <w:sz w:val="20"/>
                <w:szCs w:val="20"/>
              </w:rPr>
              <w:lastRenderedPageBreak/>
              <w:t>sièges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lastRenderedPageBreak/>
              <w:t>Sans objet</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szCs w:val="20"/>
              </w:rPr>
              <w:t>b)</w:t>
            </w:r>
            <w:r>
              <w:rPr>
                <w:noProof/>
                <w:spacing w:val="-8"/>
                <w:sz w:val="20"/>
                <w:szCs w:val="20"/>
              </w:rPr>
              <w:tab/>
              <w:t>Vitres, toits ouvrants et cloisons de séparation à commande électrique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Toutes les prescriptions du paragraphe 5.8 du règlement de la CEE-ONU n</w:t>
            </w:r>
            <w:r>
              <w:rPr>
                <w:noProof/>
                <w:spacing w:val="-8"/>
                <w:sz w:val="20"/>
                <w:vertAlign w:val="superscript"/>
              </w:rPr>
              <w:t>o</w:t>
            </w:r>
            <w:r>
              <w:rPr>
                <w:noProof/>
                <w:spacing w:val="-8"/>
                <w:sz w:val="20"/>
              </w:rPr>
              <w:t> 21 s’appliquent.</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13A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Protection des véhicules à moteur contre une utilisation non autorisée</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116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p>
            <w:pPr>
              <w:spacing w:before="60" w:after="60"/>
              <w:rPr>
                <w:rFonts w:eastAsia="Arial Unicode MS"/>
                <w:noProof/>
                <w:spacing w:val="-8"/>
                <w:sz w:val="20"/>
                <w:szCs w:val="20"/>
              </w:rPr>
            </w:pPr>
            <w:r>
              <w:rPr>
                <w:noProof/>
                <w:spacing w:val="-8"/>
                <w:sz w:val="20"/>
              </w:rPr>
              <w:t>Les dispositions du paragraphe 8.3.1.1.1 du règlement n</w:t>
            </w:r>
            <w:r>
              <w:rPr>
                <w:noProof/>
                <w:spacing w:val="-8"/>
                <w:sz w:val="20"/>
                <w:vertAlign w:val="superscript"/>
              </w:rPr>
              <w:t>o</w:t>
            </w:r>
            <w:r>
              <w:rPr>
                <w:noProof/>
                <w:spacing w:val="-8"/>
                <w:sz w:val="20"/>
              </w:rPr>
              <w:t> 116 de la CEE-ONU peuvent être appliquées en lieu et place du paragraphe 8.3.1.1.2 dudit règlement, quel que soit le type de groupe motopropulseur.</w:t>
            </w:r>
          </w:p>
        </w:tc>
      </w:tr>
      <w:tr>
        <w:trPr>
          <w:tblCellSpacing w:w="0" w:type="dxa"/>
        </w:trPr>
        <w:tc>
          <w:tcPr>
            <w:tcW w:w="742"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14A</w:t>
            </w:r>
          </w:p>
        </w:tc>
        <w:tc>
          <w:tcPr>
            <w:tcW w:w="1805" w:type="dxa"/>
            <w:gridSpan w:val="3"/>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Protection du conducteur contre le dispositif de conduite en cas de choc</w:t>
            </w:r>
          </w:p>
        </w:tc>
        <w:tc>
          <w:tcPr>
            <w:tcW w:w="1921" w:type="dxa"/>
            <w:gridSpan w:val="3"/>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12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pacing w:val="-8"/>
                <w:sz w:val="20"/>
                <w:szCs w:val="20"/>
              </w:rPr>
            </w:pPr>
            <w:r>
              <w:rPr>
                <w:noProof/>
                <w:spacing w:val="-8"/>
                <w:sz w:val="20"/>
              </w:rPr>
              <w:t>C</w:t>
            </w:r>
          </w:p>
        </w:tc>
      </w:tr>
      <w:tr>
        <w:trPr>
          <w:tblCellSpacing w:w="0" w:type="dxa"/>
        </w:trPr>
        <w:tc>
          <w:tcPr>
            <w:tcW w:w="742" w:type="dxa"/>
            <w:vMerge/>
            <w:tcBorders>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p>
        </w:tc>
        <w:tc>
          <w:tcPr>
            <w:tcW w:w="1805" w:type="dxa"/>
            <w:gridSpan w:val="3"/>
            <w:vMerge/>
            <w:tcBorders>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p>
        </w:tc>
        <w:tc>
          <w:tcPr>
            <w:tcW w:w="1921" w:type="dxa"/>
            <w:gridSpan w:val="3"/>
            <w:vMerge/>
            <w:tcBorders>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essais sont nécessaires lorsque le véhicule n’a pas été soumis à un essai au titre du règlement n</w:t>
            </w:r>
            <w:r>
              <w:rPr>
                <w:noProof/>
                <w:spacing w:val="-8"/>
                <w:sz w:val="20"/>
                <w:vertAlign w:val="superscript"/>
              </w:rPr>
              <w:t>o </w:t>
            </w:r>
            <w:r>
              <w:rPr>
                <w:noProof/>
                <w:spacing w:val="-8"/>
                <w:sz w:val="20"/>
              </w:rPr>
              <w:t>94 de la CEE-ONU (voir élément 53A).</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15A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Sièges, leurs ancrages et appuie-tête</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17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Prescriptions générales</w:t>
            </w:r>
          </w:p>
          <w:p>
            <w:pPr>
              <w:spacing w:after="0"/>
              <w:ind w:left="238" w:hanging="238"/>
              <w:jc w:val="left"/>
              <w:rPr>
                <w:rFonts w:eastAsia="Arial Unicode MS"/>
                <w:noProof/>
                <w:spacing w:val="-8"/>
                <w:sz w:val="20"/>
                <w:szCs w:val="20"/>
              </w:rPr>
            </w:pPr>
            <w:r>
              <w:rPr>
                <w:noProof/>
                <w:spacing w:val="-8"/>
                <w:sz w:val="20"/>
              </w:rPr>
              <w:t>i) Spécifications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prescriptions du paragraphe 5.2 du règlement n</w:t>
            </w:r>
            <w:r>
              <w:rPr>
                <w:noProof/>
                <w:spacing w:val="-8"/>
                <w:sz w:val="20"/>
                <w:vertAlign w:val="superscript"/>
              </w:rPr>
              <w:t>o</w:t>
            </w:r>
            <w:r>
              <w:rPr>
                <w:noProof/>
                <w:spacing w:val="-8"/>
                <w:sz w:val="20"/>
              </w:rPr>
              <w:t> 17 de la CEE-ONU s’appliquent, à l’exception du point 5.2.3.</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ii) Essais de la résistance du dossier du siège et des appuie-tête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prescriptions du paragraphe 6.2 du règlement n</w:t>
            </w:r>
            <w:r>
              <w:rPr>
                <w:noProof/>
                <w:spacing w:val="-8"/>
                <w:sz w:val="20"/>
                <w:vertAlign w:val="superscript"/>
              </w:rPr>
              <w:t>o</w:t>
            </w:r>
            <w:r>
              <w:rPr>
                <w:noProof/>
                <w:spacing w:val="-8"/>
                <w:sz w:val="20"/>
              </w:rPr>
              <w:t> 17 de la CEE-ONU s’appliquent.</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iii)</w:t>
            </w:r>
            <w:r>
              <w:rPr>
                <w:noProof/>
                <w:spacing w:val="-8"/>
              </w:rPr>
              <w:tab/>
            </w:r>
            <w:r>
              <w:rPr>
                <w:noProof/>
                <w:spacing w:val="-8"/>
                <w:sz w:val="20"/>
              </w:rPr>
              <w:t>Essais sur les systèmes de déverrouillage et de réglage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L’essai doit être réalisé en conformité avec les prescriptions de l’annexe 7 au règlement n</w:t>
            </w:r>
            <w:r>
              <w:rPr>
                <w:noProof/>
                <w:spacing w:val="-8"/>
                <w:sz w:val="20"/>
                <w:vertAlign w:val="superscript"/>
              </w:rPr>
              <w:t>o</w:t>
            </w:r>
            <w:r>
              <w:rPr>
                <w:noProof/>
                <w:spacing w:val="-8"/>
                <w:sz w:val="20"/>
              </w:rPr>
              <w:t> 17 de la CEE-ONU.</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Appuie-tête</w:t>
            </w:r>
          </w:p>
          <w:p>
            <w:pPr>
              <w:spacing w:after="0"/>
              <w:ind w:left="238" w:hanging="238"/>
              <w:jc w:val="left"/>
              <w:rPr>
                <w:rFonts w:eastAsia="Arial Unicode MS"/>
                <w:noProof/>
                <w:spacing w:val="-8"/>
                <w:sz w:val="20"/>
                <w:szCs w:val="20"/>
              </w:rPr>
            </w:pPr>
            <w:r>
              <w:rPr>
                <w:noProof/>
                <w:spacing w:val="-8"/>
                <w:sz w:val="20"/>
              </w:rPr>
              <w:t>i) Spécifications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prescriptions des paragraphes 5.4, 5.5, 5.6, 5.10, 5.11 et 5.12 du règlement n</w:t>
            </w:r>
            <w:r>
              <w:rPr>
                <w:noProof/>
                <w:spacing w:val="-8"/>
                <w:sz w:val="20"/>
                <w:vertAlign w:val="superscript"/>
              </w:rPr>
              <w:t>o</w:t>
            </w:r>
            <w:r>
              <w:rPr>
                <w:noProof/>
                <w:spacing w:val="-8"/>
                <w:sz w:val="20"/>
              </w:rPr>
              <w:t> 17 de la CEE-ONU s’appliquent, à l’exception du point 5.5.2.</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ii) Essais de résistance sur les appuie-tête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L’essai prescrit au paragraphe 6.4 du règlement n</w:t>
            </w:r>
            <w:r>
              <w:rPr>
                <w:noProof/>
                <w:spacing w:val="-8"/>
                <w:sz w:val="20"/>
                <w:vertAlign w:val="superscript"/>
              </w:rPr>
              <w:t>o</w:t>
            </w:r>
            <w:r>
              <w:rPr>
                <w:noProof/>
                <w:spacing w:val="-8"/>
                <w:sz w:val="20"/>
              </w:rPr>
              <w:t> 17 de la CEE-ONU doit être effectué.</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c)</w:t>
            </w:r>
            <w:r>
              <w:rPr>
                <w:noProof/>
                <w:spacing w:val="-8"/>
              </w:rPr>
              <w:tab/>
            </w:r>
            <w:r>
              <w:rPr>
                <w:noProof/>
                <w:spacing w:val="-8"/>
                <w:sz w:val="20"/>
              </w:rPr>
              <w:t>Prescriptions spéciales relatives à la protection des occupants contre les déplacements de bagages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À la demande du constructeur, il peut être dérogé aux prescriptions de l’annexe 9 du règlement n</w:t>
            </w:r>
            <w:r>
              <w:rPr>
                <w:noProof/>
                <w:spacing w:val="-8"/>
                <w:sz w:val="20"/>
                <w:vertAlign w:val="superscript"/>
              </w:rPr>
              <w:t>o</w:t>
            </w:r>
            <w:r>
              <w:rPr>
                <w:noProof/>
                <w:spacing w:val="-8"/>
                <w:sz w:val="20"/>
              </w:rPr>
              <w:t> 26 de la CEE-ONU.</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16A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Saillies extérieures</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26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Spécifications générales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prescriptions du paragraphe 5 du règlement n</w:t>
            </w:r>
            <w:r>
              <w:rPr>
                <w:noProof/>
                <w:spacing w:val="-8"/>
                <w:sz w:val="20"/>
                <w:vertAlign w:val="superscript"/>
              </w:rPr>
              <w:t>o</w:t>
            </w:r>
            <w:r>
              <w:rPr>
                <w:noProof/>
                <w:spacing w:val="-8"/>
                <w:sz w:val="20"/>
              </w:rPr>
              <w:t> 26 de la CEE-ONU s’appliquent.</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Spécifications particulières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prescriptions du paragraphe 6 du règlement n</w:t>
            </w:r>
            <w:r>
              <w:rPr>
                <w:noProof/>
                <w:spacing w:val="-8"/>
                <w:sz w:val="20"/>
                <w:vertAlign w:val="superscript"/>
              </w:rPr>
              <w:t>o</w:t>
            </w:r>
            <w:r>
              <w:rPr>
                <w:noProof/>
                <w:spacing w:val="-8"/>
                <w:sz w:val="20"/>
              </w:rPr>
              <w:t> 26 de la CEE-ONU s’appliquent.</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17A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Accès au véhicule et manœuvrabilité</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D</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17B</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Appareil indicateur de vitesse, y compris son installation</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39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18A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Plaque réglementaire du constructeur et numéro d’identification du véhicule</w:t>
            </w:r>
          </w:p>
        </w:tc>
        <w:tc>
          <w:tcPr>
            <w:tcW w:w="187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(UE) n</w:t>
            </w:r>
            <w:r>
              <w:rPr>
                <w:noProof/>
                <w:spacing w:val="-8"/>
                <w:sz w:val="20"/>
                <w:vertAlign w:val="superscript"/>
              </w:rPr>
              <w:t>o</w:t>
            </w:r>
            <w:r>
              <w:rPr>
                <w:noProof/>
                <w:spacing w:val="-8"/>
                <w:sz w:val="20"/>
              </w:rPr>
              <w:t> 19/2011</w:t>
            </w:r>
          </w:p>
        </w:tc>
        <w:tc>
          <w:tcPr>
            <w:tcW w:w="1606" w:type="dxa"/>
            <w:gridSpan w:val="3"/>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B</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19A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Ancrages de ceintures de sécurité, systèmes d’ancrage Isofix et ancrages pour fixation supérieure Isofix</w:t>
            </w:r>
          </w:p>
        </w:tc>
        <w:tc>
          <w:tcPr>
            <w:tcW w:w="1888"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14 de la CEE-ONU</w:t>
            </w:r>
          </w:p>
        </w:tc>
        <w:tc>
          <w:tcPr>
            <w:tcW w:w="1595"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20A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Installation des dispositifs d’éclairage et de signalisation lumineuse sur les véhicules</w:t>
            </w:r>
          </w:p>
        </w:tc>
        <w:tc>
          <w:tcPr>
            <w:tcW w:w="1888"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48 de la CEE-ONU</w:t>
            </w:r>
          </w:p>
        </w:tc>
        <w:tc>
          <w:tcPr>
            <w:tcW w:w="1595"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p>
            <w:pPr>
              <w:spacing w:before="60" w:after="60"/>
              <w:rPr>
                <w:rFonts w:eastAsia="Arial Unicode MS"/>
                <w:noProof/>
                <w:spacing w:val="-8"/>
                <w:sz w:val="20"/>
                <w:szCs w:val="20"/>
              </w:rPr>
            </w:pPr>
            <w:r>
              <w:rPr>
                <w:noProof/>
                <w:spacing w:val="-8"/>
                <w:sz w:val="20"/>
              </w:rPr>
              <w:t>Des feux de circulation diurne (DRL) doivent être montés sur un nouveau type de véhicule.</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21A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Dispositifs catadioptriques pour les véhicules à moteur et leurs remorques</w:t>
            </w:r>
          </w:p>
        </w:tc>
        <w:tc>
          <w:tcPr>
            <w:tcW w:w="1888"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3 de la CEE-ONU</w:t>
            </w:r>
          </w:p>
        </w:tc>
        <w:tc>
          <w:tcPr>
            <w:tcW w:w="1595"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22A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de position avant et arrière, feux stop et feux d’encombrement pour les véhicules à moteur et leurs remorques</w:t>
            </w:r>
          </w:p>
        </w:tc>
        <w:tc>
          <w:tcPr>
            <w:tcW w:w="1888"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7 de la CEE-ONU</w:t>
            </w:r>
          </w:p>
        </w:tc>
        <w:tc>
          <w:tcPr>
            <w:tcW w:w="1595"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22B</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de circulation diurne pour les véhicules à moteur</w:t>
            </w:r>
          </w:p>
        </w:tc>
        <w:tc>
          <w:tcPr>
            <w:tcW w:w="1888"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87 de la CEE-ONU</w:t>
            </w:r>
          </w:p>
        </w:tc>
        <w:tc>
          <w:tcPr>
            <w:tcW w:w="1595"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22C</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 xml:space="preserve">Feux de position </w:t>
            </w:r>
            <w:r>
              <w:rPr>
                <w:noProof/>
                <w:spacing w:val="-8"/>
                <w:sz w:val="20"/>
              </w:rPr>
              <w:lastRenderedPageBreak/>
              <w:t>latéraux pour les véhicules à moteur et leurs remorques</w:t>
            </w:r>
          </w:p>
        </w:tc>
        <w:tc>
          <w:tcPr>
            <w:tcW w:w="1888"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lastRenderedPageBreak/>
              <w:t xml:space="preserve">Règlement (CE) </w:t>
            </w:r>
            <w:r>
              <w:rPr>
                <w:noProof/>
                <w:spacing w:val="-8"/>
                <w:sz w:val="20"/>
              </w:rPr>
              <w:lastRenderedPageBreak/>
              <w:t>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91 de la CEE-ONU</w:t>
            </w:r>
          </w:p>
        </w:tc>
        <w:tc>
          <w:tcPr>
            <w:tcW w:w="1595"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23A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indicateurs de direction pour les véhicules à moteur et leurs remorques</w:t>
            </w:r>
          </w:p>
        </w:tc>
        <w:tc>
          <w:tcPr>
            <w:tcW w:w="1888"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6 de la CEE-ONU</w:t>
            </w:r>
          </w:p>
        </w:tc>
        <w:tc>
          <w:tcPr>
            <w:tcW w:w="1595"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keepNext/>
              <w:spacing w:before="60" w:after="60"/>
              <w:jc w:val="center"/>
              <w:rPr>
                <w:rFonts w:eastAsia="Arial Unicode MS"/>
                <w:noProof/>
                <w:spacing w:val="-8"/>
                <w:sz w:val="20"/>
                <w:szCs w:val="20"/>
              </w:rPr>
            </w:pPr>
            <w:r>
              <w:rPr>
                <w:noProof/>
                <w:spacing w:val="-8"/>
                <w:sz w:val="20"/>
              </w:rPr>
              <w:t>24A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Dispositifs d’éclairage de la plaque d’immatriculation arrière des véhicules à moteur et de leurs remorques</w:t>
            </w:r>
          </w:p>
        </w:tc>
        <w:tc>
          <w:tcPr>
            <w:tcW w:w="1888"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4 de la CEE-ONU</w:t>
            </w:r>
          </w:p>
        </w:tc>
        <w:tc>
          <w:tcPr>
            <w:tcW w:w="1595"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cantSplit/>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Projecteurs scellés halogènes, pour véhicules à moteur, émettant un faisceau de croisement asymétrique européen ou un faisceau de route, ou les deux à la fois</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31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25B</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Lampes à incandescence destinées à être utilisées dans les feux homologués des véhicules à moteur et de leurs remorques</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37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25C</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Projecteurs de véhicules à moteur munis de sources lumineuses à décharge</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98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25D</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Sources lumineuses à décharge pour projecteurs homologués de véhicules à moteur</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99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25E</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Projecteurs pour véhicules à moteur émettant un faisceau de croisement asymétrique ou un faisceau de route, ou les deux à la fois, et équipés de lampes à incandescence et/ou de modules DEL</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112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25F</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 xml:space="preserve">Systèmes d’éclairage </w:t>
            </w:r>
            <w:r>
              <w:rPr>
                <w:noProof/>
                <w:spacing w:val="-8"/>
                <w:sz w:val="20"/>
              </w:rPr>
              <w:lastRenderedPageBreak/>
              <w:t>avant adaptatifs (AFS) destinés aux véhicules automobiles</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lastRenderedPageBreak/>
              <w:t xml:space="preserve">Règlement (CE) </w:t>
            </w:r>
            <w:r>
              <w:rPr>
                <w:noProof/>
                <w:spacing w:val="-8"/>
                <w:sz w:val="20"/>
              </w:rPr>
              <w:lastRenderedPageBreak/>
              <w:t>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123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26A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de brouillard avant des véhicules à moteur</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19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27A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Dispositifs de remorquage</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1005/2010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keepNext/>
              <w:spacing w:before="60" w:after="60"/>
              <w:jc w:val="center"/>
              <w:rPr>
                <w:rFonts w:eastAsia="Arial Unicode MS"/>
                <w:noProof/>
                <w:spacing w:val="-8"/>
                <w:sz w:val="20"/>
                <w:szCs w:val="20"/>
              </w:rPr>
            </w:pPr>
            <w:r>
              <w:rPr>
                <w:noProof/>
                <w:spacing w:val="-8"/>
                <w:sz w:val="20"/>
              </w:rPr>
              <w:t>28A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de brouillard arrière des véhicules à moteur et de leurs remorques</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38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29A</w:t>
            </w:r>
          </w:p>
        </w:tc>
        <w:tc>
          <w:tcPr>
            <w:tcW w:w="176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de marche arrière des véhicules à moteur et de leurs remorques</w:t>
            </w:r>
          </w:p>
        </w:tc>
        <w:tc>
          <w:tcPr>
            <w:tcW w:w="1966" w:type="dxa"/>
            <w:gridSpan w:val="4"/>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23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30A</w:t>
            </w:r>
          </w:p>
        </w:tc>
        <w:tc>
          <w:tcPr>
            <w:tcW w:w="176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de stationnement pour véhicules à moteur</w:t>
            </w:r>
          </w:p>
        </w:tc>
        <w:tc>
          <w:tcPr>
            <w:tcW w:w="1966" w:type="dxa"/>
            <w:gridSpan w:val="4"/>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77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31A</w:t>
            </w:r>
          </w:p>
        </w:tc>
        <w:tc>
          <w:tcPr>
            <w:tcW w:w="1760"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Ceintures de sécurité, systèmes de retenue, dispositifs de retenue pour enfants et dispositifs de retenue pour enfants Isofix</w:t>
            </w:r>
          </w:p>
        </w:tc>
        <w:tc>
          <w:tcPr>
            <w:tcW w:w="1966" w:type="dxa"/>
            <w:gridSpan w:val="4"/>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16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76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66" w:type="dxa"/>
            <w:gridSpan w:val="4"/>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Prescriptions relatives à l’installation</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32A</w:t>
            </w:r>
          </w:p>
        </w:tc>
        <w:tc>
          <w:tcPr>
            <w:tcW w:w="176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Champ de vision vers l’avant</w:t>
            </w:r>
          </w:p>
        </w:tc>
        <w:tc>
          <w:tcPr>
            <w:tcW w:w="1966" w:type="dxa"/>
            <w:gridSpan w:val="4"/>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125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33A</w:t>
            </w:r>
          </w:p>
        </w:tc>
        <w:tc>
          <w:tcPr>
            <w:tcW w:w="176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Emplacement et moyens d’identification des commandes manuelles, des témoins et des indicateurs</w:t>
            </w:r>
          </w:p>
        </w:tc>
        <w:tc>
          <w:tcPr>
            <w:tcW w:w="1966" w:type="dxa"/>
            <w:gridSpan w:val="4"/>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121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34A</w:t>
            </w:r>
          </w:p>
        </w:tc>
        <w:tc>
          <w:tcPr>
            <w:tcW w:w="1760"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Dispositifs de dégivrage et de désembuage du pare-brise</w:t>
            </w:r>
          </w:p>
        </w:tc>
        <w:tc>
          <w:tcPr>
            <w:tcW w:w="1966" w:type="dxa"/>
            <w:gridSpan w:val="4"/>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672/2010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76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66" w:type="dxa"/>
            <w:gridSpan w:val="4"/>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Dégivrage du pare-brise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Seul le point 1.1.1 de l’annexe II du règlement (UE) n</w:t>
            </w:r>
            <w:r>
              <w:rPr>
                <w:noProof/>
                <w:spacing w:val="-8"/>
                <w:sz w:val="20"/>
                <w:vertAlign w:val="superscript"/>
              </w:rPr>
              <w:t>o</w:t>
            </w:r>
            <w:r>
              <w:rPr>
                <w:noProof/>
                <w:spacing w:val="-8"/>
                <w:sz w:val="20"/>
              </w:rPr>
              <w:t xml:space="preserve"> 672/2010 s’applique, à condition que le flux d’air chaud soit soufflé sur l’ensemble de la surface du </w:t>
            </w:r>
            <w:r>
              <w:rPr>
                <w:noProof/>
                <w:spacing w:val="-8"/>
                <w:sz w:val="20"/>
              </w:rPr>
              <w:lastRenderedPageBreak/>
              <w:t>pare-brise ou que ce dernier soit chauffé électriquement sur toute sa surface.</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76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66" w:type="dxa"/>
            <w:gridSpan w:val="4"/>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Désembuage du pare-brise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Seul le point 1.2.1 de l’annexe II du règlement (UE) n</w:t>
            </w:r>
            <w:r>
              <w:rPr>
                <w:noProof/>
                <w:spacing w:val="-8"/>
                <w:sz w:val="20"/>
                <w:vertAlign w:val="superscript"/>
              </w:rPr>
              <w:t>o</w:t>
            </w:r>
            <w:r>
              <w:rPr>
                <w:noProof/>
                <w:spacing w:val="-8"/>
                <w:sz w:val="20"/>
              </w:rPr>
              <w:t> 672/2010 s’applique, à condition que le flux d’air chaud soit soufflé sur l’ensemble de la surface du pare-brise ou que ce dernier soit chauffé électriquement sur toute sa surface.</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35A</w:t>
            </w:r>
          </w:p>
        </w:tc>
        <w:tc>
          <w:tcPr>
            <w:tcW w:w="1760"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Essuie-glace et lave-glace du pare-brise</w:t>
            </w:r>
          </w:p>
        </w:tc>
        <w:tc>
          <w:tcPr>
            <w:tcW w:w="1966" w:type="dxa"/>
            <w:gridSpan w:val="4"/>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1008/2010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76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66" w:type="dxa"/>
            <w:gridSpan w:val="4"/>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Dispositif d’essuie-glace du pare-brise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points 1.1 à 1.1.10 de l’annexe III du règlement (UE) n</w:t>
            </w:r>
            <w:r>
              <w:rPr>
                <w:noProof/>
                <w:spacing w:val="-8"/>
                <w:sz w:val="20"/>
                <w:vertAlign w:val="superscript"/>
              </w:rPr>
              <w:t>o</w:t>
            </w:r>
            <w:r>
              <w:rPr>
                <w:noProof/>
                <w:spacing w:val="-8"/>
                <w:sz w:val="20"/>
              </w:rPr>
              <w:t> 1008/2010 s’appliquent.</w:t>
            </w:r>
          </w:p>
          <w:p>
            <w:pPr>
              <w:spacing w:before="60" w:after="60"/>
              <w:rPr>
                <w:rFonts w:eastAsia="Arial Unicode MS"/>
                <w:noProof/>
                <w:spacing w:val="-8"/>
                <w:sz w:val="20"/>
                <w:szCs w:val="20"/>
              </w:rPr>
            </w:pPr>
            <w:r>
              <w:rPr>
                <w:noProof/>
                <w:spacing w:val="-8"/>
                <w:sz w:val="20"/>
              </w:rPr>
              <w:t>Seul l’essai décrit au point 2.1.10 de l’annexe III du règlement (UE) n</w:t>
            </w:r>
            <w:r>
              <w:rPr>
                <w:noProof/>
                <w:spacing w:val="-8"/>
                <w:sz w:val="20"/>
                <w:vertAlign w:val="superscript"/>
              </w:rPr>
              <w:t>o</w:t>
            </w:r>
            <w:r>
              <w:rPr>
                <w:noProof/>
                <w:spacing w:val="-8"/>
                <w:sz w:val="20"/>
              </w:rPr>
              <w:t> 1008/2010 doit être effectué.</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76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66" w:type="dxa"/>
            <w:gridSpan w:val="4"/>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Dispositif de lave-glace du pare-brise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 point 1.2 de l’annexe III du règlement (UE) n</w:t>
            </w:r>
            <w:r>
              <w:rPr>
                <w:noProof/>
                <w:spacing w:val="-8"/>
                <w:sz w:val="20"/>
                <w:vertAlign w:val="superscript"/>
              </w:rPr>
              <w:t>o</w:t>
            </w:r>
            <w:r>
              <w:rPr>
                <w:noProof/>
                <w:spacing w:val="-8"/>
                <w:sz w:val="20"/>
              </w:rPr>
              <w:t> 1008/2010 s’applique, à l’exception des points 1.2.2, 1.2.3 et 1.2.5.</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36A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Systèmes de chauffage</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122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w:t>
            </w:r>
          </w:p>
          <w:p>
            <w:pPr>
              <w:spacing w:before="60" w:after="60"/>
              <w:rPr>
                <w:rFonts w:eastAsia="Arial Unicode MS"/>
                <w:noProof/>
                <w:spacing w:val="-8"/>
                <w:sz w:val="20"/>
                <w:szCs w:val="20"/>
              </w:rPr>
            </w:pPr>
            <w:r>
              <w:rPr>
                <w:noProof/>
                <w:spacing w:val="-8"/>
                <w:sz w:val="20"/>
              </w:rPr>
              <w:t>L’installation d’un système de chauffage n’est pas requise.</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Tous les systèmes de chauffage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prescriptions des paragraphes 5.3 et 6 du règlement n</w:t>
            </w:r>
            <w:r>
              <w:rPr>
                <w:noProof/>
                <w:spacing w:val="-8"/>
                <w:sz w:val="20"/>
                <w:vertAlign w:val="superscript"/>
              </w:rPr>
              <w:t>o</w:t>
            </w:r>
            <w:r>
              <w:rPr>
                <w:noProof/>
                <w:spacing w:val="-8"/>
                <w:sz w:val="20"/>
              </w:rPr>
              <w:t> 122 de la CEE-ONU s’appliquent.</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Systèmes de chauffage LPG</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prescriptions de l’annexe 8 du règlement n</w:t>
            </w:r>
            <w:r>
              <w:rPr>
                <w:noProof/>
                <w:spacing w:val="-8"/>
                <w:sz w:val="20"/>
                <w:vertAlign w:val="superscript"/>
              </w:rPr>
              <w:t>o</w:t>
            </w:r>
            <w:r>
              <w:rPr>
                <w:noProof/>
                <w:spacing w:val="-8"/>
                <w:sz w:val="20"/>
              </w:rPr>
              <w:t> 122 de la CEE-ONU s’appliquent.</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37A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Protecteurs de roues</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1009/2010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38A</w:t>
            </w:r>
          </w:p>
        </w:tc>
        <w:tc>
          <w:tcPr>
            <w:tcW w:w="1805" w:type="dxa"/>
            <w:gridSpan w:val="3"/>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Appuie-tête</w:t>
            </w:r>
          </w:p>
        </w:tc>
        <w:tc>
          <w:tcPr>
            <w:tcW w:w="1921" w:type="dxa"/>
            <w:gridSpan w:val="3"/>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xml:space="preserve"> 25 de la CEE-ONU</w:t>
            </w:r>
          </w:p>
        </w:tc>
        <w:tc>
          <w:tcPr>
            <w:tcW w:w="1562"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X</w:t>
            </w:r>
          </w:p>
        </w:tc>
      </w:tr>
      <w:tr>
        <w:trPr>
          <w:tblCellSpacing w:w="0" w:type="dxa"/>
        </w:trPr>
        <w:tc>
          <w:tcPr>
            <w:tcW w:w="742"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41A</w:t>
            </w:r>
          </w:p>
        </w:tc>
        <w:tc>
          <w:tcPr>
            <w:tcW w:w="1805" w:type="dxa"/>
            <w:gridSpan w:val="3"/>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Émissions (Euro VI) des véhicules lourds/accès aux informations</w:t>
            </w:r>
          </w:p>
        </w:tc>
        <w:tc>
          <w:tcPr>
            <w:tcW w:w="1921" w:type="dxa"/>
            <w:gridSpan w:val="3"/>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595/2009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p>
            <w:pPr>
              <w:spacing w:before="60" w:after="60"/>
              <w:rPr>
                <w:rFonts w:eastAsia="Arial Unicode MS"/>
                <w:noProof/>
                <w:spacing w:val="-8"/>
                <w:sz w:val="20"/>
                <w:szCs w:val="20"/>
              </w:rPr>
            </w:pPr>
            <w:r>
              <w:rPr>
                <w:noProof/>
                <w:spacing w:val="-8"/>
                <w:sz w:val="20"/>
              </w:rPr>
              <w:t>À l’exception de l’ensemble des prescriptions relatives au système de diagnostic embarqué et à l’accès aux informations.</w:t>
            </w:r>
          </w:p>
        </w:tc>
      </w:tr>
      <w:tr>
        <w:trPr>
          <w:tblCellSpacing w:w="0" w:type="dxa"/>
        </w:trPr>
        <w:tc>
          <w:tcPr>
            <w:tcW w:w="742" w:type="dxa"/>
            <w:vMerge/>
            <w:tcBorders>
              <w:left w:val="outset" w:sz="6" w:space="0" w:color="auto"/>
              <w:bottom w:val="outset" w:sz="6" w:space="0" w:color="auto"/>
              <w:right w:val="outset" w:sz="6" w:space="0" w:color="auto"/>
            </w:tcBorders>
          </w:tcPr>
          <w:p>
            <w:pPr>
              <w:spacing w:before="60" w:after="60"/>
              <w:jc w:val="center"/>
              <w:rPr>
                <w:rFonts w:eastAsia="Arial Unicode MS"/>
                <w:noProof/>
                <w:spacing w:val="-8"/>
                <w:sz w:val="20"/>
                <w:szCs w:val="20"/>
              </w:rPr>
            </w:pPr>
          </w:p>
        </w:tc>
        <w:tc>
          <w:tcPr>
            <w:tcW w:w="1805" w:type="dxa"/>
            <w:gridSpan w:val="3"/>
            <w:vMerge/>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p>
        </w:tc>
        <w:tc>
          <w:tcPr>
            <w:tcW w:w="1921" w:type="dxa"/>
            <w:gridSpan w:val="3"/>
            <w:vMerge/>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1452"/>
            </w:tblGrid>
            <w:tr>
              <w:trPr>
                <w:tblCellSpacing w:w="0" w:type="dxa"/>
              </w:trPr>
              <w:tc>
                <w:tcPr>
                  <w:tcW w:w="6" w:type="dxa"/>
                  <w:hideMark/>
                </w:tcPr>
                <w:p>
                  <w:pPr>
                    <w:spacing w:after="0"/>
                    <w:rPr>
                      <w:rFonts w:eastAsia="Times New Roman"/>
                      <w:noProof/>
                      <w:spacing w:val="-8"/>
                      <w:sz w:val="20"/>
                      <w:szCs w:val="20"/>
                    </w:rPr>
                  </w:pPr>
                </w:p>
              </w:tc>
              <w:tc>
                <w:tcPr>
                  <w:tcW w:w="1433" w:type="dxa"/>
                  <w:hideMark/>
                </w:tcPr>
                <w:p>
                  <w:pPr>
                    <w:spacing w:after="0"/>
                    <w:rPr>
                      <w:rFonts w:eastAsia="Times New Roman"/>
                      <w:noProof/>
                      <w:spacing w:val="-8"/>
                      <w:sz w:val="20"/>
                      <w:szCs w:val="20"/>
                    </w:rPr>
                  </w:pPr>
                  <w:r>
                    <w:rPr>
                      <w:noProof/>
                      <w:spacing w:val="-8"/>
                      <w:sz w:val="20"/>
                    </w:rPr>
                    <w:t>Mesure de la puissance</w:t>
                  </w:r>
                </w:p>
              </w:tc>
            </w:tr>
          </w:tbl>
          <w:p>
            <w:pPr>
              <w:spacing w:after="0"/>
              <w:rPr>
                <w:rFonts w:eastAsia="Times New Roman"/>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i/>
                <w:noProof/>
                <w:spacing w:val="-8"/>
                <w:sz w:val="20"/>
              </w:rPr>
              <w:t>(Lorsque le constructeur du véhicule utilise un moteur d’un autre constructeur)</w:t>
            </w:r>
            <w:r>
              <w:rPr>
                <w:noProof/>
                <w:spacing w:val="-8"/>
                <w:sz w:val="20"/>
              </w:rPr>
              <w:t xml:space="preserve"> </w:t>
            </w:r>
          </w:p>
          <w:p>
            <w:pPr>
              <w:spacing w:before="60" w:after="60"/>
              <w:rPr>
                <w:rFonts w:eastAsia="Times New Roman"/>
                <w:noProof/>
                <w:spacing w:val="-8"/>
                <w:sz w:val="20"/>
                <w:szCs w:val="20"/>
              </w:rPr>
            </w:pPr>
            <w:r>
              <w:rPr>
                <w:noProof/>
                <w:spacing w:val="-8"/>
                <w:sz w:val="20"/>
              </w:rPr>
              <w:t xml:space="preserve">Les données sur les essais au banc réalisés par le constructeur du moteur sont </w:t>
            </w:r>
            <w:r>
              <w:rPr>
                <w:noProof/>
                <w:spacing w:val="-8"/>
                <w:sz w:val="20"/>
              </w:rPr>
              <w:lastRenderedPageBreak/>
              <w:t>acceptées, à condition que le système de gestion du moteur soit identique (c’est-à-dire ait au moins la même unité ECU).</w:t>
            </w:r>
          </w:p>
          <w:p>
            <w:pPr>
              <w:spacing w:before="60" w:after="60"/>
              <w:rPr>
                <w:rFonts w:eastAsia="Times New Roman"/>
                <w:noProof/>
                <w:spacing w:val="-8"/>
                <w:sz w:val="20"/>
                <w:szCs w:val="20"/>
              </w:rPr>
            </w:pPr>
            <w:r>
              <w:rPr>
                <w:noProof/>
                <w:spacing w:val="-8"/>
                <w:sz w:val="20"/>
              </w:rPr>
              <w:t xml:space="preserve">Les essais sur la puissance de sortie peuvent être effectués sur un banc dynamométrique. La perte de puissance dans la transmission doit être prise en compte. </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44A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Masses et dimensions</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p>
            <w:pPr>
              <w:spacing w:before="60" w:after="60"/>
              <w:rPr>
                <w:rFonts w:eastAsia="Arial Unicode MS"/>
                <w:noProof/>
                <w:spacing w:val="-8"/>
                <w:sz w:val="20"/>
                <w:szCs w:val="20"/>
              </w:rPr>
            </w:pPr>
            <w:r>
              <w:rPr>
                <w:noProof/>
                <w:spacing w:val="-8"/>
                <w:sz w:val="20"/>
              </w:rPr>
              <w:t>À la demande du constructeur, il peut être dérogé à l’essai de démarrage en côte à la masse maximale de l’ensemble décrit au point 5.1 de la partie A de l’annexe I du règlement (UE) n</w:t>
            </w:r>
            <w:r>
              <w:rPr>
                <w:noProof/>
                <w:spacing w:val="-8"/>
                <w:sz w:val="20"/>
                <w:vertAlign w:val="superscript"/>
              </w:rPr>
              <w:t>o</w:t>
            </w:r>
            <w:r>
              <w:rPr>
                <w:noProof/>
                <w:spacing w:val="-8"/>
                <w:sz w:val="20"/>
              </w:rPr>
              <w:t> 1230/2012 .</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45A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Vitrages de sécurité et leur installation sur les véhicules</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43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Installation</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Pneumatiques</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92/23/CEE</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pacing w:val="-8"/>
                <w:sz w:val="20"/>
                <w:szCs w:val="20"/>
              </w:rPr>
            </w:pPr>
            <w:r>
              <w:rPr>
                <w:noProof/>
                <w:spacing w:val="-8"/>
                <w:sz w:val="20"/>
              </w:rPr>
              <w:t>46A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Montage des pneumatiques</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458/2011</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B</w:t>
            </w:r>
          </w:p>
          <w:p>
            <w:pPr>
              <w:spacing w:before="60" w:after="0"/>
              <w:rPr>
                <w:rFonts w:eastAsia="Arial Unicode MS"/>
                <w:noProof/>
                <w:spacing w:val="-8"/>
                <w:sz w:val="20"/>
                <w:szCs w:val="20"/>
              </w:rPr>
            </w:pPr>
            <w:r>
              <w:rPr>
                <w:noProof/>
                <w:spacing w:val="-8"/>
                <w:sz w:val="20"/>
              </w:rPr>
              <w:t>Les dates d’application progressive sont celles énoncées à l’article 13 du règlement (CE) n</w:t>
            </w:r>
            <w:r>
              <w:rPr>
                <w:noProof/>
                <w:spacing w:val="-8"/>
                <w:sz w:val="20"/>
                <w:vertAlign w:val="superscript"/>
              </w:rPr>
              <w:t>o</w:t>
            </w:r>
            <w:r>
              <w:rPr>
                <w:noProof/>
                <w:spacing w:val="-8"/>
                <w:sz w:val="20"/>
              </w:rPr>
              <w:t> 661/2009.</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pacing w:val="-8"/>
                <w:sz w:val="20"/>
                <w:szCs w:val="20"/>
              </w:rPr>
            </w:pPr>
            <w:r>
              <w:rPr>
                <w:noProof/>
                <w:spacing w:val="-8"/>
                <w:sz w:val="20"/>
              </w:rPr>
              <w:t>46B</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Pneumatiques pour les véhicules à moteur et leurs remorques (classe C1)</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30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pacing w:val="-8"/>
                <w:sz w:val="20"/>
                <w:szCs w:val="20"/>
              </w:rPr>
            </w:pPr>
            <w:r>
              <w:rPr>
                <w:noProof/>
                <w:spacing w:val="-8"/>
                <w:sz w:val="20"/>
              </w:rPr>
              <w:t>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X</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pacing w:val="-8"/>
                <w:sz w:val="20"/>
                <w:szCs w:val="20"/>
              </w:rPr>
            </w:pPr>
            <w:r>
              <w:rPr>
                <w:noProof/>
                <w:spacing w:val="-8"/>
                <w:sz w:val="20"/>
              </w:rPr>
              <w:t>46D</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Émissions sonores de roulement, adhérence sur sol mouillé et résistance au roulement (classes C1, C2 et C3)</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117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pacing w:val="-8"/>
                <w:sz w:val="20"/>
                <w:szCs w:val="20"/>
              </w:rPr>
            </w:pPr>
            <w:r>
              <w:rPr>
                <w:noProof/>
                <w:spacing w:val="-8"/>
                <w:sz w:val="20"/>
              </w:rPr>
              <w:t>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X</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pacing w:val="-8"/>
                <w:sz w:val="20"/>
                <w:szCs w:val="20"/>
              </w:rPr>
            </w:pPr>
            <w:r>
              <w:rPr>
                <w:noProof/>
                <w:spacing w:val="-8"/>
                <w:sz w:val="20"/>
              </w:rPr>
              <w:t>46E</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Équipement de secours à usage temporaire, pneumatiques/système pour roulage à plat et système de surveillance de la pression des pneumatiques</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64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pacing w:val="-8"/>
                <w:sz w:val="20"/>
                <w:szCs w:val="20"/>
              </w:rPr>
            </w:pPr>
            <w:r>
              <w:rPr>
                <w:noProof/>
                <w:spacing w:val="-8"/>
                <w:sz w:val="20"/>
              </w:rPr>
              <w:t>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X</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Installation d’un système de surveillance de la pression des pneumatiques (TPMS)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B</w:t>
            </w:r>
          </w:p>
          <w:p>
            <w:pPr>
              <w:spacing w:before="60" w:after="0"/>
              <w:rPr>
                <w:rFonts w:eastAsia="Arial Unicode MS"/>
                <w:noProof/>
                <w:spacing w:val="-8"/>
                <w:sz w:val="20"/>
                <w:szCs w:val="20"/>
              </w:rPr>
            </w:pPr>
            <w:r>
              <w:rPr>
                <w:noProof/>
                <w:spacing w:val="-8"/>
                <w:sz w:val="20"/>
              </w:rPr>
              <w:t>L’installation d’un système TPMS n’est pas requise.</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pacing w:val="-8"/>
                <w:sz w:val="20"/>
                <w:szCs w:val="20"/>
              </w:rPr>
            </w:pPr>
            <w:r>
              <w:rPr>
                <w:noProof/>
                <w:spacing w:val="-8"/>
                <w:sz w:val="20"/>
              </w:rPr>
              <w:t>50A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Pièces mécaniques d’attelage des ensembles de véhicules</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55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pacing w:val="-8"/>
                <w:sz w:val="20"/>
                <w:szCs w:val="20"/>
              </w:rPr>
            </w:pPr>
            <w:r>
              <w:rPr>
                <w:noProof/>
                <w:spacing w:val="-8"/>
                <w:sz w:val="20"/>
              </w:rPr>
              <w:t>a) 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X</w:t>
            </w: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pacing w:val="-8"/>
                <w:sz w:val="20"/>
                <w:szCs w:val="20"/>
              </w:rPr>
            </w:pPr>
            <w:r>
              <w:rPr>
                <w:noProof/>
                <w:spacing w:val="-8"/>
                <w:sz w:val="20"/>
              </w:rPr>
              <w:t>b) Installation</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B</w:t>
            </w:r>
          </w:p>
        </w:tc>
      </w:tr>
      <w:tr>
        <w:trPr>
          <w:tblCellSpacing w:w="0" w:type="dxa"/>
        </w:trPr>
        <w:tc>
          <w:tcPr>
            <w:tcW w:w="742"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pacing w:val="-8"/>
                <w:sz w:val="20"/>
                <w:szCs w:val="20"/>
              </w:rPr>
            </w:pPr>
            <w:r>
              <w:rPr>
                <w:noProof/>
                <w:spacing w:val="-8"/>
                <w:sz w:val="20"/>
              </w:rPr>
              <w:t>53A</w:t>
            </w:r>
          </w:p>
        </w:tc>
        <w:tc>
          <w:tcPr>
            <w:tcW w:w="1805" w:type="dxa"/>
            <w:gridSpan w:val="3"/>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Protection des occupants en cas de collision frontale</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 xml:space="preserve">94 de la </w:t>
            </w:r>
            <w:r>
              <w:rPr>
                <w:noProof/>
                <w:spacing w:val="-8"/>
                <w:sz w:val="20"/>
              </w:rPr>
              <w:lastRenderedPageBreak/>
              <w:t>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C</w:t>
            </w:r>
          </w:p>
          <w:p>
            <w:pPr>
              <w:spacing w:before="60" w:after="0"/>
              <w:rPr>
                <w:rFonts w:eastAsia="Arial Unicode MS"/>
                <w:noProof/>
                <w:spacing w:val="-8"/>
                <w:sz w:val="20"/>
                <w:szCs w:val="20"/>
              </w:rPr>
            </w:pPr>
            <w:r>
              <w:rPr>
                <w:noProof/>
                <w:spacing w:val="-8"/>
                <w:sz w:val="20"/>
              </w:rPr>
              <w:t>Les prescriptions du règlement n</w:t>
            </w:r>
            <w:r>
              <w:rPr>
                <w:noProof/>
                <w:spacing w:val="-8"/>
                <w:sz w:val="20"/>
                <w:vertAlign w:val="superscript"/>
              </w:rPr>
              <w:t>o</w:t>
            </w:r>
            <w:r>
              <w:rPr>
                <w:noProof/>
                <w:spacing w:val="-8"/>
                <w:sz w:val="20"/>
              </w:rPr>
              <w:t xml:space="preserve"> 94 de la CEE-ONU s’appliquent aux véhicules </w:t>
            </w:r>
            <w:r>
              <w:rPr>
                <w:noProof/>
                <w:spacing w:val="-8"/>
                <w:sz w:val="20"/>
              </w:rPr>
              <w:lastRenderedPageBreak/>
              <w:t>équipés d’airbags avant. Les véhicules non équipés d’airbags doivent satisfaire aux prescriptions de l’élément 14A de ce tableau.</w:t>
            </w:r>
          </w:p>
        </w:tc>
      </w:tr>
      <w:tr>
        <w:trPr>
          <w:tblCellSpacing w:w="0" w:type="dxa"/>
        </w:trPr>
        <w:tc>
          <w:tcPr>
            <w:tcW w:w="7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54A</w:t>
            </w:r>
          </w:p>
        </w:tc>
        <w:tc>
          <w:tcPr>
            <w:tcW w:w="1805"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Protection des occupants en cas de collision latérale</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95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C</w:t>
            </w:r>
          </w:p>
          <w:p>
            <w:pPr>
              <w:spacing w:before="60" w:after="0"/>
              <w:rPr>
                <w:rFonts w:eastAsia="Arial Unicode MS"/>
                <w:noProof/>
                <w:spacing w:val="-8"/>
                <w:sz w:val="20"/>
                <w:szCs w:val="20"/>
              </w:rPr>
            </w:pPr>
          </w:p>
        </w:tc>
      </w:tr>
      <w:tr>
        <w:trPr>
          <w:tblCellSpacing w:w="0" w:type="dxa"/>
        </w:trPr>
        <w:tc>
          <w:tcPr>
            <w:tcW w:w="742"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805"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Essai avec fausse tête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Le fabricant devra fournir au service technique les informations appropriées concernant un éventuel impact de la tête du mannequin contre la structure du véhicule ou le vitrage latéral, s’il est composé de verre feuilleté.</w:t>
            </w:r>
          </w:p>
          <w:p>
            <w:pPr>
              <w:spacing w:before="60" w:after="0"/>
              <w:rPr>
                <w:rFonts w:eastAsia="Arial Unicode MS"/>
                <w:noProof/>
                <w:spacing w:val="-8"/>
                <w:sz w:val="20"/>
                <w:szCs w:val="20"/>
              </w:rPr>
            </w:pPr>
            <w:r>
              <w:rPr>
                <w:noProof/>
                <w:spacing w:val="-8"/>
                <w:sz w:val="20"/>
              </w:rPr>
              <w:t>Lorsqu’il est prouvé que cet impact risque de se produire, l’essai partiel avec la tête du mannequin décrit au paragraphe 3.1 de l’annexe 8 du règlement n</w:t>
            </w:r>
            <w:r>
              <w:rPr>
                <w:noProof/>
                <w:spacing w:val="-8"/>
                <w:sz w:val="20"/>
                <w:vertAlign w:val="superscript"/>
              </w:rPr>
              <w:t>o</w:t>
            </w:r>
            <w:r>
              <w:rPr>
                <w:noProof/>
                <w:spacing w:val="-8"/>
                <w:sz w:val="20"/>
              </w:rPr>
              <w:t> 95 de la CEE-ONU doit être effectué et le critère spécifié au paragraphe 5.2.1.1 du règlement n</w:t>
            </w:r>
            <w:r>
              <w:rPr>
                <w:noProof/>
                <w:spacing w:val="-8"/>
                <w:sz w:val="20"/>
                <w:vertAlign w:val="superscript"/>
              </w:rPr>
              <w:t>o</w:t>
            </w:r>
            <w:r>
              <w:rPr>
                <w:noProof/>
                <w:spacing w:val="-8"/>
                <w:sz w:val="20"/>
              </w:rPr>
              <w:t> 95 de la CEE-ONU doit être rempli.</w:t>
            </w:r>
          </w:p>
          <w:p>
            <w:pPr>
              <w:spacing w:before="60" w:after="0"/>
              <w:rPr>
                <w:rFonts w:eastAsia="Arial Unicode MS"/>
                <w:noProof/>
                <w:spacing w:val="-8"/>
                <w:sz w:val="20"/>
                <w:szCs w:val="20"/>
              </w:rPr>
            </w:pPr>
            <w:r>
              <w:rPr>
                <w:noProof/>
                <w:spacing w:val="-8"/>
                <w:sz w:val="20"/>
              </w:rPr>
              <w:t>Avec l’accord du service technique, la procédure d’essai décrite à l’annexe 4 du règlement n</w:t>
            </w:r>
            <w:r>
              <w:rPr>
                <w:noProof/>
                <w:spacing w:val="-8"/>
                <w:sz w:val="20"/>
                <w:vertAlign w:val="superscript"/>
              </w:rPr>
              <w:t>o</w:t>
            </w:r>
            <w:r>
              <w:rPr>
                <w:noProof/>
                <w:spacing w:val="-8"/>
                <w:sz w:val="20"/>
              </w:rPr>
              <w:t> 21 de la CEE-ONU peut être utilisée à la place de l’essai du règlement n</w:t>
            </w:r>
            <w:r>
              <w:rPr>
                <w:noProof/>
                <w:spacing w:val="-8"/>
                <w:sz w:val="20"/>
                <w:vertAlign w:val="superscript"/>
              </w:rPr>
              <w:t>o</w:t>
            </w:r>
            <w:r>
              <w:rPr>
                <w:noProof/>
                <w:spacing w:val="-8"/>
                <w:sz w:val="20"/>
              </w:rPr>
              <w:t xml:space="preserve"> 95 de la CEE-ONU. </w:t>
            </w:r>
          </w:p>
        </w:tc>
      </w:tr>
      <w:tr>
        <w:trPr>
          <w:tblCellSpacing w:w="0" w:type="dxa"/>
        </w:trPr>
        <w:tc>
          <w:tcPr>
            <w:tcW w:w="750" w:type="dxa"/>
            <w:gridSpan w:val="2"/>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58</w:t>
            </w:r>
          </w:p>
        </w:tc>
        <w:tc>
          <w:tcPr>
            <w:tcW w:w="179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Protection des piétons</w:t>
            </w:r>
          </w:p>
        </w:tc>
        <w:tc>
          <w:tcPr>
            <w:tcW w:w="1921" w:type="dxa"/>
            <w:gridSpan w:val="3"/>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78/2009</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pacing w:val="-8"/>
                <w:sz w:val="20"/>
                <w:szCs w:val="20"/>
              </w:rPr>
            </w:pPr>
            <w:r>
              <w:rPr>
                <w:noProof/>
                <w:spacing w:val="-8"/>
                <w:sz w:val="20"/>
              </w:rPr>
              <w:t>a) Prescriptions techniques applicables au véhicule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Sans objet</w:t>
            </w:r>
          </w:p>
        </w:tc>
      </w:tr>
      <w:tr>
        <w:trPr>
          <w:tblCellSpacing w:w="0" w:type="dxa"/>
        </w:trPr>
        <w:tc>
          <w:tcPr>
            <w:tcW w:w="750" w:type="dxa"/>
            <w:gridSpan w:val="2"/>
            <w:vMerge/>
            <w:tcBorders>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p>
        </w:tc>
        <w:tc>
          <w:tcPr>
            <w:tcW w:w="179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p>
        </w:tc>
        <w:tc>
          <w:tcPr>
            <w:tcW w:w="1921" w:type="dxa"/>
            <w:gridSpan w:val="3"/>
            <w:vMerge/>
            <w:tcBorders>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pacing w:val="-8"/>
                <w:sz w:val="20"/>
                <w:szCs w:val="20"/>
              </w:rPr>
            </w:pPr>
            <w:r>
              <w:rPr>
                <w:noProof/>
                <w:spacing w:val="-8"/>
                <w:sz w:val="20"/>
              </w:rPr>
              <w:t>b) Systèmes de protection frontale</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X</w:t>
            </w:r>
          </w:p>
        </w:tc>
      </w:tr>
      <w:tr>
        <w:trPr>
          <w:tblCellSpacing w:w="0" w:type="dxa"/>
        </w:trPr>
        <w:tc>
          <w:tcPr>
            <w:tcW w:w="750"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59</w:t>
            </w:r>
          </w:p>
        </w:tc>
        <w:tc>
          <w:tcPr>
            <w:tcW w:w="179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Recyclabilité</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Directive 2005/64/CE</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Sans objet - Seul l’article 7 sur la réutilisation des composants s’applique.</w:t>
            </w:r>
          </w:p>
        </w:tc>
      </w:tr>
      <w:tr>
        <w:trPr>
          <w:tblCellSpacing w:w="0" w:type="dxa"/>
        </w:trPr>
        <w:tc>
          <w:tcPr>
            <w:tcW w:w="750"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61</w:t>
            </w:r>
          </w:p>
        </w:tc>
        <w:tc>
          <w:tcPr>
            <w:tcW w:w="179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Systèmes de climatisation</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2006/40/CE</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p>
            <w:pPr>
              <w:spacing w:before="60" w:after="60"/>
              <w:rPr>
                <w:rFonts w:eastAsia="Arial Unicode MS"/>
                <w:noProof/>
                <w:spacing w:val="-8"/>
                <w:sz w:val="20"/>
                <w:szCs w:val="20"/>
              </w:rPr>
            </w:pPr>
            <w:r>
              <w:rPr>
                <w:noProof/>
                <w:spacing w:val="-8"/>
                <w:sz w:val="20"/>
              </w:rPr>
              <w:t>Les gaz à effet de serre fluorés dont le potentiel de réchauffement planétaire est supérieur à 150 sont autorisés jusqu’au 31 décembre 2016.</w:t>
            </w:r>
          </w:p>
        </w:tc>
      </w:tr>
      <w:tr>
        <w:trPr>
          <w:tblCellSpacing w:w="0" w:type="dxa"/>
        </w:trPr>
        <w:tc>
          <w:tcPr>
            <w:tcW w:w="750"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62</w:t>
            </w:r>
          </w:p>
        </w:tc>
        <w:tc>
          <w:tcPr>
            <w:tcW w:w="179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Système hydrogène</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79/2009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50"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63</w:t>
            </w:r>
          </w:p>
        </w:tc>
        <w:tc>
          <w:tcPr>
            <w:tcW w:w="179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Sécurité générale</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Voir la note explicative (</w:t>
            </w:r>
            <w:r>
              <w:rPr>
                <w:noProof/>
                <w:spacing w:val="-8"/>
                <w:sz w:val="20"/>
                <w:vertAlign w:val="superscript"/>
              </w:rPr>
              <w:t>15</w:t>
            </w:r>
            <w:r>
              <w:rPr>
                <w:noProof/>
                <w:spacing w:val="-8"/>
                <w:sz w:val="20"/>
              </w:rPr>
              <w:t>) du tableau figurant dans la partie I de l’annexe IV, qui énumère les actes réglementaires applicables aux fins de la réception UE par type des véhicules produits en séries illimitées.</w:t>
            </w:r>
          </w:p>
        </w:tc>
      </w:tr>
      <w:tr>
        <w:trPr>
          <w:tblCellSpacing w:w="0" w:type="dxa"/>
        </w:trPr>
        <w:tc>
          <w:tcPr>
            <w:tcW w:w="750"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64</w:t>
            </w:r>
          </w:p>
        </w:tc>
        <w:tc>
          <w:tcPr>
            <w:tcW w:w="179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 xml:space="preserve">Indicateurs de </w:t>
            </w:r>
            <w:r>
              <w:rPr>
                <w:noProof/>
                <w:spacing w:val="-8"/>
                <w:sz w:val="20"/>
              </w:rPr>
              <w:lastRenderedPageBreak/>
              <w:t>changement de vitesse</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lastRenderedPageBreak/>
              <w:t xml:space="preserve">Règlement (CE) </w:t>
            </w:r>
            <w:r>
              <w:rPr>
                <w:noProof/>
                <w:spacing w:val="-8"/>
                <w:sz w:val="20"/>
              </w:rPr>
              <w:lastRenderedPageBreak/>
              <w:t>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65/2012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Sans objet</w:t>
            </w:r>
          </w:p>
        </w:tc>
      </w:tr>
      <w:tr>
        <w:trPr>
          <w:tblCellSpacing w:w="0" w:type="dxa"/>
        </w:trPr>
        <w:tc>
          <w:tcPr>
            <w:tcW w:w="750"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67</w:t>
            </w:r>
          </w:p>
        </w:tc>
        <w:tc>
          <w:tcPr>
            <w:tcW w:w="179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Organes spéciaux pour l’alimentation des moteurs au gaz de pétrole liquéfié (GPL) et leur installation sur les véhicules à moteur</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67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pacing w:val="-8"/>
                <w:sz w:val="20"/>
                <w:szCs w:val="20"/>
              </w:rPr>
            </w:pPr>
            <w:r>
              <w:rPr>
                <w:noProof/>
                <w:spacing w:val="-8"/>
                <w:sz w:val="20"/>
              </w:rPr>
              <w:t>a) 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5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79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pacing w:val="-8"/>
                <w:sz w:val="20"/>
                <w:szCs w:val="20"/>
              </w:rPr>
            </w:pPr>
            <w:r>
              <w:rPr>
                <w:noProof/>
                <w:spacing w:val="-8"/>
                <w:sz w:val="20"/>
              </w:rPr>
              <w:t>b) Installation</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750"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68</w:t>
            </w:r>
          </w:p>
        </w:tc>
        <w:tc>
          <w:tcPr>
            <w:tcW w:w="179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Systèmes d’alarme pour véhicules (SAV)</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97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pacing w:val="-8"/>
                <w:sz w:val="20"/>
                <w:szCs w:val="20"/>
              </w:rPr>
            </w:pPr>
            <w:r>
              <w:rPr>
                <w:noProof/>
                <w:spacing w:val="-8"/>
                <w:sz w:val="20"/>
              </w:rPr>
              <w:t>a) 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5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79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pacing w:val="-8"/>
                <w:sz w:val="20"/>
                <w:szCs w:val="20"/>
              </w:rPr>
            </w:pPr>
            <w:r>
              <w:rPr>
                <w:noProof/>
                <w:spacing w:val="-8"/>
                <w:sz w:val="20"/>
              </w:rPr>
              <w:t>b) Installation</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50"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69</w:t>
            </w:r>
          </w:p>
        </w:tc>
        <w:tc>
          <w:tcPr>
            <w:tcW w:w="179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Sécurité électrique</w:t>
            </w:r>
          </w:p>
        </w:tc>
        <w:tc>
          <w:tcPr>
            <w:tcW w:w="1921" w:type="dxa"/>
            <w:gridSpan w:val="3"/>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100 de la CEE-ONU</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50"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70</w:t>
            </w:r>
          </w:p>
        </w:tc>
        <w:tc>
          <w:tcPr>
            <w:tcW w:w="179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Organes spéciaux pour l’alimentation des moteurs au GNC et leur installation sur les véhicules à moteur</w:t>
            </w:r>
          </w:p>
        </w:tc>
        <w:tc>
          <w:tcPr>
            <w:tcW w:w="1921" w:type="dxa"/>
            <w:gridSpan w:val="3"/>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110 de la CEE-ONU</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pacing w:val="-8"/>
                <w:sz w:val="20"/>
                <w:szCs w:val="20"/>
              </w:rPr>
            </w:pPr>
            <w:r>
              <w:rPr>
                <w:noProof/>
                <w:spacing w:val="-8"/>
                <w:sz w:val="20"/>
              </w:rPr>
              <w:t>a) Composants</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5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179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921" w:type="dxa"/>
            <w:gridSpan w:val="3"/>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pacing w:val="-8"/>
                <w:sz w:val="20"/>
                <w:szCs w:val="20"/>
              </w:rPr>
            </w:pPr>
            <w:r>
              <w:rPr>
                <w:noProof/>
                <w:spacing w:val="-8"/>
                <w:sz w:val="20"/>
              </w:rPr>
              <w:t>b) Installation</w:t>
            </w:r>
          </w:p>
        </w:tc>
        <w:tc>
          <w:tcPr>
            <w:tcW w:w="32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bl>
    <w:p>
      <w:pPr>
        <w:spacing w:before="100" w:beforeAutospacing="1" w:after="100" w:afterAutospacing="1"/>
        <w:ind w:hanging="480"/>
        <w:rPr>
          <w:rFonts w:eastAsia="Arial Unicode MS"/>
          <w:noProof/>
          <w:spacing w:val="-8"/>
          <w:szCs w:val="24"/>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4"/>
        <w:gridCol w:w="8740"/>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pacing w:val="-8"/>
                <w:sz w:val="18"/>
                <w:szCs w:val="18"/>
              </w:rPr>
            </w:pPr>
            <w:r>
              <w:rPr>
                <w:b/>
                <w:noProof/>
                <w:spacing w:val="-8"/>
                <w:sz w:val="18"/>
                <w:szCs w:val="18"/>
              </w:rPr>
              <w:t xml:space="preserve">Notes explicatives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pacing w:val="-8"/>
                <w:sz w:val="18"/>
                <w:szCs w:val="18"/>
              </w:rPr>
            </w:pPr>
            <w:r>
              <w:rPr>
                <w:noProof/>
                <w:spacing w:val="-8"/>
                <w:sz w:val="18"/>
                <w:szCs w:val="18"/>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pacing w:val="-8"/>
                <w:sz w:val="18"/>
                <w:szCs w:val="18"/>
              </w:rPr>
            </w:pPr>
            <w:r>
              <w:rPr>
                <w:noProof/>
                <w:spacing w:val="-8"/>
                <w:sz w:val="18"/>
                <w:szCs w:val="18"/>
              </w:rPr>
              <w:t>Application intégrale de l’acte réglementaire comme suit:</w:t>
            </w:r>
          </w:p>
          <w:p>
            <w:pPr>
              <w:ind w:left="398" w:hanging="398"/>
              <w:rPr>
                <w:rFonts w:eastAsia="Arial Unicode MS"/>
                <w:noProof/>
                <w:spacing w:val="-8"/>
                <w:sz w:val="18"/>
                <w:szCs w:val="18"/>
              </w:rPr>
            </w:pPr>
            <w:r>
              <w:rPr>
                <w:noProof/>
                <w:spacing w:val="-8"/>
                <w:sz w:val="18"/>
                <w:szCs w:val="18"/>
              </w:rPr>
              <w:t>a)</w:t>
            </w:r>
            <w:r>
              <w:rPr>
                <w:noProof/>
                <w:spacing w:val="-8"/>
                <w:sz w:val="18"/>
                <w:szCs w:val="18"/>
              </w:rPr>
              <w:tab/>
              <w:t>une fiche de réception doit être délivrée;</w:t>
            </w:r>
          </w:p>
          <w:p>
            <w:pPr>
              <w:ind w:left="398" w:hanging="398"/>
              <w:rPr>
                <w:rFonts w:eastAsia="Arial Unicode MS"/>
                <w:noProof/>
                <w:spacing w:val="-8"/>
                <w:sz w:val="18"/>
                <w:szCs w:val="18"/>
              </w:rPr>
            </w:pPr>
            <w:r>
              <w:rPr>
                <w:noProof/>
                <w:spacing w:val="-8"/>
                <w:sz w:val="18"/>
                <w:szCs w:val="18"/>
              </w:rPr>
              <w:t>b)</w:t>
            </w:r>
            <w:r>
              <w:rPr>
                <w:noProof/>
                <w:spacing w:val="-8"/>
                <w:sz w:val="18"/>
                <w:szCs w:val="18"/>
              </w:rPr>
              <w:tab/>
              <w:t>les essais et contrôles doivent être réalisés par le service technique ou le constructeur, dans les conditions fixées aux articles 71 à 85;</w:t>
            </w:r>
          </w:p>
          <w:p>
            <w:pPr>
              <w:ind w:left="398" w:hanging="398"/>
              <w:rPr>
                <w:rFonts w:eastAsia="Arial Unicode MS"/>
                <w:noProof/>
                <w:spacing w:val="-8"/>
                <w:sz w:val="18"/>
                <w:szCs w:val="18"/>
              </w:rPr>
            </w:pPr>
            <w:r>
              <w:rPr>
                <w:noProof/>
                <w:spacing w:val="-8"/>
                <w:sz w:val="18"/>
                <w:szCs w:val="18"/>
              </w:rPr>
              <w:t>c)</w:t>
            </w:r>
            <w:r>
              <w:rPr>
                <w:noProof/>
                <w:spacing w:val="-8"/>
                <w:sz w:val="18"/>
                <w:szCs w:val="18"/>
              </w:rPr>
              <w:tab/>
              <w:t>un rapport d’essais est rédigé conformément aux dispositions de l’annexe V;</w:t>
            </w:r>
          </w:p>
          <w:p>
            <w:pPr>
              <w:ind w:left="397" w:hanging="397"/>
              <w:rPr>
                <w:rFonts w:eastAsia="Arial Unicode MS"/>
                <w:noProof/>
                <w:spacing w:val="-8"/>
                <w:sz w:val="18"/>
                <w:szCs w:val="18"/>
              </w:rPr>
            </w:pPr>
            <w:r>
              <w:rPr>
                <w:noProof/>
                <w:spacing w:val="-8"/>
                <w:sz w:val="18"/>
                <w:szCs w:val="18"/>
              </w:rPr>
              <w:t>d)</w:t>
            </w:r>
            <w:r>
              <w:rPr>
                <w:noProof/>
                <w:spacing w:val="-8"/>
                <w:sz w:val="18"/>
                <w:szCs w:val="18"/>
              </w:rPr>
              <w:tab/>
              <w:t>la conformité de la production (COP) doit être assurée.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pacing w:val="-8"/>
                <w:sz w:val="18"/>
                <w:szCs w:val="18"/>
              </w:rPr>
            </w:pPr>
            <w:r>
              <w:rPr>
                <w:noProof/>
                <w:spacing w:val="-8"/>
                <w:sz w:val="18"/>
                <w:szCs w:val="18"/>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pacing w:val="-8"/>
                <w:sz w:val="18"/>
                <w:szCs w:val="18"/>
              </w:rPr>
            </w:pPr>
            <w:r>
              <w:rPr>
                <w:noProof/>
                <w:spacing w:val="-8"/>
                <w:sz w:val="18"/>
                <w:szCs w:val="18"/>
              </w:rPr>
              <w:t>Application de l’acte réglementaire comme suit:</w:t>
            </w:r>
          </w:p>
          <w:p>
            <w:pPr>
              <w:ind w:left="398" w:hanging="398"/>
              <w:rPr>
                <w:rFonts w:eastAsia="Arial Unicode MS"/>
                <w:noProof/>
                <w:spacing w:val="-8"/>
                <w:sz w:val="18"/>
                <w:szCs w:val="18"/>
              </w:rPr>
            </w:pPr>
            <w:r>
              <w:rPr>
                <w:noProof/>
                <w:spacing w:val="-8"/>
                <w:sz w:val="18"/>
                <w:szCs w:val="18"/>
              </w:rPr>
              <w:t>a)</w:t>
            </w:r>
            <w:r>
              <w:rPr>
                <w:noProof/>
                <w:spacing w:val="-8"/>
                <w:sz w:val="18"/>
                <w:szCs w:val="18"/>
              </w:rPr>
              <w:tab/>
              <w:t>toutes les prescriptions de l’acte réglementaire doivent être respectées, sauf indication contraire;</w:t>
            </w:r>
          </w:p>
          <w:p>
            <w:pPr>
              <w:ind w:left="398" w:hanging="398"/>
              <w:rPr>
                <w:rFonts w:eastAsia="Arial Unicode MS"/>
                <w:noProof/>
                <w:spacing w:val="-8"/>
                <w:sz w:val="18"/>
                <w:szCs w:val="18"/>
              </w:rPr>
            </w:pPr>
            <w:r>
              <w:rPr>
                <w:noProof/>
                <w:spacing w:val="-8"/>
                <w:sz w:val="18"/>
                <w:szCs w:val="18"/>
              </w:rPr>
              <w:t>b)</w:t>
            </w:r>
            <w:r>
              <w:rPr>
                <w:noProof/>
                <w:spacing w:val="-8"/>
                <w:sz w:val="18"/>
                <w:szCs w:val="18"/>
              </w:rPr>
              <w:tab/>
              <w:t>aucune fiche de réception par type n’est requise;</w:t>
            </w:r>
          </w:p>
          <w:p>
            <w:pPr>
              <w:ind w:left="398" w:hanging="398"/>
              <w:rPr>
                <w:rFonts w:eastAsia="Arial Unicode MS"/>
                <w:noProof/>
                <w:spacing w:val="-8"/>
                <w:sz w:val="18"/>
                <w:szCs w:val="18"/>
              </w:rPr>
            </w:pPr>
            <w:r>
              <w:rPr>
                <w:noProof/>
                <w:spacing w:val="-8"/>
                <w:sz w:val="18"/>
                <w:szCs w:val="18"/>
              </w:rPr>
              <w:t>c)</w:t>
            </w:r>
            <w:r>
              <w:rPr>
                <w:noProof/>
                <w:spacing w:val="-8"/>
                <w:sz w:val="18"/>
                <w:szCs w:val="18"/>
              </w:rPr>
              <w:tab/>
              <w:t>les essais et contrôles doivent être réalisés par le service technique ou le constructeur, dans les conditions fixées aux articles 71 à 85;</w:t>
            </w:r>
          </w:p>
          <w:p>
            <w:pPr>
              <w:ind w:left="398" w:hanging="398"/>
              <w:rPr>
                <w:rFonts w:eastAsia="Arial Unicode MS"/>
                <w:noProof/>
                <w:spacing w:val="-8"/>
                <w:sz w:val="18"/>
                <w:szCs w:val="18"/>
              </w:rPr>
            </w:pPr>
            <w:r>
              <w:rPr>
                <w:noProof/>
                <w:spacing w:val="-8"/>
                <w:sz w:val="18"/>
                <w:szCs w:val="18"/>
              </w:rPr>
              <w:t>d)</w:t>
            </w:r>
            <w:r>
              <w:rPr>
                <w:noProof/>
                <w:spacing w:val="-8"/>
                <w:sz w:val="18"/>
                <w:szCs w:val="18"/>
              </w:rPr>
              <w:tab/>
              <w:t>un rapport d’essais doit être rédigé conformément aux dispositions de l’annexe V;</w:t>
            </w:r>
          </w:p>
          <w:p>
            <w:pPr>
              <w:spacing w:after="100" w:afterAutospacing="1"/>
              <w:ind w:left="398" w:hanging="398"/>
              <w:rPr>
                <w:rFonts w:eastAsia="Arial Unicode MS"/>
                <w:noProof/>
                <w:spacing w:val="-8"/>
                <w:sz w:val="18"/>
                <w:szCs w:val="18"/>
              </w:rPr>
            </w:pPr>
            <w:r>
              <w:rPr>
                <w:noProof/>
                <w:spacing w:val="-8"/>
                <w:sz w:val="18"/>
                <w:szCs w:val="18"/>
              </w:rPr>
              <w:t>e)</w:t>
            </w:r>
            <w:r>
              <w:rPr>
                <w:noProof/>
                <w:spacing w:val="-8"/>
                <w:sz w:val="18"/>
                <w:szCs w:val="18"/>
              </w:rPr>
              <w:tab/>
              <w:t>la COP doit être assurée.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pacing w:val="-8"/>
                <w:sz w:val="18"/>
                <w:szCs w:val="18"/>
              </w:rPr>
            </w:pPr>
            <w:r>
              <w:rPr>
                <w:noProof/>
                <w:spacing w:val="-8"/>
                <w:sz w:val="18"/>
                <w:szCs w:val="18"/>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pacing w:val="-8"/>
                <w:sz w:val="18"/>
                <w:szCs w:val="18"/>
              </w:rPr>
            </w:pPr>
            <w:r>
              <w:rPr>
                <w:noProof/>
                <w:spacing w:val="-8"/>
                <w:sz w:val="18"/>
                <w:szCs w:val="18"/>
              </w:rPr>
              <w:t>Application de l’acte réglementaire comme suit:</w:t>
            </w:r>
          </w:p>
          <w:p>
            <w:pPr>
              <w:spacing w:after="100" w:afterAutospacing="1"/>
              <w:rPr>
                <w:rFonts w:eastAsia="Arial Unicode MS"/>
                <w:noProof/>
                <w:spacing w:val="-8"/>
                <w:sz w:val="18"/>
                <w:szCs w:val="18"/>
              </w:rPr>
            </w:pPr>
            <w:r>
              <w:rPr>
                <w:noProof/>
                <w:spacing w:val="-8"/>
                <w:sz w:val="18"/>
                <w:szCs w:val="18"/>
              </w:rPr>
              <w:t>Comme pour la lettre «A», sauf que le constructeur peut effectuer les essais et les contrôles lui-même, avec l’accord de l’autorité compétente en matière de réception.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pacing w:val="-8"/>
                <w:sz w:val="18"/>
                <w:szCs w:val="18"/>
              </w:rPr>
            </w:pPr>
            <w:r>
              <w:rPr>
                <w:noProof/>
                <w:spacing w:val="-8"/>
                <w:sz w:val="18"/>
                <w:szCs w:val="18"/>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pacing w:val="-8"/>
                <w:sz w:val="18"/>
                <w:szCs w:val="18"/>
              </w:rPr>
            </w:pPr>
            <w:r>
              <w:rPr>
                <w:noProof/>
                <w:spacing w:val="-8"/>
                <w:sz w:val="18"/>
                <w:szCs w:val="18"/>
              </w:rPr>
              <w:t>Application de l’acte réglementaire comme suit:</w:t>
            </w:r>
          </w:p>
          <w:p>
            <w:pPr>
              <w:ind w:left="398" w:hanging="398"/>
              <w:rPr>
                <w:rFonts w:eastAsia="Arial Unicode MS"/>
                <w:noProof/>
                <w:spacing w:val="-8"/>
                <w:sz w:val="18"/>
                <w:szCs w:val="18"/>
              </w:rPr>
            </w:pPr>
            <w:r>
              <w:rPr>
                <w:noProof/>
                <w:spacing w:val="-8"/>
                <w:sz w:val="18"/>
                <w:szCs w:val="18"/>
              </w:rPr>
              <w:t>a)</w:t>
            </w:r>
            <w:r>
              <w:rPr>
                <w:noProof/>
                <w:spacing w:val="-8"/>
                <w:sz w:val="18"/>
                <w:szCs w:val="18"/>
              </w:rPr>
              <w:tab/>
              <w:t xml:space="preserve">seules les prescriptions techniques de l’acte réglementaire doivent être respectées, indépendamment de toute disposition </w:t>
            </w:r>
            <w:r>
              <w:rPr>
                <w:noProof/>
                <w:spacing w:val="-8"/>
                <w:sz w:val="18"/>
                <w:szCs w:val="18"/>
              </w:rPr>
              <w:lastRenderedPageBreak/>
              <w:t>transitoire;</w:t>
            </w:r>
          </w:p>
          <w:p>
            <w:pPr>
              <w:ind w:left="398" w:hanging="398"/>
              <w:rPr>
                <w:rFonts w:eastAsia="Arial Unicode MS"/>
                <w:noProof/>
                <w:spacing w:val="-8"/>
                <w:sz w:val="18"/>
                <w:szCs w:val="18"/>
              </w:rPr>
            </w:pPr>
            <w:r>
              <w:rPr>
                <w:noProof/>
                <w:spacing w:val="-8"/>
                <w:sz w:val="18"/>
                <w:szCs w:val="18"/>
              </w:rPr>
              <w:t>b)</w:t>
            </w:r>
            <w:r>
              <w:rPr>
                <w:noProof/>
                <w:spacing w:val="-8"/>
                <w:sz w:val="18"/>
                <w:szCs w:val="18"/>
              </w:rPr>
              <w:tab/>
              <w:t>aucune fiche de réception par type n’est requise;</w:t>
            </w:r>
          </w:p>
          <w:p>
            <w:pPr>
              <w:ind w:left="398" w:hanging="398"/>
              <w:rPr>
                <w:rFonts w:eastAsia="Arial Unicode MS"/>
                <w:noProof/>
                <w:spacing w:val="-8"/>
                <w:sz w:val="18"/>
                <w:szCs w:val="18"/>
              </w:rPr>
            </w:pPr>
            <w:r>
              <w:rPr>
                <w:noProof/>
                <w:spacing w:val="-8"/>
                <w:sz w:val="18"/>
                <w:szCs w:val="18"/>
              </w:rPr>
              <w:t>c)</w:t>
            </w:r>
            <w:r>
              <w:rPr>
                <w:noProof/>
                <w:spacing w:val="-8"/>
                <w:sz w:val="18"/>
                <w:szCs w:val="18"/>
              </w:rPr>
              <w:tab/>
              <w:t>les essais et contrôles doivent être réalisés par le service technique ou par le constructeur (voir les décisions sous la lettre «B»);</w:t>
            </w:r>
          </w:p>
          <w:p>
            <w:pPr>
              <w:ind w:left="398" w:hanging="398"/>
              <w:rPr>
                <w:rFonts w:eastAsia="Arial Unicode MS"/>
                <w:noProof/>
                <w:spacing w:val="-8"/>
                <w:sz w:val="18"/>
                <w:szCs w:val="18"/>
              </w:rPr>
            </w:pPr>
            <w:r>
              <w:rPr>
                <w:noProof/>
                <w:spacing w:val="-8"/>
                <w:sz w:val="18"/>
                <w:szCs w:val="18"/>
              </w:rPr>
              <w:t>d)</w:t>
            </w:r>
            <w:r>
              <w:rPr>
                <w:noProof/>
                <w:spacing w:val="-8"/>
                <w:sz w:val="18"/>
                <w:szCs w:val="18"/>
              </w:rPr>
              <w:tab/>
              <w:t>un rapport d’essais doit être rédigé conformément aux dispositions de l’annexe V;</w:t>
            </w:r>
          </w:p>
          <w:p>
            <w:pPr>
              <w:spacing w:after="100" w:afterAutospacing="1"/>
              <w:ind w:left="398" w:hanging="398"/>
              <w:rPr>
                <w:rFonts w:eastAsia="Arial Unicode MS"/>
                <w:noProof/>
                <w:spacing w:val="-8"/>
                <w:sz w:val="18"/>
                <w:szCs w:val="18"/>
              </w:rPr>
            </w:pPr>
            <w:r>
              <w:rPr>
                <w:noProof/>
                <w:spacing w:val="-8"/>
                <w:sz w:val="18"/>
                <w:szCs w:val="18"/>
              </w:rPr>
              <w:t>e)</w:t>
            </w:r>
            <w:r>
              <w:rPr>
                <w:noProof/>
                <w:spacing w:val="-8"/>
                <w:sz w:val="18"/>
                <w:szCs w:val="18"/>
              </w:rPr>
              <w:tab/>
              <w:t>la COP doit être assurée.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pacing w:val="-8"/>
                <w:sz w:val="18"/>
                <w:szCs w:val="18"/>
              </w:rPr>
            </w:pPr>
            <w:r>
              <w:rPr>
                <w:noProof/>
                <w:spacing w:val="-8"/>
                <w:sz w:val="18"/>
                <w:szCs w:val="18"/>
              </w:rPr>
              <w:lastRenderedPageBreak/>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pacing w:val="-8"/>
                <w:sz w:val="18"/>
                <w:szCs w:val="18"/>
              </w:rPr>
            </w:pPr>
            <w:r>
              <w:rPr>
                <w:noProof/>
                <w:spacing w:val="-8"/>
                <w:sz w:val="18"/>
                <w:szCs w:val="18"/>
              </w:rPr>
              <w:t>Comme pour les décisions sous les lettres «B» et «C», à cette exception près qu’une déclaration de conformité soumise par le constructeur est suffisante. Aucun rapport d’essai n’est requis.</w:t>
            </w:r>
          </w:p>
          <w:p>
            <w:pPr>
              <w:spacing w:after="100" w:afterAutospacing="1"/>
              <w:rPr>
                <w:rFonts w:eastAsia="Arial Unicode MS"/>
                <w:noProof/>
                <w:spacing w:val="-8"/>
                <w:sz w:val="18"/>
                <w:szCs w:val="18"/>
              </w:rPr>
            </w:pPr>
            <w:r>
              <w:rPr>
                <w:noProof/>
                <w:spacing w:val="-8"/>
                <w:sz w:val="18"/>
                <w:szCs w:val="18"/>
              </w:rPr>
              <w:t>L’autorité compétente en matière de réception ou le service technique peut, le cas échéant, exiger des informations ou éléments de preuve supplémentaires.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pacing w:val="-8"/>
                <w:sz w:val="18"/>
                <w:szCs w:val="18"/>
              </w:rPr>
            </w:pPr>
            <w:r>
              <w:rPr>
                <w:noProof/>
                <w:spacing w:val="-8"/>
                <w:sz w:val="18"/>
                <w:szCs w:val="18"/>
              </w:rPr>
              <w:t>Sans objet</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pacing w:val="-8"/>
                <w:sz w:val="18"/>
                <w:szCs w:val="18"/>
              </w:rPr>
            </w:pPr>
            <w:r>
              <w:rPr>
                <w:noProof/>
                <w:spacing w:val="-8"/>
                <w:sz w:val="18"/>
                <w:szCs w:val="18"/>
              </w:rPr>
              <w:t>L’acte réglementaire ne s’applique pas. Le respect d’un ou plusieurs aspects spécifiques inclus dans l’acte réglementaire peut toutefois être imposé.</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pacing w:val="-8"/>
                <w:sz w:val="18"/>
                <w:szCs w:val="18"/>
              </w:rPr>
            </w:pPr>
            <w:r>
              <w:rPr>
                <w:noProof/>
                <w:spacing w:val="-8"/>
                <w:sz w:val="18"/>
                <w:szCs w:val="18"/>
              </w:rPr>
              <w:t>La série d’amendements des règlements de la CEE-ONU à utiliser figure à l’annexe IV du règlement (CE) n</w:t>
            </w:r>
            <w:r>
              <w:rPr>
                <w:noProof/>
                <w:spacing w:val="-8"/>
                <w:sz w:val="18"/>
                <w:szCs w:val="18"/>
                <w:vertAlign w:val="superscript"/>
              </w:rPr>
              <w:t>o</w:t>
            </w:r>
            <w:r>
              <w:rPr>
                <w:noProof/>
                <w:spacing w:val="-8"/>
                <w:sz w:val="18"/>
                <w:szCs w:val="18"/>
              </w:rPr>
              <w:t> 661/2009. Les séries d’amendements adoptées par la suite sont acceptées en leur lieu et place.</w:t>
            </w:r>
          </w:p>
        </w:tc>
      </w:tr>
    </w:tbl>
    <w:p>
      <w:pPr>
        <w:spacing w:before="100" w:beforeAutospacing="1" w:after="100" w:afterAutospacing="1"/>
        <w:jc w:val="center"/>
        <w:rPr>
          <w:rFonts w:eastAsia="Arial Unicode MS"/>
          <w:noProof/>
          <w:spacing w:val="-8"/>
          <w:szCs w:val="24"/>
        </w:rPr>
      </w:pPr>
    </w:p>
    <w:p>
      <w:pPr>
        <w:jc w:val="center"/>
        <w:rPr>
          <w:rFonts w:eastAsia="Arial Unicode MS"/>
          <w:bCs/>
          <w:noProof/>
          <w:spacing w:val="-8"/>
          <w:szCs w:val="24"/>
        </w:rPr>
      </w:pPr>
      <w:r>
        <w:rPr>
          <w:noProof/>
          <w:spacing w:val="-8"/>
        </w:rPr>
        <w:br w:type="page"/>
      </w:r>
      <w:r>
        <w:rPr>
          <w:i/>
          <w:noProof/>
          <w:spacing w:val="-8"/>
        </w:rPr>
        <w:lastRenderedPageBreak/>
        <w:t>Tableau 2</w:t>
      </w:r>
      <w:r>
        <w:rPr>
          <w:noProof/>
          <w:spacing w:val="-8"/>
        </w:rPr>
        <w:t xml:space="preserve"> </w:t>
      </w:r>
    </w:p>
    <w:p>
      <w:pPr>
        <w:spacing w:before="240" w:after="240"/>
        <w:jc w:val="center"/>
        <w:rPr>
          <w:rFonts w:eastAsia="Arial Unicode MS"/>
          <w:bCs/>
          <w:noProof/>
          <w:spacing w:val="-8"/>
          <w:szCs w:val="24"/>
        </w:rPr>
      </w:pPr>
      <w:r>
        <w:rPr>
          <w:b/>
          <w:noProof/>
          <w:spacing w:val="-8"/>
        </w:rPr>
        <w:t>Véhicules N</w:t>
      </w:r>
      <w:r>
        <w:rPr>
          <w:b/>
          <w:noProof/>
          <w:spacing w:val="-8"/>
          <w:vertAlign w:val="subscript"/>
        </w:rPr>
        <w:t>1</w:t>
      </w:r>
      <w:r>
        <w:rPr>
          <w:b/>
          <w:noProof/>
          <w:spacing w:val="-8"/>
        </w:rPr>
        <w:t xml:space="preserve"> </w:t>
      </w:r>
      <w:r>
        <w:rPr>
          <w:rStyle w:val="FootnoteReference"/>
          <w:b/>
          <w:noProof/>
          <w:spacing w:val="-8"/>
        </w:rPr>
        <w:footnoteReference w:id="27"/>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1680"/>
        <w:gridCol w:w="1792"/>
        <w:gridCol w:w="1663"/>
        <w:gridCol w:w="3408"/>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Élément</w:t>
            </w:r>
          </w:p>
        </w:tc>
        <w:tc>
          <w:tcPr>
            <w:tcW w:w="16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Objet</w:t>
            </w:r>
          </w:p>
        </w:tc>
        <w:tc>
          <w:tcPr>
            <w:tcW w:w="17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Acte réglementaire</w:t>
            </w: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Aspects spécifiques</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Applicabilité et prescriptions spécifiques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1A</w:t>
            </w:r>
          </w:p>
        </w:tc>
        <w:tc>
          <w:tcPr>
            <w:tcW w:w="168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Niveau sonore</w:t>
            </w:r>
          </w:p>
        </w:tc>
        <w:tc>
          <w:tcPr>
            <w:tcW w:w="179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540/2014</w:t>
            </w:r>
          </w:p>
        </w:tc>
        <w:tc>
          <w:tcPr>
            <w:tcW w:w="1663"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2</w:t>
            </w:r>
          </w:p>
        </w:tc>
        <w:tc>
          <w:tcPr>
            <w:tcW w:w="168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Émissions des véhicules légers (Euro 5 et 6) / accès aux informations</w:t>
            </w:r>
          </w:p>
        </w:tc>
        <w:tc>
          <w:tcPr>
            <w:tcW w:w="179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715/2007</w:t>
            </w:r>
          </w:p>
        </w:tc>
        <w:tc>
          <w:tcPr>
            <w:tcW w:w="1663"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pacing w:val="-8"/>
                <w:sz w:val="20"/>
                <w:szCs w:val="20"/>
              </w:rPr>
            </w:pPr>
          </w:p>
        </w:tc>
        <w:tc>
          <w:tcPr>
            <w:tcW w:w="1680"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792"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OBD</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 véhicule est équipé d’un système OBD qui satisfait aux prescriptions de l’article 4, paragraphes 1 et 2, du règlement (CE) n</w:t>
            </w:r>
            <w:r>
              <w:rPr>
                <w:noProof/>
                <w:spacing w:val="-8"/>
                <w:sz w:val="20"/>
                <w:vertAlign w:val="superscript"/>
              </w:rPr>
              <w:t>o</w:t>
            </w:r>
            <w:r>
              <w:rPr>
                <w:noProof/>
                <w:spacing w:val="-8"/>
                <w:sz w:val="20"/>
              </w:rPr>
              <w:t> 692/2008 (le système OBD doit être conçu pour enregistrer au moins le dysfonctionnement du système de gestion du moteur).</w:t>
            </w:r>
          </w:p>
          <w:p>
            <w:pPr>
              <w:spacing w:before="60" w:after="60"/>
              <w:rPr>
                <w:rFonts w:eastAsia="Arial Unicode MS"/>
                <w:noProof/>
                <w:spacing w:val="-8"/>
                <w:sz w:val="20"/>
                <w:szCs w:val="20"/>
              </w:rPr>
            </w:pPr>
            <w:r>
              <w:rPr>
                <w:noProof/>
                <w:spacing w:val="-8"/>
                <w:sz w:val="20"/>
              </w:rPr>
              <w:t>L’interface OBD doit être en mesure de communiquer avec les outils de diagnostic généralement disponibles.</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pacing w:val="-8"/>
                <w:sz w:val="20"/>
                <w:szCs w:val="20"/>
              </w:rPr>
            </w:pPr>
          </w:p>
        </w:tc>
        <w:tc>
          <w:tcPr>
            <w:tcW w:w="1680"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792"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Conformité en service</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Sans objet</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pacing w:val="-8"/>
                <w:sz w:val="20"/>
                <w:szCs w:val="20"/>
              </w:rPr>
            </w:pPr>
          </w:p>
        </w:tc>
        <w:tc>
          <w:tcPr>
            <w:tcW w:w="1680"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792" w:type="dxa"/>
            <w:vMerge/>
            <w:tcBorders>
              <w:left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c) Accès aux informations</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Il suffit que le constructeur prévoie un accès aisé et rapide aux informations relatives à la réparation et à l’entretien.</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pacing w:val="-8"/>
                <w:sz w:val="20"/>
                <w:szCs w:val="20"/>
              </w:rPr>
            </w:pPr>
          </w:p>
        </w:tc>
        <w:tc>
          <w:tcPr>
            <w:tcW w:w="168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pacing w:val="-8"/>
                <w:sz w:val="20"/>
                <w:szCs w:val="20"/>
              </w:rPr>
            </w:pPr>
          </w:p>
        </w:tc>
        <w:tc>
          <w:tcPr>
            <w:tcW w:w="179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151"/>
              <w:gridCol w:w="1422"/>
            </w:tblGrid>
            <w:tr>
              <w:trPr>
                <w:tblCellSpacing w:w="0" w:type="dxa"/>
              </w:trPr>
              <w:tc>
                <w:tcPr>
                  <w:tcW w:w="0" w:type="auto"/>
                  <w:hideMark/>
                </w:tcPr>
                <w:p>
                  <w:pPr>
                    <w:spacing w:before="60" w:after="0"/>
                    <w:rPr>
                      <w:rFonts w:eastAsia="Times New Roman"/>
                      <w:noProof/>
                      <w:spacing w:val="-8"/>
                      <w:sz w:val="20"/>
                      <w:szCs w:val="20"/>
                    </w:rPr>
                  </w:pPr>
                  <w:r>
                    <w:rPr>
                      <w:noProof/>
                      <w:spacing w:val="-8"/>
                      <w:sz w:val="20"/>
                    </w:rPr>
                    <w:t>d)</w:t>
                  </w:r>
                </w:p>
              </w:tc>
              <w:tc>
                <w:tcPr>
                  <w:tcW w:w="0" w:type="auto"/>
                  <w:hideMark/>
                </w:tcPr>
                <w:p>
                  <w:pPr>
                    <w:spacing w:before="60" w:after="0"/>
                    <w:rPr>
                      <w:rFonts w:eastAsia="Times New Roman"/>
                      <w:noProof/>
                      <w:spacing w:val="-8"/>
                      <w:sz w:val="20"/>
                      <w:szCs w:val="20"/>
                    </w:rPr>
                  </w:pPr>
                  <w:r>
                    <w:rPr>
                      <w:noProof/>
                      <w:spacing w:val="-8"/>
                      <w:sz w:val="20"/>
                    </w:rPr>
                    <w:t xml:space="preserve"> Mesure de la puissance</w:t>
                  </w:r>
                </w:p>
              </w:tc>
            </w:tr>
          </w:tbl>
          <w:p>
            <w:pPr>
              <w:spacing w:before="60" w:after="0"/>
              <w:rPr>
                <w:rFonts w:eastAsia="Times New Roman"/>
                <w:noProof/>
                <w:spacing w:val="-8"/>
                <w:sz w:val="20"/>
                <w:szCs w:val="20"/>
              </w:rPr>
            </w:pPr>
          </w:p>
        </w:tc>
        <w:tc>
          <w:tcPr>
            <w:tcW w:w="340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i/>
                <w:noProof/>
                <w:spacing w:val="-8"/>
                <w:sz w:val="20"/>
              </w:rPr>
              <w:t>(Lorsque le constructeur du véhicule utilise un moteur d’un autre constructeur)</w:t>
            </w:r>
            <w:r>
              <w:rPr>
                <w:noProof/>
                <w:spacing w:val="-8"/>
                <w:sz w:val="20"/>
              </w:rPr>
              <w:t xml:space="preserve"> </w:t>
            </w:r>
          </w:p>
          <w:p>
            <w:pPr>
              <w:spacing w:before="60" w:after="0"/>
              <w:rPr>
                <w:rFonts w:eastAsia="Times New Roman"/>
                <w:noProof/>
                <w:spacing w:val="-8"/>
                <w:sz w:val="20"/>
                <w:szCs w:val="20"/>
              </w:rPr>
            </w:pPr>
            <w:r>
              <w:rPr>
                <w:noProof/>
                <w:spacing w:val="-8"/>
                <w:sz w:val="20"/>
              </w:rPr>
              <w:t>Les données sur les essais au banc réalisés par le constructeur du moteur sont acceptées, à condition que le système de gestion du moteur soit identique (c’est-à-dire ait au moins la même unité ECU).</w:t>
            </w:r>
          </w:p>
          <w:p>
            <w:pPr>
              <w:spacing w:before="60" w:after="0"/>
              <w:rPr>
                <w:rFonts w:eastAsia="Times New Roman"/>
                <w:noProof/>
                <w:spacing w:val="-8"/>
                <w:sz w:val="20"/>
                <w:szCs w:val="20"/>
              </w:rPr>
            </w:pPr>
            <w:r>
              <w:rPr>
                <w:noProof/>
                <w:spacing w:val="-8"/>
                <w:sz w:val="20"/>
              </w:rPr>
              <w:t>Les essais sur la puissance de sortie peuvent être effectués sur un banc dynamométrique. La perte de puissance dans la transmission doit être prise en compte.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3A</w:t>
            </w:r>
          </w:p>
        </w:tc>
        <w:tc>
          <w:tcPr>
            <w:tcW w:w="168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Prévention des risques d’incendie (réservoirs de carburant liquide)</w:t>
            </w:r>
          </w:p>
        </w:tc>
        <w:tc>
          <w:tcPr>
            <w:tcW w:w="179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34 de la CEE-ONU</w:t>
            </w:r>
          </w:p>
        </w:tc>
        <w:tc>
          <w:tcPr>
            <w:tcW w:w="1663"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pacing w:val="-8"/>
                <w:sz w:val="20"/>
                <w:szCs w:val="20"/>
              </w:rPr>
            </w:pPr>
            <w:r>
              <w:rPr>
                <w:noProof/>
                <w:spacing w:val="-8"/>
                <w:sz w:val="20"/>
              </w:rPr>
              <w:t>a) Réservoirs de carburant liquide</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68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79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pacing w:val="-8"/>
                <w:sz w:val="20"/>
                <w:szCs w:val="20"/>
              </w:rPr>
            </w:pPr>
            <w:r>
              <w:rPr>
                <w:noProof/>
                <w:spacing w:val="-8"/>
                <w:sz w:val="20"/>
              </w:rPr>
              <w:t>b) Installation dans le véhicule</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3B</w:t>
            </w:r>
          </w:p>
        </w:tc>
        <w:tc>
          <w:tcPr>
            <w:tcW w:w="168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arrière de protection anti-encastrement et leur montage; protection contre l’encastrement à l’arrière</w:t>
            </w:r>
          </w:p>
        </w:tc>
        <w:tc>
          <w:tcPr>
            <w:tcW w:w="179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58 de la CEE-ONU</w:t>
            </w:r>
          </w:p>
        </w:tc>
        <w:tc>
          <w:tcPr>
            <w:tcW w:w="1663"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c>
          <w:tcPr>
            <w:tcW w:w="340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keepNext/>
              <w:spacing w:before="60" w:after="60"/>
              <w:rPr>
                <w:rFonts w:eastAsia="Arial Unicode MS"/>
                <w:noProof/>
                <w:spacing w:val="-8"/>
                <w:sz w:val="20"/>
                <w:szCs w:val="20"/>
              </w:rPr>
            </w:pPr>
            <w:r>
              <w:rPr>
                <w:noProof/>
                <w:spacing w:val="-8"/>
                <w:sz w:val="20"/>
              </w:rPr>
              <w:lastRenderedPageBreak/>
              <w:t>4A</w:t>
            </w:r>
          </w:p>
        </w:tc>
        <w:tc>
          <w:tcPr>
            <w:tcW w:w="1680" w:type="dxa"/>
            <w:tcBorders>
              <w:top w:val="outset" w:sz="6" w:space="0" w:color="auto"/>
              <w:left w:val="outset" w:sz="6" w:space="0" w:color="auto"/>
              <w:bottom w:val="outset" w:sz="6" w:space="0" w:color="auto"/>
              <w:right w:val="outset" w:sz="6" w:space="0" w:color="auto"/>
            </w:tcBorders>
            <w:hideMark/>
          </w:tcPr>
          <w:p>
            <w:pPr>
              <w:keepNext/>
              <w:spacing w:before="60" w:after="60"/>
              <w:jc w:val="left"/>
              <w:rPr>
                <w:rFonts w:eastAsia="Arial Unicode MS"/>
                <w:noProof/>
                <w:spacing w:val="-8"/>
                <w:sz w:val="20"/>
                <w:szCs w:val="20"/>
              </w:rPr>
            </w:pPr>
            <w:r>
              <w:rPr>
                <w:noProof/>
                <w:spacing w:val="-8"/>
                <w:sz w:val="20"/>
              </w:rPr>
              <w:t>Emplacement pour le montage et la fixation des plaques d’immatriculation arrière</w:t>
            </w:r>
          </w:p>
        </w:tc>
        <w:tc>
          <w:tcPr>
            <w:tcW w:w="179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1003/2010</w:t>
            </w:r>
          </w:p>
        </w:tc>
        <w:tc>
          <w:tcPr>
            <w:tcW w:w="1663"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pacing w:val="-8"/>
                <w:sz w:val="20"/>
                <w:szCs w:val="20"/>
              </w:rPr>
            </w:pP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5A</w:t>
            </w:r>
          </w:p>
        </w:tc>
        <w:tc>
          <w:tcPr>
            <w:tcW w:w="168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Équipement de direction</w:t>
            </w:r>
          </w:p>
        </w:tc>
        <w:tc>
          <w:tcPr>
            <w:tcW w:w="179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79 de la CEE-ONU</w:t>
            </w: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pacing w:val="-8"/>
                <w:sz w:val="20"/>
                <w:szCs w:val="20"/>
              </w:rPr>
            </w:pP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pacing w:val="-8"/>
                <w:sz w:val="20"/>
                <w:szCs w:val="20"/>
              </w:rPr>
            </w:pPr>
          </w:p>
        </w:tc>
        <w:tc>
          <w:tcPr>
            <w:tcW w:w="1680" w:type="dxa"/>
            <w:vMerge/>
            <w:tcBorders>
              <w:left w:val="outset" w:sz="6" w:space="0" w:color="auto"/>
              <w:right w:val="outset" w:sz="6" w:space="0" w:color="auto"/>
            </w:tcBorders>
            <w:hideMark/>
          </w:tcPr>
          <w:p>
            <w:pPr>
              <w:spacing w:before="60" w:after="60"/>
              <w:jc w:val="left"/>
              <w:rPr>
                <w:rFonts w:eastAsia="Arial Unicode MS"/>
                <w:bCs/>
                <w:noProof/>
                <w:spacing w:val="-8"/>
                <w:sz w:val="20"/>
                <w:szCs w:val="20"/>
              </w:rPr>
            </w:pPr>
          </w:p>
        </w:tc>
        <w:tc>
          <w:tcPr>
            <w:tcW w:w="1792" w:type="dxa"/>
            <w:vMerge/>
            <w:tcBorders>
              <w:left w:val="outset" w:sz="6" w:space="0" w:color="auto"/>
              <w:right w:val="outset" w:sz="6" w:space="0" w:color="auto"/>
            </w:tcBorders>
            <w:hideMark/>
          </w:tcPr>
          <w:p>
            <w:pPr>
              <w:spacing w:before="60" w:after="60"/>
              <w:jc w:val="left"/>
              <w:rPr>
                <w:rFonts w:eastAsia="Arial Unicode MS"/>
                <w:bC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pacing w:val="-8"/>
                <w:sz w:val="20"/>
                <w:szCs w:val="20"/>
              </w:rPr>
            </w:pPr>
            <w:r>
              <w:rPr>
                <w:noProof/>
                <w:spacing w:val="-8"/>
                <w:sz w:val="20"/>
              </w:rPr>
              <w:t>a) Systèmes mécaniques</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Les dispositions du paragraphe 5 du règlement n</w:t>
            </w:r>
            <w:r>
              <w:rPr>
                <w:noProof/>
                <w:spacing w:val="-8"/>
                <w:sz w:val="20"/>
                <w:vertAlign w:val="superscript"/>
              </w:rPr>
              <w:t>o</w:t>
            </w:r>
            <w:r>
              <w:rPr>
                <w:noProof/>
                <w:spacing w:val="-8"/>
                <w:sz w:val="20"/>
              </w:rPr>
              <w:t> 79.01 de la CEE-ONU s’appliquent.</w:t>
            </w:r>
          </w:p>
          <w:p>
            <w:pPr>
              <w:spacing w:before="60" w:after="60"/>
              <w:rPr>
                <w:rFonts w:eastAsia="Arial Unicode MS"/>
                <w:bCs/>
                <w:noProof/>
                <w:spacing w:val="-8"/>
                <w:sz w:val="20"/>
                <w:szCs w:val="20"/>
              </w:rPr>
            </w:pPr>
            <w:r>
              <w:rPr>
                <w:noProof/>
                <w:spacing w:val="-8"/>
                <w:sz w:val="20"/>
              </w:rPr>
              <w:t>Tous les essais prescrits au paragraphe 6.2 du règlement n</w:t>
            </w:r>
            <w:r>
              <w:rPr>
                <w:noProof/>
                <w:spacing w:val="-8"/>
                <w:sz w:val="20"/>
                <w:vertAlign w:val="superscript"/>
              </w:rPr>
              <w:t>o</w:t>
            </w:r>
            <w:r>
              <w:rPr>
                <w:noProof/>
                <w:spacing w:val="-8"/>
                <w:sz w:val="20"/>
              </w:rPr>
              <w:t> 79 de la CEE-ONU sont à effectuer et les prescriptions du paragraphe 6.1 du règlement n</w:t>
            </w:r>
            <w:r>
              <w:rPr>
                <w:noProof/>
                <w:spacing w:val="-8"/>
                <w:sz w:val="20"/>
                <w:vertAlign w:val="superscript"/>
              </w:rPr>
              <w:t>o</w:t>
            </w:r>
            <w:r>
              <w:rPr>
                <w:noProof/>
                <w:spacing w:val="-8"/>
                <w:sz w:val="20"/>
              </w:rPr>
              <w:t> 79 de la CEE-ONU s’appliquent.</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p>
        </w:tc>
        <w:tc>
          <w:tcPr>
            <w:tcW w:w="168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p>
        </w:tc>
        <w:tc>
          <w:tcPr>
            <w:tcW w:w="1792"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pacing w:val="-8"/>
                <w:sz w:val="20"/>
                <w:szCs w:val="20"/>
              </w:rPr>
            </w:pPr>
            <w:r>
              <w:rPr>
                <w:noProof/>
                <w:spacing w:val="-8"/>
                <w:sz w:val="20"/>
              </w:rPr>
              <w:t>b)</w:t>
            </w:r>
            <w:r>
              <w:rPr>
                <w:noProof/>
                <w:spacing w:val="-8"/>
              </w:rPr>
              <w:tab/>
            </w:r>
            <w:r>
              <w:rPr>
                <w:noProof/>
                <w:spacing w:val="-8"/>
                <w:sz w:val="20"/>
              </w:rPr>
              <w:t>Système complexe de commande électronique des véhicules</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Toutes les prescriptions de l’annexe 6 du règlement n</w:t>
            </w:r>
            <w:r>
              <w:rPr>
                <w:noProof/>
                <w:spacing w:val="-8"/>
                <w:sz w:val="20"/>
                <w:vertAlign w:val="superscript"/>
              </w:rPr>
              <w:t>o</w:t>
            </w:r>
            <w:r>
              <w:rPr>
                <w:noProof/>
                <w:spacing w:val="-8"/>
                <w:sz w:val="20"/>
              </w:rPr>
              <w:t> 79 de la CEE-ONU s’appliquent.</w:t>
            </w:r>
          </w:p>
          <w:p>
            <w:pPr>
              <w:spacing w:before="60" w:after="60"/>
              <w:rPr>
                <w:rFonts w:eastAsia="Arial Unicode MS"/>
                <w:bCs/>
                <w:noProof/>
                <w:spacing w:val="-8"/>
                <w:sz w:val="20"/>
                <w:szCs w:val="20"/>
              </w:rPr>
            </w:pPr>
            <w:r>
              <w:rPr>
                <w:noProof/>
                <w:spacing w:val="-8"/>
                <w:sz w:val="20"/>
              </w:rPr>
              <w:t>La conformité à ces prescriptions ne peut être contrôlée que par un service technique.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6A</w:t>
            </w:r>
          </w:p>
        </w:tc>
        <w:tc>
          <w:tcPr>
            <w:tcW w:w="168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Serrures et organes de fixation des portes</w:t>
            </w:r>
          </w:p>
        </w:tc>
        <w:tc>
          <w:tcPr>
            <w:tcW w:w="179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11 de la CEE-ONU</w:t>
            </w:r>
          </w:p>
        </w:tc>
        <w:tc>
          <w:tcPr>
            <w:tcW w:w="1663"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8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79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w:t>
            </w:r>
            <w:r>
              <w:rPr>
                <w:noProof/>
                <w:spacing w:val="-8"/>
              </w:rPr>
              <w:tab/>
            </w:r>
            <w:r>
              <w:rPr>
                <w:noProof/>
                <w:spacing w:val="-8"/>
                <w:sz w:val="20"/>
              </w:rPr>
              <w:t>Prescriptions générales (paragraphe 5 du règlement n</w:t>
            </w:r>
            <w:r>
              <w:rPr>
                <w:noProof/>
                <w:spacing w:val="-8"/>
                <w:sz w:val="20"/>
                <w:vertAlign w:val="superscript"/>
              </w:rPr>
              <w:t>o</w:t>
            </w:r>
            <w:r>
              <w:rPr>
                <w:noProof/>
                <w:spacing w:val="-8"/>
                <w:sz w:val="20"/>
              </w:rPr>
              <w:t> 11 de la CEE-ONU)</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Toutes les prescriptions s’appliquent.</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8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79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w:t>
            </w:r>
            <w:r>
              <w:rPr>
                <w:noProof/>
                <w:spacing w:val="-8"/>
              </w:rPr>
              <w:tab/>
            </w:r>
            <w:r>
              <w:rPr>
                <w:noProof/>
                <w:spacing w:val="-8"/>
                <w:sz w:val="20"/>
              </w:rPr>
              <w:t>Prescriptions en matière de performances (paragraphe 6 du règlement n</w:t>
            </w:r>
            <w:r>
              <w:rPr>
                <w:noProof/>
                <w:spacing w:val="-8"/>
                <w:sz w:val="20"/>
                <w:vertAlign w:val="superscript"/>
              </w:rPr>
              <w:t>o</w:t>
            </w:r>
            <w:r>
              <w:rPr>
                <w:noProof/>
                <w:spacing w:val="-8"/>
                <w:sz w:val="20"/>
              </w:rPr>
              <w:t> 11 de la CEE-ONU)</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Seules les prescriptions du paragraphe 6.1.5.4 et du paragraphe 6.3 du règlement n</w:t>
            </w:r>
            <w:r>
              <w:rPr>
                <w:noProof/>
                <w:spacing w:val="-8"/>
                <w:sz w:val="20"/>
                <w:vertAlign w:val="superscript"/>
              </w:rPr>
              <w:t>o</w:t>
            </w:r>
            <w:r>
              <w:rPr>
                <w:noProof/>
                <w:spacing w:val="-8"/>
                <w:sz w:val="20"/>
              </w:rPr>
              <w:t> 11 de la CEE-ONU s’appliquent.</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7A</w:t>
            </w:r>
          </w:p>
        </w:tc>
        <w:tc>
          <w:tcPr>
            <w:tcW w:w="168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Avertisseurs sonores et signalisation sonore</w:t>
            </w:r>
          </w:p>
        </w:tc>
        <w:tc>
          <w:tcPr>
            <w:tcW w:w="179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28 de la CEE-ONU</w:t>
            </w: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Composants</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8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79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Installation dans le véhicule</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8A</w:t>
            </w:r>
          </w:p>
        </w:tc>
        <w:tc>
          <w:tcPr>
            <w:tcW w:w="168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Systèmes de vision indirecte et leur montage</w:t>
            </w:r>
          </w:p>
        </w:tc>
        <w:tc>
          <w:tcPr>
            <w:tcW w:w="179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46 de la CEE-ONU</w:t>
            </w: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Composants</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8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79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Installation dans le véhicule</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9A</w:t>
            </w:r>
          </w:p>
        </w:tc>
        <w:tc>
          <w:tcPr>
            <w:tcW w:w="168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Freinage des véhicules et des remorques</w:t>
            </w:r>
          </w:p>
        </w:tc>
        <w:tc>
          <w:tcPr>
            <w:tcW w:w="179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13 de la CEE-ONU</w:t>
            </w: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Prescriptions en matière de conception et d’essais</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68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79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663"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ESC</w:t>
            </w:r>
          </w:p>
        </w:tc>
        <w:tc>
          <w:tcPr>
            <w:tcW w:w="34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 xml:space="preserve">L’installation d’un système ESC n’est pas requise. Si le véhicule en est équipé, il doit </w:t>
            </w:r>
            <w:r>
              <w:rPr>
                <w:noProof/>
                <w:spacing w:val="-8"/>
                <w:sz w:val="20"/>
              </w:rPr>
              <w:lastRenderedPageBreak/>
              <w:t>être conforme aux prescriptions du règlement n</w:t>
            </w:r>
            <w:r>
              <w:rPr>
                <w:noProof/>
                <w:spacing w:val="-8"/>
                <w:sz w:val="20"/>
                <w:vertAlign w:val="superscript"/>
              </w:rPr>
              <w:t>o</w:t>
            </w:r>
            <w:r>
              <w:rPr>
                <w:noProof/>
                <w:spacing w:val="-8"/>
                <w:sz w:val="20"/>
              </w:rPr>
              <w:t> 13 de la CEE-ONU.</w:t>
            </w:r>
          </w:p>
        </w:tc>
      </w:tr>
    </w:tbl>
    <w:p>
      <w:pPr>
        <w:rPr>
          <w:noProof/>
          <w:spacing w:val="-8"/>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1741"/>
        <w:gridCol w:w="1890"/>
        <w:gridCol w:w="10"/>
        <w:gridCol w:w="1543"/>
        <w:gridCol w:w="11"/>
        <w:gridCol w:w="3348"/>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Élément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Objet</w:t>
            </w:r>
          </w:p>
        </w:tc>
        <w:tc>
          <w:tcPr>
            <w:tcW w:w="189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Acte réglementaire</w:t>
            </w:r>
          </w:p>
        </w:tc>
        <w:tc>
          <w:tcPr>
            <w:tcW w:w="1553"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pacing w:val="-8"/>
                <w:sz w:val="20"/>
                <w:szCs w:val="20"/>
              </w:rPr>
            </w:pPr>
            <w:r>
              <w:rPr>
                <w:noProof/>
                <w:spacing w:val="-8"/>
                <w:sz w:val="20"/>
              </w:rPr>
              <w:t>Aspects spécifiques</w:t>
            </w: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Applicabilité et prescriptions spécifiques</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9B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Freinage des voitures particulières</w:t>
            </w:r>
          </w:p>
        </w:tc>
        <w:tc>
          <w:tcPr>
            <w:tcW w:w="189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rPr>
                <w:rFonts w:eastAsia="Arial Unicode MS"/>
                <w:bCs/>
                <w:noProof/>
                <w:spacing w:val="-8"/>
                <w:sz w:val="20"/>
                <w:szCs w:val="20"/>
              </w:rPr>
            </w:pPr>
            <w:r>
              <w:rPr>
                <w:noProof/>
                <w:spacing w:val="-8"/>
                <w:sz w:val="20"/>
              </w:rPr>
              <w:t>Règlement n</w:t>
            </w:r>
            <w:r>
              <w:rPr>
                <w:noProof/>
                <w:spacing w:val="-8"/>
                <w:sz w:val="20"/>
                <w:vertAlign w:val="superscript"/>
              </w:rPr>
              <w:t>o</w:t>
            </w:r>
            <w:r>
              <w:rPr>
                <w:noProof/>
                <w:spacing w:val="-8"/>
                <w:sz w:val="20"/>
              </w:rPr>
              <w:t> 13-H de la CEE-ONU</w:t>
            </w:r>
          </w:p>
        </w:tc>
        <w:tc>
          <w:tcPr>
            <w:tcW w:w="1553"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pacing w:val="-8"/>
                <w:sz w:val="20"/>
                <w:szCs w:val="20"/>
              </w:rPr>
            </w:pPr>
            <w:r>
              <w:rPr>
                <w:noProof/>
                <w:spacing w:val="-8"/>
                <w:sz w:val="20"/>
              </w:rPr>
              <w:t>a) Prescriptions en matière de conception et d’essais</w:t>
            </w: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p>
        </w:tc>
        <w:tc>
          <w:tcPr>
            <w:tcW w:w="1890" w:type="dxa"/>
            <w:vMerge/>
            <w:tcBorders>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p>
        </w:tc>
        <w:tc>
          <w:tcPr>
            <w:tcW w:w="1553"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pacing w:val="-8"/>
                <w:sz w:val="20"/>
                <w:szCs w:val="20"/>
              </w:rPr>
            </w:pPr>
            <w:r>
              <w:rPr>
                <w:noProof/>
                <w:spacing w:val="-8"/>
                <w:sz w:val="20"/>
              </w:rPr>
              <w:t>b) Contrôle électronique de la stabilité (ESC) et systèmes d’assistance au freinage (BAS)</w:t>
            </w: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L’installation de systèmes BAS et ESC n’est pas requise. Si le véhicule en est équipé, ils doivent être conformes aux prescriptions du règlement n</w:t>
            </w:r>
            <w:r>
              <w:rPr>
                <w:noProof/>
                <w:spacing w:val="-8"/>
                <w:sz w:val="20"/>
                <w:vertAlign w:val="superscript"/>
              </w:rPr>
              <w:t>o</w:t>
            </w:r>
            <w:r>
              <w:rPr>
                <w:noProof/>
                <w:spacing w:val="-8"/>
                <w:sz w:val="20"/>
              </w:rPr>
              <w:t> 13-H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10A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Compatibilité électromagnétique</w:t>
            </w:r>
          </w:p>
        </w:tc>
        <w:tc>
          <w:tcPr>
            <w:tcW w:w="189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 </w:t>
            </w:r>
            <w:r>
              <w:rPr>
                <w:noProof/>
                <w:spacing w:val="-8"/>
                <w:sz w:val="20"/>
              </w:rPr>
              <w:t>10 de la CEE-ONU</w:t>
            </w:r>
          </w:p>
        </w:tc>
        <w:tc>
          <w:tcPr>
            <w:tcW w:w="1553"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pacing w:val="-8"/>
                <w:sz w:val="20"/>
                <w:szCs w:val="20"/>
              </w:rPr>
            </w:pP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13A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Protection des véhicules à moteur contre une utilisation non autorisée</w:t>
            </w:r>
          </w:p>
        </w:tc>
        <w:tc>
          <w:tcPr>
            <w:tcW w:w="189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w:t>
            </w:r>
            <w:r>
              <w:rPr>
                <w:noProof/>
                <w:spacing w:val="-8"/>
                <w:sz w:val="20"/>
              </w:rPr>
              <w:t> 116 de la CEE-ONU</w:t>
            </w:r>
          </w:p>
        </w:tc>
        <w:tc>
          <w:tcPr>
            <w:tcW w:w="1553"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pacing w:val="-8"/>
                <w:sz w:val="20"/>
                <w:szCs w:val="20"/>
              </w:rPr>
            </w:pP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A</w:t>
            </w:r>
            <w:r>
              <w:rPr>
                <w:noProof/>
                <w:spacing w:val="-8"/>
                <w:sz w:val="20"/>
              </w:rPr>
              <w:br/>
              <w:t>Les dispositions du paragraphe 8.3.1.1.1 du règlement n</w:t>
            </w:r>
            <w:r>
              <w:rPr>
                <w:noProof/>
                <w:spacing w:val="-8"/>
                <w:sz w:val="20"/>
                <w:vertAlign w:val="superscript"/>
              </w:rPr>
              <w:t>o</w:t>
            </w:r>
            <w:r>
              <w:rPr>
                <w:noProof/>
                <w:spacing w:val="-8"/>
                <w:sz w:val="20"/>
              </w:rPr>
              <w:t> 116 de la CEE-ONU peuvent être appliquées en lieu et place du paragraphe 8.3.1.1.2 dudit règlement, quel que soit le type de groupe motopropulseur.</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pacing w:val="-8"/>
                <w:sz w:val="20"/>
                <w:szCs w:val="20"/>
              </w:rPr>
            </w:pPr>
            <w:r>
              <w:rPr>
                <w:noProof/>
                <w:spacing w:val="-8"/>
                <w:sz w:val="20"/>
              </w:rPr>
              <w:t>14A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pacing w:val="-8"/>
                <w:sz w:val="20"/>
                <w:szCs w:val="20"/>
              </w:rPr>
            </w:pPr>
            <w:r>
              <w:rPr>
                <w:noProof/>
                <w:spacing w:val="-8"/>
                <w:sz w:val="20"/>
              </w:rPr>
              <w:t>Protection du conducteur contre le dispositif de conduite en cas de choc</w:t>
            </w:r>
          </w:p>
        </w:tc>
        <w:tc>
          <w:tcPr>
            <w:tcW w:w="189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4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12 de la CEE-ONU</w:t>
            </w:r>
          </w:p>
        </w:tc>
        <w:tc>
          <w:tcPr>
            <w:tcW w:w="1553" w:type="dxa"/>
            <w:gridSpan w:val="2"/>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pacing w:val="-8"/>
                <w:sz w:val="20"/>
                <w:szCs w:val="20"/>
              </w:rPr>
            </w:pP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pacing w:val="-8"/>
                <w:sz w:val="20"/>
                <w:szCs w:val="20"/>
              </w:rPr>
            </w:pPr>
            <w:r>
              <w:rPr>
                <w:noProof/>
                <w:spacing w:val="-8"/>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pacing w:val="-8"/>
                <w:sz w:val="20"/>
                <w:szCs w:val="20"/>
              </w:rPr>
            </w:pPr>
          </w:p>
        </w:tc>
        <w:tc>
          <w:tcPr>
            <w:tcW w:w="189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53" w:type="dxa"/>
            <w:gridSpan w:val="2"/>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pacing w:val="-8"/>
                <w:sz w:val="20"/>
                <w:szCs w:val="20"/>
              </w:rPr>
            </w:pPr>
            <w:r>
              <w:rPr>
                <w:noProof/>
                <w:spacing w:val="-8"/>
                <w:sz w:val="20"/>
              </w:rPr>
              <w:t>a) Essai de choc contre barrière</w:t>
            </w: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pacing w:val="-8"/>
                <w:sz w:val="20"/>
                <w:szCs w:val="20"/>
              </w:rPr>
            </w:pPr>
            <w:r>
              <w:rPr>
                <w:noProof/>
                <w:spacing w:val="-8"/>
                <w:sz w:val="20"/>
              </w:rPr>
              <w:t>Un essai est requis.</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pacing w:val="-8"/>
                <w:sz w:val="20"/>
                <w:szCs w:val="20"/>
              </w:rPr>
            </w:pPr>
          </w:p>
        </w:tc>
        <w:tc>
          <w:tcPr>
            <w:tcW w:w="189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53" w:type="dxa"/>
            <w:gridSpan w:val="2"/>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pacing w:val="-8"/>
                <w:sz w:val="20"/>
                <w:szCs w:val="20"/>
              </w:rPr>
            </w:pPr>
            <w:r>
              <w:rPr>
                <w:noProof/>
                <w:spacing w:val="-8"/>
                <w:sz w:val="20"/>
              </w:rPr>
              <w:t>b) Essai de choc corporel contre volant avec bloc d’essai</w:t>
            </w: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pacing w:val="-8"/>
                <w:sz w:val="20"/>
                <w:szCs w:val="20"/>
              </w:rPr>
            </w:pPr>
            <w:r>
              <w:rPr>
                <w:noProof/>
                <w:spacing w:val="-8"/>
                <w:sz w:val="20"/>
              </w:rPr>
              <w:t>Non requis si le volant est équipé d’un airbag.</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pacing w:val="-8"/>
                <w:sz w:val="20"/>
                <w:szCs w:val="20"/>
              </w:rPr>
            </w:pPr>
          </w:p>
        </w:tc>
        <w:tc>
          <w:tcPr>
            <w:tcW w:w="189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53" w:type="dxa"/>
            <w:gridSpan w:val="2"/>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pacing w:val="-8"/>
                <w:sz w:val="20"/>
                <w:szCs w:val="20"/>
              </w:rPr>
            </w:pPr>
            <w:r>
              <w:rPr>
                <w:noProof/>
                <w:spacing w:val="-8"/>
                <w:sz w:val="20"/>
              </w:rPr>
              <w:t>c) Essai avec fausse tête</w:t>
            </w: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pacing w:val="-8"/>
                <w:sz w:val="20"/>
                <w:szCs w:val="20"/>
              </w:rPr>
            </w:pPr>
            <w:r>
              <w:rPr>
                <w:noProof/>
                <w:spacing w:val="-8"/>
                <w:sz w:val="20"/>
              </w:rPr>
              <w:t>Non requis si le volant est équipé d’un airbag.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pacing w:val="-8"/>
                <w:sz w:val="20"/>
                <w:szCs w:val="20"/>
              </w:rPr>
            </w:pPr>
            <w:r>
              <w:rPr>
                <w:noProof/>
                <w:spacing w:val="-8"/>
                <w:sz w:val="20"/>
              </w:rPr>
              <w:t>15A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pacing w:val="-8"/>
                <w:sz w:val="20"/>
                <w:szCs w:val="20"/>
              </w:rPr>
            </w:pPr>
            <w:r>
              <w:rPr>
                <w:noProof/>
                <w:spacing w:val="-8"/>
                <w:sz w:val="20"/>
              </w:rPr>
              <w:t>Sièges, leurs ancrages et appuie-tête</w:t>
            </w:r>
          </w:p>
        </w:tc>
        <w:tc>
          <w:tcPr>
            <w:tcW w:w="189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40" w:after="40"/>
              <w:ind w:right="97"/>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17 de la CEE-ONU</w:t>
            </w:r>
          </w:p>
        </w:tc>
        <w:tc>
          <w:tcPr>
            <w:tcW w:w="1553" w:type="dxa"/>
            <w:gridSpan w:val="2"/>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pacing w:val="-8"/>
                <w:sz w:val="20"/>
                <w:szCs w:val="20"/>
              </w:rPr>
            </w:pP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pacing w:val="-8"/>
                <w:sz w:val="20"/>
                <w:szCs w:val="20"/>
              </w:rPr>
            </w:pPr>
            <w:r>
              <w:rPr>
                <w:noProof/>
                <w:spacing w:val="-8"/>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pacing w:val="-8"/>
                <w:sz w:val="20"/>
                <w:szCs w:val="20"/>
              </w:rPr>
            </w:pPr>
            <w:r>
              <w:rPr>
                <w:noProof/>
                <w:spacing w:val="-8"/>
                <w:sz w:val="20"/>
              </w:rPr>
              <w:t>17A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pacing w:val="-8"/>
                <w:sz w:val="20"/>
                <w:szCs w:val="20"/>
              </w:rPr>
            </w:pPr>
            <w:r>
              <w:rPr>
                <w:noProof/>
                <w:spacing w:val="-8"/>
                <w:sz w:val="20"/>
              </w:rPr>
              <w:t>Accès au véhicule et manœuvrabilité</w:t>
            </w:r>
          </w:p>
        </w:tc>
        <w:tc>
          <w:tcPr>
            <w:tcW w:w="189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1553"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pacing w:val="-8"/>
                <w:sz w:val="20"/>
                <w:szCs w:val="20"/>
              </w:rPr>
            </w:pPr>
            <w:r>
              <w:rPr>
                <w:noProof/>
                <w:spacing w:val="-8"/>
                <w:sz w:val="20"/>
              </w:rPr>
              <w:t>17B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pacing w:val="-8"/>
                <w:sz w:val="20"/>
                <w:szCs w:val="20"/>
              </w:rPr>
            </w:pPr>
            <w:r>
              <w:rPr>
                <w:noProof/>
                <w:spacing w:val="-8"/>
                <w:sz w:val="20"/>
              </w:rPr>
              <w:t xml:space="preserve">Appareil indicateur de vitesse, y compris son </w:t>
            </w:r>
            <w:r>
              <w:rPr>
                <w:noProof/>
                <w:spacing w:val="-8"/>
                <w:sz w:val="20"/>
              </w:rPr>
              <w:lastRenderedPageBreak/>
              <w:t>installation</w:t>
            </w:r>
          </w:p>
        </w:tc>
        <w:tc>
          <w:tcPr>
            <w:tcW w:w="189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lastRenderedPageBreak/>
              <w:t xml:space="preserve">Règlement (CE) </w:t>
            </w:r>
            <w:r>
              <w:rPr>
                <w:noProof/>
                <w:spacing w:val="-8"/>
                <w:sz w:val="20"/>
              </w:rPr>
              <w:lastRenderedPageBreak/>
              <w:t>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39 de la CEE-ONU</w:t>
            </w:r>
          </w:p>
        </w:tc>
        <w:tc>
          <w:tcPr>
            <w:tcW w:w="1553"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pacing w:val="-8"/>
                <w:sz w:val="20"/>
                <w:szCs w:val="20"/>
              </w:rPr>
            </w:pPr>
            <w:r>
              <w:rPr>
                <w:noProof/>
                <w:spacing w:val="-8"/>
                <w:sz w:val="20"/>
              </w:rPr>
              <w:lastRenderedPageBreak/>
              <w:t>18A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pacing w:val="-8"/>
                <w:sz w:val="20"/>
                <w:szCs w:val="20"/>
              </w:rPr>
            </w:pPr>
            <w:r>
              <w:rPr>
                <w:noProof/>
                <w:spacing w:val="-8"/>
                <w:sz w:val="20"/>
              </w:rPr>
              <w:t>Plaque réglementaire du constructeur et numéro d’identification du véhicule</w:t>
            </w:r>
          </w:p>
        </w:tc>
        <w:tc>
          <w:tcPr>
            <w:tcW w:w="189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19/2011</w:t>
            </w:r>
          </w:p>
        </w:tc>
        <w:tc>
          <w:tcPr>
            <w:tcW w:w="1553"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59"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r>
              <w:rPr>
                <w:noProof/>
                <w:spacing w:val="-8"/>
                <w:sz w:val="20"/>
              </w:rPr>
              <w:t>19A</w:t>
            </w:r>
          </w:p>
        </w:tc>
        <w:tc>
          <w:tcPr>
            <w:tcW w:w="1741" w:type="dxa"/>
            <w:tcBorders>
              <w:top w:val="outset" w:sz="6" w:space="0" w:color="auto"/>
              <w:left w:val="outset" w:sz="6" w:space="0" w:color="auto"/>
              <w:bottom w:val="outset" w:sz="6" w:space="0" w:color="auto"/>
              <w:right w:val="outset" w:sz="6" w:space="0" w:color="auto"/>
            </w:tcBorders>
          </w:tcPr>
          <w:p>
            <w:pPr>
              <w:spacing w:before="40"/>
              <w:jc w:val="left"/>
              <w:rPr>
                <w:noProof/>
                <w:spacing w:val="-8"/>
                <w:sz w:val="20"/>
                <w:szCs w:val="20"/>
              </w:rPr>
            </w:pPr>
            <w:r>
              <w:rPr>
                <w:noProof/>
                <w:spacing w:val="-8"/>
                <w:sz w:val="20"/>
              </w:rPr>
              <w:t>Ancrages de ceintures de sécurité, systèmes d’ancrage Isofix et ancrages pour fixation supérieure Isofix</w:t>
            </w:r>
          </w:p>
        </w:tc>
        <w:tc>
          <w:tcPr>
            <w:tcW w:w="1900"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jc w:val="left"/>
              <w:rPr>
                <w:noProof/>
                <w:spacing w:val="-8"/>
                <w:sz w:val="20"/>
                <w:szCs w:val="20"/>
              </w:rPr>
            </w:pPr>
            <w:r>
              <w:rPr>
                <w:noProof/>
                <w:spacing w:val="-8"/>
                <w:sz w:val="20"/>
              </w:rPr>
              <w:t>Règlement n</w:t>
            </w:r>
            <w:r>
              <w:rPr>
                <w:noProof/>
                <w:spacing w:val="-8"/>
                <w:sz w:val="20"/>
                <w:vertAlign w:val="superscript"/>
              </w:rPr>
              <w:t>o</w:t>
            </w:r>
            <w:r>
              <w:rPr>
                <w:noProof/>
                <w:spacing w:val="-8"/>
                <w:sz w:val="20"/>
              </w:rPr>
              <w:t> 14 de la CEE-ONU</w:t>
            </w:r>
          </w:p>
        </w:tc>
        <w:tc>
          <w:tcPr>
            <w:tcW w:w="1554" w:type="dxa"/>
            <w:gridSpan w:val="2"/>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B</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r>
              <w:rPr>
                <w:noProof/>
                <w:spacing w:val="-8"/>
                <w:sz w:val="20"/>
              </w:rPr>
              <w:t>20A</w:t>
            </w:r>
          </w:p>
        </w:tc>
        <w:tc>
          <w:tcPr>
            <w:tcW w:w="1741" w:type="dxa"/>
            <w:tcBorders>
              <w:top w:val="outset" w:sz="6" w:space="0" w:color="auto"/>
              <w:left w:val="outset" w:sz="6" w:space="0" w:color="auto"/>
              <w:bottom w:val="outset" w:sz="6" w:space="0" w:color="auto"/>
              <w:right w:val="outset" w:sz="6" w:space="0" w:color="auto"/>
            </w:tcBorders>
          </w:tcPr>
          <w:p>
            <w:pPr>
              <w:spacing w:before="40"/>
              <w:jc w:val="left"/>
              <w:rPr>
                <w:noProof/>
                <w:spacing w:val="-8"/>
                <w:sz w:val="20"/>
                <w:szCs w:val="20"/>
              </w:rPr>
            </w:pPr>
            <w:r>
              <w:rPr>
                <w:noProof/>
                <w:spacing w:val="-8"/>
                <w:sz w:val="20"/>
              </w:rPr>
              <w:t>Installation des dispositifs d’éclairage et de signalisation lumineuse des véhicules à moteur</w:t>
            </w:r>
          </w:p>
        </w:tc>
        <w:tc>
          <w:tcPr>
            <w:tcW w:w="1900"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jc w:val="left"/>
              <w:rPr>
                <w:noProof/>
                <w:spacing w:val="-8"/>
                <w:sz w:val="20"/>
                <w:szCs w:val="20"/>
              </w:rPr>
            </w:pPr>
            <w:r>
              <w:rPr>
                <w:noProof/>
                <w:spacing w:val="-8"/>
                <w:sz w:val="20"/>
              </w:rPr>
              <w:t>Règlement n</w:t>
            </w:r>
            <w:r>
              <w:rPr>
                <w:noProof/>
                <w:spacing w:val="-8"/>
                <w:sz w:val="20"/>
                <w:vertAlign w:val="superscript"/>
              </w:rPr>
              <w:t>o </w:t>
            </w:r>
            <w:r>
              <w:rPr>
                <w:noProof/>
                <w:spacing w:val="-8"/>
                <w:sz w:val="20"/>
              </w:rPr>
              <w:t>48 de la CEE-ONU</w:t>
            </w:r>
          </w:p>
        </w:tc>
        <w:tc>
          <w:tcPr>
            <w:tcW w:w="1554" w:type="dxa"/>
            <w:gridSpan w:val="2"/>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B</w:t>
            </w:r>
          </w:p>
          <w:p>
            <w:pPr>
              <w:jc w:val="left"/>
              <w:rPr>
                <w:noProof/>
                <w:spacing w:val="-8"/>
                <w:sz w:val="20"/>
                <w:szCs w:val="20"/>
              </w:rPr>
            </w:pPr>
            <w:r>
              <w:rPr>
                <w:noProof/>
                <w:spacing w:val="-8"/>
                <w:sz w:val="20"/>
              </w:rPr>
              <w:t>Des feux de circulation diurne (DRL) doivent être montés sur un nouveau type de véhicule.</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r>
              <w:rPr>
                <w:noProof/>
                <w:spacing w:val="-8"/>
                <w:sz w:val="20"/>
              </w:rPr>
              <w:t>21A</w:t>
            </w:r>
          </w:p>
        </w:tc>
        <w:tc>
          <w:tcPr>
            <w:tcW w:w="1741" w:type="dxa"/>
            <w:tcBorders>
              <w:top w:val="outset" w:sz="6" w:space="0" w:color="auto"/>
              <w:left w:val="outset" w:sz="6" w:space="0" w:color="auto"/>
              <w:bottom w:val="outset" w:sz="6" w:space="0" w:color="auto"/>
              <w:right w:val="outset" w:sz="6" w:space="0" w:color="auto"/>
            </w:tcBorders>
          </w:tcPr>
          <w:p>
            <w:pPr>
              <w:spacing w:before="40"/>
              <w:jc w:val="left"/>
              <w:rPr>
                <w:noProof/>
                <w:spacing w:val="-8"/>
                <w:sz w:val="20"/>
                <w:szCs w:val="20"/>
              </w:rPr>
            </w:pPr>
            <w:r>
              <w:rPr>
                <w:noProof/>
                <w:spacing w:val="-8"/>
                <w:sz w:val="20"/>
              </w:rPr>
              <w:t>Dispositifs catadioptriques pour les véhicules à moteur et leurs remorques</w:t>
            </w:r>
          </w:p>
        </w:tc>
        <w:tc>
          <w:tcPr>
            <w:tcW w:w="1900"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jc w:val="left"/>
              <w:rPr>
                <w:noProof/>
                <w:spacing w:val="-8"/>
                <w:sz w:val="20"/>
                <w:szCs w:val="20"/>
              </w:rPr>
            </w:pPr>
            <w:r>
              <w:rPr>
                <w:noProof/>
                <w:spacing w:val="-8"/>
                <w:sz w:val="20"/>
              </w:rPr>
              <w:t>Règlement n</w:t>
            </w:r>
            <w:r>
              <w:rPr>
                <w:noProof/>
                <w:spacing w:val="-8"/>
                <w:sz w:val="20"/>
                <w:vertAlign w:val="superscript"/>
              </w:rPr>
              <w:t>o </w:t>
            </w:r>
            <w:r>
              <w:rPr>
                <w:noProof/>
                <w:spacing w:val="-8"/>
                <w:sz w:val="20"/>
              </w:rPr>
              <w:t>3 de la CEE-ONU</w:t>
            </w:r>
          </w:p>
        </w:tc>
        <w:tc>
          <w:tcPr>
            <w:tcW w:w="1554" w:type="dxa"/>
            <w:gridSpan w:val="2"/>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r>
              <w:rPr>
                <w:noProof/>
                <w:spacing w:val="-8"/>
                <w:sz w:val="20"/>
              </w:rPr>
              <w:t>22A</w:t>
            </w:r>
          </w:p>
        </w:tc>
        <w:tc>
          <w:tcPr>
            <w:tcW w:w="1741" w:type="dxa"/>
            <w:tcBorders>
              <w:top w:val="outset" w:sz="6" w:space="0" w:color="auto"/>
              <w:left w:val="outset" w:sz="6" w:space="0" w:color="auto"/>
              <w:bottom w:val="outset" w:sz="6" w:space="0" w:color="auto"/>
              <w:right w:val="outset" w:sz="6" w:space="0" w:color="auto"/>
            </w:tcBorders>
          </w:tcPr>
          <w:p>
            <w:pPr>
              <w:spacing w:before="40"/>
              <w:jc w:val="left"/>
              <w:rPr>
                <w:noProof/>
                <w:spacing w:val="-8"/>
                <w:sz w:val="20"/>
                <w:szCs w:val="20"/>
              </w:rPr>
            </w:pPr>
            <w:r>
              <w:rPr>
                <w:noProof/>
                <w:spacing w:val="-8"/>
                <w:sz w:val="20"/>
              </w:rPr>
              <w:t>Feux de position avant et arrière, feux stop et feux d’encombrement pour les véhicules à moteur et leurs remorques</w:t>
            </w:r>
          </w:p>
        </w:tc>
        <w:tc>
          <w:tcPr>
            <w:tcW w:w="1900"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jc w:val="left"/>
              <w:rPr>
                <w:noProof/>
                <w:spacing w:val="-8"/>
                <w:sz w:val="20"/>
                <w:szCs w:val="20"/>
              </w:rPr>
            </w:pPr>
            <w:r>
              <w:rPr>
                <w:noProof/>
                <w:spacing w:val="-8"/>
                <w:sz w:val="20"/>
              </w:rPr>
              <w:t>Règlement n</w:t>
            </w:r>
            <w:r>
              <w:rPr>
                <w:noProof/>
                <w:spacing w:val="-8"/>
                <w:sz w:val="20"/>
                <w:vertAlign w:val="superscript"/>
              </w:rPr>
              <w:t>o </w:t>
            </w:r>
            <w:r>
              <w:rPr>
                <w:noProof/>
                <w:spacing w:val="-8"/>
                <w:sz w:val="20"/>
              </w:rPr>
              <w:t>7 de la CEE-ONU</w:t>
            </w:r>
          </w:p>
        </w:tc>
        <w:tc>
          <w:tcPr>
            <w:tcW w:w="1554" w:type="dxa"/>
            <w:gridSpan w:val="2"/>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22B</w:t>
            </w:r>
          </w:p>
        </w:tc>
        <w:tc>
          <w:tcPr>
            <w:tcW w:w="1741" w:type="dxa"/>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pacing w:val="-8"/>
                <w:sz w:val="20"/>
                <w:szCs w:val="20"/>
              </w:rPr>
            </w:pPr>
            <w:r>
              <w:rPr>
                <w:noProof/>
                <w:spacing w:val="-8"/>
                <w:sz w:val="20"/>
              </w:rPr>
              <w:t>Feux de circulation diurne pour les véhicules à moteur</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87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22C</w:t>
            </w:r>
          </w:p>
        </w:tc>
        <w:tc>
          <w:tcPr>
            <w:tcW w:w="1741" w:type="dxa"/>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pacing w:val="-8"/>
                <w:sz w:val="20"/>
                <w:szCs w:val="20"/>
              </w:rPr>
            </w:pPr>
            <w:r>
              <w:rPr>
                <w:noProof/>
                <w:spacing w:val="-8"/>
                <w:sz w:val="20"/>
              </w:rPr>
              <w:t>Feux de position latéraux pour les véhicules à moteur et leurs remorques</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91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23A</w:t>
            </w:r>
          </w:p>
        </w:tc>
        <w:tc>
          <w:tcPr>
            <w:tcW w:w="1741" w:type="dxa"/>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pacing w:val="-8"/>
                <w:sz w:val="20"/>
                <w:szCs w:val="20"/>
              </w:rPr>
            </w:pPr>
            <w:r>
              <w:rPr>
                <w:noProof/>
                <w:spacing w:val="-8"/>
                <w:sz w:val="20"/>
              </w:rPr>
              <w:t>Feux indicateurs de direction pour les véhicules à moteur et leurs remorques</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6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24A</w:t>
            </w:r>
          </w:p>
        </w:tc>
        <w:tc>
          <w:tcPr>
            <w:tcW w:w="1741" w:type="dxa"/>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pacing w:val="-8"/>
                <w:sz w:val="20"/>
                <w:szCs w:val="20"/>
              </w:rPr>
            </w:pPr>
            <w:r>
              <w:rPr>
                <w:noProof/>
                <w:spacing w:val="-8"/>
                <w:sz w:val="20"/>
              </w:rPr>
              <w:t xml:space="preserve">Dispositifs d’éclairage de la plaque d’immatriculation arrière des véhicules à moteur et de leurs </w:t>
            </w:r>
            <w:r>
              <w:rPr>
                <w:noProof/>
                <w:spacing w:val="-8"/>
                <w:sz w:val="20"/>
              </w:rPr>
              <w:lastRenderedPageBreak/>
              <w:t>remorques</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lastRenderedPageBreak/>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4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keepNext/>
              <w:spacing w:before="60" w:after="60"/>
              <w:rPr>
                <w:rFonts w:eastAsia="Arial Unicode MS"/>
                <w:noProof/>
                <w:spacing w:val="-8"/>
                <w:sz w:val="20"/>
                <w:szCs w:val="20"/>
              </w:rPr>
            </w:pPr>
            <w:r>
              <w:rPr>
                <w:noProof/>
                <w:spacing w:val="-8"/>
                <w:sz w:val="20"/>
              </w:rPr>
              <w:lastRenderedPageBreak/>
              <w:t>25A</w:t>
            </w:r>
          </w:p>
        </w:tc>
        <w:tc>
          <w:tcPr>
            <w:tcW w:w="1741" w:type="dxa"/>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pacing w:val="-8"/>
                <w:sz w:val="20"/>
                <w:szCs w:val="20"/>
              </w:rPr>
            </w:pPr>
            <w:r>
              <w:rPr>
                <w:noProof/>
                <w:spacing w:val="-8"/>
                <w:sz w:val="20"/>
              </w:rPr>
              <w:t>Projecteurs scellés halogènes, pour véhicules à moteur, émettant un faisceau de croisement asymétrique européen ou un faisceau de route, ou les deux à la fois</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31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25B</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Lampes à incandescence destinées à être utilisées dans les feux homologués des véhicules à moteur et de leurs remorques</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 </w:t>
            </w:r>
            <w:r>
              <w:rPr>
                <w:noProof/>
                <w:spacing w:val="-8"/>
                <w:sz w:val="20"/>
              </w:rPr>
              <w:t>37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25C</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Projecteurs de véhicules à moteur munis de sources lumineuses à décharge</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 </w:t>
            </w:r>
            <w:r>
              <w:rPr>
                <w:noProof/>
                <w:spacing w:val="-8"/>
                <w:sz w:val="20"/>
              </w:rPr>
              <w:t>98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25D</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Sources lumineuses à décharge pour projecteurs homologués de véhicules à moteur</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 </w:t>
            </w:r>
            <w:r>
              <w:rPr>
                <w:noProof/>
                <w:spacing w:val="-8"/>
                <w:sz w:val="20"/>
              </w:rPr>
              <w:t>99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25E</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Projecteurs pour véhicules à moteur émettant un faisceau de croisement asymétrique ou un faisceau de route, ou les deux à la fois, et équipés de lampes à incandescence et/ou de modules DEL</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 </w:t>
            </w:r>
            <w:r>
              <w:rPr>
                <w:noProof/>
                <w:spacing w:val="-8"/>
                <w:sz w:val="20"/>
              </w:rPr>
              <w:t>112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25F</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Systèmes d’éclairage avant adaptatifs (AFS) destinés aux véhicules automobiles</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123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26A</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de brouillard avant des véhicules à moteur</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19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27A</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Dispositifs de remorquage</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 xml:space="preserve">Règlement (UE) </w:t>
            </w:r>
            <w:r>
              <w:rPr>
                <w:noProof/>
                <w:spacing w:val="-8"/>
                <w:sz w:val="20"/>
              </w:rPr>
              <w:lastRenderedPageBreak/>
              <w:t>n</w:t>
            </w:r>
            <w:r>
              <w:rPr>
                <w:noProof/>
                <w:spacing w:val="-8"/>
                <w:sz w:val="20"/>
                <w:vertAlign w:val="superscript"/>
              </w:rPr>
              <w:t>o</w:t>
            </w:r>
            <w:r>
              <w:rPr>
                <w:noProof/>
                <w:spacing w:val="-8"/>
                <w:sz w:val="20"/>
              </w:rPr>
              <w:t> 1005/2010</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keepNext/>
              <w:spacing w:before="60" w:after="60"/>
              <w:rPr>
                <w:rFonts w:eastAsia="Arial Unicode MS"/>
                <w:noProof/>
                <w:spacing w:val="-8"/>
                <w:sz w:val="20"/>
                <w:szCs w:val="20"/>
              </w:rPr>
            </w:pPr>
            <w:r>
              <w:rPr>
                <w:noProof/>
                <w:spacing w:val="-8"/>
                <w:sz w:val="20"/>
              </w:rPr>
              <w:lastRenderedPageBreak/>
              <w:t>28A</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de brouillard arrière des véhicules à moteur et de leurs remorques</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38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29A</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de marche arrière des véhicules à moteur et de leurs remorques</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23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30A</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Feux de stationnement pour véhicules à moteur</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77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31A</w:t>
            </w:r>
          </w:p>
        </w:tc>
        <w:tc>
          <w:tcPr>
            <w:tcW w:w="17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Ceintures de sécurité, systèmes de retenue, dispositifs de retenue pour enfants et dispositifs de retenue pour enfants Isofix</w:t>
            </w:r>
          </w:p>
        </w:tc>
        <w:tc>
          <w:tcPr>
            <w:tcW w:w="1900"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16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Composants</w:t>
            </w: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X</w:t>
            </w:r>
          </w:p>
        </w:tc>
      </w:tr>
      <w:tr>
        <w:trPr>
          <w:tblCellSpacing w:w="0" w:type="dxa"/>
        </w:trPr>
        <w:tc>
          <w:tcPr>
            <w:tcW w:w="70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7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0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54"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Prescriptions relatives à l’installation</w:t>
            </w: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33A</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Emplacement et moyens d’identification des commandes manuelles, des témoins et des indicateurs</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121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A</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34A</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Dispositifs de dégivrage et de désembuage du pare-brise</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672/2010</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Sans objet</w:t>
            </w:r>
          </w:p>
          <w:p>
            <w:pPr>
              <w:spacing w:before="60" w:after="60"/>
              <w:rPr>
                <w:rFonts w:eastAsia="Arial Unicode MS"/>
                <w:noProof/>
                <w:spacing w:val="-8"/>
                <w:sz w:val="20"/>
                <w:szCs w:val="20"/>
              </w:rPr>
            </w:pPr>
            <w:r>
              <w:rPr>
                <w:noProof/>
                <w:spacing w:val="-8"/>
                <w:sz w:val="20"/>
              </w:rPr>
              <w:t>Le véhicule doit être muni d’un système adéquat de dégivrage et de désembuage du pare-brise.</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35A</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Essuie-glace et lave-glace du pare-brise</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1008/2010</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Sans objet</w:t>
            </w:r>
          </w:p>
          <w:p>
            <w:pPr>
              <w:spacing w:before="60" w:after="60"/>
              <w:rPr>
                <w:rFonts w:eastAsia="Arial Unicode MS"/>
                <w:noProof/>
                <w:spacing w:val="-8"/>
                <w:sz w:val="20"/>
                <w:szCs w:val="20"/>
              </w:rPr>
            </w:pPr>
            <w:r>
              <w:rPr>
                <w:noProof/>
                <w:spacing w:val="-8"/>
                <w:sz w:val="20"/>
              </w:rPr>
              <w:t>Le véhicule doit être muni d’un système adéquat d’essuie-glace et de lave-glace du pare-brise.</w:t>
            </w:r>
          </w:p>
        </w:tc>
      </w:tr>
      <w:tr>
        <w:trPr>
          <w:tblCellSpacing w:w="0" w:type="dxa"/>
        </w:trPr>
        <w:tc>
          <w:tcPr>
            <w:tcW w:w="701"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36A</w:t>
            </w:r>
          </w:p>
        </w:tc>
        <w:tc>
          <w:tcPr>
            <w:tcW w:w="17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Systèmes de chauffage</w:t>
            </w:r>
          </w:p>
        </w:tc>
        <w:tc>
          <w:tcPr>
            <w:tcW w:w="1900"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122 de la CEE-ONU</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w:t>
            </w:r>
          </w:p>
          <w:p>
            <w:pPr>
              <w:spacing w:before="60" w:after="60"/>
              <w:rPr>
                <w:rFonts w:eastAsia="Arial Unicode MS"/>
                <w:noProof/>
                <w:spacing w:val="-8"/>
                <w:sz w:val="20"/>
                <w:szCs w:val="20"/>
              </w:rPr>
            </w:pPr>
            <w:r>
              <w:rPr>
                <w:noProof/>
                <w:spacing w:val="-8"/>
                <w:sz w:val="20"/>
              </w:rPr>
              <w:t>L’installation d’un système de chauffage n’est pas requise.</w:t>
            </w:r>
          </w:p>
        </w:tc>
      </w:tr>
      <w:tr>
        <w:trPr>
          <w:tblCellSpacing w:w="0" w:type="dxa"/>
        </w:trPr>
        <w:tc>
          <w:tcPr>
            <w:tcW w:w="70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7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0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54"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a) Tous les systèmes de chauffage</w:t>
            </w: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prescriptions des paragraphes 5.3 et 6 du règlement n</w:t>
            </w:r>
            <w:r>
              <w:rPr>
                <w:noProof/>
                <w:spacing w:val="-8"/>
                <w:sz w:val="20"/>
                <w:vertAlign w:val="superscript"/>
              </w:rPr>
              <w:t>o</w:t>
            </w:r>
            <w:r>
              <w:rPr>
                <w:noProof/>
                <w:spacing w:val="-8"/>
                <w:sz w:val="20"/>
              </w:rPr>
              <w:t> 122 de la CEE-ONU s’appliquent.</w:t>
            </w:r>
          </w:p>
        </w:tc>
      </w:tr>
      <w:tr>
        <w:trPr>
          <w:tblCellSpacing w:w="0" w:type="dxa"/>
        </w:trPr>
        <w:tc>
          <w:tcPr>
            <w:tcW w:w="70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pacing w:val="-8"/>
                <w:sz w:val="20"/>
                <w:szCs w:val="20"/>
              </w:rPr>
            </w:pPr>
          </w:p>
        </w:tc>
        <w:tc>
          <w:tcPr>
            <w:tcW w:w="17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900"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pacing w:val="-8"/>
                <w:sz w:val="20"/>
                <w:szCs w:val="20"/>
              </w:rPr>
            </w:pPr>
          </w:p>
        </w:tc>
        <w:tc>
          <w:tcPr>
            <w:tcW w:w="1554"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pacing w:val="-8"/>
                <w:sz w:val="20"/>
                <w:szCs w:val="20"/>
              </w:rPr>
            </w:pPr>
            <w:r>
              <w:rPr>
                <w:noProof/>
                <w:spacing w:val="-8"/>
                <w:sz w:val="20"/>
              </w:rPr>
              <w:t>b) Systèmes de chauffage LPG</w:t>
            </w: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Les prescriptions de l’annexe 8 du règlement n</w:t>
            </w:r>
            <w:r>
              <w:rPr>
                <w:noProof/>
                <w:spacing w:val="-8"/>
                <w:sz w:val="20"/>
                <w:vertAlign w:val="superscript"/>
              </w:rPr>
              <w:t>o</w:t>
            </w:r>
            <w:r>
              <w:rPr>
                <w:noProof/>
                <w:spacing w:val="-8"/>
                <w:sz w:val="20"/>
              </w:rPr>
              <w:t> 122 de la CEE-ONU s’appliquent.</w:t>
            </w:r>
          </w:p>
        </w:tc>
      </w:tr>
      <w:tr>
        <w:trPr>
          <w:tblCellSpacing w:w="0" w:type="dxa"/>
        </w:trPr>
        <w:tc>
          <w:tcPr>
            <w:tcW w:w="701" w:type="dxa"/>
            <w:vMerge w:val="restart"/>
            <w:tcBorders>
              <w:top w:val="outset" w:sz="6" w:space="0" w:color="auto"/>
              <w:left w:val="outset" w:sz="6" w:space="0" w:color="auto"/>
              <w:right w:val="outset" w:sz="6" w:space="0" w:color="auto"/>
            </w:tcBorders>
            <w:hideMark/>
          </w:tcPr>
          <w:p>
            <w:pPr>
              <w:spacing w:before="40" w:after="40"/>
              <w:rPr>
                <w:rFonts w:eastAsia="Arial Unicode MS"/>
                <w:noProof/>
                <w:spacing w:val="-8"/>
                <w:sz w:val="20"/>
                <w:szCs w:val="20"/>
              </w:rPr>
            </w:pPr>
            <w:r>
              <w:rPr>
                <w:noProof/>
                <w:spacing w:val="-8"/>
                <w:sz w:val="20"/>
              </w:rPr>
              <w:t>41A</w:t>
            </w:r>
          </w:p>
        </w:tc>
        <w:tc>
          <w:tcPr>
            <w:tcW w:w="1741"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pacing w:val="-8"/>
                <w:sz w:val="20"/>
                <w:szCs w:val="20"/>
              </w:rPr>
            </w:pPr>
            <w:r>
              <w:rPr>
                <w:noProof/>
                <w:spacing w:val="-8"/>
                <w:sz w:val="20"/>
              </w:rPr>
              <w:t xml:space="preserve">Émissions (Euro VI) des véhicules </w:t>
            </w:r>
            <w:r>
              <w:rPr>
                <w:noProof/>
                <w:spacing w:val="-8"/>
                <w:sz w:val="20"/>
              </w:rPr>
              <w:lastRenderedPageBreak/>
              <w:t>lourds/accès aux informations</w:t>
            </w:r>
          </w:p>
        </w:tc>
        <w:tc>
          <w:tcPr>
            <w:tcW w:w="1900" w:type="dxa"/>
            <w:gridSpan w:val="2"/>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pacing w:val="-8"/>
                <w:sz w:val="20"/>
                <w:szCs w:val="20"/>
              </w:rPr>
            </w:pPr>
            <w:r>
              <w:rPr>
                <w:noProof/>
                <w:spacing w:val="-8"/>
                <w:sz w:val="20"/>
              </w:rPr>
              <w:lastRenderedPageBreak/>
              <w:t>Règlement (CE) n</w:t>
            </w:r>
            <w:r>
              <w:rPr>
                <w:noProof/>
                <w:spacing w:val="-8"/>
                <w:sz w:val="20"/>
                <w:vertAlign w:val="superscript"/>
              </w:rPr>
              <w:t>o</w:t>
            </w:r>
            <w:r>
              <w:rPr>
                <w:noProof/>
                <w:spacing w:val="-8"/>
                <w:sz w:val="20"/>
              </w:rPr>
              <w:t> 595/2009</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pacing w:val="-8"/>
                <w:sz w:val="20"/>
                <w:szCs w:val="20"/>
              </w:rPr>
            </w:pPr>
            <w:r>
              <w:rPr>
                <w:noProof/>
                <w:spacing w:val="-8"/>
                <w:sz w:val="20"/>
              </w:rPr>
              <w:t>A</w:t>
            </w:r>
          </w:p>
          <w:p>
            <w:pPr>
              <w:spacing w:before="40" w:after="40"/>
              <w:rPr>
                <w:rFonts w:eastAsia="Arial Unicode MS"/>
                <w:noProof/>
                <w:spacing w:val="-8"/>
                <w:sz w:val="20"/>
                <w:szCs w:val="20"/>
              </w:rPr>
            </w:pPr>
            <w:r>
              <w:rPr>
                <w:noProof/>
                <w:spacing w:val="-8"/>
                <w:sz w:val="20"/>
              </w:rPr>
              <w:t xml:space="preserve">À l’exception de l’ensemble des </w:t>
            </w:r>
            <w:r>
              <w:rPr>
                <w:noProof/>
                <w:spacing w:val="-8"/>
                <w:sz w:val="20"/>
              </w:rPr>
              <w:lastRenderedPageBreak/>
              <w:t>prescriptions relatives au système de diagnostic embarqué et à l’accès aux informations.</w:t>
            </w:r>
          </w:p>
        </w:tc>
      </w:tr>
      <w:tr>
        <w:trPr>
          <w:tblCellSpacing w:w="0" w:type="dxa"/>
        </w:trPr>
        <w:tc>
          <w:tcPr>
            <w:tcW w:w="701" w:type="dxa"/>
            <w:vMerge/>
            <w:tcBorders>
              <w:left w:val="outset" w:sz="6" w:space="0" w:color="auto"/>
              <w:bottom w:val="outset" w:sz="6" w:space="0" w:color="auto"/>
              <w:right w:val="outset" w:sz="6" w:space="0" w:color="auto"/>
            </w:tcBorders>
          </w:tcPr>
          <w:p>
            <w:pPr>
              <w:spacing w:before="40" w:after="40"/>
              <w:rPr>
                <w:rFonts w:eastAsia="Arial Unicode MS"/>
                <w:noProof/>
                <w:spacing w:val="-8"/>
                <w:sz w:val="20"/>
                <w:szCs w:val="20"/>
              </w:rPr>
            </w:pPr>
          </w:p>
        </w:tc>
        <w:tc>
          <w:tcPr>
            <w:tcW w:w="1741" w:type="dxa"/>
            <w:vMerge/>
            <w:tcBorders>
              <w:left w:val="outset" w:sz="6" w:space="0" w:color="auto"/>
              <w:bottom w:val="outset" w:sz="6" w:space="0" w:color="auto"/>
              <w:right w:val="outset" w:sz="6" w:space="0" w:color="auto"/>
            </w:tcBorders>
          </w:tcPr>
          <w:p>
            <w:pPr>
              <w:spacing w:before="40" w:after="40"/>
              <w:jc w:val="left"/>
              <w:rPr>
                <w:rFonts w:eastAsia="Arial Unicode MS"/>
                <w:noProof/>
                <w:spacing w:val="-8"/>
                <w:sz w:val="20"/>
                <w:szCs w:val="20"/>
              </w:rPr>
            </w:pPr>
          </w:p>
        </w:tc>
        <w:tc>
          <w:tcPr>
            <w:tcW w:w="1900" w:type="dxa"/>
            <w:gridSpan w:val="2"/>
            <w:vMerge/>
            <w:tcBorders>
              <w:left w:val="outset" w:sz="6" w:space="0" w:color="auto"/>
              <w:bottom w:val="outset" w:sz="6" w:space="0" w:color="auto"/>
              <w:right w:val="outset" w:sz="6" w:space="0" w:color="auto"/>
            </w:tcBorders>
          </w:tcPr>
          <w:p>
            <w:pPr>
              <w:spacing w:before="40" w:after="40"/>
              <w:jc w:val="left"/>
              <w:rPr>
                <w:rFonts w:eastAsia="Arial Unicode MS"/>
                <w:noProof/>
                <w:spacing w:val="-8"/>
                <w:sz w:val="20"/>
                <w:szCs w:val="20"/>
              </w:rPr>
            </w:pPr>
          </w:p>
        </w:tc>
        <w:tc>
          <w:tcPr>
            <w:tcW w:w="1554" w:type="dxa"/>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7"/>
              <w:gridCol w:w="1457"/>
            </w:tblGrid>
            <w:tr>
              <w:trPr>
                <w:tblCellSpacing w:w="0" w:type="dxa"/>
              </w:trPr>
              <w:tc>
                <w:tcPr>
                  <w:tcW w:w="7" w:type="dxa"/>
                  <w:hideMark/>
                </w:tcPr>
                <w:p>
                  <w:pPr>
                    <w:spacing w:after="0"/>
                    <w:rPr>
                      <w:rFonts w:eastAsia="Times New Roman"/>
                      <w:noProof/>
                      <w:spacing w:val="-8"/>
                      <w:sz w:val="20"/>
                      <w:szCs w:val="20"/>
                    </w:rPr>
                  </w:pPr>
                </w:p>
              </w:tc>
              <w:tc>
                <w:tcPr>
                  <w:tcW w:w="1998" w:type="dxa"/>
                  <w:hideMark/>
                </w:tcPr>
                <w:p>
                  <w:pPr>
                    <w:spacing w:after="0"/>
                    <w:rPr>
                      <w:rFonts w:eastAsia="Times New Roman"/>
                      <w:noProof/>
                      <w:spacing w:val="-8"/>
                      <w:sz w:val="20"/>
                      <w:szCs w:val="20"/>
                    </w:rPr>
                  </w:pPr>
                  <w:r>
                    <w:rPr>
                      <w:noProof/>
                      <w:spacing w:val="-8"/>
                      <w:sz w:val="20"/>
                    </w:rPr>
                    <w:t>Mesure de la puissance</w:t>
                  </w:r>
                </w:p>
              </w:tc>
            </w:tr>
          </w:tbl>
          <w:p>
            <w:pPr>
              <w:spacing w:after="0"/>
              <w:rPr>
                <w:rFonts w:eastAsia="Times New Roman"/>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i/>
                <w:noProof/>
                <w:spacing w:val="-8"/>
                <w:sz w:val="20"/>
              </w:rPr>
              <w:t>(Lorsque le constructeur du véhicule utilise un moteur d’un autre constructeur)</w:t>
            </w:r>
            <w:r>
              <w:rPr>
                <w:noProof/>
                <w:spacing w:val="-8"/>
                <w:sz w:val="20"/>
              </w:rPr>
              <w:t xml:space="preserve"> </w:t>
            </w:r>
          </w:p>
          <w:p>
            <w:pPr>
              <w:spacing w:before="60" w:after="60"/>
              <w:rPr>
                <w:rFonts w:eastAsia="Times New Roman"/>
                <w:noProof/>
                <w:spacing w:val="-8"/>
                <w:sz w:val="20"/>
                <w:szCs w:val="20"/>
              </w:rPr>
            </w:pPr>
            <w:r>
              <w:rPr>
                <w:noProof/>
                <w:spacing w:val="-8"/>
                <w:sz w:val="20"/>
              </w:rPr>
              <w:t>Les données sur les essais au banc réalisés par le constructeur du moteur sont acceptées, à condition que le système de gestion du moteur soit identique (c’est-à-dire ait au moins la même unité ECU).</w:t>
            </w:r>
          </w:p>
          <w:p>
            <w:pPr>
              <w:spacing w:before="60" w:after="60"/>
              <w:rPr>
                <w:rFonts w:eastAsia="Times New Roman"/>
                <w:noProof/>
                <w:spacing w:val="-8"/>
                <w:sz w:val="20"/>
                <w:szCs w:val="20"/>
              </w:rPr>
            </w:pPr>
            <w:r>
              <w:rPr>
                <w:noProof/>
                <w:spacing w:val="-8"/>
                <w:sz w:val="20"/>
              </w:rPr>
              <w:t>Les essais sur la puissance de sortie peuvent être effectués sur un banc dynamométrique. La perte de puissance dans la transmission doit être prise en compte.</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43A</w:t>
            </w:r>
          </w:p>
        </w:tc>
        <w:tc>
          <w:tcPr>
            <w:tcW w:w="17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Systèmes antiprojections</w:t>
            </w:r>
          </w:p>
        </w:tc>
        <w:tc>
          <w:tcPr>
            <w:tcW w:w="1900"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109/2011</w:t>
            </w:r>
          </w:p>
        </w:tc>
        <w:tc>
          <w:tcPr>
            <w:tcW w:w="1554"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B</w:t>
            </w:r>
          </w:p>
        </w:tc>
      </w:tr>
      <w:tr>
        <w:trPr>
          <w:trHeight w:val="312"/>
          <w:tblCellSpacing w:w="0" w:type="dxa"/>
        </w:trPr>
        <w:tc>
          <w:tcPr>
            <w:tcW w:w="701" w:type="dxa"/>
            <w:vMerge w:val="restart"/>
            <w:tcBorders>
              <w:top w:val="outset" w:sz="6" w:space="0" w:color="auto"/>
              <w:left w:val="outset" w:sz="6" w:space="0" w:color="auto"/>
              <w:right w:val="outset" w:sz="6" w:space="0" w:color="auto"/>
            </w:tcBorders>
          </w:tcPr>
          <w:p>
            <w:pPr>
              <w:rPr>
                <w:noProof/>
                <w:spacing w:val="-8"/>
                <w:sz w:val="20"/>
                <w:szCs w:val="20"/>
              </w:rPr>
            </w:pPr>
            <w:r>
              <w:rPr>
                <w:noProof/>
                <w:spacing w:val="-8"/>
                <w:sz w:val="20"/>
              </w:rPr>
              <w:t>45A</w:t>
            </w:r>
          </w:p>
        </w:tc>
        <w:tc>
          <w:tcPr>
            <w:tcW w:w="1741" w:type="dxa"/>
            <w:vMerge w:val="restart"/>
            <w:tcBorders>
              <w:top w:val="outset" w:sz="6" w:space="0" w:color="auto"/>
              <w:left w:val="outset" w:sz="6" w:space="0" w:color="auto"/>
              <w:right w:val="outset" w:sz="6" w:space="0" w:color="auto"/>
            </w:tcBorders>
          </w:tcPr>
          <w:p>
            <w:pPr>
              <w:jc w:val="left"/>
              <w:rPr>
                <w:noProof/>
                <w:spacing w:val="-8"/>
                <w:sz w:val="20"/>
                <w:szCs w:val="20"/>
              </w:rPr>
            </w:pPr>
            <w:r>
              <w:rPr>
                <w:noProof/>
                <w:spacing w:val="-8"/>
                <w:sz w:val="20"/>
              </w:rPr>
              <w:t>Vitrages de sécurité et leur installation sur les véhicules</w:t>
            </w:r>
          </w:p>
        </w:tc>
        <w:tc>
          <w:tcPr>
            <w:tcW w:w="1900" w:type="dxa"/>
            <w:gridSpan w:val="2"/>
            <w:vMerge w:val="restart"/>
            <w:tcBorders>
              <w:top w:val="outset" w:sz="6" w:space="0" w:color="auto"/>
              <w:left w:val="outset" w:sz="6" w:space="0" w:color="auto"/>
              <w:right w:val="outset" w:sz="6" w:space="0" w:color="auto"/>
            </w:tcBorders>
          </w:tcPr>
          <w:p>
            <w:pPr>
              <w:jc w:val="left"/>
              <w:rPr>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jc w:val="left"/>
              <w:rPr>
                <w:noProof/>
                <w:spacing w:val="-8"/>
                <w:sz w:val="20"/>
                <w:szCs w:val="20"/>
              </w:rPr>
            </w:pPr>
            <w:r>
              <w:rPr>
                <w:noProof/>
                <w:spacing w:val="-8"/>
                <w:sz w:val="20"/>
              </w:rPr>
              <w:t>Règlement n</w:t>
            </w:r>
            <w:r>
              <w:rPr>
                <w:noProof/>
                <w:spacing w:val="-8"/>
                <w:sz w:val="20"/>
                <w:vertAlign w:val="superscript"/>
              </w:rPr>
              <w:t>o </w:t>
            </w:r>
            <w:r>
              <w:rPr>
                <w:noProof/>
                <w:spacing w:val="-8"/>
                <w:sz w:val="20"/>
              </w:rPr>
              <w:t>43 de la CEE-ONU</w:t>
            </w:r>
          </w:p>
        </w:tc>
        <w:tc>
          <w:tcPr>
            <w:tcW w:w="1554"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szCs w:val="20"/>
              </w:rPr>
              <w:t>a) Composants</w:t>
            </w: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X</w:t>
            </w:r>
          </w:p>
        </w:tc>
      </w:tr>
      <w:tr>
        <w:trPr>
          <w:trHeight w:val="312"/>
          <w:tblCellSpacing w:w="0" w:type="dxa"/>
        </w:trPr>
        <w:tc>
          <w:tcPr>
            <w:tcW w:w="701" w:type="dxa"/>
            <w:vMerge/>
            <w:tcBorders>
              <w:left w:val="outset" w:sz="6" w:space="0" w:color="auto"/>
              <w:bottom w:val="outset" w:sz="6" w:space="0" w:color="auto"/>
              <w:right w:val="outset" w:sz="6" w:space="0" w:color="auto"/>
            </w:tcBorders>
          </w:tcPr>
          <w:p>
            <w:pPr>
              <w:rPr>
                <w:noProof/>
                <w:spacing w:val="-8"/>
                <w:sz w:val="20"/>
              </w:rPr>
            </w:pPr>
          </w:p>
        </w:tc>
        <w:tc>
          <w:tcPr>
            <w:tcW w:w="1741" w:type="dxa"/>
            <w:vMerge/>
            <w:tcBorders>
              <w:left w:val="outset" w:sz="6" w:space="0" w:color="auto"/>
              <w:bottom w:val="outset" w:sz="6" w:space="0" w:color="auto"/>
              <w:right w:val="outset" w:sz="6" w:space="0" w:color="auto"/>
            </w:tcBorders>
          </w:tcPr>
          <w:p>
            <w:pPr>
              <w:jc w:val="left"/>
              <w:rPr>
                <w:noProof/>
                <w:spacing w:val="-8"/>
                <w:sz w:val="20"/>
              </w:rPr>
            </w:pPr>
          </w:p>
        </w:tc>
        <w:tc>
          <w:tcPr>
            <w:tcW w:w="1900" w:type="dxa"/>
            <w:gridSpan w:val="2"/>
            <w:vMerge/>
            <w:tcBorders>
              <w:left w:val="outset" w:sz="6" w:space="0" w:color="auto"/>
              <w:bottom w:val="outset" w:sz="6" w:space="0" w:color="auto"/>
              <w:right w:val="outset" w:sz="6" w:space="0" w:color="auto"/>
            </w:tcBorders>
          </w:tcPr>
          <w:p>
            <w:pPr>
              <w:jc w:val="left"/>
              <w:rPr>
                <w:noProof/>
                <w:spacing w:val="-8"/>
                <w:sz w:val="20"/>
              </w:rPr>
            </w:pPr>
          </w:p>
        </w:tc>
        <w:tc>
          <w:tcPr>
            <w:tcW w:w="1554"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szCs w:val="20"/>
              </w:rPr>
              <w:t>b) Installation</w:t>
            </w: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szCs w:val="20"/>
              </w:rPr>
              <w:t>B</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tcPr>
          <w:p>
            <w:pPr>
              <w:rPr>
                <w:noProof/>
                <w:spacing w:val="-8"/>
                <w:sz w:val="20"/>
                <w:szCs w:val="20"/>
              </w:rPr>
            </w:pPr>
            <w:r>
              <w:rPr>
                <w:noProof/>
                <w:spacing w:val="-8"/>
                <w:sz w:val="20"/>
              </w:rPr>
              <w:t>46</w:t>
            </w:r>
          </w:p>
        </w:tc>
        <w:tc>
          <w:tcPr>
            <w:tcW w:w="1741"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Pneumatiques</w:t>
            </w:r>
          </w:p>
        </w:tc>
        <w:tc>
          <w:tcPr>
            <w:tcW w:w="1900"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Directive 92/23/CEE</w:t>
            </w:r>
          </w:p>
        </w:tc>
        <w:tc>
          <w:tcPr>
            <w:tcW w:w="1554"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Composants</w:t>
            </w: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tcPr>
          <w:p>
            <w:pPr>
              <w:rPr>
                <w:noProof/>
                <w:spacing w:val="-8"/>
                <w:sz w:val="20"/>
                <w:szCs w:val="20"/>
              </w:rPr>
            </w:pPr>
            <w:r>
              <w:rPr>
                <w:noProof/>
                <w:spacing w:val="-8"/>
                <w:sz w:val="20"/>
              </w:rPr>
              <w:t>46A</w:t>
            </w:r>
          </w:p>
        </w:tc>
        <w:tc>
          <w:tcPr>
            <w:tcW w:w="1741"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Montage des pneumatiques</w:t>
            </w:r>
          </w:p>
        </w:tc>
        <w:tc>
          <w:tcPr>
            <w:tcW w:w="1900"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jc w:val="left"/>
              <w:rPr>
                <w:noProof/>
                <w:spacing w:val="-8"/>
                <w:sz w:val="20"/>
                <w:szCs w:val="20"/>
              </w:rPr>
            </w:pPr>
            <w:r>
              <w:rPr>
                <w:noProof/>
                <w:spacing w:val="-8"/>
                <w:sz w:val="20"/>
              </w:rPr>
              <w:t>Règlement (UE) n</w:t>
            </w:r>
            <w:r>
              <w:rPr>
                <w:noProof/>
                <w:spacing w:val="-8"/>
                <w:sz w:val="20"/>
                <w:vertAlign w:val="superscript"/>
              </w:rPr>
              <w:t>o</w:t>
            </w:r>
            <w:r>
              <w:rPr>
                <w:noProof/>
                <w:spacing w:val="-8"/>
                <w:sz w:val="20"/>
              </w:rPr>
              <w:t> 458/2011</w:t>
            </w:r>
          </w:p>
        </w:tc>
        <w:tc>
          <w:tcPr>
            <w:tcW w:w="1554"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B</w:t>
            </w:r>
          </w:p>
          <w:p>
            <w:pPr>
              <w:jc w:val="left"/>
              <w:rPr>
                <w:noProof/>
                <w:spacing w:val="-8"/>
                <w:sz w:val="20"/>
                <w:szCs w:val="20"/>
              </w:rPr>
            </w:pPr>
            <w:r>
              <w:rPr>
                <w:noProof/>
                <w:spacing w:val="-8"/>
                <w:sz w:val="20"/>
              </w:rPr>
              <w:t>Les dates d’application progressive sont celles énoncées à l’article 13 du règlement (CE) n</w:t>
            </w:r>
            <w:r>
              <w:rPr>
                <w:noProof/>
                <w:spacing w:val="-8"/>
                <w:sz w:val="20"/>
                <w:vertAlign w:val="superscript"/>
              </w:rPr>
              <w:t>o</w:t>
            </w:r>
            <w:r>
              <w:rPr>
                <w:noProof/>
                <w:spacing w:val="-8"/>
                <w:sz w:val="20"/>
              </w:rPr>
              <w:t> 661/2009.</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tcPr>
          <w:p>
            <w:pPr>
              <w:rPr>
                <w:noProof/>
                <w:spacing w:val="-8"/>
                <w:sz w:val="20"/>
                <w:szCs w:val="20"/>
              </w:rPr>
            </w:pPr>
            <w:r>
              <w:rPr>
                <w:noProof/>
                <w:spacing w:val="-8"/>
                <w:sz w:val="20"/>
              </w:rPr>
              <w:t>46B</w:t>
            </w:r>
          </w:p>
        </w:tc>
        <w:tc>
          <w:tcPr>
            <w:tcW w:w="1741"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Pneumatiques pour les véhicules à moteur et leurs remorques (classe C1)</w:t>
            </w:r>
          </w:p>
        </w:tc>
        <w:tc>
          <w:tcPr>
            <w:tcW w:w="1900"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jc w:val="left"/>
              <w:rPr>
                <w:noProof/>
                <w:spacing w:val="-8"/>
                <w:sz w:val="20"/>
                <w:szCs w:val="20"/>
              </w:rPr>
            </w:pPr>
            <w:r>
              <w:rPr>
                <w:noProof/>
                <w:spacing w:val="-8"/>
                <w:sz w:val="20"/>
              </w:rPr>
              <w:t>Règlement n</w:t>
            </w:r>
            <w:r>
              <w:rPr>
                <w:noProof/>
                <w:spacing w:val="-8"/>
                <w:sz w:val="20"/>
                <w:vertAlign w:val="superscript"/>
              </w:rPr>
              <w:t>o </w:t>
            </w:r>
            <w:r>
              <w:rPr>
                <w:noProof/>
                <w:spacing w:val="-8"/>
                <w:sz w:val="20"/>
              </w:rPr>
              <w:t>30 de la CEE-ONU</w:t>
            </w:r>
          </w:p>
        </w:tc>
        <w:tc>
          <w:tcPr>
            <w:tcW w:w="1554"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Composants</w:t>
            </w: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tcPr>
          <w:p>
            <w:pPr>
              <w:rPr>
                <w:noProof/>
                <w:spacing w:val="-8"/>
                <w:sz w:val="20"/>
                <w:szCs w:val="20"/>
              </w:rPr>
            </w:pPr>
            <w:r>
              <w:rPr>
                <w:noProof/>
                <w:spacing w:val="-8"/>
                <w:sz w:val="20"/>
              </w:rPr>
              <w:t>46C</w:t>
            </w:r>
          </w:p>
        </w:tc>
        <w:tc>
          <w:tcPr>
            <w:tcW w:w="1741"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Pneumatiques pour les véhicules utilitaires et leurs remorques (classes C2 et C3)</w:t>
            </w:r>
          </w:p>
        </w:tc>
        <w:tc>
          <w:tcPr>
            <w:tcW w:w="1900"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jc w:val="left"/>
              <w:rPr>
                <w:noProof/>
                <w:spacing w:val="-8"/>
                <w:sz w:val="20"/>
                <w:szCs w:val="20"/>
              </w:rPr>
            </w:pPr>
            <w:r>
              <w:rPr>
                <w:noProof/>
                <w:spacing w:val="-8"/>
                <w:sz w:val="20"/>
              </w:rPr>
              <w:t>Règlement n</w:t>
            </w:r>
            <w:r>
              <w:rPr>
                <w:noProof/>
                <w:spacing w:val="-8"/>
                <w:sz w:val="20"/>
                <w:vertAlign w:val="superscript"/>
              </w:rPr>
              <w:t>o </w:t>
            </w:r>
            <w:r>
              <w:rPr>
                <w:noProof/>
                <w:spacing w:val="-8"/>
                <w:sz w:val="20"/>
              </w:rPr>
              <w:t>54 de la CEE-ONU</w:t>
            </w:r>
          </w:p>
        </w:tc>
        <w:tc>
          <w:tcPr>
            <w:tcW w:w="1554"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Composants</w:t>
            </w: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X</w:t>
            </w:r>
          </w:p>
        </w:tc>
      </w:tr>
      <w:tr>
        <w:trPr>
          <w:tblCellSpacing w:w="0" w:type="dxa"/>
        </w:trPr>
        <w:tc>
          <w:tcPr>
            <w:tcW w:w="701" w:type="dxa"/>
            <w:tcBorders>
              <w:top w:val="outset" w:sz="6" w:space="0" w:color="auto"/>
              <w:left w:val="outset" w:sz="6" w:space="0" w:color="auto"/>
              <w:bottom w:val="outset" w:sz="6" w:space="0" w:color="auto"/>
              <w:right w:val="outset" w:sz="6" w:space="0" w:color="auto"/>
            </w:tcBorders>
          </w:tcPr>
          <w:p>
            <w:pPr>
              <w:rPr>
                <w:noProof/>
                <w:spacing w:val="-8"/>
                <w:sz w:val="20"/>
                <w:szCs w:val="20"/>
              </w:rPr>
            </w:pPr>
            <w:r>
              <w:rPr>
                <w:noProof/>
                <w:spacing w:val="-8"/>
                <w:sz w:val="20"/>
              </w:rPr>
              <w:t>46D</w:t>
            </w:r>
          </w:p>
        </w:tc>
        <w:tc>
          <w:tcPr>
            <w:tcW w:w="1741"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Émissions sonores de roulement, adhérence sur sol mouillé et résistance au roulement (classes C1, C2 et C3)</w:t>
            </w:r>
          </w:p>
        </w:tc>
        <w:tc>
          <w:tcPr>
            <w:tcW w:w="1900"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jc w:val="left"/>
              <w:rPr>
                <w:noProof/>
                <w:spacing w:val="-8"/>
                <w:sz w:val="20"/>
                <w:szCs w:val="20"/>
              </w:rPr>
            </w:pPr>
            <w:r>
              <w:rPr>
                <w:noProof/>
                <w:spacing w:val="-8"/>
                <w:sz w:val="20"/>
              </w:rPr>
              <w:t>Règlement n</w:t>
            </w:r>
            <w:r>
              <w:rPr>
                <w:noProof/>
                <w:spacing w:val="-8"/>
                <w:sz w:val="20"/>
                <w:vertAlign w:val="superscript"/>
              </w:rPr>
              <w:t>o </w:t>
            </w:r>
            <w:r>
              <w:rPr>
                <w:noProof/>
                <w:spacing w:val="-8"/>
                <w:sz w:val="20"/>
              </w:rPr>
              <w:t>117 de la CEE-ONU</w:t>
            </w:r>
          </w:p>
        </w:tc>
        <w:tc>
          <w:tcPr>
            <w:tcW w:w="1554" w:type="dxa"/>
            <w:gridSpan w:val="2"/>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Composants</w:t>
            </w:r>
          </w:p>
        </w:tc>
        <w:tc>
          <w:tcPr>
            <w:tcW w:w="3348" w:type="dxa"/>
            <w:tcBorders>
              <w:top w:val="outset" w:sz="6" w:space="0" w:color="auto"/>
              <w:left w:val="outset" w:sz="6" w:space="0" w:color="auto"/>
              <w:bottom w:val="outset" w:sz="6" w:space="0" w:color="auto"/>
              <w:right w:val="outset" w:sz="6" w:space="0" w:color="auto"/>
            </w:tcBorders>
          </w:tcPr>
          <w:p>
            <w:pPr>
              <w:jc w:val="left"/>
              <w:rPr>
                <w:noProof/>
                <w:spacing w:val="-8"/>
                <w:sz w:val="20"/>
                <w:szCs w:val="20"/>
              </w:rPr>
            </w:pPr>
            <w:r>
              <w:rPr>
                <w:noProof/>
                <w:spacing w:val="-8"/>
                <w:sz w:val="20"/>
              </w:rPr>
              <w:t>X</w:t>
            </w:r>
          </w:p>
        </w:tc>
      </w:tr>
      <w:tr>
        <w:trPr>
          <w:trHeight w:val="701"/>
          <w:tblCellSpacing w:w="0" w:type="dxa"/>
        </w:trPr>
        <w:tc>
          <w:tcPr>
            <w:tcW w:w="701" w:type="dxa"/>
            <w:vMerge w:val="restart"/>
            <w:tcBorders>
              <w:top w:val="outset" w:sz="6" w:space="0" w:color="auto"/>
              <w:left w:val="outset" w:sz="6" w:space="0" w:color="auto"/>
              <w:right w:val="outset" w:sz="6" w:space="0" w:color="auto"/>
            </w:tcBorders>
          </w:tcPr>
          <w:p>
            <w:pPr>
              <w:keepNext/>
              <w:rPr>
                <w:rFonts w:eastAsia="Arial Unicode MS"/>
                <w:noProof/>
                <w:spacing w:val="-8"/>
                <w:sz w:val="20"/>
                <w:szCs w:val="20"/>
              </w:rPr>
            </w:pPr>
            <w:r>
              <w:rPr>
                <w:noProof/>
                <w:spacing w:val="-8"/>
                <w:sz w:val="20"/>
              </w:rPr>
              <w:lastRenderedPageBreak/>
              <w:t>46E</w:t>
            </w:r>
          </w:p>
        </w:tc>
        <w:tc>
          <w:tcPr>
            <w:tcW w:w="1741" w:type="dxa"/>
            <w:vMerge w:val="restart"/>
            <w:tcBorders>
              <w:top w:val="outset" w:sz="6" w:space="0" w:color="auto"/>
              <w:left w:val="outset" w:sz="6" w:space="0" w:color="auto"/>
              <w:right w:val="outset" w:sz="6" w:space="0" w:color="auto"/>
            </w:tcBorders>
          </w:tcPr>
          <w:p>
            <w:pPr>
              <w:keepNext/>
              <w:spacing w:before="60" w:after="60"/>
              <w:jc w:val="left"/>
              <w:rPr>
                <w:rFonts w:eastAsia="Arial Unicode MS"/>
                <w:noProof/>
                <w:spacing w:val="-8"/>
                <w:sz w:val="20"/>
                <w:szCs w:val="20"/>
              </w:rPr>
            </w:pPr>
            <w:r>
              <w:rPr>
                <w:noProof/>
                <w:spacing w:val="-8"/>
                <w:sz w:val="20"/>
              </w:rPr>
              <w:t>Équipement de secours à usage temporaire, pneumatiques/système pour roulage à plat et système de surveillance de la pression des pneumatiques</w:t>
            </w:r>
          </w:p>
        </w:tc>
        <w:tc>
          <w:tcPr>
            <w:tcW w:w="1900" w:type="dxa"/>
            <w:gridSpan w:val="2"/>
            <w:vMerge w:val="restart"/>
            <w:tcBorders>
              <w:top w:val="outset" w:sz="6" w:space="0" w:color="auto"/>
              <w:left w:val="outset" w:sz="6" w:space="0" w:color="auto"/>
              <w:right w:val="outset" w:sz="6" w:space="0" w:color="auto"/>
            </w:tcBorders>
          </w:tcPr>
          <w:p>
            <w:pPr>
              <w:keepNext/>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keepNext/>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64 de la CEE-ONU</w:t>
            </w:r>
          </w:p>
        </w:tc>
        <w:tc>
          <w:tcPr>
            <w:tcW w:w="1554" w:type="dxa"/>
            <w:gridSpan w:val="2"/>
            <w:tcBorders>
              <w:top w:val="outset" w:sz="6" w:space="0" w:color="auto"/>
              <w:left w:val="outset" w:sz="6" w:space="0" w:color="auto"/>
              <w:bottom w:val="outset" w:sz="6" w:space="0" w:color="auto"/>
              <w:right w:val="outset" w:sz="6" w:space="0" w:color="auto"/>
            </w:tcBorders>
          </w:tcPr>
          <w:p>
            <w:pPr>
              <w:keepNext/>
              <w:spacing w:before="60" w:after="60"/>
              <w:ind w:left="238" w:hanging="238"/>
              <w:jc w:val="left"/>
              <w:rPr>
                <w:rFonts w:eastAsia="Arial Unicode MS"/>
                <w:noProof/>
                <w:spacing w:val="-8"/>
                <w:sz w:val="20"/>
                <w:szCs w:val="20"/>
              </w:rPr>
            </w:pPr>
            <w:r>
              <w:rPr>
                <w:noProof/>
                <w:spacing w:val="-8"/>
                <w:sz w:val="20"/>
              </w:rPr>
              <w:t>Composants</w:t>
            </w:r>
          </w:p>
        </w:tc>
        <w:tc>
          <w:tcPr>
            <w:tcW w:w="3348" w:type="dxa"/>
            <w:tcBorders>
              <w:top w:val="outset" w:sz="6" w:space="0" w:color="auto"/>
              <w:left w:val="outset" w:sz="6" w:space="0" w:color="auto"/>
              <w:bottom w:val="outset" w:sz="6" w:space="0" w:color="auto"/>
              <w:right w:val="outset" w:sz="6" w:space="0" w:color="auto"/>
            </w:tcBorders>
          </w:tcPr>
          <w:p>
            <w:pPr>
              <w:keepNext/>
              <w:spacing w:before="60" w:after="60"/>
              <w:rPr>
                <w:rFonts w:eastAsia="Arial Unicode MS"/>
                <w:noProof/>
                <w:spacing w:val="-8"/>
                <w:sz w:val="20"/>
                <w:szCs w:val="20"/>
              </w:rPr>
            </w:pPr>
            <w:r>
              <w:rPr>
                <w:noProof/>
                <w:spacing w:val="-8"/>
                <w:sz w:val="20"/>
              </w:rPr>
              <w:t>X</w:t>
            </w:r>
          </w:p>
        </w:tc>
      </w:tr>
      <w:tr>
        <w:trPr>
          <w:trHeight w:val="701"/>
          <w:tblCellSpacing w:w="0" w:type="dxa"/>
        </w:trPr>
        <w:tc>
          <w:tcPr>
            <w:tcW w:w="701" w:type="dxa"/>
            <w:vMerge/>
            <w:tcBorders>
              <w:left w:val="outset" w:sz="6" w:space="0" w:color="auto"/>
              <w:bottom w:val="outset" w:sz="6" w:space="0" w:color="auto"/>
              <w:right w:val="outset" w:sz="6" w:space="0" w:color="auto"/>
            </w:tcBorders>
          </w:tcPr>
          <w:p>
            <w:pPr>
              <w:keepNext/>
              <w:rPr>
                <w:noProof/>
                <w:spacing w:val="-8"/>
                <w:sz w:val="20"/>
              </w:rPr>
            </w:pPr>
          </w:p>
        </w:tc>
        <w:tc>
          <w:tcPr>
            <w:tcW w:w="1741" w:type="dxa"/>
            <w:vMerge/>
            <w:tcBorders>
              <w:left w:val="outset" w:sz="6" w:space="0" w:color="auto"/>
              <w:bottom w:val="outset" w:sz="6" w:space="0" w:color="auto"/>
              <w:right w:val="outset" w:sz="6" w:space="0" w:color="auto"/>
            </w:tcBorders>
          </w:tcPr>
          <w:p>
            <w:pPr>
              <w:keepNext/>
              <w:spacing w:before="60" w:after="60"/>
              <w:jc w:val="left"/>
              <w:rPr>
                <w:noProof/>
                <w:spacing w:val="-8"/>
                <w:sz w:val="20"/>
              </w:rPr>
            </w:pPr>
          </w:p>
        </w:tc>
        <w:tc>
          <w:tcPr>
            <w:tcW w:w="1900" w:type="dxa"/>
            <w:gridSpan w:val="2"/>
            <w:vMerge/>
            <w:tcBorders>
              <w:left w:val="outset" w:sz="6" w:space="0" w:color="auto"/>
              <w:bottom w:val="outset" w:sz="6" w:space="0" w:color="auto"/>
              <w:right w:val="outset" w:sz="6" w:space="0" w:color="auto"/>
            </w:tcBorders>
          </w:tcPr>
          <w:p>
            <w:pPr>
              <w:keepNext/>
              <w:spacing w:before="60" w:after="60"/>
              <w:jc w:val="left"/>
              <w:rPr>
                <w:noProof/>
                <w:spacing w:val="-8"/>
                <w:sz w:val="20"/>
              </w:rPr>
            </w:pPr>
          </w:p>
        </w:tc>
        <w:tc>
          <w:tcPr>
            <w:tcW w:w="1554" w:type="dxa"/>
            <w:gridSpan w:val="2"/>
            <w:tcBorders>
              <w:top w:val="outset" w:sz="6" w:space="0" w:color="auto"/>
              <w:left w:val="outset" w:sz="6" w:space="0" w:color="auto"/>
              <w:bottom w:val="outset" w:sz="6" w:space="0" w:color="auto"/>
              <w:right w:val="outset" w:sz="6" w:space="0" w:color="auto"/>
            </w:tcBorders>
          </w:tcPr>
          <w:p>
            <w:pPr>
              <w:keepNext/>
              <w:spacing w:before="60" w:after="60"/>
              <w:ind w:left="238" w:hanging="238"/>
              <w:jc w:val="left"/>
              <w:rPr>
                <w:noProof/>
                <w:spacing w:val="-8"/>
                <w:sz w:val="20"/>
              </w:rPr>
            </w:pPr>
            <w:r>
              <w:rPr>
                <w:noProof/>
                <w:spacing w:val="-8"/>
                <w:sz w:val="20"/>
              </w:rPr>
              <w:tab/>
              <w:t>Montage d’un système de surveillance de la pression des pneumatiques</w:t>
            </w:r>
          </w:p>
        </w:tc>
        <w:tc>
          <w:tcPr>
            <w:tcW w:w="3348" w:type="dxa"/>
            <w:tcBorders>
              <w:top w:val="outset" w:sz="6" w:space="0" w:color="auto"/>
              <w:left w:val="outset" w:sz="6" w:space="0" w:color="auto"/>
              <w:bottom w:val="outset" w:sz="6" w:space="0" w:color="auto"/>
              <w:right w:val="outset" w:sz="6" w:space="0" w:color="auto"/>
            </w:tcBorders>
          </w:tcPr>
          <w:p>
            <w:pPr>
              <w:keepNext/>
              <w:spacing w:before="40" w:after="40"/>
              <w:rPr>
                <w:rFonts w:eastAsia="Arial Unicode MS"/>
                <w:noProof/>
                <w:spacing w:val="-8"/>
                <w:sz w:val="20"/>
                <w:szCs w:val="20"/>
              </w:rPr>
            </w:pPr>
            <w:r>
              <w:rPr>
                <w:noProof/>
                <w:spacing w:val="-8"/>
                <w:sz w:val="20"/>
              </w:rPr>
              <w:t>B</w:t>
            </w:r>
          </w:p>
          <w:p>
            <w:pPr>
              <w:keepNext/>
              <w:spacing w:before="60" w:after="60"/>
              <w:jc w:val="left"/>
              <w:rPr>
                <w:noProof/>
                <w:spacing w:val="-8"/>
                <w:sz w:val="20"/>
              </w:rPr>
            </w:pPr>
            <w:r>
              <w:rPr>
                <w:noProof/>
                <w:spacing w:val="-8"/>
                <w:sz w:val="20"/>
              </w:rPr>
              <w:t>L’installation d’un système TPMS n’est pas requise.</w:t>
            </w:r>
          </w:p>
        </w:tc>
      </w:tr>
      <w:tr>
        <w:trPr>
          <w:trHeight w:val="701"/>
          <w:tblCellSpacing w:w="0" w:type="dxa"/>
        </w:trPr>
        <w:tc>
          <w:tcPr>
            <w:tcW w:w="701" w:type="dxa"/>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48A</w:t>
            </w:r>
          </w:p>
        </w:tc>
        <w:tc>
          <w:tcPr>
            <w:tcW w:w="1741" w:type="dxa"/>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Masses et dimensions</w:t>
            </w:r>
          </w:p>
        </w:tc>
        <w:tc>
          <w:tcPr>
            <w:tcW w:w="1900" w:type="dxa"/>
            <w:gridSpan w:val="2"/>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tc>
        <w:tc>
          <w:tcPr>
            <w:tcW w:w="1554" w:type="dxa"/>
            <w:gridSpan w:val="2"/>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B</w:t>
            </w:r>
          </w:p>
        </w:tc>
      </w:tr>
      <w:tr>
        <w:trPr>
          <w:trHeight w:val="701"/>
          <w:tblCellSpacing w:w="0" w:type="dxa"/>
        </w:trPr>
        <w:tc>
          <w:tcPr>
            <w:tcW w:w="701" w:type="dxa"/>
            <w:tcBorders>
              <w:left w:val="outset" w:sz="6" w:space="0" w:color="auto"/>
              <w:bottom w:val="outset" w:sz="6" w:space="0" w:color="auto"/>
              <w:right w:val="outset" w:sz="6" w:space="0" w:color="auto"/>
            </w:tcBorders>
          </w:tcPr>
          <w:p>
            <w:pPr>
              <w:spacing w:before="60" w:after="60"/>
              <w:rPr>
                <w:noProof/>
                <w:spacing w:val="-8"/>
                <w:sz w:val="20"/>
              </w:rPr>
            </w:pPr>
          </w:p>
        </w:tc>
        <w:tc>
          <w:tcPr>
            <w:tcW w:w="1741" w:type="dxa"/>
            <w:tcBorders>
              <w:left w:val="outset" w:sz="6" w:space="0" w:color="auto"/>
              <w:bottom w:val="outset" w:sz="6" w:space="0" w:color="auto"/>
              <w:right w:val="outset" w:sz="6" w:space="0" w:color="auto"/>
            </w:tcBorders>
          </w:tcPr>
          <w:p>
            <w:pPr>
              <w:spacing w:before="60" w:after="60"/>
              <w:jc w:val="left"/>
              <w:rPr>
                <w:noProof/>
                <w:spacing w:val="-8"/>
                <w:sz w:val="20"/>
              </w:rPr>
            </w:pPr>
          </w:p>
        </w:tc>
        <w:tc>
          <w:tcPr>
            <w:tcW w:w="1900" w:type="dxa"/>
            <w:gridSpan w:val="2"/>
            <w:tcBorders>
              <w:left w:val="outset" w:sz="6" w:space="0" w:color="auto"/>
              <w:bottom w:val="outset" w:sz="6" w:space="0" w:color="auto"/>
              <w:right w:val="outset" w:sz="6" w:space="0" w:color="auto"/>
            </w:tcBorders>
          </w:tcPr>
          <w:p>
            <w:pPr>
              <w:spacing w:before="60" w:after="60"/>
              <w:jc w:val="left"/>
              <w:rPr>
                <w:noProof/>
                <w:spacing w:val="-8"/>
                <w:sz w:val="20"/>
              </w:rPr>
            </w:pPr>
          </w:p>
        </w:tc>
        <w:tc>
          <w:tcPr>
            <w:tcW w:w="1554" w:type="dxa"/>
            <w:gridSpan w:val="2"/>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pacing w:val="-8"/>
                <w:sz w:val="20"/>
                <w:szCs w:val="20"/>
              </w:rPr>
            </w:pPr>
            <w:r>
              <w:rPr>
                <w:noProof/>
                <w:spacing w:val="-8"/>
              </w:rPr>
              <w:tab/>
            </w:r>
            <w:r>
              <w:rPr>
                <w:noProof/>
                <w:spacing w:val="-8"/>
                <w:sz w:val="20"/>
              </w:rPr>
              <w:t>Essai de démarrage en côte à la masse maximale de l’ensemble</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noProof/>
                <w:spacing w:val="-8"/>
                <w:sz w:val="20"/>
              </w:rPr>
            </w:pPr>
            <w:r>
              <w:rPr>
                <w:noProof/>
                <w:spacing w:val="-8"/>
                <w:sz w:val="20"/>
              </w:rPr>
              <w:t>À la demande du constructeur, il peut être dérogé à l’essai de démarrage en côte à la masse maximale de l’ensemble décrit au point 5.1 de la partie A de l’annexe I du règlement (UE) n</w:t>
            </w:r>
            <w:r>
              <w:rPr>
                <w:noProof/>
                <w:spacing w:val="-8"/>
                <w:sz w:val="20"/>
                <w:vertAlign w:val="superscript"/>
              </w:rPr>
              <w:t>o</w:t>
            </w:r>
            <w:r>
              <w:rPr>
                <w:noProof/>
                <w:spacing w:val="-8"/>
                <w:sz w:val="20"/>
              </w:rPr>
              <w:t> 1230/2012.</w:t>
            </w:r>
          </w:p>
        </w:tc>
      </w:tr>
      <w:tr>
        <w:trPr>
          <w:trHeight w:val="272"/>
          <w:tblCellSpacing w:w="0" w:type="dxa"/>
        </w:trPr>
        <w:tc>
          <w:tcPr>
            <w:tcW w:w="701" w:type="dxa"/>
            <w:vMerge w:val="restart"/>
            <w:tcBorders>
              <w:left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t>49A</w:t>
            </w:r>
          </w:p>
        </w:tc>
        <w:tc>
          <w:tcPr>
            <w:tcW w:w="1741" w:type="dxa"/>
            <w:vMerge w:val="restart"/>
            <w:tcBorders>
              <w:left w:val="outset" w:sz="6" w:space="0" w:color="auto"/>
              <w:right w:val="outset" w:sz="6" w:space="0" w:color="auto"/>
            </w:tcBorders>
          </w:tcPr>
          <w:p>
            <w:pPr>
              <w:spacing w:before="60" w:after="60"/>
              <w:jc w:val="left"/>
              <w:rPr>
                <w:rFonts w:eastAsia="Arial Unicode MS"/>
                <w:bCs/>
                <w:noProof/>
                <w:spacing w:val="-8"/>
                <w:sz w:val="20"/>
                <w:szCs w:val="20"/>
              </w:rPr>
            </w:pPr>
            <w:r>
              <w:rPr>
                <w:noProof/>
                <w:spacing w:val="-8"/>
                <w:sz w:val="20"/>
              </w:rPr>
              <w:t>Saillies extérieures à l’avant de la cloison postérieure de la cabine des véhicules utilitaires</w:t>
            </w:r>
          </w:p>
        </w:tc>
        <w:tc>
          <w:tcPr>
            <w:tcW w:w="1900" w:type="dxa"/>
            <w:gridSpan w:val="2"/>
            <w:vMerge w:val="restart"/>
            <w:tcBorders>
              <w:left w:val="outset" w:sz="6" w:space="0" w:color="auto"/>
              <w:right w:val="outset" w:sz="6" w:space="0" w:color="auto"/>
            </w:tcBorders>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 </w:t>
            </w:r>
            <w:r>
              <w:rPr>
                <w:noProof/>
                <w:spacing w:val="-8"/>
                <w:sz w:val="20"/>
              </w:rPr>
              <w:t>61 de la CEE-ONU</w:t>
            </w: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r>
              <w:rPr>
                <w:rFonts w:eastAsia="Arial Unicode MS"/>
                <w:bCs/>
                <w:noProof/>
                <w:spacing w:val="-8"/>
                <w:sz w:val="20"/>
                <w:szCs w:val="20"/>
              </w:rPr>
              <w:t>C</w:t>
            </w:r>
          </w:p>
        </w:tc>
      </w:tr>
      <w:tr>
        <w:trPr>
          <w:trHeight w:val="272"/>
          <w:tblCellSpacing w:w="0" w:type="dxa"/>
        </w:trPr>
        <w:tc>
          <w:tcPr>
            <w:tcW w:w="701" w:type="dxa"/>
            <w:vMerge/>
            <w:tcBorders>
              <w:left w:val="outset" w:sz="6" w:space="0" w:color="auto"/>
              <w:right w:val="outset" w:sz="6" w:space="0" w:color="auto"/>
            </w:tcBorders>
          </w:tcPr>
          <w:p>
            <w:pPr>
              <w:spacing w:before="60" w:after="60"/>
              <w:rPr>
                <w:noProof/>
                <w:spacing w:val="-8"/>
                <w:sz w:val="20"/>
              </w:rPr>
            </w:pPr>
          </w:p>
        </w:tc>
        <w:tc>
          <w:tcPr>
            <w:tcW w:w="1741" w:type="dxa"/>
            <w:vMerge/>
            <w:tcBorders>
              <w:left w:val="outset" w:sz="6" w:space="0" w:color="auto"/>
              <w:right w:val="outset" w:sz="6" w:space="0" w:color="auto"/>
            </w:tcBorders>
          </w:tcPr>
          <w:p>
            <w:pPr>
              <w:spacing w:before="60" w:after="60"/>
              <w:jc w:val="left"/>
              <w:rPr>
                <w:noProof/>
                <w:spacing w:val="-8"/>
                <w:sz w:val="20"/>
              </w:rPr>
            </w:pPr>
          </w:p>
        </w:tc>
        <w:tc>
          <w:tcPr>
            <w:tcW w:w="1900" w:type="dxa"/>
            <w:gridSpan w:val="2"/>
            <w:vMerge/>
            <w:tcBorders>
              <w:left w:val="outset" w:sz="6" w:space="0" w:color="auto"/>
              <w:right w:val="outset" w:sz="6" w:space="0" w:color="auto"/>
            </w:tcBorders>
          </w:tcPr>
          <w:p>
            <w:pPr>
              <w:spacing w:before="60" w:after="60"/>
              <w:jc w:val="left"/>
              <w:rPr>
                <w:noProof/>
                <w:spacing w:val="-8"/>
                <w:sz w:val="20"/>
              </w:rPr>
            </w:pP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jc w:val="left"/>
              <w:rPr>
                <w:rFonts w:eastAsia="Arial Unicode MS"/>
                <w:bCs/>
                <w:noProof/>
                <w:spacing w:val="-8"/>
                <w:sz w:val="20"/>
                <w:szCs w:val="20"/>
              </w:rPr>
            </w:pPr>
            <w:r>
              <w:rPr>
                <w:noProof/>
                <w:spacing w:val="-8"/>
                <w:sz w:val="20"/>
              </w:rPr>
              <w:t>a) Spécifications générales</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t>Les prescriptions du paragraphe 5 du règlement n</w:t>
            </w:r>
            <w:r>
              <w:rPr>
                <w:noProof/>
                <w:spacing w:val="-8"/>
                <w:sz w:val="20"/>
                <w:vertAlign w:val="superscript"/>
              </w:rPr>
              <w:t>o</w:t>
            </w:r>
            <w:r>
              <w:rPr>
                <w:noProof/>
                <w:spacing w:val="-8"/>
                <w:sz w:val="20"/>
              </w:rPr>
              <w:t> 61 de la CEE-ONU s’appliquent.</w:t>
            </w:r>
          </w:p>
        </w:tc>
      </w:tr>
      <w:tr>
        <w:trPr>
          <w:trHeight w:val="272"/>
          <w:tblCellSpacing w:w="0" w:type="dxa"/>
        </w:trPr>
        <w:tc>
          <w:tcPr>
            <w:tcW w:w="701" w:type="dxa"/>
            <w:vMerge/>
            <w:tcBorders>
              <w:left w:val="outset" w:sz="6" w:space="0" w:color="auto"/>
              <w:bottom w:val="outset" w:sz="6" w:space="0" w:color="auto"/>
              <w:right w:val="outset" w:sz="6" w:space="0" w:color="auto"/>
            </w:tcBorders>
          </w:tcPr>
          <w:p>
            <w:pPr>
              <w:spacing w:before="60" w:after="60"/>
              <w:rPr>
                <w:noProof/>
                <w:spacing w:val="-8"/>
                <w:sz w:val="20"/>
              </w:rPr>
            </w:pPr>
          </w:p>
        </w:tc>
        <w:tc>
          <w:tcPr>
            <w:tcW w:w="1741" w:type="dxa"/>
            <w:vMerge/>
            <w:tcBorders>
              <w:left w:val="outset" w:sz="6" w:space="0" w:color="auto"/>
              <w:bottom w:val="outset" w:sz="6" w:space="0" w:color="auto"/>
              <w:right w:val="outset" w:sz="6" w:space="0" w:color="auto"/>
            </w:tcBorders>
          </w:tcPr>
          <w:p>
            <w:pPr>
              <w:spacing w:before="60" w:after="60"/>
              <w:jc w:val="left"/>
              <w:rPr>
                <w:noProof/>
                <w:spacing w:val="-8"/>
                <w:sz w:val="20"/>
              </w:rPr>
            </w:pPr>
          </w:p>
        </w:tc>
        <w:tc>
          <w:tcPr>
            <w:tcW w:w="1900" w:type="dxa"/>
            <w:gridSpan w:val="2"/>
            <w:vMerge/>
            <w:tcBorders>
              <w:left w:val="outset" w:sz="6" w:space="0" w:color="auto"/>
              <w:bottom w:val="outset" w:sz="6" w:space="0" w:color="auto"/>
              <w:right w:val="outset" w:sz="6" w:space="0" w:color="auto"/>
            </w:tcBorders>
          </w:tcPr>
          <w:p>
            <w:pPr>
              <w:spacing w:before="60" w:after="60"/>
              <w:jc w:val="left"/>
              <w:rPr>
                <w:noProof/>
                <w:spacing w:val="-8"/>
                <w:sz w:val="20"/>
              </w:rPr>
            </w:pP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jc w:val="left"/>
              <w:rPr>
                <w:rFonts w:eastAsia="Arial Unicode MS"/>
                <w:bCs/>
                <w:noProof/>
                <w:spacing w:val="-8"/>
                <w:sz w:val="20"/>
                <w:szCs w:val="20"/>
              </w:rPr>
            </w:pPr>
            <w:r>
              <w:rPr>
                <w:noProof/>
                <w:spacing w:val="-8"/>
                <w:sz w:val="20"/>
              </w:rPr>
              <w:t>b) Spécifications particulières</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t>Les prescriptions du paragraphe 6 du règlement n</w:t>
            </w:r>
            <w:r>
              <w:rPr>
                <w:noProof/>
                <w:spacing w:val="-8"/>
                <w:sz w:val="20"/>
                <w:vertAlign w:val="superscript"/>
              </w:rPr>
              <w:t>o</w:t>
            </w:r>
            <w:r>
              <w:rPr>
                <w:noProof/>
                <w:spacing w:val="-8"/>
                <w:sz w:val="20"/>
              </w:rPr>
              <w:t> 61 de la CEE-ONU s’appliquent.</w:t>
            </w:r>
          </w:p>
        </w:tc>
      </w:tr>
      <w:tr>
        <w:trPr>
          <w:trHeight w:val="351"/>
          <w:tblCellSpacing w:w="0" w:type="dxa"/>
        </w:trPr>
        <w:tc>
          <w:tcPr>
            <w:tcW w:w="701" w:type="dxa"/>
            <w:vMerge w:val="restart"/>
            <w:tcBorders>
              <w:left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t>50A</w:t>
            </w:r>
          </w:p>
        </w:tc>
        <w:tc>
          <w:tcPr>
            <w:tcW w:w="1741" w:type="dxa"/>
            <w:vMerge w:val="restart"/>
            <w:tcBorders>
              <w:left w:val="outset" w:sz="6" w:space="0" w:color="auto"/>
              <w:right w:val="outset" w:sz="6" w:space="0" w:color="auto"/>
            </w:tcBorders>
          </w:tcPr>
          <w:p>
            <w:pPr>
              <w:spacing w:before="60" w:after="60"/>
              <w:jc w:val="left"/>
              <w:rPr>
                <w:rFonts w:eastAsia="Arial Unicode MS"/>
                <w:bCs/>
                <w:noProof/>
                <w:spacing w:val="-8"/>
                <w:sz w:val="20"/>
                <w:szCs w:val="20"/>
              </w:rPr>
            </w:pPr>
            <w:r>
              <w:rPr>
                <w:noProof/>
                <w:spacing w:val="-8"/>
                <w:sz w:val="20"/>
              </w:rPr>
              <w:t>Pièces mécaniques d’attelage des ensembles de véhicules</w:t>
            </w:r>
          </w:p>
        </w:tc>
        <w:tc>
          <w:tcPr>
            <w:tcW w:w="1900" w:type="dxa"/>
            <w:gridSpan w:val="2"/>
            <w:vMerge w:val="restart"/>
            <w:tcBorders>
              <w:left w:val="outset" w:sz="6" w:space="0" w:color="auto"/>
              <w:right w:val="outset" w:sz="6" w:space="0" w:color="auto"/>
            </w:tcBorders>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 </w:t>
            </w:r>
            <w:r>
              <w:rPr>
                <w:noProof/>
                <w:spacing w:val="-8"/>
                <w:sz w:val="20"/>
              </w:rPr>
              <w:t>55 de la CEE-ONU</w:t>
            </w: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jc w:val="left"/>
              <w:rPr>
                <w:rFonts w:eastAsia="Arial Unicode MS"/>
                <w:bCs/>
                <w:noProof/>
                <w:spacing w:val="-8"/>
                <w:sz w:val="20"/>
                <w:szCs w:val="20"/>
              </w:rPr>
            </w:pPr>
            <w:r>
              <w:rPr>
                <w:noProof/>
                <w:spacing w:val="-8"/>
                <w:sz w:val="20"/>
              </w:rPr>
              <w:t>a) Composants</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t>X</w:t>
            </w:r>
          </w:p>
        </w:tc>
      </w:tr>
      <w:tr>
        <w:trPr>
          <w:trHeight w:val="350"/>
          <w:tblCellSpacing w:w="0" w:type="dxa"/>
        </w:trPr>
        <w:tc>
          <w:tcPr>
            <w:tcW w:w="701" w:type="dxa"/>
            <w:vMerge/>
            <w:tcBorders>
              <w:left w:val="outset" w:sz="6" w:space="0" w:color="auto"/>
              <w:bottom w:val="outset" w:sz="6" w:space="0" w:color="auto"/>
              <w:right w:val="outset" w:sz="6" w:space="0" w:color="auto"/>
            </w:tcBorders>
          </w:tcPr>
          <w:p>
            <w:pPr>
              <w:spacing w:before="60" w:after="60"/>
              <w:rPr>
                <w:noProof/>
                <w:spacing w:val="-8"/>
                <w:sz w:val="20"/>
              </w:rPr>
            </w:pPr>
          </w:p>
        </w:tc>
        <w:tc>
          <w:tcPr>
            <w:tcW w:w="1741" w:type="dxa"/>
            <w:vMerge/>
            <w:tcBorders>
              <w:left w:val="outset" w:sz="6" w:space="0" w:color="auto"/>
              <w:bottom w:val="outset" w:sz="6" w:space="0" w:color="auto"/>
              <w:right w:val="outset" w:sz="6" w:space="0" w:color="auto"/>
            </w:tcBorders>
          </w:tcPr>
          <w:p>
            <w:pPr>
              <w:spacing w:before="60" w:after="60"/>
              <w:jc w:val="left"/>
              <w:rPr>
                <w:noProof/>
                <w:spacing w:val="-8"/>
                <w:sz w:val="20"/>
              </w:rPr>
            </w:pPr>
          </w:p>
        </w:tc>
        <w:tc>
          <w:tcPr>
            <w:tcW w:w="1900" w:type="dxa"/>
            <w:gridSpan w:val="2"/>
            <w:vMerge/>
            <w:tcBorders>
              <w:left w:val="outset" w:sz="6" w:space="0" w:color="auto"/>
              <w:bottom w:val="outset" w:sz="6" w:space="0" w:color="auto"/>
              <w:right w:val="outset" w:sz="6" w:space="0" w:color="auto"/>
            </w:tcBorders>
          </w:tcPr>
          <w:p>
            <w:pPr>
              <w:spacing w:before="60" w:after="60"/>
              <w:jc w:val="left"/>
              <w:rPr>
                <w:noProof/>
                <w:spacing w:val="-8"/>
                <w:sz w:val="20"/>
              </w:rPr>
            </w:pP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jc w:val="left"/>
              <w:rPr>
                <w:rFonts w:eastAsia="Arial Unicode MS"/>
                <w:bCs/>
                <w:noProof/>
                <w:spacing w:val="-8"/>
                <w:sz w:val="20"/>
                <w:szCs w:val="20"/>
              </w:rPr>
            </w:pPr>
            <w:r>
              <w:rPr>
                <w:noProof/>
                <w:spacing w:val="-8"/>
                <w:sz w:val="20"/>
              </w:rPr>
              <w:t>b) Installation</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t>B</w:t>
            </w:r>
          </w:p>
        </w:tc>
      </w:tr>
      <w:tr>
        <w:trPr>
          <w:trHeight w:val="272"/>
          <w:tblCellSpacing w:w="0" w:type="dxa"/>
        </w:trPr>
        <w:tc>
          <w:tcPr>
            <w:tcW w:w="701" w:type="dxa"/>
            <w:tcBorders>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t>54A</w:t>
            </w:r>
          </w:p>
        </w:tc>
        <w:tc>
          <w:tcPr>
            <w:tcW w:w="1741" w:type="dxa"/>
            <w:tcBorders>
              <w:left w:val="outset" w:sz="6" w:space="0" w:color="auto"/>
              <w:bottom w:val="outset" w:sz="6" w:space="0" w:color="auto"/>
              <w:right w:val="outset" w:sz="6" w:space="0" w:color="auto"/>
            </w:tcBorders>
          </w:tcPr>
          <w:p>
            <w:pPr>
              <w:spacing w:before="60" w:after="60"/>
              <w:jc w:val="left"/>
              <w:rPr>
                <w:rFonts w:eastAsia="Arial Unicode MS"/>
                <w:bCs/>
                <w:noProof/>
                <w:spacing w:val="-8"/>
                <w:sz w:val="20"/>
                <w:szCs w:val="20"/>
              </w:rPr>
            </w:pPr>
            <w:r>
              <w:rPr>
                <w:noProof/>
                <w:spacing w:val="-8"/>
                <w:sz w:val="20"/>
              </w:rPr>
              <w:t>Protection des occupants en cas de collision latérale</w:t>
            </w:r>
          </w:p>
        </w:tc>
        <w:tc>
          <w:tcPr>
            <w:tcW w:w="1900" w:type="dxa"/>
            <w:gridSpan w:val="2"/>
            <w:tcBorders>
              <w:left w:val="outset" w:sz="6" w:space="0" w:color="auto"/>
              <w:bottom w:val="outset" w:sz="6" w:space="0" w:color="auto"/>
              <w:right w:val="outset" w:sz="6" w:space="0" w:color="auto"/>
            </w:tcBorders>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 </w:t>
            </w:r>
            <w:r>
              <w:rPr>
                <w:noProof/>
                <w:spacing w:val="-8"/>
                <w:sz w:val="20"/>
              </w:rPr>
              <w:t>95 de la CEE-ONU</w:t>
            </w: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pacing w:val="-8"/>
                <w:sz w:val="20"/>
                <w:szCs w:val="20"/>
              </w:rPr>
            </w:pPr>
            <w:r>
              <w:rPr>
                <w:noProof/>
                <w:spacing w:val="-8"/>
                <w:sz w:val="20"/>
              </w:rPr>
              <w:t>C</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t>C</w:t>
            </w:r>
          </w:p>
        </w:tc>
      </w:tr>
      <w:tr>
        <w:trPr>
          <w:trHeight w:val="272"/>
          <w:tblCellSpacing w:w="0" w:type="dxa"/>
        </w:trPr>
        <w:tc>
          <w:tcPr>
            <w:tcW w:w="701" w:type="dxa"/>
            <w:tcBorders>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p>
        </w:tc>
        <w:tc>
          <w:tcPr>
            <w:tcW w:w="1741" w:type="dxa"/>
            <w:tcBorders>
              <w:left w:val="outset" w:sz="6" w:space="0" w:color="auto"/>
              <w:bottom w:val="outset" w:sz="6" w:space="0" w:color="auto"/>
              <w:right w:val="outset" w:sz="6" w:space="0" w:color="auto"/>
            </w:tcBorders>
          </w:tcPr>
          <w:p>
            <w:pPr>
              <w:spacing w:before="60" w:after="60"/>
              <w:jc w:val="left"/>
              <w:rPr>
                <w:rFonts w:eastAsia="Arial Unicode MS"/>
                <w:bCs/>
                <w:noProof/>
                <w:spacing w:val="-8"/>
                <w:sz w:val="20"/>
                <w:szCs w:val="20"/>
              </w:rPr>
            </w:pPr>
          </w:p>
        </w:tc>
        <w:tc>
          <w:tcPr>
            <w:tcW w:w="1900" w:type="dxa"/>
            <w:gridSpan w:val="2"/>
            <w:tcBorders>
              <w:left w:val="outset" w:sz="6" w:space="0" w:color="auto"/>
              <w:bottom w:val="outset" w:sz="6" w:space="0" w:color="auto"/>
              <w:right w:val="outset" w:sz="6" w:space="0" w:color="auto"/>
            </w:tcBorders>
          </w:tcPr>
          <w:p>
            <w:pPr>
              <w:spacing w:before="60" w:after="60"/>
              <w:jc w:val="left"/>
              <w:rPr>
                <w:rFonts w:eastAsia="Arial Unicode MS"/>
                <w:bCs/>
                <w:noProof/>
                <w:spacing w:val="-8"/>
                <w:sz w:val="20"/>
                <w:szCs w:val="20"/>
              </w:rPr>
            </w:pP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pacing w:val="-8"/>
                <w:sz w:val="20"/>
                <w:szCs w:val="20"/>
              </w:rPr>
            </w:pPr>
            <w:r>
              <w:rPr>
                <w:noProof/>
                <w:spacing w:val="-8"/>
                <w:sz w:val="20"/>
              </w:rPr>
              <w:t>Essai avec fausse tête</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t>Le fabricant devra fournir au service technique les informations appropriées concernant un éventuel impact de la tête du mannequin contre la structure du véhicule ou le vitrage latéral, s’il est composé de verre feuilleté.</w:t>
            </w:r>
          </w:p>
          <w:p>
            <w:pPr>
              <w:spacing w:before="60" w:after="60"/>
              <w:rPr>
                <w:rFonts w:eastAsia="Arial Unicode MS"/>
                <w:bCs/>
                <w:noProof/>
                <w:spacing w:val="-8"/>
                <w:sz w:val="20"/>
                <w:szCs w:val="20"/>
              </w:rPr>
            </w:pPr>
            <w:r>
              <w:rPr>
                <w:noProof/>
                <w:spacing w:val="-8"/>
                <w:sz w:val="20"/>
              </w:rPr>
              <w:t>Lorsqu’il est prouvé que cet impact risque de se produire, l’essai partiel avec la tête du mannequin décrit au paragraphe 3.1 de l’annexe 8 du règlement n</w:t>
            </w:r>
            <w:r>
              <w:rPr>
                <w:noProof/>
                <w:spacing w:val="-8"/>
                <w:sz w:val="20"/>
                <w:vertAlign w:val="superscript"/>
              </w:rPr>
              <w:t>o</w:t>
            </w:r>
            <w:r>
              <w:rPr>
                <w:noProof/>
                <w:spacing w:val="-8"/>
                <w:sz w:val="20"/>
              </w:rPr>
              <w:t> 95 de la CEE-ONU doit être effectué et le critère spécifié au paragraphe 5.2.1.1 du règlement n</w:t>
            </w:r>
            <w:r>
              <w:rPr>
                <w:noProof/>
                <w:spacing w:val="-8"/>
                <w:sz w:val="20"/>
                <w:vertAlign w:val="superscript"/>
              </w:rPr>
              <w:t>o</w:t>
            </w:r>
            <w:r>
              <w:rPr>
                <w:noProof/>
                <w:spacing w:val="-8"/>
                <w:sz w:val="20"/>
              </w:rPr>
              <w:t> 95 de la CEE-ONU doit être rempli.</w:t>
            </w:r>
          </w:p>
          <w:p>
            <w:pPr>
              <w:spacing w:before="60" w:after="60"/>
              <w:rPr>
                <w:rFonts w:eastAsia="Arial Unicode MS"/>
                <w:bCs/>
                <w:noProof/>
                <w:spacing w:val="-8"/>
                <w:sz w:val="20"/>
                <w:szCs w:val="20"/>
              </w:rPr>
            </w:pPr>
            <w:r>
              <w:rPr>
                <w:noProof/>
                <w:spacing w:val="-8"/>
                <w:sz w:val="20"/>
              </w:rPr>
              <w:t xml:space="preserve">Avec l’accord du service technique, la </w:t>
            </w:r>
            <w:r>
              <w:rPr>
                <w:noProof/>
                <w:spacing w:val="-8"/>
                <w:sz w:val="20"/>
              </w:rPr>
              <w:lastRenderedPageBreak/>
              <w:t>procédure d’essai décrite à l’annexe 4 du règlement n</w:t>
            </w:r>
            <w:r>
              <w:rPr>
                <w:noProof/>
                <w:spacing w:val="-8"/>
                <w:sz w:val="20"/>
                <w:vertAlign w:val="superscript"/>
              </w:rPr>
              <w:t>o</w:t>
            </w:r>
            <w:r>
              <w:rPr>
                <w:noProof/>
                <w:spacing w:val="-8"/>
                <w:sz w:val="20"/>
              </w:rPr>
              <w:t> 21 de la CEE-ONU peut être utilisée à la place de l’essai du règlement n</w:t>
            </w:r>
            <w:r>
              <w:rPr>
                <w:noProof/>
                <w:spacing w:val="-8"/>
                <w:sz w:val="20"/>
                <w:vertAlign w:val="superscript"/>
              </w:rPr>
              <w:t>o</w:t>
            </w:r>
            <w:r>
              <w:rPr>
                <w:noProof/>
                <w:spacing w:val="-8"/>
                <w:sz w:val="20"/>
              </w:rPr>
              <w:t> 95 de la CEE-ONU mentionné ci-dessus.</w:t>
            </w:r>
          </w:p>
        </w:tc>
      </w:tr>
      <w:tr>
        <w:trPr>
          <w:trHeight w:val="921"/>
          <w:tblCellSpacing w:w="0" w:type="dxa"/>
        </w:trPr>
        <w:tc>
          <w:tcPr>
            <w:tcW w:w="701" w:type="dxa"/>
            <w:tcBorders>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lastRenderedPageBreak/>
              <w:t>56</w:t>
            </w:r>
          </w:p>
        </w:tc>
        <w:tc>
          <w:tcPr>
            <w:tcW w:w="1741" w:type="dxa"/>
            <w:tcBorders>
              <w:left w:val="outset" w:sz="6" w:space="0" w:color="auto"/>
              <w:bottom w:val="outset" w:sz="6" w:space="0" w:color="auto"/>
              <w:right w:val="outset" w:sz="6" w:space="0" w:color="auto"/>
            </w:tcBorders>
          </w:tcPr>
          <w:p>
            <w:pPr>
              <w:spacing w:before="60" w:after="60"/>
              <w:jc w:val="left"/>
              <w:rPr>
                <w:rFonts w:eastAsia="Arial Unicode MS"/>
                <w:bCs/>
                <w:noProof/>
                <w:spacing w:val="-8"/>
                <w:sz w:val="20"/>
                <w:szCs w:val="20"/>
              </w:rPr>
            </w:pPr>
            <w:r>
              <w:rPr>
                <w:noProof/>
                <w:spacing w:val="-8"/>
                <w:sz w:val="20"/>
              </w:rPr>
              <w:t>Véhicules destinés au transport de marchandises dangereuses</w:t>
            </w:r>
          </w:p>
        </w:tc>
        <w:tc>
          <w:tcPr>
            <w:tcW w:w="1900" w:type="dxa"/>
            <w:gridSpan w:val="2"/>
            <w:tcBorders>
              <w:left w:val="outset" w:sz="6" w:space="0" w:color="auto"/>
              <w:bottom w:val="outset" w:sz="6" w:space="0" w:color="auto"/>
              <w:right w:val="outset" w:sz="6" w:space="0" w:color="auto"/>
            </w:tcBorders>
          </w:tcPr>
          <w:p>
            <w:pPr>
              <w:spacing w:before="60" w:after="60"/>
              <w:jc w:val="left"/>
              <w:rPr>
                <w:rFonts w:eastAsia="Arial Unicode MS"/>
                <w:bC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bCs/>
                <w:noProof/>
                <w:spacing w:val="-8"/>
                <w:sz w:val="20"/>
                <w:szCs w:val="20"/>
              </w:rPr>
            </w:pPr>
            <w:r>
              <w:rPr>
                <w:noProof/>
                <w:spacing w:val="-8"/>
                <w:sz w:val="20"/>
              </w:rPr>
              <w:t>Règlement n</w:t>
            </w:r>
            <w:r>
              <w:rPr>
                <w:noProof/>
                <w:spacing w:val="-8"/>
                <w:sz w:val="20"/>
                <w:vertAlign w:val="superscript"/>
              </w:rPr>
              <w:t>o </w:t>
            </w:r>
            <w:r>
              <w:rPr>
                <w:noProof/>
                <w:spacing w:val="-8"/>
                <w:sz w:val="20"/>
              </w:rPr>
              <w:t>105 de la CEE-ONU</w:t>
            </w: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pacing w:val="-8"/>
                <w:sz w:val="20"/>
                <w:szCs w:val="20"/>
              </w:rPr>
            </w:pPr>
            <w:r>
              <w:rPr>
                <w:noProof/>
                <w:spacing w:val="-8"/>
                <w:sz w:val="20"/>
              </w:rPr>
              <w:t>A</w:t>
            </w:r>
          </w:p>
        </w:tc>
      </w:tr>
      <w:tr>
        <w:trPr>
          <w:trHeight w:val="921"/>
          <w:tblCellSpacing w:w="0" w:type="dxa"/>
        </w:trPr>
        <w:tc>
          <w:tcPr>
            <w:tcW w:w="701" w:type="dxa"/>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58</w:t>
            </w:r>
          </w:p>
        </w:tc>
        <w:tc>
          <w:tcPr>
            <w:tcW w:w="1741" w:type="dxa"/>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Protection des piétons</w:t>
            </w:r>
          </w:p>
        </w:tc>
        <w:tc>
          <w:tcPr>
            <w:tcW w:w="1900" w:type="dxa"/>
            <w:gridSpan w:val="2"/>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78/2009</w:t>
            </w: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jc w:val="left"/>
              <w:rPr>
                <w:rFonts w:eastAsia="Arial Unicode MS"/>
                <w:noProof/>
                <w:spacing w:val="-8"/>
                <w:sz w:val="20"/>
                <w:szCs w:val="20"/>
              </w:rPr>
            </w:pPr>
            <w:r>
              <w:rPr>
                <w:noProof/>
                <w:spacing w:val="-8"/>
                <w:sz w:val="20"/>
              </w:rPr>
              <w:t>a) Prescriptions techniques applicables à un véhicule</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Sans objet</w:t>
            </w:r>
          </w:p>
        </w:tc>
      </w:tr>
      <w:tr>
        <w:trPr>
          <w:trHeight w:val="921"/>
          <w:tblCellSpacing w:w="0" w:type="dxa"/>
        </w:trPr>
        <w:tc>
          <w:tcPr>
            <w:tcW w:w="701" w:type="dxa"/>
            <w:tcBorders>
              <w:left w:val="outset" w:sz="6" w:space="0" w:color="auto"/>
              <w:bottom w:val="outset" w:sz="6" w:space="0" w:color="auto"/>
              <w:right w:val="outset" w:sz="6" w:space="0" w:color="auto"/>
            </w:tcBorders>
          </w:tcPr>
          <w:p>
            <w:pPr>
              <w:spacing w:before="60" w:after="60"/>
              <w:rPr>
                <w:noProof/>
                <w:spacing w:val="-8"/>
                <w:sz w:val="20"/>
              </w:rPr>
            </w:pPr>
          </w:p>
        </w:tc>
        <w:tc>
          <w:tcPr>
            <w:tcW w:w="1741" w:type="dxa"/>
            <w:tcBorders>
              <w:left w:val="outset" w:sz="6" w:space="0" w:color="auto"/>
              <w:bottom w:val="outset" w:sz="6" w:space="0" w:color="auto"/>
              <w:right w:val="outset" w:sz="6" w:space="0" w:color="auto"/>
            </w:tcBorders>
          </w:tcPr>
          <w:p>
            <w:pPr>
              <w:spacing w:before="60" w:after="60"/>
              <w:jc w:val="left"/>
              <w:rPr>
                <w:noProof/>
                <w:spacing w:val="-8"/>
                <w:sz w:val="20"/>
              </w:rPr>
            </w:pPr>
          </w:p>
        </w:tc>
        <w:tc>
          <w:tcPr>
            <w:tcW w:w="1900" w:type="dxa"/>
            <w:gridSpan w:val="2"/>
            <w:tcBorders>
              <w:left w:val="outset" w:sz="6" w:space="0" w:color="auto"/>
              <w:bottom w:val="outset" w:sz="6" w:space="0" w:color="auto"/>
              <w:right w:val="outset" w:sz="6" w:space="0" w:color="auto"/>
            </w:tcBorders>
          </w:tcPr>
          <w:p>
            <w:pPr>
              <w:spacing w:before="60" w:after="60"/>
              <w:jc w:val="left"/>
              <w:rPr>
                <w:noProof/>
                <w:spacing w:val="-8"/>
                <w:sz w:val="20"/>
              </w:rPr>
            </w:pP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jc w:val="left"/>
              <w:rPr>
                <w:rFonts w:eastAsia="Arial Unicode MS"/>
                <w:noProof/>
                <w:spacing w:val="-8"/>
                <w:sz w:val="20"/>
                <w:szCs w:val="20"/>
              </w:rPr>
            </w:pPr>
            <w:r>
              <w:rPr>
                <w:noProof/>
                <w:spacing w:val="-8"/>
                <w:sz w:val="20"/>
              </w:rPr>
              <w:t>b) Systèmes de protection frontale</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trHeight w:val="921"/>
          <w:tblCellSpacing w:w="0" w:type="dxa"/>
        </w:trPr>
        <w:tc>
          <w:tcPr>
            <w:tcW w:w="701" w:type="dxa"/>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59</w:t>
            </w:r>
          </w:p>
        </w:tc>
        <w:tc>
          <w:tcPr>
            <w:tcW w:w="1741" w:type="dxa"/>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Recyclabilité</w:t>
            </w:r>
          </w:p>
        </w:tc>
        <w:tc>
          <w:tcPr>
            <w:tcW w:w="1900" w:type="dxa"/>
            <w:gridSpan w:val="2"/>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Directive 2005/64/CE</w:t>
            </w:r>
          </w:p>
        </w:tc>
        <w:tc>
          <w:tcPr>
            <w:tcW w:w="1554" w:type="dxa"/>
            <w:gridSpan w:val="2"/>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Sans objet</w:t>
            </w:r>
          </w:p>
          <w:p>
            <w:pPr>
              <w:spacing w:before="60" w:after="60"/>
              <w:rPr>
                <w:rFonts w:eastAsia="Arial Unicode MS"/>
                <w:noProof/>
                <w:spacing w:val="-8"/>
                <w:sz w:val="20"/>
                <w:szCs w:val="20"/>
              </w:rPr>
            </w:pPr>
            <w:r>
              <w:rPr>
                <w:noProof/>
                <w:spacing w:val="-8"/>
                <w:sz w:val="20"/>
              </w:rPr>
              <w:t>Seul l’article 7 sur la réutilisation des composants s’applique.</w:t>
            </w:r>
          </w:p>
        </w:tc>
      </w:tr>
      <w:tr>
        <w:trPr>
          <w:trHeight w:val="921"/>
          <w:tblCellSpacing w:w="0" w:type="dxa"/>
        </w:trPr>
        <w:tc>
          <w:tcPr>
            <w:tcW w:w="701" w:type="dxa"/>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61</w:t>
            </w:r>
          </w:p>
        </w:tc>
        <w:tc>
          <w:tcPr>
            <w:tcW w:w="1741" w:type="dxa"/>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Systèmes de climatisation</w:t>
            </w:r>
          </w:p>
        </w:tc>
        <w:tc>
          <w:tcPr>
            <w:tcW w:w="1900" w:type="dxa"/>
            <w:gridSpan w:val="2"/>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Directive 2006/40/CE</w:t>
            </w:r>
          </w:p>
        </w:tc>
        <w:tc>
          <w:tcPr>
            <w:tcW w:w="1554" w:type="dxa"/>
            <w:gridSpan w:val="2"/>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B</w:t>
            </w:r>
          </w:p>
          <w:p>
            <w:pPr>
              <w:spacing w:before="60" w:after="60"/>
              <w:rPr>
                <w:rFonts w:eastAsia="Arial Unicode MS"/>
                <w:noProof/>
                <w:spacing w:val="-8"/>
                <w:sz w:val="20"/>
                <w:szCs w:val="20"/>
              </w:rPr>
            </w:pPr>
            <w:r>
              <w:rPr>
                <w:noProof/>
                <w:spacing w:val="-8"/>
                <w:sz w:val="20"/>
              </w:rPr>
              <w:t>Les gaz à effet de serre fluorés dont le potentiel de réchauffement planétaire est supérieur à 150 sont autorisés jusqu’au 31 décembre 2016.</w:t>
            </w:r>
          </w:p>
        </w:tc>
      </w:tr>
      <w:tr>
        <w:trPr>
          <w:trHeight w:val="921"/>
          <w:tblCellSpacing w:w="0" w:type="dxa"/>
        </w:trPr>
        <w:tc>
          <w:tcPr>
            <w:tcW w:w="701" w:type="dxa"/>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62</w:t>
            </w:r>
          </w:p>
        </w:tc>
        <w:tc>
          <w:tcPr>
            <w:tcW w:w="1741" w:type="dxa"/>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Système hydrogène</w:t>
            </w:r>
          </w:p>
        </w:tc>
        <w:tc>
          <w:tcPr>
            <w:tcW w:w="1900" w:type="dxa"/>
            <w:gridSpan w:val="2"/>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79/2009</w:t>
            </w:r>
          </w:p>
        </w:tc>
        <w:tc>
          <w:tcPr>
            <w:tcW w:w="1554" w:type="dxa"/>
            <w:gridSpan w:val="2"/>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trHeight w:val="921"/>
          <w:tblCellSpacing w:w="0" w:type="dxa"/>
        </w:trPr>
        <w:tc>
          <w:tcPr>
            <w:tcW w:w="701" w:type="dxa"/>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63</w:t>
            </w:r>
          </w:p>
        </w:tc>
        <w:tc>
          <w:tcPr>
            <w:tcW w:w="1741" w:type="dxa"/>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Sécurité générale</w:t>
            </w:r>
          </w:p>
        </w:tc>
        <w:tc>
          <w:tcPr>
            <w:tcW w:w="1900" w:type="dxa"/>
            <w:gridSpan w:val="2"/>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tc>
        <w:tc>
          <w:tcPr>
            <w:tcW w:w="1554" w:type="dxa"/>
            <w:gridSpan w:val="2"/>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Voir la note explicative (</w:t>
            </w:r>
            <w:r>
              <w:rPr>
                <w:noProof/>
                <w:spacing w:val="-8"/>
                <w:sz w:val="20"/>
                <w:vertAlign w:val="superscript"/>
              </w:rPr>
              <w:t>15</w:t>
            </w:r>
            <w:r>
              <w:rPr>
                <w:noProof/>
                <w:spacing w:val="-8"/>
                <w:sz w:val="20"/>
              </w:rPr>
              <w:t>) du tableau figurant dans la partie I de l’annexe IV, qui énumère les actes réglementaires applicables aux fins de la réception UE par type des véhicules produits en séries illimitées</w:t>
            </w:r>
          </w:p>
        </w:tc>
      </w:tr>
      <w:tr>
        <w:trPr>
          <w:trHeight w:val="480"/>
          <w:tblCellSpacing w:w="0" w:type="dxa"/>
        </w:trPr>
        <w:tc>
          <w:tcPr>
            <w:tcW w:w="701" w:type="dxa"/>
            <w:vMerge w:val="restart"/>
            <w:tcBorders>
              <w:left w:val="outset" w:sz="6" w:space="0" w:color="auto"/>
              <w:right w:val="outset" w:sz="6" w:space="0" w:color="auto"/>
            </w:tcBorders>
          </w:tcPr>
          <w:p>
            <w:pPr>
              <w:spacing w:before="60" w:after="60"/>
              <w:rPr>
                <w:rFonts w:eastAsia="Arial Unicode MS"/>
                <w:noProof/>
                <w:spacing w:val="-8"/>
                <w:sz w:val="20"/>
                <w:szCs w:val="20"/>
              </w:rPr>
            </w:pPr>
            <w:r>
              <w:rPr>
                <w:noProof/>
                <w:spacing w:val="-8"/>
                <w:sz w:val="20"/>
              </w:rPr>
              <w:t>67</w:t>
            </w:r>
          </w:p>
        </w:tc>
        <w:tc>
          <w:tcPr>
            <w:tcW w:w="1741" w:type="dxa"/>
            <w:vMerge w:val="restart"/>
            <w:tcBorders>
              <w:left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Organes spéciaux pour l’alimentation des moteurs au gaz de pétrole liquéfié (GPL) et leur installation sur les véhicules à moteur</w:t>
            </w:r>
          </w:p>
        </w:tc>
        <w:tc>
          <w:tcPr>
            <w:tcW w:w="1900" w:type="dxa"/>
            <w:gridSpan w:val="2"/>
            <w:vMerge w:val="restart"/>
            <w:tcBorders>
              <w:left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67 de la CEE-ONU</w:t>
            </w: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jc w:val="left"/>
              <w:rPr>
                <w:rFonts w:eastAsia="Arial Unicode MS"/>
                <w:noProof/>
                <w:spacing w:val="-8"/>
                <w:sz w:val="20"/>
                <w:szCs w:val="20"/>
              </w:rPr>
            </w:pPr>
            <w:r>
              <w:rPr>
                <w:noProof/>
                <w:spacing w:val="-8"/>
                <w:sz w:val="20"/>
              </w:rPr>
              <w:t>a) Composants</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trHeight w:val="480"/>
          <w:tblCellSpacing w:w="0" w:type="dxa"/>
        </w:trPr>
        <w:tc>
          <w:tcPr>
            <w:tcW w:w="701" w:type="dxa"/>
            <w:vMerge/>
            <w:tcBorders>
              <w:left w:val="outset" w:sz="6" w:space="0" w:color="auto"/>
              <w:bottom w:val="outset" w:sz="6" w:space="0" w:color="auto"/>
              <w:right w:val="outset" w:sz="6" w:space="0" w:color="auto"/>
            </w:tcBorders>
          </w:tcPr>
          <w:p>
            <w:pPr>
              <w:spacing w:before="60" w:after="60"/>
              <w:rPr>
                <w:noProof/>
                <w:spacing w:val="-8"/>
                <w:sz w:val="20"/>
              </w:rPr>
            </w:pPr>
          </w:p>
        </w:tc>
        <w:tc>
          <w:tcPr>
            <w:tcW w:w="1741" w:type="dxa"/>
            <w:vMerge/>
            <w:tcBorders>
              <w:left w:val="outset" w:sz="6" w:space="0" w:color="auto"/>
              <w:bottom w:val="outset" w:sz="6" w:space="0" w:color="auto"/>
              <w:right w:val="outset" w:sz="6" w:space="0" w:color="auto"/>
            </w:tcBorders>
          </w:tcPr>
          <w:p>
            <w:pPr>
              <w:spacing w:before="60" w:after="60"/>
              <w:jc w:val="left"/>
              <w:rPr>
                <w:noProof/>
                <w:spacing w:val="-8"/>
                <w:sz w:val="20"/>
              </w:rPr>
            </w:pPr>
          </w:p>
        </w:tc>
        <w:tc>
          <w:tcPr>
            <w:tcW w:w="1900" w:type="dxa"/>
            <w:gridSpan w:val="2"/>
            <w:vMerge/>
            <w:tcBorders>
              <w:left w:val="outset" w:sz="6" w:space="0" w:color="auto"/>
              <w:bottom w:val="outset" w:sz="6" w:space="0" w:color="auto"/>
              <w:right w:val="outset" w:sz="6" w:space="0" w:color="auto"/>
            </w:tcBorders>
          </w:tcPr>
          <w:p>
            <w:pPr>
              <w:spacing w:before="60" w:after="60"/>
              <w:jc w:val="left"/>
              <w:rPr>
                <w:noProof/>
                <w:spacing w:val="-8"/>
                <w:sz w:val="20"/>
              </w:rPr>
            </w:pP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jc w:val="left"/>
              <w:rPr>
                <w:rFonts w:eastAsia="Arial Unicode MS"/>
                <w:noProof/>
                <w:spacing w:val="-8"/>
                <w:sz w:val="20"/>
                <w:szCs w:val="20"/>
              </w:rPr>
            </w:pPr>
            <w:r>
              <w:rPr>
                <w:noProof/>
                <w:spacing w:val="-8"/>
                <w:sz w:val="20"/>
              </w:rPr>
              <w:t>b) Installation</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A</w:t>
            </w:r>
          </w:p>
        </w:tc>
      </w:tr>
      <w:tr>
        <w:trPr>
          <w:trHeight w:val="351"/>
          <w:tblCellSpacing w:w="0" w:type="dxa"/>
        </w:trPr>
        <w:tc>
          <w:tcPr>
            <w:tcW w:w="701" w:type="dxa"/>
            <w:vMerge w:val="restart"/>
            <w:tcBorders>
              <w:left w:val="outset" w:sz="6" w:space="0" w:color="auto"/>
              <w:right w:val="outset" w:sz="6" w:space="0" w:color="auto"/>
            </w:tcBorders>
          </w:tcPr>
          <w:p>
            <w:pPr>
              <w:spacing w:before="60" w:after="60"/>
              <w:rPr>
                <w:rFonts w:eastAsia="Arial Unicode MS"/>
                <w:noProof/>
                <w:spacing w:val="-8"/>
                <w:sz w:val="20"/>
                <w:szCs w:val="20"/>
              </w:rPr>
            </w:pPr>
            <w:r>
              <w:rPr>
                <w:noProof/>
                <w:spacing w:val="-8"/>
                <w:sz w:val="20"/>
              </w:rPr>
              <w:t>68</w:t>
            </w:r>
          </w:p>
        </w:tc>
        <w:tc>
          <w:tcPr>
            <w:tcW w:w="1741" w:type="dxa"/>
            <w:vMerge w:val="restart"/>
            <w:tcBorders>
              <w:left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Systèmes d’alarme pour véhicules (SAV)</w:t>
            </w:r>
          </w:p>
        </w:tc>
        <w:tc>
          <w:tcPr>
            <w:tcW w:w="1900" w:type="dxa"/>
            <w:gridSpan w:val="2"/>
            <w:vMerge w:val="restart"/>
            <w:tcBorders>
              <w:left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97 de la CEE-ONU</w:t>
            </w: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jc w:val="left"/>
              <w:rPr>
                <w:rFonts w:eastAsia="Arial Unicode MS"/>
                <w:noProof/>
                <w:spacing w:val="-8"/>
                <w:sz w:val="20"/>
                <w:szCs w:val="20"/>
              </w:rPr>
            </w:pPr>
            <w:r>
              <w:rPr>
                <w:noProof/>
                <w:spacing w:val="-8"/>
                <w:sz w:val="20"/>
              </w:rPr>
              <w:t>a) Composants</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trHeight w:val="350"/>
          <w:tblCellSpacing w:w="0" w:type="dxa"/>
        </w:trPr>
        <w:tc>
          <w:tcPr>
            <w:tcW w:w="701" w:type="dxa"/>
            <w:vMerge/>
            <w:tcBorders>
              <w:left w:val="outset" w:sz="6" w:space="0" w:color="auto"/>
              <w:bottom w:val="outset" w:sz="6" w:space="0" w:color="auto"/>
              <w:right w:val="outset" w:sz="6" w:space="0" w:color="auto"/>
            </w:tcBorders>
          </w:tcPr>
          <w:p>
            <w:pPr>
              <w:spacing w:before="60" w:after="60"/>
              <w:rPr>
                <w:noProof/>
                <w:spacing w:val="-8"/>
                <w:sz w:val="20"/>
              </w:rPr>
            </w:pPr>
          </w:p>
        </w:tc>
        <w:tc>
          <w:tcPr>
            <w:tcW w:w="1741" w:type="dxa"/>
            <w:vMerge/>
            <w:tcBorders>
              <w:left w:val="outset" w:sz="6" w:space="0" w:color="auto"/>
              <w:bottom w:val="outset" w:sz="6" w:space="0" w:color="auto"/>
              <w:right w:val="outset" w:sz="6" w:space="0" w:color="auto"/>
            </w:tcBorders>
          </w:tcPr>
          <w:p>
            <w:pPr>
              <w:spacing w:before="60" w:after="60"/>
              <w:jc w:val="left"/>
              <w:rPr>
                <w:noProof/>
                <w:spacing w:val="-8"/>
                <w:sz w:val="20"/>
              </w:rPr>
            </w:pPr>
          </w:p>
        </w:tc>
        <w:tc>
          <w:tcPr>
            <w:tcW w:w="1900" w:type="dxa"/>
            <w:gridSpan w:val="2"/>
            <w:vMerge/>
            <w:tcBorders>
              <w:left w:val="outset" w:sz="6" w:space="0" w:color="auto"/>
              <w:bottom w:val="outset" w:sz="6" w:space="0" w:color="auto"/>
              <w:right w:val="outset" w:sz="6" w:space="0" w:color="auto"/>
            </w:tcBorders>
          </w:tcPr>
          <w:p>
            <w:pPr>
              <w:spacing w:before="60" w:after="60"/>
              <w:jc w:val="left"/>
              <w:rPr>
                <w:noProof/>
                <w:spacing w:val="-8"/>
                <w:sz w:val="20"/>
              </w:rPr>
            </w:pP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jc w:val="left"/>
              <w:rPr>
                <w:rFonts w:eastAsia="Arial Unicode MS"/>
                <w:noProof/>
                <w:spacing w:val="-8"/>
                <w:sz w:val="20"/>
                <w:szCs w:val="20"/>
              </w:rPr>
            </w:pPr>
            <w:r>
              <w:rPr>
                <w:noProof/>
                <w:spacing w:val="-8"/>
                <w:sz w:val="20"/>
              </w:rPr>
              <w:t>b) Installation</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B</w:t>
            </w:r>
          </w:p>
        </w:tc>
      </w:tr>
      <w:tr>
        <w:trPr>
          <w:trHeight w:val="921"/>
          <w:tblCellSpacing w:w="0" w:type="dxa"/>
        </w:trPr>
        <w:tc>
          <w:tcPr>
            <w:tcW w:w="701" w:type="dxa"/>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69</w:t>
            </w:r>
          </w:p>
        </w:tc>
        <w:tc>
          <w:tcPr>
            <w:tcW w:w="1741" w:type="dxa"/>
            <w:tcBorders>
              <w:left w:val="outset" w:sz="6" w:space="0" w:color="auto"/>
              <w:bottom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Sécurité électrique</w:t>
            </w:r>
          </w:p>
        </w:tc>
        <w:tc>
          <w:tcPr>
            <w:tcW w:w="1900" w:type="dxa"/>
            <w:gridSpan w:val="2"/>
            <w:tcBorders>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 xml:space="preserve">100 de la </w:t>
            </w:r>
            <w:r>
              <w:rPr>
                <w:noProof/>
                <w:spacing w:val="-8"/>
                <w:sz w:val="20"/>
              </w:rPr>
              <w:lastRenderedPageBreak/>
              <w:t>CEE-ONU</w:t>
            </w:r>
          </w:p>
        </w:tc>
        <w:tc>
          <w:tcPr>
            <w:tcW w:w="1554" w:type="dxa"/>
            <w:gridSpan w:val="2"/>
            <w:tcBorders>
              <w:top w:val="outset" w:sz="6" w:space="0" w:color="auto"/>
              <w:left w:val="outset" w:sz="6" w:space="0" w:color="auto"/>
              <w:bottom w:val="outset" w:sz="6" w:space="0" w:color="auto"/>
              <w:right w:val="outset" w:sz="6" w:space="0" w:color="auto"/>
            </w:tcBorders>
          </w:tcPr>
          <w:p>
            <w:pPr>
              <w:spacing w:after="0"/>
              <w:ind w:left="238" w:hanging="238"/>
              <w:rPr>
                <w:rFonts w:eastAsia="Arial Unicode MS"/>
                <w:noProof/>
                <w:spacing w:val="-8"/>
                <w:sz w:val="20"/>
                <w:szCs w:val="20"/>
              </w:rPr>
            </w:pP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B</w:t>
            </w:r>
          </w:p>
        </w:tc>
      </w:tr>
      <w:tr>
        <w:trPr>
          <w:trHeight w:val="921"/>
          <w:tblCellSpacing w:w="0" w:type="dxa"/>
        </w:trPr>
        <w:tc>
          <w:tcPr>
            <w:tcW w:w="701" w:type="dxa"/>
            <w:tcBorders>
              <w:left w:val="outset" w:sz="6" w:space="0" w:color="auto"/>
              <w:right w:val="outset" w:sz="6" w:space="0" w:color="auto"/>
            </w:tcBorders>
          </w:tcPr>
          <w:p>
            <w:pPr>
              <w:spacing w:before="60" w:after="60"/>
              <w:rPr>
                <w:rFonts w:eastAsia="Arial Unicode MS"/>
                <w:noProof/>
                <w:spacing w:val="-8"/>
                <w:sz w:val="20"/>
                <w:szCs w:val="20"/>
              </w:rPr>
            </w:pPr>
            <w:r>
              <w:rPr>
                <w:noProof/>
                <w:spacing w:val="-8"/>
                <w:sz w:val="20"/>
              </w:rPr>
              <w:lastRenderedPageBreak/>
              <w:t>70</w:t>
            </w:r>
          </w:p>
        </w:tc>
        <w:tc>
          <w:tcPr>
            <w:tcW w:w="1741" w:type="dxa"/>
            <w:tcBorders>
              <w:left w:val="outset" w:sz="6" w:space="0" w:color="auto"/>
              <w:right w:val="outset" w:sz="6" w:space="0" w:color="auto"/>
            </w:tcBorders>
          </w:tcPr>
          <w:p>
            <w:pPr>
              <w:spacing w:before="60" w:after="60"/>
              <w:jc w:val="left"/>
              <w:rPr>
                <w:rFonts w:eastAsia="Arial Unicode MS"/>
                <w:noProof/>
                <w:spacing w:val="-8"/>
                <w:sz w:val="20"/>
                <w:szCs w:val="20"/>
              </w:rPr>
            </w:pPr>
            <w:r>
              <w:rPr>
                <w:noProof/>
                <w:spacing w:val="-8"/>
                <w:sz w:val="20"/>
              </w:rPr>
              <w:t>Organes spéciaux pour l’alimentation des moteurs au GNC et leur installation sur les véhicules à moteur</w:t>
            </w:r>
          </w:p>
        </w:tc>
        <w:tc>
          <w:tcPr>
            <w:tcW w:w="1900" w:type="dxa"/>
            <w:gridSpan w:val="2"/>
            <w:tcBorders>
              <w:left w:val="outset" w:sz="6" w:space="0" w:color="auto"/>
              <w:right w:val="outset" w:sz="6" w:space="0" w:color="auto"/>
            </w:tcBorders>
          </w:tcPr>
          <w:p>
            <w:pPr>
              <w:spacing w:before="60" w:after="60"/>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110 de la CEE-ONU</w:t>
            </w: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pacing w:val="-8"/>
                <w:sz w:val="20"/>
                <w:szCs w:val="20"/>
              </w:rPr>
            </w:pPr>
            <w:r>
              <w:rPr>
                <w:noProof/>
                <w:spacing w:val="-8"/>
                <w:sz w:val="20"/>
              </w:rPr>
              <w:t>a) Composants</w:t>
            </w:r>
          </w:p>
        </w:tc>
        <w:tc>
          <w:tcPr>
            <w:tcW w:w="3348"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pacing w:val="-8"/>
                <w:sz w:val="20"/>
                <w:szCs w:val="20"/>
              </w:rPr>
            </w:pPr>
            <w:r>
              <w:rPr>
                <w:noProof/>
                <w:spacing w:val="-8"/>
                <w:sz w:val="20"/>
              </w:rPr>
              <w:t>X</w:t>
            </w:r>
          </w:p>
        </w:tc>
      </w:tr>
      <w:tr>
        <w:trPr>
          <w:trHeight w:val="921"/>
          <w:tblCellSpacing w:w="0" w:type="dxa"/>
        </w:trPr>
        <w:tc>
          <w:tcPr>
            <w:tcW w:w="701" w:type="dxa"/>
            <w:tcBorders>
              <w:left w:val="outset" w:sz="6" w:space="0" w:color="auto"/>
              <w:bottom w:val="outset" w:sz="6" w:space="0" w:color="auto"/>
              <w:right w:val="outset" w:sz="6" w:space="0" w:color="auto"/>
            </w:tcBorders>
          </w:tcPr>
          <w:p>
            <w:pPr>
              <w:spacing w:before="60" w:after="60"/>
              <w:rPr>
                <w:noProof/>
                <w:spacing w:val="-8"/>
                <w:sz w:val="20"/>
              </w:rPr>
            </w:pPr>
            <w:r>
              <w:rPr>
                <w:noProof/>
                <w:spacing w:val="-8"/>
                <w:sz w:val="20"/>
              </w:rPr>
              <w:t>71</w:t>
            </w:r>
          </w:p>
        </w:tc>
        <w:tc>
          <w:tcPr>
            <w:tcW w:w="1741" w:type="dxa"/>
            <w:tcBorders>
              <w:left w:val="outset" w:sz="6" w:space="0" w:color="auto"/>
              <w:bottom w:val="outset" w:sz="6" w:space="0" w:color="auto"/>
              <w:right w:val="outset" w:sz="6" w:space="0" w:color="auto"/>
            </w:tcBorders>
          </w:tcPr>
          <w:p>
            <w:pPr>
              <w:spacing w:before="60" w:after="60"/>
              <w:jc w:val="left"/>
              <w:rPr>
                <w:noProof/>
                <w:spacing w:val="-8"/>
                <w:sz w:val="20"/>
              </w:rPr>
            </w:pPr>
            <w:r>
              <w:rPr>
                <w:noProof/>
                <w:spacing w:val="-8"/>
                <w:sz w:val="20"/>
              </w:rPr>
              <w:t>Résistance de la cabine</w:t>
            </w:r>
          </w:p>
        </w:tc>
        <w:tc>
          <w:tcPr>
            <w:tcW w:w="1900" w:type="dxa"/>
            <w:gridSpan w:val="2"/>
            <w:tcBorders>
              <w:left w:val="outset" w:sz="6" w:space="0" w:color="auto"/>
              <w:bottom w:val="outset" w:sz="6" w:space="0" w:color="auto"/>
              <w:right w:val="outset" w:sz="6" w:space="0" w:color="auto"/>
            </w:tcBorders>
          </w:tcPr>
          <w:p>
            <w:pPr>
              <w:spacing w:before="60" w:after="60"/>
              <w:rPr>
                <w:noProof/>
                <w:spacing w:val="-8"/>
                <w:sz w:val="20"/>
              </w:rPr>
            </w:pPr>
            <w:r>
              <w:rPr>
                <w:noProof/>
                <w:spacing w:val="-8"/>
                <w:sz w:val="20"/>
              </w:rPr>
              <w:t>Règlement (CE) n</w:t>
            </w:r>
            <w:r>
              <w:rPr>
                <w:noProof/>
                <w:spacing w:val="-8"/>
                <w:sz w:val="20"/>
                <w:vertAlign w:val="superscript"/>
              </w:rPr>
              <w:t>o</w:t>
            </w:r>
            <w:r>
              <w:rPr>
                <w:noProof/>
                <w:spacing w:val="-8"/>
                <w:sz w:val="20"/>
              </w:rPr>
              <w:t> 661/2009</w:t>
            </w:r>
          </w:p>
          <w:p>
            <w:pPr>
              <w:spacing w:before="60" w:after="60"/>
              <w:rPr>
                <w:noProof/>
                <w:spacing w:val="-8"/>
                <w:sz w:val="20"/>
              </w:rPr>
            </w:pPr>
            <w:r>
              <w:rPr>
                <w:noProof/>
                <w:spacing w:val="-8"/>
                <w:sz w:val="20"/>
              </w:rPr>
              <w:t>Règlement n</w:t>
            </w:r>
            <w:r>
              <w:rPr>
                <w:noProof/>
                <w:spacing w:val="-8"/>
                <w:sz w:val="20"/>
                <w:vertAlign w:val="superscript"/>
              </w:rPr>
              <w:t>o</w:t>
            </w:r>
            <w:r>
              <w:rPr>
                <w:noProof/>
                <w:spacing w:val="-8"/>
                <w:sz w:val="20"/>
              </w:rPr>
              <w:t>°29 de la CEE-ONU</w:t>
            </w:r>
          </w:p>
        </w:tc>
        <w:tc>
          <w:tcPr>
            <w:tcW w:w="1554" w:type="dxa"/>
            <w:gridSpan w:val="2"/>
            <w:tcBorders>
              <w:top w:val="outset" w:sz="6" w:space="0" w:color="auto"/>
              <w:left w:val="outset" w:sz="6" w:space="0" w:color="auto"/>
              <w:bottom w:val="outset" w:sz="6" w:space="0" w:color="auto"/>
              <w:right w:val="outset" w:sz="6" w:space="0" w:color="auto"/>
            </w:tcBorders>
          </w:tcPr>
          <w:p>
            <w:pPr>
              <w:spacing w:before="60" w:after="60"/>
              <w:ind w:left="238" w:hanging="238"/>
              <w:rPr>
                <w:noProof/>
                <w:spacing w:val="-8"/>
                <w:sz w:val="20"/>
              </w:rPr>
            </w:pPr>
          </w:p>
        </w:tc>
        <w:tc>
          <w:tcPr>
            <w:tcW w:w="3348" w:type="dxa"/>
            <w:tcBorders>
              <w:top w:val="outset" w:sz="6" w:space="0" w:color="auto"/>
              <w:left w:val="outset" w:sz="6" w:space="0" w:color="auto"/>
              <w:bottom w:val="outset" w:sz="6" w:space="0" w:color="auto"/>
              <w:right w:val="outset" w:sz="6" w:space="0" w:color="auto"/>
            </w:tcBorders>
          </w:tcPr>
          <w:p>
            <w:pPr>
              <w:spacing w:before="60" w:after="60"/>
              <w:rPr>
                <w:noProof/>
                <w:spacing w:val="-8"/>
                <w:sz w:val="20"/>
              </w:rPr>
            </w:pPr>
          </w:p>
        </w:tc>
      </w:tr>
    </w:tbl>
    <w:p>
      <w:pPr>
        <w:rPr>
          <w:noProof/>
          <w:spacing w:val="-8"/>
        </w:rPr>
      </w:pPr>
    </w:p>
    <w:p>
      <w:pPr>
        <w:rPr>
          <w:noProof/>
          <w:spacing w:val="-8"/>
        </w:rPr>
      </w:pPr>
      <w:r>
        <w:rPr>
          <w:noProof/>
          <w:spacing w:val="-8"/>
        </w:rPr>
        <w:br w:type="page"/>
      </w:r>
    </w:p>
    <w:p>
      <w:pPr>
        <w:spacing w:after="240"/>
        <w:jc w:val="center"/>
        <w:rPr>
          <w:rFonts w:eastAsia="Arial Unicode MS"/>
          <w:bCs/>
          <w:i/>
          <w:noProof/>
          <w:spacing w:val="-8"/>
          <w:szCs w:val="24"/>
        </w:rPr>
      </w:pPr>
      <w:r>
        <w:rPr>
          <w:i/>
          <w:noProof/>
          <w:spacing w:val="-8"/>
        </w:rPr>
        <w:lastRenderedPageBreak/>
        <w:t>Appendice 2</w:t>
      </w:r>
    </w:p>
    <w:p>
      <w:pPr>
        <w:spacing w:after="0"/>
        <w:jc w:val="center"/>
        <w:rPr>
          <w:rFonts w:eastAsia="Arial Unicode MS"/>
          <w:b/>
          <w:bCs/>
          <w:noProof/>
          <w:spacing w:val="-8"/>
          <w:szCs w:val="24"/>
        </w:rPr>
      </w:pPr>
      <w:r>
        <w:rPr>
          <w:b/>
          <w:noProof/>
          <w:spacing w:val="-8"/>
        </w:rPr>
        <w:t>Prescriptions applicables aux fins de la réception UE individuelle de véhicules en vertu de l'article 42</w:t>
      </w:r>
    </w:p>
    <w:p>
      <w:pPr>
        <w:ind w:left="567" w:hanging="567"/>
        <w:rPr>
          <w:rFonts w:eastAsia="Arial Unicode MS"/>
          <w:bCs/>
          <w:noProof/>
          <w:spacing w:val="-8"/>
          <w:szCs w:val="24"/>
        </w:rPr>
      </w:pPr>
      <w:r>
        <w:rPr>
          <w:noProof/>
          <w:spacing w:val="-8"/>
        </w:rPr>
        <w:t>1.</w:t>
      </w:r>
      <w:r>
        <w:rPr>
          <w:noProof/>
          <w:spacing w:val="-8"/>
        </w:rPr>
        <w:tab/>
        <w:t>APPLICATION</w:t>
      </w:r>
    </w:p>
    <w:p>
      <w:pPr>
        <w:spacing w:after="0"/>
        <w:rPr>
          <w:rFonts w:eastAsia="Arial Unicode MS"/>
          <w:noProof/>
          <w:spacing w:val="-8"/>
          <w:szCs w:val="24"/>
        </w:rPr>
      </w:pPr>
      <w:r>
        <w:rPr>
          <w:noProof/>
          <w:spacing w:val="-8"/>
        </w:rPr>
        <w:t>Aux fins de l’application du présent appendice, un véhicule est considéré comme neuf:</w:t>
      </w:r>
    </w:p>
    <w:p>
      <w:pPr>
        <w:spacing w:after="0"/>
        <w:ind w:left="567" w:hanging="567"/>
        <w:rPr>
          <w:rFonts w:eastAsia="Arial Unicode MS"/>
          <w:noProof/>
          <w:spacing w:val="-8"/>
          <w:szCs w:val="24"/>
        </w:rPr>
      </w:pPr>
      <w:r>
        <w:rPr>
          <w:noProof/>
          <w:spacing w:val="-8"/>
        </w:rPr>
        <w:t>a)</w:t>
      </w:r>
      <w:r>
        <w:rPr>
          <w:noProof/>
          <w:spacing w:val="-8"/>
        </w:rPr>
        <w:tab/>
        <w:t>s’il n’a encore jamais été immatriculé; ou</w:t>
      </w:r>
    </w:p>
    <w:p>
      <w:pPr>
        <w:spacing w:after="0"/>
        <w:ind w:left="567" w:hanging="567"/>
        <w:rPr>
          <w:rFonts w:eastAsia="Arial Unicode MS"/>
          <w:noProof/>
          <w:spacing w:val="-8"/>
          <w:szCs w:val="24"/>
        </w:rPr>
      </w:pPr>
      <w:r>
        <w:rPr>
          <w:noProof/>
          <w:spacing w:val="-8"/>
        </w:rPr>
        <w:t>b)</w:t>
      </w:r>
      <w:r>
        <w:rPr>
          <w:noProof/>
          <w:spacing w:val="-8"/>
        </w:rPr>
        <w:tab/>
        <w:t>s’il est immatriculé depuis moins de six mois au moment de la demande de réception individuelle de véhicule.</w:t>
      </w:r>
    </w:p>
    <w:p>
      <w:pPr>
        <w:spacing w:after="100" w:afterAutospacing="1"/>
        <w:ind w:left="567"/>
        <w:rPr>
          <w:rFonts w:eastAsia="Arial Unicode MS"/>
          <w:noProof/>
          <w:spacing w:val="-8"/>
          <w:szCs w:val="24"/>
        </w:rPr>
      </w:pPr>
      <w:r>
        <w:rPr>
          <w:noProof/>
          <w:spacing w:val="-8"/>
        </w:rPr>
        <w:t>Un véhicule est réputé immatriculé lorsqu’il a obtenu une autorisation administrative permanente, temporaire ou à court terme pour sa mise en circulation, comportant son identification et l’attribution d’un numéro d’immatriculation (</w:t>
      </w:r>
      <w:r>
        <w:rPr>
          <w:noProof/>
          <w:spacing w:val="-8"/>
          <w:vertAlign w:val="superscript"/>
        </w:rPr>
        <w:t>1</w:t>
      </w:r>
      <w:r>
        <w:rPr>
          <w:noProof/>
          <w:spacing w:val="-8"/>
        </w:rPr>
        <w:t>).</w:t>
      </w:r>
    </w:p>
    <w:p>
      <w:pPr>
        <w:ind w:left="567" w:hanging="567"/>
        <w:rPr>
          <w:rFonts w:eastAsia="Arial Unicode MS"/>
          <w:bCs/>
          <w:noProof/>
          <w:spacing w:val="-8"/>
          <w:szCs w:val="24"/>
        </w:rPr>
      </w:pPr>
      <w:r>
        <w:rPr>
          <w:noProof/>
          <w:spacing w:val="-8"/>
        </w:rPr>
        <w:t>1.</w:t>
      </w:r>
      <w:r>
        <w:rPr>
          <w:noProof/>
          <w:spacing w:val="-8"/>
        </w:rPr>
        <w:tab/>
        <w:t xml:space="preserve">DISPOSITIONS ADMINISTRATIVES </w:t>
      </w:r>
    </w:p>
    <w:p>
      <w:pPr>
        <w:ind w:left="567" w:hanging="567"/>
        <w:rPr>
          <w:rFonts w:eastAsia="Arial Unicode MS"/>
          <w:b/>
          <w:bCs/>
          <w:noProof/>
          <w:spacing w:val="-8"/>
          <w:szCs w:val="24"/>
        </w:rPr>
      </w:pPr>
      <w:r>
        <w:rPr>
          <w:noProof/>
          <w:spacing w:val="-8"/>
        </w:rPr>
        <w:t>1.1.</w:t>
      </w:r>
      <w:r>
        <w:rPr>
          <w:noProof/>
          <w:spacing w:val="-8"/>
        </w:rPr>
        <w:tab/>
      </w:r>
      <w:r>
        <w:rPr>
          <w:b/>
          <w:noProof/>
          <w:spacing w:val="-8"/>
        </w:rPr>
        <w:t xml:space="preserve">Classement du véhicule </w:t>
      </w:r>
    </w:p>
    <w:p>
      <w:pPr>
        <w:spacing w:after="0"/>
        <w:ind w:left="567"/>
        <w:rPr>
          <w:rFonts w:eastAsia="Arial Unicode MS"/>
          <w:noProof/>
          <w:spacing w:val="-8"/>
          <w:szCs w:val="24"/>
        </w:rPr>
      </w:pPr>
      <w:r>
        <w:rPr>
          <w:noProof/>
          <w:spacing w:val="-8"/>
        </w:rPr>
        <w:t>Les véhicules sont classés selon les critères énoncés dans l’annexe II, comme suit:</w:t>
      </w:r>
    </w:p>
    <w:p>
      <w:pPr>
        <w:spacing w:after="0"/>
        <w:ind w:left="1134" w:hanging="567"/>
        <w:rPr>
          <w:rFonts w:eastAsia="Arial Unicode MS"/>
          <w:noProof/>
          <w:spacing w:val="-8"/>
          <w:szCs w:val="24"/>
        </w:rPr>
      </w:pPr>
      <w:r>
        <w:rPr>
          <w:noProof/>
          <w:spacing w:val="-8"/>
        </w:rPr>
        <w:t>a)</w:t>
      </w:r>
      <w:r>
        <w:rPr>
          <w:noProof/>
          <w:spacing w:val="-8"/>
        </w:rPr>
        <w:tab/>
        <w:t>le nombre réel de places assises est pris en compte;</w:t>
      </w:r>
    </w:p>
    <w:p>
      <w:pPr>
        <w:spacing w:after="0"/>
        <w:ind w:left="1134" w:hanging="567"/>
        <w:rPr>
          <w:rFonts w:eastAsia="Arial Unicode MS"/>
          <w:noProof/>
          <w:spacing w:val="-8"/>
          <w:szCs w:val="24"/>
        </w:rPr>
      </w:pPr>
      <w:r>
        <w:rPr>
          <w:noProof/>
          <w:spacing w:val="-8"/>
        </w:rPr>
        <w:t>b)</w:t>
      </w:r>
      <w:r>
        <w:rPr>
          <w:noProof/>
          <w:spacing w:val="-8"/>
        </w:rPr>
        <w:tab/>
        <w:t>la masse en charge maximale techniquement admissible est la masse maximale déclarée par le constructeur dans le pays d’origine et indiquée dans la documentation officielle.</w:t>
      </w:r>
    </w:p>
    <w:p>
      <w:pPr>
        <w:spacing w:after="0"/>
        <w:ind w:left="567"/>
        <w:rPr>
          <w:rFonts w:eastAsia="Arial Unicode MS"/>
          <w:noProof/>
          <w:spacing w:val="-8"/>
          <w:szCs w:val="24"/>
        </w:rPr>
      </w:pPr>
      <w:r>
        <w:rPr>
          <w:noProof/>
          <w:spacing w:val="-8"/>
        </w:rPr>
        <w:t>Lorsque la catégorie du véhicule est difficile à déterminer en raison de la conception de la carrosserie, les conditions énoncées dans l’annexe II s’appliquent.</w:t>
      </w:r>
    </w:p>
    <w:p>
      <w:pPr>
        <w:ind w:left="567" w:hanging="567"/>
        <w:rPr>
          <w:rFonts w:eastAsia="Arial Unicode MS"/>
          <w:b/>
          <w:bCs/>
          <w:noProof/>
          <w:spacing w:val="-8"/>
          <w:szCs w:val="24"/>
        </w:rPr>
      </w:pPr>
      <w:r>
        <w:rPr>
          <w:noProof/>
          <w:spacing w:val="-8"/>
        </w:rPr>
        <w:t>1.2.</w:t>
      </w:r>
      <w:r>
        <w:rPr>
          <w:noProof/>
          <w:spacing w:val="-8"/>
        </w:rPr>
        <w:tab/>
      </w:r>
      <w:r>
        <w:rPr>
          <w:b/>
          <w:noProof/>
          <w:spacing w:val="-8"/>
        </w:rPr>
        <w:t>Demande de réception individuelle de véhicule</w:t>
      </w:r>
    </w:p>
    <w:p>
      <w:pPr>
        <w:spacing w:after="0"/>
        <w:ind w:left="1134" w:hanging="567"/>
        <w:rPr>
          <w:rFonts w:eastAsia="Arial Unicode MS"/>
          <w:noProof/>
          <w:spacing w:val="-8"/>
          <w:szCs w:val="24"/>
        </w:rPr>
      </w:pPr>
      <w:r>
        <w:rPr>
          <w:noProof/>
          <w:spacing w:val="-8"/>
        </w:rPr>
        <w:t>a)</w:t>
      </w:r>
      <w:r>
        <w:rPr>
          <w:noProof/>
          <w:spacing w:val="-8"/>
        </w:rPr>
        <w:tab/>
        <w:t>Le demandeur présente à l’autorité compétente en matière de réception une demande accompagnée de tous les documents pertinents nécessaires à la procédure de réception.</w:t>
      </w:r>
    </w:p>
    <w:p>
      <w:pPr>
        <w:spacing w:after="100" w:afterAutospacing="1"/>
        <w:ind w:left="1134"/>
        <w:rPr>
          <w:rFonts w:eastAsia="Arial Unicode MS"/>
          <w:noProof/>
          <w:spacing w:val="-8"/>
          <w:szCs w:val="24"/>
        </w:rPr>
      </w:pPr>
      <w:r>
        <w:rPr>
          <w:noProof/>
          <w:spacing w:val="-8"/>
        </w:rPr>
        <w:t>Lorsque la documentation présentée est incomplète, falsifiée ou contrefaite, la demande de réception est rejetée.</w:t>
      </w:r>
    </w:p>
    <w:p>
      <w:pPr>
        <w:spacing w:after="0"/>
        <w:ind w:left="1134" w:hanging="567"/>
        <w:rPr>
          <w:rFonts w:eastAsia="Arial Unicode MS"/>
          <w:noProof/>
          <w:spacing w:val="-8"/>
          <w:szCs w:val="24"/>
        </w:rPr>
      </w:pPr>
      <w:r>
        <w:rPr>
          <w:noProof/>
          <w:spacing w:val="-8"/>
        </w:rPr>
        <w:t>b)</w:t>
      </w:r>
      <w:r>
        <w:rPr>
          <w:noProof/>
          <w:spacing w:val="-8"/>
        </w:rPr>
        <w:tab/>
        <w:t>Pour un véhicule donné, une seule demande peut être présentée dans un seul État membre. L’autorité compétente en matière de réception peut exiger du demandeur un engagement écrit qu’une seule demande sera soumise dans l’État membre de l’autorité compétente en matière de réception.</w:t>
      </w:r>
    </w:p>
    <w:p>
      <w:pPr>
        <w:spacing w:after="0"/>
        <w:ind w:left="1134"/>
        <w:rPr>
          <w:rFonts w:eastAsia="Arial Unicode MS"/>
          <w:noProof/>
          <w:spacing w:val="-8"/>
          <w:szCs w:val="24"/>
        </w:rPr>
      </w:pPr>
      <w:r>
        <w:rPr>
          <w:noProof/>
          <w:spacing w:val="-8"/>
        </w:rPr>
        <w:t xml:space="preserve">Par «véhicule donné», on entend un véhicule physique dont le numéro d'identification de véhicule est clairement identifié. </w:t>
      </w:r>
    </w:p>
    <w:p>
      <w:pPr>
        <w:spacing w:after="0"/>
        <w:ind w:left="1134"/>
        <w:rPr>
          <w:rFonts w:eastAsia="Arial Unicode MS"/>
          <w:noProof/>
          <w:spacing w:val="-8"/>
          <w:szCs w:val="24"/>
        </w:rPr>
      </w:pPr>
      <w:r>
        <w:rPr>
          <w:noProof/>
          <w:spacing w:val="-8"/>
        </w:rPr>
        <w:t>Tout demandeur peut néanmoins déposer une demande de réception UE individuelle de véhicule dans un autre État membre concernant un véhicule qui possède des caractéristiques techniques identiques ou similaires à celles du véhicule pour lequel une réception UE individuelle a été obtenue.</w:t>
      </w:r>
    </w:p>
    <w:p>
      <w:pPr>
        <w:spacing w:after="0"/>
        <w:rPr>
          <w:rFonts w:eastAsia="Arial Unicode MS"/>
          <w:bCs/>
          <w:noProof/>
          <w:spacing w:val="-8"/>
          <w:sz w:val="20"/>
          <w:szCs w:val="20"/>
        </w:rPr>
      </w:pPr>
      <w:r>
        <w:rPr>
          <w:noProof/>
          <w:spacing w:val="-8"/>
          <w:sz w:val="20"/>
        </w:rPr>
        <w:t>___________________________________</w:t>
      </w:r>
    </w:p>
    <w:p>
      <w:pPr>
        <w:spacing w:after="0"/>
        <w:ind w:left="567" w:hanging="567"/>
        <w:rPr>
          <w:rFonts w:eastAsia="Arial Unicode MS"/>
          <w:noProof/>
          <w:spacing w:val="-8"/>
          <w:sz w:val="20"/>
          <w:szCs w:val="20"/>
        </w:rPr>
      </w:pPr>
      <w:r>
        <w:rPr>
          <w:noProof/>
          <w:spacing w:val="-8"/>
          <w:sz w:val="20"/>
          <w:szCs w:val="20"/>
        </w:rPr>
        <w:t>(</w:t>
      </w:r>
      <w:r>
        <w:rPr>
          <w:noProof/>
          <w:spacing w:val="-8"/>
          <w:sz w:val="20"/>
          <w:szCs w:val="20"/>
          <w:vertAlign w:val="superscript"/>
        </w:rPr>
        <w:t>1</w:t>
      </w:r>
      <w:r>
        <w:rPr>
          <w:noProof/>
          <w:spacing w:val="-8"/>
          <w:sz w:val="20"/>
          <w:szCs w:val="20"/>
        </w:rPr>
        <w:t>)</w:t>
      </w:r>
      <w:r>
        <w:rPr>
          <w:noProof/>
          <w:spacing w:val="-8"/>
          <w:sz w:val="20"/>
          <w:szCs w:val="20"/>
        </w:rPr>
        <w:tab/>
        <w:t>En l’absence de certificat d’immatriculation, l’autorité compétente peut se référer aux documents disponibles attestant la date de construction ou le premier achat.</w:t>
      </w:r>
    </w:p>
    <w:p>
      <w:pPr>
        <w:spacing w:after="0"/>
        <w:ind w:left="1134" w:hanging="567"/>
        <w:rPr>
          <w:rFonts w:eastAsia="Arial Unicode MS"/>
          <w:noProof/>
          <w:spacing w:val="-8"/>
          <w:szCs w:val="24"/>
        </w:rPr>
      </w:pPr>
      <w:r>
        <w:rPr>
          <w:noProof/>
          <w:spacing w:val="-8"/>
        </w:rPr>
        <w:lastRenderedPageBreak/>
        <w:t>c)</w:t>
      </w:r>
      <w:r>
        <w:rPr>
          <w:noProof/>
          <w:spacing w:val="-8"/>
        </w:rPr>
        <w:tab/>
        <w:t>Le modèle de formulaire de demande et la façon de présenter le dossier sont déterminés par l’autorité compétente en matière de réception.</w:t>
      </w:r>
    </w:p>
    <w:p>
      <w:pPr>
        <w:spacing w:before="100" w:beforeAutospacing="1" w:after="100" w:afterAutospacing="1"/>
        <w:ind w:left="1134"/>
        <w:rPr>
          <w:rFonts w:eastAsia="Arial Unicode MS"/>
          <w:noProof/>
          <w:spacing w:val="-8"/>
          <w:szCs w:val="24"/>
        </w:rPr>
      </w:pPr>
      <w:r>
        <w:rPr>
          <w:noProof/>
          <w:spacing w:val="-8"/>
        </w:rPr>
        <w:t>Les renseignements demandés concernant le véhicule ne peuvent consister qu'en une sélection appropriée des informations incluses dans l'annexe I.</w:t>
      </w:r>
    </w:p>
    <w:p>
      <w:pPr>
        <w:spacing w:after="0"/>
        <w:ind w:left="1134" w:hanging="567"/>
        <w:rPr>
          <w:rFonts w:eastAsia="Arial Unicode MS"/>
          <w:noProof/>
          <w:spacing w:val="-8"/>
          <w:szCs w:val="24"/>
        </w:rPr>
      </w:pPr>
      <w:r>
        <w:rPr>
          <w:noProof/>
          <w:spacing w:val="-8"/>
        </w:rPr>
        <w:t>d)</w:t>
      </w:r>
      <w:r>
        <w:rPr>
          <w:noProof/>
          <w:spacing w:val="-8"/>
        </w:rPr>
        <w:tab/>
        <w:t>Les prescriptions techniques auxquelles il convient de satisfaire sont celles énoncées à la section 4.</w:t>
      </w:r>
    </w:p>
    <w:p>
      <w:pPr>
        <w:spacing w:before="100" w:beforeAutospacing="1" w:after="100" w:afterAutospacing="1"/>
        <w:ind w:left="1134"/>
        <w:rPr>
          <w:rFonts w:eastAsia="Arial Unicode MS"/>
          <w:noProof/>
          <w:spacing w:val="-8"/>
          <w:szCs w:val="24"/>
        </w:rPr>
      </w:pPr>
      <w:r>
        <w:rPr>
          <w:noProof/>
          <w:spacing w:val="-8"/>
        </w:rPr>
        <w:t>Les prescriptions techniques sont celles applicables aux véhicules neufs appartenant à un type de véhicule qui est actuellement en production, par rapport à la date de la soumission de la demande.</w:t>
      </w:r>
    </w:p>
    <w:p>
      <w:pPr>
        <w:spacing w:after="0"/>
        <w:ind w:left="1134" w:hanging="567"/>
        <w:rPr>
          <w:rFonts w:eastAsia="Arial Unicode MS"/>
          <w:noProof/>
          <w:spacing w:val="-8"/>
          <w:szCs w:val="24"/>
        </w:rPr>
      </w:pPr>
      <w:r>
        <w:rPr>
          <w:noProof/>
          <w:spacing w:val="-8"/>
        </w:rPr>
        <w:t>e)</w:t>
      </w:r>
      <w:r>
        <w:rPr>
          <w:noProof/>
          <w:spacing w:val="-8"/>
        </w:rPr>
        <w:tab/>
        <w:t>En ce qui concerne les essais requis par les actes réglementaires mentionnés dans la présente annexe, le demandeur établit une déclaration de conformité aux normes ou réglementations internationalement reconnues. La déclaration en question ne peut être émise que par le constructeur du véhicule.</w:t>
      </w:r>
    </w:p>
    <w:p>
      <w:pPr>
        <w:spacing w:before="100" w:beforeAutospacing="1" w:after="100" w:afterAutospacing="1"/>
        <w:ind w:left="1134"/>
        <w:rPr>
          <w:rFonts w:eastAsia="Arial Unicode MS"/>
          <w:noProof/>
          <w:spacing w:val="-8"/>
          <w:szCs w:val="24"/>
        </w:rPr>
      </w:pPr>
      <w:r>
        <w:rPr>
          <w:noProof/>
          <w:spacing w:val="-8"/>
        </w:rPr>
        <w:t xml:space="preserve">Par «déclaration de conformité», on entend une déclaration établie par le bureau ou le service au sein de l’organisation du constructeur qui est dûment autorisé par la direction à engager pleinement la responsabilité juridique du constructeur en ce qui concerne la conception et la construction d’un véhicule. </w:t>
      </w:r>
    </w:p>
    <w:p>
      <w:pPr>
        <w:spacing w:before="100" w:beforeAutospacing="1" w:after="100" w:afterAutospacing="1"/>
        <w:ind w:left="1134"/>
        <w:rPr>
          <w:rFonts w:eastAsia="Arial Unicode MS"/>
          <w:noProof/>
          <w:spacing w:val="-8"/>
          <w:szCs w:val="24"/>
        </w:rPr>
      </w:pPr>
      <w:r>
        <w:rPr>
          <w:noProof/>
          <w:spacing w:val="-8"/>
        </w:rPr>
        <w:t>Les actes réglementaires en vertu desquels une telle déclaration doit être établie sont ceux visés dans la section 4.</w:t>
      </w:r>
    </w:p>
    <w:p>
      <w:pPr>
        <w:spacing w:before="100" w:beforeAutospacing="1" w:after="100" w:afterAutospacing="1"/>
        <w:ind w:left="1134"/>
        <w:rPr>
          <w:rFonts w:eastAsia="Arial Unicode MS"/>
          <w:noProof/>
          <w:spacing w:val="-8"/>
          <w:szCs w:val="24"/>
        </w:rPr>
      </w:pPr>
      <w:r>
        <w:rPr>
          <w:noProof/>
          <w:spacing w:val="-8"/>
        </w:rPr>
        <w:t>Lorsqu’une déclaration de conformité suscite des doutes, il peut être demandé au demandeur d’obtenir du constructeur un élément de preuve, notamment un rapport d’essais, qui corrobore la déclaration du constructeur.</w:t>
      </w:r>
    </w:p>
    <w:p>
      <w:pPr>
        <w:spacing w:before="360"/>
        <w:ind w:left="567" w:hanging="567"/>
        <w:rPr>
          <w:rFonts w:eastAsia="Arial Unicode MS"/>
          <w:b/>
          <w:bCs/>
          <w:noProof/>
          <w:spacing w:val="-8"/>
          <w:szCs w:val="24"/>
        </w:rPr>
      </w:pPr>
      <w:r>
        <w:rPr>
          <w:noProof/>
          <w:spacing w:val="-8"/>
        </w:rPr>
        <w:t>1.3.</w:t>
      </w:r>
      <w:r>
        <w:rPr>
          <w:noProof/>
          <w:spacing w:val="-8"/>
        </w:rPr>
        <w:tab/>
      </w:r>
      <w:r>
        <w:rPr>
          <w:b/>
          <w:noProof/>
          <w:spacing w:val="-8"/>
        </w:rPr>
        <w:t xml:space="preserve">Services techniques chargés des réceptions individuelles de véhicules </w:t>
      </w:r>
    </w:p>
    <w:p>
      <w:pPr>
        <w:spacing w:before="240" w:after="0"/>
        <w:ind w:left="1134" w:hanging="567"/>
        <w:rPr>
          <w:rFonts w:eastAsia="Arial Unicode MS"/>
          <w:noProof/>
          <w:spacing w:val="-8"/>
          <w:szCs w:val="24"/>
        </w:rPr>
      </w:pPr>
      <w:r>
        <w:rPr>
          <w:noProof/>
          <w:spacing w:val="-8"/>
        </w:rPr>
        <w:t>a)</w:t>
      </w:r>
      <w:r>
        <w:rPr>
          <w:noProof/>
          <w:spacing w:val="-8"/>
        </w:rPr>
        <w:tab/>
        <w:t>Les services techniques chargés des réceptions individuelles de véhicules relèvent de la catégorie A visée à l’article 72, paragraphe 1.</w:t>
      </w:r>
    </w:p>
    <w:p>
      <w:pPr>
        <w:spacing w:before="240" w:after="0"/>
        <w:ind w:left="1134" w:hanging="567"/>
        <w:rPr>
          <w:rFonts w:eastAsia="Arial Unicode MS"/>
          <w:noProof/>
          <w:spacing w:val="-8"/>
          <w:szCs w:val="24"/>
        </w:rPr>
      </w:pPr>
      <w:r>
        <w:rPr>
          <w:noProof/>
          <w:spacing w:val="-8"/>
        </w:rPr>
        <w:t>b)</w:t>
      </w:r>
      <w:r>
        <w:rPr>
          <w:noProof/>
          <w:spacing w:val="-8"/>
        </w:rPr>
        <w:tab/>
        <w:t xml:space="preserve"> Par dérogation à la prescription de démontrer leur conformité aux normes énumérées dans l’appendice 1 de l’annexe V, les services techniques se conforment aux normes suivantes:</w:t>
      </w:r>
    </w:p>
    <w:p>
      <w:pPr>
        <w:spacing w:after="0"/>
        <w:ind w:left="1701" w:hanging="567"/>
        <w:rPr>
          <w:rFonts w:eastAsia="Arial Unicode MS"/>
          <w:noProof/>
          <w:spacing w:val="-8"/>
          <w:szCs w:val="24"/>
        </w:rPr>
      </w:pPr>
      <w:r>
        <w:rPr>
          <w:noProof/>
          <w:spacing w:val="-8"/>
        </w:rPr>
        <w:t>i)</w:t>
      </w:r>
      <w:r>
        <w:rPr>
          <w:noProof/>
          <w:spacing w:val="-8"/>
        </w:rPr>
        <w:tab/>
        <w:t>EN ISO/IEC 17025:2005, lorsqu’ils réalisent les essais eux-mêmes;</w:t>
      </w:r>
    </w:p>
    <w:p>
      <w:pPr>
        <w:spacing w:after="0"/>
        <w:ind w:left="1701" w:hanging="567"/>
        <w:rPr>
          <w:rFonts w:eastAsia="Arial Unicode MS"/>
          <w:noProof/>
          <w:spacing w:val="-8"/>
          <w:szCs w:val="24"/>
        </w:rPr>
      </w:pPr>
      <w:r>
        <w:rPr>
          <w:noProof/>
          <w:spacing w:val="-8"/>
        </w:rPr>
        <w:t>ii)</w:t>
      </w:r>
      <w:r>
        <w:rPr>
          <w:noProof/>
          <w:spacing w:val="-8"/>
        </w:rPr>
        <w:tab/>
        <w:t>EN ISO/IEC 17020:2012, lorsqu’ils vérifient la conformité du véhicule aux prescriptions figurant dans le présent appendice.</w:t>
      </w:r>
    </w:p>
    <w:p>
      <w:pPr>
        <w:spacing w:before="240" w:after="0"/>
        <w:ind w:left="1134" w:hanging="567"/>
        <w:rPr>
          <w:rFonts w:eastAsia="Arial Unicode MS"/>
          <w:noProof/>
          <w:spacing w:val="-8"/>
          <w:szCs w:val="24"/>
        </w:rPr>
      </w:pPr>
      <w:r>
        <w:rPr>
          <w:noProof/>
          <w:spacing w:val="-8"/>
        </w:rPr>
        <w:t>c)</w:t>
      </w:r>
      <w:r>
        <w:rPr>
          <w:noProof/>
          <w:spacing w:val="-8"/>
        </w:rPr>
        <w:tab/>
        <w:t>Lorsque des essais spécifiques nécessitant des compétences spécifiques doivent être réalisés à la demande du demandeur, ils sont effectués par l’un des services techniques notifiés à la Commission, au choix du demandeur.</w:t>
      </w:r>
    </w:p>
    <w:p>
      <w:pPr>
        <w:spacing w:before="360"/>
        <w:ind w:left="567" w:hanging="567"/>
        <w:rPr>
          <w:rFonts w:eastAsia="Arial Unicode MS"/>
          <w:b/>
          <w:bCs/>
          <w:noProof/>
          <w:spacing w:val="-8"/>
          <w:szCs w:val="24"/>
        </w:rPr>
      </w:pPr>
      <w:r>
        <w:rPr>
          <w:noProof/>
          <w:spacing w:val="-8"/>
        </w:rPr>
        <w:br w:type="page"/>
      </w:r>
      <w:r>
        <w:rPr>
          <w:noProof/>
          <w:spacing w:val="-8"/>
        </w:rPr>
        <w:lastRenderedPageBreak/>
        <w:t>1.4.</w:t>
      </w:r>
      <w:r>
        <w:rPr>
          <w:noProof/>
          <w:spacing w:val="-8"/>
        </w:rPr>
        <w:tab/>
      </w:r>
      <w:r>
        <w:rPr>
          <w:b/>
          <w:noProof/>
          <w:spacing w:val="-8"/>
        </w:rPr>
        <w:t xml:space="preserve">Rapport d’essais </w:t>
      </w:r>
    </w:p>
    <w:p>
      <w:pPr>
        <w:spacing w:before="360" w:after="0"/>
        <w:ind w:left="1134" w:hanging="567"/>
        <w:rPr>
          <w:rFonts w:eastAsia="Arial Unicode MS"/>
          <w:noProof/>
          <w:spacing w:val="-8"/>
          <w:szCs w:val="24"/>
        </w:rPr>
      </w:pPr>
      <w:r>
        <w:rPr>
          <w:noProof/>
          <w:spacing w:val="-8"/>
        </w:rPr>
        <w:t>a)</w:t>
      </w:r>
      <w:r>
        <w:rPr>
          <w:noProof/>
          <w:spacing w:val="-8"/>
        </w:rPr>
        <w:tab/>
        <w:t>Les rapports d’essais sont établis conformément au paragraphe 5.10.2 de la norme EN ISO/IEC 17025:2005.</w:t>
      </w:r>
    </w:p>
    <w:p>
      <w:pPr>
        <w:spacing w:after="0"/>
        <w:ind w:left="1134" w:hanging="567"/>
        <w:rPr>
          <w:rFonts w:eastAsia="Arial Unicode MS"/>
          <w:noProof/>
          <w:spacing w:val="-8"/>
          <w:szCs w:val="24"/>
        </w:rPr>
      </w:pPr>
      <w:r>
        <w:rPr>
          <w:noProof/>
          <w:spacing w:val="-8"/>
        </w:rPr>
        <w:t>b)</w:t>
      </w:r>
      <w:r>
        <w:rPr>
          <w:noProof/>
          <w:spacing w:val="-8"/>
        </w:rPr>
        <w:tab/>
        <w:t>Ils sont rédigés dans l’une des langues de l’Union déterminée par l’autorité compétente en matière de réception.</w:t>
      </w:r>
    </w:p>
    <w:p>
      <w:pPr>
        <w:spacing w:before="100" w:beforeAutospacing="1" w:after="100" w:afterAutospacing="1"/>
        <w:ind w:left="1134"/>
        <w:rPr>
          <w:rFonts w:eastAsia="Arial Unicode MS"/>
          <w:noProof/>
          <w:spacing w:val="-8"/>
          <w:szCs w:val="24"/>
        </w:rPr>
      </w:pPr>
      <w:r>
        <w:rPr>
          <w:noProof/>
          <w:spacing w:val="-8"/>
        </w:rPr>
        <w:t>Lorsqu’en application du point 1.3 c), un rapport d’essais a été établi dans un État membre autre que celui chargé de la réception individuelle de véhicule, l’autorité compétente en matière de réception peut exiger que le demandeur présente une traduction certifiée du rapport d’essais.</w:t>
      </w:r>
    </w:p>
    <w:p>
      <w:pPr>
        <w:spacing w:after="0"/>
        <w:ind w:left="1134" w:hanging="600"/>
        <w:rPr>
          <w:rFonts w:eastAsia="Arial Unicode MS"/>
          <w:noProof/>
          <w:spacing w:val="-8"/>
          <w:szCs w:val="24"/>
        </w:rPr>
      </w:pPr>
      <w:r>
        <w:rPr>
          <w:noProof/>
          <w:spacing w:val="-8"/>
        </w:rPr>
        <w:t>c)</w:t>
      </w:r>
      <w:r>
        <w:rPr>
          <w:noProof/>
          <w:spacing w:val="-8"/>
        </w:rPr>
        <w:tab/>
        <w:t>Les rapports d’essais doivent comprendre une description du véhicule soumis aux essais, y compris son identification. Les pièces jouant un rôle important pour les résultats des essais doivent être décrites et leur numéro d’identification mentionné.</w:t>
      </w:r>
    </w:p>
    <w:p>
      <w:pPr>
        <w:spacing w:after="0"/>
        <w:ind w:left="1134" w:hanging="600"/>
        <w:rPr>
          <w:noProof/>
          <w:spacing w:val="-8"/>
        </w:rPr>
      </w:pPr>
      <w:r>
        <w:rPr>
          <w:noProof/>
          <w:spacing w:val="-8"/>
        </w:rPr>
        <w:t>d)</w:t>
      </w:r>
      <w:r>
        <w:rPr>
          <w:noProof/>
          <w:spacing w:val="-8"/>
        </w:rPr>
        <w:tab/>
        <w:t>Sur requête d’un demandeur, un rapport d’essais concernant un système lié à un véhicule donné peut être présenté à plusieurs reprises, par le même ou un autre demandeur, aux fins de la réception individuelle d’un autre véhicule.</w:t>
      </w:r>
    </w:p>
    <w:p>
      <w:pPr>
        <w:spacing w:after="0"/>
        <w:ind w:left="1134"/>
        <w:rPr>
          <w:rFonts w:eastAsia="Arial Unicode MS"/>
          <w:noProof/>
          <w:spacing w:val="-8"/>
          <w:szCs w:val="24"/>
        </w:rPr>
      </w:pPr>
      <w:r>
        <w:rPr>
          <w:noProof/>
          <w:spacing w:val="-8"/>
        </w:rPr>
        <w:t>Dans ce cas, l’autorité compétente en matière de réception s’assure que les caractéristiques techniques du véhicule sont dûment inspectées sur la base du rapport d’essais.</w:t>
      </w:r>
    </w:p>
    <w:p>
      <w:pPr>
        <w:spacing w:before="100" w:beforeAutospacing="1" w:after="100" w:afterAutospacing="1"/>
        <w:ind w:left="1134"/>
        <w:rPr>
          <w:rFonts w:eastAsia="Arial Unicode MS"/>
          <w:noProof/>
          <w:spacing w:val="-8"/>
          <w:szCs w:val="24"/>
        </w:rPr>
      </w:pPr>
      <w:r>
        <w:rPr>
          <w:noProof/>
          <w:spacing w:val="-8"/>
        </w:rPr>
        <w:t>L’inspection du véhicule et la documentation accompagnant le rapport d’essais doivent permettre de conclure que le véhicule dont la réception individuelle est sollicitée présente les mêmes caractéristiques que le véhicule décrit dans le rapport.</w:t>
      </w:r>
    </w:p>
    <w:p>
      <w:pPr>
        <w:spacing w:after="0"/>
        <w:ind w:left="1134" w:hanging="600"/>
        <w:rPr>
          <w:rFonts w:eastAsia="Arial Unicode MS"/>
          <w:noProof/>
          <w:spacing w:val="-8"/>
          <w:szCs w:val="24"/>
        </w:rPr>
      </w:pPr>
      <w:r>
        <w:rPr>
          <w:noProof/>
          <w:spacing w:val="-8"/>
        </w:rPr>
        <w:t>e)</w:t>
      </w:r>
      <w:r>
        <w:rPr>
          <w:noProof/>
          <w:spacing w:val="-8"/>
        </w:rPr>
        <w:tab/>
        <w:t>Seules des copies certifiées conformes d’un rapport d’essais peuvent être présentées.</w:t>
      </w:r>
    </w:p>
    <w:p>
      <w:pPr>
        <w:spacing w:after="0"/>
        <w:ind w:left="1134" w:hanging="600"/>
        <w:rPr>
          <w:rFonts w:eastAsia="Arial Unicode MS"/>
          <w:noProof/>
          <w:spacing w:val="-8"/>
          <w:szCs w:val="24"/>
        </w:rPr>
      </w:pPr>
      <w:r>
        <w:rPr>
          <w:noProof/>
          <w:spacing w:val="-8"/>
        </w:rPr>
        <w:t>f)</w:t>
      </w:r>
      <w:r>
        <w:rPr>
          <w:noProof/>
          <w:spacing w:val="-8"/>
        </w:rPr>
        <w:tab/>
        <w:t>Les rapports d’essais visés au point 1.4 d) ne comprennent pas les rapports établis aux fins de l’octroi de la réception individuelle du véhicule.</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pacing w:val="-8"/>
                <w:szCs w:val="24"/>
              </w:rPr>
            </w:pPr>
            <w:r>
              <w:rPr>
                <w:noProof/>
                <w:spacing w:val="-8"/>
              </w:rPr>
              <w:t>1.5.</w:t>
            </w:r>
          </w:p>
        </w:tc>
        <w:tc>
          <w:tcPr>
            <w:tcW w:w="4692" w:type="pct"/>
            <w:gridSpan w:val="2"/>
            <w:hideMark/>
          </w:tcPr>
          <w:p>
            <w:pPr>
              <w:spacing w:before="240" w:after="0"/>
              <w:rPr>
                <w:rFonts w:eastAsia="Arial Unicode MS"/>
                <w:noProof/>
                <w:spacing w:val="-8"/>
                <w:szCs w:val="24"/>
              </w:rPr>
            </w:pPr>
            <w:r>
              <w:rPr>
                <w:noProof/>
                <w:spacing w:val="-8"/>
              </w:rPr>
              <w:t>Dans le cadre de la procédure de réception individuelle de véhicules, chaque véhicule donné est inspecté physiquement par le service technique.</w:t>
            </w:r>
          </w:p>
          <w:p>
            <w:pPr>
              <w:spacing w:after="0"/>
              <w:rPr>
                <w:rFonts w:eastAsia="Arial Unicode MS"/>
                <w:noProof/>
                <w:spacing w:val="-8"/>
                <w:szCs w:val="24"/>
              </w:rPr>
            </w:pPr>
            <w:r>
              <w:rPr>
                <w:noProof/>
                <w:spacing w:val="-8"/>
              </w:rPr>
              <w:t>Aucune exemption à ce principe n’est admise.</w:t>
            </w:r>
          </w:p>
        </w:tc>
      </w:tr>
      <w:tr>
        <w:trPr>
          <w:tblCellSpacing w:w="0" w:type="dxa"/>
        </w:trPr>
        <w:tc>
          <w:tcPr>
            <w:tcW w:w="0" w:type="auto"/>
            <w:hideMark/>
          </w:tcPr>
          <w:p>
            <w:pPr>
              <w:spacing w:before="240" w:after="0"/>
              <w:rPr>
                <w:rFonts w:eastAsia="Arial Unicode MS"/>
                <w:noProof/>
                <w:spacing w:val="-8"/>
                <w:szCs w:val="24"/>
              </w:rPr>
            </w:pPr>
            <w:r>
              <w:rPr>
                <w:noProof/>
                <w:spacing w:val="-8"/>
              </w:rPr>
              <w:t>1.6.</w:t>
            </w:r>
          </w:p>
        </w:tc>
        <w:tc>
          <w:tcPr>
            <w:tcW w:w="4692" w:type="pct"/>
            <w:gridSpan w:val="2"/>
            <w:hideMark/>
          </w:tcPr>
          <w:p>
            <w:pPr>
              <w:spacing w:before="240" w:after="0"/>
              <w:rPr>
                <w:rFonts w:eastAsia="Arial Unicode MS"/>
                <w:noProof/>
                <w:spacing w:val="-8"/>
                <w:szCs w:val="24"/>
              </w:rPr>
            </w:pPr>
            <w:r>
              <w:rPr>
                <w:noProof/>
                <w:spacing w:val="-8"/>
              </w:rPr>
              <w:t>Si l’autorité compétente en matière de réception est convaincue que le véhicule satisfait aux prescriptions techniques spécifiées dans le présent appendice et est conforme à la description figurant dans la demande, elle accorde la réception conformément à l’article 42.</w:t>
            </w:r>
          </w:p>
        </w:tc>
      </w:tr>
      <w:tr>
        <w:trPr>
          <w:tblCellSpacing w:w="0" w:type="dxa"/>
        </w:trPr>
        <w:tc>
          <w:tcPr>
            <w:tcW w:w="0" w:type="auto"/>
            <w:hideMark/>
          </w:tcPr>
          <w:p>
            <w:pPr>
              <w:spacing w:before="240" w:after="0"/>
              <w:rPr>
                <w:rFonts w:eastAsia="Arial Unicode MS"/>
                <w:noProof/>
                <w:spacing w:val="-8"/>
                <w:szCs w:val="24"/>
              </w:rPr>
            </w:pPr>
            <w:r>
              <w:rPr>
                <w:noProof/>
                <w:spacing w:val="-8"/>
              </w:rPr>
              <w:t>1.7.</w:t>
            </w:r>
          </w:p>
        </w:tc>
        <w:tc>
          <w:tcPr>
            <w:tcW w:w="4692" w:type="pct"/>
            <w:gridSpan w:val="2"/>
            <w:hideMark/>
          </w:tcPr>
          <w:p>
            <w:pPr>
              <w:spacing w:before="240" w:after="0"/>
              <w:rPr>
                <w:rFonts w:eastAsia="Arial Unicode MS"/>
                <w:noProof/>
                <w:spacing w:val="-8"/>
                <w:szCs w:val="24"/>
              </w:rPr>
            </w:pPr>
            <w:r>
              <w:rPr>
                <w:noProof/>
                <w:spacing w:val="-8"/>
              </w:rPr>
              <w:t>La fiche de réception est établie selon le modèle D reproduit dans l’annexe VI.</w:t>
            </w:r>
          </w:p>
        </w:tc>
      </w:tr>
      <w:tr>
        <w:trPr>
          <w:gridAfter w:val="1"/>
          <w:wAfter w:w="77" w:type="pct"/>
          <w:tblCellSpacing w:w="0" w:type="dxa"/>
        </w:trPr>
        <w:tc>
          <w:tcPr>
            <w:tcW w:w="0" w:type="auto"/>
            <w:hideMark/>
          </w:tcPr>
          <w:p>
            <w:pPr>
              <w:spacing w:before="240" w:after="0"/>
              <w:rPr>
                <w:rFonts w:eastAsia="Arial Unicode MS"/>
                <w:noProof/>
                <w:spacing w:val="-8"/>
                <w:szCs w:val="24"/>
              </w:rPr>
            </w:pPr>
            <w:r>
              <w:rPr>
                <w:noProof/>
                <w:spacing w:val="-8"/>
              </w:rPr>
              <w:t>1.8.</w:t>
            </w:r>
          </w:p>
        </w:tc>
        <w:tc>
          <w:tcPr>
            <w:tcW w:w="0" w:type="auto"/>
            <w:hideMark/>
          </w:tcPr>
          <w:p>
            <w:pPr>
              <w:spacing w:before="240" w:after="0"/>
              <w:rPr>
                <w:rFonts w:eastAsia="Arial Unicode MS"/>
                <w:noProof/>
                <w:spacing w:val="-8"/>
                <w:szCs w:val="24"/>
              </w:rPr>
            </w:pPr>
            <w:r>
              <w:rPr>
                <w:noProof/>
                <w:spacing w:val="-8"/>
              </w:rPr>
              <w:t>L’autorité compétente en matière de réception conserve un dossier de toutes les réceptions accordées en vertu de l’article 42.</w:t>
            </w:r>
          </w:p>
        </w:tc>
      </w:tr>
    </w:tbl>
    <w:p>
      <w:pPr>
        <w:rPr>
          <w:noProof/>
          <w:spacing w:val="-8"/>
        </w:rPr>
      </w:pPr>
      <w:r>
        <w:rPr>
          <w:noProof/>
          <w:spacing w:val="-8"/>
        </w:rPr>
        <w:br w:type="page"/>
      </w:r>
    </w:p>
    <w:p>
      <w:pPr>
        <w:spacing w:before="240"/>
        <w:ind w:left="567" w:hanging="567"/>
        <w:rPr>
          <w:rFonts w:eastAsia="Arial Unicode MS"/>
          <w:bCs/>
          <w:noProof/>
          <w:spacing w:val="-8"/>
          <w:szCs w:val="24"/>
        </w:rPr>
      </w:pPr>
      <w:r>
        <w:rPr>
          <w:noProof/>
          <w:spacing w:val="-8"/>
        </w:rPr>
        <w:lastRenderedPageBreak/>
        <w:t>2.</w:t>
      </w:r>
      <w:r>
        <w:rPr>
          <w:noProof/>
          <w:spacing w:val="-8"/>
        </w:rPr>
        <w:tab/>
        <w:t xml:space="preserve">RÉVISION DES PRESCRIPTIONS TECHNIQUES </w:t>
      </w:r>
    </w:p>
    <w:p>
      <w:pPr>
        <w:spacing w:after="0"/>
        <w:ind w:left="567"/>
        <w:rPr>
          <w:rFonts w:eastAsia="Arial Unicode MS"/>
          <w:noProof/>
          <w:spacing w:val="-8"/>
          <w:szCs w:val="24"/>
        </w:rPr>
      </w:pPr>
      <w:r>
        <w:rPr>
          <w:noProof/>
          <w:spacing w:val="-8"/>
        </w:rPr>
        <w:t>La liste des prescriptions techniques figurant dans la section 3 fait l’objet d’une révision régulière pour tenir compte des résultats des travaux d’harmonisation en cours au sein du forum mondial pour l’harmonisation de la réglementation sur les véhicules (WP.29) à Genève, ainsi que de l’évolution de la législation dans les pays tiers.</w:t>
      </w:r>
    </w:p>
    <w:p>
      <w:pPr>
        <w:spacing w:before="240"/>
        <w:ind w:left="567" w:hanging="567"/>
        <w:rPr>
          <w:rFonts w:eastAsia="Arial Unicode MS"/>
          <w:bCs/>
          <w:noProof/>
          <w:spacing w:val="-8"/>
          <w:szCs w:val="24"/>
        </w:rPr>
      </w:pPr>
      <w:r>
        <w:rPr>
          <w:noProof/>
          <w:spacing w:val="-8"/>
        </w:rPr>
        <w:t>3.</w:t>
      </w:r>
      <w:r>
        <w:rPr>
          <w:noProof/>
          <w:spacing w:val="-8"/>
        </w:rPr>
        <w:tab/>
        <w:t xml:space="preserve">PRESCRIPTIONS TECHNIQUES </w:t>
      </w:r>
    </w:p>
    <w:p>
      <w:pPr>
        <w:spacing w:before="240" w:after="240"/>
        <w:ind w:left="567"/>
        <w:jc w:val="center"/>
        <w:rPr>
          <w:rFonts w:eastAsia="Arial Unicode MS"/>
          <w:noProof/>
          <w:spacing w:val="-8"/>
          <w:szCs w:val="24"/>
        </w:rPr>
      </w:pPr>
      <w:r>
        <w:rPr>
          <w:b/>
          <w:noProof/>
          <w:spacing w:val="-8"/>
        </w:rPr>
        <w:t>Partie I:</w:t>
      </w:r>
      <w:r>
        <w:rPr>
          <w:noProof/>
          <w:spacing w:val="-8"/>
        </w:rPr>
        <w:t xml:space="preserve"> </w:t>
      </w:r>
      <w:r>
        <w:rPr>
          <w:b/>
          <w:noProof/>
          <w:spacing w:val="-8"/>
        </w:rPr>
        <w:t>Véhicules appartenant à la catégorie M</w:t>
      </w:r>
      <w:r>
        <w:rPr>
          <w:b/>
          <w:noProof/>
          <w:spacing w:val="-8"/>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2348"/>
        <w:gridCol w:w="541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Élément</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Référence de l’acte réglementaire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pacing w:val="-8"/>
                <w:sz w:val="20"/>
                <w:szCs w:val="20"/>
              </w:rPr>
            </w:pPr>
            <w:r>
              <w:rPr>
                <w:noProof/>
                <w:spacing w:val="-8"/>
                <w:sz w:val="20"/>
              </w:rPr>
              <w:t>Autres prescriptions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 xml:space="preserve">Directive 70/157/CE du Conseil </w:t>
            </w:r>
            <w:r>
              <w:rPr>
                <w:rStyle w:val="FootnoteReference"/>
                <w:noProof/>
                <w:spacing w:val="-8"/>
                <w:sz w:val="20"/>
              </w:rPr>
              <w:footnoteReference w:id="28"/>
            </w:r>
          </w:p>
          <w:p>
            <w:pPr>
              <w:spacing w:before="60" w:after="60"/>
              <w:rPr>
                <w:rFonts w:eastAsia="Arial Unicode MS"/>
                <w:noProof/>
                <w:spacing w:val="-8"/>
                <w:sz w:val="20"/>
                <w:szCs w:val="20"/>
              </w:rPr>
            </w:pPr>
            <w:r>
              <w:rPr>
                <w:noProof/>
                <w:spacing w:val="-8"/>
                <w:sz w:val="20"/>
              </w:rPr>
              <w:t>(Niveau sonore admissible)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pacing w:val="-8"/>
                <w:sz w:val="20"/>
                <w:szCs w:val="20"/>
              </w:rPr>
            </w:pPr>
            <w:r>
              <w:rPr>
                <w:i/>
                <w:noProof/>
                <w:spacing w:val="-8"/>
                <w:sz w:val="20"/>
              </w:rPr>
              <w:t>Essai au passage du véhicule</w:t>
            </w:r>
            <w:r>
              <w:rPr>
                <w:noProof/>
                <w:spacing w:val="-8"/>
                <w:sz w:val="20"/>
              </w:rPr>
              <w:t xml:space="preserve"> </w:t>
            </w:r>
          </w:p>
          <w:p>
            <w:pPr>
              <w:spacing w:before="60" w:after="0"/>
              <w:ind w:left="522" w:hanging="522"/>
              <w:rPr>
                <w:rFonts w:eastAsia="Arial Unicode MS"/>
                <w:noProof/>
                <w:spacing w:val="-8"/>
                <w:sz w:val="20"/>
                <w:szCs w:val="20"/>
              </w:rPr>
            </w:pPr>
            <w:r>
              <w:rPr>
                <w:noProof/>
                <w:spacing w:val="-8"/>
                <w:sz w:val="20"/>
                <w:szCs w:val="20"/>
              </w:rPr>
              <w:t xml:space="preserve">a) </w:t>
            </w:r>
            <w:r>
              <w:rPr>
                <w:noProof/>
                <w:spacing w:val="-8"/>
                <w:sz w:val="20"/>
                <w:szCs w:val="20"/>
              </w:rPr>
              <w:tab/>
              <w:t>Un essai est réalisé selon la «méthode A» visée dans l’annexe 3 du règlement n</w:t>
            </w:r>
            <w:r>
              <w:rPr>
                <w:noProof/>
                <w:spacing w:val="-8"/>
                <w:sz w:val="20"/>
                <w:szCs w:val="20"/>
                <w:vertAlign w:val="superscript"/>
              </w:rPr>
              <w:t>o</w:t>
            </w:r>
            <w:r>
              <w:rPr>
                <w:noProof/>
                <w:spacing w:val="-8"/>
                <w:sz w:val="20"/>
                <w:szCs w:val="20"/>
              </w:rPr>
              <w:t> 51 de la CEE-ONU.</w:t>
            </w:r>
          </w:p>
          <w:p>
            <w:pPr>
              <w:spacing w:before="60" w:after="60"/>
              <w:ind w:left="522" w:hanging="522"/>
              <w:rPr>
                <w:rFonts w:eastAsia="Arial Unicode MS"/>
                <w:noProof/>
                <w:spacing w:val="-8"/>
                <w:sz w:val="20"/>
                <w:szCs w:val="20"/>
              </w:rPr>
            </w:pPr>
            <w:r>
              <w:rPr>
                <w:noProof/>
                <w:spacing w:val="-8"/>
                <w:sz w:val="20"/>
                <w:szCs w:val="20"/>
              </w:rPr>
              <w:tab/>
              <w:t>Les limites sont celles spécifiées au point 2.1 de l’annexe I de la directive 70/157/CE; un dépassement d’un décibel est admis.</w:t>
            </w:r>
          </w:p>
          <w:p>
            <w:pPr>
              <w:spacing w:before="60" w:after="0"/>
              <w:ind w:left="522" w:hanging="522"/>
              <w:rPr>
                <w:rFonts w:eastAsia="Arial Unicode MS"/>
                <w:noProof/>
                <w:spacing w:val="-8"/>
                <w:sz w:val="20"/>
                <w:szCs w:val="20"/>
              </w:rPr>
            </w:pPr>
            <w:r>
              <w:rPr>
                <w:noProof/>
                <w:spacing w:val="-8"/>
                <w:sz w:val="20"/>
                <w:szCs w:val="20"/>
              </w:rPr>
              <w:t>b)</w:t>
            </w:r>
            <w:r>
              <w:rPr>
                <w:noProof/>
                <w:spacing w:val="-8"/>
                <w:sz w:val="20"/>
                <w:szCs w:val="20"/>
              </w:rPr>
              <w:tab/>
              <w:t>La piste d’essai doit être conforme à l’annexe 8 du règlement n</w:t>
            </w:r>
            <w:r>
              <w:rPr>
                <w:noProof/>
                <w:spacing w:val="-8"/>
                <w:sz w:val="20"/>
                <w:szCs w:val="20"/>
                <w:vertAlign w:val="superscript"/>
              </w:rPr>
              <w:t>o</w:t>
            </w:r>
            <w:r>
              <w:rPr>
                <w:noProof/>
                <w:spacing w:val="-8"/>
                <w:sz w:val="20"/>
                <w:szCs w:val="20"/>
              </w:rPr>
              <w:t> 51 de la CEE-ONU. Une piste d’essai possédant des spécifications différentes peut être utilisée à condition que le service technique ait procédé à des essais de corrélation. Un facteur de correction est appliqué, si nécessaire.</w:t>
            </w:r>
          </w:p>
          <w:p>
            <w:pPr>
              <w:spacing w:before="60" w:after="0"/>
              <w:ind w:left="522" w:hanging="522"/>
              <w:rPr>
                <w:rFonts w:eastAsia="Arial Unicode MS"/>
                <w:noProof/>
                <w:spacing w:val="-8"/>
                <w:sz w:val="20"/>
                <w:szCs w:val="20"/>
              </w:rPr>
            </w:pPr>
            <w:r>
              <w:rPr>
                <w:noProof/>
                <w:spacing w:val="-8"/>
                <w:sz w:val="20"/>
                <w:szCs w:val="20"/>
              </w:rPr>
              <w:t>c)</w:t>
            </w:r>
            <w:r>
              <w:rPr>
                <w:noProof/>
                <w:spacing w:val="-8"/>
                <w:sz w:val="20"/>
                <w:szCs w:val="20"/>
              </w:rPr>
              <w:tab/>
              <w:t>Les systèmes d’échappement contenant des matériaux fibreux n’ont pas besoin d’être conditionnés comme le prescrit l’annexe 5 du règlement n</w:t>
            </w:r>
            <w:r>
              <w:rPr>
                <w:noProof/>
                <w:spacing w:val="-8"/>
                <w:sz w:val="20"/>
                <w:szCs w:val="20"/>
                <w:vertAlign w:val="superscript"/>
              </w:rPr>
              <w:t>o</w:t>
            </w:r>
            <w:r>
              <w:rPr>
                <w:noProof/>
                <w:spacing w:val="-8"/>
                <w:sz w:val="20"/>
                <w:szCs w:val="20"/>
              </w:rPr>
              <w:t> 51 de la CEE-ONU.</w:t>
            </w:r>
          </w:p>
          <w:p>
            <w:pPr>
              <w:spacing w:after="0"/>
              <w:ind w:left="522" w:hanging="522"/>
              <w:rPr>
                <w:rFonts w:eastAsia="Arial Unicode MS"/>
                <w:i/>
                <w:iCs/>
                <w:noProof/>
                <w:spacing w:val="-8"/>
                <w:sz w:val="20"/>
                <w:szCs w:val="20"/>
              </w:rPr>
            </w:pPr>
            <w:r>
              <w:rPr>
                <w:i/>
                <w:noProof/>
                <w:spacing w:val="-8"/>
                <w:sz w:val="20"/>
                <w:szCs w:val="20"/>
              </w:rPr>
              <w:t>Essai à l’arrêt du véhicule</w:t>
            </w:r>
          </w:p>
          <w:p>
            <w:pPr>
              <w:rPr>
                <w:rFonts w:eastAsia="Arial Unicode MS"/>
                <w:noProof/>
                <w:spacing w:val="-8"/>
                <w:sz w:val="20"/>
                <w:szCs w:val="20"/>
              </w:rPr>
            </w:pPr>
            <w:r>
              <w:rPr>
                <w:noProof/>
                <w:spacing w:val="-8"/>
                <w:sz w:val="20"/>
                <w:szCs w:val="20"/>
              </w:rPr>
              <w:t>L’essai doit être réalisé conformément au paragraphe 3.2 de l’annexe 3 du règlement n</w:t>
            </w:r>
            <w:r>
              <w:rPr>
                <w:noProof/>
                <w:spacing w:val="-8"/>
                <w:sz w:val="20"/>
                <w:szCs w:val="20"/>
                <w:vertAlign w:val="superscript"/>
              </w:rPr>
              <w:t>o</w:t>
            </w:r>
            <w:r>
              <w:rPr>
                <w:noProof/>
                <w:spacing w:val="-8"/>
                <w:sz w:val="20"/>
                <w:szCs w:val="20"/>
              </w:rPr>
              <w:t> 51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715/2007</w:t>
            </w:r>
          </w:p>
          <w:p>
            <w:pPr>
              <w:spacing w:before="60" w:after="60"/>
              <w:jc w:val="left"/>
              <w:rPr>
                <w:rFonts w:eastAsia="Arial Unicode MS"/>
                <w:noProof/>
                <w:spacing w:val="-8"/>
                <w:sz w:val="20"/>
                <w:szCs w:val="20"/>
              </w:rPr>
            </w:pPr>
            <w:r>
              <w:rPr>
                <w:noProof/>
                <w:spacing w:val="-8"/>
                <w:sz w:val="20"/>
              </w:rPr>
              <w:t>(Émissions des véhicules légers Euro 5 et 6 / accès aux informations)</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pacing w:val="-8"/>
                <w:sz w:val="20"/>
                <w:szCs w:val="20"/>
              </w:rPr>
            </w:pPr>
            <w:r>
              <w:rPr>
                <w:i/>
                <w:noProof/>
                <w:spacing w:val="-8"/>
                <w:sz w:val="20"/>
                <w:szCs w:val="20"/>
              </w:rPr>
              <w:t>Émissions d’échappement</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Un essai du type I est réalisé conformément à l’annexe III du règlement (CE) n</w:t>
            </w:r>
            <w:r>
              <w:rPr>
                <w:noProof/>
                <w:spacing w:val="-8"/>
                <w:sz w:val="20"/>
                <w:szCs w:val="20"/>
                <w:vertAlign w:val="superscript"/>
              </w:rPr>
              <w:t>o</w:t>
            </w:r>
            <w:r>
              <w:rPr>
                <w:noProof/>
                <w:spacing w:val="-8"/>
                <w:sz w:val="20"/>
                <w:szCs w:val="20"/>
              </w:rPr>
              <w:t> 692/2008 en utilisant les facteurs de détérioration visés au point 1.4 de l’annexe VII dudit règlement. Les limites à appliquer sont celles spécifiées dans les tableaux I et II de l’annexe I du règlement (CE) n</w:t>
            </w:r>
            <w:r>
              <w:rPr>
                <w:noProof/>
                <w:spacing w:val="-8"/>
                <w:sz w:val="20"/>
                <w:szCs w:val="20"/>
                <w:vertAlign w:val="superscript"/>
              </w:rPr>
              <w:t>o</w:t>
            </w:r>
            <w:r>
              <w:rPr>
                <w:noProof/>
                <w:spacing w:val="-8"/>
                <w:sz w:val="20"/>
                <w:szCs w:val="20"/>
              </w:rPr>
              <w:t> 715/2007.</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Il n’est pas nécessaire que le véhicule ait accompli 3 000 km comme mentionné au paragraphe 3.1.1 de l’annexe 4 du règlement n</w:t>
            </w:r>
            <w:r>
              <w:rPr>
                <w:noProof/>
                <w:spacing w:val="-8"/>
                <w:sz w:val="20"/>
                <w:szCs w:val="20"/>
                <w:vertAlign w:val="superscript"/>
              </w:rPr>
              <w:t>o</w:t>
            </w:r>
            <w:r>
              <w:rPr>
                <w:noProof/>
                <w:spacing w:val="-8"/>
                <w:sz w:val="20"/>
                <w:szCs w:val="20"/>
              </w:rPr>
              <w:t> 83 de la CEE-ONU.</w:t>
            </w:r>
          </w:p>
          <w:p>
            <w:pPr>
              <w:spacing w:after="0"/>
              <w:ind w:left="522" w:hanging="522"/>
              <w:rPr>
                <w:rFonts w:eastAsia="Arial Unicode MS"/>
                <w:noProof/>
                <w:spacing w:val="-8"/>
                <w:sz w:val="20"/>
                <w:szCs w:val="20"/>
              </w:rPr>
            </w:pPr>
            <w:r>
              <w:rPr>
                <w:noProof/>
                <w:spacing w:val="-8"/>
                <w:sz w:val="20"/>
                <w:szCs w:val="20"/>
              </w:rPr>
              <w:t>c)</w:t>
            </w:r>
            <w:r>
              <w:rPr>
                <w:noProof/>
                <w:spacing w:val="-8"/>
                <w:sz w:val="20"/>
                <w:szCs w:val="20"/>
              </w:rPr>
              <w:tab/>
              <w:t>Le carburant utilisé pour l’essai doit être le carburant de référence prescrit dans l’annexe IX du règlement (CE) n</w:t>
            </w:r>
            <w:r>
              <w:rPr>
                <w:noProof/>
                <w:spacing w:val="-8"/>
                <w:sz w:val="20"/>
                <w:szCs w:val="20"/>
                <w:vertAlign w:val="superscript"/>
              </w:rPr>
              <w:t>o</w:t>
            </w:r>
            <w:r>
              <w:rPr>
                <w:noProof/>
                <w:spacing w:val="-8"/>
                <w:sz w:val="20"/>
                <w:szCs w:val="20"/>
              </w:rPr>
              <w:t> 692/2008.</w:t>
            </w:r>
          </w:p>
          <w:p>
            <w:pPr>
              <w:spacing w:after="0"/>
              <w:ind w:left="522" w:hanging="522"/>
              <w:rPr>
                <w:rFonts w:eastAsia="Arial Unicode MS"/>
                <w:noProof/>
                <w:spacing w:val="-8"/>
                <w:sz w:val="20"/>
                <w:szCs w:val="20"/>
              </w:rPr>
            </w:pPr>
            <w:r>
              <w:rPr>
                <w:noProof/>
                <w:spacing w:val="-8"/>
                <w:sz w:val="20"/>
                <w:szCs w:val="20"/>
              </w:rPr>
              <w:t>d)</w:t>
            </w:r>
            <w:r>
              <w:rPr>
                <w:noProof/>
                <w:spacing w:val="-8"/>
                <w:sz w:val="20"/>
                <w:szCs w:val="20"/>
              </w:rPr>
              <w:tab/>
              <w:t>Le banc dynamométrique doit être réglé conformément aux prescriptions techniques énoncées au paragraphe 3.2 de l’annexe 4 du règlement n</w:t>
            </w:r>
            <w:r>
              <w:rPr>
                <w:noProof/>
                <w:spacing w:val="-8"/>
                <w:sz w:val="20"/>
                <w:szCs w:val="20"/>
                <w:vertAlign w:val="superscript"/>
              </w:rPr>
              <w:t>o</w:t>
            </w:r>
            <w:r>
              <w:rPr>
                <w:noProof/>
                <w:spacing w:val="-8"/>
                <w:sz w:val="20"/>
                <w:szCs w:val="20"/>
              </w:rPr>
              <w:t> 83 de la CEE-ONU.</w:t>
            </w:r>
          </w:p>
          <w:p>
            <w:pPr>
              <w:spacing w:after="0"/>
              <w:ind w:left="522" w:hanging="522"/>
              <w:rPr>
                <w:rFonts w:eastAsia="Arial Unicode MS"/>
                <w:noProof/>
                <w:spacing w:val="-8"/>
                <w:sz w:val="20"/>
                <w:szCs w:val="20"/>
              </w:rPr>
            </w:pPr>
            <w:r>
              <w:rPr>
                <w:noProof/>
                <w:spacing w:val="-8"/>
                <w:sz w:val="20"/>
                <w:szCs w:val="20"/>
              </w:rPr>
              <w:t>e)</w:t>
            </w:r>
            <w:r>
              <w:rPr>
                <w:noProof/>
                <w:spacing w:val="-8"/>
                <w:sz w:val="20"/>
                <w:szCs w:val="20"/>
              </w:rPr>
              <w:tab/>
              <w:t xml:space="preserve">L’essai visé au point a) ne doit pas être effectué s’il est possible de démontrer que le véhicule est conforme au «Code of Regulations» </w:t>
            </w:r>
            <w:r>
              <w:rPr>
                <w:noProof/>
                <w:spacing w:val="-8"/>
                <w:sz w:val="20"/>
                <w:szCs w:val="20"/>
              </w:rPr>
              <w:lastRenderedPageBreak/>
              <w:t>de l’État de Californie visé au point 2.1.1 de l’annexe I du règlement (CE) n</w:t>
            </w:r>
            <w:r>
              <w:rPr>
                <w:noProof/>
                <w:spacing w:val="-8"/>
                <w:sz w:val="20"/>
                <w:szCs w:val="20"/>
                <w:vertAlign w:val="superscript"/>
              </w:rPr>
              <w:t>o</w:t>
            </w:r>
            <w:r>
              <w:rPr>
                <w:noProof/>
                <w:spacing w:val="-8"/>
                <w:sz w:val="20"/>
                <w:szCs w:val="20"/>
              </w:rPr>
              <w:t> 692/2008.</w:t>
            </w:r>
          </w:p>
          <w:p>
            <w:pPr>
              <w:ind w:left="522" w:hanging="522"/>
              <w:rPr>
                <w:rFonts w:eastAsia="Arial Unicode MS"/>
                <w:i/>
                <w:iCs/>
                <w:noProof/>
                <w:spacing w:val="-8"/>
                <w:sz w:val="20"/>
                <w:szCs w:val="20"/>
              </w:rPr>
            </w:pPr>
            <w:r>
              <w:rPr>
                <w:i/>
                <w:noProof/>
                <w:spacing w:val="-8"/>
                <w:sz w:val="20"/>
                <w:szCs w:val="20"/>
              </w:rPr>
              <w:t>Émissions par évaporation</w:t>
            </w:r>
          </w:p>
          <w:p>
            <w:pPr>
              <w:spacing w:after="0"/>
              <w:rPr>
                <w:rFonts w:eastAsia="Arial Unicode MS"/>
                <w:noProof/>
                <w:spacing w:val="-8"/>
                <w:sz w:val="20"/>
                <w:szCs w:val="20"/>
              </w:rPr>
            </w:pPr>
            <w:r>
              <w:rPr>
                <w:noProof/>
                <w:spacing w:val="-8"/>
                <w:sz w:val="20"/>
                <w:szCs w:val="20"/>
              </w:rPr>
              <w:t>Pour les moteurs à essence, la présence d’un système de contrôle des émissions par évaporation est requise (par exemple, un filtre à charbon).</w:t>
            </w:r>
          </w:p>
          <w:p>
            <w:pPr>
              <w:ind w:left="522" w:hanging="522"/>
              <w:rPr>
                <w:rFonts w:eastAsia="Arial Unicode MS"/>
                <w:i/>
                <w:iCs/>
                <w:noProof/>
                <w:spacing w:val="-8"/>
                <w:sz w:val="20"/>
                <w:szCs w:val="20"/>
              </w:rPr>
            </w:pPr>
            <w:r>
              <w:rPr>
                <w:i/>
                <w:noProof/>
                <w:spacing w:val="-8"/>
                <w:sz w:val="20"/>
                <w:szCs w:val="20"/>
              </w:rPr>
              <w:t>Émissions du carter</w:t>
            </w:r>
          </w:p>
          <w:p>
            <w:pPr>
              <w:spacing w:after="0"/>
              <w:rPr>
                <w:rFonts w:eastAsia="Arial Unicode MS"/>
                <w:noProof/>
                <w:spacing w:val="-8"/>
                <w:sz w:val="20"/>
                <w:szCs w:val="20"/>
              </w:rPr>
            </w:pPr>
            <w:r>
              <w:rPr>
                <w:noProof/>
                <w:spacing w:val="-8"/>
                <w:sz w:val="20"/>
                <w:szCs w:val="20"/>
              </w:rPr>
              <w:t>La présence d’un dispositif servant à recycler les gaz de carter est requise.</w:t>
            </w:r>
          </w:p>
          <w:p>
            <w:pPr>
              <w:rPr>
                <w:rFonts w:eastAsia="Arial Unicode MS"/>
                <w:noProof/>
                <w:spacing w:val="-8"/>
                <w:sz w:val="20"/>
                <w:szCs w:val="20"/>
              </w:rPr>
            </w:pPr>
            <w:r>
              <w:rPr>
                <w:i/>
                <w:noProof/>
                <w:spacing w:val="-8"/>
                <w:sz w:val="20"/>
                <w:szCs w:val="20"/>
              </w:rPr>
              <w:t>OBD</w:t>
            </w:r>
            <w:r>
              <w:rPr>
                <w:noProof/>
                <w:spacing w:val="-8"/>
                <w:sz w:val="20"/>
                <w:szCs w:val="20"/>
              </w:rPr>
              <w:t xml:space="preserve"> </w:t>
            </w:r>
          </w:p>
          <w:p>
            <w:pPr>
              <w:spacing w:before="60" w:after="0"/>
              <w:ind w:left="522" w:hanging="522"/>
              <w:rPr>
                <w:rFonts w:eastAsia="Arial Unicode MS"/>
                <w:noProof/>
                <w:spacing w:val="-8"/>
                <w:sz w:val="20"/>
                <w:szCs w:val="20"/>
              </w:rPr>
            </w:pPr>
            <w:r>
              <w:rPr>
                <w:noProof/>
                <w:spacing w:val="-8"/>
                <w:sz w:val="20"/>
                <w:szCs w:val="20"/>
              </w:rPr>
              <w:t>a)</w:t>
            </w:r>
            <w:r>
              <w:rPr>
                <w:noProof/>
                <w:spacing w:val="-8"/>
                <w:sz w:val="20"/>
                <w:szCs w:val="20"/>
              </w:rPr>
              <w:tab/>
              <w:t>Le véhicule doit être équipé d’un système OBD.</w:t>
            </w:r>
          </w:p>
          <w:p>
            <w:pPr>
              <w:spacing w:before="60" w:after="0"/>
              <w:ind w:left="522" w:hanging="522"/>
              <w:rPr>
                <w:rFonts w:eastAsia="Arial Unicode MS"/>
                <w:noProof/>
                <w:spacing w:val="-8"/>
                <w:sz w:val="20"/>
                <w:szCs w:val="20"/>
              </w:rPr>
            </w:pPr>
            <w:r>
              <w:rPr>
                <w:noProof/>
                <w:spacing w:val="-8"/>
                <w:sz w:val="20"/>
                <w:szCs w:val="20"/>
              </w:rPr>
              <w:t>b)</w:t>
            </w:r>
            <w:r>
              <w:rPr>
                <w:noProof/>
                <w:spacing w:val="-8"/>
                <w:sz w:val="20"/>
                <w:szCs w:val="20"/>
              </w:rPr>
              <w:tab/>
              <w:t>L’interface du système OBD doit être capable de communiquer avec les outils de diagnostic généralement utilisés pour les inspections techniques périodiques.</w:t>
            </w:r>
          </w:p>
          <w:p>
            <w:pPr>
              <w:ind w:left="522" w:hanging="522"/>
              <w:rPr>
                <w:rFonts w:eastAsia="Arial Unicode MS"/>
                <w:noProof/>
                <w:spacing w:val="-8"/>
                <w:sz w:val="20"/>
                <w:szCs w:val="20"/>
              </w:rPr>
            </w:pPr>
            <w:r>
              <w:rPr>
                <w:i/>
                <w:noProof/>
                <w:spacing w:val="-8"/>
                <w:sz w:val="20"/>
                <w:szCs w:val="20"/>
              </w:rPr>
              <w:t>Opacité des fumées</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Les véhicules équipés d’un moteur diesel doivent être essayés conformément aux méthodes d’essai visées dans l’appendice 2 de l’annexe IV du règlement (CE) n</w:t>
            </w:r>
            <w:r>
              <w:rPr>
                <w:noProof/>
                <w:spacing w:val="-8"/>
                <w:sz w:val="20"/>
                <w:szCs w:val="20"/>
                <w:vertAlign w:val="superscript"/>
              </w:rPr>
              <w:t>o</w:t>
            </w:r>
            <w:r>
              <w:rPr>
                <w:noProof/>
                <w:spacing w:val="-8"/>
                <w:sz w:val="20"/>
                <w:szCs w:val="20"/>
              </w:rPr>
              <w:t> 692/2008.</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La valeur corrigée du coefficient d’absorption doit être indiquée de manière lisible, en un endroit aisément accessible.</w:t>
            </w:r>
          </w:p>
          <w:p>
            <w:pPr>
              <w:ind w:left="522" w:hanging="522"/>
              <w:rPr>
                <w:rFonts w:eastAsia="Arial Unicode MS"/>
                <w:noProof/>
                <w:spacing w:val="-8"/>
                <w:sz w:val="20"/>
                <w:szCs w:val="20"/>
              </w:rPr>
            </w:pPr>
            <w:r>
              <w:rPr>
                <w:i/>
                <w:noProof/>
                <w:spacing w:val="-8"/>
                <w:sz w:val="20"/>
                <w:szCs w:val="20"/>
              </w:rPr>
              <w:t>Émissions de CO</w:t>
            </w:r>
            <w:r>
              <w:rPr>
                <w:i/>
                <w:noProof/>
                <w:spacing w:val="-8"/>
                <w:sz w:val="20"/>
                <w:szCs w:val="20"/>
                <w:vertAlign w:val="subscript"/>
              </w:rPr>
              <w:t>2</w:t>
            </w:r>
            <w:r>
              <w:rPr>
                <w:i/>
                <w:noProof/>
                <w:spacing w:val="-8"/>
                <w:sz w:val="20"/>
                <w:szCs w:val="20"/>
              </w:rPr>
              <w:t xml:space="preserve"> et consommation de carburant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Un essai doit être effectué conformément à l’annexe XII du règlement (CE) n</w:t>
            </w:r>
            <w:r>
              <w:rPr>
                <w:noProof/>
                <w:spacing w:val="-8"/>
                <w:sz w:val="20"/>
                <w:szCs w:val="20"/>
                <w:vertAlign w:val="superscript"/>
              </w:rPr>
              <w:t>o</w:t>
            </w:r>
            <w:r>
              <w:rPr>
                <w:noProof/>
                <w:spacing w:val="-8"/>
                <w:sz w:val="20"/>
                <w:szCs w:val="20"/>
              </w:rPr>
              <w:t> 692/2008.</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Il n’est pas nécessaire que le véhicule ait accompli 3 000 km comme mentionné au paragraphe 3.1.1 de l’annexe 4 du règlement n</w:t>
            </w:r>
            <w:r>
              <w:rPr>
                <w:noProof/>
                <w:spacing w:val="-8"/>
                <w:sz w:val="20"/>
                <w:szCs w:val="20"/>
                <w:vertAlign w:val="superscript"/>
              </w:rPr>
              <w:t>o</w:t>
            </w:r>
            <w:r>
              <w:rPr>
                <w:noProof/>
                <w:spacing w:val="-8"/>
                <w:sz w:val="20"/>
                <w:szCs w:val="20"/>
              </w:rPr>
              <w:t> 83 de la CEE-ONU.</w:t>
            </w:r>
          </w:p>
          <w:p>
            <w:pPr>
              <w:spacing w:after="0"/>
              <w:ind w:left="522" w:hanging="522"/>
              <w:rPr>
                <w:rFonts w:eastAsia="Arial Unicode MS"/>
                <w:noProof/>
                <w:spacing w:val="-8"/>
                <w:sz w:val="20"/>
                <w:szCs w:val="20"/>
              </w:rPr>
            </w:pPr>
            <w:r>
              <w:rPr>
                <w:noProof/>
                <w:spacing w:val="-8"/>
                <w:sz w:val="20"/>
                <w:szCs w:val="20"/>
              </w:rPr>
              <w:t>c)</w:t>
            </w:r>
            <w:r>
              <w:rPr>
                <w:noProof/>
                <w:spacing w:val="-8"/>
                <w:sz w:val="20"/>
                <w:szCs w:val="20"/>
              </w:rPr>
              <w:tab/>
              <w:t>Lorsque le véhicule satisfait au «Code of Regulations» de l’État de Californie visé au point 2.1.1 de l’annexe I du règlement (CE) n</w:t>
            </w:r>
            <w:r>
              <w:rPr>
                <w:noProof/>
                <w:spacing w:val="-8"/>
                <w:sz w:val="20"/>
                <w:szCs w:val="20"/>
                <w:vertAlign w:val="superscript"/>
              </w:rPr>
              <w:t>o</w:t>
            </w:r>
            <w:r>
              <w:rPr>
                <w:noProof/>
                <w:spacing w:val="-8"/>
                <w:sz w:val="20"/>
                <w:szCs w:val="20"/>
              </w:rPr>
              <w:t> 692/2008 et ne doit donc pas faire l’objet d’un essai des émissions d’échappement, les États membres calculent les émissions de CO</w:t>
            </w:r>
            <w:r>
              <w:rPr>
                <w:noProof/>
                <w:spacing w:val="-8"/>
                <w:sz w:val="20"/>
                <w:szCs w:val="20"/>
                <w:vertAlign w:val="subscript"/>
              </w:rPr>
              <w:t>2</w:t>
            </w:r>
            <w:r>
              <w:rPr>
                <w:noProof/>
                <w:spacing w:val="-8"/>
                <w:sz w:val="20"/>
                <w:szCs w:val="20"/>
              </w:rPr>
              <w:t xml:space="preserve"> et la consommation de carburant selon les formules indiquées dans les notes explicatives (</w:t>
            </w:r>
            <w:r>
              <w:rPr>
                <w:noProof/>
                <w:spacing w:val="-8"/>
                <w:sz w:val="20"/>
                <w:szCs w:val="20"/>
                <w:vertAlign w:val="superscript"/>
              </w:rPr>
              <w:t>b</w:t>
            </w:r>
            <w:r>
              <w:rPr>
                <w:noProof/>
                <w:spacing w:val="-8"/>
                <w:sz w:val="20"/>
                <w:szCs w:val="20"/>
              </w:rPr>
              <w:t>) et (</w:t>
            </w:r>
            <w:r>
              <w:rPr>
                <w:noProof/>
                <w:spacing w:val="-8"/>
                <w:sz w:val="20"/>
                <w:szCs w:val="20"/>
                <w:vertAlign w:val="superscript"/>
              </w:rPr>
              <w:t>c</w:t>
            </w:r>
            <w:r>
              <w:rPr>
                <w:noProof/>
                <w:spacing w:val="-8"/>
                <w:sz w:val="20"/>
                <w:szCs w:val="20"/>
              </w:rPr>
              <w:t xml:space="preserve">). </w:t>
            </w:r>
          </w:p>
          <w:p>
            <w:pPr>
              <w:ind w:left="522" w:hanging="522"/>
              <w:rPr>
                <w:rFonts w:eastAsia="Arial Unicode MS"/>
                <w:i/>
                <w:iCs/>
                <w:noProof/>
                <w:spacing w:val="-8"/>
                <w:sz w:val="20"/>
                <w:szCs w:val="20"/>
              </w:rPr>
            </w:pPr>
            <w:r>
              <w:rPr>
                <w:i/>
                <w:noProof/>
                <w:spacing w:val="-8"/>
                <w:sz w:val="20"/>
                <w:szCs w:val="20"/>
              </w:rPr>
              <w:t>Accès aux informations</w:t>
            </w:r>
          </w:p>
          <w:p>
            <w:pPr>
              <w:ind w:left="522" w:hanging="522"/>
              <w:rPr>
                <w:rFonts w:eastAsia="Arial Unicode MS"/>
                <w:noProof/>
                <w:spacing w:val="-8"/>
                <w:sz w:val="20"/>
                <w:szCs w:val="20"/>
              </w:rPr>
            </w:pPr>
            <w:r>
              <w:rPr>
                <w:noProof/>
                <w:spacing w:val="-8"/>
                <w:sz w:val="20"/>
                <w:szCs w:val="20"/>
              </w:rPr>
              <w:t>Les dispositions concernant l’accès aux informations ne s’appliquent pas.</w:t>
            </w:r>
          </w:p>
          <w:p>
            <w:pPr>
              <w:spacing w:after="0"/>
              <w:ind w:left="522" w:hanging="522"/>
              <w:rPr>
                <w:rFonts w:eastAsia="Arial Unicode MS"/>
                <w:bCs/>
                <w:noProof/>
                <w:spacing w:val="-8"/>
                <w:sz w:val="20"/>
                <w:szCs w:val="20"/>
              </w:rPr>
            </w:pPr>
            <w:r>
              <w:rPr>
                <w:i/>
                <w:noProof/>
                <w:spacing w:val="-8"/>
                <w:sz w:val="20"/>
                <w:szCs w:val="20"/>
              </w:rPr>
              <w:t>Mesure de la puissance</w:t>
            </w:r>
            <w:r>
              <w:rPr>
                <w:noProof/>
                <w:spacing w:val="-8"/>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51"/>
              <w:gridCol w:w="5172"/>
            </w:tblGrid>
            <w:tr>
              <w:trPr>
                <w:tblCellSpacing w:w="0" w:type="dxa"/>
              </w:trPr>
              <w:tc>
                <w:tcPr>
                  <w:tcW w:w="0" w:type="auto"/>
                  <w:hideMark/>
                </w:tcPr>
                <w:p>
                  <w:pPr>
                    <w:ind w:left="522" w:hanging="522"/>
                    <w:rPr>
                      <w:rFonts w:eastAsia="Arial Unicode MS"/>
                      <w:noProof/>
                      <w:spacing w:val="-8"/>
                      <w:sz w:val="20"/>
                      <w:szCs w:val="20"/>
                    </w:rPr>
                  </w:pPr>
                  <w:r>
                    <w:rPr>
                      <w:noProof/>
                      <w:spacing w:val="-8"/>
                      <w:sz w:val="20"/>
                      <w:szCs w:val="20"/>
                    </w:rPr>
                    <w:t>a)</w:t>
                  </w:r>
                </w:p>
              </w:tc>
              <w:tc>
                <w:tcPr>
                  <w:tcW w:w="0" w:type="auto"/>
                  <w:hideMark/>
                </w:tcPr>
                <w:p>
                  <w:pPr>
                    <w:spacing w:after="0"/>
                    <w:ind w:left="522" w:hanging="522"/>
                    <w:rPr>
                      <w:rFonts w:eastAsia="Arial Unicode MS"/>
                      <w:noProof/>
                      <w:spacing w:val="-8"/>
                      <w:sz w:val="20"/>
                      <w:szCs w:val="20"/>
                    </w:rPr>
                  </w:pPr>
                  <w:r>
                    <w:rPr>
                      <w:noProof/>
                      <w:spacing w:val="-8"/>
                      <w:sz w:val="20"/>
                      <w:szCs w:val="20"/>
                    </w:rPr>
                    <w:tab/>
                    <w:t>Le demandeur doit présenter une déclaration du constructeur indiquant la puissance de sortie maximale du moteur en kW ainsi que le régime moteur correspondant en tours par minute.</w:t>
                  </w:r>
                </w:p>
              </w:tc>
            </w:tr>
            <w:tr>
              <w:trPr>
                <w:tblCellSpacing w:w="0" w:type="dxa"/>
              </w:trPr>
              <w:tc>
                <w:tcPr>
                  <w:tcW w:w="0" w:type="auto"/>
                  <w:hideMark/>
                </w:tcPr>
                <w:p>
                  <w:pPr>
                    <w:ind w:left="522" w:hanging="522"/>
                    <w:rPr>
                      <w:rFonts w:eastAsia="Arial Unicode MS"/>
                      <w:noProof/>
                      <w:spacing w:val="-8"/>
                      <w:sz w:val="20"/>
                      <w:szCs w:val="20"/>
                    </w:rPr>
                  </w:pPr>
                  <w:r>
                    <w:rPr>
                      <w:noProof/>
                      <w:spacing w:val="-8"/>
                      <w:sz w:val="20"/>
                      <w:szCs w:val="20"/>
                    </w:rPr>
                    <w:t>b)</w:t>
                  </w:r>
                </w:p>
              </w:tc>
              <w:tc>
                <w:tcPr>
                  <w:tcW w:w="0" w:type="auto"/>
                  <w:hideMark/>
                </w:tcPr>
                <w:p>
                  <w:pPr>
                    <w:spacing w:after="0"/>
                    <w:ind w:left="522" w:hanging="522"/>
                    <w:rPr>
                      <w:rFonts w:eastAsia="Arial Unicode MS"/>
                      <w:noProof/>
                      <w:spacing w:val="-8"/>
                      <w:sz w:val="20"/>
                      <w:szCs w:val="20"/>
                    </w:rPr>
                  </w:pPr>
                  <w:r>
                    <w:rPr>
                      <w:noProof/>
                      <w:spacing w:val="-8"/>
                      <w:sz w:val="20"/>
                      <w:szCs w:val="20"/>
                    </w:rPr>
                    <w:tab/>
                    <w:t xml:space="preserve">À titre d’alternative, le demandeur peut également présenter une courbe de puissance de sortie du moteur fournissant les mêmes informations. </w:t>
                  </w:r>
                </w:p>
              </w:tc>
            </w:tr>
          </w:tbl>
          <w:p>
            <w:pPr>
              <w:ind w:left="522" w:hanging="522"/>
              <w:rPr>
                <w:rFonts w:eastAsia="Arial Unicode MS"/>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34 de la CEE-ONU</w:t>
            </w:r>
          </w:p>
          <w:p>
            <w:pPr>
              <w:spacing w:before="60" w:after="60"/>
              <w:jc w:val="left"/>
              <w:rPr>
                <w:rFonts w:eastAsia="Arial Unicode MS"/>
                <w:noProof/>
                <w:spacing w:val="-8"/>
                <w:sz w:val="20"/>
                <w:szCs w:val="20"/>
              </w:rPr>
            </w:pPr>
            <w:r>
              <w:rPr>
                <w:noProof/>
                <w:spacing w:val="-8"/>
                <w:sz w:val="20"/>
              </w:rPr>
              <w:t>(Réservoirs de carburant — dispositifs de protection arrière)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pacing w:val="-8"/>
                <w:sz w:val="20"/>
                <w:szCs w:val="20"/>
              </w:rPr>
            </w:pPr>
            <w:r>
              <w:rPr>
                <w:i/>
                <w:noProof/>
                <w:spacing w:val="-8"/>
                <w:sz w:val="20"/>
                <w:szCs w:val="20"/>
              </w:rPr>
              <w:t>Réservoirs de carburant</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Les réservoirs de carburant doivent satisfaire aux prescriptions du paragraphe 5 du règlement n</w:t>
            </w:r>
            <w:r>
              <w:rPr>
                <w:noProof/>
                <w:spacing w:val="-8"/>
                <w:sz w:val="20"/>
                <w:szCs w:val="20"/>
                <w:vertAlign w:val="superscript"/>
              </w:rPr>
              <w:t>o</w:t>
            </w:r>
            <w:r>
              <w:rPr>
                <w:noProof/>
                <w:spacing w:val="-8"/>
                <w:sz w:val="20"/>
                <w:szCs w:val="20"/>
              </w:rPr>
              <w:t> 34 de la CEE-ONU, à l’exception des paragraphes 5.1, 5.2 et 5.12. En particulier, ils doivent être conformes aux paragraphes 5.9 et 5.9.1, mais aucun essai d’égouttement ne doit être effectué.</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 xml:space="preserve">Les réservoirs de GPL et de GNC doivent faire l’objet d’une </w:t>
            </w:r>
            <w:r>
              <w:rPr>
                <w:noProof/>
                <w:spacing w:val="-8"/>
                <w:sz w:val="20"/>
                <w:szCs w:val="20"/>
              </w:rPr>
              <w:lastRenderedPageBreak/>
              <w:t>réception par type conformément au règlement n</w:t>
            </w:r>
            <w:r>
              <w:rPr>
                <w:noProof/>
                <w:spacing w:val="-8"/>
                <w:sz w:val="20"/>
                <w:szCs w:val="20"/>
                <w:vertAlign w:val="superscript"/>
              </w:rPr>
              <w:t>o</w:t>
            </w:r>
            <w:r>
              <w:rPr>
                <w:noProof/>
                <w:spacing w:val="-8"/>
                <w:sz w:val="20"/>
                <w:szCs w:val="20"/>
              </w:rPr>
              <w:t> 67, série 01 d’amendements, ou au règlement n</w:t>
            </w:r>
            <w:r>
              <w:rPr>
                <w:noProof/>
                <w:spacing w:val="-8"/>
                <w:sz w:val="20"/>
                <w:szCs w:val="20"/>
                <w:vertAlign w:val="superscript"/>
              </w:rPr>
              <w:t>o</w:t>
            </w:r>
            <w:r>
              <w:rPr>
                <w:noProof/>
                <w:spacing w:val="-8"/>
                <w:sz w:val="20"/>
                <w:szCs w:val="20"/>
              </w:rPr>
              <w:t> 110 (</w:t>
            </w:r>
            <w:r>
              <w:rPr>
                <w:noProof/>
                <w:spacing w:val="-8"/>
                <w:sz w:val="20"/>
                <w:szCs w:val="20"/>
                <w:vertAlign w:val="superscript"/>
              </w:rPr>
              <w:t>a</w:t>
            </w:r>
            <w:r>
              <w:rPr>
                <w:noProof/>
                <w:spacing w:val="-8"/>
                <w:sz w:val="20"/>
                <w:szCs w:val="20"/>
              </w:rPr>
              <w:t>), respectivement, de la CEE-ONU.</w:t>
            </w:r>
          </w:p>
          <w:p>
            <w:pPr>
              <w:ind w:left="16" w:hanging="16"/>
              <w:rPr>
                <w:rFonts w:eastAsia="Arial Unicode MS"/>
                <w:i/>
                <w:iCs/>
                <w:noProof/>
                <w:spacing w:val="-8"/>
                <w:sz w:val="20"/>
                <w:szCs w:val="20"/>
              </w:rPr>
            </w:pPr>
            <w:r>
              <w:rPr>
                <w:i/>
                <w:noProof/>
                <w:spacing w:val="-8"/>
                <w:sz w:val="20"/>
                <w:szCs w:val="20"/>
              </w:rPr>
              <w:t>Dispositions spécifiques pour les réservoirs de carburant fabriqués dans une matière plastique</w:t>
            </w:r>
          </w:p>
          <w:p>
            <w:pPr>
              <w:spacing w:after="0"/>
              <w:rPr>
                <w:rFonts w:eastAsia="Arial Unicode MS"/>
                <w:noProof/>
                <w:spacing w:val="-8"/>
                <w:sz w:val="20"/>
                <w:szCs w:val="20"/>
              </w:rPr>
            </w:pPr>
            <w:r>
              <w:rPr>
                <w:noProof/>
                <w:spacing w:val="-8"/>
                <w:sz w:val="20"/>
                <w:szCs w:val="20"/>
              </w:rPr>
              <w:t xml:space="preserve">Le demandeur doit présenter une déclaration du constructeur établissant que le réservoir de carburant du véhicule donné, dont le numéro d'identification de véhicule (VIN) doit être précisé, est conforme à l’une au moins des dispositions suivantes: </w:t>
            </w:r>
          </w:p>
          <w:p>
            <w:pPr>
              <w:spacing w:before="60" w:after="60"/>
              <w:ind w:left="522" w:hanging="522"/>
              <w:rPr>
                <w:rFonts w:eastAsia="Arial Unicode MS"/>
                <w:noProof/>
                <w:spacing w:val="-8"/>
                <w:sz w:val="20"/>
                <w:szCs w:val="20"/>
              </w:rPr>
            </w:pPr>
            <w:r>
              <w:rPr>
                <w:noProof/>
                <w:spacing w:val="-8"/>
                <w:sz w:val="20"/>
                <w:szCs w:val="20"/>
              </w:rPr>
              <w:t>—</w:t>
            </w:r>
            <w:r>
              <w:rPr>
                <w:noProof/>
                <w:spacing w:val="-8"/>
                <w:sz w:val="20"/>
                <w:szCs w:val="20"/>
              </w:rPr>
              <w:tab/>
              <w:t>FMVSS n</w:t>
            </w:r>
            <w:r>
              <w:rPr>
                <w:noProof/>
                <w:spacing w:val="-8"/>
                <w:sz w:val="20"/>
                <w:szCs w:val="20"/>
                <w:vertAlign w:val="superscript"/>
              </w:rPr>
              <w:t>o</w:t>
            </w:r>
            <w:r>
              <w:rPr>
                <w:noProof/>
                <w:spacing w:val="-8"/>
                <w:sz w:val="20"/>
                <w:szCs w:val="20"/>
              </w:rPr>
              <w:t> 301 («Fuel system integrity»),</w:t>
            </w:r>
          </w:p>
          <w:p>
            <w:pPr>
              <w:spacing w:before="60" w:after="60"/>
              <w:ind w:left="522" w:hanging="522"/>
              <w:rPr>
                <w:rFonts w:eastAsia="Arial Unicode MS"/>
                <w:noProof/>
                <w:spacing w:val="-8"/>
                <w:sz w:val="20"/>
                <w:szCs w:val="20"/>
              </w:rPr>
            </w:pPr>
            <w:r>
              <w:rPr>
                <w:noProof/>
                <w:spacing w:val="-8"/>
                <w:sz w:val="20"/>
                <w:szCs w:val="20"/>
              </w:rPr>
              <w:t>—</w:t>
            </w:r>
            <w:r>
              <w:rPr>
                <w:noProof/>
                <w:spacing w:val="-8"/>
                <w:sz w:val="20"/>
                <w:szCs w:val="20"/>
              </w:rPr>
              <w:tab/>
              <w:t>annexe 5 du règlement n</w:t>
            </w:r>
            <w:r>
              <w:rPr>
                <w:noProof/>
                <w:spacing w:val="-8"/>
                <w:sz w:val="20"/>
                <w:szCs w:val="20"/>
                <w:vertAlign w:val="superscript"/>
              </w:rPr>
              <w:t>o</w:t>
            </w:r>
            <w:r>
              <w:rPr>
                <w:noProof/>
                <w:spacing w:val="-8"/>
                <w:sz w:val="20"/>
                <w:szCs w:val="20"/>
              </w:rPr>
              <w:t> 34 de la CEE-ONU.</w:t>
            </w:r>
          </w:p>
          <w:p>
            <w:pPr>
              <w:spacing w:after="60"/>
              <w:ind w:left="522" w:hanging="522"/>
              <w:rPr>
                <w:rFonts w:eastAsia="Arial Unicode MS"/>
                <w:noProof/>
                <w:spacing w:val="-8"/>
                <w:sz w:val="20"/>
                <w:szCs w:val="20"/>
              </w:rPr>
            </w:pPr>
            <w:r>
              <w:rPr>
                <w:i/>
                <w:noProof/>
                <w:spacing w:val="-8"/>
                <w:sz w:val="20"/>
                <w:szCs w:val="20"/>
              </w:rPr>
              <w:t>Dispositif de protection arrière</w:t>
            </w:r>
          </w:p>
          <w:p>
            <w:pPr>
              <w:spacing w:after="0"/>
              <w:rPr>
                <w:rFonts w:eastAsia="Arial Unicode MS"/>
                <w:noProof/>
                <w:spacing w:val="-8"/>
                <w:sz w:val="20"/>
                <w:szCs w:val="20"/>
              </w:rPr>
            </w:pPr>
            <w:r>
              <w:rPr>
                <w:noProof/>
                <w:spacing w:val="-8"/>
                <w:sz w:val="20"/>
                <w:szCs w:val="20"/>
              </w:rPr>
              <w:t>La partie arrière du véhicule doit être construite conformément aux paragraphes 8 et 9 du règlement n</w:t>
            </w:r>
            <w:r>
              <w:rPr>
                <w:noProof/>
                <w:spacing w:val="-8"/>
                <w:sz w:val="20"/>
                <w:szCs w:val="20"/>
                <w:vertAlign w:val="superscript"/>
              </w:rPr>
              <w:t>o</w:t>
            </w:r>
            <w:r>
              <w:rPr>
                <w:noProof/>
                <w:spacing w:val="-8"/>
                <w:sz w:val="20"/>
                <w:szCs w:val="20"/>
              </w:rPr>
              <w:t> 34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3B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58 de la CEE-ONU</w:t>
            </w:r>
          </w:p>
          <w:p>
            <w:pPr>
              <w:spacing w:before="60" w:after="60"/>
              <w:jc w:val="left"/>
              <w:rPr>
                <w:rFonts w:eastAsia="Arial Unicode MS"/>
                <w:noProof/>
                <w:spacing w:val="-8"/>
                <w:sz w:val="20"/>
                <w:szCs w:val="20"/>
              </w:rPr>
            </w:pPr>
            <w:r>
              <w:rPr>
                <w:noProof/>
                <w:spacing w:val="-8"/>
                <w:sz w:val="18"/>
              </w:rPr>
              <w:t>(Protection arrière contre l’encastrement)</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r>
              <w:rPr>
                <w:noProof/>
                <w:spacing w:val="-8"/>
                <w:sz w:val="20"/>
              </w:rPr>
              <w:t>La partie arrière du véhicule doit être construite conformément au paragraphe 2 du règlement n</w:t>
            </w:r>
            <w:r>
              <w:rPr>
                <w:noProof/>
                <w:spacing w:val="-8"/>
                <w:sz w:val="20"/>
                <w:vertAlign w:val="superscript"/>
              </w:rPr>
              <w:t>o</w:t>
            </w:r>
            <w:r>
              <w:rPr>
                <w:noProof/>
                <w:spacing w:val="-8"/>
                <w:sz w:val="20"/>
              </w:rPr>
              <w:t> 58 de la CEE-ONU. Il suffit que les prescriptions énoncées au paragraphe 2.3 soient respectées.</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1003/2010</w:t>
            </w:r>
          </w:p>
          <w:p>
            <w:pPr>
              <w:spacing w:before="60" w:after="60"/>
              <w:jc w:val="left"/>
              <w:rPr>
                <w:rFonts w:eastAsia="Arial Unicode MS"/>
                <w:noProof/>
                <w:spacing w:val="-8"/>
                <w:sz w:val="20"/>
                <w:szCs w:val="20"/>
              </w:rPr>
            </w:pPr>
            <w:r>
              <w:rPr>
                <w:noProof/>
                <w:spacing w:val="-8"/>
                <w:sz w:val="20"/>
              </w:rPr>
              <w:t>(Emplacement pour plaque d’immatriculation arrière)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pacing w:val="-8"/>
                <w:sz w:val="20"/>
                <w:szCs w:val="20"/>
              </w:rPr>
            </w:pPr>
            <w:r>
              <w:rPr>
                <w:noProof/>
                <w:spacing w:val="-8"/>
                <w:sz w:val="20"/>
              </w:rPr>
              <w:t>L’emplacement, l’inclinaison, les angles de visibilité et la position de la plaque d’immatriculation doivent être conformes au règlement (UE) n</w:t>
            </w:r>
            <w:r>
              <w:rPr>
                <w:noProof/>
                <w:spacing w:val="-8"/>
                <w:sz w:val="20"/>
                <w:vertAlign w:val="superscript"/>
              </w:rPr>
              <w:t>o</w:t>
            </w:r>
            <w:r>
              <w:rPr>
                <w:noProof/>
                <w:spacing w:val="-8"/>
                <w:sz w:val="20"/>
              </w:rPr>
              <w:t> 1003/2010.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79 de la CEE-ONU</w:t>
            </w:r>
          </w:p>
          <w:p>
            <w:pPr>
              <w:spacing w:before="60" w:after="60"/>
              <w:jc w:val="left"/>
              <w:rPr>
                <w:rFonts w:eastAsia="Arial Unicode MS"/>
                <w:noProof/>
                <w:spacing w:val="-8"/>
                <w:sz w:val="20"/>
                <w:szCs w:val="20"/>
              </w:rPr>
            </w:pPr>
            <w:r>
              <w:rPr>
                <w:noProof/>
                <w:spacing w:val="-8"/>
                <w:sz w:val="20"/>
              </w:rPr>
              <w:t>(Effort de direction)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pacing w:val="-8"/>
                <w:sz w:val="20"/>
                <w:szCs w:val="20"/>
              </w:rPr>
            </w:pPr>
            <w:r>
              <w:rPr>
                <w:i/>
                <w:noProof/>
                <w:spacing w:val="-8"/>
                <w:sz w:val="20"/>
                <w:szCs w:val="20"/>
              </w:rPr>
              <w:t>Systèmes mécaniques</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Le mécanisme de direction doit être construit de sorte à se recentrer de lui-même. Afin de vérifier la conformité à cette disposition, il est procédé à un essai conformément aux paragraphes 6.1.2 et 6.2.1 du règlement n</w:t>
            </w:r>
            <w:r>
              <w:rPr>
                <w:noProof/>
                <w:spacing w:val="-8"/>
                <w:sz w:val="20"/>
                <w:szCs w:val="20"/>
                <w:vertAlign w:val="superscript"/>
              </w:rPr>
              <w:t>o</w:t>
            </w:r>
            <w:r>
              <w:rPr>
                <w:noProof/>
                <w:spacing w:val="-8"/>
                <w:sz w:val="20"/>
                <w:szCs w:val="20"/>
              </w:rPr>
              <w:t> 79 de la CEE-ONU.</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La défaillance du mécanisme de direction ne doit pas entraîner une perte de contrôle complète du véhicule.</w:t>
            </w:r>
          </w:p>
          <w:p>
            <w:pPr>
              <w:rPr>
                <w:rFonts w:eastAsia="Arial Unicode MS"/>
                <w:i/>
                <w:iCs/>
                <w:noProof/>
                <w:spacing w:val="-8"/>
                <w:sz w:val="20"/>
                <w:szCs w:val="20"/>
              </w:rPr>
            </w:pPr>
            <w:r>
              <w:rPr>
                <w:i/>
                <w:noProof/>
                <w:spacing w:val="-8"/>
                <w:sz w:val="20"/>
                <w:szCs w:val="20"/>
              </w:rPr>
              <w:t>Système complexe de commande électronique du véhicule (dispositifs de «commande électronique»)</w:t>
            </w:r>
          </w:p>
          <w:p>
            <w:pPr>
              <w:rPr>
                <w:rFonts w:eastAsia="Arial Unicode MS"/>
                <w:noProof/>
                <w:spacing w:val="-8"/>
                <w:sz w:val="20"/>
                <w:szCs w:val="20"/>
              </w:rPr>
            </w:pPr>
            <w:r>
              <w:rPr>
                <w:noProof/>
                <w:spacing w:val="-8"/>
                <w:sz w:val="20"/>
                <w:szCs w:val="20"/>
              </w:rPr>
              <w:t>Un système complexe de commande électronique du véhicule n'est permis que s’il est conforme à l’annexe 6 du règlement n</w:t>
            </w:r>
            <w:r>
              <w:rPr>
                <w:noProof/>
                <w:spacing w:val="-8"/>
                <w:sz w:val="20"/>
                <w:szCs w:val="20"/>
                <w:vertAlign w:val="superscript"/>
              </w:rPr>
              <w:t>o</w:t>
            </w:r>
            <w:r>
              <w:rPr>
                <w:noProof/>
                <w:spacing w:val="-8"/>
                <w:sz w:val="20"/>
                <w:szCs w:val="20"/>
              </w:rPr>
              <w:t> 79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11 de la CEE-ONU</w:t>
            </w:r>
          </w:p>
          <w:p>
            <w:pPr>
              <w:spacing w:before="60" w:after="60"/>
              <w:jc w:val="left"/>
              <w:rPr>
                <w:rFonts w:eastAsia="Arial Unicode MS"/>
                <w:noProof/>
                <w:spacing w:val="-8"/>
                <w:sz w:val="20"/>
                <w:szCs w:val="20"/>
              </w:rPr>
            </w:pPr>
            <w:r>
              <w:rPr>
                <w:noProof/>
                <w:spacing w:val="-8"/>
                <w:sz w:val="20"/>
              </w:rPr>
              <w:t>(Serrures et charnières des portes)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rPr>
              <w:t>Conformité au paragraphe 6.1.5.4 du règlement n</w:t>
            </w:r>
            <w:r>
              <w:rPr>
                <w:noProof/>
                <w:spacing w:val="-8"/>
                <w:sz w:val="20"/>
                <w:vertAlign w:val="superscript"/>
              </w:rPr>
              <w:t>o</w:t>
            </w:r>
            <w:r>
              <w:rPr>
                <w:noProof/>
                <w:spacing w:val="-8"/>
                <w:sz w:val="20"/>
              </w:rPr>
              <w:t> 11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szCs w:val="20"/>
              </w:rPr>
              <w:t>Règlement n</w:t>
            </w:r>
            <w:r>
              <w:rPr>
                <w:noProof/>
                <w:spacing w:val="-8"/>
                <w:sz w:val="20"/>
                <w:szCs w:val="20"/>
                <w:vertAlign w:val="superscript"/>
              </w:rPr>
              <w:t>o </w:t>
            </w:r>
            <w:r>
              <w:rPr>
                <w:noProof/>
                <w:spacing w:val="-8"/>
                <w:sz w:val="20"/>
                <w:szCs w:val="20"/>
              </w:rPr>
              <w:t>28 de la CEE-ONU</w:t>
            </w:r>
          </w:p>
          <w:p>
            <w:pPr>
              <w:spacing w:before="60" w:after="60"/>
              <w:jc w:val="left"/>
              <w:rPr>
                <w:rFonts w:eastAsia="Arial Unicode MS"/>
                <w:noProof/>
                <w:spacing w:val="-8"/>
                <w:sz w:val="20"/>
                <w:szCs w:val="20"/>
              </w:rPr>
            </w:pPr>
            <w:r>
              <w:rPr>
                <w:noProof/>
                <w:spacing w:val="-8"/>
                <w:sz w:val="20"/>
                <w:szCs w:val="20"/>
              </w:rPr>
              <w:t>(Avertisseur sonore)</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pacing w:val="-8"/>
                <w:sz w:val="20"/>
                <w:szCs w:val="20"/>
              </w:rPr>
            </w:pPr>
            <w:r>
              <w:rPr>
                <w:i/>
                <w:noProof/>
                <w:spacing w:val="-8"/>
                <w:sz w:val="20"/>
                <w:szCs w:val="20"/>
              </w:rPr>
              <w:t>Composants</w:t>
            </w:r>
          </w:p>
          <w:p>
            <w:pPr>
              <w:spacing w:after="0"/>
              <w:rPr>
                <w:rFonts w:eastAsia="Arial Unicode MS"/>
                <w:noProof/>
                <w:spacing w:val="-8"/>
                <w:sz w:val="20"/>
                <w:szCs w:val="20"/>
              </w:rPr>
            </w:pPr>
            <w:r>
              <w:rPr>
                <w:noProof/>
                <w:spacing w:val="-8"/>
                <w:sz w:val="20"/>
                <w:szCs w:val="20"/>
              </w:rPr>
              <w:t>Il n’est pas nécessaire que les dispositifs d’avertissement sonore soient réceptionnés par type conformément au règlement n</w:t>
            </w:r>
            <w:r>
              <w:rPr>
                <w:noProof/>
                <w:spacing w:val="-8"/>
                <w:sz w:val="20"/>
                <w:szCs w:val="20"/>
                <w:vertAlign w:val="superscript"/>
              </w:rPr>
              <w:t>o</w:t>
            </w:r>
            <w:r>
              <w:rPr>
                <w:noProof/>
                <w:spacing w:val="-8"/>
                <w:sz w:val="20"/>
                <w:szCs w:val="20"/>
              </w:rPr>
              <w:t> 28 de la CEE-ONU. Ils doivent toutefois émettre un son continu comme l’exige le paragraphe 6.1.1 du règlement n</w:t>
            </w:r>
            <w:r>
              <w:rPr>
                <w:noProof/>
                <w:spacing w:val="-8"/>
                <w:sz w:val="20"/>
                <w:szCs w:val="20"/>
                <w:vertAlign w:val="superscript"/>
              </w:rPr>
              <w:t>o</w:t>
            </w:r>
            <w:r>
              <w:rPr>
                <w:noProof/>
                <w:spacing w:val="-8"/>
                <w:sz w:val="20"/>
                <w:szCs w:val="20"/>
              </w:rPr>
              <w:t> 28 de la CEE-ONU.</w:t>
            </w:r>
          </w:p>
          <w:p>
            <w:pPr>
              <w:rPr>
                <w:rFonts w:eastAsia="Arial Unicode MS"/>
                <w:noProof/>
                <w:spacing w:val="-8"/>
                <w:sz w:val="20"/>
                <w:szCs w:val="20"/>
              </w:rPr>
            </w:pPr>
            <w:r>
              <w:rPr>
                <w:i/>
                <w:noProof/>
                <w:spacing w:val="-8"/>
                <w:sz w:val="20"/>
                <w:szCs w:val="20"/>
              </w:rPr>
              <w:t>Installation sur le véhicule</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L’essai doit être réalisé conformément au paragraphe 6.2 du règlement n</w:t>
            </w:r>
            <w:r>
              <w:rPr>
                <w:noProof/>
                <w:spacing w:val="-8"/>
                <w:sz w:val="20"/>
                <w:szCs w:val="20"/>
                <w:vertAlign w:val="superscript"/>
              </w:rPr>
              <w:t>o</w:t>
            </w:r>
            <w:r>
              <w:rPr>
                <w:noProof/>
                <w:spacing w:val="-8"/>
                <w:sz w:val="20"/>
                <w:szCs w:val="20"/>
              </w:rPr>
              <w:t> 28 de la CEE-ONU.</w:t>
            </w:r>
          </w:p>
          <w:p>
            <w:pPr>
              <w:spacing w:after="0"/>
              <w:ind w:left="522" w:hanging="522"/>
              <w:rPr>
                <w:rFonts w:eastAsia="Arial Unicode MS"/>
                <w:noProof/>
                <w:spacing w:val="-8"/>
                <w:sz w:val="20"/>
                <w:szCs w:val="20"/>
              </w:rPr>
            </w:pPr>
            <w:r>
              <w:rPr>
                <w:noProof/>
                <w:spacing w:val="-8"/>
                <w:sz w:val="20"/>
                <w:szCs w:val="20"/>
              </w:rPr>
              <w:lastRenderedPageBreak/>
              <w:t>b)</w:t>
            </w:r>
            <w:r>
              <w:rPr>
                <w:noProof/>
                <w:spacing w:val="-8"/>
                <w:sz w:val="20"/>
                <w:szCs w:val="20"/>
              </w:rPr>
              <w:tab/>
              <w:t>Le niveau de pression sonore maximal doit être conforme au paragraphe 6.2.7.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szCs w:val="20"/>
              </w:rPr>
              <w:t>Règlement n</w:t>
            </w:r>
            <w:r>
              <w:rPr>
                <w:noProof/>
                <w:spacing w:val="-8"/>
                <w:sz w:val="20"/>
                <w:szCs w:val="20"/>
                <w:vertAlign w:val="superscript"/>
              </w:rPr>
              <w:t>o </w:t>
            </w:r>
            <w:r>
              <w:rPr>
                <w:noProof/>
                <w:spacing w:val="-8"/>
                <w:sz w:val="20"/>
                <w:szCs w:val="20"/>
              </w:rPr>
              <w:t>46 de la CEE-ONU</w:t>
            </w:r>
          </w:p>
          <w:p>
            <w:pPr>
              <w:spacing w:before="60" w:after="60"/>
              <w:jc w:val="left"/>
              <w:rPr>
                <w:rFonts w:eastAsia="Arial Unicode MS"/>
                <w:noProof/>
                <w:spacing w:val="-8"/>
                <w:sz w:val="20"/>
                <w:szCs w:val="20"/>
              </w:rPr>
            </w:pPr>
            <w:r>
              <w:rPr>
                <w:noProof/>
                <w:spacing w:val="-8"/>
                <w:sz w:val="20"/>
                <w:szCs w:val="20"/>
              </w:rPr>
              <w:t>(Systèmes de vision indirecte)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pacing w:val="-8"/>
                <w:sz w:val="20"/>
                <w:szCs w:val="20"/>
              </w:rPr>
            </w:pPr>
            <w:r>
              <w:rPr>
                <w:i/>
                <w:noProof/>
                <w:spacing w:val="-8"/>
                <w:sz w:val="20"/>
                <w:szCs w:val="20"/>
              </w:rPr>
              <w:t>Composants</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Le véhicule doit être équipé des rétroviseurs prescrits au paragraphe 15.2 du règlement n</w:t>
            </w:r>
            <w:r>
              <w:rPr>
                <w:noProof/>
                <w:spacing w:val="-8"/>
                <w:sz w:val="20"/>
                <w:szCs w:val="20"/>
                <w:vertAlign w:val="superscript"/>
              </w:rPr>
              <w:t>o</w:t>
            </w:r>
            <w:r>
              <w:rPr>
                <w:noProof/>
                <w:spacing w:val="-8"/>
                <w:sz w:val="20"/>
                <w:szCs w:val="20"/>
              </w:rPr>
              <w:t> 46 de la CEE-ONU.</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Il n’est pas nécessaire que les rétroviseurs soient réceptionnés par type conformément au règlement n</w:t>
            </w:r>
            <w:r>
              <w:rPr>
                <w:noProof/>
                <w:spacing w:val="-8"/>
                <w:sz w:val="20"/>
                <w:szCs w:val="20"/>
                <w:vertAlign w:val="superscript"/>
              </w:rPr>
              <w:t>o</w:t>
            </w:r>
            <w:r>
              <w:rPr>
                <w:noProof/>
                <w:spacing w:val="-8"/>
                <w:sz w:val="20"/>
                <w:szCs w:val="20"/>
              </w:rPr>
              <w:t> 46 de la CEE-ONU.</w:t>
            </w:r>
          </w:p>
          <w:p>
            <w:pPr>
              <w:spacing w:after="0"/>
              <w:ind w:left="522" w:hanging="522"/>
              <w:rPr>
                <w:rFonts w:eastAsia="Arial Unicode MS"/>
                <w:noProof/>
                <w:spacing w:val="-8"/>
                <w:sz w:val="20"/>
                <w:szCs w:val="20"/>
              </w:rPr>
            </w:pPr>
            <w:r>
              <w:rPr>
                <w:noProof/>
                <w:spacing w:val="-8"/>
                <w:sz w:val="20"/>
                <w:szCs w:val="20"/>
              </w:rPr>
              <w:t>c)</w:t>
            </w:r>
            <w:r>
              <w:rPr>
                <w:noProof/>
                <w:spacing w:val="-8"/>
                <w:sz w:val="20"/>
                <w:szCs w:val="20"/>
              </w:rPr>
              <w:tab/>
              <w:t>Le rayon de courbure des rétroviseurs ne doit pas causer de distorsions importantes de l’image. Le service technique peut décider de vérifier le rayon de courbure selon la méthode décrite dans l’annexe 7 du règlement n</w:t>
            </w:r>
            <w:r>
              <w:rPr>
                <w:noProof/>
                <w:spacing w:val="-8"/>
                <w:sz w:val="20"/>
                <w:szCs w:val="20"/>
                <w:vertAlign w:val="superscript"/>
              </w:rPr>
              <w:t>o</w:t>
            </w:r>
            <w:r>
              <w:rPr>
                <w:noProof/>
                <w:spacing w:val="-8"/>
                <w:sz w:val="20"/>
                <w:szCs w:val="20"/>
              </w:rPr>
              <w:t> 46 de la CEE-ONU. Les rayons de courbure ne doivent pas être inférieurs à ceux prescrits au paragraphe 6.1.2.2.4 du règlement n</w:t>
            </w:r>
            <w:r>
              <w:rPr>
                <w:noProof/>
                <w:spacing w:val="-8"/>
                <w:sz w:val="20"/>
                <w:szCs w:val="20"/>
                <w:vertAlign w:val="superscript"/>
              </w:rPr>
              <w:t>o</w:t>
            </w:r>
            <w:r>
              <w:rPr>
                <w:noProof/>
                <w:spacing w:val="-8"/>
                <w:sz w:val="20"/>
                <w:szCs w:val="20"/>
              </w:rPr>
              <w:t> 46 de la CEE-ONU.</w:t>
            </w:r>
          </w:p>
          <w:p>
            <w:pPr>
              <w:ind w:left="522" w:hanging="522"/>
              <w:rPr>
                <w:rFonts w:eastAsia="Arial Unicode MS"/>
                <w:i/>
                <w:iCs/>
                <w:noProof/>
                <w:spacing w:val="-8"/>
                <w:sz w:val="20"/>
                <w:szCs w:val="20"/>
              </w:rPr>
            </w:pPr>
            <w:r>
              <w:rPr>
                <w:i/>
                <w:noProof/>
                <w:spacing w:val="-8"/>
                <w:sz w:val="20"/>
                <w:szCs w:val="20"/>
              </w:rPr>
              <w:t>Installation sur le véhicule</w:t>
            </w:r>
          </w:p>
          <w:p>
            <w:pPr>
              <w:spacing w:after="0"/>
              <w:rPr>
                <w:rFonts w:eastAsia="Arial Unicode MS"/>
                <w:noProof/>
                <w:spacing w:val="-8"/>
                <w:sz w:val="20"/>
                <w:szCs w:val="20"/>
              </w:rPr>
            </w:pPr>
            <w:r>
              <w:rPr>
                <w:noProof/>
                <w:spacing w:val="-8"/>
                <w:sz w:val="20"/>
                <w:szCs w:val="20"/>
              </w:rPr>
              <w:t>Des mesures doivent être effectuées pour s’assurer que les champs de vision sont conformes au paragraphe 15.2.4 du règlement n</w:t>
            </w:r>
            <w:r>
              <w:rPr>
                <w:noProof/>
                <w:spacing w:val="-8"/>
                <w:sz w:val="20"/>
                <w:szCs w:val="20"/>
                <w:vertAlign w:val="superscript"/>
              </w:rPr>
              <w:t>o</w:t>
            </w:r>
            <w:r>
              <w:rPr>
                <w:noProof/>
                <w:spacing w:val="-8"/>
                <w:sz w:val="20"/>
                <w:szCs w:val="20"/>
              </w:rPr>
              <w:t> 46 de la CEE-ONU ou au point 5 de l’annexe III de la directive 71/127/CEE.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szCs w:val="20"/>
              </w:rPr>
              <w:t>Règlement n</w:t>
            </w:r>
            <w:r>
              <w:rPr>
                <w:noProof/>
                <w:spacing w:val="-8"/>
                <w:sz w:val="20"/>
                <w:szCs w:val="20"/>
                <w:vertAlign w:val="superscript"/>
              </w:rPr>
              <w:t>o</w:t>
            </w:r>
            <w:r>
              <w:rPr>
                <w:noProof/>
                <w:spacing w:val="-8"/>
                <w:sz w:val="20"/>
                <w:szCs w:val="20"/>
              </w:rPr>
              <w:t> 13-H de la CEE-ONU</w:t>
            </w:r>
          </w:p>
          <w:p>
            <w:pPr>
              <w:spacing w:before="60" w:after="60"/>
              <w:jc w:val="left"/>
              <w:rPr>
                <w:rFonts w:eastAsia="Arial Unicode MS"/>
                <w:noProof/>
                <w:spacing w:val="-8"/>
                <w:sz w:val="20"/>
                <w:szCs w:val="20"/>
              </w:rPr>
            </w:pPr>
            <w:r>
              <w:rPr>
                <w:noProof/>
                <w:spacing w:val="-8"/>
                <w:sz w:val="20"/>
                <w:szCs w:val="20"/>
              </w:rPr>
              <w:t>(Freinage)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pacing w:val="-8"/>
                <w:sz w:val="20"/>
                <w:szCs w:val="20"/>
              </w:rPr>
            </w:pPr>
            <w:r>
              <w:rPr>
                <w:i/>
                <w:noProof/>
                <w:spacing w:val="-8"/>
                <w:sz w:val="20"/>
                <w:szCs w:val="20"/>
              </w:rPr>
              <w:t>Dispositions générales</w:t>
            </w:r>
            <w:r>
              <w:rPr>
                <w:noProof/>
                <w:spacing w:val="-8"/>
                <w:sz w:val="20"/>
                <w:szCs w:val="20"/>
              </w:rPr>
              <w:t xml:space="preserve"> </w:t>
            </w:r>
          </w:p>
          <w:p>
            <w:pPr>
              <w:spacing w:before="60" w:after="0"/>
              <w:ind w:left="522" w:hanging="522"/>
              <w:rPr>
                <w:rFonts w:eastAsia="Arial Unicode MS"/>
                <w:noProof/>
                <w:spacing w:val="-8"/>
                <w:sz w:val="20"/>
                <w:szCs w:val="20"/>
              </w:rPr>
            </w:pPr>
            <w:r>
              <w:rPr>
                <w:noProof/>
                <w:spacing w:val="-8"/>
                <w:sz w:val="20"/>
                <w:szCs w:val="20"/>
              </w:rPr>
              <w:t>a)</w:t>
            </w:r>
            <w:r>
              <w:rPr>
                <w:noProof/>
                <w:spacing w:val="-8"/>
                <w:sz w:val="20"/>
                <w:szCs w:val="20"/>
              </w:rPr>
              <w:tab/>
              <w:t>Le système de freinage doit être réalisé conformément au paragraphe 5 du règlement n</w:t>
            </w:r>
            <w:r>
              <w:rPr>
                <w:noProof/>
                <w:spacing w:val="-8"/>
                <w:sz w:val="20"/>
                <w:szCs w:val="20"/>
                <w:vertAlign w:val="superscript"/>
              </w:rPr>
              <w:t>o</w:t>
            </w:r>
            <w:r>
              <w:rPr>
                <w:noProof/>
                <w:spacing w:val="-8"/>
                <w:sz w:val="20"/>
                <w:szCs w:val="20"/>
              </w:rPr>
              <w:t> 13-H de la CEE-ONU.</w:t>
            </w:r>
          </w:p>
          <w:p>
            <w:pPr>
              <w:spacing w:before="60" w:after="0"/>
              <w:ind w:left="522" w:hanging="522"/>
              <w:rPr>
                <w:rFonts w:eastAsia="Arial Unicode MS"/>
                <w:noProof/>
                <w:spacing w:val="-8"/>
                <w:sz w:val="20"/>
                <w:szCs w:val="20"/>
              </w:rPr>
            </w:pPr>
            <w:r>
              <w:rPr>
                <w:noProof/>
                <w:spacing w:val="-8"/>
                <w:sz w:val="20"/>
                <w:szCs w:val="20"/>
              </w:rPr>
              <w:t>b)</w:t>
            </w:r>
            <w:r>
              <w:rPr>
                <w:noProof/>
                <w:spacing w:val="-8"/>
                <w:sz w:val="20"/>
                <w:szCs w:val="20"/>
              </w:rPr>
              <w:tab/>
              <w:t>Les véhicules doivent être équipés d’un dispositif antiblocage électronique agissant sur toutes les roues.</w:t>
            </w:r>
          </w:p>
          <w:p>
            <w:pPr>
              <w:spacing w:before="60" w:after="0"/>
              <w:ind w:left="522" w:hanging="522"/>
              <w:rPr>
                <w:rFonts w:eastAsia="Arial Unicode MS"/>
                <w:noProof/>
                <w:spacing w:val="-8"/>
                <w:sz w:val="20"/>
                <w:szCs w:val="20"/>
              </w:rPr>
            </w:pPr>
            <w:r>
              <w:rPr>
                <w:noProof/>
                <w:spacing w:val="-8"/>
                <w:sz w:val="20"/>
                <w:szCs w:val="20"/>
              </w:rPr>
              <w:t>c)</w:t>
            </w:r>
            <w:r>
              <w:rPr>
                <w:noProof/>
                <w:spacing w:val="-8"/>
                <w:sz w:val="20"/>
                <w:szCs w:val="20"/>
              </w:rPr>
              <w:tab/>
              <w:t>Les performances du système de freinage doivent être conformes à l’annexe III du règlement n</w:t>
            </w:r>
            <w:r>
              <w:rPr>
                <w:noProof/>
                <w:spacing w:val="-8"/>
                <w:sz w:val="20"/>
                <w:szCs w:val="20"/>
                <w:vertAlign w:val="superscript"/>
              </w:rPr>
              <w:t>o</w:t>
            </w:r>
            <w:r>
              <w:rPr>
                <w:noProof/>
                <w:spacing w:val="-8"/>
                <w:sz w:val="20"/>
                <w:szCs w:val="20"/>
              </w:rPr>
              <w:t> 13-H de la CEE-ONU.</w:t>
            </w:r>
          </w:p>
          <w:p>
            <w:pPr>
              <w:spacing w:before="60" w:after="0"/>
              <w:ind w:left="522" w:hanging="522"/>
              <w:rPr>
                <w:rFonts w:eastAsia="Arial Unicode MS"/>
                <w:noProof/>
                <w:spacing w:val="-8"/>
                <w:sz w:val="20"/>
                <w:szCs w:val="20"/>
              </w:rPr>
            </w:pPr>
            <w:r>
              <w:rPr>
                <w:noProof/>
                <w:spacing w:val="-8"/>
                <w:sz w:val="20"/>
                <w:szCs w:val="20"/>
              </w:rPr>
              <w:t>d)</w:t>
            </w:r>
            <w:r>
              <w:rPr>
                <w:noProof/>
                <w:spacing w:val="-8"/>
                <w:sz w:val="20"/>
                <w:szCs w:val="20"/>
              </w:rPr>
              <w:tab/>
              <w:t>À ces fins, des essais routiers doivent être effectués sur une piste possédant un revêtement à forte adhérence. L’essai sur le frein de stationnement doit être effectué sur une pente de 18 % (en montée et en descente).</w:t>
            </w:r>
          </w:p>
          <w:p>
            <w:pPr>
              <w:spacing w:before="60" w:after="60"/>
              <w:ind w:left="522"/>
              <w:rPr>
                <w:rFonts w:eastAsia="Arial Unicode MS"/>
                <w:noProof/>
                <w:spacing w:val="-8"/>
                <w:sz w:val="20"/>
                <w:szCs w:val="20"/>
              </w:rPr>
            </w:pPr>
            <w:r>
              <w:rPr>
                <w:noProof/>
                <w:spacing w:val="-8"/>
                <w:sz w:val="20"/>
                <w:szCs w:val="20"/>
              </w:rPr>
              <w:t>Seuls les essais mentionnés ci-dessous sous «Frein de service» et «Frein de stationnement» doivent être effectués. Dans chaque cas, le véhicule doit être à pleine charge.</w:t>
            </w:r>
          </w:p>
          <w:p>
            <w:pPr>
              <w:spacing w:before="60" w:after="0"/>
              <w:ind w:left="522" w:hanging="522"/>
              <w:rPr>
                <w:rFonts w:eastAsia="Arial Unicode MS"/>
                <w:noProof/>
                <w:spacing w:val="-8"/>
                <w:sz w:val="20"/>
                <w:szCs w:val="20"/>
              </w:rPr>
            </w:pPr>
            <w:r>
              <w:rPr>
                <w:noProof/>
                <w:spacing w:val="-8"/>
                <w:sz w:val="20"/>
                <w:szCs w:val="20"/>
              </w:rPr>
              <w:t>e)</w:t>
            </w:r>
            <w:r>
              <w:rPr>
                <w:noProof/>
                <w:spacing w:val="-8"/>
                <w:sz w:val="20"/>
                <w:szCs w:val="20"/>
              </w:rPr>
              <w:tab/>
              <w:t>L’essai routier visé au point d) ne doit pas être effectué lorsque le demandeur est en mesure de présenter une déclaration du constructeur établissant que le véhicule satisfait aux prescriptions du règlement n</w:t>
            </w:r>
            <w:r>
              <w:rPr>
                <w:noProof/>
                <w:spacing w:val="-8"/>
                <w:sz w:val="20"/>
                <w:szCs w:val="20"/>
                <w:vertAlign w:val="superscript"/>
              </w:rPr>
              <w:t>o</w:t>
            </w:r>
            <w:r>
              <w:rPr>
                <w:noProof/>
                <w:spacing w:val="-8"/>
                <w:sz w:val="20"/>
                <w:szCs w:val="20"/>
              </w:rPr>
              <w:t> 13-H de la CEE-ONU, y compris le complément 5, ou de la norme FMVSS n</w:t>
            </w:r>
            <w:r>
              <w:rPr>
                <w:noProof/>
                <w:spacing w:val="-8"/>
                <w:sz w:val="20"/>
                <w:szCs w:val="20"/>
                <w:vertAlign w:val="superscript"/>
              </w:rPr>
              <w:t>o</w:t>
            </w:r>
            <w:r>
              <w:rPr>
                <w:noProof/>
                <w:spacing w:val="-8"/>
                <w:sz w:val="20"/>
                <w:szCs w:val="20"/>
              </w:rPr>
              <w:t> 135.</w:t>
            </w:r>
          </w:p>
          <w:p>
            <w:pPr>
              <w:ind w:left="522" w:hanging="522"/>
              <w:rPr>
                <w:rFonts w:eastAsia="Arial Unicode MS"/>
                <w:noProof/>
                <w:spacing w:val="-8"/>
                <w:sz w:val="20"/>
                <w:szCs w:val="20"/>
              </w:rPr>
            </w:pPr>
            <w:r>
              <w:rPr>
                <w:i/>
                <w:noProof/>
                <w:spacing w:val="-8"/>
                <w:sz w:val="20"/>
                <w:szCs w:val="20"/>
              </w:rPr>
              <w:t>Frein de service</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Un essai de «type 0», tel que prescrit aux paragraphes 1.4.2 et 1.4.3 de l’annexe 3 du règlement n</w:t>
            </w:r>
            <w:r>
              <w:rPr>
                <w:noProof/>
                <w:spacing w:val="-8"/>
                <w:sz w:val="20"/>
                <w:szCs w:val="20"/>
                <w:vertAlign w:val="superscript"/>
              </w:rPr>
              <w:t>o</w:t>
            </w:r>
            <w:r>
              <w:rPr>
                <w:noProof/>
                <w:spacing w:val="-8"/>
                <w:sz w:val="20"/>
                <w:szCs w:val="20"/>
              </w:rPr>
              <w:t> 13-H de la CEE-ONU, doit être effectué.</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De plus, un essai de «type I», tel que prescrit au paragraphe 1.5 de l’annexe 3 du règlement n</w:t>
            </w:r>
            <w:r>
              <w:rPr>
                <w:noProof/>
                <w:spacing w:val="-8"/>
                <w:sz w:val="20"/>
                <w:szCs w:val="20"/>
                <w:vertAlign w:val="superscript"/>
              </w:rPr>
              <w:t>o</w:t>
            </w:r>
            <w:r>
              <w:rPr>
                <w:noProof/>
                <w:spacing w:val="-8"/>
                <w:sz w:val="20"/>
                <w:szCs w:val="20"/>
              </w:rPr>
              <w:t> 13-H de la CEE-ONU, doit être effectué.</w:t>
            </w:r>
          </w:p>
          <w:p>
            <w:pPr>
              <w:ind w:left="522" w:hanging="522"/>
              <w:rPr>
                <w:rFonts w:eastAsia="Arial Unicode MS"/>
                <w:i/>
                <w:iCs/>
                <w:noProof/>
                <w:spacing w:val="-8"/>
                <w:sz w:val="20"/>
                <w:szCs w:val="20"/>
              </w:rPr>
            </w:pPr>
            <w:r>
              <w:rPr>
                <w:i/>
                <w:noProof/>
                <w:spacing w:val="-8"/>
                <w:sz w:val="20"/>
                <w:szCs w:val="20"/>
              </w:rPr>
              <w:t>Frein de stationnement</w:t>
            </w:r>
          </w:p>
          <w:p>
            <w:pPr>
              <w:spacing w:after="0"/>
              <w:rPr>
                <w:rFonts w:eastAsia="Arial Unicode MS"/>
                <w:noProof/>
                <w:spacing w:val="-8"/>
                <w:sz w:val="20"/>
                <w:szCs w:val="20"/>
              </w:rPr>
            </w:pPr>
            <w:r>
              <w:rPr>
                <w:noProof/>
                <w:spacing w:val="-8"/>
                <w:sz w:val="20"/>
                <w:szCs w:val="20"/>
              </w:rPr>
              <w:t>Un essai doit être effectué conformément au paragraphe 2.3 de l’annexe 3 du règlement n</w:t>
            </w:r>
            <w:r>
              <w:rPr>
                <w:noProof/>
                <w:spacing w:val="-8"/>
                <w:sz w:val="20"/>
                <w:szCs w:val="20"/>
                <w:vertAlign w:val="superscript"/>
              </w:rPr>
              <w:t>o</w:t>
            </w:r>
            <w:r>
              <w:rPr>
                <w:noProof/>
                <w:spacing w:val="-8"/>
                <w:sz w:val="20"/>
                <w:szCs w:val="20"/>
              </w:rPr>
              <w:t> 13-H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10 de la CEE-ONU</w:t>
            </w:r>
          </w:p>
          <w:p>
            <w:pPr>
              <w:spacing w:before="60" w:after="60"/>
              <w:jc w:val="left"/>
              <w:rPr>
                <w:rFonts w:eastAsia="Arial Unicode MS"/>
                <w:noProof/>
                <w:spacing w:val="-8"/>
                <w:sz w:val="20"/>
                <w:szCs w:val="20"/>
              </w:rPr>
            </w:pPr>
            <w:r>
              <w:rPr>
                <w:noProof/>
                <w:spacing w:val="-8"/>
                <w:sz w:val="20"/>
              </w:rPr>
              <w:lastRenderedPageBreak/>
              <w:t>[Parasites radioélectriques (compatibilité électromagnétique)]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pacing w:val="-8"/>
                <w:sz w:val="20"/>
                <w:szCs w:val="20"/>
              </w:rPr>
            </w:pPr>
            <w:r>
              <w:rPr>
                <w:i/>
                <w:noProof/>
                <w:spacing w:val="-8"/>
                <w:sz w:val="20"/>
                <w:szCs w:val="20"/>
              </w:rPr>
              <w:lastRenderedPageBreak/>
              <w:t>Composants</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 xml:space="preserve">Il n’est pas nécessaire que les sous-ensembles </w:t>
            </w:r>
            <w:r>
              <w:rPr>
                <w:noProof/>
                <w:spacing w:val="-8"/>
                <w:sz w:val="20"/>
                <w:szCs w:val="20"/>
              </w:rPr>
              <w:lastRenderedPageBreak/>
              <w:t>électriques/électroniques soient réceptionnés par type conformément au règlement n</w:t>
            </w:r>
            <w:r>
              <w:rPr>
                <w:noProof/>
                <w:spacing w:val="-8"/>
                <w:sz w:val="20"/>
                <w:szCs w:val="20"/>
                <w:vertAlign w:val="superscript"/>
              </w:rPr>
              <w:t>o</w:t>
            </w:r>
            <w:r>
              <w:rPr>
                <w:noProof/>
                <w:spacing w:val="-8"/>
                <w:sz w:val="20"/>
                <w:szCs w:val="20"/>
              </w:rPr>
              <w:t> 10 de la CEE-ONU.</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Cependant, les dispositifs électriques/électroniques montés ultérieurement doivent être conformes au règlement n</w:t>
            </w:r>
            <w:r>
              <w:rPr>
                <w:noProof/>
                <w:spacing w:val="-8"/>
                <w:sz w:val="20"/>
                <w:szCs w:val="20"/>
                <w:vertAlign w:val="superscript"/>
              </w:rPr>
              <w:t>o</w:t>
            </w:r>
            <w:r>
              <w:rPr>
                <w:noProof/>
                <w:spacing w:val="-8"/>
                <w:sz w:val="20"/>
                <w:szCs w:val="20"/>
              </w:rPr>
              <w:t> 10 de la CEE-ONU.</w:t>
            </w:r>
          </w:p>
          <w:p>
            <w:pPr>
              <w:ind w:left="522" w:hanging="522"/>
              <w:rPr>
                <w:rFonts w:eastAsia="Arial Unicode MS"/>
                <w:i/>
                <w:iCs/>
                <w:noProof/>
                <w:spacing w:val="-8"/>
                <w:sz w:val="20"/>
                <w:szCs w:val="20"/>
              </w:rPr>
            </w:pPr>
            <w:r>
              <w:rPr>
                <w:i/>
                <w:noProof/>
                <w:spacing w:val="-8"/>
                <w:sz w:val="20"/>
                <w:szCs w:val="20"/>
              </w:rPr>
              <w:t>Perturbations électromagnétiques émises</w:t>
            </w:r>
          </w:p>
          <w:p>
            <w:pPr>
              <w:spacing w:after="0"/>
              <w:rPr>
                <w:rFonts w:eastAsia="Arial Unicode MS"/>
                <w:noProof/>
                <w:spacing w:val="-8"/>
                <w:sz w:val="20"/>
                <w:szCs w:val="20"/>
              </w:rPr>
            </w:pPr>
            <w:r>
              <w:rPr>
                <w:noProof/>
                <w:spacing w:val="-8"/>
                <w:sz w:val="20"/>
                <w:szCs w:val="20"/>
              </w:rPr>
              <w:t>Le demandeur doit soumettre une déclaration du constructeur établissant que le véhicule est conforme au règlement n</w:t>
            </w:r>
            <w:r>
              <w:rPr>
                <w:noProof/>
                <w:spacing w:val="-8"/>
                <w:sz w:val="20"/>
                <w:szCs w:val="20"/>
                <w:vertAlign w:val="superscript"/>
              </w:rPr>
              <w:t>o</w:t>
            </w:r>
            <w:r>
              <w:rPr>
                <w:noProof/>
                <w:spacing w:val="-8"/>
                <w:sz w:val="20"/>
                <w:szCs w:val="20"/>
              </w:rPr>
              <w:t> 10 de la CEE-ONU ou aux normes alternatives suivantes:</w:t>
            </w:r>
          </w:p>
          <w:p>
            <w:pPr>
              <w:spacing w:before="60" w:after="60"/>
              <w:ind w:left="522" w:hanging="522"/>
              <w:rPr>
                <w:rFonts w:eastAsia="Arial Unicode MS"/>
                <w:noProof/>
                <w:spacing w:val="-8"/>
                <w:sz w:val="20"/>
                <w:szCs w:val="20"/>
              </w:rPr>
            </w:pPr>
            <w:r>
              <w:rPr>
                <w:noProof/>
                <w:spacing w:val="-8"/>
                <w:sz w:val="20"/>
                <w:szCs w:val="20"/>
              </w:rPr>
              <w:t>—</w:t>
            </w:r>
            <w:r>
              <w:rPr>
                <w:noProof/>
                <w:spacing w:val="-8"/>
                <w:sz w:val="20"/>
                <w:szCs w:val="20"/>
              </w:rPr>
              <w:tab/>
              <w:t>Perturbation électromagnétique en bande large: CISPR 12 ou SAE J551-2, ou</w:t>
            </w:r>
          </w:p>
          <w:p>
            <w:pPr>
              <w:spacing w:before="60" w:after="60"/>
              <w:ind w:left="522" w:hanging="522"/>
              <w:rPr>
                <w:rFonts w:eastAsia="Arial Unicode MS"/>
                <w:noProof/>
                <w:spacing w:val="-8"/>
                <w:sz w:val="20"/>
                <w:szCs w:val="20"/>
              </w:rPr>
            </w:pPr>
            <w:r>
              <w:rPr>
                <w:noProof/>
                <w:spacing w:val="-8"/>
                <w:sz w:val="20"/>
                <w:szCs w:val="20"/>
              </w:rPr>
              <w:t>—</w:t>
            </w:r>
            <w:r>
              <w:rPr>
                <w:noProof/>
                <w:spacing w:val="-8"/>
                <w:sz w:val="20"/>
                <w:szCs w:val="20"/>
              </w:rPr>
              <w:tab/>
              <w:t>Perturbation électromagnétique en bande étroite: CISPR 12 (désembarqué) ou 25 (embarqué) ou SAE J551-4 et SAE J1113-41.</w:t>
            </w:r>
          </w:p>
          <w:p>
            <w:pPr>
              <w:ind w:left="522" w:hanging="522"/>
              <w:rPr>
                <w:rFonts w:eastAsia="Arial Unicode MS"/>
                <w:i/>
                <w:iCs/>
                <w:noProof/>
                <w:spacing w:val="-8"/>
                <w:sz w:val="20"/>
                <w:szCs w:val="20"/>
              </w:rPr>
            </w:pPr>
            <w:r>
              <w:rPr>
                <w:i/>
                <w:noProof/>
                <w:spacing w:val="-8"/>
                <w:sz w:val="20"/>
                <w:szCs w:val="20"/>
              </w:rPr>
              <w:t>Essais d’immunité</w:t>
            </w:r>
          </w:p>
          <w:p>
            <w:pPr>
              <w:spacing w:after="0"/>
              <w:ind w:left="522" w:hanging="522"/>
              <w:rPr>
                <w:rFonts w:eastAsia="Arial Unicode MS"/>
                <w:noProof/>
                <w:spacing w:val="-8"/>
                <w:sz w:val="20"/>
                <w:szCs w:val="20"/>
              </w:rPr>
            </w:pPr>
            <w:r>
              <w:rPr>
                <w:noProof/>
                <w:spacing w:val="-8"/>
                <w:sz w:val="20"/>
                <w:szCs w:val="20"/>
              </w:rPr>
              <w:t>Il est renoncé à l’essai d’immunité.</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21 de la CEE-ONU</w:t>
            </w:r>
          </w:p>
          <w:p>
            <w:pPr>
              <w:spacing w:before="60" w:after="60"/>
              <w:jc w:val="left"/>
              <w:rPr>
                <w:rFonts w:eastAsia="Arial Unicode MS"/>
                <w:noProof/>
                <w:spacing w:val="-8"/>
                <w:sz w:val="20"/>
                <w:szCs w:val="20"/>
              </w:rPr>
            </w:pPr>
            <w:r>
              <w:rPr>
                <w:noProof/>
                <w:spacing w:val="-8"/>
                <w:sz w:val="20"/>
              </w:rPr>
              <w:t>(Aménagements intérieurs)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pacing w:val="-8"/>
                <w:sz w:val="20"/>
                <w:szCs w:val="20"/>
              </w:rPr>
            </w:pPr>
            <w:r>
              <w:rPr>
                <w:i/>
                <w:noProof/>
                <w:spacing w:val="-8"/>
                <w:sz w:val="20"/>
                <w:szCs w:val="20"/>
              </w:rPr>
              <w:t>Aménagement intérieur</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En ce qui concerne les prescriptions relatives à l’absorption d’énergie, le véhicule est réputé conforme au règlement n</w:t>
            </w:r>
            <w:r>
              <w:rPr>
                <w:noProof/>
                <w:spacing w:val="-8"/>
                <w:sz w:val="20"/>
                <w:szCs w:val="20"/>
                <w:vertAlign w:val="superscript"/>
              </w:rPr>
              <w:t>o</w:t>
            </w:r>
            <w:r>
              <w:rPr>
                <w:noProof/>
                <w:spacing w:val="-8"/>
                <w:sz w:val="20"/>
                <w:szCs w:val="20"/>
              </w:rPr>
              <w:t> 21 de la CEE-ONU s’il est équipé d’au moins deux airbags frontaux, l’un inséré dans le volant et l’autre dans le tableau de bord.</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Si le véhicule n’est équipé que d’un airbag frontal inséré dans le volant, le tableau de bord doit être constitué de matériaux susceptibles de dissiper l’énergie.</w:t>
            </w:r>
          </w:p>
          <w:p>
            <w:pPr>
              <w:spacing w:after="0"/>
              <w:ind w:left="522" w:hanging="522"/>
              <w:rPr>
                <w:rFonts w:eastAsia="Arial Unicode MS"/>
                <w:noProof/>
                <w:spacing w:val="-8"/>
                <w:sz w:val="20"/>
                <w:szCs w:val="20"/>
              </w:rPr>
            </w:pPr>
            <w:r>
              <w:rPr>
                <w:noProof/>
                <w:spacing w:val="-8"/>
                <w:sz w:val="20"/>
                <w:szCs w:val="20"/>
              </w:rPr>
              <w:t>c)</w:t>
            </w:r>
            <w:r>
              <w:rPr>
                <w:noProof/>
                <w:spacing w:val="-8"/>
                <w:sz w:val="20"/>
                <w:szCs w:val="20"/>
              </w:rPr>
              <w:tab/>
              <w:t>Le service technique doit vérifier que les zones définies aux paragraphes 5.1 à 5.7 du règlement n</w:t>
            </w:r>
            <w:r>
              <w:rPr>
                <w:noProof/>
                <w:spacing w:val="-8"/>
                <w:sz w:val="20"/>
                <w:szCs w:val="20"/>
                <w:vertAlign w:val="superscript"/>
              </w:rPr>
              <w:t>o</w:t>
            </w:r>
            <w:r>
              <w:rPr>
                <w:noProof/>
                <w:spacing w:val="-8"/>
                <w:sz w:val="20"/>
                <w:szCs w:val="20"/>
              </w:rPr>
              <w:t> 21 de la CEE-ONU ne présentent pas d’arêtes vives.</w:t>
            </w:r>
          </w:p>
          <w:p>
            <w:pPr>
              <w:ind w:left="522" w:hanging="522"/>
              <w:rPr>
                <w:rFonts w:eastAsia="Arial Unicode MS"/>
                <w:noProof/>
                <w:spacing w:val="-8"/>
                <w:sz w:val="20"/>
                <w:szCs w:val="20"/>
              </w:rPr>
            </w:pPr>
            <w:r>
              <w:rPr>
                <w:i/>
                <w:noProof/>
                <w:spacing w:val="-8"/>
                <w:sz w:val="20"/>
                <w:szCs w:val="20"/>
              </w:rPr>
              <w:t>Commandes électriques</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Les vitres, toits ouvrants et cloisons de séparation à commande électrique doivent faire l’objet d’essais conformément au paragraphe 5.8 du règlement n</w:t>
            </w:r>
            <w:r>
              <w:rPr>
                <w:noProof/>
                <w:spacing w:val="-8"/>
                <w:sz w:val="20"/>
                <w:szCs w:val="20"/>
                <w:vertAlign w:val="superscript"/>
              </w:rPr>
              <w:t>o</w:t>
            </w:r>
            <w:r>
              <w:rPr>
                <w:noProof/>
                <w:spacing w:val="-8"/>
                <w:sz w:val="20"/>
                <w:szCs w:val="20"/>
              </w:rPr>
              <w:t> 21 de la CEE-ONU.</w:t>
            </w:r>
          </w:p>
          <w:p>
            <w:pPr>
              <w:spacing w:before="60" w:after="60"/>
              <w:ind w:left="522"/>
              <w:rPr>
                <w:rFonts w:eastAsia="Arial Unicode MS"/>
                <w:noProof/>
                <w:spacing w:val="-8"/>
                <w:sz w:val="20"/>
                <w:szCs w:val="20"/>
              </w:rPr>
            </w:pPr>
            <w:r>
              <w:rPr>
                <w:noProof/>
                <w:spacing w:val="-8"/>
                <w:sz w:val="20"/>
                <w:szCs w:val="20"/>
              </w:rPr>
              <w:t>La sensibilité des systèmes d’inversion automatique visés au paragraphe 5.8.3 peut différer de ce qui est prescrit au paragraphe 5.8.3.1.1 du règlement n</w:t>
            </w:r>
            <w:r>
              <w:rPr>
                <w:noProof/>
                <w:spacing w:val="-8"/>
                <w:sz w:val="20"/>
                <w:szCs w:val="20"/>
                <w:vertAlign w:val="superscript"/>
              </w:rPr>
              <w:t>o</w:t>
            </w:r>
            <w:r>
              <w:rPr>
                <w:noProof/>
                <w:spacing w:val="-8"/>
                <w:sz w:val="20"/>
                <w:szCs w:val="20"/>
              </w:rPr>
              <w:t> 21 de la CEE-ONU.</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Les vitres électriques qui ne peuvent être fermées lorsque le contact est coupé sont exemptées des prescriptions concernant les systèmes d’inversion automatique.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szCs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szCs w:val="20"/>
              </w:rPr>
              <w:t>Règlement n</w:t>
            </w:r>
            <w:r>
              <w:rPr>
                <w:noProof/>
                <w:spacing w:val="-8"/>
                <w:sz w:val="20"/>
                <w:szCs w:val="20"/>
                <w:vertAlign w:val="superscript"/>
              </w:rPr>
              <w:t>o</w:t>
            </w:r>
            <w:r>
              <w:rPr>
                <w:noProof/>
                <w:spacing w:val="-8"/>
                <w:sz w:val="20"/>
                <w:szCs w:val="20"/>
              </w:rPr>
              <w:t xml:space="preserve"> 18 de la CEE-ONU</w:t>
            </w:r>
          </w:p>
          <w:p>
            <w:pPr>
              <w:spacing w:before="60" w:after="60"/>
              <w:jc w:val="left"/>
              <w:rPr>
                <w:rFonts w:eastAsia="Arial Unicode MS"/>
                <w:noProof/>
                <w:spacing w:val="-8"/>
                <w:sz w:val="20"/>
                <w:szCs w:val="20"/>
              </w:rPr>
            </w:pPr>
            <w:r>
              <w:rPr>
                <w:noProof/>
                <w:spacing w:val="-8"/>
                <w:sz w:val="20"/>
                <w:szCs w:val="20"/>
              </w:rPr>
              <w:t>(Antivol et dispositif d’immobilisation)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szCs w:val="20"/>
              </w:rPr>
              <w:t>a)</w:t>
            </w:r>
            <w:r>
              <w:rPr>
                <w:noProof/>
                <w:spacing w:val="-8"/>
                <w:sz w:val="20"/>
                <w:szCs w:val="20"/>
              </w:rPr>
              <w:tab/>
              <w:t>Afin de prévenir l’usage non autorisé, le véhicule est équipé:</w:t>
            </w:r>
          </w:p>
          <w:p>
            <w:pPr>
              <w:spacing w:before="60" w:after="60"/>
              <w:ind w:left="1089" w:hanging="522"/>
              <w:rPr>
                <w:rFonts w:eastAsia="Arial Unicode MS"/>
                <w:noProof/>
                <w:spacing w:val="-8"/>
                <w:sz w:val="20"/>
                <w:szCs w:val="20"/>
              </w:rPr>
            </w:pPr>
            <w:r>
              <w:rPr>
                <w:noProof/>
                <w:spacing w:val="-8"/>
                <w:sz w:val="20"/>
                <w:szCs w:val="20"/>
              </w:rPr>
              <w:t>—</w:t>
            </w:r>
            <w:r>
              <w:rPr>
                <w:noProof/>
                <w:spacing w:val="-8"/>
                <w:sz w:val="20"/>
                <w:szCs w:val="20"/>
              </w:rPr>
              <w:tab/>
              <w:t>d’un dispositif de verrouillage tel que défini au paragraphe 2.3 du règlement n</w:t>
            </w:r>
            <w:r>
              <w:rPr>
                <w:noProof/>
                <w:spacing w:val="-8"/>
                <w:sz w:val="20"/>
                <w:szCs w:val="20"/>
                <w:vertAlign w:val="superscript"/>
              </w:rPr>
              <w:t>o</w:t>
            </w:r>
            <w:r>
              <w:rPr>
                <w:noProof/>
                <w:spacing w:val="-8"/>
                <w:sz w:val="20"/>
                <w:szCs w:val="20"/>
              </w:rPr>
              <w:t> 18 de la CEE-ONU et</w:t>
            </w:r>
          </w:p>
          <w:p>
            <w:pPr>
              <w:spacing w:before="60" w:after="60"/>
              <w:ind w:left="1089" w:hanging="522"/>
              <w:rPr>
                <w:rFonts w:eastAsia="Arial Unicode MS"/>
                <w:noProof/>
                <w:spacing w:val="-8"/>
                <w:sz w:val="20"/>
                <w:szCs w:val="20"/>
              </w:rPr>
            </w:pPr>
            <w:r>
              <w:rPr>
                <w:noProof/>
                <w:spacing w:val="-8"/>
                <w:sz w:val="20"/>
                <w:szCs w:val="20"/>
              </w:rPr>
              <w:t>—</w:t>
            </w:r>
            <w:r>
              <w:rPr>
                <w:noProof/>
                <w:spacing w:val="-8"/>
                <w:sz w:val="20"/>
                <w:szCs w:val="20"/>
              </w:rPr>
              <w:tab/>
              <w:t>d’un dispositif d’immobilisation qui satisfait aux prescriptions techniques du paragraphe 5 du règlement n</w:t>
            </w:r>
            <w:r>
              <w:rPr>
                <w:noProof/>
                <w:spacing w:val="-8"/>
                <w:sz w:val="20"/>
                <w:szCs w:val="20"/>
                <w:vertAlign w:val="superscript"/>
              </w:rPr>
              <w:t>o</w:t>
            </w:r>
            <w:r>
              <w:rPr>
                <w:noProof/>
                <w:spacing w:val="-8"/>
                <w:sz w:val="20"/>
                <w:szCs w:val="20"/>
              </w:rPr>
              <w:t> 18 de la CEE-ONU;</w:t>
            </w:r>
          </w:p>
          <w:p>
            <w:pPr>
              <w:spacing w:before="60" w:after="60"/>
              <w:ind w:left="522" w:hanging="522"/>
              <w:rPr>
                <w:rFonts w:eastAsia="Arial Unicode MS"/>
                <w:noProof/>
                <w:spacing w:val="-8"/>
                <w:sz w:val="20"/>
                <w:szCs w:val="20"/>
              </w:rPr>
            </w:pPr>
            <w:r>
              <w:rPr>
                <w:noProof/>
                <w:spacing w:val="-8"/>
                <w:sz w:val="20"/>
                <w:szCs w:val="20"/>
              </w:rPr>
              <w:t>b)</w:t>
            </w:r>
            <w:r>
              <w:rPr>
                <w:noProof/>
                <w:spacing w:val="-8"/>
                <w:sz w:val="20"/>
                <w:szCs w:val="20"/>
              </w:rPr>
              <w:tab/>
              <w:t>Si, conformément au point a), un dispositif d’immobilisation doit être monté ultérieurement, il doit être d’un type réceptionné conformément aux règlements n</w:t>
            </w:r>
            <w:r>
              <w:rPr>
                <w:noProof/>
                <w:spacing w:val="-8"/>
                <w:sz w:val="20"/>
                <w:szCs w:val="20"/>
                <w:vertAlign w:val="superscript"/>
              </w:rPr>
              <w:t>os</w:t>
            </w:r>
            <w:r>
              <w:rPr>
                <w:noProof/>
                <w:spacing w:val="-8"/>
                <w:sz w:val="20"/>
                <w:szCs w:val="20"/>
              </w:rPr>
              <w:t> 18, 97 ou 116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12 de la CEE-ONU</w:t>
            </w:r>
          </w:p>
          <w:p>
            <w:pPr>
              <w:spacing w:before="60" w:after="60"/>
              <w:jc w:val="left"/>
              <w:rPr>
                <w:rFonts w:eastAsia="Arial Unicode MS"/>
                <w:noProof/>
                <w:spacing w:val="-8"/>
                <w:sz w:val="20"/>
                <w:szCs w:val="20"/>
              </w:rPr>
            </w:pPr>
            <w:r>
              <w:rPr>
                <w:noProof/>
                <w:spacing w:val="-8"/>
                <w:sz w:val="20"/>
              </w:rPr>
              <w:lastRenderedPageBreak/>
              <w:t>(Comportement du dispositif de conduite en cas de choc)</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szCs w:val="20"/>
              </w:rPr>
              <w:lastRenderedPageBreak/>
              <w:t>a)</w:t>
            </w:r>
            <w:r>
              <w:rPr>
                <w:noProof/>
                <w:spacing w:val="-8"/>
                <w:sz w:val="20"/>
                <w:szCs w:val="20"/>
              </w:rPr>
              <w:tab/>
              <w:t xml:space="preserve">Le demandeur doit présenter une déclaration du constructeur établissant que le véhicule donné, dont le numéro VIN doit être </w:t>
            </w:r>
            <w:r>
              <w:rPr>
                <w:noProof/>
                <w:spacing w:val="-8"/>
                <w:sz w:val="20"/>
                <w:szCs w:val="20"/>
              </w:rPr>
              <w:lastRenderedPageBreak/>
              <w:t>précisé, est conforme à l’une au moins des dispositions suivantes:</w:t>
            </w:r>
          </w:p>
          <w:p>
            <w:pPr>
              <w:spacing w:before="60" w:after="60"/>
              <w:ind w:left="1089" w:hanging="522"/>
              <w:rPr>
                <w:rFonts w:eastAsia="Arial Unicode MS"/>
                <w:noProof/>
                <w:spacing w:val="-8"/>
                <w:sz w:val="20"/>
                <w:szCs w:val="20"/>
              </w:rPr>
            </w:pPr>
            <w:r>
              <w:rPr>
                <w:noProof/>
                <w:spacing w:val="-8"/>
                <w:sz w:val="20"/>
                <w:szCs w:val="20"/>
              </w:rPr>
              <w:t>—</w:t>
            </w:r>
            <w:r>
              <w:rPr>
                <w:noProof/>
                <w:spacing w:val="-8"/>
                <w:sz w:val="20"/>
                <w:szCs w:val="20"/>
              </w:rPr>
              <w:tab/>
              <w:t>règlement n</w:t>
            </w:r>
            <w:r>
              <w:rPr>
                <w:noProof/>
                <w:spacing w:val="-8"/>
                <w:sz w:val="20"/>
                <w:szCs w:val="20"/>
                <w:vertAlign w:val="superscript"/>
              </w:rPr>
              <w:t>o</w:t>
            </w:r>
            <w:r>
              <w:rPr>
                <w:noProof/>
                <w:spacing w:val="-8"/>
                <w:sz w:val="20"/>
                <w:szCs w:val="20"/>
              </w:rPr>
              <w:t xml:space="preserve"> 12 de la CEE-ONU, </w:t>
            </w:r>
          </w:p>
          <w:p>
            <w:pPr>
              <w:spacing w:before="60" w:after="60"/>
              <w:ind w:left="1089" w:hanging="522"/>
              <w:rPr>
                <w:rFonts w:eastAsia="Arial Unicode MS"/>
                <w:noProof/>
                <w:spacing w:val="-8"/>
                <w:sz w:val="20"/>
                <w:szCs w:val="20"/>
                <w:lang w:val="en-GB"/>
              </w:rPr>
            </w:pPr>
            <w:r>
              <w:rPr>
                <w:noProof/>
                <w:spacing w:val="-8"/>
                <w:sz w:val="20"/>
                <w:szCs w:val="20"/>
                <w:lang w:val="en-GB"/>
              </w:rPr>
              <w:t>—</w:t>
            </w:r>
            <w:r>
              <w:rPr>
                <w:noProof/>
                <w:spacing w:val="-8"/>
                <w:sz w:val="20"/>
                <w:szCs w:val="20"/>
                <w:lang w:val="en-GB"/>
              </w:rPr>
              <w:tab/>
              <w:t>normes FMVSS n</w:t>
            </w:r>
            <w:r>
              <w:rPr>
                <w:noProof/>
                <w:spacing w:val="-8"/>
                <w:sz w:val="20"/>
                <w:szCs w:val="20"/>
                <w:vertAlign w:val="superscript"/>
                <w:lang w:val="en-GB"/>
              </w:rPr>
              <w:t>o</w:t>
            </w:r>
            <w:r>
              <w:rPr>
                <w:noProof/>
                <w:spacing w:val="-8"/>
                <w:sz w:val="20"/>
                <w:szCs w:val="20"/>
                <w:lang w:val="en-GB"/>
              </w:rPr>
              <w:t> 203 («Impact protection for the driver from the steering control system») et n</w:t>
            </w:r>
            <w:r>
              <w:rPr>
                <w:noProof/>
                <w:spacing w:val="-8"/>
                <w:sz w:val="20"/>
                <w:szCs w:val="20"/>
                <w:vertAlign w:val="superscript"/>
                <w:lang w:val="en-GB"/>
              </w:rPr>
              <w:t>o</w:t>
            </w:r>
            <w:r>
              <w:rPr>
                <w:noProof/>
                <w:spacing w:val="-8"/>
                <w:sz w:val="20"/>
                <w:szCs w:val="20"/>
                <w:lang w:val="en-GB"/>
              </w:rPr>
              <w:t> 204 («Steering control rearward displacement»),</w:t>
            </w:r>
          </w:p>
          <w:p>
            <w:pPr>
              <w:spacing w:before="60" w:after="60"/>
              <w:ind w:left="1089" w:hanging="522"/>
              <w:rPr>
                <w:rFonts w:eastAsia="Arial Unicode MS"/>
                <w:noProof/>
                <w:spacing w:val="-8"/>
                <w:sz w:val="20"/>
                <w:szCs w:val="20"/>
              </w:rPr>
            </w:pPr>
            <w:r>
              <w:rPr>
                <w:noProof/>
                <w:spacing w:val="-8"/>
                <w:sz w:val="20"/>
                <w:szCs w:val="20"/>
              </w:rPr>
              <w:t>—</w:t>
            </w:r>
            <w:r>
              <w:rPr>
                <w:noProof/>
                <w:spacing w:val="-8"/>
                <w:sz w:val="20"/>
                <w:szCs w:val="20"/>
              </w:rPr>
              <w:tab/>
              <w:t>article 11 du JSRRV.</w:t>
            </w:r>
          </w:p>
          <w:p>
            <w:pPr>
              <w:spacing w:before="60" w:after="60"/>
              <w:ind w:left="522" w:hanging="522"/>
              <w:rPr>
                <w:rFonts w:eastAsia="Arial Unicode MS"/>
                <w:noProof/>
                <w:spacing w:val="-8"/>
                <w:sz w:val="20"/>
                <w:szCs w:val="20"/>
              </w:rPr>
            </w:pPr>
            <w:r>
              <w:rPr>
                <w:noProof/>
                <w:spacing w:val="-8"/>
                <w:sz w:val="20"/>
                <w:szCs w:val="20"/>
              </w:rPr>
              <w:t>b)</w:t>
            </w:r>
            <w:r>
              <w:rPr>
                <w:noProof/>
                <w:spacing w:val="-8"/>
                <w:sz w:val="20"/>
                <w:szCs w:val="20"/>
              </w:rPr>
              <w:tab/>
              <w:t>Sur requête du demandeur, il peut être procédé à un essai sur un véhicule de production, conformément à l’annexe 3 du règlement n</w:t>
            </w:r>
            <w:r>
              <w:rPr>
                <w:noProof/>
                <w:spacing w:val="-8"/>
                <w:sz w:val="20"/>
                <w:szCs w:val="20"/>
                <w:vertAlign w:val="superscript"/>
              </w:rPr>
              <w:t>o</w:t>
            </w:r>
            <w:r>
              <w:rPr>
                <w:noProof/>
                <w:spacing w:val="-8"/>
                <w:sz w:val="20"/>
                <w:szCs w:val="20"/>
              </w:rPr>
              <w:t> 12 de la CEE-ONU.</w:t>
            </w:r>
          </w:p>
          <w:p>
            <w:pPr>
              <w:spacing w:before="60" w:after="60"/>
              <w:ind w:left="522"/>
              <w:rPr>
                <w:rFonts w:eastAsia="Arial Unicode MS"/>
                <w:noProof/>
                <w:spacing w:val="-8"/>
                <w:sz w:val="20"/>
                <w:szCs w:val="20"/>
              </w:rPr>
            </w:pPr>
            <w:r>
              <w:rPr>
                <w:noProof/>
                <w:spacing w:val="-8"/>
                <w:sz w:val="20"/>
                <w:szCs w:val="20"/>
              </w:rPr>
              <w:t>L’essai doit être effectué par un service technique qui a été désigné à cette fin. Un rapport détaillé établi par ce service technique est remis au demandeur.</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17 de la CEE-ONU</w:t>
            </w:r>
          </w:p>
          <w:p>
            <w:pPr>
              <w:spacing w:before="60" w:after="60"/>
              <w:jc w:val="left"/>
              <w:rPr>
                <w:rFonts w:eastAsia="Arial Unicode MS"/>
                <w:noProof/>
                <w:spacing w:val="-8"/>
                <w:sz w:val="20"/>
                <w:szCs w:val="20"/>
              </w:rPr>
            </w:pPr>
            <w:r>
              <w:rPr>
                <w:noProof/>
                <w:spacing w:val="-8"/>
                <w:sz w:val="20"/>
              </w:rPr>
              <w:t>(Résistance des sièges — Appuie-tête)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pacing w:val="-8"/>
                <w:sz w:val="20"/>
                <w:szCs w:val="20"/>
              </w:rPr>
            </w:pPr>
            <w:r>
              <w:rPr>
                <w:i/>
                <w:noProof/>
                <w:spacing w:val="-8"/>
                <w:sz w:val="20"/>
                <w:szCs w:val="20"/>
              </w:rPr>
              <w:t>Sièges, ancrages de sièges et systèmes de réglage</w:t>
            </w:r>
          </w:p>
          <w:p>
            <w:pPr>
              <w:spacing w:before="60" w:after="0"/>
              <w:rPr>
                <w:rFonts w:eastAsia="Arial Unicode MS"/>
                <w:noProof/>
                <w:spacing w:val="-8"/>
                <w:sz w:val="20"/>
                <w:szCs w:val="20"/>
              </w:rPr>
            </w:pPr>
            <w:r>
              <w:rPr>
                <w:noProof/>
                <w:spacing w:val="-8"/>
                <w:sz w:val="20"/>
                <w:szCs w:val="20"/>
              </w:rPr>
              <w:t>Le demandeur doit présenter une déclaration du constructeur établissant que le véhicule donné, dont le numéro VIN doit être précisé, est conforme à l’une au moins des dispositions suivantes:</w:t>
            </w:r>
          </w:p>
          <w:p>
            <w:pPr>
              <w:spacing w:before="60" w:after="60"/>
              <w:ind w:left="522" w:hanging="522"/>
              <w:rPr>
                <w:rFonts w:eastAsia="Arial Unicode MS"/>
                <w:noProof/>
                <w:spacing w:val="-8"/>
                <w:sz w:val="20"/>
                <w:szCs w:val="20"/>
              </w:rPr>
            </w:pPr>
            <w:r>
              <w:rPr>
                <w:noProof/>
                <w:spacing w:val="-8"/>
                <w:sz w:val="20"/>
                <w:szCs w:val="20"/>
              </w:rPr>
              <w:t>—</w:t>
            </w:r>
            <w:r>
              <w:rPr>
                <w:noProof/>
                <w:spacing w:val="-8"/>
                <w:sz w:val="20"/>
                <w:szCs w:val="20"/>
              </w:rPr>
              <w:tab/>
              <w:t>règlement n</w:t>
            </w:r>
            <w:r>
              <w:rPr>
                <w:noProof/>
                <w:spacing w:val="-8"/>
                <w:sz w:val="20"/>
                <w:szCs w:val="20"/>
                <w:vertAlign w:val="superscript"/>
              </w:rPr>
              <w:t>o</w:t>
            </w:r>
            <w:r>
              <w:rPr>
                <w:noProof/>
                <w:spacing w:val="-8"/>
                <w:sz w:val="20"/>
                <w:szCs w:val="20"/>
              </w:rPr>
              <w:t> 17 de la CEE-ONU,</w:t>
            </w:r>
          </w:p>
          <w:p>
            <w:pPr>
              <w:spacing w:before="60" w:after="60"/>
              <w:ind w:left="522" w:hanging="522"/>
              <w:rPr>
                <w:rFonts w:eastAsia="Arial Unicode MS"/>
                <w:noProof/>
                <w:spacing w:val="-8"/>
                <w:sz w:val="20"/>
                <w:szCs w:val="20"/>
                <w:lang w:val="en-GB"/>
              </w:rPr>
            </w:pPr>
            <w:r>
              <w:rPr>
                <w:noProof/>
                <w:spacing w:val="-8"/>
                <w:sz w:val="20"/>
                <w:szCs w:val="20"/>
                <w:lang w:val="en-GB"/>
              </w:rPr>
              <w:t>—</w:t>
            </w:r>
            <w:r>
              <w:rPr>
                <w:noProof/>
                <w:spacing w:val="-8"/>
                <w:sz w:val="20"/>
                <w:szCs w:val="20"/>
                <w:lang w:val="en-GB"/>
              </w:rPr>
              <w:tab/>
              <w:t>norme FMVSS n</w:t>
            </w:r>
            <w:r>
              <w:rPr>
                <w:noProof/>
                <w:spacing w:val="-8"/>
                <w:sz w:val="20"/>
                <w:szCs w:val="20"/>
                <w:vertAlign w:val="superscript"/>
                <w:lang w:val="en-GB"/>
              </w:rPr>
              <w:t>o</w:t>
            </w:r>
            <w:r>
              <w:rPr>
                <w:noProof/>
                <w:spacing w:val="-8"/>
                <w:sz w:val="20"/>
                <w:szCs w:val="20"/>
                <w:lang w:val="en-GB"/>
              </w:rPr>
              <w:t> 207 («Seating systems»).</w:t>
            </w:r>
          </w:p>
          <w:p>
            <w:pPr>
              <w:spacing w:after="0"/>
              <w:ind w:left="522" w:hanging="522"/>
              <w:rPr>
                <w:rFonts w:eastAsia="Arial Unicode MS"/>
                <w:noProof/>
                <w:spacing w:val="-8"/>
                <w:sz w:val="20"/>
                <w:szCs w:val="20"/>
              </w:rPr>
            </w:pPr>
            <w:r>
              <w:rPr>
                <w:i/>
                <w:noProof/>
                <w:spacing w:val="-8"/>
                <w:sz w:val="20"/>
                <w:szCs w:val="20"/>
              </w:rPr>
              <w:t>Appuie-tête</w:t>
            </w:r>
            <w:r>
              <w:rPr>
                <w:noProof/>
                <w:spacing w:val="-8"/>
                <w:sz w:val="20"/>
                <w:szCs w:val="20"/>
              </w:rPr>
              <w:t xml:space="preserve"> </w:t>
            </w:r>
          </w:p>
          <w:p>
            <w:pPr>
              <w:spacing w:before="60" w:after="0"/>
              <w:ind w:left="522" w:hanging="522"/>
              <w:rPr>
                <w:rFonts w:eastAsia="Arial Unicode MS"/>
                <w:noProof/>
                <w:spacing w:val="-8"/>
                <w:sz w:val="20"/>
                <w:szCs w:val="20"/>
              </w:rPr>
            </w:pPr>
            <w:r>
              <w:rPr>
                <w:noProof/>
                <w:spacing w:val="-8"/>
                <w:sz w:val="20"/>
                <w:szCs w:val="20"/>
              </w:rPr>
              <w:t>a)</w:t>
            </w:r>
            <w:r>
              <w:rPr>
                <w:noProof/>
                <w:spacing w:val="-8"/>
                <w:sz w:val="20"/>
                <w:szCs w:val="20"/>
              </w:rPr>
              <w:tab/>
              <w:t>Lorsque la déclaration est basée sur la norme FMVSS n</w:t>
            </w:r>
            <w:r>
              <w:rPr>
                <w:noProof/>
                <w:spacing w:val="-8"/>
                <w:sz w:val="20"/>
                <w:szCs w:val="20"/>
                <w:vertAlign w:val="superscript"/>
              </w:rPr>
              <w:t>o</w:t>
            </w:r>
            <w:r>
              <w:rPr>
                <w:noProof/>
                <w:spacing w:val="-8"/>
                <w:sz w:val="20"/>
                <w:szCs w:val="20"/>
              </w:rPr>
              <w:t> 207, l’appuie-tête doit, en outre, être conforme aux prescriptions du paragraphe 5 et de l’annexe 4 du règlement n</w:t>
            </w:r>
            <w:r>
              <w:rPr>
                <w:noProof/>
                <w:spacing w:val="-8"/>
                <w:sz w:val="20"/>
                <w:szCs w:val="20"/>
                <w:vertAlign w:val="superscript"/>
              </w:rPr>
              <w:t>o</w:t>
            </w:r>
            <w:r>
              <w:rPr>
                <w:noProof/>
                <w:spacing w:val="-8"/>
                <w:sz w:val="20"/>
                <w:szCs w:val="20"/>
              </w:rPr>
              <w:t> 17 de la CEE-ONU.</w:t>
            </w:r>
          </w:p>
          <w:p>
            <w:pPr>
              <w:spacing w:before="60" w:after="0"/>
              <w:ind w:left="522" w:hanging="522"/>
              <w:rPr>
                <w:rFonts w:eastAsia="Arial Unicode MS"/>
                <w:noProof/>
                <w:spacing w:val="-8"/>
                <w:sz w:val="20"/>
                <w:szCs w:val="20"/>
              </w:rPr>
            </w:pPr>
            <w:r>
              <w:rPr>
                <w:noProof/>
                <w:spacing w:val="-8"/>
                <w:sz w:val="20"/>
                <w:szCs w:val="20"/>
              </w:rPr>
              <w:t>b)</w:t>
            </w:r>
            <w:r>
              <w:rPr>
                <w:noProof/>
                <w:spacing w:val="-8"/>
                <w:sz w:val="20"/>
                <w:szCs w:val="20"/>
              </w:rPr>
              <w:tab/>
              <w:t>Seuls les essais décrits aux paragraphes 5.12, 6.5, 6.6 et 6.7 du règlement n</w:t>
            </w:r>
            <w:r>
              <w:rPr>
                <w:noProof/>
                <w:spacing w:val="-8"/>
                <w:sz w:val="20"/>
                <w:szCs w:val="20"/>
                <w:vertAlign w:val="superscript"/>
              </w:rPr>
              <w:t>o</w:t>
            </w:r>
            <w:r>
              <w:rPr>
                <w:noProof/>
                <w:spacing w:val="-8"/>
                <w:sz w:val="20"/>
                <w:szCs w:val="20"/>
              </w:rPr>
              <w:t> 17 de la CEE-ONU doivent être effectués.</w:t>
            </w:r>
          </w:p>
          <w:p>
            <w:pPr>
              <w:spacing w:before="60" w:after="0"/>
              <w:ind w:left="522" w:hanging="522"/>
              <w:rPr>
                <w:rFonts w:eastAsia="Arial Unicode MS"/>
                <w:noProof/>
                <w:spacing w:val="-8"/>
                <w:sz w:val="20"/>
                <w:szCs w:val="20"/>
              </w:rPr>
            </w:pPr>
            <w:r>
              <w:rPr>
                <w:noProof/>
                <w:spacing w:val="-8"/>
                <w:sz w:val="20"/>
                <w:szCs w:val="20"/>
              </w:rPr>
              <w:t>c)</w:t>
            </w:r>
            <w:r>
              <w:rPr>
                <w:noProof/>
                <w:spacing w:val="-8"/>
                <w:sz w:val="20"/>
                <w:szCs w:val="20"/>
              </w:rPr>
              <w:tab/>
              <w:t>Dans l’autre cas, le demandeur doit présenter une déclaration du constructeur établissant que le véhicule donné, dont le numéro VIN doit être précisé, est conforme à la norme FMVSS n</w:t>
            </w:r>
            <w:r>
              <w:rPr>
                <w:noProof/>
                <w:spacing w:val="-8"/>
                <w:sz w:val="20"/>
                <w:szCs w:val="20"/>
                <w:vertAlign w:val="superscript"/>
              </w:rPr>
              <w:t>o</w:t>
            </w:r>
            <w:r>
              <w:rPr>
                <w:noProof/>
                <w:spacing w:val="-8"/>
                <w:sz w:val="20"/>
                <w:szCs w:val="20"/>
              </w:rPr>
              <w:t> 202a («Head restraints»).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17 de la CEE-ONU</w:t>
            </w:r>
          </w:p>
          <w:p>
            <w:pPr>
              <w:spacing w:before="60" w:after="60"/>
              <w:jc w:val="left"/>
              <w:rPr>
                <w:rFonts w:eastAsia="Arial Unicode MS"/>
                <w:noProof/>
                <w:spacing w:val="-8"/>
                <w:sz w:val="20"/>
                <w:szCs w:val="20"/>
              </w:rPr>
            </w:pPr>
            <w:r>
              <w:rPr>
                <w:noProof/>
                <w:spacing w:val="-8"/>
                <w:sz w:val="20"/>
              </w:rPr>
              <w:t>(Saillies extérieures)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szCs w:val="20"/>
              </w:rPr>
              <w:t>a)</w:t>
            </w:r>
            <w:r>
              <w:rPr>
                <w:noProof/>
                <w:spacing w:val="-8"/>
                <w:sz w:val="20"/>
                <w:szCs w:val="20"/>
              </w:rPr>
              <w:tab/>
              <w:t>La surface extérieure de la carrosserie doit être conforme aux prescriptions générales figurant au paragraphe 5 du règlement n</w:t>
            </w:r>
            <w:r>
              <w:rPr>
                <w:noProof/>
                <w:spacing w:val="-8"/>
                <w:sz w:val="20"/>
                <w:szCs w:val="20"/>
                <w:vertAlign w:val="superscript"/>
              </w:rPr>
              <w:t>o</w:t>
            </w:r>
            <w:r>
              <w:rPr>
                <w:noProof/>
                <w:spacing w:val="-8"/>
                <w:sz w:val="20"/>
                <w:szCs w:val="20"/>
              </w:rPr>
              <w:t> 17 de la CEE-ONU.</w:t>
            </w:r>
          </w:p>
          <w:p>
            <w:pPr>
              <w:spacing w:before="60" w:after="60"/>
              <w:ind w:left="522" w:hanging="522"/>
              <w:rPr>
                <w:rFonts w:eastAsia="Arial Unicode MS"/>
                <w:noProof/>
                <w:spacing w:val="-8"/>
                <w:sz w:val="20"/>
                <w:szCs w:val="20"/>
              </w:rPr>
            </w:pPr>
            <w:r>
              <w:rPr>
                <w:noProof/>
                <w:spacing w:val="-8"/>
                <w:sz w:val="20"/>
                <w:szCs w:val="20"/>
              </w:rPr>
              <w:t>b)</w:t>
            </w:r>
            <w:r>
              <w:rPr>
                <w:noProof/>
                <w:spacing w:val="-8"/>
                <w:sz w:val="20"/>
                <w:szCs w:val="20"/>
              </w:rPr>
              <w:tab/>
              <w:t>Si le service technique le juge nécessaire, la conformité aux dispositions visées aux paragraphes 6.1, 6.5, 6.6, 6.7, 6.8 et 6.11 du règlement n</w:t>
            </w:r>
            <w:r>
              <w:rPr>
                <w:noProof/>
                <w:spacing w:val="-8"/>
                <w:sz w:val="20"/>
                <w:szCs w:val="20"/>
                <w:vertAlign w:val="superscript"/>
              </w:rPr>
              <w:t>o</w:t>
            </w:r>
            <w:r>
              <w:rPr>
                <w:noProof/>
                <w:spacing w:val="-8"/>
                <w:sz w:val="20"/>
                <w:szCs w:val="20"/>
              </w:rPr>
              <w:t> 17 de la CEE-ONU doit être vérifiée.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39 de la CEE-ONU</w:t>
            </w:r>
          </w:p>
          <w:p>
            <w:pPr>
              <w:spacing w:before="60" w:after="60"/>
              <w:jc w:val="left"/>
              <w:rPr>
                <w:rFonts w:eastAsia="Arial Unicode MS"/>
                <w:noProof/>
                <w:spacing w:val="-8"/>
                <w:sz w:val="20"/>
                <w:szCs w:val="20"/>
              </w:rPr>
            </w:pPr>
            <w:r>
              <w:rPr>
                <w:noProof/>
                <w:spacing w:val="-8"/>
                <w:sz w:val="20"/>
              </w:rPr>
              <w:t>(Indicateur de vitesse — marche arrière)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i/>
                <w:noProof/>
                <w:spacing w:val="-8"/>
                <w:sz w:val="20"/>
                <w:szCs w:val="20"/>
              </w:rPr>
              <w:t>Appareil indicateur de vitesse</w:t>
            </w:r>
            <w:r>
              <w:rPr>
                <w:noProof/>
                <w:spacing w:val="-8"/>
                <w:sz w:val="20"/>
                <w:szCs w:val="20"/>
              </w:rPr>
              <w:t xml:space="preserve"> </w:t>
            </w:r>
          </w:p>
          <w:p>
            <w:pPr>
              <w:spacing w:before="60" w:after="60"/>
              <w:ind w:left="522" w:hanging="522"/>
              <w:rPr>
                <w:rFonts w:eastAsia="Arial Unicode MS"/>
                <w:noProof/>
                <w:spacing w:val="-8"/>
                <w:sz w:val="20"/>
                <w:szCs w:val="20"/>
              </w:rPr>
            </w:pPr>
            <w:r>
              <w:rPr>
                <w:noProof/>
                <w:spacing w:val="-8"/>
                <w:sz w:val="20"/>
                <w:szCs w:val="20"/>
              </w:rPr>
              <w:t>a)</w:t>
            </w:r>
            <w:r>
              <w:rPr>
                <w:noProof/>
                <w:spacing w:val="-8"/>
                <w:sz w:val="20"/>
                <w:szCs w:val="20"/>
              </w:rPr>
              <w:tab/>
              <w:t>Le cadran doit être conforme aux paragraphes 5.1 à 5.1.4 du règlement n</w:t>
            </w:r>
            <w:r>
              <w:rPr>
                <w:noProof/>
                <w:spacing w:val="-8"/>
                <w:sz w:val="20"/>
                <w:szCs w:val="20"/>
                <w:vertAlign w:val="superscript"/>
              </w:rPr>
              <w:t>o</w:t>
            </w:r>
            <w:r>
              <w:rPr>
                <w:noProof/>
                <w:spacing w:val="-8"/>
                <w:sz w:val="20"/>
                <w:szCs w:val="20"/>
              </w:rPr>
              <w:t> 39 de la CEE-ONU.</w:t>
            </w:r>
          </w:p>
          <w:p>
            <w:pPr>
              <w:spacing w:before="60" w:after="60"/>
              <w:ind w:left="522" w:hanging="522"/>
              <w:rPr>
                <w:rFonts w:eastAsia="Arial Unicode MS"/>
                <w:noProof/>
                <w:spacing w:val="-8"/>
                <w:sz w:val="20"/>
                <w:szCs w:val="20"/>
              </w:rPr>
            </w:pPr>
            <w:r>
              <w:rPr>
                <w:noProof/>
                <w:spacing w:val="-8"/>
                <w:sz w:val="20"/>
                <w:szCs w:val="20"/>
              </w:rPr>
              <w:t>b)</w:t>
            </w:r>
            <w:r>
              <w:rPr>
                <w:noProof/>
                <w:spacing w:val="-8"/>
                <w:sz w:val="20"/>
                <w:szCs w:val="20"/>
              </w:rPr>
              <w:tab/>
              <w:t>Si le service technique souhaite vérifier que l’appareil indicateur de vitesse est étalonné de façon suffisamment précise, il peut demander qu’il soit procédé aux essais prescrits au paragraphe 5.2 du règlement n</w:t>
            </w:r>
            <w:r>
              <w:rPr>
                <w:noProof/>
                <w:spacing w:val="-8"/>
                <w:sz w:val="20"/>
                <w:szCs w:val="20"/>
                <w:vertAlign w:val="superscript"/>
              </w:rPr>
              <w:t>o</w:t>
            </w:r>
            <w:r>
              <w:rPr>
                <w:noProof/>
                <w:spacing w:val="-8"/>
                <w:sz w:val="20"/>
                <w:szCs w:val="20"/>
              </w:rPr>
              <w:t> 39 de la CEE-ONU.</w:t>
            </w:r>
          </w:p>
          <w:p>
            <w:pPr>
              <w:spacing w:before="60" w:after="0"/>
              <w:ind w:left="522" w:hanging="522"/>
              <w:rPr>
                <w:rFonts w:eastAsia="Arial Unicode MS"/>
                <w:i/>
                <w:iCs/>
                <w:noProof/>
                <w:spacing w:val="-8"/>
                <w:sz w:val="20"/>
                <w:szCs w:val="20"/>
              </w:rPr>
            </w:pPr>
            <w:r>
              <w:rPr>
                <w:i/>
                <w:noProof/>
                <w:spacing w:val="-8"/>
                <w:sz w:val="20"/>
                <w:szCs w:val="20"/>
              </w:rPr>
              <w:t>Marche arrière</w:t>
            </w:r>
          </w:p>
          <w:p>
            <w:pPr>
              <w:spacing w:before="60" w:after="0"/>
              <w:ind w:left="522" w:hanging="522"/>
              <w:rPr>
                <w:rFonts w:eastAsia="Arial Unicode MS"/>
                <w:noProof/>
                <w:spacing w:val="-8"/>
                <w:sz w:val="20"/>
                <w:szCs w:val="20"/>
              </w:rPr>
            </w:pPr>
            <w:r>
              <w:rPr>
                <w:noProof/>
                <w:spacing w:val="-8"/>
                <w:sz w:val="20"/>
                <w:szCs w:val="20"/>
              </w:rPr>
              <w:t>Le mécanisme de changement de vitesse doit inclure une marche arrière.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19/2011</w:t>
            </w:r>
          </w:p>
          <w:p>
            <w:pPr>
              <w:spacing w:before="60" w:after="60"/>
              <w:jc w:val="left"/>
              <w:rPr>
                <w:rFonts w:eastAsia="Arial Unicode MS"/>
                <w:noProof/>
                <w:spacing w:val="-8"/>
                <w:sz w:val="20"/>
                <w:szCs w:val="20"/>
              </w:rPr>
            </w:pPr>
            <w:r>
              <w:rPr>
                <w:noProof/>
                <w:spacing w:val="-8"/>
                <w:sz w:val="20"/>
              </w:rPr>
              <w:t>(Plaques réglementaires)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pacing w:val="-8"/>
                <w:sz w:val="20"/>
                <w:szCs w:val="20"/>
              </w:rPr>
            </w:pPr>
            <w:r>
              <w:rPr>
                <w:i/>
                <w:noProof/>
                <w:spacing w:val="-8"/>
                <w:sz w:val="20"/>
                <w:szCs w:val="20"/>
              </w:rPr>
              <w:t>Numéro d'identification de véhicule</w:t>
            </w:r>
          </w:p>
          <w:p>
            <w:pPr>
              <w:spacing w:before="60" w:after="0"/>
              <w:ind w:left="522" w:hanging="522"/>
              <w:rPr>
                <w:rFonts w:eastAsia="Arial Unicode MS"/>
                <w:noProof/>
                <w:spacing w:val="-8"/>
                <w:sz w:val="20"/>
                <w:szCs w:val="20"/>
              </w:rPr>
            </w:pPr>
            <w:r>
              <w:rPr>
                <w:noProof/>
                <w:spacing w:val="-8"/>
                <w:sz w:val="20"/>
                <w:szCs w:val="20"/>
              </w:rPr>
              <w:t>a)</w:t>
            </w:r>
            <w:r>
              <w:rPr>
                <w:noProof/>
                <w:spacing w:val="-8"/>
                <w:sz w:val="20"/>
                <w:szCs w:val="20"/>
              </w:rPr>
              <w:tab/>
              <w:t>Le véhicule doit être pourvu d’un numéro d'identification de véhicule comprenant un minimum de 8 caractères et un maximum de 17 caractères. Un numéro d'identification de véhicule composé de 17 caractères doit satisfaire aux prescriptions énoncées dans les normes ISO 3779:1983 et 3780:1983.</w:t>
            </w:r>
          </w:p>
          <w:p>
            <w:pPr>
              <w:spacing w:before="60" w:after="0"/>
              <w:ind w:left="522" w:hanging="522"/>
              <w:rPr>
                <w:rFonts w:eastAsia="Arial Unicode MS"/>
                <w:noProof/>
                <w:spacing w:val="-8"/>
                <w:sz w:val="20"/>
                <w:szCs w:val="20"/>
              </w:rPr>
            </w:pPr>
            <w:r>
              <w:rPr>
                <w:noProof/>
                <w:spacing w:val="-8"/>
                <w:sz w:val="20"/>
                <w:szCs w:val="20"/>
              </w:rPr>
              <w:lastRenderedPageBreak/>
              <w:t>b)</w:t>
            </w:r>
            <w:r>
              <w:rPr>
                <w:noProof/>
                <w:spacing w:val="-8"/>
                <w:sz w:val="20"/>
                <w:szCs w:val="20"/>
              </w:rPr>
              <w:tab/>
              <w:t>Le numéro d'identification de véhicule doit être apposé en un endroit bien visible et accessible, de sorte qu’il ne puisse pas être effacé ou qu’il ne se détériore pas.</w:t>
            </w:r>
          </w:p>
          <w:p>
            <w:pPr>
              <w:spacing w:before="60" w:after="0"/>
              <w:ind w:left="522" w:hanging="522"/>
              <w:rPr>
                <w:rFonts w:eastAsia="Arial Unicode MS"/>
                <w:noProof/>
                <w:spacing w:val="-8"/>
                <w:sz w:val="20"/>
                <w:szCs w:val="20"/>
              </w:rPr>
            </w:pPr>
            <w:r>
              <w:rPr>
                <w:noProof/>
                <w:spacing w:val="-8"/>
                <w:sz w:val="20"/>
                <w:szCs w:val="20"/>
              </w:rPr>
              <w:t>c)</w:t>
            </w:r>
            <w:r>
              <w:rPr>
                <w:noProof/>
                <w:spacing w:val="-8"/>
                <w:sz w:val="20"/>
                <w:szCs w:val="20"/>
              </w:rPr>
              <w:tab/>
              <w:t>Lorsqu’aucun numéro d'identification de véhicule n’est marqué sur le châssis ou la carrosserie, un État membre peut exiger que le demandeur l’appose ultérieurement, en application de sa législation nationale. Dans ce cas, l’autorité compétente de cet État membre doit superviser l’opération.</w:t>
            </w:r>
          </w:p>
          <w:p>
            <w:pPr>
              <w:spacing w:before="60" w:after="60"/>
              <w:ind w:left="522" w:hanging="522"/>
              <w:rPr>
                <w:rFonts w:eastAsia="Arial Unicode MS"/>
                <w:i/>
                <w:iCs/>
                <w:noProof/>
                <w:spacing w:val="-8"/>
                <w:sz w:val="20"/>
                <w:szCs w:val="20"/>
              </w:rPr>
            </w:pPr>
            <w:r>
              <w:rPr>
                <w:i/>
                <w:noProof/>
                <w:spacing w:val="-8"/>
                <w:sz w:val="20"/>
                <w:szCs w:val="20"/>
              </w:rPr>
              <w:t>Plaque réglementaire</w:t>
            </w:r>
          </w:p>
          <w:p>
            <w:pPr>
              <w:spacing w:before="60" w:after="0"/>
              <w:rPr>
                <w:rFonts w:eastAsia="Arial Unicode MS"/>
                <w:noProof/>
                <w:spacing w:val="-8"/>
                <w:sz w:val="20"/>
                <w:szCs w:val="20"/>
              </w:rPr>
            </w:pPr>
            <w:r>
              <w:rPr>
                <w:noProof/>
                <w:spacing w:val="-8"/>
                <w:sz w:val="20"/>
                <w:szCs w:val="20"/>
              </w:rPr>
              <w:t>Le véhicule doit être équipé d’une plaque d’identification apposée par le constructeur du véhicule.</w:t>
            </w:r>
          </w:p>
          <w:p>
            <w:pPr>
              <w:spacing w:before="60" w:after="0"/>
              <w:rPr>
                <w:rFonts w:eastAsia="Arial Unicode MS"/>
                <w:noProof/>
                <w:spacing w:val="-8"/>
                <w:sz w:val="20"/>
                <w:szCs w:val="20"/>
              </w:rPr>
            </w:pPr>
            <w:r>
              <w:rPr>
                <w:noProof/>
                <w:spacing w:val="-8"/>
                <w:sz w:val="20"/>
                <w:szCs w:val="20"/>
              </w:rPr>
              <w:t>Aucune autre plaque n’est requise après que la réception a été délivrée par l’autorité compétente en matière de réception.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14 de la CEE-ONU (Ancrages des ceintures de sécurité)</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 demandeur doit présenter une déclaration du constructeur établissant que le véhicule donné, dont le VIN doit être précisé, est conforme à l’une au moins des dispositions suivantes:</w:t>
            </w:r>
          </w:p>
          <w:p>
            <w:pPr>
              <w:spacing w:before="60" w:after="60"/>
              <w:ind w:left="522" w:hanging="522"/>
              <w:rPr>
                <w:rFonts w:eastAsia="Arial Unicode MS"/>
                <w:noProof/>
                <w:spacing w:val="-8"/>
                <w:sz w:val="20"/>
                <w:szCs w:val="20"/>
              </w:rPr>
            </w:pPr>
            <w:r>
              <w:rPr>
                <w:noProof/>
                <w:spacing w:val="-8"/>
                <w:sz w:val="20"/>
                <w:szCs w:val="20"/>
              </w:rPr>
              <w:t>—</w:t>
            </w:r>
            <w:r>
              <w:rPr>
                <w:noProof/>
                <w:spacing w:val="-8"/>
                <w:sz w:val="20"/>
                <w:szCs w:val="20"/>
              </w:rPr>
              <w:tab/>
              <w:t>règlement n</w:t>
            </w:r>
            <w:r>
              <w:rPr>
                <w:noProof/>
                <w:spacing w:val="-8"/>
                <w:sz w:val="20"/>
                <w:szCs w:val="20"/>
                <w:vertAlign w:val="superscript"/>
              </w:rPr>
              <w:t>o</w:t>
            </w:r>
            <w:r>
              <w:rPr>
                <w:noProof/>
                <w:spacing w:val="-8"/>
                <w:sz w:val="20"/>
                <w:szCs w:val="20"/>
              </w:rPr>
              <w:t> 14 de la CEE-ONU,</w:t>
            </w:r>
          </w:p>
          <w:p>
            <w:pPr>
              <w:spacing w:before="60" w:after="60"/>
              <w:ind w:left="522" w:hanging="522"/>
              <w:rPr>
                <w:rFonts w:eastAsia="Arial Unicode MS"/>
                <w:noProof/>
                <w:spacing w:val="-8"/>
                <w:sz w:val="20"/>
                <w:szCs w:val="20"/>
                <w:lang w:val="en-GB"/>
              </w:rPr>
            </w:pPr>
            <w:r>
              <w:rPr>
                <w:noProof/>
                <w:spacing w:val="-8"/>
                <w:sz w:val="20"/>
                <w:szCs w:val="20"/>
                <w:lang w:val="en-GB"/>
              </w:rPr>
              <w:t>—</w:t>
            </w:r>
            <w:r>
              <w:rPr>
                <w:noProof/>
                <w:spacing w:val="-8"/>
                <w:sz w:val="20"/>
                <w:szCs w:val="20"/>
                <w:lang w:val="en-GB"/>
              </w:rPr>
              <w:tab/>
              <w:t>norme FMVSS n</w:t>
            </w:r>
            <w:r>
              <w:rPr>
                <w:noProof/>
                <w:spacing w:val="-8"/>
                <w:sz w:val="20"/>
                <w:szCs w:val="20"/>
                <w:vertAlign w:val="superscript"/>
                <w:lang w:val="en-GB"/>
              </w:rPr>
              <w:t>o</w:t>
            </w:r>
            <w:r>
              <w:rPr>
                <w:noProof/>
                <w:spacing w:val="-8"/>
                <w:sz w:val="20"/>
                <w:szCs w:val="20"/>
                <w:lang w:val="en-GB"/>
              </w:rPr>
              <w:t> 210 («Seat belt assembly anchorages»),</w:t>
            </w:r>
          </w:p>
          <w:p>
            <w:pPr>
              <w:spacing w:before="60" w:after="60"/>
              <w:ind w:left="522" w:hanging="522"/>
              <w:rPr>
                <w:rFonts w:eastAsia="Arial Unicode MS"/>
                <w:noProof/>
                <w:spacing w:val="-8"/>
                <w:sz w:val="20"/>
                <w:szCs w:val="20"/>
              </w:rPr>
            </w:pPr>
            <w:r>
              <w:rPr>
                <w:noProof/>
                <w:spacing w:val="-8"/>
                <w:sz w:val="20"/>
                <w:szCs w:val="20"/>
              </w:rPr>
              <w:t>—</w:t>
            </w:r>
            <w:r>
              <w:rPr>
                <w:noProof/>
                <w:spacing w:val="-8"/>
                <w:sz w:val="20"/>
                <w:szCs w:val="20"/>
              </w:rPr>
              <w:tab/>
              <w:t>article 22-3 du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48 de la CEE-ONU (Installation des dispositifs d’éclairage et de signalisation lumineuse)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szCs w:val="20"/>
              </w:rPr>
              <w:t>a)</w:t>
            </w:r>
            <w:r>
              <w:rPr>
                <w:noProof/>
                <w:spacing w:val="-8"/>
                <w:sz w:val="20"/>
                <w:szCs w:val="20"/>
              </w:rPr>
              <w:tab/>
              <w:t>L’installation des dispositifs d’éclairage doit être conforme aux prescriptions du règlement n</w:t>
            </w:r>
            <w:r>
              <w:rPr>
                <w:noProof/>
                <w:spacing w:val="-8"/>
                <w:sz w:val="20"/>
                <w:szCs w:val="20"/>
                <w:vertAlign w:val="superscript"/>
              </w:rPr>
              <w:t>o</w:t>
            </w:r>
            <w:r>
              <w:rPr>
                <w:noProof/>
                <w:spacing w:val="-8"/>
                <w:sz w:val="20"/>
                <w:szCs w:val="20"/>
              </w:rPr>
              <w:t> 48, série 03 d’amendements, de la CEE-ONU, à l’exception des prescriptions de ses annexes 5 et 6.</w:t>
            </w:r>
          </w:p>
          <w:p>
            <w:pPr>
              <w:spacing w:before="60" w:after="60"/>
              <w:ind w:left="522" w:hanging="522"/>
              <w:rPr>
                <w:rFonts w:eastAsia="Arial Unicode MS"/>
                <w:noProof/>
                <w:spacing w:val="-8"/>
                <w:sz w:val="20"/>
                <w:szCs w:val="20"/>
              </w:rPr>
            </w:pPr>
            <w:r>
              <w:rPr>
                <w:noProof/>
                <w:spacing w:val="-8"/>
                <w:sz w:val="20"/>
                <w:szCs w:val="20"/>
              </w:rPr>
              <w:t>b)</w:t>
            </w:r>
            <w:r>
              <w:rPr>
                <w:noProof/>
                <w:spacing w:val="-8"/>
                <w:sz w:val="20"/>
                <w:szCs w:val="20"/>
              </w:rPr>
              <w:tab/>
              <w:t>Aucune exemption n’est autorisée en ce qui concerne le nombre, les caractéristiques essentielles de conception, les connexions électriques et la couleur de la lumière émise ou réfléchie par les dispositifs d’éclairage et de signalisation visés dans les éléments 21 à 26 et 28 à 30.</w:t>
            </w:r>
          </w:p>
          <w:p>
            <w:pPr>
              <w:spacing w:before="60" w:after="60"/>
              <w:ind w:left="522" w:hanging="522"/>
              <w:rPr>
                <w:rFonts w:eastAsia="Arial Unicode MS"/>
                <w:noProof/>
                <w:spacing w:val="-8"/>
                <w:sz w:val="20"/>
                <w:szCs w:val="20"/>
              </w:rPr>
            </w:pPr>
            <w:r>
              <w:rPr>
                <w:noProof/>
                <w:spacing w:val="-8"/>
                <w:sz w:val="20"/>
                <w:szCs w:val="20"/>
              </w:rPr>
              <w:t>c)</w:t>
            </w:r>
            <w:r>
              <w:rPr>
                <w:noProof/>
                <w:spacing w:val="-8"/>
                <w:sz w:val="20"/>
                <w:szCs w:val="20"/>
              </w:rPr>
              <w:tab/>
              <w:t>Les dispositifs d’éclairage et de signalisation lumineuse qui doivent être installés ultérieurement pour satisfaire aux prescriptions du point a) doivent porter une marque de réception «UE» par type.</w:t>
            </w:r>
          </w:p>
          <w:p>
            <w:pPr>
              <w:spacing w:before="60" w:after="60"/>
              <w:ind w:left="522" w:hanging="522"/>
              <w:rPr>
                <w:rFonts w:eastAsia="Arial Unicode MS"/>
                <w:noProof/>
                <w:spacing w:val="-8"/>
                <w:sz w:val="20"/>
                <w:szCs w:val="20"/>
              </w:rPr>
            </w:pPr>
            <w:r>
              <w:rPr>
                <w:noProof/>
                <w:spacing w:val="-8"/>
                <w:sz w:val="20"/>
                <w:szCs w:val="20"/>
              </w:rPr>
              <w:t>d)</w:t>
            </w:r>
            <w:r>
              <w:rPr>
                <w:noProof/>
                <w:spacing w:val="-8"/>
                <w:sz w:val="20"/>
                <w:szCs w:val="20"/>
              </w:rPr>
              <w:tab/>
              <w:t>Les projecteurs équipés de sources lumineuses à décharge ne sont autorisés qu’en conjonction avec l’installation d’un dispositif de nettoyage des phares et, le cas échéant, d’un dispositif de réglage automatique du niveau des phares.</w:t>
            </w:r>
          </w:p>
          <w:p>
            <w:pPr>
              <w:spacing w:before="60" w:after="60"/>
              <w:ind w:left="522" w:hanging="522"/>
              <w:rPr>
                <w:rFonts w:eastAsia="Arial Unicode MS"/>
                <w:noProof/>
                <w:spacing w:val="-8"/>
                <w:sz w:val="20"/>
                <w:szCs w:val="20"/>
              </w:rPr>
            </w:pPr>
            <w:r>
              <w:rPr>
                <w:noProof/>
                <w:spacing w:val="-8"/>
                <w:sz w:val="20"/>
                <w:szCs w:val="20"/>
              </w:rPr>
              <w:t>e)</w:t>
            </w:r>
            <w:r>
              <w:rPr>
                <w:noProof/>
                <w:spacing w:val="-8"/>
                <w:sz w:val="20"/>
                <w:szCs w:val="20"/>
              </w:rPr>
              <w:tab/>
              <w:t>Les feux de croisement doivent être adaptés au sens de la circulation en vigueur dans le pays où le véhicule est réceptionné.</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3 de la CEE-ONU (Catadioptres)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Si nécessaire, deux catadioptres supplémentaires, portant la marque de réception «CE», sont ajoutés à l’arrière, dans une position conforme au règlement n</w:t>
            </w:r>
            <w:r>
              <w:rPr>
                <w:noProof/>
                <w:spacing w:val="-8"/>
                <w:sz w:val="20"/>
                <w:szCs w:val="20"/>
                <w:vertAlign w:val="superscript"/>
              </w:rPr>
              <w:t>o</w:t>
            </w:r>
            <w:r>
              <w:rPr>
                <w:noProof/>
                <w:spacing w:val="-8"/>
                <w:sz w:val="20"/>
                <w:szCs w:val="20"/>
              </w:rPr>
              <w:t> 48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Règlements n</w:t>
            </w:r>
            <w:r>
              <w:rPr>
                <w:noProof/>
                <w:spacing w:val="-8"/>
                <w:sz w:val="20"/>
                <w:vertAlign w:val="superscript"/>
              </w:rPr>
              <w:t>os </w:t>
            </w:r>
            <w:r>
              <w:rPr>
                <w:noProof/>
                <w:spacing w:val="-8"/>
                <w:sz w:val="20"/>
              </w:rPr>
              <w:t>7, 87 et 91 de la CEE-ONU</w:t>
            </w:r>
          </w:p>
          <w:p>
            <w:pPr>
              <w:spacing w:before="60" w:after="60"/>
              <w:jc w:val="left"/>
              <w:rPr>
                <w:rFonts w:eastAsia="Arial Unicode MS"/>
                <w:noProof/>
                <w:spacing w:val="-8"/>
                <w:sz w:val="20"/>
                <w:szCs w:val="20"/>
              </w:rPr>
            </w:pPr>
            <w:r>
              <w:rPr>
                <w:noProof/>
                <w:spacing w:val="-8"/>
                <w:sz w:val="20"/>
              </w:rPr>
              <w:t>(Feux d’encombrement, feux de position avant, feux de position arrière, feux stop, feux de position latéraux et de circulation diurne)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prescriptions énoncées dans les règlements n</w:t>
            </w:r>
            <w:r>
              <w:rPr>
                <w:noProof/>
                <w:spacing w:val="-8"/>
                <w:sz w:val="20"/>
                <w:szCs w:val="20"/>
                <w:vertAlign w:val="superscript"/>
              </w:rPr>
              <w:t>os </w:t>
            </w:r>
            <w:r>
              <w:rPr>
                <w:noProof/>
                <w:spacing w:val="-8"/>
                <w:sz w:val="20"/>
                <w:szCs w:val="20"/>
              </w:rPr>
              <w:t>7, 87 et 91 de la CEE-ONU ne s’appliquent pas. Toutefois, le bon fonctionnement des feux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6 de la CEE-ONU (Feux indicateurs de direction)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prescriptions énoncées dans le règlement n</w:t>
            </w:r>
            <w:r>
              <w:rPr>
                <w:noProof/>
                <w:spacing w:val="-8"/>
                <w:sz w:val="20"/>
                <w:szCs w:val="20"/>
                <w:vertAlign w:val="superscript"/>
              </w:rPr>
              <w:t>o </w:t>
            </w:r>
            <w:r>
              <w:rPr>
                <w:noProof/>
                <w:spacing w:val="-8"/>
                <w:sz w:val="20"/>
                <w:szCs w:val="20"/>
              </w:rPr>
              <w:t>6 de la CEE-ONU ne s’appliquent pas. Toutefois, le bon fonctionnement des feux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4 de la CEE-ONU (Éclairage de la plaque d’immatriculation arrière)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szCs w:val="20"/>
              </w:rPr>
              <w:t>Les prescriptions énoncées dans le règlement n</w:t>
            </w:r>
            <w:r>
              <w:rPr>
                <w:noProof/>
                <w:spacing w:val="-8"/>
                <w:sz w:val="20"/>
                <w:szCs w:val="20"/>
                <w:vertAlign w:val="superscript"/>
              </w:rPr>
              <w:t>o </w:t>
            </w:r>
            <w:r>
              <w:rPr>
                <w:noProof/>
                <w:spacing w:val="-8"/>
                <w:sz w:val="20"/>
                <w:szCs w:val="20"/>
              </w:rPr>
              <w:t>4 de la CEE-ONU ne s’appliquent pas. Toutefois, le bon fonctionnement de l’éclairage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Règlements n</w:t>
            </w:r>
            <w:r>
              <w:rPr>
                <w:noProof/>
                <w:spacing w:val="-8"/>
                <w:sz w:val="20"/>
                <w:vertAlign w:val="superscript"/>
              </w:rPr>
              <w:t>os </w:t>
            </w:r>
            <w:r>
              <w:rPr>
                <w:noProof/>
                <w:spacing w:val="-8"/>
                <w:sz w:val="20"/>
              </w:rPr>
              <w:t>98, 112 et 123 de la CEE-ONU [Projecteurs (y compris les ampoules)]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szCs w:val="20"/>
              </w:rPr>
              <w:t>a)</w:t>
            </w:r>
            <w:r>
              <w:rPr>
                <w:noProof/>
                <w:spacing w:val="-8"/>
                <w:sz w:val="20"/>
                <w:szCs w:val="20"/>
              </w:rPr>
              <w:tab/>
              <w:t>L’éclairement produit par le faisceau de croisement des projecteurs montés sur le véhicule doit être vérifié conformément au paragraphe 6 du règlement n</w:t>
            </w:r>
            <w:r>
              <w:rPr>
                <w:noProof/>
                <w:spacing w:val="-8"/>
                <w:sz w:val="20"/>
                <w:szCs w:val="20"/>
                <w:vertAlign w:val="superscript"/>
              </w:rPr>
              <w:t>o</w:t>
            </w:r>
            <w:r>
              <w:rPr>
                <w:noProof/>
                <w:spacing w:val="-8"/>
                <w:sz w:val="20"/>
                <w:szCs w:val="20"/>
              </w:rPr>
              <w:t> 112 de la CEE-ONU concernant les projecteurs émettant un faisceau de croisement asymétrique. À cet effet, il peut être fait référence aux tolérances mentionnées dans l’annexe 5 dudit règlement.</w:t>
            </w:r>
          </w:p>
          <w:p>
            <w:pPr>
              <w:spacing w:before="60" w:after="0"/>
              <w:ind w:left="522" w:hanging="522"/>
              <w:rPr>
                <w:rFonts w:eastAsia="Arial Unicode MS"/>
                <w:noProof/>
                <w:spacing w:val="-8"/>
                <w:sz w:val="20"/>
                <w:szCs w:val="20"/>
              </w:rPr>
            </w:pPr>
            <w:r>
              <w:rPr>
                <w:noProof/>
                <w:spacing w:val="-8"/>
                <w:sz w:val="20"/>
                <w:szCs w:val="20"/>
              </w:rPr>
              <w:t>b)</w:t>
            </w:r>
            <w:r>
              <w:rPr>
                <w:noProof/>
                <w:spacing w:val="-8"/>
                <w:sz w:val="20"/>
                <w:szCs w:val="20"/>
              </w:rPr>
              <w:tab/>
              <w:t>La même prescription s’applique au faisceau de croisement des projecteurs couverts par le règlement n</w:t>
            </w:r>
            <w:r>
              <w:rPr>
                <w:noProof/>
                <w:spacing w:val="-8"/>
                <w:sz w:val="20"/>
                <w:szCs w:val="20"/>
                <w:vertAlign w:val="superscript"/>
              </w:rPr>
              <w:t>o</w:t>
            </w:r>
            <w:r>
              <w:rPr>
                <w:noProof/>
                <w:spacing w:val="-8"/>
                <w:sz w:val="20"/>
                <w:szCs w:val="20"/>
              </w:rPr>
              <w:t> 98 ou 123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19 de la CEE-ONU (Feux de brouillard avant)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szCs w:val="20"/>
              </w:rPr>
              <w:t>Les prescriptions énoncées dans le règlement n</w:t>
            </w:r>
            <w:r>
              <w:rPr>
                <w:noProof/>
                <w:spacing w:val="-8"/>
                <w:sz w:val="20"/>
                <w:szCs w:val="20"/>
                <w:vertAlign w:val="superscript"/>
              </w:rPr>
              <w:t>o </w:t>
            </w:r>
            <w:r>
              <w:rPr>
                <w:noProof/>
                <w:spacing w:val="-8"/>
                <w:sz w:val="20"/>
                <w:szCs w:val="20"/>
              </w:rPr>
              <w:t>19 de la CEE-ONU ne s’appliquent pas. Toutefois, le bon fonctionnement des feux, si le véhicule en est équipé,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1005/2010</w:t>
            </w:r>
          </w:p>
          <w:p>
            <w:pPr>
              <w:spacing w:after="0"/>
              <w:jc w:val="left"/>
              <w:rPr>
                <w:rFonts w:eastAsia="Arial Unicode MS"/>
                <w:noProof/>
                <w:spacing w:val="-8"/>
                <w:sz w:val="20"/>
                <w:szCs w:val="20"/>
              </w:rPr>
            </w:pPr>
            <w:r>
              <w:rPr>
                <w:noProof/>
                <w:spacing w:val="-8"/>
                <w:sz w:val="20"/>
              </w:rPr>
              <w:t>(Crochets de remorquage)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prescriptions énoncées dans le règlement (UE) n</w:t>
            </w:r>
            <w:r>
              <w:rPr>
                <w:noProof/>
                <w:spacing w:val="-8"/>
                <w:sz w:val="20"/>
                <w:szCs w:val="20"/>
                <w:vertAlign w:val="superscript"/>
              </w:rPr>
              <w:t>o</w:t>
            </w:r>
            <w:r>
              <w:rPr>
                <w:noProof/>
                <w:spacing w:val="-8"/>
                <w:sz w:val="20"/>
                <w:szCs w:val="20"/>
              </w:rPr>
              <w:t> 1005/2010 ne s’appliquent pas.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38 de la CEE-ONU (Feux de brouillard arrière)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Les prescriptions énoncées dans le règlement n</w:t>
            </w:r>
            <w:r>
              <w:rPr>
                <w:noProof/>
                <w:spacing w:val="-8"/>
                <w:sz w:val="20"/>
                <w:vertAlign w:val="superscript"/>
              </w:rPr>
              <w:t>o </w:t>
            </w:r>
            <w:r>
              <w:rPr>
                <w:noProof/>
                <w:spacing w:val="-8"/>
                <w:sz w:val="20"/>
              </w:rPr>
              <w:t>38 de la CEE-ONU ne s’appliquent pas. Toutefois, le bon fonctionnement des feux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23 de la CEE-ONU (Feux de marche arrière)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Les prescriptions énoncées dans le règlement n</w:t>
            </w:r>
            <w:r>
              <w:rPr>
                <w:noProof/>
                <w:spacing w:val="-8"/>
                <w:sz w:val="20"/>
                <w:vertAlign w:val="superscript"/>
              </w:rPr>
              <w:t>o </w:t>
            </w:r>
            <w:r>
              <w:rPr>
                <w:noProof/>
                <w:spacing w:val="-8"/>
                <w:sz w:val="20"/>
              </w:rPr>
              <w:t>23 de la CEE-ONU ne s’appliquent pas. Toutefois, le bon fonctionnement des feux, si le véhicule en est équipé,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77 de la CEE-ONU (Feux de stationnement)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Les prescriptions énoncées dans le règlement n</w:t>
            </w:r>
            <w:r>
              <w:rPr>
                <w:noProof/>
                <w:spacing w:val="-8"/>
                <w:sz w:val="20"/>
                <w:vertAlign w:val="superscript"/>
              </w:rPr>
              <w:t>o </w:t>
            </w:r>
            <w:r>
              <w:rPr>
                <w:noProof/>
                <w:spacing w:val="-8"/>
                <w:sz w:val="20"/>
              </w:rPr>
              <w:t>77 de la CEE-ONU ne s’appliquent pas. Toutefois, le bon fonctionnement des feux, si le véhicule en est équipé,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16 de la CEE-ONU (Ceintures de sécurité et systèmes de retenue)</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pacing w:val="-8"/>
                <w:sz w:val="20"/>
                <w:szCs w:val="20"/>
              </w:rPr>
            </w:pPr>
            <w:r>
              <w:rPr>
                <w:i/>
                <w:noProof/>
                <w:spacing w:val="-8"/>
                <w:sz w:val="20"/>
                <w:szCs w:val="20"/>
              </w:rPr>
              <w:t>Composants</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Il n’est pas nécessaire que les ceintures de sécurité soient réceptionnées par type conformément au règlement n</w:t>
            </w:r>
            <w:r>
              <w:rPr>
                <w:noProof/>
                <w:spacing w:val="-8"/>
                <w:sz w:val="20"/>
                <w:szCs w:val="20"/>
                <w:vertAlign w:val="superscript"/>
              </w:rPr>
              <w:t>o</w:t>
            </w:r>
            <w:r>
              <w:rPr>
                <w:noProof/>
                <w:spacing w:val="-8"/>
                <w:sz w:val="20"/>
                <w:szCs w:val="20"/>
              </w:rPr>
              <w:t> 16 de la CEE-ONU.</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Chaque ceinture de sécurité doit toutefois porter une étiquette d’identification.</w:t>
            </w:r>
          </w:p>
          <w:p>
            <w:pPr>
              <w:spacing w:after="0"/>
              <w:ind w:left="522" w:hanging="522"/>
              <w:rPr>
                <w:rFonts w:eastAsia="Arial Unicode MS"/>
                <w:noProof/>
                <w:spacing w:val="-8"/>
                <w:sz w:val="20"/>
                <w:szCs w:val="20"/>
              </w:rPr>
            </w:pPr>
            <w:r>
              <w:rPr>
                <w:noProof/>
                <w:spacing w:val="-8"/>
                <w:sz w:val="20"/>
                <w:szCs w:val="20"/>
              </w:rPr>
              <w:t>c)</w:t>
            </w:r>
            <w:r>
              <w:rPr>
                <w:noProof/>
                <w:spacing w:val="-8"/>
                <w:sz w:val="20"/>
                <w:szCs w:val="20"/>
              </w:rPr>
              <w:tab/>
              <w:t>Les indications figurant sur l’étiquette doivent être conformes à la décision concernant les ancrages des ceintures de sécurité (voir élément 19).</w:t>
            </w:r>
          </w:p>
          <w:p>
            <w:pPr>
              <w:spacing w:after="0"/>
              <w:ind w:left="522" w:hanging="522"/>
              <w:rPr>
                <w:rFonts w:eastAsia="Arial Unicode MS"/>
                <w:noProof/>
                <w:spacing w:val="-8"/>
                <w:sz w:val="20"/>
                <w:szCs w:val="20"/>
              </w:rPr>
            </w:pPr>
            <w:r>
              <w:rPr>
                <w:i/>
                <w:noProof/>
                <w:spacing w:val="-8"/>
                <w:sz w:val="20"/>
                <w:szCs w:val="20"/>
              </w:rPr>
              <w:t>Prescriptions relatives à l’installation</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Le véhicule doit être équipé de ceintures de sécurité conformément aux prescriptions de l’annexe XVI du règlement n</w:t>
            </w:r>
            <w:r>
              <w:rPr>
                <w:noProof/>
                <w:spacing w:val="-8"/>
                <w:sz w:val="20"/>
                <w:szCs w:val="20"/>
                <w:vertAlign w:val="superscript"/>
              </w:rPr>
              <w:t>o</w:t>
            </w:r>
            <w:r>
              <w:rPr>
                <w:noProof/>
                <w:spacing w:val="-8"/>
                <w:sz w:val="20"/>
                <w:szCs w:val="20"/>
              </w:rPr>
              <w:t> 16 de la CEE-ONU.</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Si un certain nombre de ceintures de sécurité doivent être montées ultérieurement conformément au point a), elles doivent être d’un type réceptionné conformément au règlement n</w:t>
            </w:r>
            <w:r>
              <w:rPr>
                <w:noProof/>
                <w:spacing w:val="-8"/>
                <w:sz w:val="20"/>
                <w:szCs w:val="20"/>
                <w:vertAlign w:val="superscript"/>
              </w:rPr>
              <w:t>o</w:t>
            </w:r>
            <w:r>
              <w:rPr>
                <w:noProof/>
                <w:spacing w:val="-8"/>
                <w:sz w:val="20"/>
                <w:szCs w:val="20"/>
              </w:rPr>
              <w:t> 16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szCs w:val="20"/>
              </w:rPr>
              <w:t>Règlement n</w:t>
            </w:r>
            <w:r>
              <w:rPr>
                <w:noProof/>
                <w:spacing w:val="-8"/>
                <w:sz w:val="20"/>
                <w:szCs w:val="20"/>
                <w:vertAlign w:val="superscript"/>
              </w:rPr>
              <w:t>o</w:t>
            </w:r>
            <w:r>
              <w:rPr>
                <w:noProof/>
                <w:spacing w:val="-8"/>
                <w:sz w:val="20"/>
                <w:szCs w:val="20"/>
              </w:rPr>
              <w:t> 125 de la CEE-ONU (Champ de vision vers l’avant)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szCs w:val="20"/>
              </w:rPr>
              <w:t>a)</w:t>
            </w:r>
            <w:r>
              <w:rPr>
                <w:noProof/>
                <w:spacing w:val="-8"/>
                <w:sz w:val="20"/>
                <w:szCs w:val="20"/>
              </w:rPr>
              <w:tab/>
              <w:t>Aucune obstruction n’est autorisée dans le champ de vision direct du conducteur sur 180</w:t>
            </w:r>
            <w:r>
              <w:rPr>
                <w:noProof/>
                <w:spacing w:val="-8"/>
                <w:sz w:val="20"/>
                <w:szCs w:val="20"/>
                <w:vertAlign w:val="superscript"/>
              </w:rPr>
              <w:t>o</w:t>
            </w:r>
            <w:r>
              <w:rPr>
                <w:noProof/>
                <w:spacing w:val="-8"/>
                <w:sz w:val="20"/>
                <w:szCs w:val="20"/>
              </w:rPr>
              <w:t xml:space="preserve"> vers l’avant, tel que défini au paragraphe 5.1.3 du règlement n</w:t>
            </w:r>
            <w:r>
              <w:rPr>
                <w:noProof/>
                <w:spacing w:val="-8"/>
                <w:sz w:val="20"/>
                <w:szCs w:val="20"/>
                <w:vertAlign w:val="superscript"/>
              </w:rPr>
              <w:t>o</w:t>
            </w:r>
            <w:r>
              <w:rPr>
                <w:noProof/>
                <w:spacing w:val="-8"/>
                <w:sz w:val="20"/>
                <w:szCs w:val="20"/>
              </w:rPr>
              <w:t> 125 de la CEE-ONU.</w:t>
            </w:r>
          </w:p>
          <w:p>
            <w:pPr>
              <w:spacing w:before="60" w:after="60"/>
              <w:ind w:left="522" w:hanging="522"/>
              <w:rPr>
                <w:rFonts w:eastAsia="Arial Unicode MS"/>
                <w:noProof/>
                <w:spacing w:val="-8"/>
                <w:sz w:val="20"/>
                <w:szCs w:val="20"/>
              </w:rPr>
            </w:pPr>
            <w:r>
              <w:rPr>
                <w:noProof/>
                <w:spacing w:val="-8"/>
                <w:sz w:val="20"/>
                <w:szCs w:val="20"/>
              </w:rPr>
              <w:t>b)</w:t>
            </w:r>
            <w:r>
              <w:rPr>
                <w:noProof/>
                <w:spacing w:val="-8"/>
                <w:sz w:val="20"/>
                <w:szCs w:val="20"/>
              </w:rPr>
              <w:tab/>
              <w:t xml:space="preserve">Par dérogation au point a), les montants «A» et les équipements </w:t>
            </w:r>
            <w:r>
              <w:rPr>
                <w:noProof/>
                <w:spacing w:val="-8"/>
                <w:sz w:val="20"/>
                <w:szCs w:val="20"/>
              </w:rPr>
              <w:lastRenderedPageBreak/>
              <w:t>énumérés au paragraphe 5.1.3 du règlement n</w:t>
            </w:r>
            <w:r>
              <w:rPr>
                <w:noProof/>
                <w:spacing w:val="-8"/>
                <w:sz w:val="20"/>
                <w:szCs w:val="20"/>
                <w:vertAlign w:val="superscript"/>
              </w:rPr>
              <w:t>o</w:t>
            </w:r>
            <w:r>
              <w:rPr>
                <w:noProof/>
                <w:spacing w:val="-8"/>
                <w:sz w:val="20"/>
                <w:szCs w:val="20"/>
              </w:rPr>
              <w:t> 125 de la CEE-ONU ne sont pas considérés comme une obstruction.</w:t>
            </w:r>
          </w:p>
          <w:p>
            <w:pPr>
              <w:spacing w:before="60" w:after="60"/>
              <w:ind w:left="522" w:hanging="522"/>
              <w:rPr>
                <w:rFonts w:eastAsia="Arial Unicode MS"/>
                <w:noProof/>
                <w:spacing w:val="-8"/>
                <w:sz w:val="20"/>
                <w:szCs w:val="20"/>
              </w:rPr>
            </w:pPr>
            <w:r>
              <w:rPr>
                <w:noProof/>
                <w:spacing w:val="-8"/>
                <w:sz w:val="20"/>
                <w:szCs w:val="20"/>
              </w:rPr>
              <w:t>c)</w:t>
            </w:r>
            <w:r>
              <w:rPr>
                <w:noProof/>
                <w:spacing w:val="-8"/>
                <w:sz w:val="20"/>
                <w:szCs w:val="20"/>
              </w:rPr>
              <w:tab/>
              <w:t>Le nombre de montants «A» ne doit pas être supérieur à 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szCs w:val="20"/>
              </w:rPr>
              <w:t>Règlement n</w:t>
            </w:r>
            <w:r>
              <w:rPr>
                <w:noProof/>
                <w:spacing w:val="-8"/>
                <w:sz w:val="20"/>
                <w:szCs w:val="20"/>
                <w:vertAlign w:val="superscript"/>
              </w:rPr>
              <w:t>o</w:t>
            </w:r>
            <w:r>
              <w:rPr>
                <w:noProof/>
                <w:spacing w:val="-8"/>
                <w:sz w:val="20"/>
                <w:szCs w:val="20"/>
              </w:rPr>
              <w:t> 121 de la CEE-ONU (Identification des commandes, témoins et indicateurs)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szCs w:val="20"/>
              </w:rPr>
              <w:t>a)</w:t>
            </w:r>
            <w:r>
              <w:rPr>
                <w:noProof/>
                <w:spacing w:val="-8"/>
                <w:sz w:val="20"/>
                <w:szCs w:val="20"/>
              </w:rPr>
              <w:tab/>
              <w:t>Les symboles, y compris la couleur de leurs témoins correspondants, dont la présence est obligatoire en vertu du règlement n</w:t>
            </w:r>
            <w:r>
              <w:rPr>
                <w:noProof/>
                <w:spacing w:val="-8"/>
                <w:sz w:val="20"/>
                <w:szCs w:val="20"/>
                <w:vertAlign w:val="superscript"/>
              </w:rPr>
              <w:t>o</w:t>
            </w:r>
            <w:r>
              <w:rPr>
                <w:noProof/>
                <w:spacing w:val="-8"/>
                <w:sz w:val="20"/>
                <w:szCs w:val="20"/>
              </w:rPr>
              <w:t> 121 de la CEE-ONU doivent être conformes à ce règlement de la CEE-ONU.</w:t>
            </w:r>
          </w:p>
          <w:p>
            <w:pPr>
              <w:spacing w:before="60" w:after="60"/>
              <w:ind w:left="522" w:hanging="522"/>
              <w:rPr>
                <w:rFonts w:eastAsia="Arial Unicode MS"/>
                <w:noProof/>
                <w:spacing w:val="-8"/>
                <w:sz w:val="20"/>
                <w:szCs w:val="20"/>
              </w:rPr>
            </w:pPr>
            <w:r>
              <w:rPr>
                <w:noProof/>
                <w:spacing w:val="-8"/>
                <w:sz w:val="20"/>
                <w:szCs w:val="20"/>
              </w:rPr>
              <w:t>b)</w:t>
            </w:r>
            <w:r>
              <w:rPr>
                <w:noProof/>
                <w:spacing w:val="-8"/>
                <w:sz w:val="20"/>
                <w:szCs w:val="20"/>
              </w:rPr>
              <w:tab/>
              <w:t>Si tel n’est pas le cas, le service technique doit vérifier si les symboles, les témoins et les indicateurs présents sur le véhicule fournissent au conducteur des informations compréhensibles sur le fonctionnement des commandes en question.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 672/2010 (Dégivrage/désembuage)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 véhicule doit être équipé de dispositifs adéquats de dégivrage et de désembuage du pare-brise.</w:t>
            </w:r>
          </w:p>
          <w:p>
            <w:pPr>
              <w:spacing w:before="60" w:after="60"/>
              <w:rPr>
                <w:rFonts w:eastAsia="Arial Unicode MS"/>
                <w:noProof/>
                <w:spacing w:val="-8"/>
                <w:sz w:val="20"/>
                <w:szCs w:val="20"/>
              </w:rPr>
            </w:pPr>
            <w:r>
              <w:rPr>
                <w:noProof/>
                <w:spacing w:val="-8"/>
                <w:sz w:val="20"/>
              </w:rPr>
              <w:t>Un dispositif de dégivrage du pare-brise est réputé «adéquat» s’il est conforme, au minimum, au point 1.1.1 de l’annexe II du règlement (UE) n</w:t>
            </w:r>
            <w:r>
              <w:rPr>
                <w:noProof/>
                <w:spacing w:val="-8"/>
                <w:sz w:val="20"/>
                <w:vertAlign w:val="superscript"/>
              </w:rPr>
              <w:t>o</w:t>
            </w:r>
            <w:r>
              <w:rPr>
                <w:noProof/>
                <w:spacing w:val="-8"/>
                <w:sz w:val="20"/>
              </w:rPr>
              <w:t> 672/2010.</w:t>
            </w:r>
          </w:p>
          <w:p>
            <w:pPr>
              <w:spacing w:before="60" w:after="60"/>
              <w:rPr>
                <w:rFonts w:eastAsia="Arial Unicode MS"/>
                <w:noProof/>
                <w:spacing w:val="-8"/>
                <w:sz w:val="20"/>
                <w:szCs w:val="20"/>
              </w:rPr>
            </w:pPr>
            <w:r>
              <w:rPr>
                <w:noProof/>
                <w:spacing w:val="-8"/>
                <w:sz w:val="20"/>
              </w:rPr>
              <w:t>Un dispositif de désembuage du pare-brise est réputé «adéquat» s’il est conforme, au minimum, au point 1.2.1 de l’annexe II du règlement (UE) n</w:t>
            </w:r>
            <w:r>
              <w:rPr>
                <w:noProof/>
                <w:spacing w:val="-8"/>
                <w:sz w:val="20"/>
                <w:vertAlign w:val="superscript"/>
              </w:rPr>
              <w:t>o</w:t>
            </w:r>
            <w:r>
              <w:rPr>
                <w:noProof/>
                <w:spacing w:val="-8"/>
                <w:sz w:val="20"/>
              </w:rPr>
              <w:t> 672/2010.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pacing w:val="-8"/>
                <w:sz w:val="20"/>
                <w:szCs w:val="20"/>
              </w:rPr>
            </w:pPr>
            <w:r>
              <w:rPr>
                <w:noProof/>
                <w:spacing w:val="-8"/>
                <w:sz w:val="20"/>
              </w:rPr>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pacing w:val="-8"/>
                <w:sz w:val="20"/>
                <w:szCs w:val="20"/>
              </w:rPr>
            </w:pPr>
            <w:r>
              <w:rPr>
                <w:noProof/>
                <w:spacing w:val="-8"/>
                <w:sz w:val="20"/>
              </w:rPr>
              <w:t>Règlement (UE) n° 1008/2010 (Essuie-glaces/lave-glaces)</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pacing w:val="-8"/>
                <w:sz w:val="20"/>
                <w:szCs w:val="20"/>
              </w:rPr>
            </w:pPr>
            <w:r>
              <w:rPr>
                <w:noProof/>
                <w:spacing w:val="-8"/>
                <w:sz w:val="20"/>
                <w:szCs w:val="20"/>
              </w:rPr>
              <w:t>Le véhicule doit être équipé de dispositifs adéquats de lave-glace et d’essuie-glace du pare-brise.</w:t>
            </w:r>
          </w:p>
          <w:p>
            <w:pPr>
              <w:spacing w:after="0"/>
              <w:rPr>
                <w:rFonts w:eastAsia="Arial Unicode MS"/>
                <w:noProof/>
                <w:spacing w:val="-8"/>
                <w:sz w:val="20"/>
                <w:szCs w:val="20"/>
              </w:rPr>
            </w:pPr>
            <w:r>
              <w:rPr>
                <w:noProof/>
                <w:spacing w:val="-8"/>
                <w:sz w:val="20"/>
                <w:szCs w:val="20"/>
              </w:rPr>
              <w:t>Un dispositif de lave-glace et d’essuie-glace du pare-brise est réputé «adéquat» s’il est satisfait, au minimum, aux conditions indiquées au point 1.1.5 de l’annexe III du règlement (UE) n</w:t>
            </w:r>
            <w:r>
              <w:rPr>
                <w:noProof/>
                <w:spacing w:val="-8"/>
                <w:sz w:val="20"/>
                <w:szCs w:val="20"/>
                <w:vertAlign w:val="superscript"/>
              </w:rPr>
              <w:t>o</w:t>
            </w:r>
            <w:r>
              <w:rPr>
                <w:noProof/>
                <w:spacing w:val="-8"/>
                <w:sz w:val="20"/>
                <w:szCs w:val="20"/>
              </w:rPr>
              <w:t> 1008/2010.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pacing w:val="-8"/>
                <w:sz w:val="20"/>
                <w:szCs w:val="20"/>
              </w:rPr>
            </w:pPr>
            <w:r>
              <w:rPr>
                <w:noProof/>
                <w:spacing w:val="-8"/>
                <w:sz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122 de la CEE-ONU (Systèmes de chauffage)</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pacing w:val="-8"/>
                <w:sz w:val="20"/>
                <w:szCs w:val="20"/>
              </w:rPr>
            </w:pPr>
            <w:r>
              <w:rPr>
                <w:noProof/>
                <w:spacing w:val="-8"/>
                <w:sz w:val="20"/>
                <w:szCs w:val="20"/>
              </w:rPr>
              <w:t>a)</w:t>
            </w:r>
            <w:r>
              <w:rPr>
                <w:noProof/>
                <w:spacing w:val="-8"/>
                <w:sz w:val="20"/>
                <w:szCs w:val="20"/>
              </w:rPr>
              <w:tab/>
              <w:t>L’habitacle doit être équipé d’un système de chauffage.</w:t>
            </w:r>
          </w:p>
          <w:p>
            <w:pPr>
              <w:spacing w:before="60"/>
              <w:ind w:left="522" w:hanging="522"/>
              <w:rPr>
                <w:rFonts w:eastAsia="Arial Unicode MS"/>
                <w:noProof/>
                <w:spacing w:val="-8"/>
                <w:sz w:val="20"/>
                <w:szCs w:val="20"/>
              </w:rPr>
            </w:pPr>
            <w:r>
              <w:rPr>
                <w:noProof/>
                <w:spacing w:val="-8"/>
                <w:sz w:val="20"/>
                <w:szCs w:val="20"/>
              </w:rPr>
              <w:t>b)</w:t>
            </w:r>
            <w:r>
              <w:rPr>
                <w:noProof/>
                <w:spacing w:val="-8"/>
                <w:sz w:val="20"/>
                <w:szCs w:val="20"/>
              </w:rPr>
              <w:tab/>
              <w:t>Les chauffages à combustion et leur installation doivent être conformes à l’annexe 7 du règlement n</w:t>
            </w:r>
            <w:r>
              <w:rPr>
                <w:noProof/>
                <w:spacing w:val="-8"/>
                <w:sz w:val="20"/>
                <w:szCs w:val="20"/>
                <w:vertAlign w:val="superscript"/>
              </w:rPr>
              <w:t>o</w:t>
            </w:r>
            <w:r>
              <w:rPr>
                <w:noProof/>
                <w:spacing w:val="-8"/>
                <w:sz w:val="20"/>
                <w:szCs w:val="20"/>
              </w:rPr>
              <w:t> 122 de la CEE-ONU. En outre, les chauffages à combustion GPL et les systèmes de chauffage GPL doivent satisfaire aux prescriptions énoncées dans l’annexe 8 du règlement n</w:t>
            </w:r>
            <w:r>
              <w:rPr>
                <w:noProof/>
                <w:spacing w:val="-8"/>
                <w:sz w:val="20"/>
                <w:szCs w:val="20"/>
                <w:vertAlign w:val="superscript"/>
              </w:rPr>
              <w:t>o</w:t>
            </w:r>
            <w:r>
              <w:rPr>
                <w:noProof/>
                <w:spacing w:val="-8"/>
                <w:sz w:val="20"/>
                <w:szCs w:val="20"/>
              </w:rPr>
              <w:t> 122 de la CEE-ONU.</w:t>
            </w:r>
          </w:p>
          <w:p>
            <w:pPr>
              <w:spacing w:before="60"/>
              <w:ind w:left="522" w:hanging="522"/>
              <w:rPr>
                <w:rFonts w:eastAsia="Arial Unicode MS"/>
                <w:noProof/>
                <w:spacing w:val="-8"/>
                <w:sz w:val="20"/>
                <w:szCs w:val="20"/>
              </w:rPr>
            </w:pPr>
            <w:r>
              <w:rPr>
                <w:noProof/>
                <w:spacing w:val="-8"/>
                <w:sz w:val="20"/>
                <w:szCs w:val="20"/>
              </w:rPr>
              <w:t>c)</w:t>
            </w:r>
            <w:r>
              <w:rPr>
                <w:noProof/>
                <w:spacing w:val="-8"/>
                <w:sz w:val="20"/>
                <w:szCs w:val="20"/>
              </w:rPr>
              <w:tab/>
              <w:t>Les systèmes de chauffage supplémentaires montés ultérieurement doivent être conformes aux prescriptions énoncées dans le règlement n</w:t>
            </w:r>
            <w:r>
              <w:rPr>
                <w:noProof/>
                <w:spacing w:val="-8"/>
                <w:sz w:val="20"/>
                <w:szCs w:val="20"/>
                <w:vertAlign w:val="superscript"/>
              </w:rPr>
              <w:t>o</w:t>
            </w:r>
            <w:r>
              <w:rPr>
                <w:noProof/>
                <w:spacing w:val="-8"/>
                <w:sz w:val="20"/>
                <w:szCs w:val="20"/>
              </w:rPr>
              <w:t> 122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 1009/2010 (Protecteurs de roue)</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pacing w:val="-8"/>
                <w:sz w:val="20"/>
                <w:szCs w:val="20"/>
              </w:rPr>
            </w:pPr>
            <w:r>
              <w:rPr>
                <w:noProof/>
                <w:spacing w:val="-8"/>
                <w:sz w:val="20"/>
                <w:szCs w:val="20"/>
              </w:rPr>
              <w:t>a)</w:t>
            </w:r>
            <w:r>
              <w:rPr>
                <w:noProof/>
                <w:spacing w:val="-8"/>
                <w:sz w:val="20"/>
                <w:szCs w:val="20"/>
              </w:rPr>
              <w:tab/>
              <w:t>Le véhicule doit être conçu de telle manière qu’il protège les autres usagers de la route des projections de pierres, de boue, de glace, de neige et d’eau par le véhicule et réduit les dangers dus au contact avec les roues en mouvement.</w:t>
            </w:r>
          </w:p>
          <w:p>
            <w:pPr>
              <w:spacing w:before="60"/>
              <w:ind w:left="522" w:hanging="522"/>
              <w:rPr>
                <w:rFonts w:eastAsia="Arial Unicode MS"/>
                <w:noProof/>
                <w:spacing w:val="-8"/>
                <w:sz w:val="20"/>
                <w:szCs w:val="20"/>
              </w:rPr>
            </w:pPr>
            <w:r>
              <w:rPr>
                <w:noProof/>
                <w:spacing w:val="-8"/>
                <w:sz w:val="20"/>
                <w:szCs w:val="20"/>
              </w:rPr>
              <w:t>b)</w:t>
            </w:r>
            <w:r>
              <w:rPr>
                <w:noProof/>
                <w:spacing w:val="-8"/>
                <w:sz w:val="20"/>
                <w:szCs w:val="20"/>
              </w:rPr>
              <w:tab/>
              <w:t>Le service technique peut vérifier la conformité aux prescriptions techniques énoncées dans l’annexe II du règlement (UE) n</w:t>
            </w:r>
            <w:r>
              <w:rPr>
                <w:noProof/>
                <w:spacing w:val="-8"/>
                <w:sz w:val="20"/>
                <w:szCs w:val="20"/>
                <w:vertAlign w:val="superscript"/>
              </w:rPr>
              <w:t>o</w:t>
            </w:r>
            <w:r>
              <w:rPr>
                <w:noProof/>
                <w:spacing w:val="-8"/>
                <w:sz w:val="20"/>
                <w:szCs w:val="20"/>
              </w:rPr>
              <w:t> 1009/2010.</w:t>
            </w:r>
          </w:p>
          <w:p>
            <w:pPr>
              <w:spacing w:before="60" w:after="0"/>
              <w:ind w:left="522" w:hanging="522"/>
              <w:rPr>
                <w:rFonts w:eastAsia="Arial Unicode MS"/>
                <w:noProof/>
                <w:spacing w:val="-8"/>
                <w:sz w:val="20"/>
                <w:szCs w:val="20"/>
              </w:rPr>
            </w:pPr>
            <w:r>
              <w:rPr>
                <w:noProof/>
                <w:spacing w:val="-8"/>
                <w:sz w:val="20"/>
                <w:szCs w:val="20"/>
              </w:rPr>
              <w:t>c)</w:t>
            </w:r>
            <w:r>
              <w:rPr>
                <w:noProof/>
                <w:spacing w:val="-8"/>
                <w:sz w:val="20"/>
                <w:szCs w:val="20"/>
              </w:rPr>
              <w:tab/>
              <w:t>Les dispositions de la section 3 de l’annexe I dudit règlement ne s’appliquent pas.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pacing w:val="-8"/>
                <w:sz w:val="20"/>
                <w:szCs w:val="20"/>
              </w:rPr>
            </w:pPr>
            <w:r>
              <w:rPr>
                <w:noProof/>
                <w:spacing w:val="-8"/>
                <w:sz w:val="20"/>
              </w:rPr>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25 de la CEE-ONU (Appuie-tête)</w:t>
            </w:r>
          </w:p>
        </w:tc>
        <w:tc>
          <w:tcPr>
            <w:tcW w:w="5528" w:type="dxa"/>
            <w:tcBorders>
              <w:top w:val="outset" w:sz="6" w:space="0" w:color="auto"/>
              <w:left w:val="outset" w:sz="6" w:space="0" w:color="auto"/>
              <w:bottom w:val="outset" w:sz="6" w:space="0" w:color="auto"/>
              <w:right w:val="outset" w:sz="6" w:space="0" w:color="auto"/>
            </w:tcBorders>
            <w:hideMark/>
          </w:tcPr>
          <w:p>
            <w:pPr>
              <w:rPr>
                <w:rFonts w:eastAsia="Arial Unicode MS"/>
                <w:noProof/>
                <w:spacing w:val="-8"/>
                <w:sz w:val="20"/>
                <w:szCs w:val="20"/>
              </w:rPr>
            </w:pPr>
            <w:r>
              <w:rPr>
                <w:noProof/>
                <w:spacing w:val="-8"/>
                <w:sz w:val="20"/>
              </w:rPr>
              <w:t>Les prescriptions énoncées dans le règlement n</w:t>
            </w:r>
            <w:r>
              <w:rPr>
                <w:noProof/>
                <w:spacing w:val="-8"/>
                <w:sz w:val="20"/>
                <w:vertAlign w:val="superscript"/>
              </w:rPr>
              <w:t>o</w:t>
            </w:r>
            <w:r>
              <w:rPr>
                <w:noProof/>
                <w:spacing w:val="-8"/>
                <w:sz w:val="20"/>
              </w:rPr>
              <w:t> 25 de la CEE-ONU ne s’appliquent pas.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1230/2012 (Masses et dimensions)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szCs w:val="20"/>
              </w:rPr>
              <w:t>a)</w:t>
            </w:r>
            <w:r>
              <w:rPr>
                <w:noProof/>
                <w:spacing w:val="-8"/>
                <w:sz w:val="20"/>
                <w:szCs w:val="20"/>
              </w:rPr>
              <w:tab/>
              <w:t>Les prescriptions de la section 1 de la partie A de l’annexe I du règlement (UE) n</w:t>
            </w:r>
            <w:r>
              <w:rPr>
                <w:noProof/>
                <w:spacing w:val="-8"/>
                <w:sz w:val="20"/>
                <w:szCs w:val="20"/>
                <w:vertAlign w:val="superscript"/>
              </w:rPr>
              <w:t>o</w:t>
            </w:r>
            <w:r>
              <w:rPr>
                <w:noProof/>
                <w:spacing w:val="-8"/>
                <w:sz w:val="20"/>
                <w:szCs w:val="20"/>
              </w:rPr>
              <w:t xml:space="preserve"> 1230/2012 doivent être respectées. </w:t>
            </w:r>
          </w:p>
          <w:p>
            <w:pPr>
              <w:spacing w:before="60" w:after="60"/>
              <w:ind w:left="522" w:hanging="522"/>
              <w:rPr>
                <w:rFonts w:eastAsia="Arial Unicode MS"/>
                <w:noProof/>
                <w:spacing w:val="-8"/>
                <w:sz w:val="20"/>
                <w:szCs w:val="20"/>
              </w:rPr>
            </w:pPr>
            <w:r>
              <w:rPr>
                <w:noProof/>
                <w:spacing w:val="-8"/>
                <w:sz w:val="20"/>
                <w:szCs w:val="20"/>
              </w:rPr>
              <w:t>b)</w:t>
            </w:r>
            <w:r>
              <w:rPr>
                <w:noProof/>
                <w:spacing w:val="-8"/>
                <w:sz w:val="20"/>
                <w:szCs w:val="20"/>
              </w:rPr>
              <w:tab/>
              <w:t xml:space="preserve">Pour les besoins du point a), les masses à prendre en compte sont </w:t>
            </w:r>
            <w:r>
              <w:rPr>
                <w:noProof/>
                <w:spacing w:val="-8"/>
                <w:sz w:val="20"/>
                <w:szCs w:val="20"/>
              </w:rPr>
              <w:lastRenderedPageBreak/>
              <w:t>les suivantes:</w:t>
            </w:r>
          </w:p>
          <w:p>
            <w:pPr>
              <w:spacing w:before="60" w:after="60"/>
              <w:ind w:left="1089" w:hanging="522"/>
              <w:rPr>
                <w:rFonts w:eastAsia="Arial Unicode MS"/>
                <w:noProof/>
                <w:spacing w:val="-8"/>
                <w:sz w:val="20"/>
                <w:szCs w:val="20"/>
              </w:rPr>
            </w:pPr>
            <w:r>
              <w:rPr>
                <w:noProof/>
                <w:spacing w:val="-8"/>
                <w:sz w:val="20"/>
                <w:szCs w:val="20"/>
              </w:rPr>
              <w:t>—</w:t>
            </w:r>
            <w:r>
              <w:rPr>
                <w:noProof/>
                <w:spacing w:val="-8"/>
                <w:sz w:val="20"/>
                <w:szCs w:val="20"/>
              </w:rPr>
              <w:tab/>
              <w:t>la masse en ordre de marche définie au point 2.6 de l’annexe I du règlement (UE) n</w:t>
            </w:r>
            <w:r>
              <w:rPr>
                <w:noProof/>
                <w:spacing w:val="-8"/>
                <w:sz w:val="20"/>
                <w:szCs w:val="20"/>
                <w:vertAlign w:val="superscript"/>
              </w:rPr>
              <w:t>o</w:t>
            </w:r>
            <w:r>
              <w:rPr>
                <w:noProof/>
                <w:spacing w:val="-8"/>
                <w:sz w:val="20"/>
                <w:szCs w:val="20"/>
              </w:rPr>
              <w:t> 1230/2012, telle que mesurée par le service technique, et</w:t>
            </w:r>
          </w:p>
          <w:p>
            <w:pPr>
              <w:spacing w:before="60" w:after="60"/>
              <w:ind w:left="1089" w:hanging="522"/>
              <w:rPr>
                <w:rFonts w:eastAsia="Arial Unicode MS"/>
                <w:noProof/>
                <w:spacing w:val="-8"/>
                <w:sz w:val="20"/>
                <w:szCs w:val="20"/>
              </w:rPr>
            </w:pPr>
            <w:r>
              <w:rPr>
                <w:noProof/>
                <w:spacing w:val="-8"/>
                <w:sz w:val="20"/>
                <w:szCs w:val="20"/>
              </w:rPr>
              <w:t>—</w:t>
            </w:r>
            <w:r>
              <w:rPr>
                <w:noProof/>
                <w:spacing w:val="-8"/>
                <w:sz w:val="20"/>
                <w:szCs w:val="20"/>
              </w:rPr>
              <w:tab/>
              <w:t>les masses en charge, soit déclarées par le constructeur du véhicule, soit indiquées sur la plaque du constructeur, y compris les étiquettes ou les informations disponibles dans le manuel du propriétaire. Ces masses sont réputées être les masses en charge maximales techniquement admissibles.</w:t>
            </w:r>
          </w:p>
          <w:p>
            <w:pPr>
              <w:spacing w:before="60"/>
              <w:ind w:left="522" w:hanging="522"/>
              <w:rPr>
                <w:rFonts w:eastAsia="Arial Unicode MS"/>
                <w:noProof/>
                <w:spacing w:val="-8"/>
                <w:sz w:val="20"/>
                <w:szCs w:val="20"/>
              </w:rPr>
            </w:pPr>
            <w:r>
              <w:rPr>
                <w:noProof/>
                <w:spacing w:val="-8"/>
                <w:sz w:val="20"/>
                <w:szCs w:val="20"/>
              </w:rPr>
              <w:t>c)</w:t>
            </w:r>
            <w:r>
              <w:rPr>
                <w:noProof/>
                <w:spacing w:val="-8"/>
                <w:sz w:val="20"/>
                <w:szCs w:val="20"/>
              </w:rPr>
              <w:tab/>
              <w:t>Aucune exemption n’est autorisée en ce qui concerne les dimensions maximales admissibles.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 1230/2012 (Vitrages de sécurité)</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pacing w:val="-8"/>
                <w:sz w:val="20"/>
                <w:szCs w:val="20"/>
              </w:rPr>
            </w:pPr>
            <w:r>
              <w:rPr>
                <w:i/>
                <w:noProof/>
                <w:spacing w:val="-8"/>
                <w:sz w:val="20"/>
                <w:szCs w:val="20"/>
              </w:rPr>
              <w:t>Composants</w:t>
            </w:r>
            <w:r>
              <w:rPr>
                <w:noProof/>
                <w:spacing w:val="-8"/>
                <w:sz w:val="20"/>
                <w:szCs w:val="20"/>
              </w:rPr>
              <w:t xml:space="preserve"> </w:t>
            </w:r>
          </w:p>
          <w:p>
            <w:pPr>
              <w:spacing w:before="60" w:after="0"/>
              <w:ind w:left="522" w:hanging="522"/>
              <w:rPr>
                <w:rFonts w:eastAsia="Arial Unicode MS"/>
                <w:noProof/>
                <w:spacing w:val="-8"/>
                <w:sz w:val="20"/>
                <w:szCs w:val="20"/>
              </w:rPr>
            </w:pPr>
            <w:r>
              <w:rPr>
                <w:noProof/>
                <w:spacing w:val="-8"/>
                <w:sz w:val="20"/>
                <w:szCs w:val="20"/>
              </w:rPr>
              <w:t>a)</w:t>
            </w:r>
            <w:r>
              <w:rPr>
                <w:noProof/>
                <w:spacing w:val="-8"/>
                <w:sz w:val="20"/>
                <w:szCs w:val="20"/>
              </w:rPr>
              <w:tab/>
              <w:t>Les vitrages doivent être faits soit de verre de sécurité trempé, soit de verre de sécurité feuilleté.</w:t>
            </w:r>
          </w:p>
          <w:p>
            <w:pPr>
              <w:spacing w:before="60" w:after="0"/>
              <w:ind w:left="522" w:hanging="522"/>
              <w:rPr>
                <w:rFonts w:eastAsia="Arial Unicode MS"/>
                <w:noProof/>
                <w:spacing w:val="-8"/>
                <w:sz w:val="20"/>
                <w:szCs w:val="20"/>
              </w:rPr>
            </w:pPr>
            <w:r>
              <w:rPr>
                <w:noProof/>
                <w:spacing w:val="-8"/>
                <w:sz w:val="20"/>
                <w:szCs w:val="20"/>
              </w:rPr>
              <w:t>b)</w:t>
            </w:r>
            <w:r>
              <w:rPr>
                <w:noProof/>
                <w:spacing w:val="-8"/>
                <w:sz w:val="20"/>
                <w:szCs w:val="20"/>
              </w:rPr>
              <w:tab/>
              <w:t>Le montage de vitrages en plastique n’est permis qu’aux endroits situés derrière le montant «B».</w:t>
            </w:r>
          </w:p>
          <w:p>
            <w:pPr>
              <w:spacing w:before="60" w:after="0"/>
              <w:ind w:left="522" w:hanging="522"/>
              <w:rPr>
                <w:rFonts w:eastAsia="Arial Unicode MS"/>
                <w:noProof/>
                <w:spacing w:val="-8"/>
                <w:sz w:val="20"/>
                <w:szCs w:val="20"/>
              </w:rPr>
            </w:pPr>
            <w:r>
              <w:rPr>
                <w:noProof/>
                <w:spacing w:val="-8"/>
                <w:sz w:val="20"/>
                <w:szCs w:val="20"/>
              </w:rPr>
              <w:t>c)</w:t>
            </w:r>
            <w:r>
              <w:rPr>
                <w:noProof/>
                <w:spacing w:val="-8"/>
                <w:sz w:val="20"/>
                <w:szCs w:val="20"/>
              </w:rPr>
              <w:tab/>
              <w:t>Il n’est pas nécessaire que les vitrages soient réceptionnés au titre du règlement (UE) n</w:t>
            </w:r>
            <w:r>
              <w:rPr>
                <w:noProof/>
                <w:spacing w:val="-8"/>
                <w:sz w:val="20"/>
                <w:szCs w:val="20"/>
                <w:vertAlign w:val="superscript"/>
              </w:rPr>
              <w:t>o</w:t>
            </w:r>
            <w:r>
              <w:rPr>
                <w:noProof/>
                <w:spacing w:val="-8"/>
                <w:sz w:val="20"/>
                <w:szCs w:val="20"/>
              </w:rPr>
              <w:t> 1230/2012.</w:t>
            </w:r>
          </w:p>
          <w:p>
            <w:pPr>
              <w:spacing w:before="60" w:after="0"/>
              <w:ind w:left="522" w:hanging="522"/>
              <w:rPr>
                <w:rFonts w:eastAsia="Arial Unicode MS"/>
                <w:noProof/>
                <w:spacing w:val="-8"/>
                <w:sz w:val="20"/>
                <w:szCs w:val="20"/>
              </w:rPr>
            </w:pPr>
            <w:r>
              <w:rPr>
                <w:i/>
                <w:noProof/>
                <w:spacing w:val="-8"/>
                <w:sz w:val="20"/>
                <w:szCs w:val="20"/>
              </w:rPr>
              <w:t>Installation</w:t>
            </w:r>
            <w:r>
              <w:rPr>
                <w:noProof/>
                <w:spacing w:val="-8"/>
                <w:sz w:val="20"/>
                <w:szCs w:val="20"/>
              </w:rPr>
              <w:t xml:space="preserve"> </w:t>
            </w:r>
          </w:p>
          <w:p>
            <w:pPr>
              <w:spacing w:before="60" w:after="0"/>
              <w:ind w:left="522" w:hanging="522"/>
              <w:rPr>
                <w:rFonts w:eastAsia="Arial Unicode MS"/>
                <w:noProof/>
                <w:spacing w:val="-8"/>
                <w:sz w:val="20"/>
                <w:szCs w:val="20"/>
              </w:rPr>
            </w:pPr>
            <w:r>
              <w:rPr>
                <w:noProof/>
                <w:spacing w:val="-8"/>
                <w:sz w:val="20"/>
                <w:szCs w:val="20"/>
              </w:rPr>
              <w:t>a)</w:t>
            </w:r>
            <w:r>
              <w:rPr>
                <w:noProof/>
                <w:spacing w:val="-8"/>
                <w:sz w:val="20"/>
                <w:szCs w:val="20"/>
              </w:rPr>
              <w:tab/>
              <w:t>Les prescriptions relatives à l’installation figurant dans l’annexe 21 du règlement n</w:t>
            </w:r>
            <w:r>
              <w:rPr>
                <w:noProof/>
                <w:spacing w:val="-8"/>
                <w:sz w:val="20"/>
                <w:szCs w:val="20"/>
                <w:vertAlign w:val="superscript"/>
              </w:rPr>
              <w:t>o</w:t>
            </w:r>
            <w:r>
              <w:rPr>
                <w:noProof/>
                <w:spacing w:val="-8"/>
                <w:sz w:val="20"/>
                <w:szCs w:val="20"/>
              </w:rPr>
              <w:t> 43 de la CEE-ONU s’appliquent.</w:t>
            </w:r>
          </w:p>
          <w:p>
            <w:pPr>
              <w:spacing w:before="60" w:after="0"/>
              <w:ind w:left="522" w:hanging="522"/>
              <w:rPr>
                <w:rFonts w:eastAsia="Arial Unicode MS"/>
                <w:noProof/>
                <w:spacing w:val="-8"/>
                <w:sz w:val="20"/>
                <w:szCs w:val="20"/>
              </w:rPr>
            </w:pPr>
            <w:r>
              <w:rPr>
                <w:noProof/>
                <w:spacing w:val="-8"/>
                <w:sz w:val="20"/>
                <w:szCs w:val="20"/>
              </w:rPr>
              <w:t>b)</w:t>
            </w:r>
            <w:r>
              <w:rPr>
                <w:noProof/>
                <w:spacing w:val="-8"/>
                <w:sz w:val="20"/>
                <w:szCs w:val="20"/>
              </w:rPr>
              <w:tab/>
              <w:t>Les films teintés qui réduisent la transmission régulière de lumière en dessous du minimum requis ne sont pas permis sur le pare-brise ni sur les vitrages situés devant le montant «B».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92/23/CEE</w:t>
            </w:r>
          </w:p>
          <w:p>
            <w:pPr>
              <w:spacing w:before="60" w:after="60"/>
              <w:rPr>
                <w:rFonts w:eastAsia="Arial Unicode MS"/>
                <w:noProof/>
                <w:spacing w:val="-8"/>
                <w:sz w:val="20"/>
                <w:szCs w:val="20"/>
              </w:rPr>
            </w:pPr>
            <w:r>
              <w:rPr>
                <w:noProof/>
                <w:spacing w:val="-8"/>
                <w:sz w:val="20"/>
              </w:rPr>
              <w:t>(Pneumatiques)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pacing w:val="-8"/>
                <w:sz w:val="20"/>
                <w:szCs w:val="20"/>
              </w:rPr>
            </w:pPr>
            <w:r>
              <w:rPr>
                <w:i/>
                <w:noProof/>
                <w:spacing w:val="-8"/>
                <w:sz w:val="20"/>
                <w:szCs w:val="20"/>
              </w:rPr>
              <w:t>Composants</w:t>
            </w:r>
          </w:p>
          <w:p>
            <w:pPr>
              <w:spacing w:after="0"/>
              <w:rPr>
                <w:rFonts w:eastAsia="Arial Unicode MS"/>
                <w:noProof/>
                <w:spacing w:val="-8"/>
                <w:sz w:val="20"/>
                <w:szCs w:val="20"/>
              </w:rPr>
            </w:pPr>
            <w:r>
              <w:rPr>
                <w:noProof/>
                <w:spacing w:val="-8"/>
                <w:sz w:val="20"/>
                <w:szCs w:val="20"/>
              </w:rPr>
              <w:t>Les pneumatiques doivent porter une marque «CE» de réception par type comprenant le symbole «s» (pour «son»).</w:t>
            </w:r>
          </w:p>
          <w:p>
            <w:pPr>
              <w:spacing w:before="60" w:after="0"/>
              <w:rPr>
                <w:rFonts w:eastAsia="Arial Unicode MS"/>
                <w:noProof/>
                <w:spacing w:val="-8"/>
                <w:sz w:val="20"/>
                <w:szCs w:val="20"/>
              </w:rPr>
            </w:pPr>
            <w:r>
              <w:rPr>
                <w:i/>
                <w:noProof/>
                <w:spacing w:val="-8"/>
                <w:sz w:val="20"/>
                <w:szCs w:val="20"/>
              </w:rPr>
              <w:t>Installation</w:t>
            </w:r>
            <w:r>
              <w:rPr>
                <w:noProof/>
                <w:spacing w:val="-8"/>
                <w:sz w:val="20"/>
                <w:szCs w:val="20"/>
              </w:rPr>
              <w:t xml:space="preserve"> </w:t>
            </w:r>
          </w:p>
          <w:p>
            <w:pPr>
              <w:spacing w:before="60" w:after="0"/>
              <w:ind w:left="522" w:hanging="522"/>
              <w:rPr>
                <w:rFonts w:eastAsia="Arial Unicode MS"/>
                <w:noProof/>
                <w:spacing w:val="-8"/>
                <w:sz w:val="20"/>
                <w:szCs w:val="20"/>
              </w:rPr>
            </w:pPr>
            <w:r>
              <w:rPr>
                <w:noProof/>
                <w:spacing w:val="-8"/>
                <w:sz w:val="20"/>
                <w:szCs w:val="20"/>
              </w:rPr>
              <w:t>a)</w:t>
            </w:r>
            <w:r>
              <w:rPr>
                <w:noProof/>
                <w:spacing w:val="-8"/>
                <w:sz w:val="20"/>
                <w:szCs w:val="20"/>
              </w:rPr>
              <w:tab/>
              <w:t>Les dimensions, l’indice de capacité de charge et la catégorie de vitesse des pneumatiques doivent satisfaire aux prescriptions de l’annexe IV de la directive 92/23/CEE.</w:t>
            </w:r>
          </w:p>
          <w:p>
            <w:pPr>
              <w:spacing w:before="60" w:after="0"/>
              <w:ind w:left="522" w:hanging="522"/>
              <w:rPr>
                <w:rFonts w:eastAsia="Arial Unicode MS"/>
                <w:noProof/>
                <w:spacing w:val="-8"/>
                <w:sz w:val="20"/>
                <w:szCs w:val="20"/>
              </w:rPr>
            </w:pPr>
            <w:r>
              <w:rPr>
                <w:noProof/>
                <w:spacing w:val="-8"/>
                <w:sz w:val="20"/>
                <w:szCs w:val="20"/>
              </w:rPr>
              <w:t>b)</w:t>
            </w:r>
            <w:r>
              <w:rPr>
                <w:noProof/>
                <w:spacing w:val="-8"/>
                <w:sz w:val="20"/>
                <w:szCs w:val="20"/>
              </w:rPr>
              <w:tab/>
              <w:t>Le symbole de catégorie de vitesse du pneumatique doit être compatible avec la vitesse maximale par construction du véhicule.</w:t>
            </w:r>
          </w:p>
          <w:p>
            <w:pPr>
              <w:spacing w:before="60" w:after="0"/>
              <w:ind w:left="522"/>
              <w:rPr>
                <w:rFonts w:eastAsia="Arial Unicode MS"/>
                <w:noProof/>
                <w:spacing w:val="-8"/>
                <w:sz w:val="20"/>
                <w:szCs w:val="20"/>
              </w:rPr>
            </w:pPr>
            <w:r>
              <w:rPr>
                <w:noProof/>
                <w:spacing w:val="-8"/>
                <w:sz w:val="20"/>
                <w:szCs w:val="20"/>
              </w:rPr>
              <w:t>Cette prescription s’applique nonobstant la présence d’un limiteur de vitesse.</w:t>
            </w:r>
          </w:p>
          <w:p>
            <w:pPr>
              <w:spacing w:before="60" w:after="0"/>
              <w:ind w:left="522" w:hanging="522"/>
              <w:rPr>
                <w:rFonts w:eastAsia="Arial Unicode MS"/>
                <w:noProof/>
                <w:spacing w:val="-8"/>
                <w:sz w:val="20"/>
                <w:szCs w:val="20"/>
              </w:rPr>
            </w:pPr>
            <w:r>
              <w:rPr>
                <w:noProof/>
                <w:spacing w:val="-8"/>
                <w:sz w:val="20"/>
                <w:szCs w:val="20"/>
              </w:rPr>
              <w:t>c)</w:t>
            </w:r>
            <w:r>
              <w:rPr>
                <w:noProof/>
                <w:spacing w:val="-8"/>
                <w:sz w:val="20"/>
                <w:szCs w:val="20"/>
              </w:rPr>
              <w:tab/>
              <w:t>La vitesse maximale du véhicule doit être indiquée par le constructeur du véhicule. Le service technique peut toutefois évaluer la vitesse maximale par construction du véhicule à partir de la puissance de sortie maximale du moteur, du nombre maximal de tours par minute et des données concernant la chaîne cinématique.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55 de la CEE-ONU (Dispositifs d’attelage)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pacing w:val="-8"/>
                <w:sz w:val="20"/>
                <w:szCs w:val="20"/>
              </w:rPr>
            </w:pPr>
            <w:r>
              <w:rPr>
                <w:i/>
                <w:noProof/>
                <w:spacing w:val="-8"/>
                <w:sz w:val="20"/>
                <w:szCs w:val="20"/>
              </w:rPr>
              <w:t>Entités techniques distinctes</w:t>
            </w:r>
            <w:r>
              <w:rPr>
                <w:noProof/>
                <w:spacing w:val="-8"/>
                <w:sz w:val="20"/>
                <w:szCs w:val="20"/>
              </w:rPr>
              <w:t xml:space="preserve"> </w:t>
            </w:r>
          </w:p>
          <w:p>
            <w:pPr>
              <w:spacing w:after="0"/>
              <w:ind w:left="522" w:hanging="522"/>
              <w:rPr>
                <w:rFonts w:eastAsia="Arial Unicode MS"/>
                <w:noProof/>
                <w:spacing w:val="-8"/>
                <w:sz w:val="20"/>
                <w:szCs w:val="20"/>
              </w:rPr>
            </w:pPr>
            <w:r>
              <w:rPr>
                <w:noProof/>
                <w:spacing w:val="-8"/>
                <w:sz w:val="20"/>
                <w:szCs w:val="20"/>
              </w:rPr>
              <w:t>a)</w:t>
            </w:r>
            <w:r>
              <w:rPr>
                <w:noProof/>
                <w:spacing w:val="-8"/>
                <w:sz w:val="20"/>
                <w:szCs w:val="20"/>
              </w:rPr>
              <w:tab/>
              <w:t>Il n’est pas nécessaire que les attelages d’origine destinés à l’attelage d’une remorque d’une masse maximale ne dépassant pas 1 500 kg soient réceptionnés par type conformément au règlement n</w:t>
            </w:r>
            <w:r>
              <w:rPr>
                <w:noProof/>
                <w:spacing w:val="-8"/>
                <w:sz w:val="20"/>
                <w:szCs w:val="20"/>
                <w:vertAlign w:val="superscript"/>
              </w:rPr>
              <w:t>o</w:t>
            </w:r>
            <w:r>
              <w:rPr>
                <w:noProof/>
                <w:spacing w:val="-8"/>
                <w:sz w:val="20"/>
                <w:szCs w:val="20"/>
              </w:rPr>
              <w:t> 55 de la CEE-ONU.</w:t>
            </w:r>
          </w:p>
          <w:p>
            <w:pPr>
              <w:spacing w:before="60" w:after="0"/>
              <w:ind w:left="522"/>
              <w:rPr>
                <w:rFonts w:eastAsia="Arial Unicode MS"/>
                <w:noProof/>
                <w:spacing w:val="-8"/>
                <w:sz w:val="20"/>
                <w:szCs w:val="20"/>
              </w:rPr>
            </w:pPr>
            <w:r>
              <w:rPr>
                <w:noProof/>
                <w:spacing w:val="-8"/>
                <w:sz w:val="20"/>
                <w:szCs w:val="20"/>
              </w:rPr>
              <w:t>Un attelage est réputé d’origine lorsqu’il est décrit dans le manuel du propriétaire ou dans un document équivalent fourni à l’acheteur par le constructeur du véhicule.</w:t>
            </w:r>
          </w:p>
          <w:p>
            <w:pPr>
              <w:spacing w:before="60" w:after="0"/>
              <w:ind w:left="522"/>
              <w:rPr>
                <w:rFonts w:eastAsia="Arial Unicode MS"/>
                <w:noProof/>
                <w:spacing w:val="-8"/>
                <w:sz w:val="20"/>
                <w:szCs w:val="20"/>
              </w:rPr>
            </w:pPr>
            <w:r>
              <w:rPr>
                <w:noProof/>
                <w:spacing w:val="-8"/>
                <w:sz w:val="20"/>
                <w:szCs w:val="20"/>
              </w:rPr>
              <w:lastRenderedPageBreak/>
              <w:t>Si un tel attelage est réceptionné avec le véhicule, une mention appropriée doit figurer sur la fiche de réception indiquant qu’il appartient au propriétaire d’assurer la compatibilité avec le dispositif d’attelage monté sur la remorque.</w:t>
            </w:r>
          </w:p>
          <w:p>
            <w:pPr>
              <w:spacing w:after="0"/>
              <w:ind w:left="522" w:hanging="522"/>
              <w:rPr>
                <w:rFonts w:eastAsia="Arial Unicode MS"/>
                <w:noProof/>
                <w:spacing w:val="-8"/>
                <w:sz w:val="20"/>
                <w:szCs w:val="20"/>
              </w:rPr>
            </w:pPr>
            <w:r>
              <w:rPr>
                <w:noProof/>
                <w:spacing w:val="-8"/>
                <w:sz w:val="20"/>
                <w:szCs w:val="20"/>
              </w:rPr>
              <w:t>b)</w:t>
            </w:r>
            <w:r>
              <w:rPr>
                <w:noProof/>
                <w:spacing w:val="-8"/>
                <w:sz w:val="20"/>
                <w:szCs w:val="20"/>
              </w:rPr>
              <w:tab/>
              <w:t>Les attelages autres que ceux visés au point a), ainsi que les attelages qui sont montés ultérieurement, doivent être réceptionnés par type conformément au règlement n</w:t>
            </w:r>
            <w:r>
              <w:rPr>
                <w:noProof/>
                <w:spacing w:val="-8"/>
                <w:sz w:val="20"/>
                <w:szCs w:val="20"/>
                <w:vertAlign w:val="superscript"/>
              </w:rPr>
              <w:t>o</w:t>
            </w:r>
            <w:r>
              <w:rPr>
                <w:noProof/>
                <w:spacing w:val="-8"/>
                <w:sz w:val="20"/>
                <w:szCs w:val="20"/>
              </w:rPr>
              <w:t> 55 de la CEE-ONU.</w:t>
            </w:r>
          </w:p>
          <w:p>
            <w:pPr>
              <w:spacing w:before="60" w:after="0"/>
              <w:ind w:left="522" w:hanging="522"/>
              <w:rPr>
                <w:rFonts w:eastAsia="Arial Unicode MS"/>
                <w:i/>
                <w:iCs/>
                <w:noProof/>
                <w:spacing w:val="-8"/>
                <w:sz w:val="20"/>
                <w:szCs w:val="20"/>
              </w:rPr>
            </w:pPr>
            <w:r>
              <w:rPr>
                <w:i/>
                <w:noProof/>
                <w:spacing w:val="-8"/>
                <w:sz w:val="20"/>
                <w:szCs w:val="20"/>
              </w:rPr>
              <w:t>Installation sur le véhicule</w:t>
            </w:r>
          </w:p>
          <w:p>
            <w:pPr>
              <w:spacing w:before="60" w:after="60"/>
              <w:rPr>
                <w:rFonts w:eastAsia="Arial Unicode MS"/>
                <w:noProof/>
                <w:spacing w:val="-8"/>
                <w:sz w:val="20"/>
                <w:szCs w:val="20"/>
              </w:rPr>
            </w:pPr>
            <w:r>
              <w:rPr>
                <w:noProof/>
                <w:spacing w:val="-8"/>
                <w:sz w:val="20"/>
                <w:szCs w:val="20"/>
              </w:rPr>
              <w:t>Le service technique doit vérifier que l’installation des dispositifs d’attelage est conforme au paragraphe 6 du règlement n</w:t>
            </w:r>
            <w:r>
              <w:rPr>
                <w:noProof/>
                <w:spacing w:val="-8"/>
                <w:sz w:val="20"/>
                <w:szCs w:val="20"/>
                <w:vertAlign w:val="superscript"/>
              </w:rPr>
              <w:t>o</w:t>
            </w:r>
            <w:r>
              <w:rPr>
                <w:noProof/>
                <w:spacing w:val="-8"/>
                <w:sz w:val="20"/>
                <w:szCs w:val="20"/>
              </w:rPr>
              <w:t> 55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94 de la CEE-ONU (Collision frontale) (</w:t>
            </w:r>
            <w:r>
              <w:rPr>
                <w:noProof/>
                <w:spacing w:val="-8"/>
                <w:sz w:val="20"/>
                <w:vertAlign w:val="superscript"/>
              </w:rPr>
              <w:t>e</w:t>
            </w:r>
            <w:r>
              <w:rPr>
                <w:noProof/>
                <w:spacing w:val="-8"/>
                <w:sz w:val="20"/>
              </w:rPr>
              <w: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szCs w:val="20"/>
              </w:rPr>
              <w:t>a)</w:t>
            </w:r>
            <w:r>
              <w:rPr>
                <w:noProof/>
                <w:spacing w:val="-8"/>
                <w:sz w:val="20"/>
                <w:szCs w:val="20"/>
              </w:rPr>
              <w:tab/>
              <w:t>Le demandeur doit présenter une déclaration du constructeur établissant que le véhicule donné, dont le numéro VIN doit être précisé, est conforme à l’une au moins des dispositions suivantes:</w:t>
            </w:r>
          </w:p>
          <w:p>
            <w:pPr>
              <w:spacing w:before="60" w:after="0"/>
              <w:ind w:left="1089" w:hanging="522"/>
              <w:rPr>
                <w:rFonts w:eastAsia="Arial Unicode MS"/>
                <w:noProof/>
                <w:spacing w:val="-8"/>
                <w:sz w:val="20"/>
                <w:szCs w:val="20"/>
              </w:rPr>
            </w:pPr>
            <w:r>
              <w:rPr>
                <w:noProof/>
                <w:spacing w:val="-8"/>
                <w:sz w:val="20"/>
                <w:szCs w:val="20"/>
              </w:rPr>
              <w:t>-</w:t>
            </w:r>
            <w:r>
              <w:rPr>
                <w:noProof/>
                <w:spacing w:val="-8"/>
                <w:sz w:val="20"/>
                <w:szCs w:val="20"/>
              </w:rPr>
              <w:tab/>
              <w:t>règlement n</w:t>
            </w:r>
            <w:r>
              <w:rPr>
                <w:noProof/>
                <w:spacing w:val="-8"/>
                <w:sz w:val="20"/>
                <w:szCs w:val="20"/>
                <w:vertAlign w:val="superscript"/>
              </w:rPr>
              <w:t>o</w:t>
            </w:r>
            <w:r>
              <w:rPr>
                <w:noProof/>
                <w:spacing w:val="-8"/>
                <w:sz w:val="20"/>
                <w:szCs w:val="20"/>
              </w:rPr>
              <w:t> 94 de la CEE-ONU,</w:t>
            </w:r>
          </w:p>
          <w:p>
            <w:pPr>
              <w:spacing w:before="60" w:after="0"/>
              <w:ind w:left="1089" w:hanging="522"/>
              <w:rPr>
                <w:rFonts w:eastAsia="Arial Unicode MS"/>
                <w:noProof/>
                <w:spacing w:val="-8"/>
                <w:sz w:val="20"/>
                <w:szCs w:val="20"/>
              </w:rPr>
            </w:pPr>
            <w:r>
              <w:rPr>
                <w:noProof/>
                <w:spacing w:val="-8"/>
                <w:sz w:val="20"/>
                <w:szCs w:val="20"/>
              </w:rPr>
              <w:t>-</w:t>
            </w:r>
            <w:r>
              <w:rPr>
                <w:noProof/>
                <w:spacing w:val="-8"/>
                <w:sz w:val="20"/>
                <w:szCs w:val="20"/>
              </w:rPr>
              <w:tab/>
              <w:t>norme FMVSS n</w:t>
            </w:r>
            <w:r>
              <w:rPr>
                <w:noProof/>
                <w:spacing w:val="-8"/>
                <w:sz w:val="20"/>
                <w:szCs w:val="20"/>
                <w:vertAlign w:val="superscript"/>
              </w:rPr>
              <w:t>o</w:t>
            </w:r>
            <w:r>
              <w:rPr>
                <w:noProof/>
                <w:spacing w:val="-8"/>
                <w:sz w:val="20"/>
                <w:szCs w:val="20"/>
              </w:rPr>
              <w:t> 208 («Occupant crash protection»),</w:t>
            </w:r>
          </w:p>
          <w:p>
            <w:pPr>
              <w:spacing w:before="60" w:after="0"/>
              <w:ind w:left="1089" w:hanging="522"/>
              <w:rPr>
                <w:rFonts w:eastAsia="Arial Unicode MS"/>
                <w:noProof/>
                <w:spacing w:val="-8"/>
                <w:sz w:val="20"/>
                <w:szCs w:val="20"/>
              </w:rPr>
            </w:pPr>
            <w:r>
              <w:rPr>
                <w:noProof/>
                <w:spacing w:val="-8"/>
                <w:sz w:val="20"/>
                <w:szCs w:val="20"/>
              </w:rPr>
              <w:t>-</w:t>
            </w:r>
            <w:r>
              <w:rPr>
                <w:noProof/>
                <w:spacing w:val="-8"/>
                <w:sz w:val="20"/>
                <w:szCs w:val="20"/>
              </w:rPr>
              <w:tab/>
              <w:t>article 18 du JSRRV.</w:t>
            </w:r>
          </w:p>
          <w:p>
            <w:pPr>
              <w:spacing w:after="60"/>
              <w:ind w:left="522" w:hanging="522"/>
              <w:rPr>
                <w:rFonts w:eastAsia="Arial Unicode MS"/>
                <w:noProof/>
                <w:spacing w:val="-8"/>
                <w:sz w:val="20"/>
                <w:szCs w:val="20"/>
              </w:rPr>
            </w:pPr>
            <w:r>
              <w:rPr>
                <w:noProof/>
                <w:spacing w:val="-8"/>
                <w:sz w:val="20"/>
                <w:szCs w:val="20"/>
              </w:rPr>
              <w:t>b)</w:t>
            </w:r>
            <w:r>
              <w:rPr>
                <w:noProof/>
                <w:spacing w:val="-8"/>
                <w:sz w:val="20"/>
                <w:szCs w:val="20"/>
              </w:rPr>
              <w:tab/>
              <w:t>Sur requête du demandeur, il peut être procédé à un essai sur un véhicule de production, conformément au paragraphe 5 du règlement n</w:t>
            </w:r>
            <w:r>
              <w:rPr>
                <w:noProof/>
                <w:spacing w:val="-8"/>
                <w:sz w:val="20"/>
                <w:szCs w:val="20"/>
                <w:vertAlign w:val="superscript"/>
              </w:rPr>
              <w:t>o</w:t>
            </w:r>
            <w:r>
              <w:rPr>
                <w:noProof/>
                <w:spacing w:val="-8"/>
                <w:sz w:val="20"/>
                <w:szCs w:val="20"/>
              </w:rPr>
              <w:t> 94 de la CEE-ONU.</w:t>
            </w:r>
          </w:p>
          <w:p>
            <w:pPr>
              <w:spacing w:after="60"/>
              <w:ind w:left="522"/>
              <w:rPr>
                <w:rFonts w:eastAsia="Arial Unicode MS"/>
                <w:noProof/>
                <w:spacing w:val="-8"/>
                <w:sz w:val="20"/>
                <w:szCs w:val="20"/>
              </w:rPr>
            </w:pPr>
            <w:r>
              <w:rPr>
                <w:noProof/>
                <w:spacing w:val="-8"/>
                <w:sz w:val="20"/>
                <w:szCs w:val="20"/>
              </w:rPr>
              <w:t>L’essai doit être effectué par un service technique qui a été désigné à cette fin. Un rapport détaillé établi par ce service technique est remis au demandeur.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95 de la CEE-ONU (Collision latérale)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szCs w:val="20"/>
              </w:rPr>
              <w:t>a)</w:t>
            </w:r>
            <w:r>
              <w:rPr>
                <w:noProof/>
                <w:spacing w:val="-8"/>
                <w:sz w:val="20"/>
                <w:szCs w:val="20"/>
              </w:rPr>
              <w:tab/>
              <w:t>Le demandeur doit présenter une déclaration du constructeur établissant que le véhicule donné, dont le numéro VIN doit être précisé, est conforme à l’une au moins des dispositions suivantes:</w:t>
            </w:r>
          </w:p>
          <w:p>
            <w:pPr>
              <w:spacing w:after="0"/>
              <w:ind w:left="1089" w:hanging="522"/>
              <w:rPr>
                <w:rFonts w:eastAsia="Arial Unicode MS"/>
                <w:noProof/>
                <w:spacing w:val="-8"/>
                <w:sz w:val="20"/>
                <w:szCs w:val="20"/>
              </w:rPr>
            </w:pPr>
            <w:r>
              <w:rPr>
                <w:noProof/>
                <w:spacing w:val="-8"/>
                <w:sz w:val="20"/>
                <w:szCs w:val="20"/>
              </w:rPr>
              <w:t>-</w:t>
            </w:r>
            <w:r>
              <w:rPr>
                <w:noProof/>
                <w:spacing w:val="-8"/>
                <w:sz w:val="20"/>
                <w:szCs w:val="20"/>
              </w:rPr>
              <w:tab/>
              <w:t>règlement n</w:t>
            </w:r>
            <w:r>
              <w:rPr>
                <w:noProof/>
                <w:spacing w:val="-8"/>
                <w:sz w:val="20"/>
                <w:szCs w:val="20"/>
                <w:vertAlign w:val="superscript"/>
              </w:rPr>
              <w:t>o</w:t>
            </w:r>
            <w:r>
              <w:rPr>
                <w:noProof/>
                <w:spacing w:val="-8"/>
                <w:sz w:val="20"/>
                <w:szCs w:val="20"/>
              </w:rPr>
              <w:t> 95 de la CEE-ONU,</w:t>
            </w:r>
          </w:p>
          <w:p>
            <w:pPr>
              <w:spacing w:after="0"/>
              <w:ind w:left="1089" w:hanging="522"/>
              <w:rPr>
                <w:rFonts w:eastAsia="Arial Unicode MS"/>
                <w:noProof/>
                <w:spacing w:val="-8"/>
                <w:sz w:val="20"/>
                <w:szCs w:val="20"/>
                <w:lang w:val="en-GB"/>
              </w:rPr>
            </w:pPr>
            <w:r>
              <w:rPr>
                <w:noProof/>
                <w:spacing w:val="-8"/>
                <w:sz w:val="20"/>
                <w:szCs w:val="20"/>
                <w:lang w:val="en-GB"/>
              </w:rPr>
              <w:t>-</w:t>
            </w:r>
            <w:r>
              <w:rPr>
                <w:noProof/>
                <w:spacing w:val="-8"/>
                <w:sz w:val="20"/>
                <w:szCs w:val="20"/>
                <w:lang w:val="en-GB"/>
              </w:rPr>
              <w:tab/>
              <w:t>norme FMVSS n</w:t>
            </w:r>
            <w:r>
              <w:rPr>
                <w:noProof/>
                <w:spacing w:val="-8"/>
                <w:sz w:val="20"/>
                <w:szCs w:val="20"/>
                <w:vertAlign w:val="superscript"/>
                <w:lang w:val="en-GB"/>
              </w:rPr>
              <w:t>o</w:t>
            </w:r>
            <w:r>
              <w:rPr>
                <w:noProof/>
                <w:spacing w:val="-8"/>
                <w:sz w:val="20"/>
                <w:szCs w:val="20"/>
                <w:lang w:val="en-GB"/>
              </w:rPr>
              <w:t> 214 («Side impact protection»),</w:t>
            </w:r>
          </w:p>
          <w:p>
            <w:pPr>
              <w:spacing w:after="0"/>
              <w:ind w:left="1089" w:hanging="522"/>
              <w:rPr>
                <w:rFonts w:eastAsia="Arial Unicode MS"/>
                <w:noProof/>
                <w:spacing w:val="-8"/>
                <w:sz w:val="20"/>
                <w:szCs w:val="20"/>
              </w:rPr>
            </w:pPr>
            <w:r>
              <w:rPr>
                <w:noProof/>
                <w:spacing w:val="-8"/>
                <w:sz w:val="20"/>
                <w:szCs w:val="20"/>
              </w:rPr>
              <w:t>-</w:t>
            </w:r>
            <w:r>
              <w:rPr>
                <w:noProof/>
                <w:spacing w:val="-8"/>
                <w:sz w:val="20"/>
                <w:szCs w:val="20"/>
              </w:rPr>
              <w:tab/>
              <w:t>article 18 du JSRRV.</w:t>
            </w:r>
          </w:p>
          <w:p>
            <w:pPr>
              <w:spacing w:after="60"/>
              <w:ind w:left="522" w:hanging="522"/>
              <w:rPr>
                <w:rFonts w:eastAsia="Arial Unicode MS"/>
                <w:noProof/>
                <w:spacing w:val="-8"/>
                <w:sz w:val="20"/>
                <w:szCs w:val="20"/>
              </w:rPr>
            </w:pPr>
            <w:r>
              <w:rPr>
                <w:noProof/>
                <w:spacing w:val="-8"/>
                <w:sz w:val="20"/>
                <w:szCs w:val="20"/>
              </w:rPr>
              <w:t>b)</w:t>
            </w:r>
            <w:r>
              <w:rPr>
                <w:noProof/>
                <w:spacing w:val="-8"/>
                <w:sz w:val="20"/>
                <w:szCs w:val="20"/>
              </w:rPr>
              <w:tab/>
              <w:t>Sur requête du demandeur, il peut être procédé à un essai sur un véhicule de production, conformément au paragraphe 5 du règlement n</w:t>
            </w:r>
            <w:r>
              <w:rPr>
                <w:noProof/>
                <w:spacing w:val="-8"/>
                <w:sz w:val="20"/>
                <w:szCs w:val="20"/>
                <w:vertAlign w:val="superscript"/>
              </w:rPr>
              <w:t>o</w:t>
            </w:r>
            <w:r>
              <w:rPr>
                <w:noProof/>
                <w:spacing w:val="-8"/>
                <w:sz w:val="20"/>
                <w:szCs w:val="20"/>
              </w:rPr>
              <w:t> 95 de la CEE-ONU.</w:t>
            </w:r>
          </w:p>
          <w:p>
            <w:pPr>
              <w:spacing w:after="60"/>
              <w:ind w:left="522"/>
              <w:rPr>
                <w:rFonts w:eastAsia="Arial Unicode MS"/>
                <w:noProof/>
                <w:spacing w:val="-8"/>
                <w:sz w:val="20"/>
                <w:szCs w:val="20"/>
              </w:rPr>
            </w:pPr>
            <w:r>
              <w:rPr>
                <w:noProof/>
                <w:spacing w:val="-8"/>
                <w:sz w:val="20"/>
                <w:szCs w:val="20"/>
              </w:rPr>
              <w:t xml:space="preserve">L’essai doit être effectué par un service technique qui a été désigné à cette fin. Un rapport détaillé établi par ce service technique est remis au demandeur.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78/2009</w:t>
            </w:r>
          </w:p>
          <w:p>
            <w:pPr>
              <w:spacing w:before="60" w:after="60"/>
              <w:jc w:val="left"/>
              <w:rPr>
                <w:rFonts w:eastAsia="Arial Unicode MS"/>
                <w:noProof/>
                <w:spacing w:val="-8"/>
                <w:sz w:val="20"/>
                <w:szCs w:val="20"/>
              </w:rPr>
            </w:pPr>
            <w:r>
              <w:rPr>
                <w:noProof/>
                <w:spacing w:val="-8"/>
                <w:sz w:val="20"/>
              </w:rPr>
              <w:t>(Protection des piétons)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pacing w:val="-8"/>
                <w:sz w:val="20"/>
                <w:szCs w:val="20"/>
              </w:rPr>
            </w:pPr>
            <w:r>
              <w:rPr>
                <w:i/>
                <w:noProof/>
                <w:spacing w:val="-8"/>
                <w:sz w:val="20"/>
              </w:rPr>
              <w:t>Assistance au freinage</w:t>
            </w:r>
          </w:p>
          <w:p>
            <w:pPr>
              <w:spacing w:before="60" w:after="60"/>
              <w:rPr>
                <w:rFonts w:eastAsia="Arial Unicode MS"/>
                <w:noProof/>
                <w:spacing w:val="-8"/>
                <w:sz w:val="20"/>
                <w:szCs w:val="20"/>
              </w:rPr>
            </w:pPr>
            <w:r>
              <w:rPr>
                <w:noProof/>
                <w:spacing w:val="-8"/>
                <w:sz w:val="20"/>
              </w:rPr>
              <w:t>Les véhicules doivent être équipés d’un dispositif antiblocage électronique agissant sur toutes les roues.</w:t>
            </w:r>
          </w:p>
          <w:p>
            <w:pPr>
              <w:spacing w:before="60" w:after="60"/>
              <w:ind w:left="522" w:hanging="522"/>
              <w:rPr>
                <w:rFonts w:eastAsia="Arial Unicode MS"/>
                <w:i/>
                <w:iCs/>
                <w:noProof/>
                <w:spacing w:val="-8"/>
                <w:sz w:val="20"/>
                <w:szCs w:val="20"/>
              </w:rPr>
            </w:pPr>
            <w:r>
              <w:rPr>
                <w:i/>
                <w:noProof/>
                <w:spacing w:val="-8"/>
                <w:sz w:val="20"/>
              </w:rPr>
              <w:t>Protection des piétons</w:t>
            </w:r>
          </w:p>
          <w:p>
            <w:pPr>
              <w:spacing w:before="60" w:after="60"/>
              <w:rPr>
                <w:rFonts w:eastAsia="Arial Unicode MS"/>
                <w:noProof/>
                <w:spacing w:val="-8"/>
                <w:sz w:val="20"/>
                <w:szCs w:val="20"/>
              </w:rPr>
            </w:pPr>
            <w:r>
              <w:rPr>
                <w:noProof/>
                <w:spacing w:val="-8"/>
                <w:sz w:val="20"/>
              </w:rPr>
              <w:t>Les prescriptions du règlement (UE) n</w:t>
            </w:r>
            <w:r>
              <w:rPr>
                <w:noProof/>
                <w:spacing w:val="-8"/>
                <w:sz w:val="20"/>
                <w:vertAlign w:val="superscript"/>
              </w:rPr>
              <w:t>o</w:t>
            </w:r>
            <w:r>
              <w:rPr>
                <w:noProof/>
                <w:spacing w:val="-8"/>
                <w:sz w:val="20"/>
              </w:rPr>
              <w:t> 78/2009 s’appliquent.</w:t>
            </w:r>
          </w:p>
          <w:p>
            <w:pPr>
              <w:spacing w:before="60" w:after="60"/>
              <w:ind w:left="522" w:hanging="522"/>
              <w:rPr>
                <w:rFonts w:eastAsia="Arial Unicode MS"/>
                <w:i/>
                <w:iCs/>
                <w:noProof/>
                <w:spacing w:val="-8"/>
                <w:sz w:val="20"/>
                <w:szCs w:val="20"/>
              </w:rPr>
            </w:pPr>
            <w:r>
              <w:rPr>
                <w:i/>
                <w:noProof/>
                <w:spacing w:val="-8"/>
                <w:sz w:val="20"/>
              </w:rPr>
              <w:t>Systèmes de protection frontale</w:t>
            </w:r>
          </w:p>
          <w:p>
            <w:pPr>
              <w:spacing w:before="60" w:after="60"/>
              <w:rPr>
                <w:rFonts w:eastAsia="Arial Unicode MS"/>
                <w:noProof/>
                <w:spacing w:val="-8"/>
                <w:sz w:val="20"/>
                <w:szCs w:val="20"/>
              </w:rPr>
            </w:pPr>
            <w:r>
              <w:rPr>
                <w:noProof/>
                <w:spacing w:val="-8"/>
                <w:sz w:val="20"/>
              </w:rPr>
              <w:t>Les systèmes de protection frontale installés sur le véhicule doivent être réceptionnés par type conformément au règlement (CE) n</w:t>
            </w:r>
            <w:r>
              <w:rPr>
                <w:noProof/>
                <w:spacing w:val="-8"/>
                <w:sz w:val="20"/>
                <w:vertAlign w:val="superscript"/>
              </w:rPr>
              <w:t>o</w:t>
            </w:r>
            <w:r>
              <w:rPr>
                <w:noProof/>
                <w:spacing w:val="-8"/>
                <w:sz w:val="20"/>
              </w:rPr>
              <w:t> 78/2009 et leur installation doit être conforme aux prescriptions énoncées dans la section 6 de l’annexe I de ce règlement.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2005/64/CE</w:t>
            </w:r>
          </w:p>
          <w:p>
            <w:pPr>
              <w:spacing w:before="60" w:after="60"/>
              <w:rPr>
                <w:rFonts w:eastAsia="Arial Unicode MS"/>
                <w:noProof/>
                <w:spacing w:val="-8"/>
                <w:sz w:val="20"/>
                <w:szCs w:val="20"/>
              </w:rPr>
            </w:pPr>
            <w:r>
              <w:rPr>
                <w:noProof/>
                <w:spacing w:val="-8"/>
                <w:sz w:val="20"/>
              </w:rPr>
              <w:lastRenderedPageBreak/>
              <w:t>(Recyclabilité)</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rPr>
              <w:lastRenderedPageBreak/>
              <w:t>Les prescriptions de cette directive ne s’appliquent pas.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Directive 2006/40/CE</w:t>
            </w:r>
          </w:p>
          <w:p>
            <w:pPr>
              <w:spacing w:before="60" w:after="60"/>
              <w:jc w:val="left"/>
              <w:rPr>
                <w:rFonts w:eastAsia="Arial Unicode MS"/>
                <w:noProof/>
                <w:spacing w:val="-8"/>
                <w:sz w:val="20"/>
                <w:szCs w:val="20"/>
              </w:rPr>
            </w:pPr>
            <w:r>
              <w:rPr>
                <w:noProof/>
                <w:spacing w:val="-8"/>
                <w:sz w:val="20"/>
              </w:rPr>
              <w:t>(Système de climatisation)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pacing w:val="-8"/>
                <w:sz w:val="20"/>
                <w:szCs w:val="20"/>
              </w:rPr>
            </w:pPr>
            <w:r>
              <w:rPr>
                <w:noProof/>
                <w:spacing w:val="-8"/>
                <w:sz w:val="20"/>
              </w:rPr>
              <w:t>Les prescriptions de cette directive s’appliquent.</w:t>
            </w:r>
          </w:p>
        </w:tc>
      </w:tr>
    </w:tbl>
    <w:p>
      <w:pPr>
        <w:spacing w:after="240"/>
        <w:jc w:val="center"/>
        <w:rPr>
          <w:rFonts w:eastAsia="Arial Unicode MS"/>
          <w:b/>
          <w:bCs/>
          <w:noProof/>
          <w:spacing w:val="-8"/>
          <w:szCs w:val="24"/>
          <w:vertAlign w:val="subscript"/>
        </w:rPr>
      </w:pPr>
      <w:r>
        <w:rPr>
          <w:noProof/>
          <w:spacing w:val="-8"/>
        </w:rPr>
        <w:br w:type="page"/>
      </w:r>
      <w:r>
        <w:rPr>
          <w:b/>
          <w:noProof/>
          <w:spacing w:val="-8"/>
        </w:rPr>
        <w:lastRenderedPageBreak/>
        <w:t>Partie II:</w:t>
      </w:r>
      <w:r>
        <w:rPr>
          <w:noProof/>
          <w:spacing w:val="-8"/>
        </w:rPr>
        <w:t xml:space="preserve"> </w:t>
      </w:r>
      <w:r>
        <w:rPr>
          <w:b/>
          <w:noProof/>
          <w:spacing w:val="-8"/>
        </w:rPr>
        <w:t>Véhicules appartenant à la catégorie N</w:t>
      </w:r>
      <w:r>
        <w:rPr>
          <w:b/>
          <w:noProof/>
          <w:spacing w:val="-8"/>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2478"/>
        <w:gridCol w:w="528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Élément</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Référence de l’acte réglementaire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pacing w:val="-8"/>
                <w:sz w:val="20"/>
                <w:szCs w:val="20"/>
              </w:rPr>
            </w:pPr>
            <w:r>
              <w:rPr>
                <w:noProof/>
                <w:spacing w:val="-8"/>
                <w:sz w:val="20"/>
              </w:rPr>
              <w:t>Autres prescriptions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2a</w:t>
            </w:r>
          </w:p>
        </w:tc>
        <w:tc>
          <w:tcPr>
            <w:tcW w:w="2506"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715/2007</w:t>
            </w:r>
          </w:p>
          <w:p>
            <w:pPr>
              <w:spacing w:before="60" w:after="60"/>
              <w:jc w:val="left"/>
              <w:rPr>
                <w:rFonts w:eastAsia="Arial Unicode MS"/>
                <w:noProof/>
                <w:spacing w:val="-8"/>
                <w:sz w:val="20"/>
                <w:szCs w:val="20"/>
              </w:rPr>
            </w:pPr>
            <w:r>
              <w:rPr>
                <w:noProof/>
                <w:spacing w:val="-8"/>
                <w:sz w:val="20"/>
              </w:rPr>
              <w:t>(Émissions des véhicules légers Euro 5 et 6 / accès aux informations)</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pacing w:val="-8"/>
                <w:sz w:val="20"/>
                <w:szCs w:val="20"/>
              </w:rPr>
            </w:pPr>
            <w:r>
              <w:rPr>
                <w:i/>
                <w:noProof/>
                <w:spacing w:val="-8"/>
                <w:sz w:val="20"/>
                <w:szCs w:val="20"/>
              </w:rPr>
              <w:t>Émissions d’échappement</w:t>
            </w:r>
            <w:r>
              <w:rPr>
                <w:noProof/>
                <w:spacing w:val="-8"/>
                <w:sz w:val="20"/>
                <w:szCs w:val="20"/>
              </w:rPr>
              <w:t xml:space="preserve"> </w:t>
            </w:r>
          </w:p>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Un essai du type I est réalisé conformément à l’annexe III du règlement (CE) n</w:t>
            </w:r>
            <w:r>
              <w:rPr>
                <w:noProof/>
                <w:spacing w:val="-8"/>
                <w:sz w:val="20"/>
                <w:szCs w:val="20"/>
                <w:vertAlign w:val="superscript"/>
              </w:rPr>
              <w:t>o</w:t>
            </w:r>
            <w:r>
              <w:rPr>
                <w:noProof/>
                <w:spacing w:val="-8"/>
                <w:sz w:val="20"/>
                <w:szCs w:val="20"/>
              </w:rPr>
              <w:t> 692/2008 en utilisant les facteurs de détérioration visés au point 1.4 de l’annexe VII dudit règlement. Les limites à appliquer sont celles spécifiées dans les tableaux I et II de l’annexe I du règlement (CE) n</w:t>
            </w:r>
            <w:r>
              <w:rPr>
                <w:noProof/>
                <w:spacing w:val="-8"/>
                <w:sz w:val="20"/>
                <w:szCs w:val="20"/>
                <w:vertAlign w:val="superscript"/>
              </w:rPr>
              <w:t>o</w:t>
            </w:r>
            <w:r>
              <w:rPr>
                <w:noProof/>
                <w:spacing w:val="-8"/>
                <w:sz w:val="20"/>
                <w:szCs w:val="20"/>
              </w:rPr>
              <w:t> 715/2007.</w:t>
            </w:r>
          </w:p>
          <w:p>
            <w:pPr>
              <w:spacing w:before="60" w:after="0"/>
              <w:ind w:left="380" w:hanging="380"/>
              <w:rPr>
                <w:rFonts w:eastAsia="Arial Unicode MS"/>
                <w:noProof/>
                <w:spacing w:val="-8"/>
                <w:sz w:val="20"/>
                <w:szCs w:val="20"/>
              </w:rPr>
            </w:pPr>
            <w:r>
              <w:rPr>
                <w:noProof/>
                <w:spacing w:val="-8"/>
                <w:sz w:val="20"/>
                <w:szCs w:val="20"/>
              </w:rPr>
              <w:t>b)</w:t>
            </w:r>
            <w:r>
              <w:rPr>
                <w:noProof/>
                <w:spacing w:val="-8"/>
                <w:sz w:val="20"/>
                <w:szCs w:val="20"/>
              </w:rPr>
              <w:tab/>
              <w:t>Il n’est pas nécessaire que le véhicule ait accompli 3 000 km comme mentionné au paragraphe 3.2.1 de l’annexe 4 du règlement n</w:t>
            </w:r>
            <w:r>
              <w:rPr>
                <w:noProof/>
                <w:spacing w:val="-8"/>
                <w:sz w:val="20"/>
                <w:szCs w:val="20"/>
                <w:vertAlign w:val="superscript"/>
              </w:rPr>
              <w:t>o</w:t>
            </w:r>
            <w:r>
              <w:rPr>
                <w:noProof/>
                <w:spacing w:val="-8"/>
                <w:sz w:val="20"/>
                <w:szCs w:val="20"/>
              </w:rPr>
              <w:t> 83 de la CEE-ONU.</w:t>
            </w:r>
          </w:p>
          <w:p>
            <w:pPr>
              <w:spacing w:before="60" w:after="0"/>
              <w:ind w:left="380" w:hanging="380"/>
              <w:rPr>
                <w:rFonts w:eastAsia="Arial Unicode MS"/>
                <w:noProof/>
                <w:spacing w:val="-8"/>
                <w:sz w:val="20"/>
                <w:szCs w:val="20"/>
              </w:rPr>
            </w:pPr>
            <w:r>
              <w:rPr>
                <w:noProof/>
                <w:spacing w:val="-8"/>
                <w:sz w:val="20"/>
                <w:szCs w:val="20"/>
              </w:rPr>
              <w:t>c)</w:t>
            </w:r>
            <w:r>
              <w:rPr>
                <w:noProof/>
                <w:spacing w:val="-8"/>
                <w:sz w:val="20"/>
                <w:szCs w:val="20"/>
              </w:rPr>
              <w:tab/>
              <w:t>Le carburant utilisé pour l’essai doit être le carburant de référence prescrit dans l’annexe IX du règlement (CE) n</w:t>
            </w:r>
            <w:r>
              <w:rPr>
                <w:noProof/>
                <w:spacing w:val="-8"/>
                <w:sz w:val="20"/>
                <w:szCs w:val="20"/>
                <w:vertAlign w:val="superscript"/>
              </w:rPr>
              <w:t>o</w:t>
            </w:r>
            <w:r>
              <w:rPr>
                <w:noProof/>
                <w:spacing w:val="-8"/>
                <w:sz w:val="20"/>
                <w:szCs w:val="20"/>
              </w:rPr>
              <w:t> 692/2008.</w:t>
            </w:r>
          </w:p>
          <w:p>
            <w:pPr>
              <w:spacing w:before="60" w:after="0"/>
              <w:ind w:left="380" w:hanging="380"/>
              <w:rPr>
                <w:rFonts w:eastAsia="Arial Unicode MS"/>
                <w:noProof/>
                <w:spacing w:val="-8"/>
                <w:sz w:val="20"/>
                <w:szCs w:val="20"/>
              </w:rPr>
            </w:pPr>
            <w:r>
              <w:rPr>
                <w:noProof/>
                <w:spacing w:val="-8"/>
                <w:sz w:val="20"/>
                <w:szCs w:val="20"/>
              </w:rPr>
              <w:t>d)</w:t>
            </w:r>
            <w:r>
              <w:rPr>
                <w:noProof/>
                <w:spacing w:val="-8"/>
                <w:sz w:val="20"/>
                <w:szCs w:val="20"/>
              </w:rPr>
              <w:tab/>
              <w:t>Le banc dynamométriquee doit être réglé conformément aux prescriptions techniques énoncées au paragraphe 3.2 de l’annexe 4 du règlement n</w:t>
            </w:r>
            <w:r>
              <w:rPr>
                <w:noProof/>
                <w:spacing w:val="-8"/>
                <w:sz w:val="20"/>
                <w:szCs w:val="20"/>
                <w:vertAlign w:val="superscript"/>
              </w:rPr>
              <w:t>o</w:t>
            </w:r>
            <w:r>
              <w:rPr>
                <w:noProof/>
                <w:spacing w:val="-8"/>
                <w:sz w:val="20"/>
                <w:szCs w:val="20"/>
              </w:rPr>
              <w:t> 83 de la CEE-ONU.</w:t>
            </w:r>
          </w:p>
          <w:p>
            <w:pPr>
              <w:spacing w:before="60" w:after="0"/>
              <w:ind w:left="380" w:hanging="380"/>
              <w:rPr>
                <w:rFonts w:eastAsia="Arial Unicode MS"/>
                <w:noProof/>
                <w:spacing w:val="-8"/>
                <w:sz w:val="20"/>
                <w:szCs w:val="20"/>
              </w:rPr>
            </w:pPr>
            <w:r>
              <w:rPr>
                <w:noProof/>
                <w:spacing w:val="-8"/>
                <w:sz w:val="20"/>
                <w:szCs w:val="20"/>
              </w:rPr>
              <w:t>e)</w:t>
            </w:r>
            <w:r>
              <w:rPr>
                <w:noProof/>
                <w:spacing w:val="-8"/>
                <w:sz w:val="20"/>
                <w:szCs w:val="20"/>
              </w:rPr>
              <w:tab/>
              <w:t>Il n’est pas nécessaire d’effectuer l’essai visé au point a) s’il peut être démontré que le véhicule est conforme au «Code of Regulations» de l’État de Californie visé au point 2 de l’annexe I du règlement (CE) n</w:t>
            </w:r>
            <w:r>
              <w:rPr>
                <w:noProof/>
                <w:spacing w:val="-8"/>
                <w:sz w:val="20"/>
                <w:szCs w:val="20"/>
                <w:vertAlign w:val="superscript"/>
              </w:rPr>
              <w:t>o</w:t>
            </w:r>
            <w:r>
              <w:rPr>
                <w:noProof/>
                <w:spacing w:val="-8"/>
                <w:sz w:val="20"/>
                <w:szCs w:val="20"/>
              </w:rPr>
              <w:t> 692/2008.</w:t>
            </w:r>
          </w:p>
          <w:p>
            <w:pPr>
              <w:spacing w:after="0"/>
              <w:ind w:left="380" w:hanging="380"/>
              <w:rPr>
                <w:rFonts w:eastAsia="Arial Unicode MS"/>
                <w:i/>
                <w:iCs/>
                <w:noProof/>
                <w:spacing w:val="-8"/>
                <w:sz w:val="20"/>
                <w:szCs w:val="20"/>
              </w:rPr>
            </w:pPr>
            <w:r>
              <w:rPr>
                <w:i/>
                <w:noProof/>
                <w:spacing w:val="-8"/>
                <w:sz w:val="20"/>
                <w:szCs w:val="20"/>
              </w:rPr>
              <w:t>Émissions par évaporation</w:t>
            </w:r>
          </w:p>
          <w:p>
            <w:pPr>
              <w:spacing w:before="60" w:after="0"/>
              <w:rPr>
                <w:rFonts w:eastAsia="Arial Unicode MS"/>
                <w:noProof/>
                <w:spacing w:val="-8"/>
                <w:sz w:val="20"/>
                <w:szCs w:val="20"/>
              </w:rPr>
            </w:pPr>
            <w:r>
              <w:rPr>
                <w:noProof/>
                <w:spacing w:val="-8"/>
                <w:sz w:val="20"/>
                <w:szCs w:val="20"/>
              </w:rPr>
              <w:t>Pour les moteurs à essence, la présence d’un système de contrôle des émissions par évaporation (par exemple, un filtre à charbon) est requise.</w:t>
            </w:r>
          </w:p>
          <w:p>
            <w:pPr>
              <w:spacing w:after="0"/>
              <w:ind w:left="380" w:hanging="380"/>
              <w:rPr>
                <w:rFonts w:eastAsia="Arial Unicode MS"/>
                <w:i/>
                <w:iCs/>
                <w:noProof/>
                <w:spacing w:val="-8"/>
                <w:sz w:val="20"/>
                <w:szCs w:val="20"/>
              </w:rPr>
            </w:pPr>
            <w:r>
              <w:rPr>
                <w:i/>
                <w:noProof/>
                <w:spacing w:val="-8"/>
                <w:sz w:val="20"/>
                <w:szCs w:val="20"/>
              </w:rPr>
              <w:t>Émissions du carter</w:t>
            </w:r>
          </w:p>
          <w:p>
            <w:pPr>
              <w:spacing w:before="60" w:after="0"/>
              <w:rPr>
                <w:rFonts w:eastAsia="Arial Unicode MS"/>
                <w:noProof/>
                <w:spacing w:val="-8"/>
                <w:sz w:val="20"/>
                <w:szCs w:val="20"/>
              </w:rPr>
            </w:pPr>
            <w:r>
              <w:rPr>
                <w:noProof/>
                <w:spacing w:val="-8"/>
                <w:sz w:val="20"/>
                <w:szCs w:val="20"/>
              </w:rPr>
              <w:t>La présence d’un dispositif servant à recycler les gaz de carter est requise.</w:t>
            </w:r>
          </w:p>
          <w:p>
            <w:pPr>
              <w:spacing w:after="0"/>
              <w:ind w:left="380" w:hanging="380"/>
              <w:rPr>
                <w:rFonts w:eastAsia="Arial Unicode MS"/>
                <w:i/>
                <w:iCs/>
                <w:noProof/>
                <w:spacing w:val="-8"/>
                <w:sz w:val="20"/>
                <w:szCs w:val="20"/>
              </w:rPr>
            </w:pPr>
            <w:r>
              <w:rPr>
                <w:i/>
                <w:noProof/>
                <w:spacing w:val="-8"/>
                <w:sz w:val="20"/>
                <w:szCs w:val="20"/>
              </w:rPr>
              <w:t>OBD</w:t>
            </w:r>
          </w:p>
          <w:p>
            <w:pPr>
              <w:spacing w:before="60" w:after="0"/>
              <w:rPr>
                <w:rFonts w:eastAsia="Arial Unicode MS"/>
                <w:noProof/>
                <w:spacing w:val="-8"/>
                <w:sz w:val="20"/>
                <w:szCs w:val="20"/>
              </w:rPr>
            </w:pPr>
            <w:r>
              <w:rPr>
                <w:noProof/>
                <w:spacing w:val="-8"/>
                <w:sz w:val="20"/>
                <w:szCs w:val="20"/>
              </w:rPr>
              <w:t>Le véhicule doit être équipé d’un système OBD.</w:t>
            </w:r>
          </w:p>
          <w:p>
            <w:pPr>
              <w:spacing w:before="60" w:after="0"/>
              <w:rPr>
                <w:rFonts w:eastAsia="Arial Unicode MS"/>
                <w:noProof/>
                <w:spacing w:val="-8"/>
                <w:sz w:val="20"/>
                <w:szCs w:val="20"/>
              </w:rPr>
            </w:pPr>
            <w:r>
              <w:rPr>
                <w:noProof/>
                <w:spacing w:val="-8"/>
                <w:sz w:val="20"/>
                <w:szCs w:val="20"/>
              </w:rPr>
              <w:t>L’interface du système OBD doit être capable de communiquer avec les outils de diagnostic généralement utilisés pour les inspections techniques périodiques.</w:t>
            </w:r>
          </w:p>
          <w:p>
            <w:pPr>
              <w:spacing w:before="60" w:after="0"/>
              <w:ind w:left="380" w:hanging="380"/>
              <w:rPr>
                <w:rFonts w:eastAsia="Arial Unicode MS"/>
                <w:noProof/>
                <w:spacing w:val="-8"/>
                <w:sz w:val="20"/>
                <w:szCs w:val="20"/>
              </w:rPr>
            </w:pPr>
            <w:r>
              <w:rPr>
                <w:i/>
                <w:noProof/>
                <w:spacing w:val="-8"/>
                <w:sz w:val="20"/>
                <w:szCs w:val="20"/>
              </w:rPr>
              <w:t>Opacité des fumées</w:t>
            </w:r>
            <w:r>
              <w:rPr>
                <w:noProof/>
                <w:spacing w:val="-8"/>
                <w:sz w:val="20"/>
                <w:szCs w:val="20"/>
              </w:rPr>
              <w:t xml:space="preserve"> </w:t>
            </w:r>
          </w:p>
          <w:p>
            <w:pPr>
              <w:spacing w:before="60" w:after="0"/>
              <w:ind w:left="380" w:hanging="380"/>
              <w:rPr>
                <w:rFonts w:eastAsia="Arial Unicode MS"/>
                <w:noProof/>
                <w:spacing w:val="-8"/>
                <w:sz w:val="20"/>
                <w:szCs w:val="20"/>
              </w:rPr>
            </w:pPr>
            <w:r>
              <w:rPr>
                <w:noProof/>
                <w:spacing w:val="-8"/>
                <w:sz w:val="20"/>
                <w:szCs w:val="20"/>
              </w:rPr>
              <w:t>a) Les véhicules équipés d’un moteur diesel doivent être essayés conformément aux méthodes d’essai visées dans l’appendice 2 de l’annexe IV du règlement (CE) n</w:t>
            </w:r>
            <w:r>
              <w:rPr>
                <w:noProof/>
                <w:spacing w:val="-8"/>
                <w:sz w:val="20"/>
                <w:szCs w:val="20"/>
                <w:vertAlign w:val="superscript"/>
              </w:rPr>
              <w:t>o</w:t>
            </w:r>
            <w:r>
              <w:rPr>
                <w:noProof/>
                <w:spacing w:val="-8"/>
                <w:sz w:val="20"/>
                <w:szCs w:val="20"/>
              </w:rPr>
              <w:t> 692/2008.</w:t>
            </w:r>
          </w:p>
          <w:p>
            <w:pPr>
              <w:spacing w:before="60" w:after="0"/>
              <w:ind w:left="380" w:hanging="380"/>
              <w:rPr>
                <w:rFonts w:eastAsia="Arial Unicode MS"/>
                <w:noProof/>
                <w:spacing w:val="-8"/>
                <w:sz w:val="20"/>
                <w:szCs w:val="20"/>
              </w:rPr>
            </w:pPr>
            <w:r>
              <w:rPr>
                <w:noProof/>
                <w:spacing w:val="-8"/>
                <w:sz w:val="20"/>
                <w:szCs w:val="20"/>
              </w:rPr>
              <w:t>b) La valeur corrigée du coefficient d’absorption doit être indiquée de manière lisible, en un endroit aisément accessible.</w:t>
            </w:r>
          </w:p>
          <w:p>
            <w:pPr>
              <w:spacing w:after="0"/>
              <w:ind w:left="380" w:hanging="380"/>
              <w:rPr>
                <w:rFonts w:eastAsia="Arial Unicode MS"/>
                <w:noProof/>
                <w:spacing w:val="-8"/>
                <w:sz w:val="20"/>
                <w:szCs w:val="20"/>
              </w:rPr>
            </w:pPr>
            <w:r>
              <w:rPr>
                <w:i/>
                <w:noProof/>
                <w:spacing w:val="-8"/>
                <w:sz w:val="20"/>
                <w:szCs w:val="20"/>
              </w:rPr>
              <w:t>Émissions de CO</w:t>
            </w:r>
            <w:r>
              <w:rPr>
                <w:i/>
                <w:noProof/>
                <w:spacing w:val="-8"/>
                <w:sz w:val="20"/>
                <w:szCs w:val="20"/>
                <w:vertAlign w:val="subscript"/>
              </w:rPr>
              <w:t>2</w:t>
            </w:r>
            <w:r>
              <w:rPr>
                <w:i/>
                <w:noProof/>
                <w:spacing w:val="-8"/>
                <w:sz w:val="20"/>
                <w:szCs w:val="20"/>
              </w:rPr>
              <w:t xml:space="preserve"> et consommation de carburant</w:t>
            </w:r>
            <w:r>
              <w:rPr>
                <w:noProof/>
                <w:spacing w:val="-8"/>
                <w:sz w:val="20"/>
                <w:szCs w:val="20"/>
              </w:rPr>
              <w:t xml:space="preserve"> </w:t>
            </w:r>
          </w:p>
          <w:p>
            <w:pPr>
              <w:spacing w:after="0"/>
              <w:ind w:left="380" w:hanging="380"/>
              <w:rPr>
                <w:rFonts w:eastAsia="Arial Unicode MS"/>
                <w:noProof/>
                <w:spacing w:val="-8"/>
                <w:sz w:val="20"/>
                <w:szCs w:val="20"/>
              </w:rPr>
            </w:pPr>
            <w:r>
              <w:rPr>
                <w:noProof/>
                <w:spacing w:val="-8"/>
                <w:sz w:val="20"/>
                <w:szCs w:val="20"/>
              </w:rPr>
              <w:t>a)</w:t>
            </w:r>
            <w:r>
              <w:rPr>
                <w:noProof/>
                <w:spacing w:val="-8"/>
                <w:sz w:val="20"/>
                <w:szCs w:val="20"/>
              </w:rPr>
              <w:tab/>
              <w:t>Un essai doit être effectué conformément à l’annexe XII du règlement (CE) n</w:t>
            </w:r>
            <w:r>
              <w:rPr>
                <w:noProof/>
                <w:spacing w:val="-8"/>
                <w:sz w:val="20"/>
                <w:szCs w:val="20"/>
                <w:vertAlign w:val="superscript"/>
              </w:rPr>
              <w:t>o</w:t>
            </w:r>
            <w:r>
              <w:rPr>
                <w:noProof/>
                <w:spacing w:val="-8"/>
                <w:sz w:val="20"/>
                <w:szCs w:val="20"/>
              </w:rPr>
              <w:t> 692/2008.</w:t>
            </w:r>
          </w:p>
          <w:p>
            <w:pPr>
              <w:spacing w:after="0"/>
              <w:ind w:left="380" w:hanging="380"/>
              <w:rPr>
                <w:rFonts w:eastAsia="Arial Unicode MS"/>
                <w:noProof/>
                <w:spacing w:val="-8"/>
                <w:sz w:val="20"/>
                <w:szCs w:val="20"/>
              </w:rPr>
            </w:pPr>
            <w:r>
              <w:rPr>
                <w:noProof/>
                <w:spacing w:val="-8"/>
                <w:sz w:val="20"/>
                <w:szCs w:val="20"/>
              </w:rPr>
              <w:t>b)</w:t>
            </w:r>
            <w:r>
              <w:rPr>
                <w:noProof/>
                <w:spacing w:val="-8"/>
                <w:sz w:val="20"/>
                <w:szCs w:val="20"/>
              </w:rPr>
              <w:tab/>
              <w:t>Il n’est pas nécessaire que le véhicule ait accompli 3 000 km comme mentionné au paragraphe 3.1.1 de l’annexe 4 du règlement n</w:t>
            </w:r>
            <w:r>
              <w:rPr>
                <w:noProof/>
                <w:spacing w:val="-8"/>
                <w:sz w:val="20"/>
                <w:szCs w:val="20"/>
                <w:vertAlign w:val="superscript"/>
              </w:rPr>
              <w:t>o</w:t>
            </w:r>
            <w:r>
              <w:rPr>
                <w:noProof/>
                <w:spacing w:val="-8"/>
                <w:sz w:val="20"/>
                <w:szCs w:val="20"/>
              </w:rPr>
              <w:t> 83 de la CEE-ONU.</w:t>
            </w:r>
          </w:p>
          <w:p>
            <w:pPr>
              <w:spacing w:after="0"/>
              <w:ind w:left="380" w:hanging="380"/>
              <w:rPr>
                <w:rFonts w:eastAsia="Arial Unicode MS"/>
                <w:noProof/>
                <w:spacing w:val="-8"/>
                <w:sz w:val="20"/>
                <w:szCs w:val="20"/>
              </w:rPr>
            </w:pPr>
            <w:r>
              <w:rPr>
                <w:noProof/>
                <w:spacing w:val="-8"/>
                <w:sz w:val="20"/>
                <w:szCs w:val="20"/>
              </w:rPr>
              <w:t>c)</w:t>
            </w:r>
            <w:r>
              <w:rPr>
                <w:noProof/>
                <w:spacing w:val="-8"/>
                <w:sz w:val="20"/>
                <w:szCs w:val="20"/>
              </w:rPr>
              <w:tab/>
              <w:t>Lorsque le véhicule satisfait au «Code of Regulations» de l’État de Californie visé au point 2 de l’annexe I du règlement (CE) n</w:t>
            </w:r>
            <w:r>
              <w:rPr>
                <w:noProof/>
                <w:spacing w:val="-8"/>
                <w:sz w:val="20"/>
                <w:szCs w:val="20"/>
                <w:vertAlign w:val="superscript"/>
              </w:rPr>
              <w:t>o</w:t>
            </w:r>
            <w:r>
              <w:rPr>
                <w:noProof/>
                <w:spacing w:val="-8"/>
                <w:sz w:val="20"/>
                <w:szCs w:val="20"/>
              </w:rPr>
              <w:t xml:space="preserve"> 692/2008 et ne doit donc pas faire l’objet d’un essai des émissions d’échappement, les États membres calculent les </w:t>
            </w:r>
            <w:r>
              <w:rPr>
                <w:noProof/>
                <w:spacing w:val="-8"/>
                <w:sz w:val="20"/>
                <w:szCs w:val="20"/>
              </w:rPr>
              <w:lastRenderedPageBreak/>
              <w:t>émissions de CO</w:t>
            </w:r>
            <w:r>
              <w:rPr>
                <w:noProof/>
                <w:spacing w:val="-8"/>
                <w:sz w:val="20"/>
                <w:szCs w:val="20"/>
                <w:vertAlign w:val="subscript"/>
              </w:rPr>
              <w:t>2</w:t>
            </w:r>
            <w:r>
              <w:rPr>
                <w:noProof/>
                <w:spacing w:val="-8"/>
                <w:sz w:val="20"/>
                <w:szCs w:val="20"/>
              </w:rPr>
              <w:t xml:space="preserve"> et la consommation de carburant selon les formules indiquées dans les notes explicatives (</w:t>
            </w:r>
            <w:r>
              <w:rPr>
                <w:noProof/>
                <w:spacing w:val="-8"/>
                <w:sz w:val="20"/>
                <w:szCs w:val="20"/>
                <w:vertAlign w:val="superscript"/>
              </w:rPr>
              <w:t>b</w:t>
            </w:r>
            <w:r>
              <w:rPr>
                <w:noProof/>
                <w:spacing w:val="-8"/>
                <w:sz w:val="20"/>
                <w:szCs w:val="20"/>
              </w:rPr>
              <w:t>) et (</w:t>
            </w:r>
            <w:r>
              <w:rPr>
                <w:noProof/>
                <w:spacing w:val="-8"/>
                <w:sz w:val="20"/>
                <w:szCs w:val="20"/>
                <w:vertAlign w:val="superscript"/>
              </w:rPr>
              <w:t>c</w:t>
            </w:r>
            <w:r>
              <w:rPr>
                <w:noProof/>
                <w:spacing w:val="-8"/>
                <w:sz w:val="20"/>
                <w:szCs w:val="20"/>
              </w:rPr>
              <w:t>).</w:t>
            </w:r>
          </w:p>
          <w:p>
            <w:pPr>
              <w:spacing w:after="0"/>
              <w:ind w:left="380" w:hanging="380"/>
              <w:rPr>
                <w:rFonts w:eastAsia="Arial Unicode MS"/>
                <w:i/>
                <w:iCs/>
                <w:noProof/>
                <w:spacing w:val="-8"/>
                <w:sz w:val="20"/>
                <w:szCs w:val="20"/>
              </w:rPr>
            </w:pPr>
            <w:r>
              <w:rPr>
                <w:i/>
                <w:noProof/>
                <w:spacing w:val="-8"/>
                <w:sz w:val="20"/>
                <w:szCs w:val="20"/>
              </w:rPr>
              <w:t>Accès aux informations</w:t>
            </w:r>
          </w:p>
          <w:p>
            <w:pPr>
              <w:spacing w:after="0"/>
              <w:rPr>
                <w:rFonts w:eastAsia="Arial Unicode MS"/>
                <w:noProof/>
                <w:spacing w:val="-8"/>
                <w:sz w:val="20"/>
                <w:szCs w:val="20"/>
              </w:rPr>
            </w:pPr>
            <w:r>
              <w:rPr>
                <w:noProof/>
                <w:spacing w:val="-8"/>
                <w:sz w:val="20"/>
                <w:szCs w:val="20"/>
              </w:rPr>
              <w:t>Les dispositions concernant l’accès aux informations ne s’appliquent pas.</w:t>
            </w:r>
          </w:p>
          <w:p>
            <w:pPr>
              <w:spacing w:after="0"/>
              <w:rPr>
                <w:rFonts w:eastAsia="Arial Unicode MS"/>
                <w:bCs/>
                <w:noProof/>
                <w:spacing w:val="-8"/>
                <w:sz w:val="20"/>
                <w:szCs w:val="20"/>
              </w:rPr>
            </w:pPr>
            <w:r>
              <w:rPr>
                <w:i/>
                <w:noProof/>
                <w:spacing w:val="-8"/>
                <w:sz w:val="20"/>
                <w:szCs w:val="20"/>
              </w:rPr>
              <w:t>Mesure de la puissance</w:t>
            </w:r>
            <w:r>
              <w:rPr>
                <w:noProof/>
                <w:spacing w:val="-8"/>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51"/>
              <w:gridCol w:w="5042"/>
            </w:tblGrid>
            <w:tr>
              <w:trPr>
                <w:tblCellSpacing w:w="0" w:type="dxa"/>
              </w:trPr>
              <w:tc>
                <w:tcPr>
                  <w:tcW w:w="0" w:type="auto"/>
                  <w:hideMark/>
                </w:tcPr>
                <w:p>
                  <w:pPr>
                    <w:spacing w:after="0"/>
                    <w:ind w:left="380" w:hanging="380"/>
                    <w:rPr>
                      <w:rFonts w:eastAsia="Arial Unicode MS"/>
                      <w:noProof/>
                      <w:spacing w:val="-8"/>
                      <w:sz w:val="20"/>
                      <w:szCs w:val="20"/>
                    </w:rPr>
                  </w:pPr>
                  <w:r>
                    <w:rPr>
                      <w:noProof/>
                      <w:spacing w:val="-8"/>
                      <w:sz w:val="20"/>
                      <w:szCs w:val="20"/>
                    </w:rPr>
                    <w:t>a)</w:t>
                  </w:r>
                </w:p>
              </w:tc>
              <w:tc>
                <w:tcPr>
                  <w:tcW w:w="0" w:type="auto"/>
                  <w:hideMark/>
                </w:tcPr>
                <w:p>
                  <w:pPr>
                    <w:spacing w:after="0"/>
                    <w:ind w:left="380" w:hanging="380"/>
                    <w:rPr>
                      <w:rFonts w:eastAsia="Arial Unicode MS"/>
                      <w:noProof/>
                      <w:spacing w:val="-8"/>
                      <w:sz w:val="20"/>
                      <w:szCs w:val="20"/>
                    </w:rPr>
                  </w:pPr>
                  <w:r>
                    <w:rPr>
                      <w:noProof/>
                      <w:spacing w:val="-8"/>
                      <w:sz w:val="20"/>
                      <w:szCs w:val="20"/>
                    </w:rPr>
                    <w:tab/>
                    <w:t>Le demandeur doit présenter une déclaration du constructeur indiquant la puissance de sortie maximale du moteur en kW ainsi que le régime moteur correspondant en tours par minute.</w:t>
                  </w:r>
                </w:p>
              </w:tc>
            </w:tr>
            <w:tr>
              <w:trPr>
                <w:tblCellSpacing w:w="0" w:type="dxa"/>
              </w:trPr>
              <w:tc>
                <w:tcPr>
                  <w:tcW w:w="0" w:type="auto"/>
                  <w:hideMark/>
                </w:tcPr>
                <w:p>
                  <w:pPr>
                    <w:spacing w:after="0"/>
                    <w:ind w:left="380" w:hanging="380"/>
                    <w:rPr>
                      <w:rFonts w:eastAsia="Arial Unicode MS"/>
                      <w:noProof/>
                      <w:spacing w:val="-8"/>
                      <w:sz w:val="20"/>
                      <w:szCs w:val="20"/>
                    </w:rPr>
                  </w:pPr>
                  <w:r>
                    <w:rPr>
                      <w:noProof/>
                      <w:spacing w:val="-8"/>
                      <w:sz w:val="20"/>
                      <w:szCs w:val="20"/>
                    </w:rPr>
                    <w:t>b)</w:t>
                  </w:r>
                </w:p>
              </w:tc>
              <w:tc>
                <w:tcPr>
                  <w:tcW w:w="0" w:type="auto"/>
                  <w:hideMark/>
                </w:tcPr>
                <w:p>
                  <w:pPr>
                    <w:spacing w:after="0"/>
                    <w:ind w:left="380" w:hanging="380"/>
                    <w:rPr>
                      <w:rFonts w:eastAsia="Arial Unicode MS"/>
                      <w:noProof/>
                      <w:spacing w:val="-8"/>
                      <w:sz w:val="20"/>
                      <w:szCs w:val="20"/>
                    </w:rPr>
                  </w:pPr>
                  <w:r>
                    <w:rPr>
                      <w:noProof/>
                      <w:spacing w:val="-8"/>
                      <w:sz w:val="20"/>
                      <w:szCs w:val="20"/>
                    </w:rPr>
                    <w:tab/>
                    <w:t>À titre d’alternative, le demandeur peut présenter une courbe de puissance de sortie du moteur fournissant les mêmes informations.</w:t>
                  </w:r>
                </w:p>
              </w:tc>
            </w:tr>
          </w:tbl>
          <w:p>
            <w:pPr>
              <w:spacing w:after="0"/>
              <w:ind w:left="380" w:hanging="380"/>
              <w:rPr>
                <w:rFonts w:eastAsia="Arial Unicode MS"/>
                <w:noProof/>
                <w:spacing w:val="-8"/>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szCs w:val="20"/>
              </w:rPr>
              <w:t>Règlement n</w:t>
            </w:r>
            <w:r>
              <w:rPr>
                <w:noProof/>
                <w:spacing w:val="-8"/>
                <w:sz w:val="20"/>
                <w:szCs w:val="20"/>
                <w:vertAlign w:val="superscript"/>
              </w:rPr>
              <w:t>o</w:t>
            </w:r>
            <w:r>
              <w:rPr>
                <w:noProof/>
                <w:spacing w:val="-8"/>
                <w:sz w:val="20"/>
                <w:szCs w:val="20"/>
              </w:rPr>
              <w:t> 34 de la CEE-ONU (Réservoirs de carburant — dispositifs de protection arrière)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pacing w:val="-8"/>
                <w:sz w:val="20"/>
                <w:szCs w:val="20"/>
              </w:rPr>
            </w:pPr>
            <w:r>
              <w:rPr>
                <w:i/>
                <w:noProof/>
                <w:spacing w:val="-8"/>
                <w:sz w:val="20"/>
                <w:szCs w:val="20"/>
              </w:rPr>
              <w:t>Réservoirs de carburant</w:t>
            </w:r>
            <w:r>
              <w:rPr>
                <w:noProof/>
                <w:spacing w:val="-8"/>
                <w:sz w:val="20"/>
                <w:szCs w:val="20"/>
              </w:rPr>
              <w:t xml:space="preserve"> </w:t>
            </w:r>
          </w:p>
          <w:p>
            <w:pPr>
              <w:spacing w:after="0"/>
              <w:ind w:left="380" w:hanging="380"/>
              <w:rPr>
                <w:rFonts w:eastAsia="Arial Unicode MS"/>
                <w:noProof/>
                <w:spacing w:val="-8"/>
                <w:sz w:val="20"/>
                <w:szCs w:val="20"/>
              </w:rPr>
            </w:pPr>
            <w:r>
              <w:rPr>
                <w:noProof/>
                <w:spacing w:val="-8"/>
                <w:sz w:val="20"/>
                <w:szCs w:val="20"/>
              </w:rPr>
              <w:t>a)</w:t>
            </w:r>
            <w:r>
              <w:rPr>
                <w:noProof/>
                <w:spacing w:val="-8"/>
                <w:sz w:val="20"/>
                <w:szCs w:val="20"/>
              </w:rPr>
              <w:tab/>
              <w:t>Les réservoirs de carburant doivent satisfaire aux prescriptions du paragraphe 5 du règlement n</w:t>
            </w:r>
            <w:r>
              <w:rPr>
                <w:noProof/>
                <w:spacing w:val="-8"/>
                <w:sz w:val="20"/>
                <w:szCs w:val="20"/>
                <w:vertAlign w:val="superscript"/>
              </w:rPr>
              <w:t>o</w:t>
            </w:r>
            <w:r>
              <w:rPr>
                <w:noProof/>
                <w:spacing w:val="-8"/>
                <w:sz w:val="20"/>
                <w:szCs w:val="20"/>
              </w:rPr>
              <w:t> 34 de la CEE-ONU, à l’exception des paragraphes 5.1, 5.2 et 5.12. En particulier, ils doivent être conformes aux paragraphes 5.9 et 5.9.1, mais aucun essai d’égouttement ne doit être effectué.</w:t>
            </w:r>
          </w:p>
          <w:p>
            <w:pPr>
              <w:spacing w:after="0"/>
              <w:ind w:left="380" w:hanging="380"/>
              <w:rPr>
                <w:rFonts w:eastAsia="Arial Unicode MS"/>
                <w:noProof/>
                <w:spacing w:val="-8"/>
                <w:sz w:val="20"/>
                <w:szCs w:val="20"/>
              </w:rPr>
            </w:pPr>
            <w:r>
              <w:rPr>
                <w:noProof/>
                <w:spacing w:val="-8"/>
                <w:sz w:val="20"/>
                <w:szCs w:val="20"/>
              </w:rPr>
              <w:t>b)</w:t>
            </w:r>
            <w:r>
              <w:rPr>
                <w:noProof/>
                <w:spacing w:val="-8"/>
                <w:sz w:val="20"/>
                <w:szCs w:val="20"/>
              </w:rPr>
              <w:tab/>
              <w:t>Les réservoirs de GPL et de GNC doivent faire l’objet d’une réception par type conformément, respectivement, au règlement n</w:t>
            </w:r>
            <w:r>
              <w:rPr>
                <w:noProof/>
                <w:spacing w:val="-8"/>
                <w:sz w:val="20"/>
                <w:szCs w:val="20"/>
                <w:vertAlign w:val="superscript"/>
              </w:rPr>
              <w:t>o</w:t>
            </w:r>
            <w:r>
              <w:rPr>
                <w:noProof/>
                <w:spacing w:val="-8"/>
                <w:sz w:val="20"/>
                <w:szCs w:val="20"/>
              </w:rPr>
              <w:t> 67, série 01 d’amendements, et au règlement n</w:t>
            </w:r>
            <w:r>
              <w:rPr>
                <w:noProof/>
                <w:spacing w:val="-8"/>
                <w:sz w:val="20"/>
                <w:szCs w:val="20"/>
                <w:vertAlign w:val="superscript"/>
              </w:rPr>
              <w:t>o</w:t>
            </w:r>
            <w:r>
              <w:rPr>
                <w:noProof/>
                <w:spacing w:val="-8"/>
                <w:sz w:val="20"/>
                <w:szCs w:val="20"/>
              </w:rPr>
              <w:t> 110, de la CEE-ONU (</w:t>
            </w:r>
            <w:r>
              <w:rPr>
                <w:noProof/>
                <w:spacing w:val="-8"/>
                <w:sz w:val="20"/>
                <w:szCs w:val="20"/>
                <w:vertAlign w:val="superscript"/>
              </w:rPr>
              <w:t>a</w:t>
            </w:r>
            <w:r>
              <w:rPr>
                <w:noProof/>
                <w:spacing w:val="-8"/>
                <w:sz w:val="20"/>
                <w:szCs w:val="20"/>
              </w:rPr>
              <w:t>).</w:t>
            </w:r>
          </w:p>
          <w:p>
            <w:pPr>
              <w:rPr>
                <w:rFonts w:eastAsia="Arial Unicode MS"/>
                <w:i/>
                <w:iCs/>
                <w:noProof/>
                <w:spacing w:val="-8"/>
                <w:sz w:val="20"/>
                <w:szCs w:val="20"/>
              </w:rPr>
            </w:pPr>
            <w:r>
              <w:rPr>
                <w:i/>
                <w:noProof/>
                <w:spacing w:val="-8"/>
                <w:sz w:val="20"/>
                <w:szCs w:val="20"/>
              </w:rPr>
              <w:t>Dispositions spécifiques pour les réservoirs de carburant fabriqués dans une matière plastique</w:t>
            </w:r>
          </w:p>
          <w:p>
            <w:pPr>
              <w:spacing w:after="0"/>
              <w:rPr>
                <w:rFonts w:eastAsia="Arial Unicode MS"/>
                <w:noProof/>
                <w:spacing w:val="-8"/>
                <w:sz w:val="20"/>
                <w:szCs w:val="20"/>
              </w:rPr>
            </w:pPr>
            <w:r>
              <w:rPr>
                <w:noProof/>
                <w:spacing w:val="-8"/>
                <w:sz w:val="20"/>
                <w:szCs w:val="20"/>
              </w:rPr>
              <w:t>Le demandeur doit présenter une déclaration du constructeur établissant que le réservoir de carburant du véhicule donné, dont le numéro VIN doit être précisé, est conforme à l’une au moins des dispositions suivantes:</w:t>
            </w:r>
          </w:p>
          <w:p>
            <w:pPr>
              <w:spacing w:before="60" w:after="60"/>
              <w:ind w:left="380" w:hanging="380"/>
              <w:rPr>
                <w:rFonts w:eastAsia="Arial Unicode MS"/>
                <w:noProof/>
                <w:spacing w:val="-8"/>
                <w:sz w:val="20"/>
                <w:szCs w:val="20"/>
              </w:rPr>
            </w:pPr>
            <w:r>
              <w:rPr>
                <w:noProof/>
                <w:spacing w:val="-8"/>
                <w:sz w:val="20"/>
                <w:szCs w:val="20"/>
              </w:rPr>
              <w:t>—</w:t>
            </w:r>
            <w:r>
              <w:rPr>
                <w:noProof/>
                <w:spacing w:val="-8"/>
                <w:sz w:val="20"/>
                <w:szCs w:val="20"/>
              </w:rPr>
              <w:tab/>
              <w:t>FMVSS n</w:t>
            </w:r>
            <w:r>
              <w:rPr>
                <w:noProof/>
                <w:spacing w:val="-8"/>
                <w:sz w:val="20"/>
                <w:szCs w:val="20"/>
                <w:vertAlign w:val="superscript"/>
              </w:rPr>
              <w:t>o</w:t>
            </w:r>
            <w:r>
              <w:rPr>
                <w:noProof/>
                <w:spacing w:val="-8"/>
                <w:sz w:val="20"/>
                <w:szCs w:val="20"/>
              </w:rPr>
              <w:t> 301 («Fuel system integrity»),</w:t>
            </w:r>
          </w:p>
          <w:p>
            <w:pPr>
              <w:spacing w:before="60" w:after="60"/>
              <w:ind w:left="380" w:hanging="380"/>
              <w:rPr>
                <w:rFonts w:eastAsia="Arial Unicode MS"/>
                <w:noProof/>
                <w:spacing w:val="-8"/>
                <w:sz w:val="20"/>
                <w:szCs w:val="20"/>
              </w:rPr>
            </w:pPr>
            <w:r>
              <w:rPr>
                <w:noProof/>
                <w:spacing w:val="-8"/>
                <w:sz w:val="20"/>
                <w:szCs w:val="20"/>
              </w:rPr>
              <w:t>—</w:t>
            </w:r>
            <w:r>
              <w:rPr>
                <w:noProof/>
                <w:spacing w:val="-8"/>
                <w:sz w:val="20"/>
                <w:szCs w:val="20"/>
              </w:rPr>
              <w:tab/>
              <w:t>annexe 5 du règlement n</w:t>
            </w:r>
            <w:r>
              <w:rPr>
                <w:noProof/>
                <w:spacing w:val="-8"/>
                <w:sz w:val="20"/>
                <w:szCs w:val="20"/>
                <w:vertAlign w:val="superscript"/>
              </w:rPr>
              <w:t>o</w:t>
            </w:r>
            <w:r>
              <w:rPr>
                <w:noProof/>
                <w:spacing w:val="-8"/>
                <w:sz w:val="20"/>
                <w:szCs w:val="20"/>
              </w:rPr>
              <w:t> 34 de la CEE-ONU.</w:t>
            </w:r>
          </w:p>
          <w:p>
            <w:pPr>
              <w:ind w:left="380" w:hanging="380"/>
              <w:rPr>
                <w:rFonts w:eastAsia="Arial Unicode MS"/>
                <w:noProof/>
                <w:spacing w:val="-8"/>
                <w:sz w:val="20"/>
                <w:szCs w:val="20"/>
              </w:rPr>
            </w:pPr>
            <w:r>
              <w:rPr>
                <w:i/>
                <w:noProof/>
                <w:spacing w:val="-8"/>
                <w:sz w:val="20"/>
                <w:szCs w:val="20"/>
              </w:rPr>
              <w:t>Dispositif de protection arrière</w:t>
            </w:r>
            <w:r>
              <w:rPr>
                <w:noProof/>
                <w:spacing w:val="-8"/>
                <w:sz w:val="20"/>
                <w:szCs w:val="20"/>
              </w:rPr>
              <w:t xml:space="preserve"> </w:t>
            </w:r>
          </w:p>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La partie arrière du véhicule doit être construite conformément aux paragraphes 8 et 9 du règlement n</w:t>
            </w:r>
            <w:r>
              <w:rPr>
                <w:noProof/>
                <w:spacing w:val="-8"/>
                <w:sz w:val="20"/>
                <w:szCs w:val="20"/>
                <w:vertAlign w:val="superscript"/>
              </w:rPr>
              <w:t>o</w:t>
            </w:r>
            <w:r>
              <w:rPr>
                <w:noProof/>
                <w:spacing w:val="-8"/>
                <w:sz w:val="20"/>
                <w:szCs w:val="20"/>
              </w:rPr>
              <w:t> 34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1003/2010</w:t>
            </w:r>
          </w:p>
          <w:p>
            <w:pPr>
              <w:spacing w:before="60" w:after="60"/>
              <w:jc w:val="left"/>
              <w:rPr>
                <w:rFonts w:eastAsia="Arial Unicode MS"/>
                <w:noProof/>
                <w:spacing w:val="-8"/>
                <w:sz w:val="20"/>
                <w:szCs w:val="20"/>
              </w:rPr>
            </w:pPr>
            <w:r>
              <w:rPr>
                <w:noProof/>
                <w:spacing w:val="-8"/>
                <w:sz w:val="20"/>
              </w:rPr>
              <w:t>(Emplacement pour plaque d’immatriculation arrière)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L’emplacement, l’inclinaison, les angles de visibilité et la position de la plaque d’immatriculation doivent être conformes au règlement (UE) n</w:t>
            </w:r>
            <w:r>
              <w:rPr>
                <w:noProof/>
                <w:spacing w:val="-8"/>
                <w:sz w:val="20"/>
                <w:vertAlign w:val="superscript"/>
              </w:rPr>
              <w:t>o</w:t>
            </w:r>
            <w:r>
              <w:rPr>
                <w:noProof/>
                <w:spacing w:val="-8"/>
                <w:sz w:val="20"/>
              </w:rPr>
              <w:t> 1003/2010.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szCs w:val="20"/>
              </w:rPr>
              <w:t>Règlement n</w:t>
            </w:r>
            <w:r>
              <w:rPr>
                <w:noProof/>
                <w:spacing w:val="-8"/>
                <w:sz w:val="20"/>
                <w:szCs w:val="20"/>
                <w:vertAlign w:val="superscript"/>
              </w:rPr>
              <w:t>o</w:t>
            </w:r>
            <w:r>
              <w:rPr>
                <w:noProof/>
                <w:spacing w:val="-8"/>
                <w:sz w:val="20"/>
                <w:szCs w:val="20"/>
              </w:rPr>
              <w:t> 79 de la CEE-ONU (Effort de direction)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pacing w:val="-8"/>
                <w:sz w:val="20"/>
                <w:szCs w:val="20"/>
              </w:rPr>
            </w:pPr>
            <w:r>
              <w:rPr>
                <w:i/>
                <w:noProof/>
                <w:spacing w:val="-8"/>
                <w:sz w:val="20"/>
                <w:szCs w:val="20"/>
              </w:rPr>
              <w:t>Systèmes mécaniques</w:t>
            </w:r>
            <w:r>
              <w:rPr>
                <w:noProof/>
                <w:spacing w:val="-8"/>
                <w:sz w:val="20"/>
                <w:szCs w:val="20"/>
              </w:rPr>
              <w:t xml:space="preserve"> </w:t>
            </w:r>
          </w:p>
          <w:p>
            <w:pPr>
              <w:spacing w:after="0"/>
              <w:ind w:left="380" w:hanging="380"/>
              <w:rPr>
                <w:rFonts w:eastAsia="Arial Unicode MS"/>
                <w:noProof/>
                <w:spacing w:val="-8"/>
                <w:sz w:val="20"/>
                <w:szCs w:val="20"/>
              </w:rPr>
            </w:pPr>
            <w:r>
              <w:rPr>
                <w:noProof/>
                <w:spacing w:val="-8"/>
                <w:sz w:val="20"/>
                <w:szCs w:val="20"/>
              </w:rPr>
              <w:t>a)</w:t>
            </w:r>
            <w:r>
              <w:rPr>
                <w:noProof/>
                <w:spacing w:val="-8"/>
                <w:sz w:val="20"/>
                <w:szCs w:val="20"/>
              </w:rPr>
              <w:tab/>
              <w:t>Le mécanisme de direction doit être construit de sorte à se recentrer de lui-même. Afin de vérifier la conformité à cette disposition, il est procédé à un essai conformément aux paragraphes 6.1.2 et 6.2.1 du règlement n</w:t>
            </w:r>
            <w:r>
              <w:rPr>
                <w:noProof/>
                <w:spacing w:val="-8"/>
                <w:sz w:val="20"/>
                <w:szCs w:val="20"/>
                <w:vertAlign w:val="superscript"/>
              </w:rPr>
              <w:t>o</w:t>
            </w:r>
            <w:r>
              <w:rPr>
                <w:noProof/>
                <w:spacing w:val="-8"/>
                <w:sz w:val="20"/>
                <w:szCs w:val="20"/>
              </w:rPr>
              <w:t> 79 de la CEE-ONU.</w:t>
            </w:r>
          </w:p>
          <w:p>
            <w:pPr>
              <w:spacing w:after="0"/>
              <w:ind w:left="380" w:hanging="380"/>
              <w:rPr>
                <w:rFonts w:eastAsia="Arial Unicode MS"/>
                <w:noProof/>
                <w:spacing w:val="-8"/>
                <w:sz w:val="20"/>
                <w:szCs w:val="20"/>
              </w:rPr>
            </w:pPr>
            <w:r>
              <w:rPr>
                <w:noProof/>
                <w:spacing w:val="-8"/>
                <w:sz w:val="20"/>
                <w:szCs w:val="20"/>
              </w:rPr>
              <w:t>b)</w:t>
            </w:r>
            <w:r>
              <w:rPr>
                <w:noProof/>
                <w:spacing w:val="-8"/>
                <w:sz w:val="20"/>
                <w:szCs w:val="20"/>
              </w:rPr>
              <w:tab/>
              <w:t>La défaillance du mécanisme de direction ne doit pas entraîner une perte de contrôle complète du véhicule.</w:t>
            </w:r>
          </w:p>
          <w:p>
            <w:pPr>
              <w:rPr>
                <w:rFonts w:eastAsia="Arial Unicode MS"/>
                <w:i/>
                <w:iCs/>
                <w:noProof/>
                <w:spacing w:val="-8"/>
                <w:sz w:val="20"/>
                <w:szCs w:val="20"/>
              </w:rPr>
            </w:pPr>
            <w:r>
              <w:rPr>
                <w:i/>
                <w:noProof/>
                <w:spacing w:val="-8"/>
                <w:sz w:val="20"/>
                <w:szCs w:val="20"/>
              </w:rPr>
              <w:t>Système complexe de commande électronique du véhicule (dispositifs de «commande électronique»)</w:t>
            </w:r>
          </w:p>
          <w:p>
            <w:pPr>
              <w:spacing w:after="0"/>
              <w:rPr>
                <w:rFonts w:eastAsia="Arial Unicode MS"/>
                <w:noProof/>
                <w:spacing w:val="-8"/>
                <w:sz w:val="20"/>
                <w:szCs w:val="20"/>
              </w:rPr>
            </w:pPr>
            <w:r>
              <w:rPr>
                <w:noProof/>
                <w:spacing w:val="-8"/>
                <w:sz w:val="20"/>
                <w:szCs w:val="20"/>
              </w:rPr>
              <w:t>Un système complexe de commande électronique n’est permis que s’il est conforme à l’annexe 6 du règlement n</w:t>
            </w:r>
            <w:r>
              <w:rPr>
                <w:noProof/>
                <w:spacing w:val="-8"/>
                <w:sz w:val="20"/>
                <w:szCs w:val="20"/>
                <w:vertAlign w:val="superscript"/>
              </w:rPr>
              <w:t>o</w:t>
            </w:r>
            <w:r>
              <w:rPr>
                <w:noProof/>
                <w:spacing w:val="-8"/>
                <w:sz w:val="20"/>
                <w:szCs w:val="20"/>
              </w:rPr>
              <w:t> 79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11 de la CEE-ONU (Serrures et charnières de portes)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Conformité au paragraphe 6.1.5.4 du règlement n</w:t>
            </w:r>
            <w:r>
              <w:rPr>
                <w:noProof/>
                <w:spacing w:val="-8"/>
                <w:sz w:val="20"/>
                <w:vertAlign w:val="superscript"/>
              </w:rPr>
              <w:t>o</w:t>
            </w:r>
            <w:r>
              <w:rPr>
                <w:noProof/>
                <w:spacing w:val="-8"/>
                <w:sz w:val="20"/>
              </w:rPr>
              <w:t> 11 de la CEE-ONU</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28 de la CEE-ONU (Avertisseur sonore)</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pacing w:val="-8"/>
                <w:sz w:val="20"/>
                <w:szCs w:val="20"/>
              </w:rPr>
            </w:pPr>
            <w:r>
              <w:rPr>
                <w:i/>
                <w:noProof/>
                <w:spacing w:val="-8"/>
                <w:sz w:val="20"/>
                <w:szCs w:val="20"/>
              </w:rPr>
              <w:t>Composants</w:t>
            </w:r>
          </w:p>
          <w:p>
            <w:pPr>
              <w:spacing w:after="0"/>
              <w:rPr>
                <w:rFonts w:eastAsia="Arial Unicode MS"/>
                <w:noProof/>
                <w:spacing w:val="-8"/>
                <w:sz w:val="20"/>
                <w:szCs w:val="20"/>
              </w:rPr>
            </w:pPr>
            <w:r>
              <w:rPr>
                <w:noProof/>
                <w:spacing w:val="-8"/>
                <w:sz w:val="20"/>
                <w:szCs w:val="20"/>
              </w:rPr>
              <w:t>Il n’est pas nécessaire que les dispositifs d’avertissement sonore soient réceptionnés par type conformément au règlement n</w:t>
            </w:r>
            <w:r>
              <w:rPr>
                <w:noProof/>
                <w:spacing w:val="-8"/>
                <w:sz w:val="20"/>
                <w:szCs w:val="20"/>
                <w:vertAlign w:val="superscript"/>
              </w:rPr>
              <w:t>o</w:t>
            </w:r>
            <w:r>
              <w:rPr>
                <w:noProof/>
                <w:spacing w:val="-8"/>
                <w:sz w:val="20"/>
                <w:szCs w:val="20"/>
              </w:rPr>
              <w:t> 28 de la CEE-ONU. Ils doivent toutefois émettre un son continu comme l’exige le paragraphe 6.1.1 du règlement n</w:t>
            </w:r>
            <w:r>
              <w:rPr>
                <w:noProof/>
                <w:spacing w:val="-8"/>
                <w:sz w:val="20"/>
                <w:szCs w:val="20"/>
                <w:vertAlign w:val="superscript"/>
              </w:rPr>
              <w:t>o</w:t>
            </w:r>
            <w:r>
              <w:rPr>
                <w:noProof/>
                <w:spacing w:val="-8"/>
                <w:sz w:val="20"/>
                <w:szCs w:val="20"/>
              </w:rPr>
              <w:t> 28 de la CEE-ONU.</w:t>
            </w:r>
          </w:p>
          <w:p>
            <w:pPr>
              <w:spacing w:before="60" w:after="0"/>
              <w:rPr>
                <w:rFonts w:eastAsia="Arial Unicode MS"/>
                <w:noProof/>
                <w:spacing w:val="-8"/>
                <w:sz w:val="20"/>
                <w:szCs w:val="20"/>
              </w:rPr>
            </w:pPr>
            <w:r>
              <w:rPr>
                <w:i/>
                <w:noProof/>
                <w:spacing w:val="-8"/>
                <w:sz w:val="20"/>
                <w:szCs w:val="20"/>
              </w:rPr>
              <w:t>Installation dans le véhicule</w:t>
            </w:r>
            <w:r>
              <w:rPr>
                <w:noProof/>
                <w:spacing w:val="-8"/>
                <w:sz w:val="20"/>
                <w:szCs w:val="20"/>
              </w:rPr>
              <w:t xml:space="preserve"> </w:t>
            </w:r>
          </w:p>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L’essai doit être réalisé conformément au paragraphe 6.2 du règlement n</w:t>
            </w:r>
            <w:r>
              <w:rPr>
                <w:noProof/>
                <w:spacing w:val="-8"/>
                <w:sz w:val="20"/>
                <w:szCs w:val="20"/>
                <w:vertAlign w:val="superscript"/>
              </w:rPr>
              <w:t>o</w:t>
            </w:r>
            <w:r>
              <w:rPr>
                <w:noProof/>
                <w:spacing w:val="-8"/>
                <w:sz w:val="20"/>
                <w:szCs w:val="20"/>
              </w:rPr>
              <w:t> 28 de la CEE-ONU.</w:t>
            </w:r>
          </w:p>
          <w:p>
            <w:pPr>
              <w:spacing w:before="60"/>
              <w:ind w:left="380" w:hanging="380"/>
              <w:rPr>
                <w:rFonts w:eastAsia="Arial Unicode MS"/>
                <w:noProof/>
                <w:spacing w:val="-8"/>
                <w:sz w:val="20"/>
                <w:szCs w:val="20"/>
              </w:rPr>
            </w:pPr>
            <w:r>
              <w:rPr>
                <w:noProof/>
                <w:spacing w:val="-8"/>
                <w:sz w:val="20"/>
                <w:szCs w:val="20"/>
              </w:rPr>
              <w:t>b)</w:t>
            </w:r>
            <w:r>
              <w:rPr>
                <w:noProof/>
                <w:spacing w:val="-8"/>
                <w:sz w:val="20"/>
                <w:szCs w:val="20"/>
              </w:rPr>
              <w:tab/>
              <w:t>Le niveau de pression sonore maximal doit être conforme au paragraphe 6.2.7.</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46 de la CEE-ONU (Systèmes de vision indirecte)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pacing w:val="-8"/>
                <w:sz w:val="20"/>
                <w:szCs w:val="20"/>
              </w:rPr>
            </w:pPr>
            <w:r>
              <w:rPr>
                <w:i/>
                <w:noProof/>
                <w:spacing w:val="-8"/>
                <w:sz w:val="20"/>
                <w:szCs w:val="20"/>
              </w:rPr>
              <w:t>Composants</w:t>
            </w:r>
            <w:r>
              <w:rPr>
                <w:noProof/>
                <w:spacing w:val="-8"/>
                <w:sz w:val="20"/>
                <w:szCs w:val="20"/>
              </w:rPr>
              <w:t xml:space="preserve"> </w:t>
            </w:r>
          </w:p>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Le véhicule doit être équipé des rétroviseurs prescrits au paragraphe 15.2 du règlement n</w:t>
            </w:r>
            <w:r>
              <w:rPr>
                <w:noProof/>
                <w:spacing w:val="-8"/>
                <w:sz w:val="20"/>
                <w:szCs w:val="20"/>
                <w:vertAlign w:val="superscript"/>
              </w:rPr>
              <w:t>o</w:t>
            </w:r>
            <w:r>
              <w:rPr>
                <w:noProof/>
                <w:spacing w:val="-8"/>
                <w:sz w:val="20"/>
                <w:szCs w:val="20"/>
              </w:rPr>
              <w:t> 46 de la CEE-ONU.</w:t>
            </w:r>
          </w:p>
          <w:p>
            <w:pPr>
              <w:spacing w:before="60" w:after="0"/>
              <w:ind w:left="380" w:hanging="380"/>
              <w:rPr>
                <w:rFonts w:eastAsia="Arial Unicode MS"/>
                <w:noProof/>
                <w:spacing w:val="-8"/>
                <w:sz w:val="20"/>
                <w:szCs w:val="20"/>
              </w:rPr>
            </w:pPr>
            <w:r>
              <w:rPr>
                <w:noProof/>
                <w:spacing w:val="-8"/>
                <w:sz w:val="20"/>
                <w:szCs w:val="20"/>
              </w:rPr>
              <w:t>b)</w:t>
            </w:r>
            <w:r>
              <w:rPr>
                <w:noProof/>
                <w:spacing w:val="-8"/>
                <w:sz w:val="20"/>
                <w:szCs w:val="20"/>
              </w:rPr>
              <w:tab/>
              <w:t>Il n’est pas nécessaire que les rétroviseurs soient réceptionnés par type conformément au règlement n</w:t>
            </w:r>
            <w:r>
              <w:rPr>
                <w:noProof/>
                <w:spacing w:val="-8"/>
                <w:sz w:val="20"/>
                <w:szCs w:val="20"/>
                <w:vertAlign w:val="superscript"/>
              </w:rPr>
              <w:t>o</w:t>
            </w:r>
            <w:r>
              <w:rPr>
                <w:noProof/>
                <w:spacing w:val="-8"/>
                <w:sz w:val="20"/>
                <w:szCs w:val="20"/>
              </w:rPr>
              <w:t> 46 de la CEE-ONU.</w:t>
            </w:r>
          </w:p>
          <w:p>
            <w:pPr>
              <w:spacing w:before="60" w:after="0"/>
              <w:ind w:left="380" w:hanging="380"/>
              <w:rPr>
                <w:rFonts w:eastAsia="Arial Unicode MS"/>
                <w:noProof/>
                <w:spacing w:val="-8"/>
                <w:sz w:val="20"/>
                <w:szCs w:val="20"/>
              </w:rPr>
            </w:pPr>
            <w:r>
              <w:rPr>
                <w:noProof/>
                <w:spacing w:val="-8"/>
                <w:sz w:val="20"/>
                <w:szCs w:val="20"/>
              </w:rPr>
              <w:t>c)</w:t>
            </w:r>
            <w:r>
              <w:rPr>
                <w:noProof/>
                <w:spacing w:val="-8"/>
                <w:sz w:val="20"/>
                <w:szCs w:val="20"/>
              </w:rPr>
              <w:tab/>
              <w:t>Le rayon de courbure des rétroviseurs ne doit pas causer de distorsions importantes de l’image. Le service technique peut décider de vérifier le rayon de courbure selon la méthode décrite dans l’appendice 1 de l’annexe 7 du règlement n</w:t>
            </w:r>
            <w:r>
              <w:rPr>
                <w:noProof/>
                <w:spacing w:val="-8"/>
                <w:sz w:val="20"/>
                <w:szCs w:val="20"/>
                <w:vertAlign w:val="superscript"/>
              </w:rPr>
              <w:t>o</w:t>
            </w:r>
            <w:r>
              <w:rPr>
                <w:noProof/>
                <w:spacing w:val="-8"/>
                <w:sz w:val="20"/>
                <w:szCs w:val="20"/>
              </w:rPr>
              <w:t> 46 de la CEE-ONU. Les rayons de courbure ne doivent pas être inférieurs à ceux prescrits au paragraphe 6.1.2.2.4 du règlement n</w:t>
            </w:r>
            <w:r>
              <w:rPr>
                <w:noProof/>
                <w:spacing w:val="-8"/>
                <w:sz w:val="20"/>
                <w:szCs w:val="20"/>
                <w:vertAlign w:val="superscript"/>
              </w:rPr>
              <w:t>o</w:t>
            </w:r>
            <w:r>
              <w:rPr>
                <w:noProof/>
                <w:spacing w:val="-8"/>
                <w:sz w:val="20"/>
                <w:szCs w:val="20"/>
              </w:rPr>
              <w:t> 46 de la CEE-ONU.</w:t>
            </w:r>
          </w:p>
          <w:p>
            <w:pPr>
              <w:ind w:left="380" w:hanging="380"/>
              <w:rPr>
                <w:rFonts w:eastAsia="Arial Unicode MS"/>
                <w:i/>
                <w:iCs/>
                <w:noProof/>
                <w:spacing w:val="-8"/>
                <w:sz w:val="20"/>
                <w:szCs w:val="20"/>
              </w:rPr>
            </w:pPr>
            <w:r>
              <w:rPr>
                <w:i/>
                <w:noProof/>
                <w:spacing w:val="-8"/>
                <w:sz w:val="20"/>
                <w:szCs w:val="20"/>
              </w:rPr>
              <w:t>Installation sur le véhicule</w:t>
            </w:r>
          </w:p>
          <w:p>
            <w:pPr>
              <w:spacing w:after="0"/>
              <w:rPr>
                <w:rFonts w:eastAsia="Arial Unicode MS"/>
                <w:noProof/>
                <w:spacing w:val="-8"/>
                <w:sz w:val="20"/>
                <w:szCs w:val="20"/>
              </w:rPr>
            </w:pPr>
            <w:r>
              <w:rPr>
                <w:noProof/>
                <w:spacing w:val="-8"/>
                <w:sz w:val="20"/>
                <w:szCs w:val="20"/>
              </w:rPr>
              <w:t>Des mesures doivent être effectuées pour s’assurer que les champs de vision sont conformes au paragraphe 15.2.4 du règlement n</w:t>
            </w:r>
            <w:r>
              <w:rPr>
                <w:noProof/>
                <w:spacing w:val="-8"/>
                <w:sz w:val="20"/>
                <w:szCs w:val="20"/>
                <w:vertAlign w:val="superscript"/>
              </w:rPr>
              <w:t>o</w:t>
            </w:r>
            <w:r>
              <w:rPr>
                <w:noProof/>
                <w:spacing w:val="-8"/>
                <w:sz w:val="20"/>
                <w:szCs w:val="20"/>
              </w:rPr>
              <w:t> 46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13-H de la CEE-ONU</w:t>
            </w:r>
          </w:p>
          <w:p>
            <w:pPr>
              <w:spacing w:before="60" w:after="60"/>
              <w:jc w:val="left"/>
              <w:rPr>
                <w:rFonts w:eastAsia="Arial Unicode MS"/>
                <w:noProof/>
                <w:spacing w:val="-8"/>
                <w:sz w:val="20"/>
                <w:szCs w:val="20"/>
              </w:rPr>
            </w:pPr>
            <w:r>
              <w:rPr>
                <w:noProof/>
                <w:spacing w:val="-8"/>
                <w:sz w:val="20"/>
              </w:rPr>
              <w:t>(Freinage)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pacing w:val="-8"/>
                <w:sz w:val="20"/>
                <w:szCs w:val="20"/>
              </w:rPr>
            </w:pPr>
            <w:r>
              <w:rPr>
                <w:i/>
                <w:noProof/>
                <w:spacing w:val="-8"/>
                <w:sz w:val="20"/>
                <w:szCs w:val="20"/>
              </w:rPr>
              <w:t>Dispositions générales</w:t>
            </w:r>
            <w:r>
              <w:rPr>
                <w:noProof/>
                <w:spacing w:val="-8"/>
                <w:sz w:val="20"/>
                <w:szCs w:val="20"/>
              </w:rPr>
              <w:t xml:space="preserve"> </w:t>
            </w:r>
          </w:p>
          <w:p>
            <w:pPr>
              <w:spacing w:after="0"/>
              <w:ind w:left="380" w:hanging="380"/>
              <w:rPr>
                <w:rFonts w:eastAsia="Arial Unicode MS"/>
                <w:noProof/>
                <w:spacing w:val="-8"/>
                <w:sz w:val="20"/>
                <w:szCs w:val="20"/>
              </w:rPr>
            </w:pPr>
            <w:r>
              <w:rPr>
                <w:noProof/>
                <w:spacing w:val="-8"/>
                <w:sz w:val="20"/>
                <w:szCs w:val="20"/>
              </w:rPr>
              <w:t>a)</w:t>
            </w:r>
            <w:r>
              <w:rPr>
                <w:noProof/>
                <w:spacing w:val="-8"/>
                <w:sz w:val="20"/>
                <w:szCs w:val="20"/>
              </w:rPr>
              <w:tab/>
              <w:t>Le système de freinage doit être réalisé conformément au paragraphe 5 du règlement n</w:t>
            </w:r>
            <w:r>
              <w:rPr>
                <w:noProof/>
                <w:spacing w:val="-8"/>
                <w:sz w:val="20"/>
                <w:szCs w:val="20"/>
                <w:vertAlign w:val="superscript"/>
              </w:rPr>
              <w:t>o</w:t>
            </w:r>
            <w:r>
              <w:rPr>
                <w:noProof/>
                <w:spacing w:val="-8"/>
                <w:sz w:val="20"/>
                <w:szCs w:val="20"/>
              </w:rPr>
              <w:t> 13-H de la CEE-ONU.</w:t>
            </w:r>
          </w:p>
          <w:p>
            <w:pPr>
              <w:spacing w:after="0"/>
              <w:ind w:left="380" w:hanging="380"/>
              <w:rPr>
                <w:rFonts w:eastAsia="Arial Unicode MS"/>
                <w:noProof/>
                <w:spacing w:val="-8"/>
                <w:sz w:val="20"/>
                <w:szCs w:val="20"/>
              </w:rPr>
            </w:pPr>
            <w:r>
              <w:rPr>
                <w:noProof/>
                <w:spacing w:val="-8"/>
                <w:sz w:val="20"/>
                <w:szCs w:val="20"/>
              </w:rPr>
              <w:t>b)</w:t>
            </w:r>
            <w:r>
              <w:rPr>
                <w:noProof/>
                <w:spacing w:val="-8"/>
                <w:sz w:val="20"/>
                <w:szCs w:val="20"/>
              </w:rPr>
              <w:tab/>
              <w:t>Les véhicules doivent être équipés d’un système électronique de freinage antiblocage agissant sur toutes les roues.</w:t>
            </w:r>
          </w:p>
          <w:p>
            <w:pPr>
              <w:spacing w:after="0"/>
              <w:ind w:left="380" w:hanging="380"/>
              <w:rPr>
                <w:rFonts w:eastAsia="Arial Unicode MS"/>
                <w:noProof/>
                <w:spacing w:val="-8"/>
                <w:sz w:val="20"/>
                <w:szCs w:val="20"/>
              </w:rPr>
            </w:pPr>
            <w:r>
              <w:rPr>
                <w:noProof/>
                <w:spacing w:val="-8"/>
                <w:sz w:val="20"/>
                <w:szCs w:val="20"/>
              </w:rPr>
              <w:t>c)</w:t>
            </w:r>
            <w:r>
              <w:rPr>
                <w:noProof/>
                <w:spacing w:val="-8"/>
                <w:sz w:val="20"/>
                <w:szCs w:val="20"/>
              </w:rPr>
              <w:tab/>
              <w:t>Les performances du système de freinage doivent être conformes à l’annexe III du règlement n</w:t>
            </w:r>
            <w:r>
              <w:rPr>
                <w:noProof/>
                <w:spacing w:val="-8"/>
                <w:sz w:val="20"/>
                <w:szCs w:val="20"/>
                <w:vertAlign w:val="superscript"/>
              </w:rPr>
              <w:t>o</w:t>
            </w:r>
            <w:r>
              <w:rPr>
                <w:noProof/>
                <w:spacing w:val="-8"/>
                <w:sz w:val="20"/>
                <w:szCs w:val="20"/>
              </w:rPr>
              <w:t> 13-H de la CEE-ONU.</w:t>
            </w:r>
          </w:p>
          <w:p>
            <w:pPr>
              <w:spacing w:after="0"/>
              <w:ind w:left="380" w:hanging="380"/>
              <w:rPr>
                <w:rFonts w:eastAsia="Arial Unicode MS"/>
                <w:noProof/>
                <w:spacing w:val="-8"/>
                <w:sz w:val="20"/>
                <w:szCs w:val="20"/>
              </w:rPr>
            </w:pPr>
            <w:r>
              <w:rPr>
                <w:noProof/>
                <w:spacing w:val="-8"/>
                <w:sz w:val="20"/>
                <w:szCs w:val="20"/>
              </w:rPr>
              <w:t>d)</w:t>
            </w:r>
            <w:r>
              <w:rPr>
                <w:noProof/>
                <w:spacing w:val="-8"/>
                <w:sz w:val="20"/>
                <w:szCs w:val="20"/>
              </w:rPr>
              <w:tab/>
              <w:t>À ces fins, des essais routiers doivent être effectués sur une piste possédant un revêtement à forte adhérence. L’essai sur le frein de stationnement doit être effectué sur une pente de 18 % (en montée et en descente).</w:t>
            </w:r>
          </w:p>
          <w:p>
            <w:pPr>
              <w:spacing w:before="60" w:after="60"/>
              <w:ind w:left="380"/>
              <w:rPr>
                <w:rFonts w:eastAsia="Arial Unicode MS"/>
                <w:noProof/>
                <w:spacing w:val="-8"/>
                <w:sz w:val="20"/>
                <w:szCs w:val="20"/>
              </w:rPr>
            </w:pPr>
            <w:r>
              <w:rPr>
                <w:noProof/>
                <w:spacing w:val="-8"/>
                <w:sz w:val="20"/>
                <w:szCs w:val="20"/>
              </w:rPr>
              <w:t>Seuls les essais mentionnés ci-dessous sous «Frein de service» et «Frein de stationnement» doivent être effectués. Dans chaque cas, le véhicule doit être à pleine charge.</w:t>
            </w:r>
          </w:p>
          <w:p>
            <w:pPr>
              <w:spacing w:after="0"/>
              <w:ind w:left="380" w:hanging="380"/>
              <w:rPr>
                <w:rFonts w:eastAsia="Arial Unicode MS"/>
                <w:noProof/>
                <w:spacing w:val="-8"/>
                <w:sz w:val="20"/>
                <w:szCs w:val="20"/>
              </w:rPr>
            </w:pPr>
            <w:r>
              <w:rPr>
                <w:noProof/>
                <w:spacing w:val="-8"/>
                <w:sz w:val="20"/>
                <w:szCs w:val="20"/>
              </w:rPr>
              <w:t>e)</w:t>
            </w:r>
            <w:r>
              <w:rPr>
                <w:noProof/>
                <w:spacing w:val="-8"/>
                <w:sz w:val="20"/>
                <w:szCs w:val="20"/>
              </w:rPr>
              <w:tab/>
              <w:t>Il n’est pas nécessaire d’effectuer l’essai routier visé au point c) si le demandeur est en mesure de présenter une déclaration du constructeur établissant que le véhicule satisfait aux prescriptions du règlement n</w:t>
            </w:r>
            <w:r>
              <w:rPr>
                <w:noProof/>
                <w:spacing w:val="-8"/>
                <w:sz w:val="20"/>
                <w:szCs w:val="20"/>
                <w:vertAlign w:val="superscript"/>
              </w:rPr>
              <w:t>o</w:t>
            </w:r>
            <w:r>
              <w:rPr>
                <w:noProof/>
                <w:spacing w:val="-8"/>
                <w:sz w:val="20"/>
                <w:szCs w:val="20"/>
              </w:rPr>
              <w:t> 13-H de la CEE-ONU, y compris le complément 5, ou de la norme FMVSS n</w:t>
            </w:r>
            <w:r>
              <w:rPr>
                <w:noProof/>
                <w:spacing w:val="-8"/>
                <w:sz w:val="20"/>
                <w:szCs w:val="20"/>
                <w:vertAlign w:val="superscript"/>
              </w:rPr>
              <w:t>o</w:t>
            </w:r>
            <w:r>
              <w:rPr>
                <w:noProof/>
                <w:spacing w:val="-8"/>
                <w:sz w:val="20"/>
                <w:szCs w:val="20"/>
              </w:rPr>
              <w:t> 135.</w:t>
            </w:r>
          </w:p>
          <w:p>
            <w:pPr>
              <w:ind w:left="380" w:hanging="380"/>
              <w:rPr>
                <w:rFonts w:eastAsia="Arial Unicode MS"/>
                <w:noProof/>
                <w:spacing w:val="-8"/>
                <w:sz w:val="20"/>
                <w:szCs w:val="20"/>
              </w:rPr>
            </w:pPr>
            <w:r>
              <w:rPr>
                <w:i/>
                <w:noProof/>
                <w:spacing w:val="-8"/>
                <w:sz w:val="20"/>
                <w:szCs w:val="20"/>
              </w:rPr>
              <w:lastRenderedPageBreak/>
              <w:t>Frein de service</w:t>
            </w:r>
            <w:r>
              <w:rPr>
                <w:noProof/>
                <w:spacing w:val="-8"/>
                <w:sz w:val="20"/>
                <w:szCs w:val="20"/>
              </w:rPr>
              <w:t xml:space="preserve"> </w:t>
            </w:r>
          </w:p>
          <w:p>
            <w:pPr>
              <w:spacing w:after="0"/>
              <w:ind w:left="380" w:hanging="380"/>
              <w:rPr>
                <w:rFonts w:eastAsia="Arial Unicode MS"/>
                <w:noProof/>
                <w:spacing w:val="-8"/>
                <w:sz w:val="20"/>
                <w:szCs w:val="20"/>
              </w:rPr>
            </w:pPr>
            <w:r>
              <w:rPr>
                <w:noProof/>
                <w:spacing w:val="-8"/>
                <w:sz w:val="20"/>
                <w:szCs w:val="20"/>
              </w:rPr>
              <w:t>a)</w:t>
            </w:r>
            <w:r>
              <w:rPr>
                <w:noProof/>
                <w:spacing w:val="-8"/>
                <w:sz w:val="20"/>
                <w:szCs w:val="20"/>
              </w:rPr>
              <w:tab/>
              <w:t>Un essai de «type 0», tel que prescrit aux paragraphes 1.4.2 et 1.4.3 de l’annexe 3 du règlement n</w:t>
            </w:r>
            <w:r>
              <w:rPr>
                <w:noProof/>
                <w:spacing w:val="-8"/>
                <w:sz w:val="20"/>
                <w:szCs w:val="20"/>
                <w:vertAlign w:val="superscript"/>
              </w:rPr>
              <w:t>o</w:t>
            </w:r>
            <w:r>
              <w:rPr>
                <w:noProof/>
                <w:spacing w:val="-8"/>
                <w:sz w:val="20"/>
                <w:szCs w:val="20"/>
              </w:rPr>
              <w:t> 13-H de la CEE-ONU, doit être effectué.</w:t>
            </w:r>
          </w:p>
          <w:p>
            <w:pPr>
              <w:spacing w:after="0"/>
              <w:ind w:left="380" w:hanging="380"/>
              <w:rPr>
                <w:rFonts w:eastAsia="Arial Unicode MS"/>
                <w:noProof/>
                <w:spacing w:val="-8"/>
                <w:sz w:val="20"/>
                <w:szCs w:val="20"/>
              </w:rPr>
            </w:pPr>
            <w:r>
              <w:rPr>
                <w:noProof/>
                <w:spacing w:val="-8"/>
                <w:sz w:val="20"/>
                <w:szCs w:val="20"/>
              </w:rPr>
              <w:t>b)</w:t>
            </w:r>
            <w:r>
              <w:rPr>
                <w:noProof/>
                <w:spacing w:val="-8"/>
                <w:sz w:val="20"/>
                <w:szCs w:val="20"/>
              </w:rPr>
              <w:tab/>
              <w:t>En outre, un essai de «type I», tel que prescrit au paragraphe 1.5 de l’annexe 3 du règlement n</w:t>
            </w:r>
            <w:r>
              <w:rPr>
                <w:noProof/>
                <w:spacing w:val="-8"/>
                <w:sz w:val="20"/>
                <w:szCs w:val="20"/>
                <w:vertAlign w:val="superscript"/>
              </w:rPr>
              <w:t>o</w:t>
            </w:r>
            <w:r>
              <w:rPr>
                <w:noProof/>
                <w:spacing w:val="-8"/>
                <w:sz w:val="20"/>
                <w:szCs w:val="20"/>
              </w:rPr>
              <w:t> 13-H de la CEE-ONU, doit être effectué.</w:t>
            </w:r>
          </w:p>
          <w:p>
            <w:pPr>
              <w:ind w:left="380" w:hanging="380"/>
              <w:rPr>
                <w:rFonts w:eastAsia="Arial Unicode MS"/>
                <w:i/>
                <w:iCs/>
                <w:noProof/>
                <w:spacing w:val="-8"/>
                <w:sz w:val="20"/>
                <w:szCs w:val="20"/>
              </w:rPr>
            </w:pPr>
            <w:r>
              <w:rPr>
                <w:i/>
                <w:noProof/>
                <w:spacing w:val="-8"/>
                <w:sz w:val="20"/>
                <w:szCs w:val="20"/>
              </w:rPr>
              <w:t>Frein de stationnement</w:t>
            </w:r>
          </w:p>
          <w:p>
            <w:pPr>
              <w:spacing w:after="0"/>
              <w:rPr>
                <w:rFonts w:eastAsia="Arial Unicode MS"/>
                <w:noProof/>
                <w:spacing w:val="-8"/>
                <w:sz w:val="20"/>
                <w:szCs w:val="20"/>
              </w:rPr>
            </w:pPr>
            <w:r>
              <w:rPr>
                <w:noProof/>
                <w:spacing w:val="-8"/>
                <w:sz w:val="20"/>
                <w:szCs w:val="20"/>
              </w:rPr>
              <w:t>Un essai doit être réalisé conformément au paragraphe 2.3 de l’annexe 3 du règlement n</w:t>
            </w:r>
            <w:r>
              <w:rPr>
                <w:noProof/>
                <w:spacing w:val="-8"/>
                <w:sz w:val="20"/>
                <w:szCs w:val="20"/>
                <w:vertAlign w:val="superscript"/>
              </w:rPr>
              <w:t>o</w:t>
            </w:r>
            <w:r>
              <w:rPr>
                <w:noProof/>
                <w:spacing w:val="-8"/>
                <w:sz w:val="20"/>
                <w:szCs w:val="20"/>
              </w:rPr>
              <w:t> 13-H de la CEE-ONU.</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10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10 de la CEE-ONU [Parasites radioélectriques (compatibilité électromagnétique)]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pacing w:val="-8"/>
                <w:sz w:val="20"/>
                <w:szCs w:val="20"/>
              </w:rPr>
            </w:pPr>
            <w:r>
              <w:rPr>
                <w:i/>
                <w:noProof/>
                <w:spacing w:val="-8"/>
                <w:sz w:val="20"/>
                <w:szCs w:val="20"/>
              </w:rPr>
              <w:t>Composants</w:t>
            </w:r>
            <w:r>
              <w:rPr>
                <w:noProof/>
                <w:spacing w:val="-8"/>
                <w:sz w:val="20"/>
                <w:szCs w:val="20"/>
              </w:rPr>
              <w:t xml:space="preserve"> </w:t>
            </w:r>
          </w:p>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Il n’est pas nécessaire que les sous-ensembles électriques/électroniques soient réceptionnés par type conformément au règlement n</w:t>
            </w:r>
            <w:r>
              <w:rPr>
                <w:noProof/>
                <w:spacing w:val="-8"/>
                <w:sz w:val="20"/>
                <w:szCs w:val="20"/>
                <w:vertAlign w:val="superscript"/>
              </w:rPr>
              <w:t>o</w:t>
            </w:r>
            <w:r>
              <w:rPr>
                <w:noProof/>
                <w:spacing w:val="-8"/>
                <w:sz w:val="20"/>
                <w:szCs w:val="20"/>
              </w:rPr>
              <w:t> 10 de la CEE-ONU.</w:t>
            </w:r>
          </w:p>
          <w:p>
            <w:pPr>
              <w:spacing w:before="60" w:after="0"/>
              <w:ind w:left="380" w:hanging="380"/>
              <w:rPr>
                <w:rFonts w:eastAsia="Arial Unicode MS"/>
                <w:noProof/>
                <w:spacing w:val="-8"/>
                <w:sz w:val="20"/>
                <w:szCs w:val="20"/>
              </w:rPr>
            </w:pPr>
            <w:r>
              <w:rPr>
                <w:noProof/>
                <w:spacing w:val="-8"/>
                <w:sz w:val="20"/>
                <w:szCs w:val="20"/>
              </w:rPr>
              <w:t>b)</w:t>
            </w:r>
            <w:r>
              <w:rPr>
                <w:noProof/>
                <w:spacing w:val="-8"/>
                <w:sz w:val="20"/>
                <w:szCs w:val="20"/>
              </w:rPr>
              <w:tab/>
              <w:t>Cependant, les dispositifs électriques/électroniques montés ultérieurement doivent être conformes au règlement n</w:t>
            </w:r>
            <w:r>
              <w:rPr>
                <w:noProof/>
                <w:spacing w:val="-8"/>
                <w:sz w:val="20"/>
                <w:szCs w:val="20"/>
                <w:vertAlign w:val="superscript"/>
              </w:rPr>
              <w:t>o</w:t>
            </w:r>
            <w:r>
              <w:rPr>
                <w:noProof/>
                <w:spacing w:val="-8"/>
                <w:sz w:val="20"/>
                <w:szCs w:val="20"/>
              </w:rPr>
              <w:t> 10 de la CEE-ONU.</w:t>
            </w:r>
          </w:p>
          <w:p>
            <w:pPr>
              <w:spacing w:before="60" w:after="0"/>
              <w:ind w:left="380" w:hanging="380"/>
              <w:rPr>
                <w:rFonts w:eastAsia="Arial Unicode MS"/>
                <w:i/>
                <w:iCs/>
                <w:noProof/>
                <w:spacing w:val="-8"/>
                <w:sz w:val="20"/>
                <w:szCs w:val="20"/>
              </w:rPr>
            </w:pPr>
            <w:r>
              <w:rPr>
                <w:i/>
                <w:noProof/>
                <w:spacing w:val="-8"/>
                <w:sz w:val="20"/>
                <w:szCs w:val="20"/>
              </w:rPr>
              <w:t>Perturbations électromagnétiques émises</w:t>
            </w:r>
          </w:p>
          <w:p>
            <w:pPr>
              <w:spacing w:before="60" w:after="0"/>
              <w:rPr>
                <w:rFonts w:eastAsia="Arial Unicode MS"/>
                <w:noProof/>
                <w:spacing w:val="-8"/>
                <w:sz w:val="20"/>
                <w:szCs w:val="20"/>
              </w:rPr>
            </w:pPr>
            <w:r>
              <w:rPr>
                <w:noProof/>
                <w:spacing w:val="-8"/>
                <w:sz w:val="20"/>
                <w:szCs w:val="20"/>
              </w:rPr>
              <w:t>Le demandeur doit soumettre une déclaration du constructeur établissant que le véhicule est conforme au règlement n</w:t>
            </w:r>
            <w:r>
              <w:rPr>
                <w:noProof/>
                <w:spacing w:val="-8"/>
                <w:sz w:val="20"/>
                <w:szCs w:val="20"/>
                <w:vertAlign w:val="superscript"/>
              </w:rPr>
              <w:t>o</w:t>
            </w:r>
            <w:r>
              <w:rPr>
                <w:noProof/>
                <w:spacing w:val="-8"/>
                <w:sz w:val="20"/>
                <w:szCs w:val="20"/>
              </w:rPr>
              <w:t> 10 de la CEE-ONU ou aux normes alternatives suivantes:</w:t>
            </w:r>
          </w:p>
          <w:p>
            <w:pPr>
              <w:spacing w:before="60" w:after="60"/>
              <w:ind w:left="380" w:hanging="380"/>
              <w:rPr>
                <w:rFonts w:eastAsia="Arial Unicode MS"/>
                <w:noProof/>
                <w:spacing w:val="-8"/>
                <w:sz w:val="20"/>
                <w:szCs w:val="20"/>
              </w:rPr>
            </w:pPr>
            <w:r>
              <w:rPr>
                <w:noProof/>
                <w:spacing w:val="-8"/>
                <w:sz w:val="20"/>
                <w:szCs w:val="20"/>
              </w:rPr>
              <w:t>—</w:t>
            </w:r>
            <w:r>
              <w:rPr>
                <w:noProof/>
                <w:spacing w:val="-8"/>
                <w:sz w:val="20"/>
                <w:szCs w:val="20"/>
              </w:rPr>
              <w:tab/>
              <w:t>Perturbation électromagnétique en bande large: CISPR 12 ou SAE J551-2,</w:t>
            </w:r>
          </w:p>
          <w:p>
            <w:pPr>
              <w:spacing w:before="60" w:after="60"/>
              <w:ind w:left="380" w:hanging="380"/>
              <w:rPr>
                <w:rFonts w:eastAsia="Arial Unicode MS"/>
                <w:noProof/>
                <w:spacing w:val="-8"/>
                <w:sz w:val="20"/>
                <w:szCs w:val="20"/>
              </w:rPr>
            </w:pPr>
            <w:r>
              <w:rPr>
                <w:noProof/>
                <w:spacing w:val="-8"/>
                <w:sz w:val="20"/>
                <w:szCs w:val="20"/>
              </w:rPr>
              <w:t>—</w:t>
            </w:r>
            <w:r>
              <w:rPr>
                <w:noProof/>
                <w:spacing w:val="-8"/>
                <w:sz w:val="20"/>
                <w:szCs w:val="20"/>
              </w:rPr>
              <w:tab/>
              <w:t>Perturbation électromagnétique en bande étroite: CISPR 12 (désembarqué) ou 25 (embarqué) ou SAE J551-4 et SAE J1113-41.</w:t>
            </w:r>
          </w:p>
          <w:p>
            <w:pPr>
              <w:spacing w:before="60" w:after="0"/>
              <w:ind w:left="380" w:hanging="380"/>
              <w:rPr>
                <w:rFonts w:eastAsia="Arial Unicode MS"/>
                <w:i/>
                <w:iCs/>
                <w:noProof/>
                <w:spacing w:val="-8"/>
                <w:sz w:val="20"/>
                <w:szCs w:val="20"/>
              </w:rPr>
            </w:pPr>
            <w:r>
              <w:rPr>
                <w:i/>
                <w:noProof/>
                <w:spacing w:val="-8"/>
                <w:sz w:val="20"/>
                <w:szCs w:val="20"/>
              </w:rPr>
              <w:t>Essais d’immunité</w:t>
            </w:r>
          </w:p>
          <w:p>
            <w:pPr>
              <w:spacing w:before="60" w:after="0"/>
              <w:ind w:left="380" w:hanging="380"/>
              <w:rPr>
                <w:rFonts w:eastAsia="Arial Unicode MS"/>
                <w:noProof/>
                <w:spacing w:val="-8"/>
                <w:sz w:val="20"/>
                <w:szCs w:val="20"/>
              </w:rPr>
            </w:pPr>
            <w:r>
              <w:rPr>
                <w:noProof/>
                <w:spacing w:val="-8"/>
                <w:sz w:val="20"/>
                <w:szCs w:val="20"/>
              </w:rPr>
              <w:t>Il est renoncé à l’essai d’immunité.</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116 de la CEE-ONU</w:t>
            </w:r>
          </w:p>
          <w:p>
            <w:pPr>
              <w:spacing w:before="60" w:after="60"/>
              <w:jc w:val="left"/>
              <w:rPr>
                <w:rFonts w:eastAsia="Arial Unicode MS"/>
                <w:noProof/>
                <w:spacing w:val="-8"/>
                <w:sz w:val="20"/>
                <w:szCs w:val="20"/>
              </w:rPr>
            </w:pPr>
            <w:r>
              <w:rPr>
                <w:noProof/>
                <w:spacing w:val="-8"/>
                <w:sz w:val="20"/>
              </w:rPr>
              <w:t xml:space="preserve">(Antivol et dispositif d’immobilisation) </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pacing w:val="-8"/>
                <w:sz w:val="20"/>
                <w:szCs w:val="20"/>
              </w:rPr>
            </w:pPr>
            <w:r>
              <w:rPr>
                <w:noProof/>
                <w:spacing w:val="-8"/>
                <w:sz w:val="20"/>
                <w:szCs w:val="20"/>
              </w:rPr>
              <w:t>a)</w:t>
            </w:r>
            <w:r>
              <w:rPr>
                <w:noProof/>
                <w:spacing w:val="-8"/>
                <w:sz w:val="20"/>
                <w:szCs w:val="20"/>
              </w:rPr>
              <w:tab/>
              <w:t>Afin de prévenir un usage non autorisé, le véhicule doit être équipé d’un dispositif de verrouillage, tel que défini au paragraphe 5.1.2 du règlement n</w:t>
            </w:r>
            <w:r>
              <w:rPr>
                <w:noProof/>
                <w:spacing w:val="-8"/>
                <w:sz w:val="20"/>
                <w:szCs w:val="20"/>
                <w:vertAlign w:val="superscript"/>
              </w:rPr>
              <w:t>o</w:t>
            </w:r>
            <w:r>
              <w:rPr>
                <w:noProof/>
                <w:spacing w:val="-8"/>
                <w:sz w:val="20"/>
                <w:szCs w:val="20"/>
              </w:rPr>
              <w:t> 116 de la CEE-ONU.</w:t>
            </w:r>
          </w:p>
          <w:p>
            <w:pPr>
              <w:spacing w:before="60" w:after="60"/>
              <w:ind w:left="380" w:hanging="380"/>
              <w:rPr>
                <w:rFonts w:eastAsia="Arial Unicode MS"/>
                <w:noProof/>
                <w:spacing w:val="-8"/>
                <w:sz w:val="20"/>
                <w:szCs w:val="20"/>
              </w:rPr>
            </w:pPr>
            <w:r>
              <w:rPr>
                <w:noProof/>
                <w:spacing w:val="-8"/>
                <w:sz w:val="20"/>
                <w:szCs w:val="20"/>
              </w:rPr>
              <w:t>b)</w:t>
            </w:r>
            <w:r>
              <w:rPr>
                <w:noProof/>
                <w:spacing w:val="-8"/>
                <w:sz w:val="20"/>
                <w:szCs w:val="20"/>
              </w:rPr>
              <w:tab/>
              <w:t>Si le véhicule est équipé d’un dispositif d’immobilisation, celui-ci doit être conforme aux prescriptions techniques du paragraphe 8.1.1 du règlement n</w:t>
            </w:r>
            <w:r>
              <w:rPr>
                <w:noProof/>
                <w:spacing w:val="-8"/>
                <w:sz w:val="20"/>
                <w:szCs w:val="20"/>
                <w:vertAlign w:val="superscript"/>
              </w:rPr>
              <w:t>o</w:t>
            </w:r>
            <w:r>
              <w:rPr>
                <w:noProof/>
                <w:spacing w:val="-8"/>
                <w:sz w:val="20"/>
                <w:szCs w:val="20"/>
              </w:rPr>
              <w:t> 116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12 de la CEE-ONU (Comportement du dispositif de conduite en cas de choc)</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pacing w:val="-8"/>
                <w:sz w:val="20"/>
                <w:szCs w:val="20"/>
              </w:rPr>
            </w:pPr>
            <w:r>
              <w:rPr>
                <w:noProof/>
                <w:spacing w:val="-8"/>
                <w:sz w:val="20"/>
                <w:szCs w:val="20"/>
              </w:rPr>
              <w:t>a)</w:t>
            </w:r>
            <w:r>
              <w:rPr>
                <w:noProof/>
                <w:spacing w:val="-8"/>
                <w:sz w:val="20"/>
                <w:szCs w:val="20"/>
              </w:rPr>
              <w:tab/>
              <w:t>Le demandeur doit présenter une déclaration du constructeur établissant que le véhicule donné, dont le numéro VIN doit être précisé, est conforme à l’une au moins des dispositions suivantes:</w:t>
            </w:r>
          </w:p>
          <w:p>
            <w:pPr>
              <w:spacing w:before="60" w:after="60"/>
              <w:ind w:left="805" w:hanging="380"/>
              <w:rPr>
                <w:rFonts w:eastAsia="Arial Unicode MS"/>
                <w:noProof/>
                <w:spacing w:val="-8"/>
                <w:sz w:val="20"/>
                <w:szCs w:val="20"/>
              </w:rPr>
            </w:pPr>
            <w:r>
              <w:rPr>
                <w:noProof/>
                <w:spacing w:val="-8"/>
                <w:sz w:val="20"/>
                <w:szCs w:val="20"/>
              </w:rPr>
              <w:t>—</w:t>
            </w:r>
            <w:r>
              <w:rPr>
                <w:noProof/>
                <w:spacing w:val="-8"/>
                <w:sz w:val="20"/>
                <w:szCs w:val="20"/>
              </w:rPr>
              <w:tab/>
              <w:t>règlement n</w:t>
            </w:r>
            <w:r>
              <w:rPr>
                <w:noProof/>
                <w:spacing w:val="-8"/>
                <w:sz w:val="20"/>
                <w:szCs w:val="20"/>
                <w:vertAlign w:val="superscript"/>
              </w:rPr>
              <w:t>o</w:t>
            </w:r>
            <w:r>
              <w:rPr>
                <w:noProof/>
                <w:spacing w:val="-8"/>
                <w:sz w:val="20"/>
                <w:szCs w:val="20"/>
              </w:rPr>
              <w:t> 12 de la CEE-ONU,</w:t>
            </w:r>
          </w:p>
          <w:p>
            <w:pPr>
              <w:spacing w:before="60" w:after="60"/>
              <w:ind w:left="805" w:hanging="380"/>
              <w:rPr>
                <w:rFonts w:eastAsia="Arial Unicode MS"/>
                <w:noProof/>
                <w:spacing w:val="-8"/>
                <w:sz w:val="20"/>
                <w:szCs w:val="20"/>
                <w:lang w:val="en-GB"/>
              </w:rPr>
            </w:pPr>
            <w:r>
              <w:rPr>
                <w:noProof/>
                <w:spacing w:val="-8"/>
                <w:sz w:val="20"/>
                <w:szCs w:val="20"/>
                <w:lang w:val="en-GB"/>
              </w:rPr>
              <w:t>—</w:t>
            </w:r>
            <w:r>
              <w:rPr>
                <w:noProof/>
                <w:spacing w:val="-8"/>
                <w:sz w:val="20"/>
                <w:szCs w:val="20"/>
                <w:lang w:val="en-GB"/>
              </w:rPr>
              <w:tab/>
              <w:t>normes FMVSS n</w:t>
            </w:r>
            <w:r>
              <w:rPr>
                <w:noProof/>
                <w:spacing w:val="-8"/>
                <w:sz w:val="20"/>
                <w:szCs w:val="20"/>
                <w:vertAlign w:val="superscript"/>
                <w:lang w:val="en-GB"/>
              </w:rPr>
              <w:t>o</w:t>
            </w:r>
            <w:r>
              <w:rPr>
                <w:noProof/>
                <w:spacing w:val="-8"/>
                <w:sz w:val="20"/>
                <w:szCs w:val="20"/>
                <w:lang w:val="en-GB"/>
              </w:rPr>
              <w:t> 203 («Impact protection for the driver from the steering control system») et n</w:t>
            </w:r>
            <w:r>
              <w:rPr>
                <w:noProof/>
                <w:spacing w:val="-8"/>
                <w:sz w:val="20"/>
                <w:szCs w:val="20"/>
                <w:vertAlign w:val="superscript"/>
                <w:lang w:val="en-GB"/>
              </w:rPr>
              <w:t>o</w:t>
            </w:r>
            <w:r>
              <w:rPr>
                <w:noProof/>
                <w:spacing w:val="-8"/>
                <w:sz w:val="20"/>
                <w:szCs w:val="20"/>
                <w:lang w:val="en-GB"/>
              </w:rPr>
              <w:t> 204 («Steering control rearward displacement»),</w:t>
            </w:r>
          </w:p>
          <w:p>
            <w:pPr>
              <w:spacing w:before="60" w:after="60"/>
              <w:ind w:left="805" w:hanging="380"/>
              <w:rPr>
                <w:rFonts w:eastAsia="Arial Unicode MS"/>
                <w:noProof/>
                <w:spacing w:val="-8"/>
                <w:sz w:val="20"/>
                <w:szCs w:val="20"/>
              </w:rPr>
            </w:pPr>
            <w:r>
              <w:rPr>
                <w:noProof/>
                <w:spacing w:val="-8"/>
                <w:sz w:val="20"/>
                <w:szCs w:val="20"/>
              </w:rPr>
              <w:t>—</w:t>
            </w:r>
            <w:r>
              <w:rPr>
                <w:noProof/>
                <w:spacing w:val="-8"/>
                <w:sz w:val="20"/>
                <w:szCs w:val="20"/>
              </w:rPr>
              <w:tab/>
              <w:t>article 11 du JSRRV.</w:t>
            </w:r>
          </w:p>
          <w:p>
            <w:pPr>
              <w:spacing w:before="60" w:after="60"/>
              <w:ind w:left="380" w:hanging="380"/>
              <w:rPr>
                <w:rFonts w:eastAsia="Arial Unicode MS"/>
                <w:noProof/>
                <w:spacing w:val="-8"/>
                <w:sz w:val="20"/>
                <w:szCs w:val="20"/>
              </w:rPr>
            </w:pPr>
            <w:r>
              <w:rPr>
                <w:noProof/>
                <w:spacing w:val="-8"/>
                <w:sz w:val="20"/>
                <w:szCs w:val="20"/>
              </w:rPr>
              <w:t>b)</w:t>
            </w:r>
            <w:r>
              <w:rPr>
                <w:noProof/>
                <w:spacing w:val="-8"/>
                <w:sz w:val="20"/>
                <w:szCs w:val="20"/>
              </w:rPr>
              <w:tab/>
              <w:t>Sur requête du demandeur, il peut être procédé à un essai sur un véhicule de production conformément à l’annexe 3 du règlement n</w:t>
            </w:r>
            <w:r>
              <w:rPr>
                <w:noProof/>
                <w:spacing w:val="-8"/>
                <w:sz w:val="20"/>
                <w:szCs w:val="20"/>
                <w:vertAlign w:val="superscript"/>
              </w:rPr>
              <w:t>o</w:t>
            </w:r>
            <w:r>
              <w:rPr>
                <w:noProof/>
                <w:spacing w:val="-8"/>
                <w:sz w:val="20"/>
                <w:szCs w:val="20"/>
              </w:rPr>
              <w:t> 12 de la CEE-ONU. L’essai doit être effectué par un service technique qui a été désigné à cette fin. Un rapport détaillé établi par ce service technique est remis au demandeur.</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15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17 de la CEE-ONU (Résistance des sièges – appuie-tête)</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pacing w:val="-8"/>
                <w:sz w:val="20"/>
                <w:szCs w:val="20"/>
              </w:rPr>
            </w:pPr>
            <w:r>
              <w:rPr>
                <w:i/>
                <w:noProof/>
                <w:spacing w:val="-8"/>
                <w:sz w:val="20"/>
                <w:szCs w:val="20"/>
              </w:rPr>
              <w:t>Sièges, ancrages des sièges et systèmes de réglage</w:t>
            </w:r>
          </w:p>
          <w:p>
            <w:pPr>
              <w:spacing w:after="0"/>
              <w:rPr>
                <w:rFonts w:eastAsia="Arial Unicode MS"/>
                <w:noProof/>
                <w:spacing w:val="-8"/>
                <w:sz w:val="20"/>
                <w:szCs w:val="20"/>
              </w:rPr>
            </w:pPr>
            <w:r>
              <w:rPr>
                <w:noProof/>
                <w:spacing w:val="-8"/>
                <w:sz w:val="20"/>
                <w:szCs w:val="20"/>
              </w:rPr>
              <w:t>Les sièges et leurs systèmes réglables doivent être conformes au paragraphe 5.3 du règlement n</w:t>
            </w:r>
            <w:r>
              <w:rPr>
                <w:noProof/>
                <w:spacing w:val="-8"/>
                <w:sz w:val="20"/>
                <w:szCs w:val="20"/>
                <w:vertAlign w:val="superscript"/>
              </w:rPr>
              <w:t>o</w:t>
            </w:r>
            <w:r>
              <w:rPr>
                <w:noProof/>
                <w:spacing w:val="-8"/>
                <w:sz w:val="20"/>
                <w:szCs w:val="20"/>
              </w:rPr>
              <w:t> 17 de la CEE-ONU.</w:t>
            </w:r>
          </w:p>
          <w:p>
            <w:pPr>
              <w:spacing w:before="60" w:after="0"/>
              <w:rPr>
                <w:rFonts w:eastAsia="Arial Unicode MS"/>
                <w:noProof/>
                <w:spacing w:val="-8"/>
                <w:sz w:val="20"/>
                <w:szCs w:val="20"/>
              </w:rPr>
            </w:pPr>
            <w:r>
              <w:rPr>
                <w:i/>
                <w:noProof/>
                <w:spacing w:val="-8"/>
                <w:sz w:val="20"/>
                <w:szCs w:val="20"/>
              </w:rPr>
              <w:t>Appuie-tête</w:t>
            </w:r>
            <w:r>
              <w:rPr>
                <w:noProof/>
                <w:spacing w:val="-8"/>
                <w:sz w:val="20"/>
                <w:szCs w:val="20"/>
              </w:rPr>
              <w:t xml:space="preserve"> </w:t>
            </w:r>
          </w:p>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Les appuie-tête doivent satisfaire aux prescriptions du paragraphe 5 et de l’annexe 4 du règlement n</w:t>
            </w:r>
            <w:r>
              <w:rPr>
                <w:noProof/>
                <w:spacing w:val="-8"/>
                <w:sz w:val="20"/>
                <w:szCs w:val="20"/>
                <w:vertAlign w:val="superscript"/>
              </w:rPr>
              <w:t>o</w:t>
            </w:r>
            <w:r>
              <w:rPr>
                <w:noProof/>
                <w:spacing w:val="-8"/>
                <w:sz w:val="20"/>
                <w:szCs w:val="20"/>
              </w:rPr>
              <w:t> 17 de la CEE-ONU.</w:t>
            </w:r>
          </w:p>
          <w:p>
            <w:pPr>
              <w:spacing w:after="0"/>
              <w:ind w:left="380" w:hanging="380"/>
              <w:rPr>
                <w:rFonts w:eastAsia="Arial Unicode MS"/>
                <w:noProof/>
                <w:spacing w:val="-8"/>
                <w:sz w:val="20"/>
                <w:szCs w:val="20"/>
              </w:rPr>
            </w:pPr>
            <w:r>
              <w:rPr>
                <w:noProof/>
                <w:spacing w:val="-8"/>
                <w:sz w:val="20"/>
                <w:szCs w:val="20"/>
              </w:rPr>
              <w:t>b)</w:t>
            </w:r>
            <w:r>
              <w:rPr>
                <w:noProof/>
                <w:spacing w:val="-8"/>
                <w:sz w:val="20"/>
                <w:szCs w:val="20"/>
              </w:rPr>
              <w:tab/>
              <w:t>Seuls les essais décrits aux paragraphes 5.12, 6.5, 6.6 et 6.7 du règlement n</w:t>
            </w:r>
            <w:r>
              <w:rPr>
                <w:noProof/>
                <w:spacing w:val="-8"/>
                <w:sz w:val="20"/>
                <w:szCs w:val="20"/>
                <w:vertAlign w:val="superscript"/>
              </w:rPr>
              <w:t>o</w:t>
            </w:r>
            <w:r>
              <w:rPr>
                <w:noProof/>
                <w:spacing w:val="-8"/>
                <w:sz w:val="20"/>
                <w:szCs w:val="20"/>
              </w:rPr>
              <w:t> 17 de la CEE-ONU doivent être effectués.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39 de la CEE-ONU (Indicateur de vitesse – marche arrière)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pacing w:val="-8"/>
                <w:sz w:val="20"/>
                <w:szCs w:val="20"/>
              </w:rPr>
            </w:pPr>
            <w:r>
              <w:rPr>
                <w:i/>
                <w:noProof/>
                <w:spacing w:val="-8"/>
                <w:sz w:val="20"/>
                <w:szCs w:val="20"/>
              </w:rPr>
              <w:t>Appareil indicateur de vitesse</w:t>
            </w:r>
            <w:r>
              <w:rPr>
                <w:noProof/>
                <w:spacing w:val="-8"/>
                <w:sz w:val="20"/>
                <w:szCs w:val="20"/>
              </w:rPr>
              <w:t xml:space="preserve"> </w:t>
            </w:r>
          </w:p>
          <w:p>
            <w:pPr>
              <w:spacing w:after="0"/>
              <w:ind w:left="380" w:hanging="380"/>
              <w:rPr>
                <w:rFonts w:eastAsia="Arial Unicode MS"/>
                <w:noProof/>
                <w:spacing w:val="-8"/>
                <w:sz w:val="20"/>
                <w:szCs w:val="20"/>
              </w:rPr>
            </w:pPr>
            <w:r>
              <w:rPr>
                <w:noProof/>
                <w:spacing w:val="-8"/>
                <w:sz w:val="20"/>
                <w:szCs w:val="20"/>
              </w:rPr>
              <w:t>a)</w:t>
            </w:r>
            <w:r>
              <w:rPr>
                <w:noProof/>
                <w:spacing w:val="-8"/>
                <w:sz w:val="20"/>
                <w:szCs w:val="20"/>
              </w:rPr>
              <w:tab/>
              <w:t>Le cadran doit être conforme aux paragraphes 5.1 à 5.14 du règlement n</w:t>
            </w:r>
            <w:r>
              <w:rPr>
                <w:noProof/>
                <w:spacing w:val="-8"/>
                <w:sz w:val="20"/>
                <w:szCs w:val="20"/>
                <w:vertAlign w:val="superscript"/>
              </w:rPr>
              <w:t>o</w:t>
            </w:r>
            <w:r>
              <w:rPr>
                <w:noProof/>
                <w:spacing w:val="-8"/>
                <w:sz w:val="20"/>
                <w:szCs w:val="20"/>
              </w:rPr>
              <w:t> 39 de la CEE-ONU.</w:t>
            </w:r>
          </w:p>
          <w:p>
            <w:pPr>
              <w:spacing w:after="0"/>
              <w:ind w:left="380" w:hanging="380"/>
              <w:rPr>
                <w:rFonts w:eastAsia="Arial Unicode MS"/>
                <w:noProof/>
                <w:spacing w:val="-8"/>
                <w:sz w:val="20"/>
                <w:szCs w:val="20"/>
              </w:rPr>
            </w:pPr>
            <w:r>
              <w:rPr>
                <w:noProof/>
                <w:spacing w:val="-8"/>
                <w:sz w:val="20"/>
                <w:szCs w:val="20"/>
              </w:rPr>
              <w:t>b)</w:t>
            </w:r>
            <w:r>
              <w:rPr>
                <w:noProof/>
                <w:spacing w:val="-8"/>
                <w:sz w:val="20"/>
                <w:szCs w:val="20"/>
              </w:rPr>
              <w:tab/>
              <w:t>Si le service technique a des motifs valables de croire que l’indicateur de vitesse n’est pas étalonné de façon suffisamment précise, il peut exiger qu’il soit procédé aux essais prescrits au paragraphe 5.2 du règlement n</w:t>
            </w:r>
            <w:r>
              <w:rPr>
                <w:noProof/>
                <w:spacing w:val="-8"/>
                <w:sz w:val="20"/>
                <w:szCs w:val="20"/>
                <w:vertAlign w:val="superscript"/>
              </w:rPr>
              <w:t>o</w:t>
            </w:r>
            <w:r>
              <w:rPr>
                <w:noProof/>
                <w:spacing w:val="-8"/>
                <w:sz w:val="20"/>
                <w:szCs w:val="20"/>
              </w:rPr>
              <w:t> 39 de la CEE-ONU.</w:t>
            </w:r>
          </w:p>
          <w:p>
            <w:pPr>
              <w:spacing w:before="60" w:after="0"/>
              <w:ind w:left="380" w:hanging="380"/>
              <w:rPr>
                <w:rFonts w:eastAsia="Arial Unicode MS"/>
                <w:i/>
                <w:iCs/>
                <w:noProof/>
                <w:spacing w:val="-8"/>
                <w:sz w:val="20"/>
                <w:szCs w:val="20"/>
              </w:rPr>
            </w:pPr>
            <w:r>
              <w:rPr>
                <w:i/>
                <w:noProof/>
                <w:spacing w:val="-8"/>
                <w:sz w:val="20"/>
                <w:szCs w:val="20"/>
              </w:rPr>
              <w:t>Marche arrière</w:t>
            </w:r>
          </w:p>
          <w:p>
            <w:pPr>
              <w:spacing w:before="60" w:after="60"/>
              <w:rPr>
                <w:rFonts w:eastAsia="Arial Unicode MS"/>
                <w:noProof/>
                <w:spacing w:val="-8"/>
                <w:sz w:val="20"/>
                <w:szCs w:val="20"/>
              </w:rPr>
            </w:pPr>
            <w:r>
              <w:rPr>
                <w:noProof/>
                <w:spacing w:val="-8"/>
                <w:sz w:val="20"/>
                <w:szCs w:val="20"/>
              </w:rPr>
              <w:t>Le mécanisme de changement de vitesse doit inclure une marche arrière.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 19/2011 (Plaques réglementaires)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pacing w:val="-8"/>
                <w:sz w:val="20"/>
                <w:szCs w:val="20"/>
              </w:rPr>
            </w:pPr>
            <w:r>
              <w:rPr>
                <w:i/>
                <w:noProof/>
                <w:spacing w:val="-8"/>
                <w:sz w:val="20"/>
                <w:szCs w:val="20"/>
              </w:rPr>
              <w:t>Numéro d'identification de véhicule</w:t>
            </w:r>
          </w:p>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Le véhicule doit être pourvu d’un numéro d'identification de véhicule comprenant un minimum de 8 caractères et un maximum de 17 caractères. Un numéro d'identification de véhicule composé de 17 caractères doit satisfaire aux prescriptions énoncées dans les normes ISO 3779:1983 et 3780:1983.</w:t>
            </w:r>
          </w:p>
          <w:p>
            <w:pPr>
              <w:spacing w:before="60" w:after="0"/>
              <w:ind w:left="380" w:hanging="380"/>
              <w:rPr>
                <w:rFonts w:eastAsia="Arial Unicode MS"/>
                <w:noProof/>
                <w:spacing w:val="-8"/>
                <w:sz w:val="20"/>
                <w:szCs w:val="20"/>
              </w:rPr>
            </w:pPr>
            <w:r>
              <w:rPr>
                <w:noProof/>
                <w:spacing w:val="-8"/>
                <w:sz w:val="20"/>
                <w:szCs w:val="20"/>
              </w:rPr>
              <w:t>b)</w:t>
            </w:r>
            <w:r>
              <w:rPr>
                <w:noProof/>
                <w:spacing w:val="-8"/>
                <w:sz w:val="20"/>
                <w:szCs w:val="20"/>
              </w:rPr>
              <w:tab/>
              <w:t>Le numéro d'identification de véhicule doit être apposé en un endroit bien visible et accessible, de sorte qu’il ne puisse pas être effacé ou qu’il ne se détériore pas.</w:t>
            </w:r>
          </w:p>
          <w:p>
            <w:pPr>
              <w:spacing w:before="60" w:after="0"/>
              <w:ind w:left="380" w:hanging="380"/>
              <w:rPr>
                <w:rFonts w:eastAsia="Arial Unicode MS"/>
                <w:noProof/>
                <w:spacing w:val="-8"/>
                <w:sz w:val="20"/>
                <w:szCs w:val="20"/>
              </w:rPr>
            </w:pPr>
            <w:r>
              <w:rPr>
                <w:noProof/>
                <w:spacing w:val="-8"/>
                <w:sz w:val="20"/>
                <w:szCs w:val="20"/>
              </w:rPr>
              <w:t>c)</w:t>
            </w:r>
            <w:r>
              <w:rPr>
                <w:noProof/>
                <w:spacing w:val="-8"/>
                <w:sz w:val="20"/>
                <w:szCs w:val="20"/>
              </w:rPr>
              <w:tab/>
              <w:t>Lorsqu’aucun numéro d'identification de véhicule n’est marqué sur le châssis ou la carrosserie, un État membre peut exiger qu’il soit apposé ultérieurement, en application de sa législation nationale. Dans ce cas, l’autorité compétente de cet État membre doit superviser l’opération.</w:t>
            </w:r>
          </w:p>
          <w:p>
            <w:pPr>
              <w:spacing w:before="60" w:after="0"/>
              <w:ind w:left="380" w:hanging="380"/>
              <w:rPr>
                <w:rFonts w:eastAsia="Arial Unicode MS"/>
                <w:i/>
                <w:iCs/>
                <w:noProof/>
                <w:spacing w:val="-8"/>
                <w:sz w:val="20"/>
                <w:szCs w:val="20"/>
              </w:rPr>
            </w:pPr>
            <w:r>
              <w:rPr>
                <w:i/>
                <w:noProof/>
                <w:spacing w:val="-8"/>
                <w:sz w:val="20"/>
                <w:szCs w:val="20"/>
              </w:rPr>
              <w:t>Plaque réglementaire</w:t>
            </w:r>
          </w:p>
          <w:p>
            <w:pPr>
              <w:spacing w:before="60" w:after="0"/>
              <w:rPr>
                <w:rFonts w:eastAsia="Arial Unicode MS"/>
                <w:noProof/>
                <w:spacing w:val="-8"/>
                <w:sz w:val="20"/>
                <w:szCs w:val="20"/>
              </w:rPr>
            </w:pPr>
            <w:r>
              <w:rPr>
                <w:noProof/>
                <w:spacing w:val="-8"/>
                <w:sz w:val="20"/>
                <w:szCs w:val="20"/>
              </w:rPr>
              <w:t>Le véhicule doit être équipé d’une plaque d’identification apposée par le constructeur du véhicule.</w:t>
            </w:r>
          </w:p>
          <w:p>
            <w:pPr>
              <w:spacing w:before="60" w:after="0"/>
              <w:rPr>
                <w:rFonts w:eastAsia="Arial Unicode MS"/>
                <w:noProof/>
                <w:spacing w:val="-8"/>
                <w:sz w:val="20"/>
                <w:szCs w:val="20"/>
              </w:rPr>
            </w:pPr>
            <w:r>
              <w:rPr>
                <w:noProof/>
                <w:spacing w:val="-8"/>
                <w:sz w:val="20"/>
                <w:szCs w:val="20"/>
              </w:rPr>
              <w:t>Aucune autre plaque n’est requise après que la réception a été délivrée.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14 de la CEE-ONU </w:t>
            </w:r>
          </w:p>
          <w:p>
            <w:pPr>
              <w:spacing w:before="60" w:after="60"/>
              <w:jc w:val="left"/>
              <w:rPr>
                <w:rFonts w:eastAsia="Arial Unicode MS"/>
                <w:noProof/>
                <w:spacing w:val="-8"/>
                <w:sz w:val="20"/>
                <w:szCs w:val="20"/>
              </w:rPr>
            </w:pPr>
            <w:r>
              <w:rPr>
                <w:noProof/>
                <w:spacing w:val="-8"/>
                <w:sz w:val="20"/>
              </w:rPr>
              <w:t>(Ancrages des ceintures de sécurité)</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 demandeur doit présenter une déclaration du constructeur établissant que le véhicule donné, dont le VIN doit être précisé, est conforme à l’une au moins des dispositions suivantes:</w:t>
            </w:r>
          </w:p>
          <w:p>
            <w:pPr>
              <w:spacing w:before="60" w:after="0"/>
              <w:ind w:left="380" w:hanging="380"/>
              <w:rPr>
                <w:rFonts w:eastAsia="Arial Unicode MS"/>
                <w:noProof/>
                <w:spacing w:val="-8"/>
                <w:sz w:val="20"/>
                <w:szCs w:val="20"/>
              </w:rPr>
            </w:pPr>
            <w:r>
              <w:rPr>
                <w:noProof/>
                <w:spacing w:val="-8"/>
                <w:sz w:val="20"/>
                <w:szCs w:val="20"/>
              </w:rPr>
              <w:t>—</w:t>
            </w:r>
            <w:r>
              <w:rPr>
                <w:noProof/>
                <w:spacing w:val="-8"/>
                <w:sz w:val="20"/>
                <w:szCs w:val="20"/>
              </w:rPr>
              <w:tab/>
              <w:t>règlement n</w:t>
            </w:r>
            <w:r>
              <w:rPr>
                <w:noProof/>
                <w:spacing w:val="-8"/>
                <w:sz w:val="20"/>
                <w:szCs w:val="20"/>
                <w:vertAlign w:val="superscript"/>
              </w:rPr>
              <w:t>o</w:t>
            </w:r>
            <w:r>
              <w:rPr>
                <w:noProof/>
                <w:spacing w:val="-8"/>
                <w:sz w:val="20"/>
                <w:szCs w:val="20"/>
              </w:rPr>
              <w:t> 14 de la CEE-ONU,</w:t>
            </w:r>
          </w:p>
          <w:p>
            <w:pPr>
              <w:spacing w:before="60" w:after="0"/>
              <w:ind w:left="380" w:hanging="380"/>
              <w:rPr>
                <w:rFonts w:eastAsia="Arial Unicode MS"/>
                <w:noProof/>
                <w:spacing w:val="-8"/>
                <w:sz w:val="20"/>
                <w:szCs w:val="20"/>
                <w:lang w:val="en-GB"/>
              </w:rPr>
            </w:pPr>
            <w:r>
              <w:rPr>
                <w:noProof/>
                <w:spacing w:val="-8"/>
                <w:sz w:val="20"/>
                <w:szCs w:val="20"/>
                <w:lang w:val="en-GB"/>
              </w:rPr>
              <w:t>—</w:t>
            </w:r>
            <w:r>
              <w:rPr>
                <w:noProof/>
                <w:spacing w:val="-8"/>
                <w:sz w:val="20"/>
                <w:szCs w:val="20"/>
                <w:lang w:val="en-GB"/>
              </w:rPr>
              <w:tab/>
              <w:t>norme FMVSS n</w:t>
            </w:r>
            <w:r>
              <w:rPr>
                <w:noProof/>
                <w:spacing w:val="-8"/>
                <w:sz w:val="20"/>
                <w:szCs w:val="20"/>
                <w:vertAlign w:val="superscript"/>
                <w:lang w:val="en-GB"/>
              </w:rPr>
              <w:t>o</w:t>
            </w:r>
            <w:r>
              <w:rPr>
                <w:noProof/>
                <w:spacing w:val="-8"/>
                <w:sz w:val="20"/>
                <w:szCs w:val="20"/>
                <w:lang w:val="en-GB"/>
              </w:rPr>
              <w:t> 210 («Seat belt assembly anchorages»),</w:t>
            </w:r>
          </w:p>
          <w:p>
            <w:pPr>
              <w:spacing w:before="60" w:after="0"/>
              <w:ind w:left="380" w:hanging="380"/>
              <w:rPr>
                <w:rFonts w:eastAsia="Arial Unicode MS"/>
                <w:noProof/>
                <w:spacing w:val="-8"/>
                <w:sz w:val="20"/>
                <w:szCs w:val="20"/>
              </w:rPr>
            </w:pPr>
            <w:r>
              <w:rPr>
                <w:noProof/>
                <w:spacing w:val="-8"/>
                <w:sz w:val="20"/>
                <w:szCs w:val="20"/>
              </w:rPr>
              <w:t>—</w:t>
            </w:r>
            <w:r>
              <w:rPr>
                <w:noProof/>
                <w:spacing w:val="-8"/>
                <w:sz w:val="20"/>
                <w:szCs w:val="20"/>
              </w:rPr>
              <w:tab/>
              <w:t>article 22-3 du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48 de la CEE-ONU (Installation des dispositifs d’éclairage et de signalisation lumineuse)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pacing w:val="-8"/>
                <w:sz w:val="20"/>
                <w:szCs w:val="20"/>
              </w:rPr>
            </w:pPr>
            <w:r>
              <w:rPr>
                <w:noProof/>
                <w:spacing w:val="-8"/>
                <w:sz w:val="20"/>
                <w:szCs w:val="20"/>
              </w:rPr>
              <w:t>a)</w:t>
            </w:r>
            <w:r>
              <w:rPr>
                <w:noProof/>
                <w:spacing w:val="-8"/>
                <w:sz w:val="20"/>
                <w:szCs w:val="20"/>
              </w:rPr>
              <w:tab/>
              <w:t>L’installation des dispositifs d’éclairage doit être conforme aux prescriptions essentielles du règlement n</w:t>
            </w:r>
            <w:r>
              <w:rPr>
                <w:noProof/>
                <w:spacing w:val="-8"/>
                <w:sz w:val="20"/>
                <w:szCs w:val="20"/>
                <w:vertAlign w:val="superscript"/>
              </w:rPr>
              <w:t>o</w:t>
            </w:r>
            <w:r>
              <w:rPr>
                <w:noProof/>
                <w:spacing w:val="-8"/>
                <w:sz w:val="20"/>
                <w:szCs w:val="20"/>
              </w:rPr>
              <w:t> 48, série 03 d’amendements, de la CEE-ONU, à l’exception de celles des annexes 5 et 6 dudit règlement.</w:t>
            </w:r>
          </w:p>
          <w:p>
            <w:pPr>
              <w:spacing w:before="60" w:after="60"/>
              <w:ind w:left="380" w:hanging="380"/>
              <w:rPr>
                <w:rFonts w:eastAsia="Arial Unicode MS"/>
                <w:noProof/>
                <w:spacing w:val="-8"/>
                <w:sz w:val="20"/>
                <w:szCs w:val="20"/>
              </w:rPr>
            </w:pPr>
            <w:r>
              <w:rPr>
                <w:noProof/>
                <w:spacing w:val="-8"/>
                <w:sz w:val="20"/>
                <w:szCs w:val="20"/>
              </w:rPr>
              <w:t>b)</w:t>
            </w:r>
            <w:r>
              <w:rPr>
                <w:noProof/>
                <w:spacing w:val="-8"/>
                <w:sz w:val="20"/>
                <w:szCs w:val="20"/>
              </w:rPr>
              <w:tab/>
              <w:t xml:space="preserve">Aucune exemption n’est autorisée en ce qui concerne le nombre, les caractéristiques essentielles de conception, les connexions </w:t>
            </w:r>
            <w:r>
              <w:rPr>
                <w:noProof/>
                <w:spacing w:val="-8"/>
                <w:sz w:val="20"/>
                <w:szCs w:val="20"/>
              </w:rPr>
              <w:lastRenderedPageBreak/>
              <w:t>électriques et la couleur de la lumière émise ou réfléchie par les dispositifs d’éclairage et de signalisation visés dans les éléments 21 à 26 et 28 à 30.</w:t>
            </w:r>
          </w:p>
          <w:p>
            <w:pPr>
              <w:spacing w:before="60" w:after="60"/>
              <w:ind w:left="380" w:hanging="380"/>
              <w:rPr>
                <w:rFonts w:eastAsia="Arial Unicode MS"/>
                <w:noProof/>
                <w:spacing w:val="-8"/>
                <w:sz w:val="20"/>
                <w:szCs w:val="20"/>
              </w:rPr>
            </w:pPr>
            <w:r>
              <w:rPr>
                <w:noProof/>
                <w:spacing w:val="-8"/>
                <w:sz w:val="20"/>
                <w:szCs w:val="20"/>
              </w:rPr>
              <w:t>c)</w:t>
            </w:r>
            <w:r>
              <w:rPr>
                <w:noProof/>
                <w:spacing w:val="-8"/>
                <w:sz w:val="20"/>
                <w:szCs w:val="20"/>
              </w:rPr>
              <w:tab/>
              <w:t>Les dispositifs d’éclairage et de signalisation lumineuse qui doivent être installés ultérieurement pour satisfaire aux prescriptions du point a) doivent porter une marque de réception «UE» par type.</w:t>
            </w:r>
          </w:p>
          <w:p>
            <w:pPr>
              <w:spacing w:before="60" w:after="60"/>
              <w:ind w:left="380" w:hanging="380"/>
              <w:rPr>
                <w:rFonts w:eastAsia="Arial Unicode MS"/>
                <w:noProof/>
                <w:spacing w:val="-8"/>
                <w:sz w:val="20"/>
                <w:szCs w:val="20"/>
              </w:rPr>
            </w:pPr>
            <w:r>
              <w:rPr>
                <w:noProof/>
                <w:spacing w:val="-8"/>
                <w:sz w:val="20"/>
                <w:szCs w:val="20"/>
              </w:rPr>
              <w:t>d)</w:t>
            </w:r>
            <w:r>
              <w:rPr>
                <w:noProof/>
                <w:spacing w:val="-8"/>
                <w:sz w:val="20"/>
                <w:szCs w:val="20"/>
              </w:rPr>
              <w:tab/>
              <w:t>Les projecteurs équipés de sources lumineuses à décharge ne sont autorisées qu’en conjonction avec l’installation d’un dispositif de nettoyage des phares et, le cas échéant, d’un dispositif de réglage automatique du niveau des phares.</w:t>
            </w:r>
          </w:p>
          <w:p>
            <w:pPr>
              <w:spacing w:before="60" w:after="60"/>
              <w:ind w:left="380" w:hanging="380"/>
              <w:rPr>
                <w:rFonts w:eastAsia="Arial Unicode MS"/>
                <w:noProof/>
                <w:spacing w:val="-8"/>
                <w:sz w:val="20"/>
                <w:szCs w:val="20"/>
              </w:rPr>
            </w:pPr>
            <w:r>
              <w:rPr>
                <w:noProof/>
                <w:spacing w:val="-8"/>
                <w:sz w:val="20"/>
                <w:szCs w:val="20"/>
              </w:rPr>
              <w:t>e)</w:t>
            </w:r>
            <w:r>
              <w:rPr>
                <w:noProof/>
                <w:spacing w:val="-8"/>
                <w:sz w:val="20"/>
                <w:szCs w:val="20"/>
              </w:rPr>
              <w:tab/>
              <w:t>Les feux de croisement doivent être adaptés au sens de la circulation en vigueur dans le pays où le véhicule est réceptionné.</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21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3 de la CEE-ONU (Catadioptres)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Si nécessaire, deux catadioptres supplémentaires, portant la marque de réception «CE», sont ajoutés à l’arrière, dans une position conforme au règlement n</w:t>
            </w:r>
            <w:r>
              <w:rPr>
                <w:noProof/>
                <w:spacing w:val="-8"/>
                <w:sz w:val="20"/>
                <w:szCs w:val="20"/>
                <w:vertAlign w:val="superscript"/>
              </w:rPr>
              <w:t>o</w:t>
            </w:r>
            <w:r>
              <w:rPr>
                <w:noProof/>
                <w:spacing w:val="-8"/>
                <w:sz w:val="20"/>
                <w:szCs w:val="20"/>
              </w:rPr>
              <w:t> 48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22</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Règlements n</w:t>
            </w:r>
            <w:r>
              <w:rPr>
                <w:noProof/>
                <w:spacing w:val="-8"/>
                <w:sz w:val="20"/>
                <w:vertAlign w:val="superscript"/>
              </w:rPr>
              <w:t>os </w:t>
            </w:r>
            <w:r>
              <w:rPr>
                <w:noProof/>
                <w:spacing w:val="-8"/>
                <w:sz w:val="20"/>
              </w:rPr>
              <w:t>7, 87 et 91 de la CEE-ONU</w:t>
            </w:r>
          </w:p>
          <w:p>
            <w:pPr>
              <w:spacing w:before="60" w:after="60"/>
              <w:jc w:val="left"/>
              <w:rPr>
                <w:rFonts w:eastAsia="Arial Unicode MS"/>
                <w:noProof/>
                <w:spacing w:val="-8"/>
                <w:sz w:val="20"/>
                <w:szCs w:val="20"/>
              </w:rPr>
            </w:pPr>
            <w:r>
              <w:rPr>
                <w:noProof/>
                <w:spacing w:val="-8"/>
                <w:sz w:val="20"/>
              </w:rPr>
              <w:t>(Feux d’encombrement, feux de position avant, feux de position arrière, feux stop, feux de position latéraux et de circulation diurne)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prescriptions énoncées dans les règlements n</w:t>
            </w:r>
            <w:r>
              <w:rPr>
                <w:noProof/>
                <w:spacing w:val="-8"/>
                <w:sz w:val="20"/>
                <w:szCs w:val="20"/>
                <w:vertAlign w:val="superscript"/>
              </w:rPr>
              <w:t>os </w:t>
            </w:r>
            <w:r>
              <w:rPr>
                <w:noProof/>
                <w:spacing w:val="-8"/>
                <w:sz w:val="20"/>
                <w:szCs w:val="20"/>
              </w:rPr>
              <w:t>7, 87 et 91 de la CEE-ONU ne s’appliquent pas. Toutefois, le bon fonctionnement des feux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6 de la CEE-ONU (Feux indicateurs de direction)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prescriptions énoncées dans le règlement n</w:t>
            </w:r>
            <w:r>
              <w:rPr>
                <w:noProof/>
                <w:spacing w:val="-8"/>
                <w:sz w:val="20"/>
                <w:szCs w:val="20"/>
                <w:vertAlign w:val="superscript"/>
              </w:rPr>
              <w:t>o </w:t>
            </w:r>
            <w:r>
              <w:rPr>
                <w:noProof/>
                <w:spacing w:val="-8"/>
                <w:sz w:val="20"/>
                <w:szCs w:val="20"/>
              </w:rPr>
              <w:t>6 de la CEE-ONU ne s’appliquent pas. Toutefois, le bon fonctionnement des feux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4 de la CEE-ONU (Éclairage de la plaque d’immatriculation arrière)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prescriptions énoncées dans le règlement n</w:t>
            </w:r>
            <w:r>
              <w:rPr>
                <w:noProof/>
                <w:spacing w:val="-8"/>
                <w:sz w:val="20"/>
                <w:szCs w:val="20"/>
                <w:vertAlign w:val="superscript"/>
              </w:rPr>
              <w:t>o </w:t>
            </w:r>
            <w:r>
              <w:rPr>
                <w:noProof/>
                <w:spacing w:val="-8"/>
                <w:sz w:val="20"/>
                <w:szCs w:val="20"/>
              </w:rPr>
              <w:t>4 de la CEE-ONU ne s’appliquent pas. Toutefois, le bon fonctionnement de l’éclairage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Règlements n</w:t>
            </w:r>
            <w:r>
              <w:rPr>
                <w:noProof/>
                <w:spacing w:val="-8"/>
                <w:sz w:val="20"/>
                <w:vertAlign w:val="superscript"/>
              </w:rPr>
              <w:t>os</w:t>
            </w:r>
            <w:r>
              <w:rPr>
                <w:noProof/>
                <w:spacing w:val="-8"/>
                <w:sz w:val="20"/>
              </w:rPr>
              <w:t xml:space="preserve"> 98, 112 et 123 de la CEE-ONU [Projecteurs (y compris les ampoules)]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pacing w:val="-8"/>
                <w:sz w:val="20"/>
                <w:szCs w:val="20"/>
              </w:rPr>
            </w:pPr>
            <w:r>
              <w:rPr>
                <w:noProof/>
                <w:spacing w:val="-8"/>
                <w:sz w:val="20"/>
                <w:szCs w:val="20"/>
              </w:rPr>
              <w:t>a)</w:t>
            </w:r>
            <w:r>
              <w:rPr>
                <w:noProof/>
                <w:spacing w:val="-8"/>
                <w:sz w:val="20"/>
                <w:szCs w:val="20"/>
              </w:rPr>
              <w:tab/>
              <w:t>L’éclairement produit par le faisceau de croisement des projecteurs montés sur le véhicule doit être vérifié conformément aux dispositions du paragraphe 6 du règlement n</w:t>
            </w:r>
            <w:r>
              <w:rPr>
                <w:noProof/>
                <w:spacing w:val="-8"/>
                <w:sz w:val="20"/>
                <w:szCs w:val="20"/>
                <w:vertAlign w:val="superscript"/>
              </w:rPr>
              <w:t>o</w:t>
            </w:r>
            <w:r>
              <w:rPr>
                <w:noProof/>
                <w:spacing w:val="-8"/>
                <w:sz w:val="20"/>
                <w:szCs w:val="20"/>
              </w:rPr>
              <w:t> 112 de la CEE-ONU concernant les projecteurs émettant un faisceau de croisement asymétrique. À cet effet, il peut être fait référence aux tolérances mentionnées dans l’annexe 5 dudit règlement.</w:t>
            </w:r>
          </w:p>
          <w:p>
            <w:pPr>
              <w:spacing w:before="60" w:after="60"/>
              <w:ind w:left="380" w:hanging="380"/>
              <w:rPr>
                <w:rFonts w:eastAsia="Arial Unicode MS"/>
                <w:noProof/>
                <w:spacing w:val="-8"/>
                <w:sz w:val="20"/>
                <w:szCs w:val="20"/>
              </w:rPr>
            </w:pPr>
            <w:r>
              <w:rPr>
                <w:noProof/>
                <w:spacing w:val="-8"/>
                <w:sz w:val="20"/>
                <w:szCs w:val="20"/>
              </w:rPr>
              <w:t>b)</w:t>
            </w:r>
            <w:r>
              <w:rPr>
                <w:noProof/>
                <w:spacing w:val="-8"/>
                <w:sz w:val="20"/>
                <w:szCs w:val="20"/>
              </w:rPr>
              <w:tab/>
              <w:t>La même prescription s’applique au faisceau de croisement des projecteurs couverts par le règlement n</w:t>
            </w:r>
            <w:r>
              <w:rPr>
                <w:noProof/>
                <w:spacing w:val="-8"/>
                <w:sz w:val="20"/>
                <w:szCs w:val="20"/>
                <w:vertAlign w:val="superscript"/>
              </w:rPr>
              <w:t>o</w:t>
            </w:r>
            <w:r>
              <w:rPr>
                <w:noProof/>
                <w:spacing w:val="-8"/>
                <w:sz w:val="20"/>
                <w:szCs w:val="20"/>
              </w:rPr>
              <w:t> 98 ou n</w:t>
            </w:r>
            <w:r>
              <w:rPr>
                <w:noProof/>
                <w:spacing w:val="-8"/>
                <w:sz w:val="20"/>
                <w:szCs w:val="20"/>
                <w:vertAlign w:val="superscript"/>
              </w:rPr>
              <w:t>o</w:t>
            </w:r>
            <w:r>
              <w:rPr>
                <w:noProof/>
                <w:spacing w:val="-8"/>
                <w:sz w:val="20"/>
                <w:szCs w:val="20"/>
              </w:rPr>
              <w:t> 123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19 de la CEE-ONU (Feux de brouillard avant)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prescriptions énoncées dans le règlement n</w:t>
            </w:r>
            <w:r>
              <w:rPr>
                <w:noProof/>
                <w:spacing w:val="-8"/>
                <w:sz w:val="20"/>
                <w:szCs w:val="20"/>
                <w:vertAlign w:val="superscript"/>
              </w:rPr>
              <w:t>o</w:t>
            </w:r>
            <w:r>
              <w:rPr>
                <w:noProof/>
                <w:spacing w:val="-8"/>
                <w:sz w:val="20"/>
                <w:szCs w:val="20"/>
              </w:rPr>
              <w:t> 19 de la CEE-ONU ne s’appliquent pas. Toutefois, le bon fonctionnement des feux, si le véhicule en est équipé,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 1005/2010 (Crochets de remorquage)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prescriptions du règlement (UE) n</w:t>
            </w:r>
            <w:r>
              <w:rPr>
                <w:noProof/>
                <w:spacing w:val="-8"/>
                <w:sz w:val="20"/>
                <w:szCs w:val="20"/>
                <w:vertAlign w:val="superscript"/>
              </w:rPr>
              <w:t>o</w:t>
            </w:r>
            <w:r>
              <w:rPr>
                <w:noProof/>
                <w:spacing w:val="-8"/>
                <w:sz w:val="20"/>
                <w:szCs w:val="20"/>
              </w:rPr>
              <w:t> 1005/2010 ne s’appliquent pas.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38 de la CEE-ONU (Feux de brouillard arrière)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prescriptions énoncées dans le règlement n</w:t>
            </w:r>
            <w:r>
              <w:rPr>
                <w:noProof/>
                <w:spacing w:val="-8"/>
                <w:sz w:val="20"/>
                <w:szCs w:val="20"/>
                <w:vertAlign w:val="superscript"/>
              </w:rPr>
              <w:t>o</w:t>
            </w:r>
            <w:r>
              <w:rPr>
                <w:noProof/>
                <w:spacing w:val="-8"/>
                <w:sz w:val="20"/>
                <w:szCs w:val="20"/>
              </w:rPr>
              <w:t> 38 de la CEE-ONU ne s’appliquent pas. Toutefois, le bon fonctionnement des feux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29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23 de la CEE-ONU </w:t>
            </w:r>
          </w:p>
          <w:p>
            <w:pPr>
              <w:spacing w:before="60" w:after="60"/>
              <w:jc w:val="left"/>
              <w:rPr>
                <w:rFonts w:eastAsia="Arial Unicode MS"/>
                <w:noProof/>
                <w:spacing w:val="-8"/>
                <w:sz w:val="20"/>
                <w:szCs w:val="20"/>
              </w:rPr>
            </w:pPr>
            <w:r>
              <w:rPr>
                <w:noProof/>
                <w:spacing w:val="-8"/>
                <w:sz w:val="20"/>
              </w:rPr>
              <w:lastRenderedPageBreak/>
              <w:t>(Feux de marche arrière)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lastRenderedPageBreak/>
              <w:t>Les prescriptions énoncées dans le règlement n</w:t>
            </w:r>
            <w:r>
              <w:rPr>
                <w:noProof/>
                <w:spacing w:val="-8"/>
                <w:sz w:val="20"/>
                <w:szCs w:val="20"/>
                <w:vertAlign w:val="superscript"/>
              </w:rPr>
              <w:t>o</w:t>
            </w:r>
            <w:r>
              <w:rPr>
                <w:noProof/>
                <w:spacing w:val="-8"/>
                <w:sz w:val="20"/>
                <w:szCs w:val="20"/>
              </w:rPr>
              <w:t xml:space="preserve"> 23 de la CEE-ONU ne s’appliquent pas. Toutefois, le bon fonctionnement des feux, si le </w:t>
            </w:r>
            <w:r>
              <w:rPr>
                <w:noProof/>
                <w:spacing w:val="-8"/>
                <w:sz w:val="20"/>
                <w:szCs w:val="20"/>
              </w:rPr>
              <w:lastRenderedPageBreak/>
              <w:t>véhicule en est équipé, doit être vérifié par le service technique.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30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77 de la CEE-ONU (Feux de stationnement)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prescriptions énoncées dans le règlement n</w:t>
            </w:r>
            <w:r>
              <w:rPr>
                <w:noProof/>
                <w:spacing w:val="-8"/>
                <w:sz w:val="20"/>
                <w:szCs w:val="20"/>
                <w:vertAlign w:val="superscript"/>
              </w:rPr>
              <w:t>o</w:t>
            </w:r>
            <w:r>
              <w:rPr>
                <w:noProof/>
                <w:spacing w:val="-8"/>
                <w:sz w:val="20"/>
                <w:szCs w:val="20"/>
              </w:rPr>
              <w:t> 77 de la CEE-ONU ne s’appliquent pas. Toutefois, le bon fonctionnement des feux, si le véhicule en est équipé, doit être vérifié par le service technique.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16 de la CEE-ONU (Ceintures de sécurité et systèmes de retenue)</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pacing w:val="-8"/>
                <w:sz w:val="20"/>
                <w:szCs w:val="20"/>
              </w:rPr>
            </w:pPr>
            <w:r>
              <w:rPr>
                <w:i/>
                <w:noProof/>
                <w:spacing w:val="-8"/>
                <w:sz w:val="20"/>
                <w:szCs w:val="20"/>
              </w:rPr>
              <w:t>Composants</w:t>
            </w:r>
            <w:r>
              <w:rPr>
                <w:noProof/>
                <w:spacing w:val="-8"/>
                <w:sz w:val="20"/>
                <w:szCs w:val="20"/>
              </w:rPr>
              <w:t xml:space="preserve"> </w:t>
            </w:r>
          </w:p>
          <w:p>
            <w:pPr>
              <w:spacing w:after="0"/>
              <w:ind w:left="380" w:hanging="380"/>
              <w:rPr>
                <w:rFonts w:eastAsia="Arial Unicode MS"/>
                <w:noProof/>
                <w:spacing w:val="-8"/>
                <w:sz w:val="20"/>
                <w:szCs w:val="20"/>
              </w:rPr>
            </w:pPr>
            <w:r>
              <w:rPr>
                <w:noProof/>
                <w:spacing w:val="-8"/>
                <w:sz w:val="20"/>
                <w:szCs w:val="20"/>
              </w:rPr>
              <w:t>a)</w:t>
            </w:r>
            <w:r>
              <w:rPr>
                <w:noProof/>
                <w:spacing w:val="-8"/>
                <w:sz w:val="20"/>
                <w:szCs w:val="20"/>
              </w:rPr>
              <w:tab/>
              <w:t>Il n’est pas nécessaire que les ceintures de sécurité soient réceptionnées par type conformément au règlement n</w:t>
            </w:r>
            <w:r>
              <w:rPr>
                <w:noProof/>
                <w:spacing w:val="-8"/>
                <w:sz w:val="20"/>
                <w:szCs w:val="20"/>
                <w:vertAlign w:val="superscript"/>
              </w:rPr>
              <w:t>o</w:t>
            </w:r>
            <w:r>
              <w:rPr>
                <w:noProof/>
                <w:spacing w:val="-8"/>
                <w:sz w:val="20"/>
                <w:szCs w:val="20"/>
              </w:rPr>
              <w:t> 16 de la CEE-ONU.</w:t>
            </w:r>
          </w:p>
          <w:p>
            <w:pPr>
              <w:spacing w:after="0"/>
              <w:ind w:left="380" w:hanging="380"/>
              <w:rPr>
                <w:rFonts w:eastAsia="Arial Unicode MS"/>
                <w:noProof/>
                <w:spacing w:val="-8"/>
                <w:sz w:val="20"/>
                <w:szCs w:val="20"/>
              </w:rPr>
            </w:pPr>
            <w:r>
              <w:rPr>
                <w:noProof/>
                <w:spacing w:val="-8"/>
                <w:sz w:val="20"/>
                <w:szCs w:val="20"/>
              </w:rPr>
              <w:t>b)</w:t>
            </w:r>
            <w:r>
              <w:rPr>
                <w:noProof/>
                <w:spacing w:val="-8"/>
                <w:sz w:val="20"/>
                <w:szCs w:val="20"/>
              </w:rPr>
              <w:tab/>
              <w:t>Chaque ceinture de sécurité doit toutefois porter une étiquette d’identification.</w:t>
            </w:r>
          </w:p>
          <w:p>
            <w:pPr>
              <w:spacing w:after="0"/>
              <w:ind w:left="380" w:hanging="380"/>
              <w:rPr>
                <w:rFonts w:eastAsia="Arial Unicode MS"/>
                <w:noProof/>
                <w:spacing w:val="-8"/>
                <w:sz w:val="20"/>
                <w:szCs w:val="20"/>
              </w:rPr>
            </w:pPr>
            <w:r>
              <w:rPr>
                <w:noProof/>
                <w:spacing w:val="-8"/>
                <w:sz w:val="20"/>
                <w:szCs w:val="20"/>
              </w:rPr>
              <w:t>c)</w:t>
            </w:r>
            <w:r>
              <w:rPr>
                <w:noProof/>
                <w:spacing w:val="-8"/>
                <w:sz w:val="20"/>
                <w:szCs w:val="20"/>
              </w:rPr>
              <w:tab/>
              <w:t>Les indications figurant sur l’étiquette doivent être conformes à la décision concernant les ancrages des ceintures de sécurité (voir élément 19).</w:t>
            </w:r>
          </w:p>
          <w:p>
            <w:pPr>
              <w:ind w:left="380" w:hanging="380"/>
              <w:rPr>
                <w:rFonts w:eastAsia="Arial Unicode MS"/>
                <w:noProof/>
                <w:spacing w:val="-8"/>
                <w:sz w:val="20"/>
                <w:szCs w:val="20"/>
              </w:rPr>
            </w:pPr>
            <w:r>
              <w:rPr>
                <w:i/>
                <w:noProof/>
                <w:spacing w:val="-8"/>
                <w:sz w:val="20"/>
                <w:szCs w:val="20"/>
              </w:rPr>
              <w:t>Prescriptions relatives à l’installation</w:t>
            </w:r>
            <w:r>
              <w:rPr>
                <w:noProof/>
                <w:spacing w:val="-8"/>
                <w:sz w:val="20"/>
                <w:szCs w:val="20"/>
              </w:rPr>
              <w:t xml:space="preserve"> </w:t>
            </w:r>
          </w:p>
          <w:p>
            <w:pPr>
              <w:spacing w:after="0"/>
              <w:ind w:left="380" w:hanging="380"/>
              <w:rPr>
                <w:rFonts w:eastAsia="Arial Unicode MS"/>
                <w:noProof/>
                <w:spacing w:val="-8"/>
                <w:sz w:val="20"/>
                <w:szCs w:val="20"/>
              </w:rPr>
            </w:pPr>
            <w:r>
              <w:rPr>
                <w:noProof/>
                <w:spacing w:val="-8"/>
                <w:sz w:val="20"/>
                <w:szCs w:val="20"/>
              </w:rPr>
              <w:t>a)</w:t>
            </w:r>
            <w:r>
              <w:rPr>
                <w:noProof/>
                <w:spacing w:val="-8"/>
                <w:sz w:val="20"/>
                <w:szCs w:val="20"/>
              </w:rPr>
              <w:tab/>
              <w:t>Le véhicule doit être équipé de ceintures de sécurité conformément aux prescriptions de l’annexe XVI du règlement n</w:t>
            </w:r>
            <w:r>
              <w:rPr>
                <w:noProof/>
                <w:spacing w:val="-8"/>
                <w:sz w:val="20"/>
                <w:szCs w:val="20"/>
                <w:vertAlign w:val="superscript"/>
              </w:rPr>
              <w:t>o</w:t>
            </w:r>
            <w:r>
              <w:rPr>
                <w:noProof/>
                <w:spacing w:val="-8"/>
                <w:sz w:val="20"/>
                <w:szCs w:val="20"/>
              </w:rPr>
              <w:t> 16 de la CEE-ONU.</w:t>
            </w:r>
          </w:p>
          <w:p>
            <w:pPr>
              <w:spacing w:after="0"/>
              <w:ind w:left="380" w:hanging="380"/>
              <w:rPr>
                <w:rFonts w:eastAsia="Arial Unicode MS"/>
                <w:noProof/>
                <w:spacing w:val="-8"/>
                <w:sz w:val="20"/>
                <w:szCs w:val="20"/>
              </w:rPr>
            </w:pPr>
            <w:r>
              <w:rPr>
                <w:noProof/>
                <w:spacing w:val="-8"/>
                <w:sz w:val="20"/>
                <w:szCs w:val="20"/>
              </w:rPr>
              <w:t>b)</w:t>
            </w:r>
            <w:r>
              <w:rPr>
                <w:noProof/>
                <w:spacing w:val="-8"/>
                <w:sz w:val="20"/>
                <w:szCs w:val="20"/>
              </w:rPr>
              <w:tab/>
              <w:t>Si un certain nombre de ceintures de sécurité doivent être montées ultérieurement conformément au point a), elles doivent être d’un type réceptionné conformément au règlement n</w:t>
            </w:r>
            <w:r>
              <w:rPr>
                <w:noProof/>
                <w:spacing w:val="-8"/>
                <w:sz w:val="20"/>
                <w:szCs w:val="20"/>
                <w:vertAlign w:val="superscript"/>
              </w:rPr>
              <w:t>o</w:t>
            </w:r>
            <w:r>
              <w:rPr>
                <w:noProof/>
                <w:spacing w:val="-8"/>
                <w:sz w:val="20"/>
                <w:szCs w:val="20"/>
              </w:rPr>
              <w:t> 16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121 de la CEE-ONU (Identification des commandes, témoins et indicateurs)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pacing w:val="-8"/>
                <w:sz w:val="20"/>
                <w:szCs w:val="20"/>
              </w:rPr>
            </w:pPr>
            <w:r>
              <w:rPr>
                <w:noProof/>
                <w:spacing w:val="-8"/>
                <w:sz w:val="20"/>
                <w:szCs w:val="20"/>
              </w:rPr>
              <w:t>a)</w:t>
            </w:r>
            <w:r>
              <w:rPr>
                <w:noProof/>
                <w:spacing w:val="-8"/>
                <w:sz w:val="20"/>
                <w:szCs w:val="20"/>
              </w:rPr>
              <w:tab/>
              <w:t>Les symboles, y compris la couleur de leurs témoins correspondants, dont la présence est obligatoire en vertu du règlement n</w:t>
            </w:r>
            <w:r>
              <w:rPr>
                <w:noProof/>
                <w:spacing w:val="-8"/>
                <w:sz w:val="20"/>
                <w:szCs w:val="20"/>
                <w:vertAlign w:val="superscript"/>
              </w:rPr>
              <w:t>o</w:t>
            </w:r>
            <w:r>
              <w:rPr>
                <w:noProof/>
                <w:spacing w:val="-8"/>
                <w:sz w:val="20"/>
                <w:szCs w:val="20"/>
              </w:rPr>
              <w:t> 121 de la CEE-ONU doivent être conformes à ce règlement de la CEE-ONU.</w:t>
            </w:r>
          </w:p>
          <w:p>
            <w:pPr>
              <w:spacing w:before="60" w:after="60"/>
              <w:ind w:left="380" w:hanging="380"/>
              <w:rPr>
                <w:rFonts w:eastAsia="Arial Unicode MS"/>
                <w:noProof/>
                <w:spacing w:val="-8"/>
                <w:sz w:val="20"/>
                <w:szCs w:val="20"/>
              </w:rPr>
            </w:pPr>
            <w:r>
              <w:rPr>
                <w:noProof/>
                <w:spacing w:val="-8"/>
                <w:sz w:val="20"/>
                <w:szCs w:val="20"/>
              </w:rPr>
              <w:t>b)</w:t>
            </w:r>
            <w:r>
              <w:rPr>
                <w:noProof/>
                <w:spacing w:val="-8"/>
                <w:sz w:val="20"/>
                <w:szCs w:val="20"/>
              </w:rPr>
              <w:tab/>
              <w:t>Si tel n’est pas le cas, le service technique doit vérifier si les symboles, les témoins et les indicateurs présents sur le véhicule fournissent au conducteur des informations compréhensibles sur le fonctionnement des commandes en question.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672/2010</w:t>
            </w:r>
          </w:p>
          <w:p>
            <w:pPr>
              <w:spacing w:before="60" w:after="60"/>
              <w:jc w:val="left"/>
              <w:rPr>
                <w:rFonts w:eastAsia="Arial Unicode MS"/>
                <w:noProof/>
                <w:spacing w:val="-8"/>
                <w:sz w:val="20"/>
                <w:szCs w:val="20"/>
              </w:rPr>
            </w:pPr>
            <w:r>
              <w:rPr>
                <w:noProof/>
                <w:spacing w:val="-8"/>
                <w:sz w:val="20"/>
              </w:rPr>
              <w:t>(Dispositifs de dégivrage et de désembuage)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 véhicule doit être équipé de dispositifs adéquats de dégivrage et de désembuage du pare-brise.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xml:space="preserve"> 1008/2010 </w:t>
            </w:r>
          </w:p>
          <w:p>
            <w:pPr>
              <w:spacing w:before="60" w:after="60"/>
              <w:jc w:val="left"/>
              <w:rPr>
                <w:rFonts w:eastAsia="Arial Unicode MS"/>
                <w:noProof/>
                <w:spacing w:val="-8"/>
                <w:sz w:val="20"/>
                <w:szCs w:val="20"/>
              </w:rPr>
            </w:pPr>
            <w:r>
              <w:rPr>
                <w:noProof/>
                <w:spacing w:val="-8"/>
                <w:sz w:val="20"/>
              </w:rPr>
              <w:t>(Essuie-glaces/lave-glaces)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 véhicule doit être équipé de dispositifs adéquats de lave-glace et d’essuie-glace du pare-brise.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36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122 de la CEE-ONU</w:t>
            </w:r>
          </w:p>
          <w:p>
            <w:pPr>
              <w:spacing w:before="60" w:after="60"/>
              <w:jc w:val="left"/>
              <w:rPr>
                <w:rFonts w:eastAsia="Arial Unicode MS"/>
                <w:noProof/>
                <w:spacing w:val="-8"/>
                <w:sz w:val="20"/>
                <w:szCs w:val="20"/>
              </w:rPr>
            </w:pPr>
            <w:r>
              <w:rPr>
                <w:noProof/>
                <w:spacing w:val="-8"/>
                <w:sz w:val="20"/>
              </w:rPr>
              <w:t>(Systèmes de chauffage)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pacing w:val="-8"/>
                <w:sz w:val="20"/>
                <w:szCs w:val="20"/>
              </w:rPr>
            </w:pPr>
            <w:r>
              <w:rPr>
                <w:noProof/>
                <w:spacing w:val="-8"/>
                <w:sz w:val="20"/>
                <w:szCs w:val="20"/>
              </w:rPr>
              <w:t>a)</w:t>
            </w:r>
            <w:r>
              <w:rPr>
                <w:noProof/>
                <w:spacing w:val="-8"/>
                <w:sz w:val="20"/>
                <w:szCs w:val="20"/>
              </w:rPr>
              <w:tab/>
              <w:t>L’habitacle doit être équipé d’un système de chauffage.</w:t>
            </w:r>
          </w:p>
          <w:p>
            <w:pPr>
              <w:spacing w:before="60" w:after="60"/>
              <w:ind w:left="380" w:hanging="380"/>
              <w:rPr>
                <w:rFonts w:eastAsia="Arial Unicode MS"/>
                <w:noProof/>
                <w:spacing w:val="-8"/>
                <w:sz w:val="20"/>
                <w:szCs w:val="20"/>
              </w:rPr>
            </w:pPr>
            <w:r>
              <w:rPr>
                <w:noProof/>
                <w:spacing w:val="-8"/>
                <w:sz w:val="20"/>
                <w:szCs w:val="20"/>
              </w:rPr>
              <w:t>b)</w:t>
            </w:r>
            <w:r>
              <w:rPr>
                <w:noProof/>
                <w:spacing w:val="-8"/>
                <w:sz w:val="20"/>
                <w:szCs w:val="20"/>
              </w:rPr>
              <w:tab/>
              <w:t>Les chauffages à combustion et leur installation doivent être conformes à l’annexe 7 du règlement n</w:t>
            </w:r>
            <w:r>
              <w:rPr>
                <w:noProof/>
                <w:spacing w:val="-8"/>
                <w:sz w:val="20"/>
                <w:szCs w:val="20"/>
                <w:vertAlign w:val="superscript"/>
              </w:rPr>
              <w:t>o</w:t>
            </w:r>
            <w:r>
              <w:rPr>
                <w:noProof/>
                <w:spacing w:val="-8"/>
                <w:sz w:val="20"/>
                <w:szCs w:val="20"/>
              </w:rPr>
              <w:t> 122 de la CEE-ONU. En outre, les chauffages à combustion GPL et les systèmes de chauffage GPL doivent satisfaire aux prescriptions énoncées dans l’annexe 8 du règlement n</w:t>
            </w:r>
            <w:r>
              <w:rPr>
                <w:noProof/>
                <w:spacing w:val="-8"/>
                <w:sz w:val="20"/>
                <w:szCs w:val="20"/>
                <w:vertAlign w:val="superscript"/>
              </w:rPr>
              <w:t>o</w:t>
            </w:r>
            <w:r>
              <w:rPr>
                <w:noProof/>
                <w:spacing w:val="-8"/>
                <w:sz w:val="20"/>
                <w:szCs w:val="20"/>
              </w:rPr>
              <w:t> 122 de la CEE-ONU.</w:t>
            </w:r>
          </w:p>
          <w:p>
            <w:pPr>
              <w:spacing w:before="60" w:after="60"/>
              <w:ind w:left="380" w:hanging="380"/>
              <w:rPr>
                <w:rFonts w:eastAsia="Arial Unicode MS"/>
                <w:noProof/>
                <w:spacing w:val="-8"/>
                <w:sz w:val="20"/>
                <w:szCs w:val="20"/>
              </w:rPr>
            </w:pPr>
            <w:r>
              <w:rPr>
                <w:noProof/>
                <w:spacing w:val="-8"/>
                <w:sz w:val="20"/>
                <w:szCs w:val="20"/>
              </w:rPr>
              <w:t>c)</w:t>
            </w:r>
            <w:r>
              <w:rPr>
                <w:noProof/>
                <w:spacing w:val="-8"/>
                <w:sz w:val="20"/>
                <w:szCs w:val="20"/>
              </w:rPr>
              <w:tab/>
              <w:t>Les systèmes de chauffage supplémentaires montés ultérieurement doivent satisfaire aux prescriptions énoncées dans le règlement n</w:t>
            </w:r>
            <w:r>
              <w:rPr>
                <w:noProof/>
                <w:spacing w:val="-8"/>
                <w:sz w:val="20"/>
                <w:szCs w:val="20"/>
                <w:vertAlign w:val="superscript"/>
              </w:rPr>
              <w:t>o</w:t>
            </w:r>
            <w:r>
              <w:rPr>
                <w:noProof/>
                <w:spacing w:val="-8"/>
                <w:sz w:val="20"/>
                <w:szCs w:val="20"/>
              </w:rPr>
              <w:t> 122 de la CEE-ONU.</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pacing w:val="-8"/>
                <w:sz w:val="20"/>
                <w:szCs w:val="20"/>
              </w:rPr>
            </w:pPr>
            <w:r>
              <w:rPr>
                <w:noProof/>
                <w:spacing w:val="-8"/>
                <w:sz w:val="20"/>
              </w:rPr>
              <w:lastRenderedPageBreak/>
              <w:t>41a</w:t>
            </w:r>
          </w:p>
        </w:tc>
        <w:tc>
          <w:tcPr>
            <w:tcW w:w="250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595/2009</w:t>
            </w:r>
          </w:p>
          <w:p>
            <w:pPr>
              <w:spacing w:before="60" w:after="60"/>
              <w:jc w:val="left"/>
              <w:rPr>
                <w:rFonts w:eastAsia="Times New Roman"/>
                <w:noProof/>
                <w:spacing w:val="-8"/>
                <w:sz w:val="20"/>
                <w:szCs w:val="20"/>
              </w:rPr>
            </w:pPr>
            <w:r>
              <w:rPr>
                <w:noProof/>
                <w:spacing w:val="-8"/>
                <w:sz w:val="20"/>
              </w:rPr>
              <w:t>[Émissions (Euro VI) des véhicules lourds — OBD]</w:t>
            </w:r>
          </w:p>
        </w:tc>
        <w:tc>
          <w:tcPr>
            <w:tcW w:w="5386" w:type="dxa"/>
            <w:tcBorders>
              <w:top w:val="outset" w:sz="6" w:space="0" w:color="auto"/>
              <w:left w:val="outset" w:sz="6" w:space="0" w:color="auto"/>
              <w:bottom w:val="outset" w:sz="6" w:space="0" w:color="auto"/>
              <w:right w:val="outset" w:sz="6" w:space="0" w:color="auto"/>
            </w:tcBorders>
          </w:tcPr>
          <w:p>
            <w:pPr>
              <w:spacing w:after="0"/>
              <w:rPr>
                <w:rFonts w:eastAsia="Times New Roman"/>
                <w:bCs/>
                <w:noProof/>
                <w:spacing w:val="-8"/>
                <w:sz w:val="20"/>
                <w:szCs w:val="20"/>
              </w:rPr>
            </w:pPr>
            <w:r>
              <w:rPr>
                <w:i/>
                <w:noProof/>
                <w:spacing w:val="-8"/>
                <w:sz w:val="20"/>
                <w:szCs w:val="20"/>
              </w:rPr>
              <w:t>Émissions d’échappement</w:t>
            </w:r>
            <w:r>
              <w:rPr>
                <w:noProof/>
                <w:spacing w:val="-8"/>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78"/>
              <w:gridCol w:w="4915"/>
            </w:tblGrid>
            <w:tr>
              <w:trPr>
                <w:tblCellSpacing w:w="0" w:type="dxa"/>
              </w:trPr>
              <w:tc>
                <w:tcPr>
                  <w:tcW w:w="268" w:type="pct"/>
                  <w:hideMark/>
                </w:tcPr>
                <w:p>
                  <w:pPr>
                    <w:spacing w:after="0"/>
                    <w:rPr>
                      <w:rFonts w:eastAsia="Times New Roman"/>
                      <w:noProof/>
                      <w:spacing w:val="-8"/>
                      <w:sz w:val="20"/>
                      <w:szCs w:val="20"/>
                    </w:rPr>
                  </w:pPr>
                  <w:r>
                    <w:rPr>
                      <w:noProof/>
                      <w:spacing w:val="-8"/>
                      <w:sz w:val="20"/>
                      <w:szCs w:val="20"/>
                    </w:rPr>
                    <w:t>a)</w:t>
                  </w:r>
                </w:p>
              </w:tc>
              <w:tc>
                <w:tcPr>
                  <w:tcW w:w="4732" w:type="pct"/>
                  <w:hideMark/>
                </w:tcPr>
                <w:p>
                  <w:pPr>
                    <w:spacing w:after="0"/>
                    <w:rPr>
                      <w:rFonts w:eastAsia="Times New Roman"/>
                      <w:noProof/>
                      <w:spacing w:val="-8"/>
                      <w:sz w:val="20"/>
                      <w:szCs w:val="20"/>
                    </w:rPr>
                  </w:pPr>
                  <w:r>
                    <w:rPr>
                      <w:noProof/>
                      <w:spacing w:val="-8"/>
                      <w:sz w:val="20"/>
                      <w:szCs w:val="20"/>
                    </w:rPr>
                    <w:t>Un essai est réalisé conformément à l’annexe III du règlement (UE) n</w:t>
                  </w:r>
                  <w:r>
                    <w:rPr>
                      <w:noProof/>
                      <w:spacing w:val="-8"/>
                      <w:sz w:val="20"/>
                      <w:szCs w:val="20"/>
                      <w:vertAlign w:val="superscript"/>
                    </w:rPr>
                    <w:t>o</w:t>
                  </w:r>
                  <w:r>
                    <w:rPr>
                      <w:noProof/>
                      <w:spacing w:val="-8"/>
                      <w:sz w:val="20"/>
                      <w:szCs w:val="20"/>
                    </w:rPr>
                    <w:t> 582/2011, en utilisant les facteurs de détérioration indiqués au point 3.6.1 de l’annexe VI dudit règlement.</w:t>
                  </w:r>
                </w:p>
              </w:tc>
            </w:tr>
            <w:tr>
              <w:trPr>
                <w:tblCellSpacing w:w="0" w:type="dxa"/>
              </w:trPr>
              <w:tc>
                <w:tcPr>
                  <w:tcW w:w="268" w:type="pct"/>
                  <w:hideMark/>
                </w:tcPr>
                <w:p>
                  <w:pPr>
                    <w:spacing w:after="0"/>
                    <w:rPr>
                      <w:rFonts w:eastAsia="Times New Roman"/>
                      <w:noProof/>
                      <w:spacing w:val="-8"/>
                      <w:sz w:val="20"/>
                      <w:szCs w:val="20"/>
                    </w:rPr>
                  </w:pPr>
                  <w:r>
                    <w:rPr>
                      <w:noProof/>
                      <w:spacing w:val="-8"/>
                      <w:sz w:val="20"/>
                      <w:szCs w:val="20"/>
                    </w:rPr>
                    <w:t>b)</w:t>
                  </w:r>
                </w:p>
              </w:tc>
              <w:tc>
                <w:tcPr>
                  <w:tcW w:w="4732" w:type="pct"/>
                  <w:hideMark/>
                </w:tcPr>
                <w:p>
                  <w:pPr>
                    <w:spacing w:after="0"/>
                    <w:rPr>
                      <w:rFonts w:eastAsia="Times New Roman"/>
                      <w:noProof/>
                      <w:spacing w:val="-8"/>
                      <w:sz w:val="20"/>
                      <w:szCs w:val="20"/>
                    </w:rPr>
                  </w:pPr>
                  <w:r>
                    <w:rPr>
                      <w:noProof/>
                      <w:spacing w:val="-8"/>
                      <w:sz w:val="20"/>
                      <w:szCs w:val="20"/>
                    </w:rPr>
                    <w:t>Les limites à appliquer sont celles spécifiées dans le tableau de l’annexe I du règlement (CE) n</w:t>
                  </w:r>
                  <w:r>
                    <w:rPr>
                      <w:noProof/>
                      <w:spacing w:val="-8"/>
                      <w:sz w:val="20"/>
                      <w:szCs w:val="20"/>
                      <w:vertAlign w:val="superscript"/>
                    </w:rPr>
                    <w:t>o</w:t>
                  </w:r>
                  <w:r>
                    <w:rPr>
                      <w:noProof/>
                      <w:spacing w:val="-8"/>
                      <w:sz w:val="20"/>
                      <w:szCs w:val="20"/>
                    </w:rPr>
                    <w:t> 595/2009.</w:t>
                  </w:r>
                </w:p>
              </w:tc>
            </w:tr>
            <w:tr>
              <w:trPr>
                <w:tblCellSpacing w:w="0" w:type="dxa"/>
              </w:trPr>
              <w:tc>
                <w:tcPr>
                  <w:tcW w:w="268" w:type="pct"/>
                  <w:hideMark/>
                </w:tcPr>
                <w:p>
                  <w:pPr>
                    <w:spacing w:after="0"/>
                    <w:rPr>
                      <w:rFonts w:eastAsia="Times New Roman"/>
                      <w:noProof/>
                      <w:spacing w:val="-8"/>
                      <w:sz w:val="20"/>
                      <w:szCs w:val="20"/>
                    </w:rPr>
                  </w:pPr>
                  <w:r>
                    <w:rPr>
                      <w:noProof/>
                      <w:spacing w:val="-8"/>
                      <w:sz w:val="20"/>
                      <w:szCs w:val="20"/>
                    </w:rPr>
                    <w:t>c)</w:t>
                  </w:r>
                </w:p>
              </w:tc>
              <w:tc>
                <w:tcPr>
                  <w:tcW w:w="4732" w:type="pct"/>
                  <w:hideMark/>
                </w:tcPr>
                <w:p>
                  <w:pPr>
                    <w:spacing w:after="0"/>
                    <w:rPr>
                      <w:rFonts w:eastAsia="Times New Roman"/>
                      <w:noProof/>
                      <w:spacing w:val="-8"/>
                      <w:sz w:val="20"/>
                      <w:szCs w:val="20"/>
                    </w:rPr>
                  </w:pPr>
                  <w:r>
                    <w:rPr>
                      <w:noProof/>
                      <w:spacing w:val="-8"/>
                      <w:sz w:val="20"/>
                      <w:szCs w:val="20"/>
                    </w:rPr>
                    <w:t>Le carburant utilisé pour l’essai doit être le carburant de référence prescrit dans l’annexe IX du règlement (UE) n</w:t>
                  </w:r>
                  <w:r>
                    <w:rPr>
                      <w:noProof/>
                      <w:spacing w:val="-8"/>
                      <w:sz w:val="20"/>
                      <w:szCs w:val="20"/>
                      <w:vertAlign w:val="superscript"/>
                    </w:rPr>
                    <w:t>o</w:t>
                  </w:r>
                  <w:r>
                    <w:rPr>
                      <w:noProof/>
                      <w:spacing w:val="-8"/>
                      <w:sz w:val="20"/>
                      <w:szCs w:val="20"/>
                    </w:rPr>
                    <w:t> 582/2011.</w:t>
                  </w:r>
                </w:p>
              </w:tc>
            </w:tr>
          </w:tbl>
          <w:p>
            <w:pPr>
              <w:spacing w:before="240"/>
              <w:rPr>
                <w:rFonts w:eastAsia="Times New Roman"/>
                <w:bCs/>
                <w:noProof/>
                <w:spacing w:val="-8"/>
                <w:sz w:val="20"/>
                <w:szCs w:val="20"/>
              </w:rPr>
            </w:pPr>
            <w:r>
              <w:rPr>
                <w:i/>
                <w:noProof/>
                <w:spacing w:val="-8"/>
                <w:sz w:val="20"/>
                <w:szCs w:val="20"/>
              </w:rPr>
              <w:t>Émissions de CO</w:t>
            </w:r>
            <w:r>
              <w:rPr>
                <w:i/>
                <w:noProof/>
                <w:spacing w:val="-8"/>
                <w:sz w:val="20"/>
                <w:szCs w:val="20"/>
                <w:vertAlign w:val="subscript"/>
              </w:rPr>
              <w:t>2</w:t>
            </w:r>
            <w:r>
              <w:rPr>
                <w:noProof/>
                <w:spacing w:val="-8"/>
                <w:sz w:val="20"/>
                <w:szCs w:val="20"/>
              </w:rPr>
              <w:t xml:space="preserve"> </w:t>
            </w:r>
          </w:p>
          <w:p>
            <w:pPr>
              <w:spacing w:after="0"/>
              <w:rPr>
                <w:rFonts w:eastAsia="Times New Roman"/>
                <w:noProof/>
                <w:spacing w:val="-8"/>
                <w:sz w:val="20"/>
                <w:szCs w:val="20"/>
              </w:rPr>
            </w:pPr>
            <w:r>
              <w:rPr>
                <w:noProof/>
                <w:spacing w:val="-8"/>
                <w:sz w:val="20"/>
                <w:szCs w:val="20"/>
              </w:rPr>
              <w:t>Les émissions de CO</w:t>
            </w:r>
            <w:r>
              <w:rPr>
                <w:noProof/>
                <w:spacing w:val="-8"/>
                <w:sz w:val="20"/>
                <w:szCs w:val="20"/>
                <w:vertAlign w:val="subscript"/>
              </w:rPr>
              <w:t>2</w:t>
            </w:r>
            <w:r>
              <w:rPr>
                <w:noProof/>
                <w:spacing w:val="-8"/>
                <w:sz w:val="20"/>
                <w:szCs w:val="20"/>
              </w:rPr>
              <w:t xml:space="preserve"> et la consommation de carburant doivent être déterminées conformément à l’annexe VIII du règlement (UE) n</w:t>
            </w:r>
            <w:r>
              <w:rPr>
                <w:noProof/>
                <w:spacing w:val="-8"/>
                <w:sz w:val="20"/>
                <w:szCs w:val="20"/>
                <w:vertAlign w:val="superscript"/>
              </w:rPr>
              <w:t>o</w:t>
            </w:r>
            <w:r>
              <w:rPr>
                <w:noProof/>
                <w:spacing w:val="-8"/>
                <w:sz w:val="20"/>
                <w:szCs w:val="20"/>
              </w:rPr>
              <w:t> 582/2011.</w:t>
            </w:r>
          </w:p>
          <w:p>
            <w:pPr>
              <w:spacing w:before="240"/>
              <w:rPr>
                <w:rFonts w:eastAsia="Times New Roman"/>
                <w:bCs/>
                <w:noProof/>
                <w:spacing w:val="-8"/>
                <w:sz w:val="20"/>
                <w:szCs w:val="20"/>
              </w:rPr>
            </w:pPr>
            <w:r>
              <w:rPr>
                <w:i/>
                <w:noProof/>
                <w:spacing w:val="-8"/>
                <w:sz w:val="20"/>
                <w:szCs w:val="20"/>
              </w:rPr>
              <w:t>OBD</w:t>
            </w:r>
            <w:r>
              <w:rPr>
                <w:noProof/>
                <w:spacing w:val="-8"/>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78"/>
              <w:gridCol w:w="4915"/>
            </w:tblGrid>
            <w:tr>
              <w:trPr>
                <w:tblCellSpacing w:w="0" w:type="dxa"/>
              </w:trPr>
              <w:tc>
                <w:tcPr>
                  <w:tcW w:w="268" w:type="pct"/>
                  <w:hideMark/>
                </w:tcPr>
                <w:p>
                  <w:pPr>
                    <w:spacing w:after="0"/>
                    <w:rPr>
                      <w:rFonts w:eastAsia="Times New Roman"/>
                      <w:noProof/>
                      <w:spacing w:val="-8"/>
                      <w:sz w:val="20"/>
                      <w:szCs w:val="20"/>
                    </w:rPr>
                  </w:pPr>
                  <w:r>
                    <w:rPr>
                      <w:noProof/>
                      <w:spacing w:val="-8"/>
                      <w:sz w:val="20"/>
                      <w:szCs w:val="20"/>
                    </w:rPr>
                    <w:t>a)</w:t>
                  </w:r>
                </w:p>
              </w:tc>
              <w:tc>
                <w:tcPr>
                  <w:tcW w:w="4732" w:type="pct"/>
                  <w:hideMark/>
                </w:tcPr>
                <w:p>
                  <w:pPr>
                    <w:spacing w:after="0"/>
                    <w:rPr>
                      <w:rFonts w:eastAsia="Times New Roman"/>
                      <w:noProof/>
                      <w:spacing w:val="-8"/>
                      <w:sz w:val="20"/>
                      <w:szCs w:val="20"/>
                    </w:rPr>
                  </w:pPr>
                  <w:r>
                    <w:rPr>
                      <w:noProof/>
                      <w:spacing w:val="-8"/>
                      <w:sz w:val="20"/>
                      <w:szCs w:val="20"/>
                    </w:rPr>
                    <w:t>Le véhicule doit être équipé d’un système OBD.</w:t>
                  </w:r>
                </w:p>
              </w:tc>
            </w:tr>
            <w:tr>
              <w:trPr>
                <w:tblCellSpacing w:w="0" w:type="dxa"/>
              </w:trPr>
              <w:tc>
                <w:tcPr>
                  <w:tcW w:w="268" w:type="pct"/>
                  <w:hideMark/>
                </w:tcPr>
                <w:p>
                  <w:pPr>
                    <w:spacing w:after="0"/>
                    <w:rPr>
                      <w:rFonts w:eastAsia="Times New Roman"/>
                      <w:noProof/>
                      <w:spacing w:val="-8"/>
                      <w:sz w:val="20"/>
                      <w:szCs w:val="20"/>
                    </w:rPr>
                  </w:pPr>
                  <w:r>
                    <w:rPr>
                      <w:noProof/>
                      <w:spacing w:val="-8"/>
                      <w:sz w:val="20"/>
                      <w:szCs w:val="20"/>
                    </w:rPr>
                    <w:t>b)</w:t>
                  </w:r>
                </w:p>
              </w:tc>
              <w:tc>
                <w:tcPr>
                  <w:tcW w:w="4732" w:type="pct"/>
                  <w:hideMark/>
                </w:tcPr>
                <w:p>
                  <w:pPr>
                    <w:spacing w:after="0"/>
                    <w:rPr>
                      <w:rFonts w:eastAsia="Times New Roman"/>
                      <w:noProof/>
                      <w:spacing w:val="-8"/>
                      <w:sz w:val="20"/>
                      <w:szCs w:val="20"/>
                    </w:rPr>
                  </w:pPr>
                  <w:r>
                    <w:rPr>
                      <w:noProof/>
                      <w:spacing w:val="-8"/>
                      <w:sz w:val="20"/>
                      <w:szCs w:val="20"/>
                    </w:rPr>
                    <w:t>L’interface OBD doit être capable de communiquer avec un analyseur OBD externe tel que décrit dans l’annexe X du règlement (UE) n</w:t>
                  </w:r>
                  <w:r>
                    <w:rPr>
                      <w:noProof/>
                      <w:spacing w:val="-8"/>
                      <w:sz w:val="20"/>
                      <w:szCs w:val="20"/>
                      <w:vertAlign w:val="superscript"/>
                    </w:rPr>
                    <w:t>o</w:t>
                  </w:r>
                  <w:r>
                    <w:rPr>
                      <w:noProof/>
                      <w:spacing w:val="-8"/>
                      <w:sz w:val="20"/>
                      <w:szCs w:val="20"/>
                    </w:rPr>
                    <w:t> 582/2011.</w:t>
                  </w:r>
                </w:p>
              </w:tc>
            </w:tr>
          </w:tbl>
          <w:p>
            <w:pPr>
              <w:spacing w:before="240"/>
              <w:rPr>
                <w:rFonts w:eastAsia="Times New Roman"/>
                <w:bCs/>
                <w:noProof/>
                <w:spacing w:val="-8"/>
                <w:sz w:val="20"/>
                <w:szCs w:val="20"/>
              </w:rPr>
            </w:pPr>
            <w:r>
              <w:rPr>
                <w:i/>
                <w:noProof/>
                <w:spacing w:val="-8"/>
                <w:sz w:val="20"/>
                <w:szCs w:val="20"/>
              </w:rPr>
              <w:t>Prescriptions visant à assurer le fonctionnement correct des mesures de contrôle des NO</w:t>
            </w:r>
            <w:r>
              <w:rPr>
                <w:i/>
                <w:noProof/>
                <w:spacing w:val="-8"/>
                <w:sz w:val="20"/>
                <w:szCs w:val="20"/>
                <w:vertAlign w:val="subscript"/>
              </w:rPr>
              <w:t>x</w:t>
            </w:r>
            <w:r>
              <w:rPr>
                <w:noProof/>
                <w:spacing w:val="-8"/>
                <w:sz w:val="20"/>
                <w:szCs w:val="20"/>
              </w:rPr>
              <w:t xml:space="preserve"> </w:t>
            </w:r>
          </w:p>
          <w:p>
            <w:pPr>
              <w:spacing w:after="0"/>
              <w:rPr>
                <w:rFonts w:eastAsia="Times New Roman"/>
                <w:noProof/>
                <w:spacing w:val="-8"/>
                <w:sz w:val="20"/>
                <w:szCs w:val="20"/>
              </w:rPr>
            </w:pPr>
            <w:r>
              <w:rPr>
                <w:noProof/>
                <w:spacing w:val="-8"/>
                <w:sz w:val="20"/>
                <w:szCs w:val="20"/>
              </w:rPr>
              <w:t>Le véhicule doit être équipé d’un système assurant le fonctionnement correct des mesures de contrôle des NO</w:t>
            </w:r>
            <w:r>
              <w:rPr>
                <w:noProof/>
                <w:spacing w:val="-8"/>
                <w:sz w:val="20"/>
                <w:szCs w:val="20"/>
                <w:vertAlign w:val="subscript"/>
              </w:rPr>
              <w:t>x</w:t>
            </w:r>
            <w:r>
              <w:rPr>
                <w:noProof/>
                <w:spacing w:val="-8"/>
                <w:sz w:val="20"/>
                <w:szCs w:val="20"/>
              </w:rPr>
              <w:t xml:space="preserve"> conformément à l’annexe XIII du règlement n</w:t>
            </w:r>
            <w:r>
              <w:rPr>
                <w:noProof/>
                <w:spacing w:val="-8"/>
                <w:sz w:val="20"/>
                <w:szCs w:val="20"/>
                <w:vertAlign w:val="superscript"/>
              </w:rPr>
              <w:t>o</w:t>
            </w:r>
            <w:r>
              <w:rPr>
                <w:noProof/>
                <w:spacing w:val="-8"/>
                <w:sz w:val="20"/>
                <w:szCs w:val="20"/>
              </w:rPr>
              <w:t xml:space="preserve"> 582/2011. </w:t>
            </w:r>
          </w:p>
          <w:p>
            <w:pPr>
              <w:spacing w:after="0"/>
              <w:rPr>
                <w:rFonts w:eastAsia="Times New Roman"/>
                <w:bCs/>
                <w:noProof/>
                <w:spacing w:val="-8"/>
                <w:sz w:val="20"/>
                <w:szCs w:val="20"/>
              </w:rPr>
            </w:pPr>
            <w:r>
              <w:rPr>
                <w:i/>
                <w:noProof/>
                <w:spacing w:val="-8"/>
                <w:sz w:val="20"/>
                <w:szCs w:val="20"/>
              </w:rPr>
              <w:t>Mesure de la puissance</w:t>
            </w:r>
            <w:r>
              <w:rPr>
                <w:noProof/>
                <w:spacing w:val="-8"/>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78"/>
              <w:gridCol w:w="4915"/>
            </w:tblGrid>
            <w:tr>
              <w:trPr>
                <w:tblCellSpacing w:w="0" w:type="dxa"/>
              </w:trPr>
              <w:tc>
                <w:tcPr>
                  <w:tcW w:w="268" w:type="pct"/>
                  <w:hideMark/>
                </w:tcPr>
                <w:p>
                  <w:pPr>
                    <w:spacing w:after="0"/>
                    <w:rPr>
                      <w:rFonts w:eastAsia="Times New Roman"/>
                      <w:noProof/>
                      <w:spacing w:val="-8"/>
                      <w:sz w:val="20"/>
                      <w:szCs w:val="20"/>
                    </w:rPr>
                  </w:pPr>
                  <w:r>
                    <w:rPr>
                      <w:noProof/>
                      <w:spacing w:val="-8"/>
                      <w:sz w:val="20"/>
                      <w:szCs w:val="20"/>
                    </w:rPr>
                    <w:t>a)</w:t>
                  </w:r>
                </w:p>
              </w:tc>
              <w:tc>
                <w:tcPr>
                  <w:tcW w:w="4732" w:type="pct"/>
                  <w:hideMark/>
                </w:tcPr>
                <w:p>
                  <w:pPr>
                    <w:spacing w:after="0"/>
                    <w:rPr>
                      <w:rFonts w:eastAsia="Times New Roman"/>
                      <w:noProof/>
                      <w:spacing w:val="-8"/>
                      <w:sz w:val="20"/>
                      <w:szCs w:val="20"/>
                    </w:rPr>
                  </w:pPr>
                  <w:r>
                    <w:rPr>
                      <w:noProof/>
                      <w:spacing w:val="-8"/>
                      <w:sz w:val="20"/>
                      <w:szCs w:val="20"/>
                    </w:rPr>
                    <w:t>Le demandeur doit présenter une déclaration du constructeur indiquant la puissance de sortie maximale du moteur en kW ainsi que le régime moteur correspondant.</w:t>
                  </w:r>
                </w:p>
              </w:tc>
            </w:tr>
            <w:tr>
              <w:trPr>
                <w:tblCellSpacing w:w="0" w:type="dxa"/>
              </w:trPr>
              <w:tc>
                <w:tcPr>
                  <w:tcW w:w="268" w:type="pct"/>
                  <w:hideMark/>
                </w:tcPr>
                <w:p>
                  <w:pPr>
                    <w:spacing w:after="0"/>
                    <w:rPr>
                      <w:rFonts w:eastAsia="Times New Roman"/>
                      <w:noProof/>
                      <w:spacing w:val="-8"/>
                      <w:sz w:val="20"/>
                      <w:szCs w:val="20"/>
                    </w:rPr>
                  </w:pPr>
                  <w:r>
                    <w:rPr>
                      <w:noProof/>
                      <w:spacing w:val="-8"/>
                      <w:sz w:val="20"/>
                      <w:szCs w:val="20"/>
                    </w:rPr>
                    <w:t>b)</w:t>
                  </w:r>
                </w:p>
              </w:tc>
              <w:tc>
                <w:tcPr>
                  <w:tcW w:w="4732" w:type="pct"/>
                  <w:hideMark/>
                </w:tcPr>
                <w:p>
                  <w:pPr>
                    <w:spacing w:after="0"/>
                    <w:rPr>
                      <w:rFonts w:eastAsia="Times New Roman"/>
                      <w:noProof/>
                      <w:spacing w:val="-8"/>
                      <w:sz w:val="20"/>
                      <w:szCs w:val="20"/>
                    </w:rPr>
                  </w:pPr>
                  <w:r>
                    <w:rPr>
                      <w:noProof/>
                      <w:spacing w:val="-8"/>
                      <w:sz w:val="20"/>
                      <w:szCs w:val="20"/>
                    </w:rPr>
                    <w:t>À titre d’alternative, le demandeur peut présenter une courbe de puissance de sortie du moteur fournissant les mêmes informations.</w:t>
                  </w:r>
                </w:p>
              </w:tc>
            </w:tr>
          </w:tbl>
          <w:p>
            <w:pPr>
              <w:spacing w:after="0"/>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43 de la CEE-ONU</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pacing w:val="-8"/>
                <w:sz w:val="20"/>
                <w:szCs w:val="20"/>
              </w:rPr>
            </w:pPr>
            <w:r>
              <w:rPr>
                <w:i/>
                <w:noProof/>
                <w:spacing w:val="-8"/>
                <w:sz w:val="20"/>
                <w:szCs w:val="20"/>
              </w:rPr>
              <w:t>Composants</w:t>
            </w:r>
            <w:r>
              <w:rPr>
                <w:noProof/>
                <w:spacing w:val="-8"/>
                <w:sz w:val="20"/>
                <w:szCs w:val="20"/>
              </w:rPr>
              <w:t xml:space="preserve"> </w:t>
            </w:r>
          </w:p>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Les vitrages doivent être faits soit de verre de sécurité trempé, soit de verre de sécurité feuilleté.</w:t>
            </w:r>
          </w:p>
          <w:p>
            <w:pPr>
              <w:spacing w:before="60" w:after="0"/>
              <w:ind w:left="380" w:hanging="380"/>
              <w:rPr>
                <w:rFonts w:eastAsia="Arial Unicode MS"/>
                <w:noProof/>
                <w:spacing w:val="-8"/>
                <w:sz w:val="20"/>
                <w:szCs w:val="20"/>
              </w:rPr>
            </w:pPr>
            <w:r>
              <w:rPr>
                <w:noProof/>
                <w:spacing w:val="-8"/>
                <w:sz w:val="20"/>
                <w:szCs w:val="20"/>
              </w:rPr>
              <w:t>b)</w:t>
            </w:r>
            <w:r>
              <w:rPr>
                <w:noProof/>
                <w:spacing w:val="-8"/>
                <w:sz w:val="20"/>
                <w:szCs w:val="20"/>
              </w:rPr>
              <w:tab/>
              <w:t>Le montage de vitrages en plastique n’est permis qu’aux endroits situés derrière le montant «B».</w:t>
            </w:r>
          </w:p>
          <w:p>
            <w:pPr>
              <w:spacing w:before="60" w:after="0"/>
              <w:ind w:left="380" w:hanging="380"/>
              <w:rPr>
                <w:rFonts w:eastAsia="Arial Unicode MS"/>
                <w:noProof/>
                <w:spacing w:val="-8"/>
                <w:sz w:val="20"/>
                <w:szCs w:val="20"/>
              </w:rPr>
            </w:pPr>
            <w:r>
              <w:rPr>
                <w:noProof/>
                <w:spacing w:val="-8"/>
                <w:sz w:val="20"/>
                <w:szCs w:val="20"/>
              </w:rPr>
              <w:t>c)</w:t>
            </w:r>
            <w:r>
              <w:rPr>
                <w:noProof/>
                <w:spacing w:val="-8"/>
                <w:sz w:val="20"/>
                <w:szCs w:val="20"/>
              </w:rPr>
              <w:tab/>
              <w:t>Il n’est pas nécessaire que les vitrages soient réceptionnés conformément au règlement n</w:t>
            </w:r>
            <w:r>
              <w:rPr>
                <w:noProof/>
                <w:spacing w:val="-8"/>
                <w:sz w:val="20"/>
                <w:szCs w:val="20"/>
                <w:vertAlign w:val="superscript"/>
              </w:rPr>
              <w:t>o</w:t>
            </w:r>
            <w:r>
              <w:rPr>
                <w:noProof/>
                <w:spacing w:val="-8"/>
                <w:sz w:val="20"/>
                <w:szCs w:val="20"/>
              </w:rPr>
              <w:t> 43 de la CEE-ONU.</w:t>
            </w:r>
          </w:p>
          <w:p>
            <w:pPr>
              <w:ind w:left="380" w:hanging="380"/>
              <w:rPr>
                <w:rFonts w:eastAsia="Arial Unicode MS"/>
                <w:noProof/>
                <w:spacing w:val="-8"/>
                <w:sz w:val="20"/>
                <w:szCs w:val="20"/>
              </w:rPr>
            </w:pPr>
            <w:r>
              <w:rPr>
                <w:i/>
                <w:noProof/>
                <w:spacing w:val="-8"/>
                <w:sz w:val="20"/>
                <w:szCs w:val="20"/>
              </w:rPr>
              <w:t>Installation</w:t>
            </w:r>
            <w:r>
              <w:rPr>
                <w:noProof/>
                <w:spacing w:val="-8"/>
                <w:sz w:val="20"/>
                <w:szCs w:val="20"/>
              </w:rPr>
              <w:t xml:space="preserve"> </w:t>
            </w:r>
          </w:p>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Les prescriptions relatives à l’installation figurant dans l’annexe 21 du règlement n</w:t>
            </w:r>
            <w:r>
              <w:rPr>
                <w:noProof/>
                <w:spacing w:val="-8"/>
                <w:sz w:val="20"/>
                <w:szCs w:val="20"/>
                <w:vertAlign w:val="superscript"/>
              </w:rPr>
              <w:t>o</w:t>
            </w:r>
            <w:r>
              <w:rPr>
                <w:noProof/>
                <w:spacing w:val="-8"/>
                <w:sz w:val="20"/>
                <w:szCs w:val="20"/>
              </w:rPr>
              <w:t> 43 de la CEE-ONU s’appliquent.</w:t>
            </w:r>
          </w:p>
          <w:p>
            <w:pPr>
              <w:spacing w:before="60" w:after="0"/>
              <w:ind w:left="380" w:hanging="380"/>
              <w:rPr>
                <w:rFonts w:eastAsia="Arial Unicode MS"/>
                <w:noProof/>
                <w:spacing w:val="-8"/>
                <w:sz w:val="20"/>
                <w:szCs w:val="20"/>
              </w:rPr>
            </w:pPr>
            <w:r>
              <w:rPr>
                <w:noProof/>
                <w:spacing w:val="-8"/>
                <w:sz w:val="20"/>
                <w:szCs w:val="20"/>
              </w:rPr>
              <w:t>b)</w:t>
            </w:r>
            <w:r>
              <w:rPr>
                <w:noProof/>
                <w:spacing w:val="-8"/>
                <w:sz w:val="20"/>
                <w:szCs w:val="20"/>
              </w:rPr>
              <w:tab/>
              <w:t>Les films teintés qui réduisent la transmission régulière de lumière en dessous du minimum requis ne sont pas permis sur le pare-brise ni sur les vitrages situés devant le montant «B».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458/2011 de la Commission</w:t>
            </w:r>
          </w:p>
          <w:p>
            <w:pPr>
              <w:spacing w:before="60" w:after="60"/>
              <w:jc w:val="left"/>
              <w:rPr>
                <w:rFonts w:eastAsia="Arial Unicode MS"/>
                <w:noProof/>
                <w:spacing w:val="-8"/>
                <w:sz w:val="20"/>
                <w:szCs w:val="20"/>
              </w:rPr>
            </w:pPr>
            <w:r>
              <w:rPr>
                <w:noProof/>
                <w:spacing w:val="-8"/>
                <w:sz w:val="20"/>
              </w:rPr>
              <w:t>(Montage des pneumatiques)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i/>
                <w:noProof/>
                <w:spacing w:val="-8"/>
                <w:sz w:val="20"/>
                <w:szCs w:val="20"/>
              </w:rPr>
              <w:t>Installation</w:t>
            </w:r>
          </w:p>
          <w:p>
            <w:pPr>
              <w:spacing w:before="60" w:after="60"/>
              <w:ind w:left="380" w:hanging="380"/>
              <w:jc w:val="left"/>
              <w:rPr>
                <w:rFonts w:eastAsia="Arial Unicode MS"/>
                <w:noProof/>
                <w:spacing w:val="-8"/>
                <w:sz w:val="20"/>
                <w:szCs w:val="20"/>
              </w:rPr>
            </w:pPr>
            <w:r>
              <w:rPr>
                <w:noProof/>
                <w:spacing w:val="-8"/>
                <w:sz w:val="20"/>
                <w:szCs w:val="20"/>
              </w:rPr>
              <w:t>a)</w:t>
            </w:r>
            <w:r>
              <w:rPr>
                <w:noProof/>
                <w:spacing w:val="-8"/>
                <w:sz w:val="20"/>
                <w:szCs w:val="20"/>
              </w:rPr>
              <w:tab/>
              <w:t>Les dimensions, l’indice de capacité de charge et la catégorie de vitesse des pneumatiques doivent satisfaire aux prescriptions du règlement (UE) 458/2011.</w:t>
            </w:r>
          </w:p>
          <w:p>
            <w:pPr>
              <w:spacing w:before="60" w:after="0"/>
              <w:ind w:left="380" w:hanging="380"/>
              <w:rPr>
                <w:rFonts w:eastAsia="Arial Unicode MS"/>
                <w:noProof/>
                <w:spacing w:val="-8"/>
                <w:sz w:val="20"/>
                <w:szCs w:val="20"/>
              </w:rPr>
            </w:pPr>
            <w:r>
              <w:rPr>
                <w:noProof/>
                <w:spacing w:val="-8"/>
                <w:sz w:val="20"/>
                <w:szCs w:val="20"/>
              </w:rPr>
              <w:lastRenderedPageBreak/>
              <w:t>b)</w:t>
            </w:r>
            <w:r>
              <w:rPr>
                <w:noProof/>
                <w:spacing w:val="-8"/>
                <w:sz w:val="20"/>
                <w:szCs w:val="20"/>
              </w:rPr>
              <w:tab/>
              <w:t>Le symbole de catégorie de vitesse du pneumatique doit être compatible avec la vitesse maximale par construction du véhicule.</w:t>
            </w:r>
          </w:p>
          <w:p>
            <w:pPr>
              <w:spacing w:before="60" w:after="0"/>
              <w:ind w:left="380" w:hanging="380"/>
              <w:rPr>
                <w:rFonts w:eastAsia="Arial Unicode MS"/>
                <w:noProof/>
                <w:spacing w:val="-8"/>
                <w:sz w:val="20"/>
                <w:szCs w:val="20"/>
              </w:rPr>
            </w:pPr>
            <w:r>
              <w:rPr>
                <w:noProof/>
                <w:spacing w:val="-8"/>
                <w:sz w:val="20"/>
                <w:szCs w:val="20"/>
              </w:rPr>
              <w:t>c)</w:t>
            </w:r>
            <w:r>
              <w:rPr>
                <w:noProof/>
                <w:spacing w:val="-8"/>
                <w:sz w:val="20"/>
                <w:szCs w:val="20"/>
              </w:rPr>
              <w:tab/>
              <w:t>Cette prescription s’applique nonobstant la présence d’un limiteur de vitesse.</w:t>
            </w:r>
          </w:p>
          <w:p>
            <w:pPr>
              <w:spacing w:before="60" w:after="0"/>
              <w:ind w:left="380" w:hanging="380"/>
              <w:rPr>
                <w:rFonts w:eastAsia="Arial Unicode MS"/>
                <w:noProof/>
                <w:spacing w:val="-8"/>
                <w:sz w:val="20"/>
                <w:szCs w:val="20"/>
              </w:rPr>
            </w:pPr>
            <w:r>
              <w:rPr>
                <w:noProof/>
                <w:spacing w:val="-8"/>
                <w:sz w:val="20"/>
                <w:szCs w:val="20"/>
              </w:rPr>
              <w:t>d)</w:t>
            </w:r>
            <w:r>
              <w:rPr>
                <w:noProof/>
                <w:spacing w:val="-8"/>
                <w:sz w:val="20"/>
                <w:szCs w:val="20"/>
              </w:rPr>
              <w:tab/>
              <w:t>La vitesse maximale du véhicule doit être indiquée par le constructeur du véhicule. Le service technique peut toutefois évaluer la vitesse maximale par construction du véhicule à partir de la puissance de sortie maximale du moteur, du nombre maximal de tours par minute et des données concernant la chaîne cinématique.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46B</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30 de la CEE-ONU</w:t>
            </w:r>
          </w:p>
          <w:p>
            <w:pPr>
              <w:spacing w:before="60" w:after="60"/>
              <w:jc w:val="left"/>
              <w:rPr>
                <w:rFonts w:eastAsia="Arial Unicode MS"/>
                <w:noProof/>
                <w:spacing w:val="-8"/>
                <w:sz w:val="20"/>
                <w:szCs w:val="20"/>
              </w:rPr>
            </w:pPr>
            <w:r>
              <w:rPr>
                <w:noProof/>
                <w:spacing w:val="-8"/>
                <w:sz w:val="20"/>
              </w:rPr>
              <w:t>(Pneumatiques C1)</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pacing w:val="-8"/>
                <w:sz w:val="20"/>
                <w:szCs w:val="20"/>
              </w:rPr>
            </w:pPr>
            <w:r>
              <w:rPr>
                <w:i/>
                <w:noProof/>
                <w:spacing w:val="-8"/>
                <w:sz w:val="20"/>
                <w:szCs w:val="20"/>
              </w:rPr>
              <w:t>Composants</w:t>
            </w:r>
          </w:p>
          <w:p>
            <w:pPr>
              <w:spacing w:after="0"/>
              <w:rPr>
                <w:rFonts w:eastAsia="Arial Unicode MS"/>
                <w:noProof/>
                <w:spacing w:val="-8"/>
                <w:sz w:val="20"/>
                <w:szCs w:val="20"/>
              </w:rPr>
            </w:pPr>
            <w:r>
              <w:rPr>
                <w:noProof/>
                <w:spacing w:val="-8"/>
                <w:sz w:val="20"/>
                <w:szCs w:val="20"/>
              </w:rPr>
              <w:t>Les pneumatiques doivent porter une marque «UE» de réception par type.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117 de la CEE-ONU</w:t>
            </w:r>
          </w:p>
          <w:p>
            <w:pPr>
              <w:spacing w:before="60" w:after="60"/>
              <w:jc w:val="left"/>
              <w:rPr>
                <w:rFonts w:eastAsia="Arial Unicode MS"/>
                <w:noProof/>
                <w:spacing w:val="-8"/>
                <w:sz w:val="20"/>
                <w:szCs w:val="20"/>
              </w:rPr>
            </w:pPr>
            <w:r>
              <w:rPr>
                <w:noProof/>
                <w:spacing w:val="-8"/>
                <w:sz w:val="20"/>
              </w:rPr>
              <w:t>(Émissions sonores de roulement, adhérence sur sol mouillé et résistance au roulement des pneumatiques)</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pacing w:val="-8"/>
                <w:sz w:val="20"/>
                <w:szCs w:val="20"/>
              </w:rPr>
            </w:pPr>
            <w:r>
              <w:rPr>
                <w:i/>
                <w:noProof/>
                <w:spacing w:val="-8"/>
                <w:sz w:val="20"/>
                <w:szCs w:val="20"/>
              </w:rPr>
              <w:t>Composants</w:t>
            </w:r>
          </w:p>
          <w:p>
            <w:pPr>
              <w:spacing w:after="0"/>
              <w:rPr>
                <w:rFonts w:eastAsia="Arial Unicode MS"/>
                <w:noProof/>
                <w:spacing w:val="-8"/>
                <w:sz w:val="20"/>
                <w:szCs w:val="20"/>
              </w:rPr>
            </w:pPr>
            <w:r>
              <w:rPr>
                <w:noProof/>
                <w:spacing w:val="-8"/>
                <w:sz w:val="20"/>
                <w:szCs w:val="20"/>
              </w:rPr>
              <w:t>Les pneumatiques doivent porter une marque «UE» de réception par type.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xml:space="preserve"> 661/2009 </w:t>
            </w:r>
          </w:p>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 </w:t>
            </w:r>
            <w:r>
              <w:rPr>
                <w:noProof/>
                <w:spacing w:val="-8"/>
                <w:sz w:val="20"/>
              </w:rPr>
              <w:t>64 de la CEE-ONU</w:t>
            </w:r>
          </w:p>
          <w:p>
            <w:pPr>
              <w:spacing w:before="60" w:after="60"/>
              <w:jc w:val="left"/>
              <w:rPr>
                <w:rFonts w:eastAsia="Arial Unicode MS"/>
                <w:noProof/>
                <w:spacing w:val="-8"/>
                <w:sz w:val="20"/>
                <w:szCs w:val="20"/>
              </w:rPr>
            </w:pPr>
            <w:r>
              <w:rPr>
                <w:noProof/>
                <w:spacing w:val="-8"/>
                <w:sz w:val="20"/>
              </w:rPr>
              <w:t>(Équipement de secours à usage temporaire, pneumatiques pour roulage à plat, émissions sonores de roulement, adhérence sur sol mouillé et résistance au roulement)</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pacing w:val="-8"/>
                <w:sz w:val="20"/>
                <w:szCs w:val="20"/>
              </w:rPr>
            </w:pPr>
            <w:r>
              <w:rPr>
                <w:i/>
                <w:noProof/>
                <w:spacing w:val="-8"/>
                <w:sz w:val="20"/>
              </w:rPr>
              <w:t>Composants</w:t>
            </w:r>
          </w:p>
          <w:p>
            <w:pPr>
              <w:spacing w:after="0"/>
              <w:rPr>
                <w:rFonts w:eastAsia="Arial Unicode MS"/>
                <w:noProof/>
                <w:spacing w:val="-8"/>
                <w:sz w:val="20"/>
                <w:szCs w:val="20"/>
              </w:rPr>
            </w:pPr>
            <w:r>
              <w:rPr>
                <w:noProof/>
                <w:spacing w:val="-8"/>
                <w:sz w:val="20"/>
              </w:rPr>
              <w:t>Les pneumatiques doivent porter une marque «UE» de réception par type.</w:t>
            </w:r>
          </w:p>
          <w:p>
            <w:pPr>
              <w:spacing w:after="0"/>
              <w:rPr>
                <w:rFonts w:eastAsia="Arial Unicode MS"/>
                <w:noProof/>
                <w:spacing w:val="-8"/>
                <w:sz w:val="20"/>
                <w:szCs w:val="20"/>
              </w:rPr>
            </w:pPr>
            <w:r>
              <w:rPr>
                <w:noProof/>
                <w:spacing w:val="-8"/>
                <w:sz w:val="20"/>
              </w:rPr>
              <w:t>L’installation d’un système de surveillance de la pression des pneumatiques n’est pas requise.</w:t>
            </w:r>
          </w:p>
          <w:p>
            <w:pPr>
              <w:spacing w:before="60" w:after="0"/>
              <w:ind w:left="380" w:hanging="380"/>
              <w:rPr>
                <w:rFonts w:eastAsia="Arial Unicode MS"/>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p>
            <w:pPr>
              <w:spacing w:before="60" w:after="60"/>
              <w:jc w:val="left"/>
              <w:rPr>
                <w:rFonts w:eastAsia="Arial Unicode MS"/>
                <w:noProof/>
                <w:spacing w:val="-8"/>
                <w:sz w:val="20"/>
                <w:szCs w:val="20"/>
              </w:rPr>
            </w:pPr>
            <w:r>
              <w:rPr>
                <w:noProof/>
                <w:spacing w:val="-8"/>
                <w:sz w:val="20"/>
              </w:rPr>
              <w:t>(Masses et dimensions)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pacing w:val="-8"/>
                <w:sz w:val="20"/>
                <w:szCs w:val="20"/>
              </w:rPr>
            </w:pPr>
            <w:r>
              <w:rPr>
                <w:noProof/>
                <w:spacing w:val="-8"/>
                <w:sz w:val="20"/>
                <w:szCs w:val="20"/>
              </w:rPr>
              <w:t>a)</w:t>
            </w:r>
            <w:r>
              <w:rPr>
                <w:noProof/>
                <w:spacing w:val="-8"/>
                <w:sz w:val="20"/>
                <w:szCs w:val="20"/>
              </w:rPr>
              <w:tab/>
              <w:t>Les prescriptions de la partie A l’annexe I du règlement (UE) n</w:t>
            </w:r>
            <w:r>
              <w:rPr>
                <w:noProof/>
                <w:spacing w:val="-8"/>
                <w:sz w:val="20"/>
                <w:szCs w:val="20"/>
                <w:vertAlign w:val="superscript"/>
              </w:rPr>
              <w:t>o</w:t>
            </w:r>
            <w:r>
              <w:rPr>
                <w:noProof/>
                <w:spacing w:val="-8"/>
                <w:sz w:val="20"/>
                <w:szCs w:val="20"/>
              </w:rPr>
              <w:t> 1230/2012 doivent être respectées.</w:t>
            </w:r>
          </w:p>
          <w:p>
            <w:pPr>
              <w:spacing w:before="60" w:after="60"/>
              <w:ind w:left="380"/>
              <w:rPr>
                <w:rFonts w:eastAsia="Arial Unicode MS"/>
                <w:noProof/>
                <w:spacing w:val="-8"/>
                <w:sz w:val="20"/>
                <w:szCs w:val="20"/>
              </w:rPr>
            </w:pPr>
            <w:r>
              <w:rPr>
                <w:noProof/>
                <w:spacing w:val="-8"/>
                <w:sz w:val="20"/>
                <w:szCs w:val="20"/>
              </w:rPr>
              <w:t>Il n’est cependant pas nécessaire de se conformer aux prescriptions énoncées à la section 5 de la partie A de l’annexe I</w:t>
            </w:r>
          </w:p>
          <w:p>
            <w:pPr>
              <w:spacing w:before="60" w:after="60"/>
              <w:ind w:left="380" w:hanging="380"/>
              <w:rPr>
                <w:rFonts w:eastAsia="Arial Unicode MS"/>
                <w:noProof/>
                <w:spacing w:val="-8"/>
                <w:sz w:val="20"/>
                <w:szCs w:val="20"/>
              </w:rPr>
            </w:pPr>
            <w:r>
              <w:rPr>
                <w:noProof/>
                <w:spacing w:val="-8"/>
                <w:sz w:val="20"/>
                <w:szCs w:val="20"/>
              </w:rPr>
              <w:t>b)</w:t>
            </w:r>
            <w:r>
              <w:rPr>
                <w:noProof/>
                <w:spacing w:val="-8"/>
                <w:sz w:val="20"/>
                <w:szCs w:val="20"/>
              </w:rPr>
              <w:tab/>
              <w:t>Pour les besoins du point a), les masses à prendre en compte sont les suivantes:</w:t>
            </w:r>
          </w:p>
          <w:p>
            <w:pPr>
              <w:spacing w:before="60" w:after="60"/>
              <w:ind w:left="805" w:hanging="380"/>
              <w:rPr>
                <w:rFonts w:eastAsia="Arial Unicode MS"/>
                <w:noProof/>
                <w:spacing w:val="-8"/>
                <w:sz w:val="20"/>
                <w:szCs w:val="20"/>
              </w:rPr>
            </w:pPr>
            <w:r>
              <w:rPr>
                <w:noProof/>
                <w:spacing w:val="-8"/>
                <w:sz w:val="20"/>
                <w:szCs w:val="20"/>
              </w:rPr>
              <w:t>—</w:t>
            </w:r>
            <w:r>
              <w:rPr>
                <w:noProof/>
                <w:spacing w:val="-8"/>
                <w:sz w:val="20"/>
                <w:szCs w:val="20"/>
              </w:rPr>
              <w:tab/>
              <w:t>la masse en ordre de marche définie à l’article 2, point 4, du règlement (UE) n</w:t>
            </w:r>
            <w:r>
              <w:rPr>
                <w:noProof/>
                <w:spacing w:val="-8"/>
                <w:sz w:val="20"/>
                <w:szCs w:val="20"/>
                <w:vertAlign w:val="superscript"/>
              </w:rPr>
              <w:t>o</w:t>
            </w:r>
            <w:r>
              <w:rPr>
                <w:noProof/>
                <w:spacing w:val="-8"/>
                <w:sz w:val="20"/>
                <w:szCs w:val="20"/>
              </w:rPr>
              <w:t> 1230/2012, telle que mesurée par le service technique, et</w:t>
            </w:r>
          </w:p>
          <w:p>
            <w:pPr>
              <w:spacing w:before="60" w:after="60"/>
              <w:ind w:left="805" w:hanging="380"/>
              <w:rPr>
                <w:rFonts w:eastAsia="Arial Unicode MS"/>
                <w:noProof/>
                <w:spacing w:val="-8"/>
                <w:sz w:val="20"/>
                <w:szCs w:val="20"/>
              </w:rPr>
            </w:pPr>
            <w:r>
              <w:rPr>
                <w:noProof/>
                <w:spacing w:val="-8"/>
                <w:sz w:val="20"/>
                <w:szCs w:val="20"/>
              </w:rPr>
              <w:t>—</w:t>
            </w:r>
            <w:r>
              <w:rPr>
                <w:noProof/>
                <w:spacing w:val="-8"/>
                <w:sz w:val="20"/>
                <w:szCs w:val="20"/>
              </w:rPr>
              <w:tab/>
              <w:t>les masses en charge maximales, déclarées par le constructeur du véhicule ou indiquées sur la plaque du constructeur, y compris les étiquettes ou les informations disponibles dans le manuel du propriétaire. Ces masses sont réputées être les masses en charge maximales techniquement admissibles.</w:t>
            </w:r>
          </w:p>
          <w:p>
            <w:pPr>
              <w:spacing w:before="60" w:after="60"/>
              <w:ind w:left="380" w:hanging="380"/>
              <w:rPr>
                <w:rFonts w:eastAsia="Arial Unicode MS"/>
                <w:noProof/>
                <w:spacing w:val="-8"/>
                <w:sz w:val="20"/>
                <w:szCs w:val="20"/>
              </w:rPr>
            </w:pPr>
            <w:r>
              <w:rPr>
                <w:noProof/>
                <w:spacing w:val="-8"/>
                <w:sz w:val="20"/>
                <w:szCs w:val="20"/>
              </w:rPr>
              <w:t>c)</w:t>
            </w:r>
            <w:r>
              <w:rPr>
                <w:noProof/>
                <w:spacing w:val="-8"/>
                <w:sz w:val="20"/>
                <w:szCs w:val="20"/>
              </w:rPr>
              <w:tab/>
              <w:t>Les modifications techniques apportées par le demandeur afin de réduire la masse en charge maximale techniquement admissible du véhicule à 3,5 tonnes ou moins, pour que le véhicule puisse obtenir la réception individuelle, ne sont pas autorisées.</w:t>
            </w:r>
          </w:p>
          <w:p>
            <w:pPr>
              <w:spacing w:before="60" w:after="60"/>
              <w:ind w:left="380" w:hanging="380"/>
              <w:rPr>
                <w:rFonts w:eastAsia="Arial Unicode MS"/>
                <w:noProof/>
                <w:spacing w:val="-8"/>
                <w:sz w:val="20"/>
                <w:szCs w:val="20"/>
              </w:rPr>
            </w:pPr>
            <w:r>
              <w:rPr>
                <w:noProof/>
                <w:spacing w:val="-8"/>
                <w:sz w:val="20"/>
                <w:szCs w:val="20"/>
              </w:rPr>
              <w:t>d)</w:t>
            </w:r>
            <w:r>
              <w:rPr>
                <w:noProof/>
                <w:spacing w:val="-8"/>
                <w:sz w:val="20"/>
                <w:szCs w:val="20"/>
              </w:rPr>
              <w:tab/>
              <w:t>Aucune exemption n’est autorisée en ce qui concerne les dimensions maximales admissibles.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61 de la CEE-</w:t>
            </w:r>
            <w:r>
              <w:rPr>
                <w:noProof/>
                <w:spacing w:val="-8"/>
                <w:sz w:val="20"/>
              </w:rPr>
              <w:lastRenderedPageBreak/>
              <w:t>ONU (Saillies extérieures des cabines)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pacing w:val="-8"/>
                <w:sz w:val="20"/>
                <w:szCs w:val="20"/>
              </w:rPr>
            </w:pPr>
            <w:r>
              <w:rPr>
                <w:noProof/>
                <w:spacing w:val="-8"/>
                <w:sz w:val="20"/>
                <w:szCs w:val="20"/>
              </w:rPr>
              <w:lastRenderedPageBreak/>
              <w:t>a)</w:t>
            </w:r>
            <w:r>
              <w:rPr>
                <w:noProof/>
                <w:spacing w:val="-8"/>
                <w:sz w:val="20"/>
                <w:szCs w:val="20"/>
              </w:rPr>
              <w:tab/>
              <w:t xml:space="preserve">Les prescriptions générales énoncées au paragraphe 5 du </w:t>
            </w:r>
            <w:r>
              <w:rPr>
                <w:noProof/>
                <w:spacing w:val="-8"/>
                <w:sz w:val="20"/>
                <w:szCs w:val="20"/>
              </w:rPr>
              <w:lastRenderedPageBreak/>
              <w:t>règlement n</w:t>
            </w:r>
            <w:r>
              <w:rPr>
                <w:noProof/>
                <w:spacing w:val="-8"/>
                <w:sz w:val="20"/>
                <w:szCs w:val="20"/>
                <w:vertAlign w:val="superscript"/>
              </w:rPr>
              <w:t>o</w:t>
            </w:r>
            <w:r>
              <w:rPr>
                <w:noProof/>
                <w:spacing w:val="-8"/>
                <w:sz w:val="20"/>
                <w:szCs w:val="20"/>
              </w:rPr>
              <w:t> 17 de la CEE-ONU doivent être respectées.</w:t>
            </w:r>
          </w:p>
          <w:p>
            <w:pPr>
              <w:spacing w:before="60" w:after="60"/>
              <w:ind w:left="380" w:hanging="380"/>
              <w:rPr>
                <w:rFonts w:eastAsia="Arial Unicode MS"/>
                <w:noProof/>
                <w:spacing w:val="-8"/>
                <w:sz w:val="20"/>
                <w:szCs w:val="20"/>
              </w:rPr>
            </w:pPr>
            <w:r>
              <w:rPr>
                <w:noProof/>
                <w:spacing w:val="-8"/>
                <w:sz w:val="20"/>
                <w:szCs w:val="20"/>
              </w:rPr>
              <w:t>b)</w:t>
            </w:r>
            <w:r>
              <w:rPr>
                <w:noProof/>
                <w:spacing w:val="-8"/>
                <w:sz w:val="20"/>
                <w:szCs w:val="20"/>
              </w:rPr>
              <w:tab/>
              <w:t>Si le service technique le juge nécessaire, les prescriptions énoncées aux paragraphes 6.1, 6.5, 6.6, 6.7, 6.8 et 6.11 du règlement n</w:t>
            </w:r>
            <w:r>
              <w:rPr>
                <w:noProof/>
                <w:spacing w:val="-8"/>
                <w:sz w:val="20"/>
                <w:szCs w:val="20"/>
                <w:vertAlign w:val="superscript"/>
              </w:rPr>
              <w:t>o</w:t>
            </w:r>
            <w:r>
              <w:rPr>
                <w:noProof/>
                <w:spacing w:val="-8"/>
                <w:sz w:val="20"/>
                <w:szCs w:val="20"/>
              </w:rPr>
              <w:t> 17 de la CEE-ONU doivent être respectées.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50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55 de la CEE-ONU (Dispositifs d’attelage)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pacing w:val="-8"/>
                <w:sz w:val="20"/>
                <w:szCs w:val="20"/>
              </w:rPr>
            </w:pPr>
            <w:r>
              <w:rPr>
                <w:i/>
                <w:noProof/>
                <w:spacing w:val="-8"/>
                <w:sz w:val="20"/>
                <w:szCs w:val="20"/>
              </w:rPr>
              <w:t>Entités techniques distinctes</w:t>
            </w:r>
            <w:r>
              <w:rPr>
                <w:noProof/>
                <w:spacing w:val="-8"/>
                <w:sz w:val="20"/>
                <w:szCs w:val="20"/>
              </w:rPr>
              <w:t xml:space="preserve"> </w:t>
            </w:r>
          </w:p>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Il n’est pas nécessaire que les attelages d’origine destinés à l’attelage d’une remorque d’une masse maximale ne dépassant pas 1 500 kg soient réceptionnés par type conformément au règlement n</w:t>
            </w:r>
            <w:r>
              <w:rPr>
                <w:noProof/>
                <w:spacing w:val="-8"/>
                <w:sz w:val="20"/>
                <w:szCs w:val="20"/>
                <w:vertAlign w:val="superscript"/>
              </w:rPr>
              <w:t>o</w:t>
            </w:r>
            <w:r>
              <w:rPr>
                <w:noProof/>
                <w:spacing w:val="-8"/>
                <w:sz w:val="20"/>
                <w:szCs w:val="20"/>
              </w:rPr>
              <w:t> 55 de la CEE-ONU.</w:t>
            </w:r>
          </w:p>
          <w:p>
            <w:pPr>
              <w:spacing w:before="60" w:after="0"/>
              <w:ind w:left="380" w:hanging="380"/>
              <w:rPr>
                <w:rFonts w:eastAsia="Arial Unicode MS"/>
                <w:noProof/>
                <w:spacing w:val="-8"/>
                <w:sz w:val="20"/>
                <w:szCs w:val="20"/>
              </w:rPr>
            </w:pPr>
            <w:r>
              <w:rPr>
                <w:noProof/>
                <w:spacing w:val="-8"/>
                <w:sz w:val="20"/>
                <w:szCs w:val="20"/>
              </w:rPr>
              <w:t>b)</w:t>
            </w:r>
            <w:r>
              <w:rPr>
                <w:noProof/>
                <w:spacing w:val="-8"/>
                <w:sz w:val="20"/>
                <w:szCs w:val="20"/>
              </w:rPr>
              <w:tab/>
              <w:t>Un attelage est réputé d’origine lorsqu’il est décrit dans le manuel du propriétaire ou dans un document équivalent fourni à l’acheteur par le constructeur du véhicule.</w:t>
            </w:r>
          </w:p>
          <w:p>
            <w:pPr>
              <w:spacing w:before="60" w:after="0"/>
              <w:ind w:left="380" w:hanging="380"/>
              <w:rPr>
                <w:rFonts w:eastAsia="Arial Unicode MS"/>
                <w:noProof/>
                <w:spacing w:val="-8"/>
                <w:sz w:val="20"/>
                <w:szCs w:val="20"/>
              </w:rPr>
            </w:pPr>
            <w:r>
              <w:rPr>
                <w:noProof/>
                <w:spacing w:val="-8"/>
                <w:sz w:val="20"/>
                <w:szCs w:val="20"/>
              </w:rPr>
              <w:t>c)</w:t>
            </w:r>
            <w:r>
              <w:rPr>
                <w:noProof/>
                <w:spacing w:val="-8"/>
                <w:sz w:val="20"/>
                <w:szCs w:val="20"/>
              </w:rPr>
              <w:tab/>
              <w:t>Si un tel attelage est réceptionné avec le véhicule, une mention appropriée doit figurer sur la fiche de réception indiquant qu’il appartient au propriétaire d’assurer la compatibilité avec le dispositif d’attelage monté sur la remorque.</w:t>
            </w:r>
          </w:p>
          <w:p>
            <w:pPr>
              <w:spacing w:before="60" w:after="0"/>
              <w:ind w:left="380" w:hanging="380"/>
              <w:rPr>
                <w:rFonts w:eastAsia="Arial Unicode MS"/>
                <w:noProof/>
                <w:spacing w:val="-8"/>
                <w:sz w:val="20"/>
                <w:szCs w:val="20"/>
              </w:rPr>
            </w:pPr>
            <w:r>
              <w:rPr>
                <w:noProof/>
                <w:spacing w:val="-8"/>
                <w:sz w:val="20"/>
                <w:szCs w:val="20"/>
              </w:rPr>
              <w:t>d)</w:t>
            </w:r>
            <w:r>
              <w:rPr>
                <w:noProof/>
                <w:spacing w:val="-8"/>
                <w:sz w:val="20"/>
                <w:szCs w:val="20"/>
              </w:rPr>
              <w:tab/>
              <w:t>Les attelages autres que ceux visés au point a), ainsi que les attelages qui sont montés ultérieurement, doivent être réceptionnés par type conformément au règlement n</w:t>
            </w:r>
            <w:r>
              <w:rPr>
                <w:noProof/>
                <w:spacing w:val="-8"/>
                <w:sz w:val="20"/>
                <w:szCs w:val="20"/>
                <w:vertAlign w:val="superscript"/>
              </w:rPr>
              <w:t>o</w:t>
            </w:r>
            <w:r>
              <w:rPr>
                <w:noProof/>
                <w:spacing w:val="-8"/>
                <w:sz w:val="20"/>
                <w:szCs w:val="20"/>
              </w:rPr>
              <w:t> 55 de la CEE-ONU.</w:t>
            </w:r>
          </w:p>
          <w:p>
            <w:pPr>
              <w:spacing w:after="0"/>
              <w:ind w:left="380" w:hanging="380"/>
              <w:rPr>
                <w:rFonts w:eastAsia="Arial Unicode MS"/>
                <w:i/>
                <w:iCs/>
                <w:noProof/>
                <w:spacing w:val="-8"/>
                <w:sz w:val="20"/>
                <w:szCs w:val="20"/>
              </w:rPr>
            </w:pPr>
            <w:r>
              <w:rPr>
                <w:i/>
                <w:noProof/>
                <w:spacing w:val="-8"/>
                <w:sz w:val="20"/>
                <w:szCs w:val="20"/>
              </w:rPr>
              <w:t>Installation sur le véhicule</w:t>
            </w:r>
          </w:p>
          <w:p>
            <w:pPr>
              <w:spacing w:before="60" w:after="0"/>
              <w:rPr>
                <w:rFonts w:eastAsia="Arial Unicode MS"/>
                <w:noProof/>
                <w:spacing w:val="-8"/>
                <w:sz w:val="20"/>
                <w:szCs w:val="20"/>
              </w:rPr>
            </w:pPr>
            <w:r>
              <w:rPr>
                <w:noProof/>
                <w:spacing w:val="-8"/>
                <w:sz w:val="20"/>
                <w:szCs w:val="20"/>
              </w:rPr>
              <w:t>Le service technique doit vérifier que l’installation des dispositifs d’attelage est conforme au paragraphe 6 du règlement n</w:t>
            </w:r>
            <w:r>
              <w:rPr>
                <w:noProof/>
                <w:spacing w:val="-8"/>
                <w:sz w:val="20"/>
                <w:szCs w:val="20"/>
                <w:vertAlign w:val="superscript"/>
              </w:rPr>
              <w:t>o</w:t>
            </w:r>
            <w:r>
              <w:rPr>
                <w:noProof/>
                <w:spacing w:val="-8"/>
                <w:sz w:val="20"/>
                <w:szCs w:val="20"/>
              </w:rPr>
              <w:t> 55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95 de la CEE-ONU </w:t>
            </w:r>
          </w:p>
          <w:p>
            <w:pPr>
              <w:spacing w:before="60" w:after="60"/>
              <w:jc w:val="left"/>
              <w:rPr>
                <w:rFonts w:eastAsia="Arial Unicode MS"/>
                <w:noProof/>
                <w:spacing w:val="-8"/>
                <w:sz w:val="20"/>
                <w:szCs w:val="20"/>
              </w:rPr>
            </w:pPr>
            <w:r>
              <w:rPr>
                <w:noProof/>
                <w:spacing w:val="-8"/>
                <w:sz w:val="20"/>
              </w:rPr>
              <w:t>(Collision latérale)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pacing w:val="-8"/>
                <w:sz w:val="20"/>
                <w:szCs w:val="20"/>
              </w:rPr>
            </w:pPr>
            <w:r>
              <w:rPr>
                <w:noProof/>
                <w:spacing w:val="-8"/>
                <w:sz w:val="20"/>
                <w:szCs w:val="20"/>
              </w:rPr>
              <w:t>a)</w:t>
            </w:r>
            <w:r>
              <w:rPr>
                <w:noProof/>
                <w:spacing w:val="-8"/>
                <w:sz w:val="20"/>
                <w:szCs w:val="20"/>
              </w:rPr>
              <w:tab/>
              <w:t>Le demandeur doit présenter une déclaration du constructeur établissant que le véhicule donné, dont le numéro VIN doit être précisé, est conforme à l’une au moins des dispositions suivantes:</w:t>
            </w:r>
          </w:p>
          <w:p>
            <w:pPr>
              <w:spacing w:before="0" w:after="0"/>
              <w:ind w:left="805" w:hanging="380"/>
              <w:rPr>
                <w:rFonts w:eastAsia="Arial Unicode MS"/>
                <w:noProof/>
                <w:spacing w:val="-8"/>
                <w:sz w:val="20"/>
                <w:szCs w:val="20"/>
              </w:rPr>
            </w:pPr>
            <w:r>
              <w:rPr>
                <w:noProof/>
                <w:spacing w:val="-8"/>
                <w:sz w:val="20"/>
                <w:szCs w:val="20"/>
              </w:rPr>
              <w:t>—</w:t>
            </w:r>
            <w:r>
              <w:rPr>
                <w:noProof/>
                <w:spacing w:val="-8"/>
                <w:sz w:val="20"/>
                <w:szCs w:val="20"/>
              </w:rPr>
              <w:tab/>
              <w:t>règlement n</w:t>
            </w:r>
            <w:r>
              <w:rPr>
                <w:noProof/>
                <w:spacing w:val="-8"/>
                <w:sz w:val="20"/>
                <w:szCs w:val="20"/>
                <w:vertAlign w:val="superscript"/>
              </w:rPr>
              <w:t>o</w:t>
            </w:r>
            <w:r>
              <w:rPr>
                <w:noProof/>
                <w:spacing w:val="-8"/>
                <w:sz w:val="20"/>
                <w:szCs w:val="20"/>
              </w:rPr>
              <w:t> 95 de la CEE-ONU,</w:t>
            </w:r>
          </w:p>
          <w:p>
            <w:pPr>
              <w:spacing w:before="0" w:after="0"/>
              <w:ind w:left="805" w:hanging="380"/>
              <w:rPr>
                <w:rFonts w:eastAsia="Arial Unicode MS"/>
                <w:noProof/>
                <w:spacing w:val="-8"/>
                <w:sz w:val="20"/>
                <w:szCs w:val="20"/>
                <w:lang w:val="en-GB"/>
              </w:rPr>
            </w:pPr>
            <w:r>
              <w:rPr>
                <w:noProof/>
                <w:spacing w:val="-8"/>
                <w:sz w:val="20"/>
                <w:szCs w:val="20"/>
                <w:lang w:val="en-GB"/>
              </w:rPr>
              <w:t>—</w:t>
            </w:r>
            <w:r>
              <w:rPr>
                <w:noProof/>
                <w:spacing w:val="-8"/>
                <w:sz w:val="20"/>
                <w:szCs w:val="20"/>
                <w:lang w:val="en-GB"/>
              </w:rPr>
              <w:tab/>
              <w:t>norme FMVSS n</w:t>
            </w:r>
            <w:r>
              <w:rPr>
                <w:noProof/>
                <w:spacing w:val="-8"/>
                <w:sz w:val="20"/>
                <w:szCs w:val="20"/>
                <w:vertAlign w:val="superscript"/>
                <w:lang w:val="en-GB"/>
              </w:rPr>
              <w:t>o</w:t>
            </w:r>
            <w:r>
              <w:rPr>
                <w:noProof/>
                <w:spacing w:val="-8"/>
                <w:sz w:val="20"/>
                <w:szCs w:val="20"/>
                <w:lang w:val="en-GB"/>
              </w:rPr>
              <w:t xml:space="preserve"> 214 («Side impact protection»), </w:t>
            </w:r>
          </w:p>
          <w:p>
            <w:pPr>
              <w:spacing w:before="0" w:after="0"/>
              <w:ind w:left="805" w:hanging="380"/>
              <w:rPr>
                <w:rFonts w:eastAsia="Arial Unicode MS"/>
                <w:noProof/>
                <w:spacing w:val="-8"/>
                <w:sz w:val="20"/>
                <w:szCs w:val="20"/>
              </w:rPr>
            </w:pPr>
            <w:r>
              <w:rPr>
                <w:noProof/>
                <w:spacing w:val="-8"/>
                <w:sz w:val="20"/>
                <w:szCs w:val="20"/>
              </w:rPr>
              <w:t>—</w:t>
            </w:r>
            <w:r>
              <w:rPr>
                <w:noProof/>
                <w:spacing w:val="-8"/>
                <w:sz w:val="20"/>
                <w:szCs w:val="20"/>
              </w:rPr>
              <w:tab/>
              <w:t>article 18 du JSRRV.</w:t>
            </w:r>
          </w:p>
          <w:p>
            <w:pPr>
              <w:spacing w:before="60" w:after="60"/>
              <w:ind w:left="380" w:hanging="380"/>
              <w:rPr>
                <w:rFonts w:eastAsia="Arial Unicode MS"/>
                <w:noProof/>
                <w:spacing w:val="-8"/>
                <w:sz w:val="20"/>
                <w:szCs w:val="20"/>
              </w:rPr>
            </w:pPr>
            <w:r>
              <w:rPr>
                <w:noProof/>
                <w:spacing w:val="-8"/>
                <w:sz w:val="20"/>
                <w:szCs w:val="20"/>
              </w:rPr>
              <w:t>b)</w:t>
            </w:r>
            <w:r>
              <w:rPr>
                <w:noProof/>
                <w:spacing w:val="-8"/>
                <w:sz w:val="20"/>
                <w:szCs w:val="20"/>
              </w:rPr>
              <w:tab/>
              <w:t>Sur requête du demandeur, il peut être procédé à un essai sur un véhicule de production, conformément au paragraphe 5 du règlement n</w:t>
            </w:r>
            <w:r>
              <w:rPr>
                <w:noProof/>
                <w:spacing w:val="-8"/>
                <w:sz w:val="20"/>
                <w:szCs w:val="20"/>
                <w:vertAlign w:val="superscript"/>
              </w:rPr>
              <w:t>o</w:t>
            </w:r>
            <w:r>
              <w:rPr>
                <w:noProof/>
                <w:spacing w:val="-8"/>
                <w:sz w:val="20"/>
                <w:szCs w:val="20"/>
              </w:rPr>
              <w:t> 95 de la CEE-ONU.</w:t>
            </w:r>
          </w:p>
          <w:p>
            <w:pPr>
              <w:spacing w:before="60" w:after="0"/>
              <w:ind w:left="380" w:hanging="380"/>
              <w:rPr>
                <w:rFonts w:eastAsia="Arial Unicode MS"/>
                <w:noProof/>
                <w:spacing w:val="-8"/>
                <w:sz w:val="20"/>
                <w:szCs w:val="20"/>
              </w:rPr>
            </w:pPr>
            <w:r>
              <w:rPr>
                <w:noProof/>
                <w:spacing w:val="-8"/>
                <w:sz w:val="20"/>
                <w:szCs w:val="20"/>
              </w:rPr>
              <w:t>c)</w:t>
            </w:r>
            <w:r>
              <w:rPr>
                <w:noProof/>
                <w:spacing w:val="-8"/>
                <w:sz w:val="20"/>
                <w:szCs w:val="20"/>
              </w:rPr>
              <w:tab/>
              <w:t>L’essai doit être effectué par un service technique qui a été désigné à cette fin. Ce service technique doit fournir au demandeur un rapport détaillé.</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n</w:t>
            </w:r>
            <w:r>
              <w:rPr>
                <w:noProof/>
                <w:spacing w:val="-8"/>
                <w:sz w:val="20"/>
                <w:vertAlign w:val="superscript"/>
              </w:rPr>
              <w:t>o</w:t>
            </w:r>
            <w:r>
              <w:rPr>
                <w:noProof/>
                <w:spacing w:val="-8"/>
                <w:sz w:val="20"/>
              </w:rPr>
              <w:t xml:space="preserve"> 105 de la CEE-ONU </w:t>
            </w:r>
          </w:p>
          <w:p>
            <w:pPr>
              <w:spacing w:before="60" w:after="0"/>
              <w:jc w:val="left"/>
              <w:rPr>
                <w:rFonts w:eastAsia="Arial Unicode MS"/>
                <w:noProof/>
                <w:spacing w:val="-8"/>
                <w:sz w:val="20"/>
                <w:szCs w:val="20"/>
              </w:rPr>
            </w:pPr>
            <w:r>
              <w:rPr>
                <w:noProof/>
                <w:spacing w:val="-8"/>
                <w:sz w:val="20"/>
              </w:rPr>
              <w:t>(Véhicules destinés au transport de marchandises dangereuses)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szCs w:val="20"/>
              </w:rPr>
              <w:t>Les véhicules destinés au transport de marchandises dangereuses doivent être conformes au règlement n</w:t>
            </w:r>
            <w:r>
              <w:rPr>
                <w:noProof/>
                <w:spacing w:val="-8"/>
                <w:sz w:val="20"/>
                <w:szCs w:val="20"/>
                <w:vertAlign w:val="superscript"/>
              </w:rPr>
              <w:t>o</w:t>
            </w:r>
            <w:r>
              <w:rPr>
                <w:noProof/>
                <w:spacing w:val="-8"/>
                <w:sz w:val="20"/>
                <w:szCs w:val="20"/>
              </w:rPr>
              <w:t> 105 de la CEE-ONU.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78/2009</w:t>
            </w:r>
          </w:p>
          <w:p>
            <w:pPr>
              <w:spacing w:before="60" w:after="60"/>
              <w:jc w:val="left"/>
              <w:rPr>
                <w:rFonts w:eastAsia="Arial Unicode MS"/>
                <w:noProof/>
                <w:spacing w:val="-8"/>
                <w:sz w:val="20"/>
                <w:szCs w:val="20"/>
              </w:rPr>
            </w:pPr>
            <w:r>
              <w:rPr>
                <w:noProof/>
                <w:spacing w:val="-8"/>
                <w:sz w:val="20"/>
              </w:rPr>
              <w:t>(Protection des piétons)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i/>
                <w:iCs/>
                <w:noProof/>
                <w:spacing w:val="-8"/>
                <w:sz w:val="20"/>
                <w:szCs w:val="20"/>
              </w:rPr>
            </w:pPr>
            <w:r>
              <w:rPr>
                <w:i/>
                <w:noProof/>
                <w:spacing w:val="-8"/>
                <w:sz w:val="20"/>
              </w:rPr>
              <w:t>Assistance au freinage</w:t>
            </w:r>
          </w:p>
          <w:p>
            <w:pPr>
              <w:spacing w:before="60" w:after="60"/>
              <w:rPr>
                <w:rFonts w:eastAsia="Arial Unicode MS"/>
                <w:noProof/>
                <w:spacing w:val="-8"/>
                <w:sz w:val="20"/>
                <w:szCs w:val="20"/>
              </w:rPr>
            </w:pPr>
            <w:r>
              <w:rPr>
                <w:noProof/>
                <w:spacing w:val="-8"/>
                <w:sz w:val="20"/>
              </w:rPr>
              <w:t>Les véhicules doivent être équipés d’un dispositif antiblocage électronique agissant sur toutes les roues.</w:t>
            </w:r>
          </w:p>
          <w:p>
            <w:pPr>
              <w:spacing w:after="0"/>
              <w:ind w:left="380" w:hanging="380"/>
              <w:rPr>
                <w:rFonts w:eastAsia="Arial Unicode MS"/>
                <w:i/>
                <w:iCs/>
                <w:noProof/>
                <w:spacing w:val="-8"/>
                <w:sz w:val="20"/>
                <w:szCs w:val="20"/>
              </w:rPr>
            </w:pPr>
            <w:r>
              <w:rPr>
                <w:i/>
                <w:noProof/>
                <w:spacing w:val="-8"/>
                <w:sz w:val="20"/>
              </w:rPr>
              <w:t>Protection des piétons</w:t>
            </w:r>
          </w:p>
          <w:p>
            <w:pPr>
              <w:spacing w:after="0"/>
              <w:ind w:left="6" w:hanging="6"/>
              <w:rPr>
                <w:rFonts w:eastAsia="Arial Unicode MS"/>
                <w:i/>
                <w:iCs/>
                <w:noProof/>
                <w:spacing w:val="-8"/>
                <w:sz w:val="20"/>
                <w:szCs w:val="20"/>
              </w:rPr>
            </w:pPr>
            <w:r>
              <w:rPr>
                <w:noProof/>
                <w:spacing w:val="-8"/>
                <w:sz w:val="20"/>
              </w:rPr>
              <w:t>Jusqu'au 24 février 2018, les prescriptions du règlement (CE) n</w:t>
            </w:r>
            <w:r>
              <w:rPr>
                <w:noProof/>
                <w:spacing w:val="-8"/>
                <w:sz w:val="20"/>
                <w:vertAlign w:val="superscript"/>
              </w:rPr>
              <w:t>o</w:t>
            </w:r>
            <w:r>
              <w:rPr>
                <w:noProof/>
                <w:spacing w:val="-8"/>
                <w:sz w:val="20"/>
              </w:rPr>
              <w:t> 78/2009 ne s’appliquent pas aux véhicules dont la masse maximale ne dépasse pas 2 500 kg; jusqu’au 24 août 2019, elles ne s’appliquent pas non plus aux véhicules dont la masse maximale dépasse 2 500 kg.</w:t>
            </w:r>
          </w:p>
          <w:p>
            <w:pPr>
              <w:spacing w:after="0"/>
              <w:ind w:left="380" w:hanging="380"/>
              <w:rPr>
                <w:rFonts w:eastAsia="Arial Unicode MS"/>
                <w:i/>
                <w:iCs/>
                <w:noProof/>
                <w:spacing w:val="-8"/>
                <w:sz w:val="20"/>
                <w:szCs w:val="20"/>
              </w:rPr>
            </w:pPr>
            <w:r>
              <w:rPr>
                <w:i/>
                <w:noProof/>
                <w:spacing w:val="-8"/>
                <w:sz w:val="20"/>
              </w:rPr>
              <w:t>Systèmes de protection frontale</w:t>
            </w:r>
          </w:p>
          <w:p>
            <w:pPr>
              <w:spacing w:before="60" w:after="60"/>
              <w:rPr>
                <w:rFonts w:eastAsia="Arial Unicode MS"/>
                <w:noProof/>
                <w:spacing w:val="-8"/>
                <w:sz w:val="20"/>
                <w:szCs w:val="20"/>
              </w:rPr>
            </w:pPr>
            <w:r>
              <w:rPr>
                <w:noProof/>
                <w:spacing w:val="-8"/>
                <w:sz w:val="20"/>
              </w:rPr>
              <w:t xml:space="preserve">Les systèmes de protection frontale installés sur le véhicule doivent toutefois être réceptionnés par type conformément au règlement (CE) </w:t>
            </w:r>
            <w:r>
              <w:rPr>
                <w:noProof/>
                <w:spacing w:val="-8"/>
                <w:sz w:val="20"/>
              </w:rPr>
              <w:lastRenderedPageBreak/>
              <w:t>n</w:t>
            </w:r>
            <w:r>
              <w:rPr>
                <w:noProof/>
                <w:spacing w:val="-8"/>
                <w:sz w:val="20"/>
                <w:vertAlign w:val="superscript"/>
              </w:rPr>
              <w:t>o</w:t>
            </w:r>
            <w:r>
              <w:rPr>
                <w:noProof/>
                <w:spacing w:val="-8"/>
                <w:sz w:val="20"/>
              </w:rPr>
              <w:t> 78/2009 et leur installation doit être conforme aux prescriptions énoncées dans la section 6 de l’annexe I de ce règlement.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59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2005/64/CE</w:t>
            </w:r>
          </w:p>
          <w:p>
            <w:pPr>
              <w:spacing w:before="60" w:after="60"/>
              <w:jc w:val="left"/>
              <w:rPr>
                <w:rFonts w:eastAsia="Arial Unicode MS"/>
                <w:noProof/>
                <w:spacing w:val="-8"/>
                <w:sz w:val="20"/>
                <w:szCs w:val="20"/>
              </w:rPr>
            </w:pPr>
            <w:r>
              <w:rPr>
                <w:noProof/>
                <w:spacing w:val="-8"/>
                <w:sz w:val="20"/>
              </w:rPr>
              <w:t>(Recyclabilité)</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pacing w:val="-8"/>
                <w:sz w:val="20"/>
                <w:szCs w:val="20"/>
              </w:rPr>
            </w:pPr>
            <w:r>
              <w:rPr>
                <w:noProof/>
                <w:spacing w:val="-8"/>
                <w:sz w:val="20"/>
              </w:rPr>
              <w:t>Les prescriptions de cette directive ne s’appliquent pas.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2006/40/CE</w:t>
            </w:r>
          </w:p>
          <w:p>
            <w:pPr>
              <w:spacing w:before="60" w:after="60"/>
              <w:jc w:val="left"/>
              <w:rPr>
                <w:rFonts w:eastAsia="Arial Unicode MS"/>
                <w:noProof/>
                <w:spacing w:val="-8"/>
                <w:sz w:val="20"/>
                <w:szCs w:val="20"/>
              </w:rPr>
            </w:pPr>
            <w:r>
              <w:rPr>
                <w:noProof/>
                <w:spacing w:val="-8"/>
                <w:sz w:val="20"/>
              </w:rPr>
              <w:t>(Système de climatisation)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pacing w:val="-8"/>
                <w:sz w:val="20"/>
                <w:szCs w:val="20"/>
              </w:rPr>
            </w:pPr>
            <w:r>
              <w:rPr>
                <w:noProof/>
                <w:spacing w:val="-8"/>
                <w:sz w:val="20"/>
              </w:rPr>
              <w:t>Les prescriptions de cette directive s’appliquent.</w:t>
            </w:r>
          </w:p>
        </w:tc>
      </w:tr>
    </w:tbl>
    <w:p>
      <w:pPr>
        <w:spacing w:after="0"/>
        <w:ind w:left="567"/>
        <w:rPr>
          <w:rFonts w:eastAsia="Arial Unicode MS"/>
          <w:b/>
          <w:bCs/>
          <w:noProof/>
          <w:spacing w:val="-8"/>
          <w:sz w:val="20"/>
          <w:szCs w:val="20"/>
        </w:rPr>
      </w:pPr>
    </w:p>
    <w:p>
      <w:pPr>
        <w:spacing w:after="0"/>
        <w:ind w:left="567"/>
        <w:rPr>
          <w:rFonts w:eastAsia="Arial Unicode MS"/>
          <w:b/>
          <w:bCs/>
          <w:noProof/>
          <w:spacing w:val="-8"/>
          <w:sz w:val="20"/>
          <w:szCs w:val="20"/>
        </w:rPr>
      </w:pPr>
      <w:r>
        <w:rPr>
          <w:b/>
          <w:noProof/>
          <w:spacing w:val="-8"/>
          <w:sz w:val="20"/>
        </w:rPr>
        <w:t>Notes explicatives de l'appendice 2</w:t>
      </w:r>
    </w:p>
    <w:p>
      <w:pPr>
        <w:spacing w:after="0"/>
        <w:ind w:left="1134" w:hanging="567"/>
        <w:rPr>
          <w:rFonts w:eastAsia="Arial Unicode MS"/>
          <w:bCs/>
          <w:noProof/>
          <w:spacing w:val="-8"/>
          <w:sz w:val="20"/>
          <w:szCs w:val="20"/>
        </w:rPr>
      </w:pPr>
      <w:r>
        <w:rPr>
          <w:noProof/>
          <w:spacing w:val="-8"/>
          <w:sz w:val="20"/>
        </w:rPr>
        <w:t>1.</w:t>
      </w:r>
      <w:r>
        <w:rPr>
          <w:noProof/>
          <w:spacing w:val="-8"/>
        </w:rPr>
        <w:tab/>
      </w:r>
      <w:r>
        <w:rPr>
          <w:noProof/>
          <w:spacing w:val="-8"/>
          <w:sz w:val="20"/>
        </w:rPr>
        <w:t>Abréviations utilisées dans le présent appendice:</w:t>
      </w:r>
    </w:p>
    <w:p>
      <w:pPr>
        <w:spacing w:before="0" w:after="0"/>
        <w:ind w:left="1134"/>
        <w:rPr>
          <w:rFonts w:eastAsia="Arial Unicode MS"/>
          <w:bCs/>
          <w:noProof/>
          <w:spacing w:val="-8"/>
          <w:sz w:val="20"/>
          <w:szCs w:val="20"/>
        </w:rPr>
      </w:pPr>
      <w:r>
        <w:rPr>
          <w:noProof/>
          <w:spacing w:val="-8"/>
          <w:sz w:val="20"/>
        </w:rPr>
        <w:t>«FMVSS»: «Federal Motor Vehicle Safety Standard» (norme fédérale de sécurité des véhicules à moteur) du ministère des transports des États-Unis</w:t>
      </w:r>
    </w:p>
    <w:p>
      <w:pPr>
        <w:spacing w:before="0" w:after="0"/>
        <w:ind w:left="1134"/>
        <w:rPr>
          <w:rFonts w:eastAsia="Arial Unicode MS"/>
          <w:bCs/>
          <w:noProof/>
          <w:spacing w:val="-8"/>
          <w:sz w:val="20"/>
          <w:szCs w:val="20"/>
        </w:rPr>
      </w:pPr>
      <w:r>
        <w:rPr>
          <w:noProof/>
          <w:spacing w:val="-8"/>
          <w:sz w:val="20"/>
        </w:rPr>
        <w:t>«JSRRV»: Japan Safety Regulations for Road Vehicles (règlementation japonaise pour la sécurité des véhicules routiers)</w:t>
      </w:r>
    </w:p>
    <w:p>
      <w:pPr>
        <w:spacing w:before="0" w:after="0"/>
        <w:ind w:left="1134"/>
        <w:rPr>
          <w:rFonts w:eastAsia="Arial Unicode MS"/>
          <w:bCs/>
          <w:noProof/>
          <w:spacing w:val="-8"/>
          <w:sz w:val="20"/>
          <w:szCs w:val="20"/>
        </w:rPr>
      </w:pPr>
      <w:r>
        <w:rPr>
          <w:noProof/>
          <w:spacing w:val="-8"/>
          <w:sz w:val="20"/>
        </w:rPr>
        <w:t>«SAE»: Society of Automotive Engineers (société des ingénieurs automobiles)</w:t>
      </w:r>
    </w:p>
    <w:p>
      <w:pPr>
        <w:spacing w:before="0" w:after="0"/>
        <w:ind w:left="1134"/>
        <w:rPr>
          <w:rFonts w:eastAsia="Arial Unicode MS"/>
          <w:bCs/>
          <w:noProof/>
          <w:spacing w:val="-8"/>
          <w:sz w:val="20"/>
          <w:szCs w:val="20"/>
        </w:rPr>
      </w:pPr>
      <w:r>
        <w:rPr>
          <w:noProof/>
          <w:spacing w:val="-8"/>
          <w:sz w:val="20"/>
        </w:rPr>
        <w:t xml:space="preserve">«CISPR»: Comité international spécial des perturbations radioélectriques. </w:t>
      </w:r>
    </w:p>
    <w:p>
      <w:pPr>
        <w:spacing w:after="0"/>
        <w:ind w:left="1134" w:hanging="567"/>
        <w:rPr>
          <w:rFonts w:eastAsia="Arial Unicode MS"/>
          <w:bCs/>
          <w:noProof/>
          <w:spacing w:val="-8"/>
          <w:sz w:val="20"/>
          <w:szCs w:val="20"/>
        </w:rPr>
      </w:pPr>
      <w:r>
        <w:rPr>
          <w:noProof/>
          <w:spacing w:val="-8"/>
          <w:sz w:val="20"/>
        </w:rPr>
        <w:t>2.</w:t>
      </w:r>
      <w:r>
        <w:rPr>
          <w:noProof/>
          <w:spacing w:val="-8"/>
        </w:rPr>
        <w:tab/>
      </w:r>
      <w:r>
        <w:rPr>
          <w:noProof/>
          <w:spacing w:val="-8"/>
          <w:sz w:val="20"/>
        </w:rPr>
        <w:t>Remarques:</w:t>
      </w:r>
    </w:p>
    <w:p>
      <w:pPr>
        <w:spacing w:before="60" w:after="0"/>
        <w:ind w:left="1560" w:hanging="426"/>
        <w:rPr>
          <w:rFonts w:eastAsia="Arial Unicode MS"/>
          <w:bCs/>
          <w:noProof/>
          <w:spacing w:val="-8"/>
          <w:sz w:val="20"/>
          <w:szCs w:val="20"/>
        </w:rPr>
      </w:pPr>
      <w:r>
        <w:rPr>
          <w:noProof/>
          <w:spacing w:val="-8"/>
          <w:sz w:val="20"/>
          <w:szCs w:val="20"/>
        </w:rPr>
        <w:t>a)</w:t>
      </w:r>
      <w:r>
        <w:rPr>
          <w:noProof/>
          <w:spacing w:val="-8"/>
          <w:sz w:val="20"/>
          <w:szCs w:val="20"/>
        </w:rPr>
        <w:tab/>
        <w:t>L’installation complète pour l’utilisation de carburants GPL ou GNC doit être vérifiée par rapport aux dispositions des règlements n</w:t>
      </w:r>
      <w:r>
        <w:rPr>
          <w:noProof/>
          <w:spacing w:val="-8"/>
          <w:sz w:val="20"/>
          <w:szCs w:val="20"/>
          <w:vertAlign w:val="superscript"/>
        </w:rPr>
        <w:t>os</w:t>
      </w:r>
      <w:r>
        <w:rPr>
          <w:noProof/>
          <w:spacing w:val="-8"/>
          <w:sz w:val="20"/>
          <w:szCs w:val="20"/>
        </w:rPr>
        <w:t xml:space="preserve"> 67, 110 ou 115 de la CEE-ONU, selon le cas. </w:t>
      </w:r>
    </w:p>
    <w:p>
      <w:pPr>
        <w:spacing w:before="60" w:after="0"/>
        <w:ind w:left="1560" w:hanging="426"/>
        <w:rPr>
          <w:rFonts w:eastAsia="Arial Unicode MS"/>
          <w:bCs/>
          <w:noProof/>
          <w:spacing w:val="-8"/>
          <w:sz w:val="20"/>
          <w:szCs w:val="20"/>
        </w:rPr>
      </w:pPr>
      <w:r>
        <w:rPr>
          <w:noProof/>
          <w:spacing w:val="-8"/>
          <w:sz w:val="20"/>
          <w:szCs w:val="20"/>
        </w:rPr>
        <w:t>b)</w:t>
      </w:r>
      <w:r>
        <w:rPr>
          <w:noProof/>
          <w:spacing w:val="-8"/>
          <w:sz w:val="20"/>
          <w:szCs w:val="20"/>
        </w:rPr>
        <w:tab/>
        <w:t>Les formules à appliquer pour l’évaluation des émissions de CO</w:t>
      </w:r>
      <w:r>
        <w:rPr>
          <w:noProof/>
          <w:spacing w:val="-8"/>
          <w:sz w:val="20"/>
          <w:szCs w:val="20"/>
          <w:vertAlign w:val="subscript"/>
        </w:rPr>
        <w:t>2</w:t>
      </w:r>
      <w:r>
        <w:rPr>
          <w:noProof/>
          <w:spacing w:val="-8"/>
          <w:sz w:val="20"/>
          <w:szCs w:val="20"/>
        </w:rPr>
        <w:t xml:space="preserve"> sont les suivantes:</w:t>
      </w:r>
    </w:p>
    <w:p>
      <w:pPr>
        <w:spacing w:before="60" w:after="0"/>
        <w:ind w:left="1701"/>
        <w:rPr>
          <w:rFonts w:eastAsia="Arial Unicode MS"/>
          <w:bCs/>
          <w:noProof/>
          <w:spacing w:val="-8"/>
          <w:sz w:val="20"/>
          <w:szCs w:val="20"/>
        </w:rPr>
      </w:pPr>
      <w:r>
        <w:rPr>
          <w:noProof/>
          <w:spacing w:val="-8"/>
          <w:sz w:val="20"/>
        </w:rPr>
        <w:t xml:space="preserve">Moteur à essence et boîte de vitesses manuelle: </w:t>
      </w:r>
    </w:p>
    <w:p>
      <w:pPr>
        <w:spacing w:before="0" w:after="0"/>
        <w:ind w:left="1701"/>
        <w:rPr>
          <w:rFonts w:eastAsia="Arial Unicode MS"/>
          <w:bCs/>
          <w:noProof/>
          <w:spacing w:val="-8"/>
          <w:sz w:val="20"/>
          <w:szCs w:val="20"/>
        </w:rPr>
      </w:pPr>
      <w:r>
        <w:rPr>
          <w:noProof/>
          <w:spacing w:val="-8"/>
          <w:sz w:val="20"/>
        </w:rPr>
        <w:t>CO</w:t>
      </w:r>
      <w:r>
        <w:rPr>
          <w:noProof/>
          <w:spacing w:val="-8"/>
          <w:sz w:val="20"/>
          <w:vertAlign w:val="subscript"/>
        </w:rPr>
        <w:t>2</w:t>
      </w:r>
      <w:r>
        <w:rPr>
          <w:noProof/>
          <w:spacing w:val="-8"/>
          <w:sz w:val="20"/>
        </w:rPr>
        <w:t xml:space="preserve"> = 0,047 m + 0,561 p + 56,621 </w:t>
      </w:r>
    </w:p>
    <w:p>
      <w:pPr>
        <w:spacing w:before="60" w:after="0"/>
        <w:ind w:left="1701"/>
        <w:rPr>
          <w:rFonts w:eastAsia="Arial Unicode MS"/>
          <w:bCs/>
          <w:noProof/>
          <w:spacing w:val="-8"/>
          <w:sz w:val="20"/>
          <w:szCs w:val="20"/>
        </w:rPr>
      </w:pPr>
      <w:r>
        <w:rPr>
          <w:noProof/>
          <w:spacing w:val="-8"/>
          <w:sz w:val="20"/>
          <w:szCs w:val="20"/>
        </w:rPr>
        <w:t xml:space="preserve">Moteur à essence et boîte de vitesses automatique: </w:t>
      </w:r>
    </w:p>
    <w:p>
      <w:pPr>
        <w:spacing w:before="0" w:after="0"/>
        <w:ind w:left="1701"/>
        <w:rPr>
          <w:rFonts w:eastAsia="Arial Unicode MS"/>
          <w:bCs/>
          <w:noProof/>
          <w:spacing w:val="-8"/>
          <w:sz w:val="20"/>
          <w:szCs w:val="20"/>
        </w:rPr>
      </w:pPr>
      <w:r>
        <w:rPr>
          <w:noProof/>
          <w:spacing w:val="-8"/>
          <w:sz w:val="20"/>
          <w:szCs w:val="20"/>
        </w:rPr>
        <w:t>CO</w:t>
      </w:r>
      <w:r>
        <w:rPr>
          <w:noProof/>
          <w:spacing w:val="-8"/>
          <w:sz w:val="20"/>
          <w:szCs w:val="20"/>
          <w:vertAlign w:val="subscript"/>
        </w:rPr>
        <w:t>2</w:t>
      </w:r>
      <w:r>
        <w:rPr>
          <w:noProof/>
          <w:spacing w:val="-8"/>
          <w:sz w:val="20"/>
          <w:szCs w:val="20"/>
        </w:rPr>
        <w:t xml:space="preserve"> = 0,102 m + 0,328 p + 9,481 </w:t>
      </w:r>
    </w:p>
    <w:p>
      <w:pPr>
        <w:spacing w:before="60" w:after="0"/>
        <w:ind w:left="1701"/>
        <w:rPr>
          <w:rFonts w:eastAsia="Arial Unicode MS"/>
          <w:bCs/>
          <w:noProof/>
          <w:spacing w:val="-8"/>
          <w:sz w:val="20"/>
          <w:szCs w:val="20"/>
        </w:rPr>
      </w:pPr>
      <w:r>
        <w:rPr>
          <w:noProof/>
          <w:spacing w:val="-8"/>
          <w:sz w:val="20"/>
          <w:szCs w:val="20"/>
        </w:rPr>
        <w:t xml:space="preserve">Moteur à essence et électrique hybride: </w:t>
      </w:r>
    </w:p>
    <w:p>
      <w:pPr>
        <w:spacing w:before="0" w:after="0"/>
        <w:ind w:left="1701"/>
        <w:rPr>
          <w:rFonts w:eastAsia="Arial Unicode MS"/>
          <w:bCs/>
          <w:noProof/>
          <w:spacing w:val="-8"/>
          <w:sz w:val="20"/>
          <w:szCs w:val="20"/>
        </w:rPr>
      </w:pPr>
      <w:r>
        <w:rPr>
          <w:noProof/>
          <w:spacing w:val="-8"/>
          <w:sz w:val="20"/>
          <w:szCs w:val="20"/>
        </w:rPr>
        <w:t>CO</w:t>
      </w:r>
      <w:r>
        <w:rPr>
          <w:noProof/>
          <w:spacing w:val="-8"/>
          <w:sz w:val="20"/>
          <w:szCs w:val="20"/>
          <w:vertAlign w:val="subscript"/>
        </w:rPr>
        <w:t>2</w:t>
      </w:r>
      <w:r>
        <w:rPr>
          <w:noProof/>
          <w:spacing w:val="-8"/>
          <w:sz w:val="20"/>
          <w:szCs w:val="20"/>
        </w:rPr>
        <w:t xml:space="preserve"> = 0,116 m – 57,147 </w:t>
      </w:r>
    </w:p>
    <w:p>
      <w:pPr>
        <w:spacing w:before="60" w:after="0"/>
        <w:ind w:left="1701"/>
        <w:rPr>
          <w:rFonts w:eastAsia="Arial Unicode MS"/>
          <w:bCs/>
          <w:noProof/>
          <w:spacing w:val="-8"/>
          <w:sz w:val="20"/>
          <w:szCs w:val="20"/>
        </w:rPr>
      </w:pPr>
      <w:r>
        <w:rPr>
          <w:noProof/>
          <w:spacing w:val="-8"/>
          <w:sz w:val="20"/>
          <w:szCs w:val="20"/>
        </w:rPr>
        <w:t xml:space="preserve">Moteur diesel et boîte de vitesses manuelle: </w:t>
      </w:r>
    </w:p>
    <w:p>
      <w:pPr>
        <w:spacing w:before="0" w:after="0"/>
        <w:ind w:left="1701"/>
        <w:rPr>
          <w:rFonts w:eastAsia="Arial Unicode MS"/>
          <w:bCs/>
          <w:noProof/>
          <w:spacing w:val="-8"/>
          <w:sz w:val="20"/>
          <w:szCs w:val="20"/>
        </w:rPr>
      </w:pPr>
      <w:r>
        <w:rPr>
          <w:noProof/>
          <w:spacing w:val="-8"/>
          <w:sz w:val="20"/>
          <w:szCs w:val="20"/>
        </w:rPr>
        <w:t>CO</w:t>
      </w:r>
      <w:r>
        <w:rPr>
          <w:noProof/>
          <w:spacing w:val="-8"/>
          <w:sz w:val="20"/>
          <w:szCs w:val="20"/>
          <w:vertAlign w:val="subscript"/>
        </w:rPr>
        <w:t>2</w:t>
      </w:r>
      <w:r>
        <w:rPr>
          <w:noProof/>
          <w:spacing w:val="-8"/>
          <w:sz w:val="20"/>
          <w:szCs w:val="20"/>
        </w:rPr>
        <w:t xml:space="preserve"> = 0,108 m – 11,371 </w:t>
      </w:r>
    </w:p>
    <w:p>
      <w:pPr>
        <w:spacing w:before="60" w:after="0"/>
        <w:ind w:left="1701"/>
        <w:rPr>
          <w:rFonts w:eastAsia="Arial Unicode MS"/>
          <w:bCs/>
          <w:noProof/>
          <w:spacing w:val="-8"/>
          <w:sz w:val="20"/>
          <w:szCs w:val="20"/>
        </w:rPr>
      </w:pPr>
      <w:r>
        <w:rPr>
          <w:noProof/>
          <w:spacing w:val="-8"/>
          <w:sz w:val="20"/>
          <w:szCs w:val="20"/>
        </w:rPr>
        <w:t xml:space="preserve">Moteur diesel et boîte de vitesses automatique: </w:t>
      </w:r>
    </w:p>
    <w:p>
      <w:pPr>
        <w:spacing w:before="0" w:after="0"/>
        <w:ind w:left="1701"/>
        <w:rPr>
          <w:rFonts w:eastAsia="Arial Unicode MS"/>
          <w:bCs/>
          <w:noProof/>
          <w:spacing w:val="-8"/>
          <w:sz w:val="20"/>
          <w:szCs w:val="20"/>
        </w:rPr>
      </w:pPr>
      <w:r>
        <w:rPr>
          <w:noProof/>
          <w:spacing w:val="-8"/>
          <w:sz w:val="20"/>
          <w:szCs w:val="20"/>
        </w:rPr>
        <w:t>CO</w:t>
      </w:r>
      <w:r>
        <w:rPr>
          <w:noProof/>
          <w:spacing w:val="-8"/>
          <w:sz w:val="20"/>
          <w:szCs w:val="20"/>
          <w:vertAlign w:val="subscript"/>
        </w:rPr>
        <w:t>2</w:t>
      </w:r>
      <w:r>
        <w:rPr>
          <w:noProof/>
          <w:spacing w:val="-8"/>
          <w:sz w:val="20"/>
          <w:szCs w:val="20"/>
        </w:rPr>
        <w:t xml:space="preserve"> = 0,116 m – 6,432 </w:t>
      </w:r>
    </w:p>
    <w:p>
      <w:pPr>
        <w:spacing w:before="60" w:after="0"/>
        <w:ind w:left="1701"/>
        <w:rPr>
          <w:rFonts w:eastAsia="Arial Unicode MS"/>
          <w:bCs/>
          <w:noProof/>
          <w:spacing w:val="-8"/>
          <w:sz w:val="20"/>
          <w:szCs w:val="20"/>
        </w:rPr>
      </w:pPr>
      <w:r>
        <w:rPr>
          <w:noProof/>
          <w:spacing w:val="-8"/>
          <w:sz w:val="20"/>
          <w:szCs w:val="20"/>
        </w:rPr>
        <w:t>où: «CO</w:t>
      </w:r>
      <w:r>
        <w:rPr>
          <w:noProof/>
          <w:spacing w:val="-8"/>
          <w:sz w:val="20"/>
          <w:szCs w:val="20"/>
          <w:vertAlign w:val="subscript"/>
        </w:rPr>
        <w:t>2»</w:t>
      </w:r>
      <w:r>
        <w:rPr>
          <w:noProof/>
          <w:spacing w:val="-8"/>
          <w:sz w:val="20"/>
          <w:szCs w:val="20"/>
        </w:rPr>
        <w:t xml:space="preserve"> est la masse combinée des émissions de CO</w:t>
      </w:r>
      <w:r>
        <w:rPr>
          <w:noProof/>
          <w:spacing w:val="-8"/>
          <w:sz w:val="20"/>
          <w:szCs w:val="20"/>
          <w:vertAlign w:val="subscript"/>
        </w:rPr>
        <w:t>2</w:t>
      </w:r>
      <w:r>
        <w:rPr>
          <w:noProof/>
          <w:spacing w:val="-8"/>
          <w:sz w:val="20"/>
          <w:szCs w:val="20"/>
        </w:rPr>
        <w:t xml:space="preserve"> en g/km, «m» est la masse du véhicule en ordre de marche en kg et «p» est la puissance de sortie maximale du moteur en kW. </w:t>
      </w:r>
    </w:p>
    <w:p>
      <w:pPr>
        <w:spacing w:after="0"/>
        <w:ind w:left="1701"/>
        <w:rPr>
          <w:rFonts w:eastAsia="Arial Unicode MS"/>
          <w:bCs/>
          <w:noProof/>
          <w:spacing w:val="-8"/>
          <w:sz w:val="20"/>
          <w:szCs w:val="20"/>
        </w:rPr>
      </w:pPr>
      <w:r>
        <w:rPr>
          <w:noProof/>
          <w:spacing w:val="-8"/>
          <w:sz w:val="20"/>
          <w:szCs w:val="20"/>
        </w:rPr>
        <w:t>La masse combinée de CO</w:t>
      </w:r>
      <w:r>
        <w:rPr>
          <w:noProof/>
          <w:spacing w:val="-8"/>
          <w:sz w:val="20"/>
          <w:szCs w:val="20"/>
          <w:vertAlign w:val="subscript"/>
        </w:rPr>
        <w:t>2</w:t>
      </w:r>
      <w:r>
        <w:rPr>
          <w:noProof/>
          <w:spacing w:val="-8"/>
          <w:sz w:val="20"/>
          <w:szCs w:val="20"/>
        </w:rPr>
        <w:t xml:space="preserve"> doit être calculée avec une décimale, puis arrondie au nombre entier le plus proche, comme suit:</w:t>
      </w:r>
    </w:p>
    <w:p>
      <w:pPr>
        <w:spacing w:before="0" w:after="0"/>
        <w:ind w:left="1701"/>
        <w:rPr>
          <w:rFonts w:eastAsia="Arial Unicode MS"/>
          <w:bCs/>
          <w:noProof/>
          <w:spacing w:val="-8"/>
          <w:sz w:val="20"/>
          <w:szCs w:val="20"/>
        </w:rPr>
      </w:pPr>
      <w:r>
        <w:rPr>
          <w:noProof/>
          <w:spacing w:val="-8"/>
          <w:sz w:val="20"/>
          <w:szCs w:val="20"/>
        </w:rPr>
        <w:t xml:space="preserve">i) si le chiffre suivant la virgule décimale est inférieur à 5, le total est arrondi vers le bas; </w:t>
      </w:r>
    </w:p>
    <w:p>
      <w:pPr>
        <w:spacing w:before="0" w:after="0"/>
        <w:ind w:left="1701"/>
        <w:rPr>
          <w:rFonts w:eastAsia="Arial Unicode MS"/>
          <w:bCs/>
          <w:noProof/>
          <w:spacing w:val="-8"/>
          <w:sz w:val="20"/>
          <w:szCs w:val="20"/>
        </w:rPr>
      </w:pPr>
      <w:r>
        <w:rPr>
          <w:noProof/>
          <w:spacing w:val="-8"/>
          <w:sz w:val="20"/>
          <w:szCs w:val="20"/>
        </w:rPr>
        <w:t>ii) si le chiffre suivant la virgule décimale est égal ou supérieur à 5, le total est arrondi vers le haut.</w:t>
      </w:r>
    </w:p>
    <w:p>
      <w:pPr>
        <w:spacing w:after="0"/>
        <w:ind w:left="1701" w:hanging="567"/>
        <w:rPr>
          <w:rFonts w:eastAsia="Arial Unicode MS"/>
          <w:bCs/>
          <w:noProof/>
          <w:spacing w:val="-8"/>
          <w:sz w:val="20"/>
          <w:szCs w:val="20"/>
        </w:rPr>
      </w:pPr>
      <w:r>
        <w:rPr>
          <w:noProof/>
          <w:spacing w:val="-8"/>
          <w:sz w:val="20"/>
          <w:szCs w:val="20"/>
        </w:rPr>
        <w:t>c)</w:t>
      </w:r>
      <w:r>
        <w:rPr>
          <w:noProof/>
          <w:spacing w:val="-8"/>
          <w:sz w:val="20"/>
          <w:szCs w:val="20"/>
        </w:rPr>
        <w:tab/>
        <w:t xml:space="preserve">Les formules à appliquer pour évaluer la consommation de carburant sont les suivantes: </w:t>
      </w:r>
    </w:p>
    <w:p>
      <w:pPr>
        <w:spacing w:before="60" w:after="0"/>
        <w:ind w:left="2268" w:hanging="567"/>
        <w:rPr>
          <w:rFonts w:eastAsia="Arial Unicode MS"/>
          <w:bCs/>
          <w:noProof/>
          <w:spacing w:val="-8"/>
          <w:sz w:val="20"/>
          <w:szCs w:val="20"/>
        </w:rPr>
      </w:pPr>
      <w:r>
        <w:rPr>
          <w:noProof/>
          <w:spacing w:val="-8"/>
          <w:sz w:val="20"/>
          <w:szCs w:val="20"/>
        </w:rPr>
        <w:t>CFC = CO</w:t>
      </w:r>
      <w:r>
        <w:rPr>
          <w:noProof/>
          <w:spacing w:val="-8"/>
          <w:sz w:val="20"/>
          <w:szCs w:val="20"/>
          <w:vertAlign w:val="subscript"/>
        </w:rPr>
        <w:t>2</w:t>
      </w:r>
      <w:r>
        <w:rPr>
          <w:noProof/>
          <w:spacing w:val="-8"/>
          <w:sz w:val="20"/>
          <w:szCs w:val="20"/>
        </w:rPr>
        <w:t xml:space="preserve"> x k </w:t>
      </w:r>
      <w:r>
        <w:rPr>
          <w:noProof/>
          <w:spacing w:val="-8"/>
          <w:sz w:val="20"/>
          <w:szCs w:val="20"/>
          <w:vertAlign w:val="superscript"/>
        </w:rPr>
        <w:t>-1</w:t>
      </w:r>
      <w:r>
        <w:rPr>
          <w:noProof/>
          <w:spacing w:val="-8"/>
          <w:sz w:val="20"/>
          <w:szCs w:val="20"/>
        </w:rPr>
        <w:t xml:space="preserve"> </w:t>
      </w:r>
    </w:p>
    <w:p>
      <w:pPr>
        <w:spacing w:before="60" w:after="0"/>
        <w:ind w:left="1701"/>
        <w:rPr>
          <w:rFonts w:eastAsia="Arial Unicode MS"/>
          <w:bCs/>
          <w:noProof/>
          <w:spacing w:val="-8"/>
          <w:sz w:val="20"/>
          <w:szCs w:val="20"/>
        </w:rPr>
      </w:pPr>
      <w:r>
        <w:rPr>
          <w:noProof/>
          <w:spacing w:val="-8"/>
          <w:sz w:val="20"/>
          <w:szCs w:val="20"/>
        </w:rPr>
        <w:t>où: «CFC» est la consommation combinée de carburant en l/100 km, «CO</w:t>
      </w:r>
      <w:r>
        <w:rPr>
          <w:noProof/>
          <w:spacing w:val="-8"/>
          <w:sz w:val="20"/>
          <w:szCs w:val="20"/>
          <w:vertAlign w:val="subscript"/>
        </w:rPr>
        <w:t>2</w:t>
      </w:r>
      <w:r>
        <w:rPr>
          <w:noProof/>
          <w:spacing w:val="-8"/>
          <w:sz w:val="20"/>
          <w:szCs w:val="20"/>
        </w:rPr>
        <w:t>» est la masse combinée des émissions de CO</w:t>
      </w:r>
      <w:r>
        <w:rPr>
          <w:noProof/>
          <w:spacing w:val="-8"/>
          <w:sz w:val="20"/>
          <w:szCs w:val="20"/>
          <w:vertAlign w:val="subscript"/>
        </w:rPr>
        <w:t>2</w:t>
      </w:r>
      <w:r>
        <w:rPr>
          <w:noProof/>
          <w:spacing w:val="-8"/>
          <w:sz w:val="20"/>
          <w:szCs w:val="20"/>
        </w:rPr>
        <w:t xml:space="preserve"> en g/km après qu’elle a été arrondie conformément à la règle indiquée dans la remarque 2 b) et «k» est un coefficient égal à: </w:t>
      </w:r>
    </w:p>
    <w:p>
      <w:pPr>
        <w:spacing w:after="0"/>
        <w:ind w:left="2268" w:hanging="567"/>
        <w:rPr>
          <w:rFonts w:eastAsia="Arial Unicode MS"/>
          <w:bCs/>
          <w:noProof/>
          <w:spacing w:val="-8"/>
          <w:sz w:val="20"/>
          <w:szCs w:val="20"/>
        </w:rPr>
      </w:pPr>
      <w:r>
        <w:rPr>
          <w:noProof/>
          <w:spacing w:val="-8"/>
          <w:sz w:val="20"/>
          <w:szCs w:val="20"/>
        </w:rPr>
        <w:t xml:space="preserve">23,81 dans le cas d’un moteur à essence; </w:t>
      </w:r>
    </w:p>
    <w:p>
      <w:pPr>
        <w:spacing w:after="0"/>
        <w:ind w:left="2268" w:hanging="567"/>
        <w:rPr>
          <w:rFonts w:eastAsia="Arial Unicode MS"/>
          <w:bCs/>
          <w:noProof/>
          <w:spacing w:val="-8"/>
          <w:sz w:val="20"/>
          <w:szCs w:val="20"/>
        </w:rPr>
      </w:pPr>
      <w:r>
        <w:rPr>
          <w:noProof/>
          <w:spacing w:val="-8"/>
          <w:sz w:val="20"/>
          <w:szCs w:val="20"/>
        </w:rPr>
        <w:t>26,49 dans le cas d’un moteur diesel.</w:t>
      </w:r>
    </w:p>
    <w:p>
      <w:pPr>
        <w:spacing w:before="60" w:after="0"/>
        <w:ind w:left="1701"/>
        <w:rPr>
          <w:rFonts w:eastAsia="Arial Unicode MS"/>
          <w:bCs/>
          <w:noProof/>
          <w:spacing w:val="-8"/>
          <w:sz w:val="20"/>
          <w:szCs w:val="20"/>
        </w:rPr>
      </w:pPr>
      <w:r>
        <w:rPr>
          <w:noProof/>
          <w:spacing w:val="-8"/>
          <w:sz w:val="20"/>
          <w:szCs w:val="20"/>
        </w:rPr>
        <w:t xml:space="preserve">La consommation combinée de carburant doit être calculée avec deux décimales, puis arrondie comme suit: </w:t>
      </w:r>
    </w:p>
    <w:p>
      <w:pPr>
        <w:spacing w:before="60" w:after="0"/>
        <w:ind w:left="2160" w:hanging="459"/>
        <w:rPr>
          <w:rFonts w:eastAsia="Arial Unicode MS"/>
          <w:bCs/>
          <w:noProof/>
          <w:spacing w:val="-8"/>
          <w:sz w:val="20"/>
          <w:szCs w:val="20"/>
        </w:rPr>
      </w:pPr>
      <w:r>
        <w:rPr>
          <w:noProof/>
          <w:spacing w:val="-8"/>
          <w:sz w:val="20"/>
          <w:szCs w:val="20"/>
        </w:rPr>
        <w:t>i)</w:t>
      </w:r>
      <w:r>
        <w:rPr>
          <w:noProof/>
          <w:spacing w:val="-8"/>
          <w:sz w:val="20"/>
          <w:szCs w:val="20"/>
        </w:rPr>
        <w:tab/>
        <w:t>si le chiffre suivant la première décimale est inférieur à 5, le total est arrondi vers le bas;</w:t>
      </w:r>
    </w:p>
    <w:p>
      <w:pPr>
        <w:spacing w:before="60" w:after="0"/>
        <w:ind w:left="2160" w:hanging="459"/>
        <w:rPr>
          <w:rFonts w:eastAsia="Arial Unicode MS"/>
          <w:bCs/>
          <w:noProof/>
          <w:spacing w:val="-8"/>
          <w:sz w:val="20"/>
          <w:szCs w:val="20"/>
        </w:rPr>
      </w:pPr>
      <w:r>
        <w:rPr>
          <w:noProof/>
          <w:spacing w:val="-8"/>
          <w:sz w:val="20"/>
          <w:szCs w:val="20"/>
        </w:rPr>
        <w:t>ii)</w:t>
      </w:r>
      <w:r>
        <w:rPr>
          <w:noProof/>
          <w:spacing w:val="-8"/>
          <w:sz w:val="20"/>
          <w:szCs w:val="20"/>
        </w:rPr>
        <w:tab/>
        <w:t>si le chiffre suivant la première décimale est égal ou supérieur à 5, le total est arrondi vers le haut.</w:t>
      </w:r>
    </w:p>
    <w:p>
      <w:pPr>
        <w:spacing w:after="0"/>
        <w:jc w:val="center"/>
        <w:rPr>
          <w:noProof/>
          <w:spacing w:val="-8"/>
        </w:rPr>
      </w:pPr>
      <w:r>
        <w:rPr>
          <w:noProof/>
          <w:spacing w:val="-8"/>
        </w:rPr>
        <w:lastRenderedPageBreak/>
        <w:t xml:space="preserve"> </w:t>
      </w:r>
      <w:r>
        <w:rPr>
          <w:noProof/>
          <w:spacing w:val="-8"/>
        </w:rPr>
        <w:br w:type="page"/>
      </w:r>
      <w:r>
        <w:rPr>
          <w:noProof/>
          <w:spacing w:val="-8"/>
        </w:rPr>
        <w:lastRenderedPageBreak/>
        <w:t>PARTIE II</w:t>
      </w:r>
    </w:p>
    <w:p>
      <w:pPr>
        <w:spacing w:before="240" w:after="240"/>
        <w:jc w:val="center"/>
        <w:rPr>
          <w:rFonts w:eastAsia="Arial Unicode MS"/>
          <w:b/>
          <w:bCs/>
          <w:noProof/>
          <w:spacing w:val="-8"/>
          <w:szCs w:val="24"/>
        </w:rPr>
      </w:pPr>
      <w:r>
        <w:rPr>
          <w:b/>
          <w:noProof/>
          <w:spacing w:val="-8"/>
        </w:rPr>
        <w:t>Liste des règlements de la CEE-ONU reconnus comme une alternative aux directives ou règlements visés dans la partie I</w:t>
      </w:r>
    </w:p>
    <w:p>
      <w:pPr>
        <w:spacing w:after="0"/>
        <w:rPr>
          <w:rFonts w:eastAsia="Arial Unicode MS"/>
          <w:noProof/>
          <w:spacing w:val="-8"/>
          <w:szCs w:val="24"/>
        </w:rPr>
      </w:pPr>
      <w:r>
        <w:rPr>
          <w:noProof/>
          <w:spacing w:val="-8"/>
        </w:rPr>
        <w:t>Dans les cas où il est fait référence à une directive particulière ou à un règlement particulier dans le tableau de la partie I, une réception accordée au titre des règlements CEE-ONU ci-après, auxquels la Communauté a adhéré en qualité de partie à l'«accord de 1958 révisé» de la Commission économique pour l’Europe des Nations unies, en vertu de la décision 97/836/CE du Conseil</w:t>
      </w:r>
      <w:r>
        <w:rPr>
          <w:rStyle w:val="FootnoteReference"/>
          <w:noProof/>
          <w:spacing w:val="-8"/>
        </w:rPr>
        <w:footnoteReference w:id="29"/>
      </w:r>
      <w:r>
        <w:rPr>
          <w:noProof/>
          <w:spacing w:val="-8"/>
        </w:rPr>
        <w:t>, ou des décisions ultérieures du Conseil, conformément à l’article 3, paragraphe 3, de cette décision, est considérée comme équivalente à une réception UE par type au titre de ladite directive particulière ou dudit règlement particulier.</w:t>
      </w:r>
    </w:p>
    <w:p>
      <w:pPr>
        <w:spacing w:after="240"/>
        <w:rPr>
          <w:rFonts w:eastAsia="Arial Unicode MS"/>
          <w:noProof/>
          <w:spacing w:val="-8"/>
          <w:szCs w:val="24"/>
        </w:rPr>
      </w:pPr>
      <w:r>
        <w:rPr>
          <w:noProof/>
          <w:spacing w:val="-8"/>
        </w:rPr>
        <w:t>Tout amendement ultérieur aux règlements de la CEE-ONU énumérés dans le tableau suivant</w:t>
      </w:r>
      <w:r>
        <w:rPr>
          <w:rStyle w:val="FootnoteReference"/>
          <w:noProof/>
          <w:spacing w:val="-8"/>
        </w:rPr>
        <w:footnoteReference w:id="30"/>
      </w:r>
      <w:r>
        <w:rPr>
          <w:noProof/>
          <w:spacing w:val="-8"/>
        </w:rPr>
        <w:t xml:space="preserve"> est également considéré équivalent à une réception UE par type, sous réserve de la décision visée à l’article 4, paragraphe 2, de la décision 97/836/CE.</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5229"/>
        <w:gridCol w:w="15"/>
        <w:gridCol w:w="1979"/>
        <w:gridCol w:w="6"/>
        <w:gridCol w:w="1432"/>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pacing w:val="-8"/>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Objet</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Numéro du règlement CEE-ONU de base</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Série d’amendements</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1 (</w:t>
            </w:r>
            <w:r>
              <w:rPr>
                <w:noProof/>
                <w:spacing w:val="-8"/>
                <w:sz w:val="20"/>
                <w:vertAlign w:val="superscript"/>
              </w:rPr>
              <w:t>*</w:t>
            </w:r>
            <w:r>
              <w:rPr>
                <w:noProof/>
                <w:spacing w:val="-8"/>
                <w:sz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Niveau sonore admissible</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pacing w:val="-8"/>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Silencieux de remplacement</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pacing w:val="-8"/>
                <w:sz w:val="20"/>
                <w:szCs w:val="20"/>
              </w:rPr>
            </w:pPr>
            <w:r>
              <w:rPr>
                <w:noProof/>
                <w:spacing w:val="-8"/>
                <w:sz w:val="20"/>
              </w:rPr>
              <w:t>Protection des piétons</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pacing w:val="-8"/>
                <w:sz w:val="20"/>
                <w:szCs w:val="20"/>
              </w:rPr>
            </w:pPr>
            <w:r>
              <w:rPr>
                <w:noProof/>
                <w:spacing w:val="-8"/>
                <w:sz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Freinage (assistance au freinage)</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00 (complément 9 et au-dessus)</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r>
              <w:rPr>
                <w:noProof/>
                <w:spacing w:val="-8"/>
                <w:sz w:val="20"/>
              </w:rPr>
              <w:t>65</w:t>
            </w:r>
          </w:p>
        </w:tc>
        <w:tc>
          <w:tcPr>
            <w:tcW w:w="5229" w:type="dxa"/>
            <w:tcBorders>
              <w:top w:val="outset" w:sz="6" w:space="0" w:color="auto"/>
              <w:left w:val="outset" w:sz="6" w:space="0" w:color="auto"/>
              <w:bottom w:val="outset" w:sz="6" w:space="0" w:color="auto"/>
              <w:right w:val="outset" w:sz="6" w:space="0" w:color="auto"/>
            </w:tcBorders>
          </w:tcPr>
          <w:p>
            <w:pPr>
              <w:rPr>
                <w:noProof/>
                <w:spacing w:val="-8"/>
                <w:sz w:val="20"/>
                <w:szCs w:val="20"/>
              </w:rPr>
            </w:pPr>
            <w:r>
              <w:rPr>
                <w:noProof/>
                <w:spacing w:val="-8"/>
                <w:sz w:val="20"/>
              </w:rPr>
              <w:t>Système avancé de freinage d’urgence</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r>
              <w:rPr>
                <w:noProof/>
                <w:spacing w:val="-8"/>
                <w:sz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r>
              <w:rPr>
                <w:noProof/>
                <w:spacing w:val="-8"/>
                <w:sz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r>
              <w:rPr>
                <w:noProof/>
                <w:spacing w:val="-8"/>
                <w:sz w:val="20"/>
              </w:rPr>
              <w:t>66</w:t>
            </w:r>
          </w:p>
        </w:tc>
        <w:tc>
          <w:tcPr>
            <w:tcW w:w="5229" w:type="dxa"/>
            <w:tcBorders>
              <w:top w:val="outset" w:sz="6" w:space="0" w:color="auto"/>
              <w:left w:val="outset" w:sz="6" w:space="0" w:color="auto"/>
              <w:bottom w:val="outset" w:sz="6" w:space="0" w:color="auto"/>
              <w:right w:val="outset" w:sz="6" w:space="0" w:color="auto"/>
            </w:tcBorders>
          </w:tcPr>
          <w:p>
            <w:pPr>
              <w:rPr>
                <w:noProof/>
                <w:spacing w:val="-8"/>
                <w:sz w:val="20"/>
                <w:szCs w:val="20"/>
              </w:rPr>
            </w:pPr>
            <w:r>
              <w:rPr>
                <w:noProof/>
                <w:spacing w:val="-8"/>
                <w:sz w:val="20"/>
              </w:rPr>
              <w:t>Système d’avertissement de franchissement de ligne</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r>
              <w:rPr>
                <w:noProof/>
                <w:spacing w:val="-8"/>
                <w:sz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pacing w:val="-8"/>
                <w:sz w:val="20"/>
                <w:szCs w:val="20"/>
              </w:rPr>
            </w:pPr>
            <w:r>
              <w:rPr>
                <w:noProof/>
                <w:spacing w:val="-8"/>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pacing w:val="-8"/>
                <w:sz w:val="20"/>
                <w:szCs w:val="20"/>
              </w:rPr>
            </w:pPr>
            <w:r>
              <w:rPr>
                <w:noProof/>
                <w:spacing w:val="-8"/>
                <w:sz w:val="20"/>
              </w:rPr>
              <w:t xml:space="preserve">Lorsque la directive particulière ou le règlement particulier contient des prescriptions d’installation, celles-ci s’appliquent aussi aux composants et aux entités techniques distinctes réceptionnés conformément aux règlements de la CEE-ONU. </w:t>
            </w:r>
          </w:p>
          <w:p>
            <w:pPr>
              <w:spacing w:before="60" w:after="0"/>
              <w:rPr>
                <w:rFonts w:eastAsia="Arial Unicode MS"/>
                <w:noProof/>
                <w:spacing w:val="-8"/>
                <w:sz w:val="20"/>
                <w:szCs w:val="20"/>
              </w:rPr>
            </w:pPr>
            <w:r>
              <w:rPr>
                <w:noProof/>
                <w:spacing w:val="-8"/>
                <w:sz w:val="20"/>
              </w:rPr>
              <w:t>(</w:t>
            </w:r>
            <w:r>
              <w:rPr>
                <w:noProof/>
                <w:spacing w:val="-8"/>
                <w:sz w:val="20"/>
                <w:vertAlign w:val="superscript"/>
              </w:rPr>
              <w:t>*</w:t>
            </w:r>
            <w:r>
              <w:rPr>
                <w:noProof/>
                <w:spacing w:val="-8"/>
                <w:sz w:val="20"/>
              </w:rPr>
              <w:t>) La numérotation des entrées de ce tableau renvoie à la numérotation utilisée dans le tableau de la partie I.</w:t>
            </w:r>
          </w:p>
        </w:tc>
      </w:tr>
    </w:tbl>
    <w:p>
      <w:pPr>
        <w:spacing w:after="0"/>
        <w:jc w:val="center"/>
        <w:rPr>
          <w:rFonts w:eastAsia="Arial Unicode MS"/>
          <w:bCs/>
          <w:noProof/>
          <w:spacing w:val="-8"/>
          <w:szCs w:val="24"/>
        </w:rPr>
      </w:pPr>
    </w:p>
    <w:p>
      <w:pPr>
        <w:rPr>
          <w:noProof/>
        </w:rPr>
      </w:pPr>
      <w:r>
        <w:rPr>
          <w:noProof/>
        </w:rPr>
        <w:br w:type="page"/>
      </w:r>
    </w:p>
    <w:p>
      <w:pPr>
        <w:spacing w:after="0"/>
        <w:jc w:val="center"/>
        <w:rPr>
          <w:rFonts w:eastAsia="Arial Unicode MS"/>
          <w:bCs/>
          <w:noProof/>
          <w:spacing w:val="-8"/>
          <w:szCs w:val="24"/>
        </w:rPr>
      </w:pPr>
      <w:r>
        <w:rPr>
          <w:rFonts w:eastAsia="Arial Unicode MS"/>
          <w:bCs/>
          <w:noProof/>
          <w:spacing w:val="-8"/>
          <w:szCs w:val="24"/>
        </w:rPr>
        <w:lastRenderedPageBreak/>
        <w:t>PARTIE III</w:t>
      </w:r>
    </w:p>
    <w:p>
      <w:pPr>
        <w:spacing w:before="240" w:after="240"/>
        <w:jc w:val="center"/>
        <w:rPr>
          <w:rFonts w:eastAsia="Arial Unicode MS"/>
          <w:b/>
          <w:bCs/>
          <w:noProof/>
          <w:spacing w:val="-8"/>
          <w:szCs w:val="24"/>
        </w:rPr>
      </w:pPr>
      <w:r>
        <w:rPr>
          <w:b/>
          <w:noProof/>
          <w:spacing w:val="-8"/>
        </w:rPr>
        <w:t>Liste des actes réglementaires énonçant les prescriptions applicables aux fins de la réception UE par type de véhicules à usage spécial</w:t>
      </w:r>
    </w:p>
    <w:p>
      <w:pPr>
        <w:jc w:val="center"/>
        <w:rPr>
          <w:rFonts w:eastAsia="Arial Unicode MS"/>
          <w:i/>
          <w:iCs/>
          <w:noProof/>
          <w:spacing w:val="-8"/>
          <w:szCs w:val="24"/>
        </w:rPr>
      </w:pPr>
      <w:r>
        <w:rPr>
          <w:i/>
          <w:noProof/>
          <w:spacing w:val="-8"/>
        </w:rPr>
        <w:t>Appendice 1</w:t>
      </w:r>
    </w:p>
    <w:p>
      <w:pPr>
        <w:spacing w:before="240" w:after="240"/>
        <w:jc w:val="center"/>
        <w:rPr>
          <w:rFonts w:eastAsia="Arial Unicode MS"/>
          <w:b/>
          <w:bCs/>
          <w:noProof/>
          <w:spacing w:val="-8"/>
          <w:szCs w:val="24"/>
        </w:rPr>
      </w:pPr>
      <w:r>
        <w:rPr>
          <w:b/>
          <w:noProof/>
          <w:spacing w:val="-8"/>
        </w:rPr>
        <w:t>Autocaravanes, ambulances et corbillards</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2232"/>
        <w:gridCol w:w="1692"/>
        <w:gridCol w:w="1213"/>
        <w:gridCol w:w="1215"/>
        <w:gridCol w:w="1214"/>
        <w:gridCol w:w="121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Élément</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Objet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Référence de l’acte réglementaire</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 2500 kg(</w:t>
            </w:r>
            <w:r>
              <w:rPr>
                <w:noProof/>
                <w:spacing w:val="-8"/>
                <w:sz w:val="20"/>
                <w:vertAlign w:val="superscript"/>
              </w:rPr>
              <w:t>*</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&gt; 2500 kg(</w:t>
            </w:r>
            <w:r>
              <w:rPr>
                <w:noProof/>
                <w:spacing w:val="-8"/>
                <w:sz w:val="20"/>
                <w:vertAlign w:val="superscript"/>
              </w:rPr>
              <w:t>*</w:t>
            </w:r>
            <w:r>
              <w:rPr>
                <w:noProof/>
                <w:spacing w:val="-8"/>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pacing w:val="-8"/>
                <w:sz w:val="20"/>
                <w:szCs w:val="20"/>
              </w:rPr>
            </w:pPr>
            <w:r>
              <w:rPr>
                <w:noProof/>
                <w:spacing w:val="-8"/>
                <w:sz w:val="20"/>
              </w:rPr>
              <w:t>Niveau sonore</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pacing w:val="-8"/>
                <w:sz w:val="20"/>
                <w:szCs w:val="20"/>
              </w:rPr>
            </w:pPr>
            <w:r>
              <w:rPr>
                <w:noProof/>
                <w:spacing w:val="-8"/>
                <w:sz w:val="20"/>
              </w:rPr>
              <w:t xml:space="preserve">Directive 70/157/CEE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pacing w:val="-8"/>
                <w:sz w:val="20"/>
                <w:szCs w:val="20"/>
              </w:rPr>
            </w:pPr>
            <w:r>
              <w:rPr>
                <w:noProof/>
                <w:spacing w:val="-8"/>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pacing w:val="-8"/>
                <w:sz w:val="20"/>
                <w:szCs w:val="20"/>
              </w:rPr>
            </w:pPr>
            <w:r>
              <w:rPr>
                <w:noProof/>
                <w:spacing w:val="-8"/>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pacing w:val="-8"/>
                <w:sz w:val="20"/>
                <w:szCs w:val="20"/>
              </w:rPr>
            </w:pPr>
            <w:r>
              <w:rPr>
                <w:noProof/>
                <w:spacing w:val="-8"/>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pacing w:val="-8"/>
                <w:sz w:val="20"/>
                <w:szCs w:val="20"/>
              </w:rPr>
            </w:pPr>
            <w:r>
              <w:rPr>
                <w:noProof/>
                <w:spacing w:val="-8"/>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1A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pacing w:val="-8"/>
                <w:sz w:val="20"/>
                <w:szCs w:val="20"/>
              </w:rPr>
            </w:pPr>
            <w:r>
              <w:rPr>
                <w:noProof/>
                <w:spacing w:val="-8"/>
                <w:sz w:val="20"/>
              </w:rPr>
              <w:t>Niveau sonore</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540/2014</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pacing w:val="-8"/>
                <w:sz w:val="20"/>
                <w:szCs w:val="20"/>
              </w:rPr>
            </w:pPr>
            <w:r>
              <w:rPr>
                <w:noProof/>
                <w:spacing w:val="-8"/>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pacing w:val="-8"/>
                <w:sz w:val="20"/>
                <w:szCs w:val="20"/>
              </w:rPr>
            </w:pPr>
            <w:r>
              <w:rPr>
                <w:noProof/>
                <w:spacing w:val="-8"/>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pacing w:val="-8"/>
                <w:sz w:val="20"/>
                <w:szCs w:val="20"/>
              </w:rPr>
            </w:pPr>
            <w:r>
              <w:rPr>
                <w:noProof/>
                <w:spacing w:val="-8"/>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pacing w:val="-8"/>
                <w:sz w:val="20"/>
                <w:szCs w:val="20"/>
              </w:rPr>
            </w:pPr>
            <w:r>
              <w:rPr>
                <w:noProof/>
                <w:spacing w:val="-8"/>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pacing w:val="-8"/>
                <w:sz w:val="20"/>
                <w:szCs w:val="20"/>
              </w:rPr>
            </w:pPr>
            <w:r>
              <w:rPr>
                <w:noProof/>
                <w:spacing w:val="-8"/>
                <w:sz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Émissions des véhicules légers (Euro 5 et 6) / accès aux informations</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pacing w:val="-8"/>
                <w:sz w:val="20"/>
                <w:szCs w:val="20"/>
              </w:rPr>
            </w:pPr>
            <w:r>
              <w:rPr>
                <w:noProof/>
                <w:spacing w:val="-8"/>
                <w:sz w:val="20"/>
              </w:rPr>
              <w:t>Directive 70/220/CEE</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pacing w:val="-8"/>
                <w:sz w:val="20"/>
                <w:szCs w:val="20"/>
              </w:rPr>
            </w:pPr>
            <w:r>
              <w:rPr>
                <w:noProof/>
                <w:spacing w:val="-8"/>
                <w:sz w:val="20"/>
              </w:rPr>
              <w:t>Q(</w:t>
            </w:r>
            <w:r>
              <w:rPr>
                <w:noProof/>
                <w:spacing w:val="-8"/>
                <w:sz w:val="20"/>
                <w:vertAlign w:val="superscript"/>
              </w:rPr>
              <w:t>1</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pacing w:val="-8"/>
                <w:sz w:val="20"/>
                <w:szCs w:val="20"/>
              </w:rPr>
            </w:pPr>
            <w:r>
              <w:rPr>
                <w:noProof/>
                <w:spacing w:val="-8"/>
                <w:sz w:val="20"/>
              </w:rPr>
              <w:t>G + Q(</w:t>
            </w:r>
            <w:r>
              <w:rPr>
                <w:noProof/>
                <w:spacing w:val="-8"/>
                <w:sz w:val="20"/>
                <w:vertAlign w:val="superscript"/>
              </w:rPr>
              <w:t>1</w:t>
            </w:r>
            <w:r>
              <w:rPr>
                <w:noProof/>
                <w:spacing w:val="-8"/>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pacing w:val="-8"/>
                <w:sz w:val="20"/>
                <w:szCs w:val="20"/>
              </w:rPr>
            </w:pPr>
            <w:r>
              <w:rPr>
                <w:noProof/>
                <w:spacing w:val="-8"/>
                <w:sz w:val="20"/>
              </w:rPr>
              <w:t>G + Q(</w:t>
            </w:r>
            <w:r>
              <w:rPr>
                <w:noProof/>
                <w:spacing w:val="-8"/>
                <w:sz w:val="20"/>
                <w:vertAlign w:val="superscript"/>
              </w:rPr>
              <w:t>1</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Prévention des risques d’incendie (réservoirs de carburant liquide)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34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F (</w:t>
            </w:r>
            <w:r>
              <w:rPr>
                <w:noProof/>
                <w:spacing w:val="-8"/>
                <w:sz w:val="20"/>
                <w:vertAlign w:val="superscript"/>
              </w:rPr>
              <w:t>2</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F (</w:t>
            </w:r>
            <w:r>
              <w:rPr>
                <w:noProof/>
                <w:spacing w:val="-8"/>
                <w:sz w:val="20"/>
                <w:vertAlign w:val="superscript"/>
              </w:rPr>
              <w:t>2</w:t>
            </w:r>
            <w:r>
              <w:rPr>
                <w:noProof/>
                <w:spacing w:val="-8"/>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F (</w:t>
            </w:r>
            <w:r>
              <w:rPr>
                <w:noProof/>
                <w:spacing w:val="-8"/>
                <w:sz w:val="20"/>
                <w:vertAlign w:val="superscript"/>
              </w:rPr>
              <w:t>2</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F (</w:t>
            </w:r>
            <w:r>
              <w:rPr>
                <w:noProof/>
                <w:spacing w:val="-8"/>
                <w:sz w:val="20"/>
                <w:vertAlign w:val="superscript"/>
              </w:rPr>
              <w:t>2</w:t>
            </w:r>
            <w:r>
              <w:rPr>
                <w:noProof/>
                <w:spacing w:val="-8"/>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pacing w:val="-8"/>
                <w:sz w:val="20"/>
                <w:szCs w:val="20"/>
              </w:rPr>
            </w:pPr>
            <w:r>
              <w:rPr>
                <w:noProof/>
                <w:spacing w:val="-8"/>
                <w:sz w:val="20"/>
              </w:rPr>
              <w:t>3B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pacing w:val="-8"/>
                <w:sz w:val="20"/>
                <w:szCs w:val="20"/>
              </w:rPr>
            </w:pPr>
            <w:r>
              <w:rPr>
                <w:noProof/>
                <w:spacing w:val="-8"/>
                <w:sz w:val="20"/>
              </w:rPr>
              <w:t>Dispositifs arrière de protection anti-encastrement et leur montage; protection contre l’encastrement à l’arrière</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58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pacing w:val="-8"/>
                <w:sz w:val="20"/>
                <w:szCs w:val="20"/>
              </w:rPr>
            </w:pPr>
            <w:r>
              <w:rPr>
                <w:noProof/>
                <w:spacing w:val="-8"/>
                <w:sz w:val="20"/>
              </w:rPr>
              <w:t>4A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pacing w:val="-8"/>
                <w:sz w:val="20"/>
                <w:szCs w:val="20"/>
              </w:rPr>
            </w:pPr>
            <w:r>
              <w:rPr>
                <w:noProof/>
                <w:spacing w:val="-8"/>
                <w:sz w:val="20"/>
              </w:rPr>
              <w:t>Emplacement pour le montage et la fixation des plaques d’immatriculation arrière</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1003/2010</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Équipement de direction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79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Accès au véhicule et manœuvrabilité</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Serrures et organes de fixation des portes</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Avertisseurs sonores et signalisation sonore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28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bl>
    <w:p>
      <w:pPr>
        <w:rPr>
          <w:noProof/>
          <w:spacing w:val="-8"/>
        </w:rPr>
      </w:pPr>
      <w:r>
        <w:rPr>
          <w:noProof/>
          <w:spacing w:val="-8"/>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2"/>
        <w:gridCol w:w="2223"/>
        <w:gridCol w:w="1683"/>
        <w:gridCol w:w="1214"/>
        <w:gridCol w:w="1220"/>
        <w:gridCol w:w="1220"/>
        <w:gridCol w:w="1220"/>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lastRenderedPageBreak/>
              <w:t>Élément</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Objet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Référence de l’acte réglementaire</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 2500 kg(</w:t>
            </w:r>
            <w:r>
              <w:rPr>
                <w:noProof/>
                <w:spacing w:val="-8"/>
                <w:sz w:val="20"/>
                <w:vertAlign w:val="superscript"/>
              </w:rPr>
              <w:t>*</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&gt; 2500 kg(</w:t>
            </w:r>
            <w:r>
              <w:rPr>
                <w:noProof/>
                <w:spacing w:val="-8"/>
                <w:sz w:val="20"/>
                <w:vertAlign w:val="superscript"/>
              </w:rPr>
              <w:t>*</w:t>
            </w:r>
            <w:r>
              <w:rPr>
                <w:noProof/>
                <w:spacing w:val="-8"/>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pacing w:val="-8"/>
                <w:sz w:val="20"/>
                <w:szCs w:val="20"/>
              </w:rPr>
            </w:pPr>
            <w:r>
              <w:rPr>
                <w:noProof/>
                <w:spacing w:val="-8"/>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pacing w:val="-8"/>
                <w:sz w:val="20"/>
                <w:szCs w:val="20"/>
              </w:rPr>
            </w:pPr>
            <w:r>
              <w:rPr>
                <w:noProof/>
                <w:spacing w:val="-8"/>
                <w:sz w:val="20"/>
              </w:rPr>
              <w:t>M3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Systèmes de vision indirecte et leur montage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46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Freinage des véhicules et des remorques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13-H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4</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G+A</w:t>
            </w:r>
            <w:r>
              <w:rPr>
                <w:noProof/>
                <w:spacing w:val="-8"/>
                <w:sz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9B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Freinage des véhicules et des remorques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xml:space="preserve"> 13 de la CEE-ONU</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r>
              <w:rPr>
                <w:noProof/>
                <w:spacing w:val="-8"/>
                <w:sz w:val="20"/>
                <w:vertAlign w:val="superscript"/>
              </w:rPr>
              <w:t>3</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r>
              <w:rPr>
                <w:noProof/>
                <w:spacing w:val="-8"/>
                <w:sz w:val="20"/>
                <w:vertAlign w:val="superscript"/>
              </w:rPr>
              <w:t>3</w:t>
            </w:r>
            <w:r>
              <w:rPr>
                <w:noProof/>
                <w:spacing w:val="-8"/>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pacing w:val="-8"/>
                <w:sz w:val="20"/>
                <w:szCs w:val="20"/>
              </w:rPr>
            </w:pPr>
            <w:r>
              <w:rPr>
                <w:noProof/>
                <w:spacing w:val="-8"/>
                <w:sz w:val="20"/>
              </w:rPr>
              <w:t>10A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Compatibilité électromagnétique</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10 de la CEE-ONU</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Aménagements intérieurs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21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Protection des véhicules à moteur contre une utilisation non autorisée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18 de la CEE-ONU</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 (</w:t>
            </w:r>
            <w:r>
              <w:rPr>
                <w:noProof/>
                <w:spacing w:val="-8"/>
                <w:sz w:val="20"/>
                <w:vertAlign w:val="superscript"/>
              </w:rPr>
              <w:t>4A</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 (</w:t>
            </w:r>
            <w:r>
              <w:rPr>
                <w:noProof/>
                <w:spacing w:val="-8"/>
                <w:sz w:val="20"/>
                <w:vertAlign w:val="superscript"/>
              </w:rPr>
              <w:t>4A</w:t>
            </w:r>
            <w:r>
              <w:rPr>
                <w:noProof/>
                <w:spacing w:val="-8"/>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13B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Protection des véhicules à moteur contre une utilisation non autorisée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116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Protection du conducteur contre le dispositif de conduite en cas de choc</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Sièges, leurs ancrages et appuie-tête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17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G+D (</w:t>
            </w:r>
            <w:r>
              <w:rPr>
                <w:noProof/>
                <w:spacing w:val="-8"/>
                <w:sz w:val="20"/>
                <w:vertAlign w:val="superscript"/>
              </w:rPr>
              <w:t>4B</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G+D (</w:t>
            </w:r>
            <w:r>
              <w:rPr>
                <w:noProof/>
                <w:spacing w:val="-8"/>
                <w:sz w:val="20"/>
                <w:vertAlign w:val="superscript"/>
              </w:rPr>
              <w:t>4B</w:t>
            </w:r>
            <w:r>
              <w:rPr>
                <w:noProof/>
                <w:spacing w:val="-8"/>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Sièges des véhicules de grandes dimensions pour le transport de voyageurs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80 de la CEE-ONU</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Saillies extérieures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 xml:space="preserve">26 de la </w:t>
            </w:r>
            <w:r>
              <w:rPr>
                <w:noProof/>
                <w:spacing w:val="-8"/>
                <w:sz w:val="20"/>
              </w:rPr>
              <w:lastRenderedPageBreak/>
              <w:t>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lastRenderedPageBreak/>
              <w:t>X pour la cabine; A+Z pour le reste</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G pour la cabine; A+Z pour le reste</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Élément</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Objet</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Référence de l’acte réglementaire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 2500 kg(</w:t>
            </w:r>
            <w:r>
              <w:rPr>
                <w:noProof/>
                <w:spacing w:val="-8"/>
                <w:sz w:val="20"/>
                <w:vertAlign w:val="superscript"/>
              </w:rPr>
              <w:t>*</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&gt; 2500 kg(</w:t>
            </w:r>
            <w:r>
              <w:rPr>
                <w:noProof/>
                <w:spacing w:val="-8"/>
                <w:sz w:val="20"/>
                <w:vertAlign w:val="superscript"/>
              </w:rPr>
              <w:t>*</w:t>
            </w:r>
            <w:r>
              <w:rPr>
                <w:noProof/>
                <w:spacing w:val="-8"/>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M2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Accès au véhicule et manœuvrabilité</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17B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Appareil indicateur de vitesse, y compris son installation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39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Plaque réglementaire du constructeur et numéro d’identification du véhicule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19/2011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19A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Ancrages de ceintures de sécurité, systèmes d’ancrage Isofix et ancrages pour fixation supérieure Isofix</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14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Installation des dispositifs d’éclairage et de signalisation lumineuse sur les véhicules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48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A+G+N pour la cabine; A+N pour le reste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A+G+N pour la cabine; A+N pour le reste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A+G+N pour la cabine; A+N pour le reste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catadioptriques pour les véhicules à moteur et leurs remorques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position avant et arrière, feux stop et feux d’encombrement pour les véhicules à moteur et leurs remorques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7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circulation diurne pour les véhicules à moteur</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87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position latéraux pour les véhicules à moteur et leurs remorques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91 de la CEE-ONU</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indicateurs de direction pour les véhicules à moteur et leurs remorques</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 de la CEE-ONU</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bl>
    <w:p>
      <w:pPr>
        <w:rPr>
          <w:noProof/>
          <w:spacing w:val="-8"/>
        </w:rPr>
      </w:pPr>
      <w:r>
        <w:rPr>
          <w:noProof/>
          <w:spacing w:val="-8"/>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2"/>
        <w:gridCol w:w="2235"/>
        <w:gridCol w:w="1846"/>
        <w:gridCol w:w="1062"/>
        <w:gridCol w:w="1216"/>
        <w:gridCol w:w="1210"/>
        <w:gridCol w:w="1211"/>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Élément</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Objet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Référence de l’acte réglementaire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 2500 kg(</w:t>
            </w:r>
            <w:r>
              <w:rPr>
                <w:noProof/>
                <w:spacing w:val="-8"/>
                <w:sz w:val="20"/>
                <w:vertAlign w:val="superscript"/>
              </w:rPr>
              <w:t>*</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&gt; 2500 kg(</w:t>
            </w:r>
            <w:r>
              <w:rPr>
                <w:noProof/>
                <w:spacing w:val="-8"/>
                <w:sz w:val="20"/>
                <w:vertAlign w:val="superscript"/>
              </w:rPr>
              <w:t>*</w:t>
            </w:r>
            <w:r>
              <w:rPr>
                <w:noProof/>
                <w:spacing w:val="-8"/>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d’éclairage de la plaque d’immatriculation arrière des véhicules à moteur et de leurs remorques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Projecteurs scellés halogènes, pour véhicules à moteur, émettant un faisceau de croisement asymétrique européen ou un faisceau de route, ou les deux à la fois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31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Lampes à incandescence destinées à être utilisées dans les feux homologués des véhicules à moteur et de leurs remorques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37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Projecteurs de véhicules à moteur munis de sources lumineuses à décharge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98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Sources lumineuses à décharge pour projecteurs homologués de véhicules à moteur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99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Projecteurs pour véhicules à moteur émettant un faisceau de croisement asymétrique ou un faisceau de route, ou les deux à la fois, et équipés de lampes à incandescence et/ou de modules DEL</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112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Systèmes d’éclairage avant adaptatifs (AFS) destinés aux véhicules automobiles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123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brouillard avant des véhicules à moteur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19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de remorquage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1005/2010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brouillard arrière des véhicules à moteur et de leurs remorques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 xml:space="preserve">38 de la </w:t>
            </w:r>
            <w:r>
              <w:rPr>
                <w:noProof/>
                <w:spacing w:val="-8"/>
                <w:sz w:val="20"/>
              </w:rPr>
              <w:lastRenderedPageBreak/>
              <w:t>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bl>
    <w:p>
      <w:pPr>
        <w:rPr>
          <w:noProof/>
          <w:spacing w:val="-8"/>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2222"/>
        <w:gridCol w:w="27"/>
        <w:gridCol w:w="1817"/>
        <w:gridCol w:w="25"/>
        <w:gridCol w:w="1037"/>
        <w:gridCol w:w="22"/>
        <w:gridCol w:w="1196"/>
        <w:gridCol w:w="17"/>
        <w:gridCol w:w="1200"/>
        <w:gridCol w:w="9"/>
        <w:gridCol w:w="1209"/>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Élément</w:t>
            </w:r>
          </w:p>
        </w:tc>
        <w:tc>
          <w:tcPr>
            <w:tcW w:w="222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Objet</w:t>
            </w:r>
          </w:p>
        </w:tc>
        <w:tc>
          <w:tcPr>
            <w:tcW w:w="18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Référence de l’acte réglementaire</w:t>
            </w:r>
          </w:p>
        </w:tc>
        <w:tc>
          <w:tcPr>
            <w:tcW w:w="1062"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 2500 kg(</w:t>
            </w:r>
            <w:r>
              <w:rPr>
                <w:noProof/>
                <w:spacing w:val="-8"/>
                <w:sz w:val="20"/>
                <w:vertAlign w:val="superscript"/>
              </w:rPr>
              <w:t>*</w:t>
            </w:r>
            <w:r>
              <w:rPr>
                <w:noProof/>
                <w:spacing w:val="-8"/>
                <w:sz w:val="20"/>
              </w:rPr>
              <w:t>)</w:t>
            </w:r>
          </w:p>
        </w:tc>
        <w:tc>
          <w:tcPr>
            <w:tcW w:w="121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r>
              <w:rPr>
                <w:noProof/>
                <w:spacing w:val="-8"/>
                <w:sz w:val="20"/>
              </w:rPr>
              <w:t xml:space="preserve"> &gt; 2500 kg(</w:t>
            </w:r>
            <w:r>
              <w:rPr>
                <w:noProof/>
                <w:spacing w:val="-8"/>
                <w:sz w:val="20"/>
                <w:vertAlign w:val="superscript"/>
              </w:rPr>
              <w:t>*</w:t>
            </w:r>
            <w:r>
              <w:rPr>
                <w:noProof/>
                <w:spacing w:val="-8"/>
                <w:sz w:val="20"/>
              </w:rPr>
              <w:t>)</w:t>
            </w:r>
          </w:p>
        </w:tc>
        <w:tc>
          <w:tcPr>
            <w:tcW w:w="121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M2</w:t>
            </w:r>
          </w:p>
        </w:tc>
        <w:tc>
          <w:tcPr>
            <w:tcW w:w="121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29A</w:t>
            </w:r>
          </w:p>
        </w:tc>
        <w:tc>
          <w:tcPr>
            <w:tcW w:w="222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marche arrière des véhicules à moteur et de leurs remorques</w:t>
            </w:r>
          </w:p>
        </w:tc>
        <w:tc>
          <w:tcPr>
            <w:tcW w:w="1844"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23 de la CEE-ONU</w:t>
            </w:r>
          </w:p>
        </w:tc>
        <w:tc>
          <w:tcPr>
            <w:tcW w:w="1062"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7"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30A</w:t>
            </w:r>
          </w:p>
        </w:tc>
        <w:tc>
          <w:tcPr>
            <w:tcW w:w="222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stationnement pour véhicules à moteur</w:t>
            </w:r>
          </w:p>
        </w:tc>
        <w:tc>
          <w:tcPr>
            <w:tcW w:w="1844"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77 de la CEE-ONU</w:t>
            </w:r>
          </w:p>
        </w:tc>
        <w:tc>
          <w:tcPr>
            <w:tcW w:w="1062"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7"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31A</w:t>
            </w:r>
          </w:p>
        </w:tc>
        <w:tc>
          <w:tcPr>
            <w:tcW w:w="222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Ceintures de sécurité, systèmes de retenue, dispositifs de retenue pour enfants et dispositifs de retenue pour enfants Isofix</w:t>
            </w:r>
          </w:p>
        </w:tc>
        <w:tc>
          <w:tcPr>
            <w:tcW w:w="1844"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16 de la CEE-ONU</w:t>
            </w:r>
          </w:p>
        </w:tc>
        <w:tc>
          <w:tcPr>
            <w:tcW w:w="1062"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D</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G+M</w:t>
            </w:r>
          </w:p>
        </w:tc>
        <w:tc>
          <w:tcPr>
            <w:tcW w:w="1217"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G+M</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32A</w:t>
            </w:r>
          </w:p>
        </w:tc>
        <w:tc>
          <w:tcPr>
            <w:tcW w:w="222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Champ de vision vers l’avant</w:t>
            </w:r>
          </w:p>
        </w:tc>
        <w:tc>
          <w:tcPr>
            <w:tcW w:w="1844"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125 de la CEE-ONU</w:t>
            </w:r>
          </w:p>
        </w:tc>
        <w:tc>
          <w:tcPr>
            <w:tcW w:w="1062"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17"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18"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33A</w:t>
            </w:r>
          </w:p>
        </w:tc>
        <w:tc>
          <w:tcPr>
            <w:tcW w:w="222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Emplacement et moyens d’identification des commandes manuelles, des témoins et des indicateurs</w:t>
            </w:r>
          </w:p>
        </w:tc>
        <w:tc>
          <w:tcPr>
            <w:tcW w:w="1844"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121 de la CEE-ONU</w:t>
            </w:r>
          </w:p>
        </w:tc>
        <w:tc>
          <w:tcPr>
            <w:tcW w:w="1062"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7"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34A</w:t>
            </w:r>
          </w:p>
        </w:tc>
        <w:tc>
          <w:tcPr>
            <w:tcW w:w="222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de dégivrage et de désembuage du pare-brise</w:t>
            </w:r>
          </w:p>
        </w:tc>
        <w:tc>
          <w:tcPr>
            <w:tcW w:w="1844"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672/2010</w:t>
            </w:r>
          </w:p>
        </w:tc>
        <w:tc>
          <w:tcPr>
            <w:tcW w:w="1062"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 (</w:t>
            </w:r>
            <w:r>
              <w:rPr>
                <w:noProof/>
                <w:spacing w:val="-8"/>
                <w:sz w:val="20"/>
                <w:vertAlign w:val="superscript"/>
              </w:rPr>
              <w:t>5</w:t>
            </w:r>
            <w:r>
              <w:rPr>
                <w:noProof/>
                <w:spacing w:val="-8"/>
                <w:sz w:val="20"/>
              </w:rPr>
              <w:t>)</w:t>
            </w:r>
          </w:p>
        </w:tc>
        <w:tc>
          <w:tcPr>
            <w:tcW w:w="1217"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35A</w:t>
            </w:r>
          </w:p>
        </w:tc>
        <w:tc>
          <w:tcPr>
            <w:tcW w:w="222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Essuie-glace et lave-glace du pare-brise</w:t>
            </w:r>
          </w:p>
        </w:tc>
        <w:tc>
          <w:tcPr>
            <w:tcW w:w="1844"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1008/2010</w:t>
            </w:r>
          </w:p>
        </w:tc>
        <w:tc>
          <w:tcPr>
            <w:tcW w:w="1062"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 (</w:t>
            </w:r>
            <w:r>
              <w:rPr>
                <w:noProof/>
                <w:spacing w:val="-8"/>
                <w:sz w:val="20"/>
                <w:vertAlign w:val="superscript"/>
              </w:rPr>
              <w:t>6</w:t>
            </w:r>
            <w:r>
              <w:rPr>
                <w:noProof/>
                <w:spacing w:val="-8"/>
                <w:sz w:val="20"/>
              </w:rPr>
              <w:t>)</w:t>
            </w:r>
          </w:p>
        </w:tc>
        <w:tc>
          <w:tcPr>
            <w:tcW w:w="1217"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36A</w:t>
            </w:r>
          </w:p>
        </w:tc>
        <w:tc>
          <w:tcPr>
            <w:tcW w:w="222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Systèmes de chauffage</w:t>
            </w:r>
          </w:p>
        </w:tc>
        <w:tc>
          <w:tcPr>
            <w:tcW w:w="1844"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122 de la CEE-ONU</w:t>
            </w:r>
          </w:p>
        </w:tc>
        <w:tc>
          <w:tcPr>
            <w:tcW w:w="1062"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7"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37A</w:t>
            </w:r>
          </w:p>
        </w:tc>
        <w:tc>
          <w:tcPr>
            <w:tcW w:w="222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Protecteurs de roues</w:t>
            </w:r>
          </w:p>
        </w:tc>
        <w:tc>
          <w:tcPr>
            <w:tcW w:w="1844"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1009/2010</w:t>
            </w:r>
          </w:p>
        </w:tc>
        <w:tc>
          <w:tcPr>
            <w:tcW w:w="1062"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17"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18"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38A</w:t>
            </w:r>
          </w:p>
        </w:tc>
        <w:tc>
          <w:tcPr>
            <w:tcW w:w="2222" w:type="dxa"/>
            <w:tcBorders>
              <w:top w:val="outset" w:sz="6" w:space="0" w:color="auto"/>
              <w:left w:val="outset" w:sz="6" w:space="0" w:color="auto"/>
              <w:bottom w:val="outset" w:sz="6" w:space="0" w:color="auto"/>
              <w:right w:val="outset" w:sz="6" w:space="0" w:color="auto"/>
            </w:tcBorders>
            <w:hideMark/>
          </w:tcPr>
          <w:p>
            <w:pPr>
              <w:jc w:val="left"/>
              <w:rPr>
                <w:noProof/>
                <w:spacing w:val="-8"/>
                <w:sz w:val="20"/>
              </w:rPr>
            </w:pPr>
            <w:r>
              <w:rPr>
                <w:noProof/>
                <w:spacing w:val="-8"/>
                <w:sz w:val="20"/>
              </w:rPr>
              <w:t xml:space="preserve">Appuie-tête incorporés ou non dans les sièges des véhicules </w:t>
            </w:r>
          </w:p>
        </w:tc>
        <w:tc>
          <w:tcPr>
            <w:tcW w:w="1844"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noProof/>
                <w:spacing w:val="-8"/>
                <w:sz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noProof/>
                <w:spacing w:val="-8"/>
                <w:sz w:val="20"/>
              </w:rPr>
            </w:pPr>
            <w:r>
              <w:rPr>
                <w:noProof/>
                <w:spacing w:val="-8"/>
                <w:sz w:val="20"/>
              </w:rPr>
              <w:t>Règlement n</w:t>
            </w:r>
            <w:r>
              <w:rPr>
                <w:noProof/>
                <w:spacing w:val="-8"/>
                <w:sz w:val="20"/>
                <w:vertAlign w:val="superscript"/>
              </w:rPr>
              <w:t>o </w:t>
            </w:r>
            <w:r>
              <w:rPr>
                <w:noProof/>
                <w:spacing w:val="-8"/>
                <w:sz w:val="20"/>
              </w:rPr>
              <w:t xml:space="preserve">25 de la </w:t>
            </w:r>
            <w:r>
              <w:rPr>
                <w:noProof/>
                <w:spacing w:val="-8"/>
                <w:sz w:val="20"/>
              </w:rPr>
              <w:lastRenderedPageBreak/>
              <w:t xml:space="preserve">CEE-ONU </w:t>
            </w:r>
          </w:p>
        </w:tc>
        <w:tc>
          <w:tcPr>
            <w:tcW w:w="1062"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D</w:t>
            </w:r>
          </w:p>
        </w:tc>
        <w:tc>
          <w:tcPr>
            <w:tcW w:w="121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G + D</w:t>
            </w:r>
          </w:p>
        </w:tc>
        <w:tc>
          <w:tcPr>
            <w:tcW w:w="1217" w:type="dxa"/>
            <w:gridSpan w:val="2"/>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pacing w:val="-8"/>
                <w:sz w:val="20"/>
                <w:szCs w:val="20"/>
              </w:rPr>
            </w:pPr>
          </w:p>
        </w:tc>
        <w:tc>
          <w:tcPr>
            <w:tcW w:w="1218" w:type="dxa"/>
            <w:gridSpan w:val="2"/>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keepNext/>
              <w:spacing w:before="60" w:after="60"/>
              <w:jc w:val="center"/>
              <w:rPr>
                <w:rFonts w:eastAsia="Arial Unicode MS"/>
                <w:noProof/>
                <w:spacing w:val="-8"/>
                <w:sz w:val="20"/>
                <w:szCs w:val="20"/>
              </w:rPr>
            </w:pPr>
            <w:r>
              <w:rPr>
                <w:noProof/>
                <w:spacing w:val="-8"/>
                <w:sz w:val="20"/>
              </w:rPr>
              <w:lastRenderedPageBreak/>
              <w:t>Élément</w:t>
            </w:r>
          </w:p>
        </w:tc>
        <w:tc>
          <w:tcPr>
            <w:tcW w:w="2222"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pacing w:val="-8"/>
                <w:sz w:val="20"/>
                <w:szCs w:val="20"/>
              </w:rPr>
            </w:pPr>
            <w:r>
              <w:rPr>
                <w:noProof/>
                <w:spacing w:val="-8"/>
                <w:sz w:val="20"/>
              </w:rPr>
              <w:t>Objet</w:t>
            </w:r>
          </w:p>
        </w:tc>
        <w:tc>
          <w:tcPr>
            <w:tcW w:w="184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pacing w:val="-8"/>
                <w:sz w:val="20"/>
                <w:szCs w:val="20"/>
              </w:rPr>
            </w:pPr>
            <w:r>
              <w:rPr>
                <w:noProof/>
                <w:spacing w:val="-8"/>
                <w:sz w:val="20"/>
              </w:rPr>
              <w:t>Référence de l’acte réglementaire</w:t>
            </w:r>
          </w:p>
        </w:tc>
        <w:tc>
          <w:tcPr>
            <w:tcW w:w="1062"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pacing w:val="-8"/>
                <w:sz w:val="20"/>
                <w:szCs w:val="20"/>
              </w:rPr>
            </w:pPr>
            <w:r>
              <w:rPr>
                <w:noProof/>
                <w:spacing w:val="-8"/>
                <w:sz w:val="20"/>
              </w:rPr>
              <w:t>M1 ≤ 2500 kg(</w:t>
            </w:r>
            <w:r>
              <w:rPr>
                <w:noProof/>
                <w:spacing w:val="-8"/>
                <w:sz w:val="20"/>
                <w:vertAlign w:val="superscript"/>
              </w:rPr>
              <w:t>*</w:t>
            </w:r>
            <w:r>
              <w:rPr>
                <w:noProof/>
                <w:spacing w:val="-8"/>
                <w:sz w:val="20"/>
              </w:rPr>
              <w:t>)</w:t>
            </w:r>
          </w:p>
        </w:tc>
        <w:tc>
          <w:tcPr>
            <w:tcW w:w="121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pacing w:val="-8"/>
                <w:sz w:val="20"/>
                <w:szCs w:val="20"/>
              </w:rPr>
            </w:pPr>
            <w:r>
              <w:rPr>
                <w:noProof/>
                <w:spacing w:val="-8"/>
                <w:sz w:val="20"/>
              </w:rPr>
              <w:t>M1 &gt; 2500 kg(</w:t>
            </w:r>
            <w:r>
              <w:rPr>
                <w:noProof/>
                <w:spacing w:val="-8"/>
                <w:sz w:val="20"/>
                <w:vertAlign w:val="superscript"/>
              </w:rPr>
              <w:t>*</w:t>
            </w:r>
            <w:r>
              <w:rPr>
                <w:noProof/>
                <w:spacing w:val="-8"/>
                <w:sz w:val="20"/>
              </w:rPr>
              <w:t>)</w:t>
            </w:r>
          </w:p>
        </w:tc>
        <w:tc>
          <w:tcPr>
            <w:tcW w:w="1217" w:type="dxa"/>
            <w:gridSpan w:val="2"/>
            <w:tcBorders>
              <w:top w:val="outset" w:sz="6" w:space="0" w:color="auto"/>
              <w:left w:val="outset" w:sz="6" w:space="0" w:color="auto"/>
              <w:bottom w:val="outset" w:sz="6" w:space="0" w:color="auto"/>
              <w:right w:val="outset" w:sz="6" w:space="0" w:color="auto"/>
            </w:tcBorders>
          </w:tcPr>
          <w:p>
            <w:pPr>
              <w:spacing w:after="0"/>
              <w:jc w:val="center"/>
              <w:rPr>
                <w:rFonts w:eastAsia="Arial Unicode MS"/>
                <w:noProof/>
                <w:spacing w:val="-8"/>
                <w:sz w:val="20"/>
                <w:szCs w:val="20"/>
              </w:rPr>
            </w:pPr>
            <w:r>
              <w:rPr>
                <w:noProof/>
                <w:spacing w:val="-8"/>
                <w:sz w:val="20"/>
              </w:rPr>
              <w:t>M2</w:t>
            </w:r>
          </w:p>
        </w:tc>
        <w:tc>
          <w:tcPr>
            <w:tcW w:w="1218" w:type="dxa"/>
            <w:gridSpan w:val="2"/>
            <w:tcBorders>
              <w:top w:val="outset" w:sz="6" w:space="0" w:color="auto"/>
              <w:left w:val="outset" w:sz="6" w:space="0" w:color="auto"/>
              <w:bottom w:val="outset" w:sz="6" w:space="0" w:color="auto"/>
              <w:right w:val="outset" w:sz="6" w:space="0" w:color="auto"/>
            </w:tcBorders>
          </w:tcPr>
          <w:p>
            <w:pPr>
              <w:spacing w:after="0"/>
              <w:jc w:val="center"/>
              <w:rPr>
                <w:rFonts w:eastAsia="Arial Unicode MS"/>
                <w:noProof/>
                <w:spacing w:val="-8"/>
                <w:sz w:val="20"/>
                <w:szCs w:val="20"/>
              </w:rPr>
            </w:pPr>
            <w:r>
              <w:rPr>
                <w:noProof/>
                <w:spacing w:val="-8"/>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keepNext/>
              <w:spacing w:before="60" w:after="60"/>
              <w:rPr>
                <w:rFonts w:eastAsia="Times New Roman"/>
                <w:noProof/>
                <w:spacing w:val="-8"/>
                <w:sz w:val="20"/>
                <w:szCs w:val="20"/>
              </w:rPr>
            </w:pPr>
            <w:r>
              <w:rPr>
                <w:noProof/>
                <w:spacing w:val="-8"/>
                <w:sz w:val="20"/>
              </w:rPr>
              <w:t>44A</w:t>
            </w:r>
          </w:p>
        </w:tc>
        <w:tc>
          <w:tcPr>
            <w:tcW w:w="2222" w:type="dxa"/>
            <w:tcBorders>
              <w:top w:val="outset" w:sz="6" w:space="0" w:color="auto"/>
              <w:left w:val="outset" w:sz="6" w:space="0" w:color="auto"/>
              <w:bottom w:val="outset" w:sz="6" w:space="0" w:color="auto"/>
              <w:right w:val="outset" w:sz="6" w:space="0" w:color="auto"/>
            </w:tcBorders>
          </w:tcPr>
          <w:p>
            <w:pPr>
              <w:keepNext/>
              <w:spacing w:before="60" w:after="60"/>
              <w:jc w:val="left"/>
              <w:rPr>
                <w:rFonts w:eastAsia="Times New Roman"/>
                <w:noProof/>
                <w:spacing w:val="-8"/>
                <w:sz w:val="20"/>
                <w:szCs w:val="20"/>
              </w:rPr>
            </w:pPr>
            <w:r>
              <w:rPr>
                <w:noProof/>
                <w:spacing w:val="-8"/>
                <w:sz w:val="20"/>
              </w:rPr>
              <w:t>Masses et dimensions</w:t>
            </w:r>
          </w:p>
        </w:tc>
        <w:tc>
          <w:tcPr>
            <w:tcW w:w="1844" w:type="dxa"/>
            <w:gridSpan w:val="2"/>
            <w:tcBorders>
              <w:top w:val="outset" w:sz="6" w:space="0" w:color="auto"/>
              <w:left w:val="outset" w:sz="6" w:space="0" w:color="auto"/>
              <w:bottom w:val="outset" w:sz="6" w:space="0" w:color="auto"/>
              <w:right w:val="outset" w:sz="6" w:space="0" w:color="auto"/>
            </w:tcBorders>
          </w:tcPr>
          <w:p>
            <w:pPr>
              <w:keepNext/>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keepNext/>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tc>
        <w:tc>
          <w:tcPr>
            <w:tcW w:w="1062" w:type="dxa"/>
            <w:gridSpan w:val="2"/>
            <w:tcBorders>
              <w:top w:val="outset" w:sz="6" w:space="0" w:color="auto"/>
              <w:left w:val="outset" w:sz="6" w:space="0" w:color="auto"/>
              <w:bottom w:val="outset" w:sz="6" w:space="0" w:color="auto"/>
              <w:right w:val="outset" w:sz="6" w:space="0" w:color="auto"/>
            </w:tcBorders>
          </w:tcPr>
          <w:p>
            <w:pPr>
              <w:keepNext/>
              <w:spacing w:before="60" w:after="60"/>
              <w:jc w:val="center"/>
              <w:rPr>
                <w:rFonts w:eastAsia="Times New Roman"/>
                <w:noProof/>
                <w:spacing w:val="-8"/>
                <w:sz w:val="20"/>
                <w:szCs w:val="20"/>
              </w:rPr>
            </w:pPr>
            <w:r>
              <w:rPr>
                <w:noProof/>
                <w:spacing w:val="-8"/>
                <w:sz w:val="20"/>
              </w:rPr>
              <w:t>X</w:t>
            </w:r>
          </w:p>
        </w:tc>
        <w:tc>
          <w:tcPr>
            <w:tcW w:w="1218" w:type="dxa"/>
            <w:gridSpan w:val="2"/>
            <w:tcBorders>
              <w:top w:val="outset" w:sz="6" w:space="0" w:color="auto"/>
              <w:left w:val="outset" w:sz="6" w:space="0" w:color="auto"/>
              <w:bottom w:val="outset" w:sz="6" w:space="0" w:color="auto"/>
              <w:right w:val="outset" w:sz="6" w:space="0" w:color="auto"/>
            </w:tcBorders>
          </w:tcPr>
          <w:p>
            <w:pPr>
              <w:keepNext/>
              <w:spacing w:before="60" w:after="60"/>
              <w:jc w:val="center"/>
              <w:rPr>
                <w:rFonts w:eastAsia="Times New Roman"/>
                <w:noProof/>
                <w:spacing w:val="-8"/>
                <w:sz w:val="20"/>
                <w:szCs w:val="20"/>
              </w:rPr>
            </w:pPr>
            <w:r>
              <w:rPr>
                <w:noProof/>
                <w:spacing w:val="-8"/>
                <w:sz w:val="20"/>
              </w:rPr>
              <w:t>X</w:t>
            </w:r>
          </w:p>
        </w:tc>
        <w:tc>
          <w:tcPr>
            <w:tcW w:w="1217" w:type="dxa"/>
            <w:gridSpan w:val="2"/>
            <w:tcBorders>
              <w:top w:val="outset" w:sz="6" w:space="0" w:color="auto"/>
              <w:left w:val="outset" w:sz="6" w:space="0" w:color="auto"/>
              <w:bottom w:val="outset" w:sz="6" w:space="0" w:color="auto"/>
              <w:right w:val="outset" w:sz="6" w:space="0" w:color="auto"/>
            </w:tcBorders>
          </w:tcPr>
          <w:p>
            <w:pPr>
              <w:keepNext/>
              <w:spacing w:before="100" w:beforeAutospacing="1" w:after="100" w:afterAutospacing="1"/>
              <w:jc w:val="center"/>
              <w:rPr>
                <w:rFonts w:eastAsia="Times New Roman"/>
                <w:noProof/>
                <w:spacing w:val="-8"/>
                <w:sz w:val="20"/>
                <w:szCs w:val="20"/>
              </w:rPr>
            </w:pPr>
          </w:p>
        </w:tc>
        <w:tc>
          <w:tcPr>
            <w:tcW w:w="1218" w:type="dxa"/>
            <w:gridSpan w:val="2"/>
            <w:tcBorders>
              <w:top w:val="outset" w:sz="6" w:space="0" w:color="auto"/>
              <w:left w:val="outset" w:sz="6" w:space="0" w:color="auto"/>
              <w:bottom w:val="outset" w:sz="6" w:space="0" w:color="auto"/>
              <w:right w:val="outset" w:sz="6" w:space="0" w:color="auto"/>
            </w:tcBorders>
          </w:tcPr>
          <w:p>
            <w:pPr>
              <w:keepNext/>
              <w:spacing w:before="100" w:beforeAutospacing="1" w:after="100" w:afterAutospacing="1"/>
              <w:jc w:val="center"/>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45A</w:t>
            </w:r>
          </w:p>
        </w:tc>
        <w:tc>
          <w:tcPr>
            <w:tcW w:w="2249"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Vitrages de sécurité et leur installation sur les véhicules</w:t>
            </w:r>
          </w:p>
        </w:tc>
        <w:tc>
          <w:tcPr>
            <w:tcW w:w="1842"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43 de la CEE-ONU</w:t>
            </w:r>
          </w:p>
        </w:tc>
        <w:tc>
          <w:tcPr>
            <w:tcW w:w="105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J</w:t>
            </w:r>
          </w:p>
        </w:tc>
        <w:tc>
          <w:tcPr>
            <w:tcW w:w="1213"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G+J</w:t>
            </w:r>
          </w:p>
        </w:tc>
        <w:tc>
          <w:tcPr>
            <w:tcW w:w="120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G+J</w:t>
            </w:r>
          </w:p>
        </w:tc>
        <w:tc>
          <w:tcPr>
            <w:tcW w:w="12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46</w:t>
            </w:r>
          </w:p>
        </w:tc>
        <w:tc>
          <w:tcPr>
            <w:tcW w:w="2249"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Pneumatiques</w:t>
            </w:r>
          </w:p>
        </w:tc>
        <w:tc>
          <w:tcPr>
            <w:tcW w:w="1842"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92/23/CEE</w:t>
            </w:r>
          </w:p>
        </w:tc>
        <w:tc>
          <w:tcPr>
            <w:tcW w:w="1059"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X</w:t>
            </w:r>
          </w:p>
        </w:tc>
        <w:tc>
          <w:tcPr>
            <w:tcW w:w="1213"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G</w:t>
            </w:r>
          </w:p>
        </w:tc>
        <w:tc>
          <w:tcPr>
            <w:tcW w:w="1209"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G</w:t>
            </w:r>
          </w:p>
        </w:tc>
        <w:tc>
          <w:tcPr>
            <w:tcW w:w="12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46A</w:t>
            </w:r>
          </w:p>
        </w:tc>
        <w:tc>
          <w:tcPr>
            <w:tcW w:w="2249"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Montage des pneumatiques</w:t>
            </w:r>
          </w:p>
        </w:tc>
        <w:tc>
          <w:tcPr>
            <w:tcW w:w="1842"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458/2011</w:t>
            </w:r>
          </w:p>
        </w:tc>
        <w:tc>
          <w:tcPr>
            <w:tcW w:w="105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3"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0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46B</w:t>
            </w:r>
          </w:p>
        </w:tc>
        <w:tc>
          <w:tcPr>
            <w:tcW w:w="2249"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Pneumatiques pour les véhicules à moteur et leurs remorques (classe C1)</w:t>
            </w:r>
          </w:p>
        </w:tc>
        <w:tc>
          <w:tcPr>
            <w:tcW w:w="1842"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30 de la CEE-ONU</w:t>
            </w:r>
          </w:p>
        </w:tc>
        <w:tc>
          <w:tcPr>
            <w:tcW w:w="105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3"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09"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0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46C</w:t>
            </w:r>
          </w:p>
        </w:tc>
        <w:tc>
          <w:tcPr>
            <w:tcW w:w="2249"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Pneumatiques pour les véhicules utilitaires et leurs remorques (classes C2 et C3)</w:t>
            </w:r>
          </w:p>
        </w:tc>
        <w:tc>
          <w:tcPr>
            <w:tcW w:w="1842"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54 de la CEE-ONU</w:t>
            </w:r>
          </w:p>
        </w:tc>
        <w:tc>
          <w:tcPr>
            <w:tcW w:w="105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p>
        </w:tc>
        <w:tc>
          <w:tcPr>
            <w:tcW w:w="1213"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0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46D</w:t>
            </w:r>
          </w:p>
        </w:tc>
        <w:tc>
          <w:tcPr>
            <w:tcW w:w="2249"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Émissions sonores de roulement, adhérence sur sol mouillé et résistance au roulement (classes C1, C2 et C3)</w:t>
            </w:r>
          </w:p>
        </w:tc>
        <w:tc>
          <w:tcPr>
            <w:tcW w:w="1842"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117 de la CEE-ONU</w:t>
            </w:r>
          </w:p>
        </w:tc>
        <w:tc>
          <w:tcPr>
            <w:tcW w:w="105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3"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0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46E</w:t>
            </w:r>
          </w:p>
        </w:tc>
        <w:tc>
          <w:tcPr>
            <w:tcW w:w="2249"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Équipement de secours à usage temporaire, pneumatiques/système pour roulage à plat et système de surveillance de la pression des pneumatiques</w:t>
            </w:r>
          </w:p>
        </w:tc>
        <w:tc>
          <w:tcPr>
            <w:tcW w:w="1842"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64 de la CEE-ONU</w:t>
            </w:r>
          </w:p>
        </w:tc>
        <w:tc>
          <w:tcPr>
            <w:tcW w:w="105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13"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09"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0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47A</w:t>
            </w:r>
          </w:p>
        </w:tc>
        <w:tc>
          <w:tcPr>
            <w:tcW w:w="2249"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Systèmes de limitation de vitesse des véhicules</w:t>
            </w:r>
          </w:p>
        </w:tc>
        <w:tc>
          <w:tcPr>
            <w:tcW w:w="1842" w:type="dxa"/>
            <w:gridSpan w:val="2"/>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89 de la CEE-ONU</w:t>
            </w:r>
          </w:p>
        </w:tc>
        <w:tc>
          <w:tcPr>
            <w:tcW w:w="1059"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13"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09"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bl>
    <w:p>
      <w:pPr>
        <w:rPr>
          <w:noProof/>
          <w:spacing w:val="-8"/>
        </w:rPr>
      </w:pPr>
      <w:r>
        <w:rPr>
          <w:noProof/>
          <w:spacing w:val="-8"/>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2218"/>
        <w:gridCol w:w="1841"/>
        <w:gridCol w:w="1060"/>
        <w:gridCol w:w="1232"/>
        <w:gridCol w:w="1210"/>
        <w:gridCol w:w="1220"/>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lastRenderedPageBreak/>
              <w:t>Élément</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Objet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Référence de l’acte réglementaire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M1 ≤ 2500 kg(</w:t>
            </w:r>
            <w:r>
              <w:rPr>
                <w:noProof/>
                <w:spacing w:val="-8"/>
                <w:sz w:val="20"/>
                <w:vertAlign w:val="superscript"/>
              </w:rPr>
              <w:t>*</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M1 &gt; 2500 kg(</w:t>
            </w:r>
            <w:r>
              <w:rPr>
                <w:noProof/>
                <w:spacing w:val="-8"/>
                <w:sz w:val="20"/>
                <w:vertAlign w:val="superscript"/>
              </w:rPr>
              <w:t>*</w:t>
            </w:r>
            <w:r>
              <w:rPr>
                <w:noProof/>
                <w:spacing w:val="-8"/>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48A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Masses et dimensions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50A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Pièces mécaniques d’attelage des ensembles de véhicules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55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10</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 (</w:t>
            </w:r>
            <w:r>
              <w:rPr>
                <w:noProof/>
                <w:spacing w:val="-8"/>
                <w:sz w:val="20"/>
                <w:vertAlign w:val="superscript"/>
              </w:rPr>
              <w:t>10</w:t>
            </w:r>
            <w:r>
              <w:rPr>
                <w:noProof/>
                <w:spacing w:val="-8"/>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 (</w:t>
            </w:r>
            <w:r>
              <w:rPr>
                <w:noProof/>
                <w:spacing w:val="-8"/>
                <w:sz w:val="20"/>
                <w:vertAlign w:val="superscript"/>
              </w:rPr>
              <w:t>10</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 (</w:t>
            </w:r>
            <w:r>
              <w:rPr>
                <w:noProof/>
                <w:spacing w:val="-8"/>
                <w:sz w:val="20"/>
                <w:vertAlign w:val="superscript"/>
              </w:rPr>
              <w:t>10</w:t>
            </w:r>
            <w:r>
              <w:rPr>
                <w:noProof/>
                <w:spacing w:val="-8"/>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51A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Comportement au feu des matériaux utilisés dans l’aménagement intérieur de certaines catégories de véhicules à moteur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118 de la CEE-ONU</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 pour la cabine; X pour le reste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52A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Véhicules M</w:t>
            </w:r>
            <w:r>
              <w:rPr>
                <w:noProof/>
                <w:spacing w:val="-8"/>
                <w:sz w:val="20"/>
                <w:vertAlign w:val="subscript"/>
              </w:rPr>
              <w:t>2</w:t>
            </w:r>
            <w:r>
              <w:rPr>
                <w:noProof/>
                <w:spacing w:val="-8"/>
                <w:sz w:val="20"/>
              </w:rPr>
              <w:t xml:space="preserve"> et M</w:t>
            </w:r>
            <w:r>
              <w:rPr>
                <w:noProof/>
                <w:spacing w:val="-8"/>
                <w:sz w:val="20"/>
                <w:vertAlign w:val="subscript"/>
              </w:rPr>
              <w:t>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107 de la CEE-ONU</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52B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Résistance mécanique de la superstructure des véhicules de grande capacité pour le transport de personnes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66 de la CEE-ONU</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53A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Protection des occupants en cas de collision frontale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94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54A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Protection des occupants en cas de collision latérale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95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Protection des piétons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78/2009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Sans objet</w:t>
            </w:r>
          </w:p>
          <w:p>
            <w:pPr>
              <w:spacing w:before="60" w:after="60"/>
              <w:jc w:val="left"/>
              <w:rPr>
                <w:rFonts w:eastAsia="Arial Unicode MS"/>
                <w:noProof/>
                <w:spacing w:val="-8"/>
                <w:sz w:val="20"/>
                <w:szCs w:val="20"/>
              </w:rPr>
            </w:pPr>
            <w:r>
              <w:rPr>
                <w:noProof/>
                <w:spacing w:val="-8"/>
                <w:sz w:val="20"/>
              </w:rPr>
              <w:t>Toutefois, tout système de protection frontale fourni avec le véhicule doit être conforme et marqué.</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Recyclabilité</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2005/64/CE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Sans objet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Sans objet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pacing w:val="-8"/>
                <w:sz w:val="20"/>
                <w:szCs w:val="20"/>
              </w:rPr>
            </w:pPr>
            <w:r>
              <w:rPr>
                <w:noProof/>
                <w:color w:val="000000"/>
                <w:spacing w:val="-8"/>
                <w:sz w:val="20"/>
              </w:rPr>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pacing w:val="-8"/>
                <w:sz w:val="20"/>
                <w:szCs w:val="20"/>
              </w:rPr>
            </w:pPr>
            <w:r>
              <w:rPr>
                <w:noProof/>
                <w:color w:val="000000"/>
                <w:spacing w:val="-8"/>
                <w:sz w:val="20"/>
              </w:rPr>
              <w:t>Systèmes de climatisation</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pacing w:val="-8"/>
                <w:sz w:val="20"/>
                <w:szCs w:val="20"/>
              </w:rPr>
            </w:pPr>
            <w:r>
              <w:rPr>
                <w:noProof/>
                <w:color w:val="000000"/>
                <w:spacing w:val="-8"/>
                <w:sz w:val="20"/>
              </w:rPr>
              <w:t>Directive 2006/40/CE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pacing w:val="-8"/>
                <w:sz w:val="20"/>
                <w:szCs w:val="20"/>
              </w:rPr>
            </w:pPr>
            <w:r>
              <w:rPr>
                <w:noProof/>
                <w:color w:val="000000"/>
                <w:spacing w:val="-8"/>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pacing w:val="-8"/>
                <w:sz w:val="20"/>
                <w:szCs w:val="20"/>
              </w:rPr>
            </w:pPr>
            <w:r>
              <w:rPr>
                <w:noProof/>
                <w:color w:val="000000"/>
                <w:spacing w:val="-8"/>
                <w:sz w:val="20"/>
              </w:rPr>
              <w:t>G (</w:t>
            </w:r>
            <w:r>
              <w:rPr>
                <w:noProof/>
                <w:color w:val="000000"/>
                <w:spacing w:val="-8"/>
                <w:sz w:val="20"/>
                <w:vertAlign w:val="superscript"/>
              </w:rPr>
              <w:t>14</w:t>
            </w:r>
            <w:r>
              <w:rPr>
                <w:noProof/>
                <w:color w:val="000000"/>
                <w:spacing w:val="-8"/>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pacing w:val="-8"/>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Système hydrogène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79/2009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keepNext/>
              <w:spacing w:before="60" w:after="60"/>
              <w:rPr>
                <w:rFonts w:eastAsia="Arial Unicode MS"/>
                <w:noProof/>
                <w:spacing w:val="-8"/>
                <w:sz w:val="20"/>
                <w:szCs w:val="20"/>
              </w:rPr>
            </w:pPr>
            <w:r>
              <w:rPr>
                <w:noProof/>
                <w:spacing w:val="-8"/>
                <w:sz w:val="20"/>
              </w:rPr>
              <w:lastRenderedPageBreak/>
              <w:t>Élément</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Objet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Référence de l’acte réglementaire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M1 ≤ 2500 kg(*)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M1 &gt; 2500 kg(*)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pacing w:val="-8"/>
                <w:sz w:val="20"/>
                <w:szCs w:val="20"/>
              </w:rPr>
            </w:pPr>
            <w:r>
              <w:rPr>
                <w:noProof/>
                <w:color w:val="000000"/>
                <w:spacing w:val="-8"/>
                <w:sz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pacing w:val="-8"/>
                <w:sz w:val="20"/>
                <w:szCs w:val="20"/>
              </w:rPr>
            </w:pPr>
            <w:r>
              <w:rPr>
                <w:noProof/>
                <w:color w:val="000000"/>
                <w:spacing w:val="-8"/>
                <w:sz w:val="20"/>
              </w:rPr>
              <w:t>Sécurité générale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pacing w:val="-8"/>
                <w:sz w:val="20"/>
                <w:szCs w:val="20"/>
              </w:rPr>
            </w:pPr>
            <w:r>
              <w:rPr>
                <w:noProof/>
                <w:color w:val="000000"/>
                <w:spacing w:val="-8"/>
                <w:sz w:val="20"/>
              </w:rPr>
              <w:t>Règlement (CE) n</w:t>
            </w:r>
            <w:r>
              <w:rPr>
                <w:noProof/>
                <w:color w:val="000000"/>
                <w:spacing w:val="-8"/>
                <w:sz w:val="20"/>
                <w:vertAlign w:val="superscript"/>
              </w:rPr>
              <w:t>o</w:t>
            </w:r>
            <w:r>
              <w:rPr>
                <w:noProof/>
                <w:color w:val="000000"/>
                <w:spacing w:val="-8"/>
                <w:sz w:val="20"/>
              </w:rPr>
              <w:t> 661/2009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spacing w:val="-8"/>
              </w:rPr>
            </w:pPr>
            <w:r>
              <w:rPr>
                <w:noProof/>
                <w:color w:val="000000"/>
                <w:spacing w:val="-8"/>
              </w:rPr>
              <w:t>X (</w:t>
            </w:r>
            <w:r>
              <w:rPr>
                <w:noProof/>
                <w:color w:val="000000"/>
                <w:spacing w:val="-8"/>
                <w:sz w:val="15"/>
                <w:vertAlign w:val="superscript"/>
              </w:rPr>
              <w:t>15</w:t>
            </w:r>
            <w:r>
              <w:rPr>
                <w:noProof/>
                <w:color w:val="000000"/>
                <w:spacing w:val="-8"/>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spacing w:val="-8"/>
              </w:rPr>
            </w:pPr>
            <w:r>
              <w:rPr>
                <w:noProof/>
                <w:color w:val="000000"/>
                <w:spacing w:val="-8"/>
              </w:rPr>
              <w:t>X (</w:t>
            </w:r>
            <w:r>
              <w:rPr>
                <w:noProof/>
                <w:color w:val="000000"/>
                <w:spacing w:val="-8"/>
                <w:sz w:val="15"/>
                <w:vertAlign w:val="superscript"/>
              </w:rPr>
              <w:t>15</w:t>
            </w:r>
            <w:r>
              <w:rPr>
                <w:noProof/>
                <w:color w:val="000000"/>
                <w:spacing w:val="-8"/>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spacing w:val="-8"/>
              </w:rPr>
            </w:pPr>
            <w:r>
              <w:rPr>
                <w:noProof/>
                <w:color w:val="000000"/>
                <w:spacing w:val="-8"/>
              </w:rPr>
              <w:t>X (</w:t>
            </w:r>
            <w:r>
              <w:rPr>
                <w:noProof/>
                <w:color w:val="000000"/>
                <w:spacing w:val="-8"/>
                <w:sz w:val="15"/>
                <w:vertAlign w:val="superscript"/>
              </w:rPr>
              <w:t>15</w:t>
            </w:r>
            <w:r>
              <w:rPr>
                <w:noProof/>
                <w:color w:val="000000"/>
                <w:spacing w:val="-8"/>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spacing w:val="-8"/>
              </w:rPr>
            </w:pPr>
            <w:r>
              <w:rPr>
                <w:noProof/>
                <w:color w:val="000000"/>
                <w:spacing w:val="-8"/>
              </w:rPr>
              <w:t>X (</w:t>
            </w:r>
            <w:r>
              <w:rPr>
                <w:noProof/>
                <w:color w:val="000000"/>
                <w:spacing w:val="-8"/>
                <w:sz w:val="15"/>
                <w:vertAlign w:val="superscript"/>
              </w:rPr>
              <w:t>15</w:t>
            </w:r>
            <w:r>
              <w:rPr>
                <w:noProof/>
                <w:color w:val="000000"/>
                <w:spacing w:val="-8"/>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pacing w:val="-8"/>
                <w:sz w:val="20"/>
                <w:szCs w:val="20"/>
              </w:rPr>
            </w:pPr>
            <w:r>
              <w:rPr>
                <w:noProof/>
                <w:spacing w:val="-8"/>
                <w:sz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Indicateurs de changement de vitesse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65/2012</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 avancé de freinage d’urgence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347/2012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 (</w:t>
            </w:r>
            <w:r>
              <w:rPr>
                <w:noProof/>
                <w:spacing w:val="-8"/>
                <w:sz w:val="20"/>
                <w:vertAlign w:val="superscript"/>
              </w:rPr>
              <w:t>16</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 (</w:t>
            </w:r>
            <w:r>
              <w:rPr>
                <w:noProof/>
                <w:spacing w:val="-8"/>
                <w:sz w:val="20"/>
                <w:vertAlign w:val="superscript"/>
              </w:rPr>
              <w:t>16</w:t>
            </w:r>
            <w:r>
              <w:rPr>
                <w:noProof/>
                <w:spacing w:val="-8"/>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 d’avertissement de franchissement de ligne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351/2012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 (</w:t>
            </w:r>
            <w:r>
              <w:rPr>
                <w:noProof/>
                <w:spacing w:val="-8"/>
                <w:sz w:val="20"/>
                <w:vertAlign w:val="superscript"/>
              </w:rPr>
              <w:t>17</w:t>
            </w:r>
            <w:r>
              <w:rPr>
                <w:noProof/>
                <w:spacing w:val="-8"/>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 (</w:t>
            </w:r>
            <w:r>
              <w:rPr>
                <w:noProof/>
                <w:spacing w:val="-8"/>
                <w:sz w:val="20"/>
                <w:vertAlign w:val="superscript"/>
              </w:rPr>
              <w:t>17</w:t>
            </w:r>
            <w:r>
              <w:rPr>
                <w:noProof/>
                <w:spacing w:val="-8"/>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Organes spéciaux pour l’alimentation des moteurs au gaz de pétrole liquéfié (GPL) et leur installation sur les véhicules à moteur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67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Systèmes d’alarme pour véhicules (SAV)</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97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pacing w:val="-8"/>
                <w:sz w:val="20"/>
                <w:szCs w:val="20"/>
              </w:rPr>
            </w:pPr>
            <w:r>
              <w:rPr>
                <w:noProof/>
                <w:spacing w:val="-8"/>
                <w:sz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Sécurité électrique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100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Organes spéciaux pour l’alimentation des moteurs au GNC et leur installation sur les véhicules à moteur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110 de la CEE-ONU</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bl>
    <w:p>
      <w:pPr>
        <w:spacing w:after="0"/>
        <w:rPr>
          <w:rFonts w:eastAsia="Arial Unicode MS"/>
          <w:noProof/>
          <w:spacing w:val="-8"/>
          <w:sz w:val="20"/>
          <w:szCs w:val="20"/>
        </w:rPr>
      </w:pPr>
      <w:r>
        <w:rPr>
          <w:noProof/>
          <w:spacing w:val="-8"/>
          <w:sz w:val="20"/>
        </w:rPr>
        <w:t>(</w:t>
      </w:r>
      <w:r>
        <w:rPr>
          <w:noProof/>
          <w:spacing w:val="-8"/>
          <w:sz w:val="20"/>
          <w:vertAlign w:val="superscript"/>
        </w:rPr>
        <w:t>*</w:t>
      </w:r>
      <w:r>
        <w:rPr>
          <w:noProof/>
          <w:spacing w:val="-8"/>
          <w:sz w:val="20"/>
        </w:rPr>
        <w:t>) Masse en charge maximale techniquement admissible</w:t>
      </w:r>
    </w:p>
    <w:p>
      <w:pPr>
        <w:spacing w:after="0"/>
        <w:rPr>
          <w:rFonts w:eastAsia="Arial Unicode MS"/>
          <w:b/>
          <w:bCs/>
          <w:noProof/>
          <w:spacing w:val="-8"/>
          <w:szCs w:val="24"/>
        </w:rPr>
      </w:pPr>
      <w:r>
        <w:rPr>
          <w:b/>
          <w:noProof/>
          <w:spacing w:val="-8"/>
        </w:rPr>
        <w:t xml:space="preserve">Prescriptions supplémentaires pour les ambulances </w:t>
      </w:r>
    </w:p>
    <w:p>
      <w:pPr>
        <w:spacing w:after="0"/>
        <w:rPr>
          <w:rFonts w:eastAsia="Arial Unicode MS"/>
          <w:noProof/>
          <w:spacing w:val="-8"/>
          <w:szCs w:val="24"/>
        </w:rPr>
      </w:pPr>
      <w:r>
        <w:rPr>
          <w:noProof/>
          <w:spacing w:val="-8"/>
        </w:rPr>
        <w:t>L’espace réservé aux patients d’une ambulance doit être conforme aux prescriptions de la norme EN 1789:2007 + A1: 2010 + A2:2014 concernant les véhicules de transport sanitaire et leurs équipements – ambulances routières, à l’exception de la section 6.5 «Liste de l’équipement». La preuve de la conformité doit être apportée par un rapport d’essais d’un service technique. Si un espace pour fauteuil roulant est prévu, les prescriptions de l’appendice 3 relatives aux systèmes d’arrimage du fauteuil roulant et de retenue de son occupant s’appliquent.</w:t>
      </w:r>
    </w:p>
    <w:p>
      <w:pPr>
        <w:spacing w:after="0"/>
        <w:rPr>
          <w:rFonts w:eastAsia="Arial Unicode MS"/>
          <w:noProof/>
          <w:spacing w:val="-8"/>
          <w:szCs w:val="24"/>
        </w:rPr>
      </w:pPr>
      <w:r>
        <w:rPr>
          <w:rFonts w:eastAsia="Arial Unicode MS"/>
          <w:noProof/>
          <w:spacing w:val="-8"/>
          <w:szCs w:val="24"/>
        </w:rPr>
        <w:pict>
          <v:rect id="_x0000_i1035" style="width:45.35pt;height:.75pt" o:hrpct="100" o:hralign="center" o:hrstd="t" o:hrnoshade="t" o:hr="t" fillcolor="black" stroked="f"/>
        </w:pict>
      </w:r>
    </w:p>
    <w:p>
      <w:pPr>
        <w:jc w:val="center"/>
        <w:rPr>
          <w:rFonts w:eastAsia="Arial Unicode MS"/>
          <w:i/>
          <w:iCs/>
          <w:noProof/>
          <w:spacing w:val="-8"/>
          <w:szCs w:val="24"/>
        </w:rPr>
      </w:pPr>
      <w:r>
        <w:rPr>
          <w:noProof/>
          <w:spacing w:val="-8"/>
        </w:rPr>
        <w:br w:type="page"/>
      </w:r>
      <w:r>
        <w:rPr>
          <w:i/>
          <w:noProof/>
          <w:spacing w:val="-8"/>
        </w:rPr>
        <w:lastRenderedPageBreak/>
        <w:t>Appendice 2</w:t>
      </w:r>
    </w:p>
    <w:p>
      <w:pPr>
        <w:jc w:val="center"/>
        <w:rPr>
          <w:rFonts w:eastAsia="Arial Unicode MS"/>
          <w:b/>
          <w:bCs/>
          <w:noProof/>
          <w:spacing w:val="-8"/>
          <w:szCs w:val="24"/>
        </w:rPr>
      </w:pPr>
      <w:r>
        <w:rPr>
          <w:b/>
          <w:noProof/>
          <w:spacing w:val="-8"/>
        </w:rPr>
        <w:t>Véhicules blindés</w:t>
      </w:r>
    </w:p>
    <w:tbl>
      <w:tblPr>
        <w:tblpPr w:leftFromText="181" w:rightFromText="181" w:vertAnchor="text" w:horzAnchor="margin" w:tblpY="290"/>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1741"/>
        <w:gridCol w:w="1424"/>
        <w:gridCol w:w="517"/>
        <w:gridCol w:w="527"/>
        <w:gridCol w:w="527"/>
        <w:gridCol w:w="527"/>
        <w:gridCol w:w="527"/>
        <w:gridCol w:w="518"/>
        <w:gridCol w:w="527"/>
        <w:gridCol w:w="527"/>
        <w:gridCol w:w="527"/>
        <w:gridCol w:w="527"/>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Élément</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Objet</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pacing w:val="-8"/>
                <w:sz w:val="20"/>
                <w:szCs w:val="20"/>
              </w:rPr>
            </w:pPr>
            <w:r>
              <w:rPr>
                <w:noProof/>
                <w:spacing w:val="-8"/>
                <w:sz w:val="20"/>
              </w:rPr>
              <w:t>Référence de l’acte réglementaire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M</w:t>
            </w:r>
            <w:r>
              <w:rPr>
                <w:noProof/>
                <w:spacing w:val="-8"/>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N</w:t>
            </w:r>
            <w:r>
              <w:rPr>
                <w:noProof/>
                <w:spacing w:val="-8"/>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N</w:t>
            </w:r>
            <w:r>
              <w:rPr>
                <w:noProof/>
                <w:spacing w:val="-8"/>
                <w:sz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N</w:t>
            </w:r>
            <w:r>
              <w:rPr>
                <w:noProof/>
                <w:spacing w:val="-8"/>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w:t>
            </w:r>
            <w:r>
              <w:rPr>
                <w:noProof/>
                <w:spacing w:val="-8"/>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w:t>
            </w:r>
            <w:r>
              <w:rPr>
                <w:noProof/>
                <w:spacing w:val="-8"/>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w:t>
            </w:r>
            <w:r>
              <w:rPr>
                <w:noProof/>
                <w:spacing w:val="-8"/>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pacing w:val="-8"/>
                <w:sz w:val="20"/>
                <w:szCs w:val="20"/>
              </w:rPr>
            </w:pPr>
            <w:r>
              <w:rPr>
                <w:noProof/>
                <w:spacing w:val="-8"/>
                <w:sz w:val="20"/>
              </w:rPr>
              <w:t>O</w:t>
            </w:r>
            <w:r>
              <w:rPr>
                <w:noProof/>
                <w:spacing w:val="-8"/>
                <w:sz w:val="20"/>
                <w:vertAlign w:val="subscript"/>
              </w:rPr>
              <w:t>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pacing w:val="-8"/>
                <w:sz w:val="20"/>
                <w:szCs w:val="20"/>
              </w:rPr>
            </w:pPr>
            <w:r>
              <w:rPr>
                <w:noProof/>
                <w:spacing w:val="-8"/>
                <w:sz w:val="20"/>
                <w:szCs w:val="20"/>
              </w:rPr>
              <w:t>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szCs w:val="20"/>
              </w:rPr>
              <w:t>Niveau sonore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szCs w:val="20"/>
              </w:rPr>
              <w:t>Règlement (UE) n</w:t>
            </w:r>
            <w:r>
              <w:rPr>
                <w:noProof/>
                <w:spacing w:val="-8"/>
                <w:sz w:val="20"/>
                <w:szCs w:val="20"/>
                <w:vertAlign w:val="superscript"/>
              </w:rPr>
              <w:t>o</w:t>
            </w:r>
            <w:r>
              <w:rPr>
                <w:noProof/>
                <w:spacing w:val="-8"/>
                <w:sz w:val="20"/>
                <w:szCs w:val="20"/>
              </w:rPr>
              <w:t> 540/2014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Émissions des véhicules légers (Euro 5 et 6) / accès aux informations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w:t>
            </w:r>
            <w:r>
              <w:rPr>
                <w:noProof/>
                <w:spacing w:val="-8"/>
                <w:sz w:val="20"/>
                <w:vertAlign w:val="superscript"/>
              </w:rPr>
              <w:t>1</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w:t>
            </w:r>
            <w:r>
              <w:rPr>
                <w:noProof/>
                <w:spacing w:val="-8"/>
                <w:sz w:val="20"/>
                <w:vertAlign w:val="superscript"/>
              </w:rPr>
              <w:t>1</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w:t>
            </w:r>
            <w:r>
              <w:rPr>
                <w:noProof/>
                <w:spacing w:val="-8"/>
                <w:sz w:val="20"/>
                <w:vertAlign w:val="superscript"/>
              </w:rPr>
              <w:t>1</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w:t>
            </w:r>
            <w:r>
              <w:rPr>
                <w:noProof/>
                <w:spacing w:val="-8"/>
                <w:sz w:val="20"/>
                <w:vertAlign w:val="superscript"/>
              </w:rPr>
              <w:t>1</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Prévention des risques d’incendie (réservoirs de carburant liquide)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34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2</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2</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2</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2</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2</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2</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arrière de protection anti-encastrement et leur montage; protection contre l’encastrement à l’arrière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58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Emplacement pour le montage et la fixation des plaques d’immatriculation arrière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1003/2010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Équipement de direction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79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Accès au véhicule et manœuvrabilité</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Serrures et organes de fixation des portes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Avertisseurs sonores et signalisation sonore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28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 xml:space="preserve">Systèmes de vision indirecte et leur </w:t>
            </w:r>
            <w:r>
              <w:rPr>
                <w:noProof/>
                <w:spacing w:val="-8"/>
                <w:sz w:val="20"/>
              </w:rPr>
              <w:lastRenderedPageBreak/>
              <w:t>montage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lastRenderedPageBreak/>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lastRenderedPageBreak/>
              <w:t>Règlement n</w:t>
            </w:r>
            <w:r>
              <w:rPr>
                <w:noProof/>
                <w:spacing w:val="-8"/>
                <w:sz w:val="20"/>
                <w:vertAlign w:val="superscript"/>
              </w:rPr>
              <w:t>o </w:t>
            </w:r>
            <w:r>
              <w:rPr>
                <w:noProof/>
                <w:spacing w:val="-8"/>
                <w:sz w:val="20"/>
              </w:rPr>
              <w:t>46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Freinage des véhicules et des remorques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13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9B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Freinage des voitures particulières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13-H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4</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4</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Compatibilité électromagnétique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10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Aménagements intérieurs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21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Protection des véhicules à moteur contre une utilisation non autorisée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18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Protection des véhicules à moteur contre une utilisation non autorisée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116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Protection du conducteur contre le dispositif de conduite en cas de choc</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Sièges, leurs ancrages et appuie-tête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17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D(</w:t>
            </w:r>
            <w:r>
              <w:rPr>
                <w:noProof/>
                <w:spacing w:val="-8"/>
                <w:sz w:val="20"/>
                <w:vertAlign w:val="superscript"/>
              </w:rPr>
              <w:t>4B</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D(</w:t>
            </w:r>
            <w:r>
              <w:rPr>
                <w:noProof/>
                <w:spacing w:val="-8"/>
                <w:sz w:val="20"/>
                <w:vertAlign w:val="superscript"/>
              </w:rPr>
              <w:t>4B</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Sièges des véhicules de grandes dimensions pour le transport de voyageurs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80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Saillies extérieures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26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Accès au véhicule et manœuvrabilité</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lastRenderedPageBreak/>
              <w:t>Règlement (UE) n</w:t>
            </w:r>
            <w:r>
              <w:rPr>
                <w:noProof/>
                <w:spacing w:val="-8"/>
                <w:sz w:val="20"/>
                <w:vertAlign w:val="superscript"/>
              </w:rPr>
              <w:t>o</w:t>
            </w:r>
            <w:r>
              <w:rPr>
                <w:noProof/>
                <w:spacing w:val="-8"/>
                <w:sz w:val="20"/>
              </w:rPr>
              <w:t>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17B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Appareil indicateur de vitesse, y compris son installation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39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Plaque réglementaire du constructeur et numéro d’identification du véhicule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19/2011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19A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Ancrages de ceintures de sécurité, systèmes d’ancrage Isofix et ancrages pour fixation supérieure Isofix</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14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20A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Installation des dispositifs d’éclairage et de signalisation lumineuse sur les véhicules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48 de la CEE-ONU</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A+N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catadioptriques pour les véhicules à moteur et leurs remorques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position avant et arrière, feux stop et feux d’encombrement pour les véhicules à moteur et leurs remorques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7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circulation diurne pour les véhicules à moteur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87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22C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position latéraux pour les véhicules à moteur et leurs remorques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91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indicateurs de direction pour les véhicules à moteur et leurs remorques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6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 xml:space="preserve">Dispositifs d’éclairage de la plaque d’immatriculation arrière des véhicules à </w:t>
            </w:r>
            <w:r>
              <w:rPr>
                <w:noProof/>
                <w:spacing w:val="-8"/>
                <w:sz w:val="20"/>
              </w:rPr>
              <w:lastRenderedPageBreak/>
              <w:t>moteur et de leurs remorques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lastRenderedPageBreak/>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25A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Projecteurs scellés halogènes, pour véhicules à moteur, émettant un faisceau de croisement asymétrique européen ou un faisceau de route, ou les deux à la fois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31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Lampes à incandescence destinées à être utilisées dans les feux homologués des véhicules à moteur et de leurs remorques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37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25C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Projecteurs de véhicules à moteur munis de sources lumineuses à décharge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98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25D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Sources lumineuses à décharge pour projecteurs homologués de véhicules à moteur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99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25E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Projecteurs pour véhicules à moteur émettant un faisceau de croisement asymétrique ou un faisceau de route, ou les deux à la fois, et équipés de lampes à incandescence et/ou de modules DEL</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112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25F</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Systèmes d’éclairage avant adaptatifs (AFS) destinés aux véhicules automobiles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123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brouillard avant des véhicules à moteur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19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de remorquage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1005/2010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28A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brouillard arrière des véhicules à moteur et de leurs remorques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38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29A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marche arrière des véhicules à moteur et de leurs remorques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23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Feux de stationnement pour véhicules à moteur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77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Ceintures de sécurité, systèmes de retenue, dispositifs de retenue pour enfants et dispositifs de retenue pour enfants Isofix</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16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Champ de vision vers l’avant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125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Emplacement et moyens d’identification des commandes manuelles, des témoins et des indicateurs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121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de dégivrage et de désembuage du pare-brise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672/2010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Essuie-glace et lave-glace du pare-brise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1008/2010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Systèmes de chauffage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122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Protecteurs de roues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1009/2010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38A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 xml:space="preserve">Appuie-tête </w:t>
            </w:r>
            <w:r>
              <w:rPr>
                <w:noProof/>
                <w:spacing w:val="-8"/>
                <w:sz w:val="20"/>
              </w:rPr>
              <w:lastRenderedPageBreak/>
              <w:t>incorporés ou non dans les sièges des véhicules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lastRenderedPageBreak/>
              <w:t xml:space="preserve">Règlement (CE) </w:t>
            </w:r>
            <w:r>
              <w:rPr>
                <w:noProof/>
                <w:spacing w:val="-8"/>
                <w:sz w:val="20"/>
              </w:rPr>
              <w:lastRenderedPageBreak/>
              <w:t>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25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lastRenderedPageBreak/>
              <w:t>41A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Émissions (Euro VI) des véhicules lourds/accès aux informations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9</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9</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9</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9</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keepNext/>
              <w:spacing w:before="60" w:after="60"/>
              <w:jc w:val="center"/>
              <w:rPr>
                <w:rFonts w:eastAsia="Times New Roman"/>
                <w:noProof/>
                <w:spacing w:val="-8"/>
                <w:sz w:val="20"/>
                <w:szCs w:val="20"/>
              </w:rPr>
            </w:pPr>
            <w:r>
              <w:rPr>
                <w:noProof/>
                <w:spacing w:val="-8"/>
                <w:sz w:val="20"/>
              </w:rPr>
              <w:t>42A</w:t>
            </w:r>
          </w:p>
        </w:tc>
        <w:tc>
          <w:tcPr>
            <w:tcW w:w="1687" w:type="dxa"/>
            <w:tcBorders>
              <w:top w:val="outset" w:sz="6" w:space="0" w:color="auto"/>
              <w:left w:val="outset" w:sz="6" w:space="0" w:color="auto"/>
              <w:bottom w:val="outset" w:sz="6" w:space="0" w:color="auto"/>
              <w:right w:val="outset" w:sz="6" w:space="0" w:color="auto"/>
            </w:tcBorders>
          </w:tcPr>
          <w:p>
            <w:pPr>
              <w:keepNext/>
              <w:spacing w:before="60" w:after="60"/>
              <w:jc w:val="left"/>
              <w:rPr>
                <w:rFonts w:eastAsia="Times New Roman"/>
                <w:noProof/>
                <w:spacing w:val="-8"/>
                <w:sz w:val="20"/>
                <w:szCs w:val="20"/>
              </w:rPr>
            </w:pPr>
            <w:r>
              <w:rPr>
                <w:noProof/>
                <w:spacing w:val="-8"/>
                <w:sz w:val="20"/>
              </w:rPr>
              <w:t>Protection latérale des véhicules utilitaires</w:t>
            </w:r>
          </w:p>
        </w:tc>
        <w:tc>
          <w:tcPr>
            <w:tcW w:w="1525" w:type="dxa"/>
            <w:tcBorders>
              <w:top w:val="outset" w:sz="6" w:space="0" w:color="auto"/>
              <w:left w:val="outset" w:sz="6" w:space="0" w:color="auto"/>
              <w:bottom w:val="outset" w:sz="6" w:space="0" w:color="auto"/>
              <w:right w:val="outset" w:sz="6" w:space="0" w:color="auto"/>
            </w:tcBorders>
          </w:tcPr>
          <w:p>
            <w:pPr>
              <w:keepNext/>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keepNext/>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73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43A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Systèmes antiprojections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109/2011</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44A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Masses et dimensions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45A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Vitrages de sécurité et leur installation sur les véhicules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43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46</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Pneumatiques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92/23/CEE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46A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Montage des pneumatiques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458/2011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46B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Pneumatiques pour les véhicules à moteur et leurs remorques (classe C1)</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30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46C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Pneumatiques pour les véhicules utilitaires et leurs remorques (classes C2 et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54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46D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Émissions sonores de roulement, adhérence sur sol mouillé et résistance au roulement (classes C1, C2 et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117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46E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 xml:space="preserve">Équipement de secours à usage temporaire, </w:t>
            </w:r>
            <w:r>
              <w:rPr>
                <w:noProof/>
                <w:spacing w:val="-8"/>
                <w:sz w:val="20"/>
              </w:rPr>
              <w:lastRenderedPageBreak/>
              <w:t>pneumatiques/système pour roulage à plat et système de surveillance de la pression des pneumatiques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lastRenderedPageBreak/>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lastRenderedPageBreak/>
              <w:t>Règlement n</w:t>
            </w:r>
            <w:r>
              <w:rPr>
                <w:noProof/>
                <w:spacing w:val="-8"/>
                <w:sz w:val="20"/>
                <w:vertAlign w:val="superscript"/>
              </w:rPr>
              <w:t>o </w:t>
            </w:r>
            <w:r>
              <w:rPr>
                <w:noProof/>
                <w:spacing w:val="-8"/>
                <w:sz w:val="20"/>
              </w:rPr>
              <w:t>64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A(</w:t>
            </w:r>
            <w:r>
              <w:rPr>
                <w:noProof/>
                <w:spacing w:val="-8"/>
                <w:sz w:val="20"/>
                <w:vertAlign w:val="superscript"/>
              </w:rPr>
              <w:t>9A</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r>
              <w:rPr>
                <w:noProof/>
                <w:spacing w:val="-8"/>
                <w:sz w:val="20"/>
                <w:vertAlign w:val="superscript"/>
              </w:rPr>
              <w:t>9A</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47A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Systèmes de limitation de vitesse des véhicules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89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48A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Masses et dimensions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49A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Saillies extérieures à l’avant de la cloison postérieure de la cabine des véhicules utilitaires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61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50A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Pièces mécaniques d’attelage des ensembles de véhicules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55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50B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d’attelage court (DAC); installation d’un type réceptionné de DAC</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102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51A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Comportement au feu des matériaux utilisés dans l’aménagement intérieur de certaines catégories de véhicules à moteur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118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52A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Véhicules M</w:t>
            </w:r>
            <w:r>
              <w:rPr>
                <w:noProof/>
                <w:spacing w:val="-8"/>
                <w:sz w:val="20"/>
                <w:vertAlign w:val="subscript"/>
              </w:rPr>
              <w:t>2</w:t>
            </w:r>
            <w:r>
              <w:rPr>
                <w:noProof/>
                <w:spacing w:val="-8"/>
                <w:sz w:val="20"/>
              </w:rPr>
              <w:t xml:space="preserve"> et M</w:t>
            </w:r>
            <w:r>
              <w:rPr>
                <w:noProof/>
                <w:spacing w:val="-8"/>
                <w:sz w:val="20"/>
                <w:vertAlign w:val="subscript"/>
              </w:rPr>
              <w:t>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107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52B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Résistance mécanique de la superstructure des véhicules de grande capacité pour le transport de personnes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66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53A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Protection des occupants en cas de collision frontale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94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54A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Protection des occupants en cas de collision latérale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95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55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(vide)</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56A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Véhicules destinés au transport de marchandises dangereuses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105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57A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Dispositifs avant de protection anti-encastrement et leur montage; protection contre l’encastrement à l’avant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93 de la CEE-ONU</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58</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Protection des piétons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78/2009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59</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Recyclabilité</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2005/64/CE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Sans objet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rPr>
            </w:pPr>
            <w:r>
              <w:rPr>
                <w:noProof/>
                <w:spacing w:val="-8"/>
                <w:sz w:val="22"/>
              </w:rPr>
              <w:t>60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rPr>
            </w:pPr>
            <w:r>
              <w:rPr>
                <w:noProof/>
                <w:spacing w:val="-8"/>
                <w:sz w:val="22"/>
              </w:rPr>
              <w:t>(vide)</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pacing w:val="-8"/>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61</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Systèmes de climatisation</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Directive 2006/40/CE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14</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62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pacing w:val="-8"/>
                <w:sz w:val="20"/>
                <w:szCs w:val="20"/>
              </w:rPr>
            </w:pPr>
            <w:r>
              <w:rPr>
                <w:noProof/>
                <w:spacing w:val="-8"/>
                <w:sz w:val="20"/>
              </w:rPr>
              <w:t>Système hydrogène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pacing w:val="-8"/>
                <w:sz w:val="20"/>
                <w:szCs w:val="20"/>
              </w:rPr>
            </w:pPr>
            <w:r>
              <w:rPr>
                <w:noProof/>
                <w:spacing w:val="-8"/>
                <w:sz w:val="20"/>
              </w:rPr>
              <w:t>Règlement (CE) n</w:t>
            </w:r>
            <w:r>
              <w:rPr>
                <w:noProof/>
                <w:spacing w:val="-8"/>
                <w:sz w:val="20"/>
                <w:vertAlign w:val="superscript"/>
              </w:rPr>
              <w:t>o</w:t>
            </w:r>
            <w:r>
              <w:rPr>
                <w:noProof/>
                <w:spacing w:val="-8"/>
                <w:sz w:val="20"/>
              </w:rPr>
              <w:t>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pacing w:val="-8"/>
                <w:sz w:val="20"/>
                <w:szCs w:val="20"/>
              </w:rPr>
            </w:pPr>
            <w:r>
              <w:rPr>
                <w:noProof/>
                <w:spacing w:val="-8"/>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63</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rPr>
            </w:pPr>
            <w:r>
              <w:rPr>
                <w:noProof/>
                <w:spacing w:val="-8"/>
                <w:sz w:val="22"/>
              </w:rPr>
              <w:t>Sécurité générale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rPr>
            </w:pPr>
            <w:r>
              <w:rPr>
                <w:noProof/>
                <w:spacing w:val="-8"/>
                <w:sz w:val="22"/>
              </w:rPr>
              <w:t>Règlement (CE) n</w:t>
            </w:r>
            <w:r>
              <w:rPr>
                <w:noProof/>
                <w:spacing w:val="-8"/>
                <w:sz w:val="22"/>
                <w:vertAlign w:val="superscript"/>
              </w:rPr>
              <w:t>o</w:t>
            </w:r>
            <w:r>
              <w:rPr>
                <w:noProof/>
                <w:spacing w:val="-8"/>
                <w:sz w:val="22"/>
              </w:rPr>
              <w:t>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X(</w:t>
            </w:r>
            <w:r>
              <w:rPr>
                <w:noProof/>
                <w:spacing w:val="-8"/>
                <w:sz w:val="20"/>
                <w:vertAlign w:val="superscript"/>
              </w:rPr>
              <w:t>15</w:t>
            </w:r>
            <w:r>
              <w:rPr>
                <w:noProof/>
                <w:spacing w:val="-8"/>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X(</w:t>
            </w:r>
            <w:r>
              <w:rPr>
                <w:noProof/>
                <w:spacing w:val="-8"/>
                <w:sz w:val="22"/>
                <w:vertAlign w:val="superscript"/>
              </w:rPr>
              <w:t>15</w:t>
            </w:r>
            <w:r>
              <w:rPr>
                <w:noProof/>
                <w:spacing w:val="-8"/>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X(</w:t>
            </w:r>
            <w:r>
              <w:rPr>
                <w:noProof/>
                <w:spacing w:val="-8"/>
                <w:sz w:val="22"/>
                <w:vertAlign w:val="superscript"/>
              </w:rPr>
              <w:t>15</w:t>
            </w:r>
            <w:r>
              <w:rPr>
                <w:noProof/>
                <w:spacing w:val="-8"/>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X(</w:t>
            </w:r>
            <w:r>
              <w:rPr>
                <w:noProof/>
                <w:spacing w:val="-8"/>
                <w:sz w:val="22"/>
                <w:vertAlign w:val="superscript"/>
              </w:rPr>
              <w:t>15</w:t>
            </w:r>
            <w:r>
              <w:rPr>
                <w:noProof/>
                <w:spacing w:val="-8"/>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X(</w:t>
            </w:r>
            <w:r>
              <w:rPr>
                <w:noProof/>
                <w:spacing w:val="-8"/>
                <w:sz w:val="22"/>
                <w:vertAlign w:val="superscript"/>
              </w:rPr>
              <w:t>15</w:t>
            </w:r>
            <w:r>
              <w:rPr>
                <w:noProof/>
                <w:spacing w:val="-8"/>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X(</w:t>
            </w:r>
            <w:r>
              <w:rPr>
                <w:noProof/>
                <w:spacing w:val="-8"/>
                <w:sz w:val="20"/>
                <w:vertAlign w:val="superscript"/>
              </w:rPr>
              <w:t>15</w:t>
            </w:r>
            <w:r>
              <w:rPr>
                <w:noProof/>
                <w:spacing w:val="-8"/>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X(</w:t>
            </w:r>
            <w:r>
              <w:rPr>
                <w:noProof/>
                <w:spacing w:val="-8"/>
                <w:sz w:val="22"/>
                <w:vertAlign w:val="superscript"/>
              </w:rPr>
              <w:t>15</w:t>
            </w:r>
            <w:r>
              <w:rPr>
                <w:noProof/>
                <w:spacing w:val="-8"/>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X(</w:t>
            </w:r>
            <w:r>
              <w:rPr>
                <w:noProof/>
                <w:spacing w:val="-8"/>
                <w:sz w:val="22"/>
                <w:vertAlign w:val="superscript"/>
              </w:rPr>
              <w:t>15</w:t>
            </w:r>
            <w:r>
              <w:rPr>
                <w:noProof/>
                <w:spacing w:val="-8"/>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X(</w:t>
            </w:r>
            <w:r>
              <w:rPr>
                <w:noProof/>
                <w:spacing w:val="-8"/>
                <w:sz w:val="22"/>
                <w:vertAlign w:val="superscript"/>
              </w:rPr>
              <w:t>15</w:t>
            </w:r>
            <w:r>
              <w:rPr>
                <w:noProof/>
                <w:spacing w:val="-8"/>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rPr>
            </w:pPr>
            <w:r>
              <w:rPr>
                <w:noProof/>
                <w:spacing w:val="-8"/>
                <w:sz w:val="22"/>
              </w:rPr>
              <w:t>X(</w:t>
            </w:r>
            <w:r>
              <w:rPr>
                <w:noProof/>
                <w:spacing w:val="-8"/>
                <w:sz w:val="22"/>
                <w:vertAlign w:val="superscript"/>
              </w:rPr>
              <w:t>15</w:t>
            </w:r>
            <w:r>
              <w:rPr>
                <w:noProof/>
                <w:spacing w:val="-8"/>
                <w:sz w:val="22"/>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64</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Indicateurs de changement de vitesse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65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 avancé de freinage d’urgence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347/2012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16</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16</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16</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16</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66</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 d’avertissement de franchissement de ligne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351/2012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17</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17</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17</w:t>
            </w:r>
            <w:r>
              <w:rPr>
                <w:noProof/>
                <w:spacing w:val="-8"/>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17</w:t>
            </w:r>
            <w:r>
              <w:rPr>
                <w:noProof/>
                <w:spacing w:val="-8"/>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67</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Organes spéciaux pour l’alimentation des moteurs au gaz de pétrole liquéfié (GPL) et leur installation sur les véhicules à moteur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xml:space="preserve"> 67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lastRenderedPageBreak/>
              <w:t>68</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Systèmes d’alarme pour véhicules (SAV)</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xml:space="preserve"> 97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69</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Sécurité électrique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xml:space="preserve"> 100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70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Organes spéciaux pour l’alimentation des moteurs au GNC et leur installation sur les véhicules à moteur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xml:space="preserve"> 110 de la CEE-ONU</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pacing w:val="-8"/>
                <w:sz w:val="20"/>
                <w:szCs w:val="20"/>
              </w:rPr>
            </w:pPr>
            <w:r>
              <w:rPr>
                <w:noProof/>
                <w:spacing w:val="-8"/>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pacing w:val="-8"/>
                <w:sz w:val="20"/>
                <w:szCs w:val="20"/>
              </w:rPr>
            </w:pPr>
          </w:p>
        </w:tc>
      </w:tr>
    </w:tbl>
    <w:p>
      <w:pPr>
        <w:spacing w:before="0" w:after="0"/>
        <w:rPr>
          <w:rFonts w:eastAsia="Arial Unicode MS"/>
          <w:noProof/>
          <w:spacing w:val="-8"/>
          <w:szCs w:val="24"/>
        </w:rPr>
      </w:pPr>
      <w:r>
        <w:rPr>
          <w:rFonts w:eastAsia="Arial Unicode MS"/>
          <w:noProof/>
          <w:spacing w:val="-8"/>
          <w:szCs w:val="24"/>
        </w:rPr>
        <w:pict>
          <v:rect id="_x0000_i1036" style="width:45.35pt;height:.75pt" o:hrpct="100" o:hralign="center" o:hrstd="t" o:hrnoshade="t" o:hr="t" fillcolor="black" stroked="f"/>
        </w:pict>
      </w:r>
    </w:p>
    <w:p>
      <w:pPr>
        <w:jc w:val="center"/>
        <w:rPr>
          <w:rFonts w:eastAsia="Arial Unicode MS"/>
          <w:i/>
          <w:iCs/>
          <w:noProof/>
          <w:spacing w:val="-8"/>
          <w:szCs w:val="24"/>
        </w:rPr>
      </w:pPr>
      <w:r>
        <w:rPr>
          <w:noProof/>
          <w:spacing w:val="-8"/>
        </w:rPr>
        <w:br w:type="page"/>
      </w:r>
      <w:r>
        <w:rPr>
          <w:i/>
          <w:noProof/>
          <w:spacing w:val="-8"/>
        </w:rPr>
        <w:lastRenderedPageBreak/>
        <w:t>Appendice 3</w:t>
      </w:r>
    </w:p>
    <w:p>
      <w:pPr>
        <w:jc w:val="center"/>
        <w:rPr>
          <w:rFonts w:eastAsia="Arial Unicode MS"/>
          <w:b/>
          <w:bCs/>
          <w:noProof/>
          <w:spacing w:val="-8"/>
          <w:szCs w:val="24"/>
        </w:rPr>
      </w:pPr>
      <w:r>
        <w:rPr>
          <w:b/>
          <w:noProof/>
          <w:spacing w:val="-8"/>
        </w:rPr>
        <w:t>Véhicules accessibles en fauteuil roulant</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81"/>
        <w:gridCol w:w="4845"/>
        <w:gridCol w:w="2865"/>
        <w:gridCol w:w="510"/>
      </w:tblGrid>
      <w:tr>
        <w:trPr>
          <w:cantSplit/>
          <w:tblCellSpacing w:w="0" w:type="dxa"/>
        </w:trPr>
        <w:tc>
          <w:tcPr>
            <w:tcW w:w="0" w:type="auto"/>
            <w:hideMark/>
          </w:tcPr>
          <w:p>
            <w:pPr>
              <w:spacing w:before="60" w:after="60"/>
              <w:ind w:right="195"/>
              <w:jc w:val="center"/>
              <w:rPr>
                <w:rFonts w:eastAsia="Times New Roman"/>
                <w:b/>
                <w:bCs/>
                <w:noProof/>
                <w:spacing w:val="-8"/>
                <w:sz w:val="20"/>
                <w:szCs w:val="20"/>
              </w:rPr>
            </w:pPr>
            <w:r>
              <w:rPr>
                <w:b/>
                <w:noProof/>
                <w:spacing w:val="-8"/>
                <w:sz w:val="20"/>
              </w:rPr>
              <w:t>Élément</w:t>
            </w:r>
          </w:p>
        </w:tc>
        <w:tc>
          <w:tcPr>
            <w:tcW w:w="2701" w:type="pct"/>
            <w:hideMark/>
          </w:tcPr>
          <w:p>
            <w:pPr>
              <w:spacing w:before="60" w:after="60"/>
              <w:ind w:left="83" w:right="195"/>
              <w:jc w:val="center"/>
              <w:rPr>
                <w:rFonts w:eastAsia="Times New Roman"/>
                <w:b/>
                <w:bCs/>
                <w:noProof/>
                <w:spacing w:val="-8"/>
                <w:sz w:val="20"/>
                <w:szCs w:val="20"/>
              </w:rPr>
            </w:pPr>
            <w:r>
              <w:rPr>
                <w:b/>
                <w:noProof/>
                <w:spacing w:val="-8"/>
                <w:sz w:val="20"/>
              </w:rPr>
              <w:t>Objet</w:t>
            </w:r>
          </w:p>
        </w:tc>
        <w:tc>
          <w:tcPr>
            <w:tcW w:w="1597" w:type="pct"/>
            <w:hideMark/>
          </w:tcPr>
          <w:p>
            <w:pPr>
              <w:spacing w:before="60" w:after="60"/>
              <w:ind w:left="127" w:right="195"/>
              <w:jc w:val="center"/>
              <w:rPr>
                <w:rFonts w:eastAsia="Times New Roman"/>
                <w:b/>
                <w:bCs/>
                <w:noProof/>
                <w:spacing w:val="-8"/>
                <w:sz w:val="20"/>
                <w:szCs w:val="20"/>
              </w:rPr>
            </w:pPr>
            <w:r>
              <w:rPr>
                <w:b/>
                <w:noProof/>
                <w:spacing w:val="-8"/>
                <w:sz w:val="20"/>
              </w:rPr>
              <w:t>Acte réglementaire</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M</w:t>
            </w:r>
            <w:r>
              <w:rPr>
                <w:b/>
                <w:noProof/>
                <w:spacing w:val="-8"/>
                <w:sz w:val="20"/>
                <w:vertAlign w:val="subscript"/>
              </w:rPr>
              <w:t>1</w:t>
            </w:r>
          </w:p>
        </w:tc>
      </w:tr>
      <w:tr>
        <w:trPr>
          <w:cantSplit/>
          <w:tblCellSpacing w:w="0" w:type="dxa"/>
        </w:trPr>
        <w:tc>
          <w:tcPr>
            <w:tcW w:w="0" w:type="auto"/>
          </w:tcPr>
          <w:p>
            <w:pPr>
              <w:spacing w:before="60" w:after="60"/>
              <w:jc w:val="center"/>
              <w:rPr>
                <w:rFonts w:eastAsia="Times New Roman"/>
                <w:noProof/>
                <w:spacing w:val="-8"/>
                <w:sz w:val="20"/>
                <w:szCs w:val="20"/>
              </w:rPr>
            </w:pPr>
            <w:r>
              <w:rPr>
                <w:noProof/>
                <w:spacing w:val="-8"/>
                <w:sz w:val="20"/>
                <w:szCs w:val="20"/>
              </w:rPr>
              <w:t>1A</w:t>
            </w:r>
          </w:p>
        </w:tc>
        <w:tc>
          <w:tcPr>
            <w:tcW w:w="2701" w:type="pct"/>
          </w:tcPr>
          <w:p>
            <w:pPr>
              <w:spacing w:before="60" w:after="60"/>
              <w:ind w:left="83"/>
              <w:jc w:val="left"/>
              <w:rPr>
                <w:rFonts w:eastAsia="Times New Roman"/>
                <w:noProof/>
                <w:spacing w:val="-8"/>
                <w:sz w:val="20"/>
                <w:szCs w:val="20"/>
              </w:rPr>
            </w:pPr>
            <w:r>
              <w:rPr>
                <w:noProof/>
                <w:spacing w:val="-8"/>
                <w:sz w:val="20"/>
                <w:szCs w:val="20"/>
              </w:rPr>
              <w:t>Niveau sonore</w:t>
            </w:r>
          </w:p>
        </w:tc>
        <w:tc>
          <w:tcPr>
            <w:tcW w:w="1597" w:type="pct"/>
          </w:tcPr>
          <w:p>
            <w:pPr>
              <w:spacing w:before="60" w:after="60"/>
              <w:ind w:left="127"/>
              <w:jc w:val="left"/>
              <w:rPr>
                <w:rFonts w:eastAsia="Times New Roman"/>
                <w:noProof/>
                <w:spacing w:val="-8"/>
                <w:sz w:val="20"/>
                <w:szCs w:val="20"/>
              </w:rPr>
            </w:pPr>
            <w:r>
              <w:rPr>
                <w:noProof/>
                <w:spacing w:val="-8"/>
                <w:sz w:val="20"/>
                <w:szCs w:val="20"/>
              </w:rPr>
              <w:t>Règlement (UE) n</w:t>
            </w:r>
            <w:r>
              <w:rPr>
                <w:noProof/>
                <w:spacing w:val="-8"/>
                <w:sz w:val="20"/>
                <w:szCs w:val="20"/>
                <w:vertAlign w:val="superscript"/>
              </w:rPr>
              <w:t>o</w:t>
            </w:r>
            <w:r>
              <w:rPr>
                <w:noProof/>
                <w:spacing w:val="-8"/>
                <w:sz w:val="20"/>
                <w:szCs w:val="20"/>
              </w:rPr>
              <w:t> 540/2014</w:t>
            </w:r>
          </w:p>
        </w:tc>
        <w:tc>
          <w:tcPr>
            <w:tcW w:w="0" w:type="auto"/>
          </w:tcPr>
          <w:p>
            <w:pPr>
              <w:spacing w:before="60" w:after="60"/>
              <w:jc w:val="center"/>
              <w:rPr>
                <w:rFonts w:eastAsia="Times New Roman"/>
                <w:noProof/>
                <w:spacing w:val="-8"/>
                <w:sz w:val="20"/>
                <w:szCs w:val="20"/>
              </w:rPr>
            </w:pPr>
            <w:r>
              <w:rPr>
                <w:noProof/>
                <w:spacing w:val="-8"/>
                <w:sz w:val="20"/>
                <w:szCs w:val="20"/>
              </w:rPr>
              <w:t>G+W</w:t>
            </w:r>
            <w:r>
              <w:rPr>
                <w:noProof/>
                <w:spacing w:val="-8"/>
                <w:sz w:val="20"/>
                <w:szCs w:val="20"/>
                <w:vertAlign w:val="subscript"/>
              </w:rPr>
              <w:t>9</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w:t>
            </w:r>
          </w:p>
        </w:tc>
        <w:tc>
          <w:tcPr>
            <w:tcW w:w="2701" w:type="pct"/>
            <w:hideMark/>
          </w:tcPr>
          <w:p>
            <w:pPr>
              <w:spacing w:before="60" w:after="60"/>
              <w:ind w:left="83"/>
              <w:jc w:val="left"/>
              <w:rPr>
                <w:rFonts w:eastAsia="Times New Roman"/>
                <w:noProof/>
                <w:spacing w:val="-8"/>
                <w:sz w:val="20"/>
                <w:szCs w:val="20"/>
              </w:rPr>
            </w:pPr>
            <w:r>
              <w:rPr>
                <w:noProof/>
                <w:spacing w:val="-8"/>
                <w:sz w:val="20"/>
              </w:rPr>
              <w:t>Émissions des véhicules légers (Euro 5 et 6) / accès aux informations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715/2007</w:t>
            </w:r>
          </w:p>
        </w:tc>
        <w:tc>
          <w:tcPr>
            <w:tcW w:w="0" w:type="auto"/>
            <w:hideMark/>
          </w:tcPr>
          <w:p>
            <w:pPr>
              <w:spacing w:before="60" w:after="60"/>
              <w:jc w:val="center"/>
              <w:rPr>
                <w:rFonts w:eastAsia="Times New Roman"/>
                <w:noProof/>
                <w:spacing w:val="-8"/>
                <w:sz w:val="20"/>
                <w:szCs w:val="20"/>
              </w:rPr>
            </w:pPr>
            <w:r>
              <w:rPr>
                <w:noProof/>
                <w:spacing w:val="-8"/>
                <w:sz w:val="20"/>
              </w:rPr>
              <w:t>G+W</w:t>
            </w:r>
            <w:r>
              <w:rPr>
                <w:noProof/>
                <w:spacing w:val="-8"/>
                <w:sz w:val="20"/>
                <w:vertAlign w:val="subscript"/>
              </w:rPr>
              <w:t>1</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3A</w:t>
            </w:r>
          </w:p>
        </w:tc>
        <w:tc>
          <w:tcPr>
            <w:tcW w:w="2701" w:type="pct"/>
            <w:hideMark/>
          </w:tcPr>
          <w:p>
            <w:pPr>
              <w:spacing w:before="60" w:after="60"/>
              <w:ind w:left="83"/>
              <w:jc w:val="left"/>
              <w:rPr>
                <w:rFonts w:eastAsia="Times New Roman"/>
                <w:noProof/>
                <w:spacing w:val="-8"/>
                <w:sz w:val="20"/>
                <w:szCs w:val="20"/>
              </w:rPr>
            </w:pPr>
            <w:r>
              <w:rPr>
                <w:noProof/>
                <w:spacing w:val="-8"/>
                <w:sz w:val="20"/>
              </w:rPr>
              <w:t>Prévention des risques d’incendie (réservoirs de carburant liquide)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34 de la CEE-ONU</w:t>
            </w:r>
          </w:p>
        </w:tc>
        <w:tc>
          <w:tcPr>
            <w:tcW w:w="0" w:type="auto"/>
            <w:hideMark/>
          </w:tcPr>
          <w:p>
            <w:pPr>
              <w:spacing w:before="60" w:after="60"/>
              <w:jc w:val="center"/>
              <w:rPr>
                <w:rFonts w:eastAsia="Times New Roman"/>
                <w:noProof/>
                <w:spacing w:val="-8"/>
                <w:sz w:val="20"/>
                <w:szCs w:val="20"/>
              </w:rPr>
            </w:pPr>
            <w:r>
              <w:rPr>
                <w:noProof/>
                <w:spacing w:val="-8"/>
                <w:sz w:val="20"/>
              </w:rPr>
              <w:t>X+W</w:t>
            </w:r>
            <w:r>
              <w:rPr>
                <w:noProof/>
                <w:spacing w:val="-8"/>
                <w:sz w:val="20"/>
                <w:vertAlign w:val="subscript"/>
              </w:rPr>
              <w:t>2</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3B</w:t>
            </w:r>
          </w:p>
        </w:tc>
        <w:tc>
          <w:tcPr>
            <w:tcW w:w="2701" w:type="pct"/>
            <w:hideMark/>
          </w:tcPr>
          <w:p>
            <w:pPr>
              <w:spacing w:before="60" w:after="60"/>
              <w:ind w:left="83"/>
              <w:jc w:val="left"/>
              <w:rPr>
                <w:rFonts w:eastAsia="Times New Roman"/>
                <w:noProof/>
                <w:spacing w:val="-8"/>
                <w:sz w:val="20"/>
                <w:szCs w:val="20"/>
              </w:rPr>
            </w:pPr>
            <w:r>
              <w:rPr>
                <w:noProof/>
                <w:spacing w:val="-8"/>
                <w:sz w:val="20"/>
              </w:rPr>
              <w:t>Dispositifs arrière de protection anti-encastrement et leur montage; protection contre l’encastrement à l’arrière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4A</w:t>
            </w:r>
          </w:p>
        </w:tc>
        <w:tc>
          <w:tcPr>
            <w:tcW w:w="2701" w:type="pct"/>
            <w:hideMark/>
          </w:tcPr>
          <w:p>
            <w:pPr>
              <w:spacing w:before="60" w:after="60"/>
              <w:ind w:left="83"/>
              <w:jc w:val="left"/>
              <w:rPr>
                <w:rFonts w:eastAsia="Times New Roman"/>
                <w:noProof/>
                <w:spacing w:val="-8"/>
                <w:sz w:val="20"/>
                <w:szCs w:val="20"/>
              </w:rPr>
            </w:pPr>
            <w:r>
              <w:rPr>
                <w:noProof/>
                <w:spacing w:val="-8"/>
                <w:sz w:val="20"/>
              </w:rPr>
              <w:t>Emplacement pour le montage et la fixation des plaques d’immatriculation arrière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1003/2010</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5A</w:t>
            </w:r>
          </w:p>
        </w:tc>
        <w:tc>
          <w:tcPr>
            <w:tcW w:w="2701" w:type="pct"/>
            <w:hideMark/>
          </w:tcPr>
          <w:p>
            <w:pPr>
              <w:spacing w:before="60" w:after="60"/>
              <w:ind w:left="83"/>
              <w:jc w:val="left"/>
              <w:rPr>
                <w:rFonts w:eastAsia="Times New Roman"/>
                <w:noProof/>
                <w:spacing w:val="-8"/>
                <w:sz w:val="20"/>
                <w:szCs w:val="20"/>
              </w:rPr>
            </w:pPr>
            <w:r>
              <w:rPr>
                <w:noProof/>
                <w:spacing w:val="-8"/>
                <w:sz w:val="20"/>
              </w:rPr>
              <w:t>Équipement de direction</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xml:space="preserve"> 79 de la CEE-ONU</w:t>
            </w:r>
          </w:p>
        </w:tc>
        <w:tc>
          <w:tcPr>
            <w:tcW w:w="0" w:type="auto"/>
            <w:hideMark/>
          </w:tcPr>
          <w:p>
            <w:pPr>
              <w:spacing w:before="60" w:after="60"/>
              <w:jc w:val="center"/>
              <w:rPr>
                <w:rFonts w:eastAsia="Times New Roman"/>
                <w:noProof/>
                <w:spacing w:val="-8"/>
                <w:sz w:val="20"/>
                <w:szCs w:val="20"/>
              </w:rPr>
            </w:pPr>
            <w:r>
              <w:rPr>
                <w:noProof/>
                <w:spacing w:val="-8"/>
                <w:sz w:val="20"/>
              </w:rPr>
              <w:t>G</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6A</w:t>
            </w:r>
          </w:p>
        </w:tc>
        <w:tc>
          <w:tcPr>
            <w:tcW w:w="2701" w:type="pct"/>
            <w:hideMark/>
          </w:tcPr>
          <w:p>
            <w:pPr>
              <w:spacing w:before="60" w:after="60"/>
              <w:ind w:left="83"/>
              <w:jc w:val="left"/>
              <w:rPr>
                <w:rFonts w:eastAsia="Times New Roman"/>
                <w:noProof/>
                <w:spacing w:val="-8"/>
                <w:sz w:val="20"/>
                <w:szCs w:val="20"/>
              </w:rPr>
            </w:pPr>
            <w:r>
              <w:rPr>
                <w:noProof/>
                <w:spacing w:val="-8"/>
                <w:sz w:val="20"/>
              </w:rPr>
              <w:t>Accès au véhicule et manœuvrabilité</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6B</w:t>
            </w:r>
          </w:p>
        </w:tc>
        <w:tc>
          <w:tcPr>
            <w:tcW w:w="2701" w:type="pct"/>
            <w:hideMark/>
          </w:tcPr>
          <w:p>
            <w:pPr>
              <w:spacing w:before="60" w:after="60"/>
              <w:ind w:left="83"/>
              <w:jc w:val="left"/>
              <w:rPr>
                <w:rFonts w:eastAsia="Times New Roman"/>
                <w:noProof/>
                <w:spacing w:val="-8"/>
                <w:sz w:val="20"/>
                <w:szCs w:val="20"/>
              </w:rPr>
            </w:pPr>
            <w:r>
              <w:rPr>
                <w:noProof/>
                <w:spacing w:val="-8"/>
                <w:sz w:val="20"/>
              </w:rPr>
              <w:t>Serrures et organes de fixation des portes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7A</w:t>
            </w:r>
          </w:p>
        </w:tc>
        <w:tc>
          <w:tcPr>
            <w:tcW w:w="2701" w:type="pct"/>
            <w:hideMark/>
          </w:tcPr>
          <w:p>
            <w:pPr>
              <w:spacing w:before="60" w:after="60"/>
              <w:ind w:left="83"/>
              <w:jc w:val="left"/>
              <w:rPr>
                <w:rFonts w:eastAsia="Times New Roman"/>
                <w:noProof/>
                <w:spacing w:val="-8"/>
                <w:sz w:val="20"/>
                <w:szCs w:val="20"/>
              </w:rPr>
            </w:pPr>
            <w:r>
              <w:rPr>
                <w:noProof/>
                <w:spacing w:val="-8"/>
                <w:sz w:val="20"/>
              </w:rPr>
              <w:t>Avertisseurs sonores et signalisation sonore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8A</w:t>
            </w:r>
          </w:p>
        </w:tc>
        <w:tc>
          <w:tcPr>
            <w:tcW w:w="2701" w:type="pct"/>
            <w:hideMark/>
          </w:tcPr>
          <w:p>
            <w:pPr>
              <w:spacing w:before="60" w:after="60"/>
              <w:ind w:left="83"/>
              <w:jc w:val="left"/>
              <w:rPr>
                <w:rFonts w:eastAsia="Times New Roman"/>
                <w:noProof/>
                <w:spacing w:val="-8"/>
                <w:sz w:val="20"/>
                <w:szCs w:val="20"/>
              </w:rPr>
            </w:pPr>
            <w:r>
              <w:rPr>
                <w:noProof/>
                <w:spacing w:val="-8"/>
                <w:sz w:val="20"/>
              </w:rPr>
              <w:t>Systèmes de vision indirecte et leur montage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46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9B</w:t>
            </w:r>
          </w:p>
        </w:tc>
        <w:tc>
          <w:tcPr>
            <w:tcW w:w="2701" w:type="pct"/>
            <w:hideMark/>
          </w:tcPr>
          <w:p>
            <w:pPr>
              <w:spacing w:before="60" w:after="60"/>
              <w:ind w:left="83"/>
              <w:jc w:val="left"/>
              <w:rPr>
                <w:rFonts w:eastAsia="Times New Roman"/>
                <w:noProof/>
                <w:spacing w:val="-8"/>
                <w:sz w:val="20"/>
                <w:szCs w:val="20"/>
              </w:rPr>
            </w:pPr>
            <w:r>
              <w:rPr>
                <w:noProof/>
                <w:spacing w:val="-8"/>
                <w:sz w:val="20"/>
              </w:rPr>
              <w:t>Freinage des voitures particulières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13-H de la CEE-ONU</w:t>
            </w:r>
          </w:p>
        </w:tc>
        <w:tc>
          <w:tcPr>
            <w:tcW w:w="0" w:type="auto"/>
            <w:hideMark/>
          </w:tcPr>
          <w:p>
            <w:pPr>
              <w:spacing w:before="60" w:after="60"/>
              <w:jc w:val="center"/>
              <w:rPr>
                <w:rFonts w:eastAsia="Times New Roman"/>
                <w:noProof/>
                <w:spacing w:val="-8"/>
                <w:sz w:val="20"/>
                <w:szCs w:val="20"/>
              </w:rPr>
            </w:pPr>
            <w:r>
              <w:rPr>
                <w:noProof/>
                <w:spacing w:val="-8"/>
                <w:sz w:val="20"/>
              </w:rPr>
              <w:t>G+A</w:t>
            </w:r>
            <w:r>
              <w:rPr>
                <w:noProof/>
                <w:spacing w:val="-8"/>
                <w:sz w:val="20"/>
                <w:vertAlign w:val="subscript"/>
              </w:rPr>
              <w:t>1</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10A</w:t>
            </w:r>
          </w:p>
        </w:tc>
        <w:tc>
          <w:tcPr>
            <w:tcW w:w="2701" w:type="pct"/>
            <w:hideMark/>
          </w:tcPr>
          <w:p>
            <w:pPr>
              <w:spacing w:before="60" w:after="60"/>
              <w:ind w:left="83"/>
              <w:jc w:val="left"/>
              <w:rPr>
                <w:rFonts w:eastAsia="Times New Roman"/>
                <w:noProof/>
                <w:spacing w:val="-8"/>
                <w:sz w:val="20"/>
                <w:szCs w:val="20"/>
              </w:rPr>
            </w:pPr>
            <w:r>
              <w:rPr>
                <w:noProof/>
                <w:spacing w:val="-8"/>
                <w:sz w:val="20"/>
              </w:rPr>
              <w:t>Compatibilité électromagnétique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10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12A</w:t>
            </w:r>
          </w:p>
        </w:tc>
        <w:tc>
          <w:tcPr>
            <w:tcW w:w="2701" w:type="pct"/>
            <w:hideMark/>
          </w:tcPr>
          <w:p>
            <w:pPr>
              <w:spacing w:before="60" w:after="60"/>
              <w:ind w:left="83"/>
              <w:jc w:val="left"/>
              <w:rPr>
                <w:rFonts w:eastAsia="Times New Roman"/>
                <w:noProof/>
                <w:spacing w:val="-8"/>
                <w:sz w:val="20"/>
                <w:szCs w:val="20"/>
              </w:rPr>
            </w:pPr>
            <w:r>
              <w:rPr>
                <w:noProof/>
                <w:spacing w:val="-8"/>
                <w:sz w:val="20"/>
              </w:rPr>
              <w:t>Aménagements intérieurs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21 de la CEE-ONU</w:t>
            </w:r>
          </w:p>
        </w:tc>
        <w:tc>
          <w:tcPr>
            <w:tcW w:w="0" w:type="auto"/>
            <w:hideMark/>
          </w:tcPr>
          <w:p>
            <w:pPr>
              <w:spacing w:before="60" w:after="60"/>
              <w:jc w:val="center"/>
              <w:rPr>
                <w:rFonts w:eastAsia="Times New Roman"/>
                <w:noProof/>
                <w:spacing w:val="-8"/>
                <w:sz w:val="20"/>
                <w:szCs w:val="20"/>
              </w:rPr>
            </w:pPr>
            <w:r>
              <w:rPr>
                <w:noProof/>
                <w:spacing w:val="-8"/>
                <w:sz w:val="20"/>
              </w:rPr>
              <w:t>G+C</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13B</w:t>
            </w:r>
          </w:p>
        </w:tc>
        <w:tc>
          <w:tcPr>
            <w:tcW w:w="2701" w:type="pct"/>
            <w:hideMark/>
          </w:tcPr>
          <w:p>
            <w:pPr>
              <w:spacing w:before="60" w:after="60"/>
              <w:ind w:left="83"/>
              <w:jc w:val="left"/>
              <w:rPr>
                <w:rFonts w:eastAsia="Times New Roman"/>
                <w:noProof/>
                <w:spacing w:val="-8"/>
                <w:sz w:val="20"/>
                <w:szCs w:val="20"/>
              </w:rPr>
            </w:pPr>
            <w:r>
              <w:rPr>
                <w:noProof/>
                <w:spacing w:val="-8"/>
                <w:sz w:val="20"/>
              </w:rPr>
              <w:t>Protection des véhicules à moteur contre une utilisation non autorisée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116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14A</w:t>
            </w:r>
          </w:p>
        </w:tc>
        <w:tc>
          <w:tcPr>
            <w:tcW w:w="2701" w:type="pct"/>
            <w:hideMark/>
          </w:tcPr>
          <w:p>
            <w:pPr>
              <w:spacing w:before="60" w:after="60"/>
              <w:ind w:left="83"/>
              <w:jc w:val="left"/>
              <w:rPr>
                <w:rFonts w:eastAsia="Times New Roman"/>
                <w:noProof/>
                <w:spacing w:val="-8"/>
                <w:sz w:val="20"/>
                <w:szCs w:val="20"/>
              </w:rPr>
            </w:pPr>
            <w:r>
              <w:rPr>
                <w:noProof/>
                <w:spacing w:val="-8"/>
                <w:sz w:val="20"/>
              </w:rPr>
              <w:t>Protection du conducteur contre le dispositif de conduite en cas de choc</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 de la CEE-ONU</w:t>
            </w:r>
          </w:p>
        </w:tc>
        <w:tc>
          <w:tcPr>
            <w:tcW w:w="0" w:type="auto"/>
            <w:hideMark/>
          </w:tcPr>
          <w:p>
            <w:pPr>
              <w:spacing w:before="60" w:after="60"/>
              <w:jc w:val="center"/>
              <w:rPr>
                <w:rFonts w:eastAsia="Times New Roman"/>
                <w:noProof/>
                <w:spacing w:val="-8"/>
                <w:sz w:val="20"/>
                <w:szCs w:val="20"/>
              </w:rPr>
            </w:pPr>
            <w:r>
              <w:rPr>
                <w:noProof/>
                <w:spacing w:val="-8"/>
                <w:sz w:val="20"/>
              </w:rPr>
              <w:t>G</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15A</w:t>
            </w:r>
          </w:p>
        </w:tc>
        <w:tc>
          <w:tcPr>
            <w:tcW w:w="2701" w:type="pct"/>
            <w:hideMark/>
          </w:tcPr>
          <w:p>
            <w:pPr>
              <w:spacing w:before="60" w:after="60"/>
              <w:ind w:left="83"/>
              <w:jc w:val="left"/>
              <w:rPr>
                <w:rFonts w:eastAsia="Times New Roman"/>
                <w:noProof/>
                <w:spacing w:val="-8"/>
                <w:sz w:val="20"/>
                <w:szCs w:val="20"/>
              </w:rPr>
            </w:pPr>
            <w:r>
              <w:rPr>
                <w:noProof/>
                <w:spacing w:val="-8"/>
                <w:sz w:val="20"/>
              </w:rPr>
              <w:t>Sièges, leurs ancrages et appuie-tête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17 de la CEE-ONU</w:t>
            </w:r>
          </w:p>
        </w:tc>
        <w:tc>
          <w:tcPr>
            <w:tcW w:w="0" w:type="auto"/>
            <w:hideMark/>
          </w:tcPr>
          <w:p>
            <w:pPr>
              <w:spacing w:before="60" w:after="60"/>
              <w:jc w:val="center"/>
              <w:rPr>
                <w:rFonts w:eastAsia="Times New Roman"/>
                <w:noProof/>
                <w:spacing w:val="-8"/>
                <w:sz w:val="20"/>
                <w:szCs w:val="20"/>
              </w:rPr>
            </w:pPr>
            <w:r>
              <w:rPr>
                <w:noProof/>
                <w:spacing w:val="-8"/>
                <w:sz w:val="20"/>
              </w:rPr>
              <w:t>G+W</w:t>
            </w:r>
            <w:r>
              <w:rPr>
                <w:noProof/>
                <w:spacing w:val="-8"/>
                <w:sz w:val="20"/>
                <w:vertAlign w:val="subscript"/>
              </w:rPr>
              <w:t>3</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16A</w:t>
            </w:r>
          </w:p>
        </w:tc>
        <w:tc>
          <w:tcPr>
            <w:tcW w:w="2701" w:type="pct"/>
            <w:hideMark/>
          </w:tcPr>
          <w:p>
            <w:pPr>
              <w:spacing w:before="60" w:after="60"/>
              <w:ind w:left="83"/>
              <w:jc w:val="left"/>
              <w:rPr>
                <w:rFonts w:eastAsia="Times New Roman"/>
                <w:noProof/>
                <w:spacing w:val="-8"/>
                <w:sz w:val="20"/>
                <w:szCs w:val="20"/>
              </w:rPr>
            </w:pPr>
            <w:r>
              <w:rPr>
                <w:noProof/>
                <w:spacing w:val="-8"/>
                <w:sz w:val="20"/>
              </w:rPr>
              <w:t>Saillies extérieures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26 de la CEE-ONU</w:t>
            </w:r>
          </w:p>
        </w:tc>
        <w:tc>
          <w:tcPr>
            <w:tcW w:w="0" w:type="auto"/>
            <w:hideMark/>
          </w:tcPr>
          <w:p>
            <w:pPr>
              <w:spacing w:before="60" w:after="60"/>
              <w:jc w:val="center"/>
              <w:rPr>
                <w:rFonts w:eastAsia="Times New Roman"/>
                <w:noProof/>
                <w:spacing w:val="-8"/>
                <w:sz w:val="20"/>
                <w:szCs w:val="20"/>
              </w:rPr>
            </w:pPr>
            <w:r>
              <w:rPr>
                <w:noProof/>
                <w:spacing w:val="-8"/>
                <w:sz w:val="20"/>
              </w:rPr>
              <w:t>G+W</w:t>
            </w:r>
            <w:r>
              <w:rPr>
                <w:noProof/>
                <w:spacing w:val="-8"/>
                <w:sz w:val="20"/>
                <w:vertAlign w:val="subscript"/>
              </w:rPr>
              <w:t>4</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17A</w:t>
            </w:r>
          </w:p>
        </w:tc>
        <w:tc>
          <w:tcPr>
            <w:tcW w:w="2701" w:type="pct"/>
            <w:hideMark/>
          </w:tcPr>
          <w:p>
            <w:pPr>
              <w:spacing w:before="60" w:after="60"/>
              <w:ind w:left="83"/>
              <w:jc w:val="left"/>
              <w:rPr>
                <w:rFonts w:eastAsia="Times New Roman"/>
                <w:noProof/>
                <w:spacing w:val="-8"/>
                <w:sz w:val="20"/>
                <w:szCs w:val="20"/>
              </w:rPr>
            </w:pPr>
            <w:r>
              <w:rPr>
                <w:noProof/>
                <w:spacing w:val="-8"/>
                <w:sz w:val="20"/>
              </w:rPr>
              <w:t>Accès au véhicule et manœuvrabilité</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17B</w:t>
            </w:r>
          </w:p>
        </w:tc>
        <w:tc>
          <w:tcPr>
            <w:tcW w:w="2701" w:type="pct"/>
            <w:hideMark/>
          </w:tcPr>
          <w:p>
            <w:pPr>
              <w:spacing w:before="60" w:after="60"/>
              <w:ind w:left="83"/>
              <w:jc w:val="left"/>
              <w:rPr>
                <w:rFonts w:eastAsia="Times New Roman"/>
                <w:noProof/>
                <w:spacing w:val="-8"/>
                <w:sz w:val="20"/>
                <w:szCs w:val="20"/>
              </w:rPr>
            </w:pPr>
            <w:r>
              <w:rPr>
                <w:noProof/>
                <w:spacing w:val="-8"/>
                <w:sz w:val="20"/>
              </w:rPr>
              <w:t>Appareil indicateur de vitesse, y compris son installation</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18A</w:t>
            </w:r>
          </w:p>
        </w:tc>
        <w:tc>
          <w:tcPr>
            <w:tcW w:w="2701" w:type="pct"/>
            <w:hideMark/>
          </w:tcPr>
          <w:p>
            <w:pPr>
              <w:spacing w:before="60" w:after="60"/>
              <w:ind w:left="83"/>
              <w:jc w:val="left"/>
              <w:rPr>
                <w:rFonts w:eastAsia="Times New Roman"/>
                <w:noProof/>
                <w:spacing w:val="-8"/>
                <w:sz w:val="20"/>
                <w:szCs w:val="20"/>
              </w:rPr>
            </w:pPr>
            <w:r>
              <w:rPr>
                <w:noProof/>
                <w:spacing w:val="-8"/>
                <w:sz w:val="20"/>
              </w:rPr>
              <w:t>Plaque réglementaire du constructeur et numéro d’identification du véhicule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19/2011</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19A</w:t>
            </w:r>
          </w:p>
        </w:tc>
        <w:tc>
          <w:tcPr>
            <w:tcW w:w="2701" w:type="pct"/>
            <w:hideMark/>
          </w:tcPr>
          <w:p>
            <w:pPr>
              <w:spacing w:before="60" w:after="60"/>
              <w:ind w:left="83"/>
              <w:jc w:val="left"/>
              <w:rPr>
                <w:rFonts w:eastAsia="Times New Roman"/>
                <w:noProof/>
                <w:spacing w:val="-8"/>
                <w:sz w:val="20"/>
                <w:szCs w:val="20"/>
              </w:rPr>
            </w:pPr>
            <w:r>
              <w:rPr>
                <w:noProof/>
                <w:spacing w:val="-8"/>
                <w:sz w:val="20"/>
              </w:rPr>
              <w:t>Ancrages de ceintures de sécurité, systèmes d’ancrage Isofix et ancrages pour fixation supérieure Isofix</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14 de la CEE-ONU</w:t>
            </w:r>
          </w:p>
        </w:tc>
        <w:tc>
          <w:tcPr>
            <w:tcW w:w="0" w:type="auto"/>
            <w:hideMark/>
          </w:tcPr>
          <w:p>
            <w:pPr>
              <w:spacing w:before="60" w:after="60"/>
              <w:jc w:val="center"/>
              <w:rPr>
                <w:rFonts w:eastAsia="Times New Roman"/>
                <w:noProof/>
                <w:spacing w:val="-8"/>
                <w:sz w:val="20"/>
                <w:szCs w:val="20"/>
              </w:rPr>
            </w:pPr>
            <w:r>
              <w:rPr>
                <w:noProof/>
                <w:spacing w:val="-8"/>
                <w:sz w:val="20"/>
              </w:rPr>
              <w:t>X+W</w:t>
            </w:r>
            <w:r>
              <w:rPr>
                <w:noProof/>
                <w:spacing w:val="-8"/>
                <w:sz w:val="20"/>
                <w:vertAlign w:val="subscript"/>
              </w:rPr>
              <w:t>5</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20A</w:t>
            </w:r>
          </w:p>
        </w:tc>
        <w:tc>
          <w:tcPr>
            <w:tcW w:w="2701" w:type="pct"/>
            <w:hideMark/>
          </w:tcPr>
          <w:p>
            <w:pPr>
              <w:spacing w:before="60" w:after="60"/>
              <w:ind w:left="83"/>
              <w:jc w:val="left"/>
              <w:rPr>
                <w:rFonts w:eastAsia="Times New Roman"/>
                <w:noProof/>
                <w:spacing w:val="-8"/>
                <w:sz w:val="20"/>
                <w:szCs w:val="20"/>
              </w:rPr>
            </w:pPr>
            <w:r>
              <w:rPr>
                <w:noProof/>
                <w:spacing w:val="-8"/>
                <w:sz w:val="20"/>
              </w:rPr>
              <w:t>Installation des dispositifs d’éclairage et de signalisation lumineuse sur les véhicules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21A</w:t>
            </w:r>
          </w:p>
        </w:tc>
        <w:tc>
          <w:tcPr>
            <w:tcW w:w="2701" w:type="pct"/>
            <w:hideMark/>
          </w:tcPr>
          <w:p>
            <w:pPr>
              <w:spacing w:before="60" w:after="60"/>
              <w:ind w:left="83"/>
              <w:jc w:val="left"/>
              <w:rPr>
                <w:rFonts w:eastAsia="Times New Roman"/>
                <w:noProof/>
                <w:spacing w:val="-8"/>
                <w:sz w:val="20"/>
                <w:szCs w:val="20"/>
              </w:rPr>
            </w:pPr>
            <w:r>
              <w:rPr>
                <w:noProof/>
                <w:spacing w:val="-8"/>
                <w:sz w:val="20"/>
              </w:rPr>
              <w:t>Dispositifs catadioptriques pour les véhicules à moteur et leurs remorques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22A</w:t>
            </w:r>
          </w:p>
        </w:tc>
        <w:tc>
          <w:tcPr>
            <w:tcW w:w="2701" w:type="pct"/>
            <w:hideMark/>
          </w:tcPr>
          <w:p>
            <w:pPr>
              <w:spacing w:before="60" w:after="60"/>
              <w:ind w:left="83"/>
              <w:jc w:val="left"/>
              <w:rPr>
                <w:rFonts w:eastAsia="Times New Roman"/>
                <w:noProof/>
                <w:spacing w:val="-8"/>
                <w:sz w:val="20"/>
                <w:szCs w:val="20"/>
              </w:rPr>
            </w:pPr>
            <w:r>
              <w:rPr>
                <w:noProof/>
                <w:spacing w:val="-8"/>
                <w:sz w:val="20"/>
              </w:rPr>
              <w:t>Feux de position avant et arrière, feux stop et feux d’encombrement pour les véhicules à moteur et leurs remorques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22B</w:t>
            </w:r>
          </w:p>
        </w:tc>
        <w:tc>
          <w:tcPr>
            <w:tcW w:w="2701" w:type="pct"/>
            <w:hideMark/>
          </w:tcPr>
          <w:p>
            <w:pPr>
              <w:spacing w:before="60" w:after="60"/>
              <w:ind w:left="83"/>
              <w:jc w:val="left"/>
              <w:rPr>
                <w:rFonts w:eastAsia="Times New Roman"/>
                <w:noProof/>
                <w:spacing w:val="-8"/>
                <w:sz w:val="20"/>
                <w:szCs w:val="20"/>
              </w:rPr>
            </w:pPr>
            <w:r>
              <w:rPr>
                <w:noProof/>
                <w:spacing w:val="-8"/>
                <w:sz w:val="20"/>
              </w:rPr>
              <w:t>Feux de circulation diurne pour les véhicules à moteur</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87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22C</w:t>
            </w:r>
          </w:p>
        </w:tc>
        <w:tc>
          <w:tcPr>
            <w:tcW w:w="2701" w:type="pct"/>
            <w:hideMark/>
          </w:tcPr>
          <w:p>
            <w:pPr>
              <w:spacing w:before="60" w:after="60"/>
              <w:ind w:left="83"/>
              <w:jc w:val="left"/>
              <w:rPr>
                <w:rFonts w:eastAsia="Times New Roman"/>
                <w:noProof/>
                <w:spacing w:val="-8"/>
                <w:sz w:val="20"/>
                <w:szCs w:val="20"/>
              </w:rPr>
            </w:pPr>
            <w:r>
              <w:rPr>
                <w:noProof/>
                <w:spacing w:val="-8"/>
                <w:sz w:val="20"/>
              </w:rPr>
              <w:t>Feux de position latéraux pour les véhicules à moteur et leurs remorques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91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23A</w:t>
            </w:r>
          </w:p>
        </w:tc>
        <w:tc>
          <w:tcPr>
            <w:tcW w:w="2701" w:type="pct"/>
            <w:hideMark/>
          </w:tcPr>
          <w:p>
            <w:pPr>
              <w:spacing w:before="60" w:after="60"/>
              <w:ind w:left="83"/>
              <w:jc w:val="left"/>
              <w:rPr>
                <w:rFonts w:eastAsia="Times New Roman"/>
                <w:noProof/>
                <w:spacing w:val="-8"/>
                <w:sz w:val="20"/>
                <w:szCs w:val="20"/>
              </w:rPr>
            </w:pPr>
            <w:r>
              <w:rPr>
                <w:noProof/>
                <w:spacing w:val="-8"/>
                <w:sz w:val="20"/>
              </w:rPr>
              <w:t>Feux indicateurs de direction pour les véhicules à moteur et leurs remorques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6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24A</w:t>
            </w:r>
          </w:p>
        </w:tc>
        <w:tc>
          <w:tcPr>
            <w:tcW w:w="2701" w:type="pct"/>
            <w:hideMark/>
          </w:tcPr>
          <w:p>
            <w:pPr>
              <w:spacing w:before="60" w:after="60"/>
              <w:ind w:left="83"/>
              <w:jc w:val="left"/>
              <w:rPr>
                <w:rFonts w:eastAsia="Times New Roman"/>
                <w:noProof/>
                <w:spacing w:val="-8"/>
                <w:sz w:val="20"/>
                <w:szCs w:val="20"/>
              </w:rPr>
            </w:pPr>
            <w:r>
              <w:rPr>
                <w:noProof/>
                <w:spacing w:val="-8"/>
                <w:sz w:val="20"/>
              </w:rPr>
              <w:t>Dispositifs d’éclairage de la plaque d’immatriculation arrière des véhicules à moteur et de leurs remorques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25A</w:t>
            </w:r>
          </w:p>
        </w:tc>
        <w:tc>
          <w:tcPr>
            <w:tcW w:w="2701" w:type="pct"/>
            <w:hideMark/>
          </w:tcPr>
          <w:p>
            <w:pPr>
              <w:spacing w:before="60" w:after="60"/>
              <w:ind w:left="83"/>
              <w:jc w:val="left"/>
              <w:rPr>
                <w:rFonts w:eastAsia="Times New Roman"/>
                <w:noProof/>
                <w:spacing w:val="-8"/>
                <w:sz w:val="20"/>
                <w:szCs w:val="20"/>
              </w:rPr>
            </w:pPr>
            <w:r>
              <w:rPr>
                <w:noProof/>
                <w:spacing w:val="-8"/>
                <w:sz w:val="20"/>
              </w:rPr>
              <w:t>Projecteurs scellés halogènes, pour véhicules à moteur, émettant un faisceau de croisement asymétrique européen ou un faisceau de route, ou les deux à la fois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31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25B</w:t>
            </w:r>
          </w:p>
        </w:tc>
        <w:tc>
          <w:tcPr>
            <w:tcW w:w="2701" w:type="pct"/>
            <w:hideMark/>
          </w:tcPr>
          <w:p>
            <w:pPr>
              <w:spacing w:before="60" w:after="60"/>
              <w:ind w:left="83"/>
              <w:jc w:val="left"/>
              <w:rPr>
                <w:rFonts w:eastAsia="Times New Roman"/>
                <w:noProof/>
                <w:spacing w:val="-8"/>
                <w:sz w:val="20"/>
                <w:szCs w:val="20"/>
              </w:rPr>
            </w:pPr>
            <w:r>
              <w:rPr>
                <w:noProof/>
                <w:spacing w:val="-8"/>
                <w:sz w:val="20"/>
              </w:rPr>
              <w:t>Lampes à incandescence destinées à être utilisées dans les feux homologués des véhicules à moteur et de leurs remorques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25C</w:t>
            </w:r>
          </w:p>
        </w:tc>
        <w:tc>
          <w:tcPr>
            <w:tcW w:w="2701" w:type="pct"/>
            <w:hideMark/>
          </w:tcPr>
          <w:p>
            <w:pPr>
              <w:spacing w:before="60" w:after="60"/>
              <w:ind w:left="83"/>
              <w:jc w:val="left"/>
              <w:rPr>
                <w:rFonts w:eastAsia="Times New Roman"/>
                <w:noProof/>
                <w:spacing w:val="-8"/>
                <w:sz w:val="20"/>
                <w:szCs w:val="20"/>
              </w:rPr>
            </w:pPr>
            <w:r>
              <w:rPr>
                <w:noProof/>
                <w:spacing w:val="-8"/>
                <w:sz w:val="20"/>
              </w:rPr>
              <w:t>Projecteurs de véhicules à moteur munis de sources lumineuses à décharge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25D</w:t>
            </w:r>
          </w:p>
        </w:tc>
        <w:tc>
          <w:tcPr>
            <w:tcW w:w="2701" w:type="pct"/>
            <w:hideMark/>
          </w:tcPr>
          <w:p>
            <w:pPr>
              <w:spacing w:before="60" w:after="60"/>
              <w:ind w:left="83"/>
              <w:jc w:val="left"/>
              <w:rPr>
                <w:rFonts w:eastAsia="Times New Roman"/>
                <w:noProof/>
                <w:spacing w:val="-8"/>
                <w:sz w:val="20"/>
                <w:szCs w:val="20"/>
              </w:rPr>
            </w:pPr>
            <w:r>
              <w:rPr>
                <w:noProof/>
                <w:spacing w:val="-8"/>
                <w:sz w:val="20"/>
              </w:rPr>
              <w:t>Sources lumineuses à décharge pour projecteurs homologués de véhicules à moteur</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25E</w:t>
            </w:r>
          </w:p>
        </w:tc>
        <w:tc>
          <w:tcPr>
            <w:tcW w:w="2701" w:type="pct"/>
            <w:hideMark/>
          </w:tcPr>
          <w:p>
            <w:pPr>
              <w:spacing w:before="60" w:after="60"/>
              <w:ind w:left="83"/>
              <w:jc w:val="left"/>
              <w:rPr>
                <w:rFonts w:eastAsia="Times New Roman"/>
                <w:noProof/>
                <w:spacing w:val="-8"/>
                <w:sz w:val="20"/>
                <w:szCs w:val="20"/>
              </w:rPr>
            </w:pPr>
            <w:r>
              <w:rPr>
                <w:noProof/>
                <w:spacing w:val="-8"/>
                <w:sz w:val="20"/>
              </w:rPr>
              <w:t>Projecteurs pour véhicules à moteur émettant un faisceau de croisement asymétrique ou un faisceau de route, ou les deux à la fois, et équipés de lampes à incandescence et/ou de modules DEL</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112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25F</w:t>
            </w:r>
          </w:p>
        </w:tc>
        <w:tc>
          <w:tcPr>
            <w:tcW w:w="2701" w:type="pct"/>
            <w:hideMark/>
          </w:tcPr>
          <w:p>
            <w:pPr>
              <w:spacing w:before="60" w:after="60"/>
              <w:ind w:left="83"/>
              <w:jc w:val="left"/>
              <w:rPr>
                <w:rFonts w:eastAsia="Times New Roman"/>
                <w:noProof/>
                <w:spacing w:val="-8"/>
                <w:sz w:val="20"/>
                <w:szCs w:val="20"/>
              </w:rPr>
            </w:pPr>
            <w:r>
              <w:rPr>
                <w:noProof/>
                <w:spacing w:val="-8"/>
                <w:sz w:val="20"/>
              </w:rPr>
              <w:t>Systèmes d’éclairage avant adaptatifs (AFS) destinés aux véhicules automobiles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123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26A</w:t>
            </w:r>
          </w:p>
        </w:tc>
        <w:tc>
          <w:tcPr>
            <w:tcW w:w="2701" w:type="pct"/>
            <w:hideMark/>
          </w:tcPr>
          <w:p>
            <w:pPr>
              <w:spacing w:before="60" w:after="60"/>
              <w:ind w:left="83"/>
              <w:jc w:val="left"/>
              <w:rPr>
                <w:rFonts w:eastAsia="Times New Roman"/>
                <w:noProof/>
                <w:spacing w:val="-8"/>
                <w:sz w:val="20"/>
                <w:szCs w:val="20"/>
              </w:rPr>
            </w:pPr>
            <w:r>
              <w:rPr>
                <w:noProof/>
                <w:spacing w:val="-8"/>
                <w:sz w:val="20"/>
              </w:rPr>
              <w:t>Feux de brouillard avant des véhicules à moteur</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27A</w:t>
            </w:r>
          </w:p>
        </w:tc>
        <w:tc>
          <w:tcPr>
            <w:tcW w:w="2701" w:type="pct"/>
            <w:hideMark/>
          </w:tcPr>
          <w:p>
            <w:pPr>
              <w:spacing w:before="60" w:after="60"/>
              <w:ind w:left="83"/>
              <w:jc w:val="left"/>
              <w:rPr>
                <w:rFonts w:eastAsia="Times New Roman"/>
                <w:noProof/>
                <w:spacing w:val="-8"/>
                <w:sz w:val="20"/>
                <w:szCs w:val="20"/>
              </w:rPr>
            </w:pPr>
            <w:r>
              <w:rPr>
                <w:noProof/>
                <w:spacing w:val="-8"/>
                <w:sz w:val="20"/>
              </w:rPr>
              <w:t>Dispositifs de remorquage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1005/2010</w:t>
            </w:r>
          </w:p>
        </w:tc>
        <w:tc>
          <w:tcPr>
            <w:tcW w:w="0" w:type="auto"/>
            <w:hideMark/>
          </w:tcPr>
          <w:p>
            <w:pPr>
              <w:spacing w:before="60" w:after="60"/>
              <w:jc w:val="center"/>
              <w:rPr>
                <w:rFonts w:eastAsia="Times New Roman"/>
                <w:noProof/>
                <w:spacing w:val="-8"/>
                <w:sz w:val="20"/>
                <w:szCs w:val="20"/>
              </w:rPr>
            </w:pPr>
            <w:r>
              <w:rPr>
                <w:noProof/>
                <w:spacing w:val="-8"/>
                <w:sz w:val="20"/>
              </w:rPr>
              <w:t>E</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28A</w:t>
            </w:r>
          </w:p>
        </w:tc>
        <w:tc>
          <w:tcPr>
            <w:tcW w:w="2701" w:type="pct"/>
            <w:hideMark/>
          </w:tcPr>
          <w:p>
            <w:pPr>
              <w:spacing w:before="60" w:after="60"/>
              <w:ind w:left="83"/>
              <w:jc w:val="left"/>
              <w:rPr>
                <w:rFonts w:eastAsia="Times New Roman"/>
                <w:noProof/>
                <w:spacing w:val="-8"/>
                <w:sz w:val="20"/>
                <w:szCs w:val="20"/>
              </w:rPr>
            </w:pPr>
            <w:r>
              <w:rPr>
                <w:noProof/>
                <w:spacing w:val="-8"/>
                <w:sz w:val="20"/>
              </w:rPr>
              <w:t>Feux de brouillard arrière des véhicules à moteur et de leurs remorques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29A</w:t>
            </w:r>
          </w:p>
        </w:tc>
        <w:tc>
          <w:tcPr>
            <w:tcW w:w="2701" w:type="pct"/>
            <w:hideMark/>
          </w:tcPr>
          <w:p>
            <w:pPr>
              <w:spacing w:before="60" w:after="60"/>
              <w:ind w:left="83"/>
              <w:jc w:val="left"/>
              <w:rPr>
                <w:rFonts w:eastAsia="Times New Roman"/>
                <w:noProof/>
                <w:spacing w:val="-8"/>
                <w:sz w:val="20"/>
                <w:szCs w:val="20"/>
              </w:rPr>
            </w:pPr>
            <w:r>
              <w:rPr>
                <w:noProof/>
                <w:spacing w:val="-8"/>
                <w:sz w:val="20"/>
              </w:rPr>
              <w:t>Feux de marche arrière des véhicules à moteur et de leurs remorques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23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30A</w:t>
            </w:r>
          </w:p>
        </w:tc>
        <w:tc>
          <w:tcPr>
            <w:tcW w:w="2701" w:type="pct"/>
            <w:hideMark/>
          </w:tcPr>
          <w:p>
            <w:pPr>
              <w:spacing w:before="60" w:after="60"/>
              <w:ind w:left="83"/>
              <w:jc w:val="left"/>
              <w:rPr>
                <w:rFonts w:eastAsia="Times New Roman"/>
                <w:noProof/>
                <w:spacing w:val="-8"/>
                <w:sz w:val="20"/>
                <w:szCs w:val="20"/>
              </w:rPr>
            </w:pPr>
            <w:r>
              <w:rPr>
                <w:noProof/>
                <w:spacing w:val="-8"/>
                <w:sz w:val="20"/>
              </w:rPr>
              <w:t>Feux de stationnement pour véhicules à moteur</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77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31A</w:t>
            </w:r>
          </w:p>
        </w:tc>
        <w:tc>
          <w:tcPr>
            <w:tcW w:w="2701" w:type="pct"/>
            <w:hideMark/>
          </w:tcPr>
          <w:p>
            <w:pPr>
              <w:spacing w:before="60" w:after="60"/>
              <w:ind w:left="83"/>
              <w:jc w:val="left"/>
              <w:rPr>
                <w:rFonts w:eastAsia="Times New Roman"/>
                <w:noProof/>
                <w:spacing w:val="-8"/>
                <w:sz w:val="20"/>
                <w:szCs w:val="20"/>
              </w:rPr>
            </w:pPr>
            <w:r>
              <w:rPr>
                <w:noProof/>
                <w:spacing w:val="-8"/>
                <w:sz w:val="20"/>
              </w:rPr>
              <w:t>Ceintures de sécurité, systèmes de retenue, dispositifs de retenue pour enfants et dispositifs de retenue pour enfants Isofix</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16 de la CEE-ONU</w:t>
            </w:r>
          </w:p>
        </w:tc>
        <w:tc>
          <w:tcPr>
            <w:tcW w:w="0" w:type="auto"/>
            <w:hideMark/>
          </w:tcPr>
          <w:p>
            <w:pPr>
              <w:spacing w:before="60" w:after="60"/>
              <w:jc w:val="center"/>
              <w:rPr>
                <w:rFonts w:eastAsia="Times New Roman"/>
                <w:noProof/>
                <w:spacing w:val="-8"/>
                <w:sz w:val="20"/>
                <w:szCs w:val="20"/>
              </w:rPr>
            </w:pPr>
            <w:r>
              <w:rPr>
                <w:noProof/>
                <w:spacing w:val="-8"/>
                <w:sz w:val="20"/>
              </w:rPr>
              <w:t>X+W</w:t>
            </w:r>
            <w:r>
              <w:rPr>
                <w:noProof/>
                <w:spacing w:val="-8"/>
                <w:sz w:val="20"/>
                <w:vertAlign w:val="subscript"/>
              </w:rPr>
              <w:t>6</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32A</w:t>
            </w:r>
          </w:p>
        </w:tc>
        <w:tc>
          <w:tcPr>
            <w:tcW w:w="2701" w:type="pct"/>
            <w:hideMark/>
          </w:tcPr>
          <w:p>
            <w:pPr>
              <w:spacing w:before="60" w:after="60"/>
              <w:ind w:left="83"/>
              <w:jc w:val="left"/>
              <w:rPr>
                <w:rFonts w:eastAsia="Times New Roman"/>
                <w:noProof/>
                <w:spacing w:val="-8"/>
                <w:sz w:val="20"/>
                <w:szCs w:val="20"/>
              </w:rPr>
            </w:pPr>
            <w:r>
              <w:rPr>
                <w:noProof/>
                <w:spacing w:val="-8"/>
                <w:sz w:val="20"/>
              </w:rPr>
              <w:t>Champ de vision vers l’avant</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125 de la CEE-ONU</w:t>
            </w:r>
          </w:p>
        </w:tc>
        <w:tc>
          <w:tcPr>
            <w:tcW w:w="0" w:type="auto"/>
            <w:hideMark/>
          </w:tcPr>
          <w:p>
            <w:pPr>
              <w:spacing w:before="60" w:after="60"/>
              <w:jc w:val="center"/>
              <w:rPr>
                <w:rFonts w:eastAsia="Times New Roman"/>
                <w:noProof/>
                <w:spacing w:val="-8"/>
                <w:sz w:val="20"/>
                <w:szCs w:val="20"/>
              </w:rPr>
            </w:pPr>
            <w:r>
              <w:rPr>
                <w:noProof/>
                <w:spacing w:val="-8"/>
                <w:sz w:val="20"/>
              </w:rPr>
              <w:t>G</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33A</w:t>
            </w:r>
          </w:p>
        </w:tc>
        <w:tc>
          <w:tcPr>
            <w:tcW w:w="2701" w:type="pct"/>
            <w:hideMark/>
          </w:tcPr>
          <w:p>
            <w:pPr>
              <w:spacing w:before="60" w:after="60"/>
              <w:ind w:left="83"/>
              <w:jc w:val="left"/>
              <w:rPr>
                <w:rFonts w:eastAsia="Times New Roman"/>
                <w:noProof/>
                <w:spacing w:val="-8"/>
                <w:sz w:val="20"/>
                <w:szCs w:val="20"/>
              </w:rPr>
            </w:pPr>
            <w:r>
              <w:rPr>
                <w:noProof/>
                <w:spacing w:val="-8"/>
                <w:sz w:val="20"/>
              </w:rPr>
              <w:t>Emplacement et moyens d’identification des commandes manuelles, des témoins et des indicateurs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121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34A</w:t>
            </w:r>
          </w:p>
        </w:tc>
        <w:tc>
          <w:tcPr>
            <w:tcW w:w="2701" w:type="pct"/>
            <w:hideMark/>
          </w:tcPr>
          <w:p>
            <w:pPr>
              <w:spacing w:before="60" w:after="60"/>
              <w:ind w:left="83"/>
              <w:jc w:val="left"/>
              <w:rPr>
                <w:rFonts w:eastAsia="Times New Roman"/>
                <w:noProof/>
                <w:spacing w:val="-8"/>
                <w:sz w:val="20"/>
                <w:szCs w:val="20"/>
              </w:rPr>
            </w:pPr>
            <w:r>
              <w:rPr>
                <w:noProof/>
                <w:spacing w:val="-8"/>
                <w:sz w:val="20"/>
              </w:rPr>
              <w:t>Dispositifs de dégivrage et de désembuage du pare-brise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672/2010</w:t>
            </w:r>
          </w:p>
        </w:tc>
        <w:tc>
          <w:tcPr>
            <w:tcW w:w="0" w:type="auto"/>
            <w:hideMark/>
          </w:tcPr>
          <w:p>
            <w:pPr>
              <w:spacing w:before="60" w:after="60"/>
              <w:jc w:val="center"/>
              <w:rPr>
                <w:rFonts w:eastAsia="Times New Roman"/>
                <w:noProof/>
                <w:spacing w:val="-8"/>
                <w:sz w:val="20"/>
                <w:szCs w:val="20"/>
              </w:rPr>
            </w:pPr>
            <w:r>
              <w:rPr>
                <w:noProof/>
                <w:spacing w:val="-8"/>
                <w:sz w:val="20"/>
              </w:rPr>
              <w:t>G(</w:t>
            </w:r>
            <w:r>
              <w:rPr>
                <w:noProof/>
                <w:spacing w:val="-8"/>
                <w:sz w:val="20"/>
                <w:vertAlign w:val="superscript"/>
              </w:rPr>
              <w:t>5</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35A</w:t>
            </w:r>
          </w:p>
        </w:tc>
        <w:tc>
          <w:tcPr>
            <w:tcW w:w="2701" w:type="pct"/>
            <w:hideMark/>
          </w:tcPr>
          <w:p>
            <w:pPr>
              <w:spacing w:before="60" w:after="60"/>
              <w:ind w:left="83"/>
              <w:jc w:val="left"/>
              <w:rPr>
                <w:rFonts w:eastAsia="Times New Roman"/>
                <w:noProof/>
                <w:spacing w:val="-8"/>
                <w:sz w:val="20"/>
                <w:szCs w:val="20"/>
              </w:rPr>
            </w:pPr>
            <w:r>
              <w:rPr>
                <w:noProof/>
                <w:spacing w:val="-8"/>
                <w:sz w:val="20"/>
              </w:rPr>
              <w:t>Essuie-glace et lave-glace du pare-brise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1008/2010</w:t>
            </w:r>
          </w:p>
        </w:tc>
        <w:tc>
          <w:tcPr>
            <w:tcW w:w="0" w:type="auto"/>
            <w:hideMark/>
          </w:tcPr>
          <w:p>
            <w:pPr>
              <w:spacing w:before="60" w:after="60"/>
              <w:jc w:val="center"/>
              <w:rPr>
                <w:rFonts w:eastAsia="Times New Roman"/>
                <w:noProof/>
                <w:spacing w:val="-8"/>
                <w:sz w:val="20"/>
                <w:szCs w:val="20"/>
              </w:rPr>
            </w:pPr>
            <w:r>
              <w:rPr>
                <w:noProof/>
                <w:spacing w:val="-8"/>
                <w:sz w:val="20"/>
              </w:rPr>
              <w:t>G(</w:t>
            </w:r>
            <w:r>
              <w:rPr>
                <w:noProof/>
                <w:spacing w:val="-8"/>
                <w:sz w:val="20"/>
                <w:vertAlign w:val="superscript"/>
              </w:rPr>
              <w:t>6</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36A</w:t>
            </w:r>
          </w:p>
        </w:tc>
        <w:tc>
          <w:tcPr>
            <w:tcW w:w="2701" w:type="pct"/>
            <w:hideMark/>
          </w:tcPr>
          <w:p>
            <w:pPr>
              <w:spacing w:before="60" w:after="60"/>
              <w:ind w:left="83"/>
              <w:jc w:val="left"/>
              <w:rPr>
                <w:rFonts w:eastAsia="Times New Roman"/>
                <w:noProof/>
                <w:spacing w:val="-8"/>
                <w:sz w:val="20"/>
                <w:szCs w:val="20"/>
              </w:rPr>
            </w:pPr>
            <w:r>
              <w:rPr>
                <w:noProof/>
                <w:spacing w:val="-8"/>
                <w:sz w:val="20"/>
              </w:rPr>
              <w:t>Systèmes de chauffage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122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37A</w:t>
            </w:r>
          </w:p>
        </w:tc>
        <w:tc>
          <w:tcPr>
            <w:tcW w:w="2701" w:type="pct"/>
            <w:hideMark/>
          </w:tcPr>
          <w:p>
            <w:pPr>
              <w:spacing w:before="60" w:after="60"/>
              <w:ind w:left="83"/>
              <w:jc w:val="left"/>
              <w:rPr>
                <w:rFonts w:eastAsia="Times New Roman"/>
                <w:noProof/>
                <w:spacing w:val="-8"/>
                <w:sz w:val="20"/>
                <w:szCs w:val="20"/>
              </w:rPr>
            </w:pPr>
            <w:r>
              <w:rPr>
                <w:noProof/>
                <w:spacing w:val="-8"/>
                <w:sz w:val="20"/>
              </w:rPr>
              <w:t>Protecteurs de roues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1009/2010</w:t>
            </w:r>
          </w:p>
        </w:tc>
        <w:tc>
          <w:tcPr>
            <w:tcW w:w="0" w:type="auto"/>
            <w:hideMark/>
          </w:tcPr>
          <w:p>
            <w:pPr>
              <w:spacing w:before="60" w:after="60"/>
              <w:jc w:val="center"/>
              <w:rPr>
                <w:rFonts w:eastAsia="Times New Roman"/>
                <w:noProof/>
                <w:spacing w:val="-8"/>
                <w:sz w:val="20"/>
                <w:szCs w:val="20"/>
              </w:rPr>
            </w:pPr>
            <w:r>
              <w:rPr>
                <w:noProof/>
                <w:spacing w:val="-8"/>
                <w:sz w:val="20"/>
              </w:rPr>
              <w:t>G</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38A</w:t>
            </w:r>
          </w:p>
        </w:tc>
        <w:tc>
          <w:tcPr>
            <w:tcW w:w="2701" w:type="pct"/>
            <w:hideMark/>
          </w:tcPr>
          <w:p>
            <w:pPr>
              <w:spacing w:before="60" w:after="60"/>
              <w:ind w:left="83"/>
              <w:jc w:val="left"/>
              <w:rPr>
                <w:rFonts w:eastAsia="Times New Roman"/>
                <w:noProof/>
                <w:spacing w:val="-8"/>
                <w:sz w:val="20"/>
                <w:szCs w:val="20"/>
              </w:rPr>
            </w:pPr>
            <w:r>
              <w:rPr>
                <w:noProof/>
                <w:spacing w:val="-8"/>
                <w:sz w:val="20"/>
              </w:rPr>
              <w:t>Appuie-tête incorporés ou non dans les sièges des véhicules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25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41A</w:t>
            </w:r>
          </w:p>
        </w:tc>
        <w:tc>
          <w:tcPr>
            <w:tcW w:w="2701" w:type="pct"/>
            <w:hideMark/>
          </w:tcPr>
          <w:p>
            <w:pPr>
              <w:spacing w:before="60" w:after="60"/>
              <w:ind w:left="83"/>
              <w:jc w:val="left"/>
              <w:rPr>
                <w:rFonts w:eastAsia="Times New Roman"/>
                <w:noProof/>
                <w:spacing w:val="-8"/>
                <w:sz w:val="20"/>
                <w:szCs w:val="20"/>
              </w:rPr>
            </w:pPr>
            <w:r>
              <w:rPr>
                <w:noProof/>
                <w:spacing w:val="-8"/>
                <w:sz w:val="20"/>
              </w:rPr>
              <w:t>Émissions (Euro VI) des véhicules lourds/accès aux informations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595/2009</w:t>
            </w:r>
          </w:p>
        </w:tc>
        <w:tc>
          <w:tcPr>
            <w:tcW w:w="0" w:type="auto"/>
            <w:hideMark/>
          </w:tcPr>
          <w:p>
            <w:pPr>
              <w:spacing w:before="60" w:after="60"/>
              <w:jc w:val="center"/>
              <w:rPr>
                <w:rFonts w:eastAsia="Times New Roman"/>
                <w:noProof/>
                <w:spacing w:val="-8"/>
                <w:sz w:val="20"/>
                <w:szCs w:val="20"/>
              </w:rPr>
            </w:pPr>
            <w:r>
              <w:rPr>
                <w:noProof/>
                <w:spacing w:val="-8"/>
                <w:sz w:val="20"/>
              </w:rPr>
              <w:t>X+W</w:t>
            </w:r>
            <w:r>
              <w:rPr>
                <w:noProof/>
                <w:spacing w:val="-8"/>
                <w:sz w:val="20"/>
                <w:vertAlign w:val="subscript"/>
              </w:rPr>
              <w:t>1</w:t>
            </w:r>
            <w:r>
              <w:rPr>
                <w:noProof/>
                <w:spacing w:val="-8"/>
                <w:sz w:val="20"/>
              </w:rPr>
              <w:t xml:space="preserve"> (</w:t>
            </w:r>
            <w:r>
              <w:rPr>
                <w:noProof/>
                <w:spacing w:val="-8"/>
                <w:sz w:val="20"/>
                <w:vertAlign w:val="superscript"/>
              </w:rPr>
              <w:t>9</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44A</w:t>
            </w:r>
          </w:p>
        </w:tc>
        <w:tc>
          <w:tcPr>
            <w:tcW w:w="2701" w:type="pct"/>
            <w:hideMark/>
          </w:tcPr>
          <w:p>
            <w:pPr>
              <w:spacing w:before="60" w:after="60"/>
              <w:ind w:left="83"/>
              <w:jc w:val="left"/>
              <w:rPr>
                <w:rFonts w:eastAsia="Times New Roman"/>
                <w:noProof/>
                <w:spacing w:val="-8"/>
                <w:sz w:val="20"/>
                <w:szCs w:val="20"/>
              </w:rPr>
            </w:pPr>
            <w:r>
              <w:rPr>
                <w:noProof/>
                <w:spacing w:val="-8"/>
                <w:sz w:val="20"/>
              </w:rPr>
              <w:t>Masses et dimensions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tc>
        <w:tc>
          <w:tcPr>
            <w:tcW w:w="0" w:type="auto"/>
            <w:hideMark/>
          </w:tcPr>
          <w:p>
            <w:pPr>
              <w:spacing w:before="60" w:after="60"/>
              <w:jc w:val="center"/>
              <w:rPr>
                <w:rFonts w:eastAsia="Times New Roman"/>
                <w:noProof/>
                <w:spacing w:val="-8"/>
                <w:sz w:val="20"/>
                <w:szCs w:val="20"/>
              </w:rPr>
            </w:pPr>
            <w:r>
              <w:rPr>
                <w:noProof/>
                <w:spacing w:val="-8"/>
                <w:sz w:val="20"/>
              </w:rPr>
              <w:t>X+W</w:t>
            </w:r>
            <w:r>
              <w:rPr>
                <w:noProof/>
                <w:spacing w:val="-8"/>
                <w:sz w:val="20"/>
                <w:vertAlign w:val="subscript"/>
              </w:rPr>
              <w:t>8</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45A</w:t>
            </w:r>
          </w:p>
        </w:tc>
        <w:tc>
          <w:tcPr>
            <w:tcW w:w="2701" w:type="pct"/>
            <w:hideMark/>
          </w:tcPr>
          <w:p>
            <w:pPr>
              <w:spacing w:before="60" w:after="60"/>
              <w:ind w:left="83"/>
              <w:jc w:val="left"/>
              <w:rPr>
                <w:rFonts w:eastAsia="Times New Roman"/>
                <w:noProof/>
                <w:spacing w:val="-8"/>
                <w:sz w:val="20"/>
                <w:szCs w:val="20"/>
              </w:rPr>
            </w:pPr>
            <w:r>
              <w:rPr>
                <w:noProof/>
                <w:spacing w:val="-8"/>
                <w:sz w:val="20"/>
              </w:rPr>
              <w:t>Vitrages de sécurité et leur installation sur les véhicules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43 de la CEE-ONU</w:t>
            </w:r>
          </w:p>
        </w:tc>
        <w:tc>
          <w:tcPr>
            <w:tcW w:w="0" w:type="auto"/>
            <w:hideMark/>
          </w:tcPr>
          <w:p>
            <w:pPr>
              <w:spacing w:before="60" w:after="60"/>
              <w:jc w:val="center"/>
              <w:rPr>
                <w:rFonts w:eastAsia="Times New Roman"/>
                <w:noProof/>
                <w:spacing w:val="-8"/>
                <w:sz w:val="20"/>
                <w:szCs w:val="20"/>
              </w:rPr>
            </w:pPr>
            <w:r>
              <w:rPr>
                <w:noProof/>
                <w:spacing w:val="-8"/>
                <w:sz w:val="20"/>
              </w:rPr>
              <w:t>G</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w:t>
            </w:r>
          </w:p>
        </w:tc>
        <w:tc>
          <w:tcPr>
            <w:tcW w:w="2701" w:type="pct"/>
            <w:hideMark/>
          </w:tcPr>
          <w:p>
            <w:pPr>
              <w:spacing w:before="60" w:after="60"/>
              <w:ind w:left="83"/>
              <w:jc w:val="left"/>
              <w:rPr>
                <w:rFonts w:eastAsia="Times New Roman"/>
                <w:noProof/>
                <w:spacing w:val="-8"/>
                <w:sz w:val="20"/>
                <w:szCs w:val="20"/>
              </w:rPr>
            </w:pPr>
            <w:r>
              <w:rPr>
                <w:noProof/>
                <w:spacing w:val="-8"/>
                <w:sz w:val="20"/>
              </w:rPr>
              <w:t>Pneumatiques</w:t>
            </w:r>
          </w:p>
        </w:tc>
        <w:tc>
          <w:tcPr>
            <w:tcW w:w="1597" w:type="pct"/>
            <w:hideMark/>
          </w:tcPr>
          <w:p>
            <w:pPr>
              <w:spacing w:before="60" w:after="60"/>
              <w:ind w:left="127"/>
              <w:jc w:val="left"/>
              <w:rPr>
                <w:rFonts w:eastAsia="Times New Roman"/>
                <w:noProof/>
                <w:spacing w:val="-8"/>
                <w:sz w:val="20"/>
                <w:szCs w:val="20"/>
              </w:rPr>
            </w:pPr>
            <w:r>
              <w:rPr>
                <w:noProof/>
                <w:spacing w:val="-8"/>
                <w:sz w:val="20"/>
              </w:rPr>
              <w:t>Directive 92/23/CEE</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46A</w:t>
            </w:r>
          </w:p>
        </w:tc>
        <w:tc>
          <w:tcPr>
            <w:tcW w:w="2701" w:type="pct"/>
            <w:hideMark/>
          </w:tcPr>
          <w:p>
            <w:pPr>
              <w:spacing w:before="60" w:after="60"/>
              <w:ind w:left="83"/>
              <w:jc w:val="left"/>
              <w:rPr>
                <w:rFonts w:eastAsia="Times New Roman"/>
                <w:noProof/>
                <w:spacing w:val="-8"/>
                <w:sz w:val="20"/>
                <w:szCs w:val="20"/>
              </w:rPr>
            </w:pPr>
            <w:r>
              <w:rPr>
                <w:noProof/>
                <w:spacing w:val="-8"/>
                <w:sz w:val="20"/>
              </w:rPr>
              <w:t>Montage des pneumatiques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458/2011</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46B</w:t>
            </w:r>
          </w:p>
        </w:tc>
        <w:tc>
          <w:tcPr>
            <w:tcW w:w="2701" w:type="pct"/>
            <w:hideMark/>
          </w:tcPr>
          <w:p>
            <w:pPr>
              <w:spacing w:before="60" w:after="60"/>
              <w:ind w:left="83"/>
              <w:jc w:val="left"/>
              <w:rPr>
                <w:rFonts w:eastAsia="Times New Roman"/>
                <w:noProof/>
                <w:spacing w:val="-8"/>
                <w:sz w:val="20"/>
                <w:szCs w:val="20"/>
              </w:rPr>
            </w:pPr>
            <w:r>
              <w:rPr>
                <w:noProof/>
                <w:spacing w:val="-8"/>
                <w:sz w:val="20"/>
              </w:rPr>
              <w:t>Pneumatiques pour les véhicules à moteur et leurs remorques (classe C1)</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30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46D</w:t>
            </w:r>
          </w:p>
        </w:tc>
        <w:tc>
          <w:tcPr>
            <w:tcW w:w="2701" w:type="pct"/>
            <w:hideMark/>
          </w:tcPr>
          <w:p>
            <w:pPr>
              <w:spacing w:before="60" w:after="60"/>
              <w:ind w:left="83"/>
              <w:jc w:val="left"/>
              <w:rPr>
                <w:rFonts w:eastAsia="Times New Roman"/>
                <w:noProof/>
                <w:spacing w:val="-8"/>
                <w:sz w:val="20"/>
                <w:szCs w:val="20"/>
              </w:rPr>
            </w:pPr>
            <w:r>
              <w:rPr>
                <w:noProof/>
                <w:spacing w:val="-8"/>
                <w:sz w:val="20"/>
              </w:rPr>
              <w:t>Émissions sonores de roulement, adhérence sur sol mouillé et résistance au roulement (classes C1, C2 et C3)</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46E</w:t>
            </w:r>
          </w:p>
        </w:tc>
        <w:tc>
          <w:tcPr>
            <w:tcW w:w="2701" w:type="pct"/>
            <w:hideMark/>
          </w:tcPr>
          <w:p>
            <w:pPr>
              <w:spacing w:before="60" w:after="60"/>
              <w:ind w:left="83"/>
              <w:jc w:val="left"/>
              <w:rPr>
                <w:rFonts w:eastAsia="Times New Roman"/>
                <w:noProof/>
                <w:spacing w:val="-8"/>
                <w:sz w:val="20"/>
                <w:szCs w:val="20"/>
              </w:rPr>
            </w:pPr>
            <w:r>
              <w:rPr>
                <w:noProof/>
                <w:spacing w:val="-8"/>
                <w:sz w:val="20"/>
              </w:rPr>
              <w:t>Équipement de secours à usage temporaire, pneumatiques/système pour roulage à plat et système de surveillance de la pression des pneumatiques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64 de la CEE-ONU</w:t>
            </w:r>
          </w:p>
        </w:tc>
        <w:tc>
          <w:tcPr>
            <w:tcW w:w="0" w:type="auto"/>
            <w:hideMark/>
          </w:tcPr>
          <w:p>
            <w:pPr>
              <w:spacing w:before="60" w:after="60"/>
              <w:jc w:val="center"/>
              <w:rPr>
                <w:rFonts w:eastAsia="Times New Roman"/>
                <w:noProof/>
                <w:spacing w:val="-8"/>
                <w:sz w:val="20"/>
                <w:szCs w:val="20"/>
              </w:rPr>
            </w:pPr>
            <w:r>
              <w:rPr>
                <w:noProof/>
                <w:spacing w:val="-8"/>
                <w:sz w:val="20"/>
              </w:rPr>
              <w:t>G(</w:t>
            </w:r>
            <w:r>
              <w:rPr>
                <w:noProof/>
                <w:spacing w:val="-8"/>
                <w:sz w:val="20"/>
                <w:vertAlign w:val="superscript"/>
              </w:rPr>
              <w:t>9A</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50A</w:t>
            </w:r>
          </w:p>
        </w:tc>
        <w:tc>
          <w:tcPr>
            <w:tcW w:w="2701" w:type="pct"/>
            <w:hideMark/>
          </w:tcPr>
          <w:p>
            <w:pPr>
              <w:spacing w:before="60" w:after="60"/>
              <w:ind w:left="83"/>
              <w:jc w:val="left"/>
              <w:rPr>
                <w:rFonts w:eastAsia="Times New Roman"/>
                <w:noProof/>
                <w:spacing w:val="-8"/>
                <w:sz w:val="20"/>
                <w:szCs w:val="20"/>
              </w:rPr>
            </w:pPr>
            <w:r>
              <w:rPr>
                <w:noProof/>
                <w:spacing w:val="-8"/>
                <w:sz w:val="20"/>
              </w:rPr>
              <w:t>Pièces mécaniques d’attelage des ensembles de véhicules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55 de la CEE-ONU</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53A</w:t>
            </w:r>
          </w:p>
        </w:tc>
        <w:tc>
          <w:tcPr>
            <w:tcW w:w="2701" w:type="pct"/>
            <w:hideMark/>
          </w:tcPr>
          <w:p>
            <w:pPr>
              <w:spacing w:before="60" w:after="60"/>
              <w:ind w:left="83"/>
              <w:jc w:val="left"/>
              <w:rPr>
                <w:rFonts w:eastAsia="Times New Roman"/>
                <w:noProof/>
                <w:spacing w:val="-8"/>
                <w:sz w:val="20"/>
                <w:szCs w:val="20"/>
              </w:rPr>
            </w:pPr>
            <w:r>
              <w:rPr>
                <w:noProof/>
                <w:spacing w:val="-8"/>
                <w:sz w:val="20"/>
              </w:rPr>
              <w:t>Protection des occupants en cas de collision frontale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94 de la CEE-ONU</w:t>
            </w:r>
          </w:p>
        </w:tc>
        <w:tc>
          <w:tcPr>
            <w:tcW w:w="0" w:type="auto"/>
            <w:hideMark/>
          </w:tcPr>
          <w:p>
            <w:pPr>
              <w:spacing w:before="60" w:after="60"/>
              <w:jc w:val="center"/>
              <w:rPr>
                <w:rFonts w:eastAsia="Times New Roman"/>
                <w:noProof/>
                <w:spacing w:val="-8"/>
                <w:sz w:val="20"/>
                <w:szCs w:val="20"/>
              </w:rPr>
            </w:pPr>
            <w:r>
              <w:rPr>
                <w:noProof/>
                <w:spacing w:val="-8"/>
                <w:sz w:val="20"/>
              </w:rPr>
              <w:t>Sans objet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54A</w:t>
            </w:r>
          </w:p>
        </w:tc>
        <w:tc>
          <w:tcPr>
            <w:tcW w:w="2701" w:type="pct"/>
            <w:hideMark/>
          </w:tcPr>
          <w:p>
            <w:pPr>
              <w:spacing w:before="60" w:after="60"/>
              <w:ind w:left="83"/>
              <w:jc w:val="left"/>
              <w:rPr>
                <w:rFonts w:eastAsia="Times New Roman"/>
                <w:noProof/>
                <w:spacing w:val="-8"/>
                <w:sz w:val="20"/>
                <w:szCs w:val="20"/>
              </w:rPr>
            </w:pPr>
            <w:r>
              <w:rPr>
                <w:noProof/>
                <w:spacing w:val="-8"/>
                <w:sz w:val="20"/>
              </w:rPr>
              <w:t>Protection des occupants en cas de collision latérale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95 de la CEE-ONU</w:t>
            </w:r>
          </w:p>
        </w:tc>
        <w:tc>
          <w:tcPr>
            <w:tcW w:w="0" w:type="auto"/>
            <w:hideMark/>
          </w:tcPr>
          <w:p>
            <w:pPr>
              <w:spacing w:before="60" w:after="60"/>
              <w:jc w:val="center"/>
              <w:rPr>
                <w:rFonts w:eastAsia="Times New Roman"/>
                <w:noProof/>
                <w:spacing w:val="-8"/>
                <w:sz w:val="20"/>
                <w:szCs w:val="20"/>
              </w:rPr>
            </w:pPr>
            <w:r>
              <w:rPr>
                <w:noProof/>
                <w:spacing w:val="-8"/>
                <w:sz w:val="20"/>
              </w:rPr>
              <w:t>Sans objet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58</w:t>
            </w:r>
          </w:p>
        </w:tc>
        <w:tc>
          <w:tcPr>
            <w:tcW w:w="2701" w:type="pct"/>
            <w:hideMark/>
          </w:tcPr>
          <w:p>
            <w:pPr>
              <w:spacing w:before="60" w:after="60"/>
              <w:ind w:left="83"/>
              <w:jc w:val="left"/>
              <w:rPr>
                <w:rFonts w:eastAsia="Times New Roman"/>
                <w:noProof/>
                <w:spacing w:val="-8"/>
                <w:sz w:val="20"/>
                <w:szCs w:val="20"/>
              </w:rPr>
            </w:pPr>
            <w:r>
              <w:rPr>
                <w:noProof/>
                <w:spacing w:val="-8"/>
                <w:sz w:val="20"/>
              </w:rPr>
              <w:t>Protection des piétons</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78/2009</w:t>
            </w:r>
          </w:p>
        </w:tc>
        <w:tc>
          <w:tcPr>
            <w:tcW w:w="0" w:type="auto"/>
            <w:hideMark/>
          </w:tcPr>
          <w:p>
            <w:pPr>
              <w:spacing w:before="60" w:after="60"/>
              <w:jc w:val="center"/>
              <w:rPr>
                <w:rFonts w:eastAsia="Times New Roman"/>
                <w:noProof/>
                <w:spacing w:val="-8"/>
                <w:sz w:val="20"/>
                <w:szCs w:val="20"/>
              </w:rPr>
            </w:pPr>
            <w:r>
              <w:rPr>
                <w:noProof/>
                <w:spacing w:val="-8"/>
                <w:sz w:val="20"/>
              </w:rPr>
              <w:t>G</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59</w:t>
            </w:r>
          </w:p>
        </w:tc>
        <w:tc>
          <w:tcPr>
            <w:tcW w:w="2701" w:type="pct"/>
            <w:hideMark/>
          </w:tcPr>
          <w:p>
            <w:pPr>
              <w:spacing w:before="60" w:after="60"/>
              <w:ind w:left="83"/>
              <w:jc w:val="left"/>
              <w:rPr>
                <w:rFonts w:eastAsia="Times New Roman"/>
                <w:noProof/>
                <w:spacing w:val="-8"/>
                <w:sz w:val="20"/>
                <w:szCs w:val="20"/>
              </w:rPr>
            </w:pPr>
            <w:r>
              <w:rPr>
                <w:noProof/>
                <w:spacing w:val="-8"/>
                <w:sz w:val="20"/>
              </w:rPr>
              <w:t>Recyclabilité</w:t>
            </w:r>
          </w:p>
        </w:tc>
        <w:tc>
          <w:tcPr>
            <w:tcW w:w="1597" w:type="pct"/>
            <w:hideMark/>
          </w:tcPr>
          <w:p>
            <w:pPr>
              <w:spacing w:before="60" w:after="60"/>
              <w:ind w:left="127"/>
              <w:jc w:val="left"/>
              <w:rPr>
                <w:rFonts w:eastAsia="Times New Roman"/>
                <w:noProof/>
                <w:spacing w:val="-8"/>
                <w:sz w:val="20"/>
                <w:szCs w:val="20"/>
              </w:rPr>
            </w:pPr>
            <w:r>
              <w:rPr>
                <w:noProof/>
                <w:spacing w:val="-8"/>
                <w:sz w:val="20"/>
              </w:rPr>
              <w:t>Directive 2005/64/CE</w:t>
            </w:r>
          </w:p>
        </w:tc>
        <w:tc>
          <w:tcPr>
            <w:tcW w:w="0" w:type="auto"/>
            <w:hideMark/>
          </w:tcPr>
          <w:p>
            <w:pPr>
              <w:spacing w:before="60" w:after="60"/>
              <w:jc w:val="center"/>
              <w:rPr>
                <w:rFonts w:eastAsia="Times New Roman"/>
                <w:noProof/>
                <w:spacing w:val="-8"/>
                <w:sz w:val="20"/>
                <w:szCs w:val="20"/>
              </w:rPr>
            </w:pPr>
            <w:r>
              <w:rPr>
                <w:noProof/>
                <w:spacing w:val="-8"/>
                <w:sz w:val="20"/>
              </w:rPr>
              <w:t>Sans objet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61</w:t>
            </w:r>
          </w:p>
        </w:tc>
        <w:tc>
          <w:tcPr>
            <w:tcW w:w="2701" w:type="pct"/>
            <w:hideMark/>
          </w:tcPr>
          <w:p>
            <w:pPr>
              <w:spacing w:before="60" w:after="60"/>
              <w:ind w:left="83"/>
              <w:jc w:val="left"/>
              <w:rPr>
                <w:rFonts w:eastAsia="Times New Roman"/>
                <w:noProof/>
                <w:spacing w:val="-8"/>
                <w:sz w:val="20"/>
                <w:szCs w:val="20"/>
              </w:rPr>
            </w:pPr>
            <w:r>
              <w:rPr>
                <w:noProof/>
                <w:spacing w:val="-8"/>
                <w:sz w:val="20"/>
              </w:rPr>
              <w:t>Systèmes de climatisation</w:t>
            </w:r>
          </w:p>
        </w:tc>
        <w:tc>
          <w:tcPr>
            <w:tcW w:w="1597" w:type="pct"/>
            <w:hideMark/>
          </w:tcPr>
          <w:p>
            <w:pPr>
              <w:spacing w:before="60" w:after="60"/>
              <w:ind w:left="127"/>
              <w:jc w:val="left"/>
              <w:rPr>
                <w:rFonts w:eastAsia="Times New Roman"/>
                <w:noProof/>
                <w:spacing w:val="-8"/>
                <w:sz w:val="20"/>
                <w:szCs w:val="20"/>
              </w:rPr>
            </w:pPr>
            <w:r>
              <w:rPr>
                <w:noProof/>
                <w:spacing w:val="-8"/>
                <w:sz w:val="20"/>
              </w:rPr>
              <w:t>Directive 2006/40/CE</w:t>
            </w:r>
          </w:p>
        </w:tc>
        <w:tc>
          <w:tcPr>
            <w:tcW w:w="0" w:type="auto"/>
            <w:hideMark/>
          </w:tcPr>
          <w:p>
            <w:pPr>
              <w:spacing w:before="60" w:after="60"/>
              <w:jc w:val="center"/>
              <w:rPr>
                <w:rFonts w:eastAsia="Times New Roman"/>
                <w:noProof/>
                <w:spacing w:val="-8"/>
                <w:sz w:val="20"/>
                <w:szCs w:val="20"/>
              </w:rPr>
            </w:pPr>
            <w:r>
              <w:rPr>
                <w:noProof/>
                <w:spacing w:val="-8"/>
                <w:sz w:val="20"/>
              </w:rPr>
              <w:t>G</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62</w:t>
            </w:r>
          </w:p>
        </w:tc>
        <w:tc>
          <w:tcPr>
            <w:tcW w:w="2701" w:type="pct"/>
            <w:hideMark/>
          </w:tcPr>
          <w:p>
            <w:pPr>
              <w:spacing w:before="60" w:after="60"/>
              <w:ind w:left="83"/>
              <w:jc w:val="left"/>
              <w:rPr>
                <w:rFonts w:eastAsia="Times New Roman"/>
                <w:noProof/>
                <w:spacing w:val="-8"/>
                <w:sz w:val="20"/>
                <w:szCs w:val="20"/>
              </w:rPr>
            </w:pPr>
            <w:r>
              <w:rPr>
                <w:noProof/>
                <w:spacing w:val="-8"/>
                <w:sz w:val="20"/>
              </w:rPr>
              <w:t>Système hydrogène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79/2009</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63</w:t>
            </w:r>
          </w:p>
        </w:tc>
        <w:tc>
          <w:tcPr>
            <w:tcW w:w="2701" w:type="pct"/>
            <w:hideMark/>
          </w:tcPr>
          <w:p>
            <w:pPr>
              <w:spacing w:before="60" w:after="60"/>
              <w:ind w:left="83"/>
              <w:jc w:val="left"/>
              <w:rPr>
                <w:rFonts w:eastAsia="Times New Roman"/>
                <w:noProof/>
                <w:spacing w:val="-8"/>
                <w:sz w:val="20"/>
                <w:szCs w:val="20"/>
              </w:rPr>
            </w:pPr>
            <w:r>
              <w:rPr>
                <w:noProof/>
                <w:spacing w:val="-8"/>
                <w:sz w:val="20"/>
              </w:rPr>
              <w:t>Sécurité générale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64</w:t>
            </w:r>
          </w:p>
        </w:tc>
        <w:tc>
          <w:tcPr>
            <w:tcW w:w="2701" w:type="pct"/>
            <w:hideMark/>
          </w:tcPr>
          <w:p>
            <w:pPr>
              <w:spacing w:before="60" w:after="60"/>
              <w:ind w:left="83"/>
              <w:jc w:val="left"/>
              <w:rPr>
                <w:rFonts w:eastAsia="Times New Roman"/>
                <w:noProof/>
                <w:spacing w:val="-8"/>
                <w:sz w:val="20"/>
                <w:szCs w:val="20"/>
              </w:rPr>
            </w:pPr>
            <w:r>
              <w:rPr>
                <w:noProof/>
                <w:spacing w:val="-8"/>
                <w:sz w:val="20"/>
              </w:rPr>
              <w:t>Indicateurs de changement de vitesse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65/2012</w:t>
            </w:r>
          </w:p>
        </w:tc>
        <w:tc>
          <w:tcPr>
            <w:tcW w:w="0" w:type="auto"/>
            <w:hideMark/>
          </w:tcPr>
          <w:p>
            <w:pPr>
              <w:spacing w:before="60" w:after="60"/>
              <w:jc w:val="center"/>
              <w:rPr>
                <w:rFonts w:eastAsia="Times New Roman"/>
                <w:noProof/>
                <w:spacing w:val="-8"/>
                <w:sz w:val="20"/>
                <w:szCs w:val="20"/>
              </w:rPr>
            </w:pPr>
            <w:r>
              <w:rPr>
                <w:noProof/>
                <w:spacing w:val="-8"/>
                <w:sz w:val="20"/>
              </w:rPr>
              <w:t>G</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67</w:t>
            </w:r>
          </w:p>
        </w:tc>
        <w:tc>
          <w:tcPr>
            <w:tcW w:w="2701" w:type="pct"/>
            <w:hideMark/>
          </w:tcPr>
          <w:p>
            <w:pPr>
              <w:spacing w:before="60" w:after="60"/>
              <w:ind w:left="83"/>
              <w:jc w:val="left"/>
              <w:rPr>
                <w:rFonts w:eastAsia="Times New Roman"/>
                <w:noProof/>
                <w:spacing w:val="-8"/>
                <w:sz w:val="20"/>
                <w:szCs w:val="20"/>
              </w:rPr>
            </w:pPr>
            <w:r>
              <w:rPr>
                <w:noProof/>
                <w:spacing w:val="-8"/>
                <w:sz w:val="20"/>
              </w:rPr>
              <w:t>Organes spéciaux pour l’alimentation des moteurs au gaz de pétrole liquéfié (GPL) et leur installation sur les véhicules à moteur</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67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68</w:t>
            </w:r>
          </w:p>
        </w:tc>
        <w:tc>
          <w:tcPr>
            <w:tcW w:w="2701" w:type="pct"/>
            <w:hideMark/>
          </w:tcPr>
          <w:p>
            <w:pPr>
              <w:spacing w:before="60" w:after="60"/>
              <w:ind w:left="83"/>
              <w:jc w:val="left"/>
              <w:rPr>
                <w:rFonts w:eastAsia="Times New Roman"/>
                <w:noProof/>
                <w:spacing w:val="-8"/>
                <w:sz w:val="20"/>
                <w:szCs w:val="20"/>
              </w:rPr>
            </w:pPr>
            <w:r>
              <w:rPr>
                <w:noProof/>
                <w:spacing w:val="-8"/>
                <w:sz w:val="20"/>
              </w:rPr>
              <w:t>Systèmes d’alarme pour véhicules (SAV)</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69</w:t>
            </w:r>
          </w:p>
        </w:tc>
        <w:tc>
          <w:tcPr>
            <w:tcW w:w="2701" w:type="pct"/>
            <w:hideMark/>
          </w:tcPr>
          <w:p>
            <w:pPr>
              <w:spacing w:before="60" w:after="60"/>
              <w:ind w:left="83"/>
              <w:jc w:val="left"/>
              <w:rPr>
                <w:rFonts w:eastAsia="Times New Roman"/>
                <w:noProof/>
                <w:spacing w:val="-8"/>
                <w:sz w:val="20"/>
                <w:szCs w:val="20"/>
              </w:rPr>
            </w:pPr>
            <w:r>
              <w:rPr>
                <w:noProof/>
                <w:spacing w:val="-8"/>
                <w:sz w:val="20"/>
              </w:rPr>
              <w:t>Sécurité électrique</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100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70</w:t>
            </w:r>
          </w:p>
        </w:tc>
        <w:tc>
          <w:tcPr>
            <w:tcW w:w="2701" w:type="pct"/>
            <w:hideMark/>
          </w:tcPr>
          <w:p>
            <w:pPr>
              <w:spacing w:before="60" w:after="60"/>
              <w:ind w:left="83"/>
              <w:jc w:val="left"/>
              <w:rPr>
                <w:rFonts w:eastAsia="Times New Roman"/>
                <w:noProof/>
                <w:spacing w:val="-8"/>
                <w:sz w:val="20"/>
                <w:szCs w:val="20"/>
              </w:rPr>
            </w:pPr>
            <w:r>
              <w:rPr>
                <w:noProof/>
                <w:spacing w:val="-8"/>
                <w:sz w:val="20"/>
              </w:rPr>
              <w:t>Organes spéciaux pour l’alimentation des moteurs au GNC et leur installation sur les véhicules à moteur</w:t>
            </w:r>
          </w:p>
        </w:tc>
        <w:tc>
          <w:tcPr>
            <w:tcW w:w="1597"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110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bl>
    <w:p>
      <w:pPr>
        <w:spacing w:before="240"/>
        <w:rPr>
          <w:rFonts w:eastAsia="Times New Roman"/>
          <w:b/>
          <w:bCs/>
          <w:noProof/>
          <w:spacing w:val="-8"/>
          <w:szCs w:val="24"/>
        </w:rPr>
      </w:pPr>
      <w:r>
        <w:rPr>
          <w:b/>
          <w:noProof/>
          <w:spacing w:val="-8"/>
        </w:rPr>
        <w:t xml:space="preserve">Prescriptions supplémentaires pour l’essai du système d’arrimage du fauteuil roulant et de retenue de son occupant </w:t>
      </w:r>
    </w:p>
    <w:tbl>
      <w:tblPr>
        <w:tblW w:w="5000" w:type="pct"/>
        <w:tblCellSpacing w:w="0" w:type="dxa"/>
        <w:tblCellMar>
          <w:left w:w="0" w:type="dxa"/>
          <w:right w:w="0" w:type="dxa"/>
        </w:tblCellMar>
        <w:tblLook w:val="04A0" w:firstRow="1" w:lastRow="0" w:firstColumn="1" w:lastColumn="0" w:noHBand="0" w:noVBand="1"/>
      </w:tblPr>
      <w:tblGrid>
        <w:gridCol w:w="11"/>
        <w:gridCol w:w="9060"/>
      </w:tblGrid>
      <w:tr>
        <w:trPr>
          <w:tblCellSpacing w:w="0" w:type="dxa"/>
        </w:trPr>
        <w:tc>
          <w:tcPr>
            <w:tcW w:w="0" w:type="auto"/>
            <w:hideMark/>
          </w:tcPr>
          <w:p>
            <w:pPr>
              <w:spacing w:before="0" w:after="0"/>
              <w:rPr>
                <w:rFonts w:eastAsia="Times New Roman"/>
                <w:noProof/>
                <w:spacing w:val="-8"/>
                <w:szCs w:val="24"/>
              </w:rPr>
            </w:pPr>
          </w:p>
        </w:tc>
        <w:tc>
          <w:tcPr>
            <w:tcW w:w="0" w:type="auto"/>
            <w:hideMark/>
          </w:tcPr>
          <w:p>
            <w:pPr>
              <w:spacing w:before="0" w:after="0"/>
              <w:rPr>
                <w:rFonts w:eastAsia="Times New Roman"/>
                <w:noProof/>
                <w:spacing w:val="-8"/>
                <w:szCs w:val="24"/>
              </w:rPr>
            </w:pPr>
            <w:r>
              <w:rPr>
                <w:noProof/>
                <w:spacing w:val="-8"/>
              </w:rPr>
              <w:t xml:space="preserve">La section 1 et la section 2 ou 3 suivantes s’appliquent. </w:t>
            </w:r>
          </w:p>
        </w:tc>
      </w:tr>
    </w:tbl>
    <w:p>
      <w:pPr>
        <w:spacing w:after="0"/>
        <w:rPr>
          <w:rFonts w:eastAsia="Times New Roman"/>
          <w:b/>
          <w:bCs/>
          <w:noProof/>
          <w:spacing w:val="-8"/>
          <w:szCs w:val="24"/>
        </w:rPr>
      </w:pPr>
      <w:r>
        <w:rPr>
          <w:b/>
          <w:noProof/>
          <w:spacing w:val="-8"/>
        </w:rPr>
        <w:t>1. Définitions</w:t>
      </w:r>
    </w:p>
    <w:tbl>
      <w:tblPr>
        <w:tblW w:w="5000" w:type="pct"/>
        <w:tblCellSpacing w:w="0" w:type="dxa"/>
        <w:tblCellMar>
          <w:left w:w="0" w:type="dxa"/>
          <w:right w:w="0" w:type="dxa"/>
        </w:tblCellMar>
        <w:tblLook w:val="04A0" w:firstRow="1" w:lastRow="0" w:firstColumn="1" w:lastColumn="0" w:noHBand="0" w:noVBand="1"/>
      </w:tblPr>
      <w:tblGrid>
        <w:gridCol w:w="426"/>
        <w:gridCol w:w="8645"/>
      </w:tblGrid>
      <w:tr>
        <w:trPr>
          <w:tblCellSpacing w:w="0" w:type="dxa"/>
        </w:trPr>
        <w:tc>
          <w:tcPr>
            <w:tcW w:w="235" w:type="pct"/>
            <w:hideMark/>
          </w:tcPr>
          <w:p>
            <w:pPr>
              <w:spacing w:after="0"/>
              <w:rPr>
                <w:rFonts w:eastAsia="Times New Roman"/>
                <w:noProof/>
                <w:spacing w:val="-8"/>
                <w:szCs w:val="24"/>
              </w:rPr>
            </w:pPr>
            <w:r>
              <w:rPr>
                <w:noProof/>
                <w:spacing w:val="-8"/>
              </w:rPr>
              <w:t>1.1.</w:t>
            </w:r>
          </w:p>
        </w:tc>
        <w:tc>
          <w:tcPr>
            <w:tcW w:w="4765" w:type="pct"/>
            <w:hideMark/>
          </w:tcPr>
          <w:p>
            <w:pPr>
              <w:spacing w:after="0"/>
              <w:rPr>
                <w:rFonts w:eastAsia="Times New Roman"/>
                <w:noProof/>
                <w:spacing w:val="-8"/>
                <w:szCs w:val="24"/>
              </w:rPr>
            </w:pPr>
            <w:r>
              <w:rPr>
                <w:noProof/>
                <w:spacing w:val="-8"/>
              </w:rPr>
              <w:t>Par «fauteuil de référence (SWC)», on entend un fauteuil roulant d’essai réutilisable, rigide, tel que défini à la section 3 de la norme ISO 10542-1:2012.</w:t>
            </w:r>
          </w:p>
        </w:tc>
      </w:tr>
      <w:tr>
        <w:trPr>
          <w:tblCellSpacing w:w="0" w:type="dxa"/>
        </w:trPr>
        <w:tc>
          <w:tcPr>
            <w:tcW w:w="235" w:type="pct"/>
            <w:hideMark/>
          </w:tcPr>
          <w:p>
            <w:pPr>
              <w:spacing w:after="0"/>
              <w:rPr>
                <w:rFonts w:eastAsia="Times New Roman"/>
                <w:noProof/>
                <w:spacing w:val="-8"/>
                <w:szCs w:val="24"/>
              </w:rPr>
            </w:pPr>
            <w:r>
              <w:rPr>
                <w:noProof/>
                <w:spacing w:val="-8"/>
              </w:rPr>
              <w:t>1.2.</w:t>
            </w:r>
          </w:p>
        </w:tc>
        <w:tc>
          <w:tcPr>
            <w:tcW w:w="4765" w:type="pct"/>
            <w:hideMark/>
          </w:tcPr>
          <w:p>
            <w:pPr>
              <w:spacing w:after="0"/>
              <w:rPr>
                <w:rFonts w:eastAsia="Times New Roman"/>
                <w:noProof/>
                <w:spacing w:val="-8"/>
                <w:szCs w:val="24"/>
              </w:rPr>
            </w:pPr>
            <w:r>
              <w:rPr>
                <w:noProof/>
                <w:spacing w:val="-8"/>
              </w:rPr>
              <w:t>Par « point P», on entend une représentation de la position de la hanche de l’occupant du fauteuil roulant lorsque celui-ci est assis dans le fauteuil de référence, tel que défini à la section 3 de la norme ISO 10542-1:2012.</w:t>
            </w:r>
          </w:p>
        </w:tc>
      </w:tr>
    </w:tbl>
    <w:p>
      <w:pPr>
        <w:spacing w:after="0"/>
        <w:rPr>
          <w:rFonts w:eastAsia="Times New Roman"/>
          <w:b/>
          <w:bCs/>
          <w:noProof/>
          <w:spacing w:val="-8"/>
          <w:szCs w:val="24"/>
        </w:rPr>
      </w:pPr>
      <w:r>
        <w:rPr>
          <w:b/>
          <w:noProof/>
          <w:spacing w:val="-8"/>
        </w:rPr>
        <w:t>2. Prescriptions générales</w:t>
      </w:r>
    </w:p>
    <w:tbl>
      <w:tblPr>
        <w:tblW w:w="5000" w:type="pct"/>
        <w:tblCellSpacing w:w="0" w:type="dxa"/>
        <w:tblCellMar>
          <w:left w:w="0" w:type="dxa"/>
          <w:right w:w="0" w:type="dxa"/>
        </w:tblCellMar>
        <w:tblLook w:val="04A0" w:firstRow="1" w:lastRow="0" w:firstColumn="1" w:lastColumn="0" w:noHBand="0" w:noVBand="1"/>
      </w:tblPr>
      <w:tblGrid>
        <w:gridCol w:w="568"/>
        <w:gridCol w:w="8503"/>
      </w:tblGrid>
      <w:tr>
        <w:trPr>
          <w:tblCellSpacing w:w="0" w:type="dxa"/>
        </w:trPr>
        <w:tc>
          <w:tcPr>
            <w:tcW w:w="313" w:type="pct"/>
            <w:hideMark/>
          </w:tcPr>
          <w:p>
            <w:pPr>
              <w:spacing w:after="0"/>
              <w:rPr>
                <w:rFonts w:eastAsia="Times New Roman"/>
                <w:noProof/>
                <w:spacing w:val="-8"/>
                <w:szCs w:val="24"/>
              </w:rPr>
            </w:pPr>
            <w:r>
              <w:rPr>
                <w:noProof/>
                <w:spacing w:val="-8"/>
              </w:rPr>
              <w:t>2.1.</w:t>
            </w:r>
          </w:p>
        </w:tc>
        <w:tc>
          <w:tcPr>
            <w:tcW w:w="4687" w:type="pct"/>
            <w:hideMark/>
          </w:tcPr>
          <w:p>
            <w:pPr>
              <w:spacing w:before="60" w:after="0"/>
              <w:rPr>
                <w:rFonts w:eastAsia="Times New Roman"/>
                <w:noProof/>
                <w:spacing w:val="-8"/>
                <w:szCs w:val="24"/>
              </w:rPr>
            </w:pPr>
            <w:r>
              <w:rPr>
                <w:noProof/>
                <w:spacing w:val="-8"/>
              </w:rPr>
              <w:t>Chaque emplacement de fauteuil roulant doit être pourvu d’ancrages auxquels doit être fixé un système d’arrimage du fauteuil roulant et de retenue de son occupant (WTORS).</w:t>
            </w:r>
          </w:p>
        </w:tc>
      </w:tr>
      <w:tr>
        <w:trPr>
          <w:tblCellSpacing w:w="0" w:type="dxa"/>
        </w:trPr>
        <w:tc>
          <w:tcPr>
            <w:tcW w:w="313" w:type="pct"/>
            <w:hideMark/>
          </w:tcPr>
          <w:p>
            <w:pPr>
              <w:spacing w:after="0"/>
              <w:rPr>
                <w:rFonts w:eastAsia="Times New Roman"/>
                <w:noProof/>
                <w:spacing w:val="-8"/>
                <w:szCs w:val="24"/>
              </w:rPr>
            </w:pPr>
            <w:r>
              <w:rPr>
                <w:noProof/>
                <w:spacing w:val="-8"/>
              </w:rPr>
              <w:t>2.2.</w:t>
            </w:r>
          </w:p>
        </w:tc>
        <w:tc>
          <w:tcPr>
            <w:tcW w:w="4687" w:type="pct"/>
            <w:hideMark/>
          </w:tcPr>
          <w:p>
            <w:pPr>
              <w:spacing w:before="60" w:after="0"/>
              <w:rPr>
                <w:rFonts w:eastAsia="Times New Roman"/>
                <w:noProof/>
                <w:spacing w:val="-8"/>
                <w:szCs w:val="24"/>
              </w:rPr>
            </w:pPr>
            <w:r>
              <w:rPr>
                <w:noProof/>
                <w:spacing w:val="-8"/>
              </w:rPr>
              <w:t>Les ancrages inférieurs de la ceinture de sécurité de l’occupant d’un fauteuil roulant doivent être positionnés conformément au paragraphe 5.4.2.2 du règlement n</w:t>
            </w:r>
            <w:r>
              <w:rPr>
                <w:noProof/>
                <w:spacing w:val="-8"/>
                <w:vertAlign w:val="superscript"/>
              </w:rPr>
              <w:t>o</w:t>
            </w:r>
            <w:r>
              <w:rPr>
                <w:noProof/>
                <w:spacing w:val="-8"/>
              </w:rPr>
              <w:t> 14-07 de la CEE-ONU, par rapport au point P sur le fauteuil de référence quand il est placé dans la position de route désignée par le constructeur. Le ou les ancrages supérieurs effectifs doivent être positionnés au moins 1 100 mm au-dessus du plan horizontal passant par les points de contact entre les pneumatiques arrières du fauteuil de référence et le plancher du véhicule. Cette condition doit encore être remplie après l’essai réalisé conformément à la section 3 du présent appendice.</w:t>
            </w:r>
          </w:p>
        </w:tc>
      </w:tr>
      <w:tr>
        <w:trPr>
          <w:tblCellSpacing w:w="0" w:type="dxa"/>
        </w:trPr>
        <w:tc>
          <w:tcPr>
            <w:tcW w:w="313" w:type="pct"/>
            <w:hideMark/>
          </w:tcPr>
          <w:p>
            <w:pPr>
              <w:spacing w:after="0"/>
              <w:rPr>
                <w:rFonts w:eastAsia="Times New Roman"/>
                <w:noProof/>
                <w:spacing w:val="-8"/>
                <w:szCs w:val="24"/>
              </w:rPr>
            </w:pPr>
            <w:r>
              <w:rPr>
                <w:noProof/>
                <w:spacing w:val="-8"/>
              </w:rPr>
              <w:t>2.3.</w:t>
            </w:r>
          </w:p>
        </w:tc>
        <w:tc>
          <w:tcPr>
            <w:tcW w:w="4687" w:type="pct"/>
            <w:hideMark/>
          </w:tcPr>
          <w:p>
            <w:pPr>
              <w:spacing w:before="60" w:after="0"/>
              <w:rPr>
                <w:rFonts w:eastAsia="Times New Roman"/>
                <w:noProof/>
                <w:spacing w:val="-8"/>
                <w:szCs w:val="24"/>
              </w:rPr>
            </w:pPr>
            <w:r>
              <w:rPr>
                <w:noProof/>
                <w:spacing w:val="-8"/>
              </w:rPr>
              <w:t>La conformité de la ceinture de sécurité de l’occupant du système WTORS aux prescriptions des paragraphes 8.2.2 à 8.2.2.4 et 8.3.1 à 8.3.4 du règlement n</w:t>
            </w:r>
            <w:r>
              <w:rPr>
                <w:noProof/>
                <w:spacing w:val="-8"/>
                <w:vertAlign w:val="superscript"/>
              </w:rPr>
              <w:t>o</w:t>
            </w:r>
            <w:r>
              <w:rPr>
                <w:noProof/>
                <w:spacing w:val="-8"/>
              </w:rPr>
              <w:t> 16-06 de la CEE-ONU doit être vérifiée.</w:t>
            </w:r>
          </w:p>
        </w:tc>
      </w:tr>
      <w:tr>
        <w:trPr>
          <w:tblCellSpacing w:w="0" w:type="dxa"/>
        </w:trPr>
        <w:tc>
          <w:tcPr>
            <w:tcW w:w="313" w:type="pct"/>
            <w:hideMark/>
          </w:tcPr>
          <w:p>
            <w:pPr>
              <w:spacing w:after="0"/>
              <w:rPr>
                <w:rFonts w:eastAsia="Times New Roman"/>
                <w:noProof/>
                <w:spacing w:val="-8"/>
                <w:szCs w:val="24"/>
              </w:rPr>
            </w:pPr>
            <w:r>
              <w:rPr>
                <w:noProof/>
                <w:spacing w:val="-8"/>
              </w:rPr>
              <w:t>2.4.</w:t>
            </w:r>
          </w:p>
        </w:tc>
        <w:tc>
          <w:tcPr>
            <w:tcW w:w="4687" w:type="pct"/>
            <w:hideMark/>
          </w:tcPr>
          <w:p>
            <w:pPr>
              <w:spacing w:before="60" w:after="0"/>
              <w:rPr>
                <w:rFonts w:eastAsia="Times New Roman"/>
                <w:noProof/>
                <w:spacing w:val="-8"/>
                <w:szCs w:val="24"/>
              </w:rPr>
            </w:pPr>
            <w:r>
              <w:rPr>
                <w:noProof/>
                <w:spacing w:val="-8"/>
              </w:rPr>
              <w:t>Le nombre minimum d’ancrages pour siège d’enfant ISOFIX ne doit pas être indiqué. Dans le cas d’une réception par type multi-étapes, lorsqu’un système d’ancrage ISOFIX a été affecté par la conversion du véhicule, le système doit faire l’objet d’un nouvel essai ou les ancrages doivent être rendus inutilisables. Dans ce dernier cas, les étiquettes ISOFIX doivent être retirées et des informations appropriées doivent être communiquées à l’acquéreur du véhicule.</w:t>
            </w:r>
          </w:p>
        </w:tc>
      </w:tr>
    </w:tbl>
    <w:p>
      <w:pPr>
        <w:spacing w:before="240"/>
        <w:rPr>
          <w:rFonts w:eastAsia="Times New Roman"/>
          <w:b/>
          <w:bCs/>
          <w:noProof/>
          <w:spacing w:val="-8"/>
          <w:szCs w:val="24"/>
        </w:rPr>
      </w:pPr>
      <w:r>
        <w:rPr>
          <w:b/>
          <w:noProof/>
          <w:spacing w:val="-8"/>
        </w:rPr>
        <w:t>3. Essai statique dans le véhicule</w:t>
      </w:r>
    </w:p>
    <w:p>
      <w:pPr>
        <w:spacing w:after="0"/>
        <w:rPr>
          <w:rFonts w:eastAsia="Times New Roman"/>
          <w:b/>
          <w:bCs/>
          <w:noProof/>
          <w:spacing w:val="-8"/>
          <w:szCs w:val="24"/>
        </w:rPr>
      </w:pPr>
      <w:r>
        <w:rPr>
          <w:b/>
          <w:noProof/>
          <w:spacing w:val="-8"/>
        </w:rPr>
        <w:t>3.1. Ancrages de retenue de l’occupant d’un fauteuil roulant</w:t>
      </w:r>
    </w:p>
    <w:tbl>
      <w:tblPr>
        <w:tblW w:w="5000" w:type="pct"/>
        <w:tblCellSpacing w:w="0" w:type="dxa"/>
        <w:tblCellMar>
          <w:left w:w="0" w:type="dxa"/>
          <w:right w:w="0" w:type="dxa"/>
        </w:tblCellMar>
        <w:tblLook w:val="04A0" w:firstRow="1" w:lastRow="0" w:firstColumn="1" w:lastColumn="0" w:noHBand="0" w:noVBand="1"/>
      </w:tblPr>
      <w:tblGrid>
        <w:gridCol w:w="568"/>
        <w:gridCol w:w="8503"/>
      </w:tblGrid>
      <w:tr>
        <w:trPr>
          <w:tblCellSpacing w:w="0" w:type="dxa"/>
        </w:trPr>
        <w:tc>
          <w:tcPr>
            <w:tcW w:w="313" w:type="pct"/>
            <w:hideMark/>
          </w:tcPr>
          <w:p>
            <w:pPr>
              <w:spacing w:after="0"/>
              <w:rPr>
                <w:rFonts w:eastAsia="Times New Roman"/>
                <w:noProof/>
                <w:spacing w:val="-8"/>
                <w:szCs w:val="24"/>
              </w:rPr>
            </w:pPr>
            <w:r>
              <w:rPr>
                <w:noProof/>
                <w:spacing w:val="-8"/>
              </w:rPr>
              <w:t>3.1.1.</w:t>
            </w:r>
          </w:p>
        </w:tc>
        <w:tc>
          <w:tcPr>
            <w:tcW w:w="4687" w:type="pct"/>
            <w:hideMark/>
          </w:tcPr>
          <w:p>
            <w:pPr>
              <w:spacing w:after="0"/>
              <w:rPr>
                <w:rFonts w:eastAsia="Times New Roman"/>
                <w:noProof/>
                <w:spacing w:val="-8"/>
                <w:szCs w:val="24"/>
              </w:rPr>
            </w:pPr>
            <w:r>
              <w:rPr>
                <w:noProof/>
                <w:spacing w:val="-8"/>
              </w:rPr>
              <w:t>Les ancrages de retenue de l’occupant d’un fauteuil roulant doivent résister aux forces statiques prescrites pour les ancrages de retenue de l’occupant dans le règlement n</w:t>
            </w:r>
            <w:r>
              <w:rPr>
                <w:noProof/>
                <w:spacing w:val="-8"/>
                <w:vertAlign w:val="superscript"/>
              </w:rPr>
              <w:t>o</w:t>
            </w:r>
            <w:r>
              <w:rPr>
                <w:noProof/>
                <w:spacing w:val="-8"/>
              </w:rPr>
              <w:t> 14-07 de la CEE-ONU conjuguées aux forces statiques appliquées aux ancrages d’arrimage du fauteuil roulant comme spécifié au point 3.2 du présent appendice.</w:t>
            </w:r>
          </w:p>
        </w:tc>
      </w:tr>
    </w:tbl>
    <w:p>
      <w:pPr>
        <w:spacing w:after="0"/>
        <w:rPr>
          <w:rFonts w:eastAsia="Times New Roman"/>
          <w:b/>
          <w:bCs/>
          <w:noProof/>
          <w:spacing w:val="-8"/>
          <w:szCs w:val="24"/>
        </w:rPr>
      </w:pPr>
      <w:r>
        <w:rPr>
          <w:b/>
          <w:noProof/>
          <w:spacing w:val="-8"/>
        </w:rPr>
        <w:t>3.2. Ancrages d’arrimage d’un fauteuil roulant</w:t>
      </w:r>
    </w:p>
    <w:p>
      <w:pPr>
        <w:spacing w:after="0"/>
        <w:rPr>
          <w:rFonts w:eastAsia="Times New Roman"/>
          <w:noProof/>
          <w:spacing w:val="-8"/>
          <w:szCs w:val="24"/>
        </w:rPr>
      </w:pPr>
      <w:r>
        <w:rPr>
          <w:noProof/>
          <w:spacing w:val="-8"/>
        </w:rPr>
        <w:t>Les ancrages d’arrimage d’un fauteuil roulant doivent résister, pendant au moins 0,2 seconde, aux forces suivantes appliquées via le fauteuil de référence (ou un autre fauteuil approprié ayant un empattement, une hauteur de siège et des points d’arrimage correspondant aux spécifications du fauteuil de référence, à une hauteur de 300 +/- 100 mm de la surface sur laquelle repose le fauteuil de référence:</w:t>
      </w:r>
    </w:p>
    <w:tbl>
      <w:tblPr>
        <w:tblW w:w="5000" w:type="pct"/>
        <w:tblCellSpacing w:w="0" w:type="dxa"/>
        <w:tblCellMar>
          <w:left w:w="0" w:type="dxa"/>
          <w:right w:w="0" w:type="dxa"/>
        </w:tblCellMar>
        <w:tblLook w:val="04A0" w:firstRow="1" w:lastRow="0" w:firstColumn="1" w:lastColumn="0" w:noHBand="0" w:noVBand="1"/>
      </w:tblPr>
      <w:tblGrid>
        <w:gridCol w:w="568"/>
        <w:gridCol w:w="8503"/>
      </w:tblGrid>
      <w:tr>
        <w:trPr>
          <w:tblCellSpacing w:w="0" w:type="dxa"/>
        </w:trPr>
        <w:tc>
          <w:tcPr>
            <w:tcW w:w="313" w:type="pct"/>
            <w:hideMark/>
          </w:tcPr>
          <w:p>
            <w:pPr>
              <w:spacing w:after="0"/>
              <w:rPr>
                <w:rFonts w:eastAsia="Times New Roman"/>
                <w:noProof/>
                <w:spacing w:val="-8"/>
                <w:szCs w:val="24"/>
              </w:rPr>
            </w:pPr>
            <w:r>
              <w:rPr>
                <w:noProof/>
                <w:spacing w:val="-8"/>
              </w:rPr>
              <w:t>3.2.1.</w:t>
            </w:r>
          </w:p>
        </w:tc>
        <w:tc>
          <w:tcPr>
            <w:tcW w:w="4687" w:type="pct"/>
            <w:hideMark/>
          </w:tcPr>
          <w:p>
            <w:pPr>
              <w:spacing w:after="0"/>
              <w:rPr>
                <w:rFonts w:eastAsia="Times New Roman"/>
                <w:noProof/>
                <w:spacing w:val="-8"/>
                <w:szCs w:val="24"/>
              </w:rPr>
            </w:pPr>
            <w:r>
              <w:rPr>
                <w:noProof/>
                <w:spacing w:val="-8"/>
              </w:rPr>
              <w:t>dans le cas d’un fauteuil roulant faisant face vers l’avant, une force simultanée, coïncidant avec la force appliquée aux ancrages de retenue de l’occupant, de 24,5 kN et,</w:t>
            </w:r>
          </w:p>
        </w:tc>
      </w:tr>
      <w:tr>
        <w:trPr>
          <w:tblCellSpacing w:w="0" w:type="dxa"/>
        </w:trPr>
        <w:tc>
          <w:tcPr>
            <w:tcW w:w="313" w:type="pct"/>
            <w:hideMark/>
          </w:tcPr>
          <w:p>
            <w:pPr>
              <w:spacing w:after="0"/>
              <w:rPr>
                <w:rFonts w:eastAsia="Times New Roman"/>
                <w:noProof/>
                <w:spacing w:val="-8"/>
                <w:szCs w:val="24"/>
              </w:rPr>
            </w:pPr>
            <w:r>
              <w:rPr>
                <w:noProof/>
                <w:spacing w:val="-8"/>
              </w:rPr>
              <w:t>3.2.2.</w:t>
            </w:r>
          </w:p>
        </w:tc>
        <w:tc>
          <w:tcPr>
            <w:tcW w:w="4687" w:type="pct"/>
            <w:hideMark/>
          </w:tcPr>
          <w:p>
            <w:pPr>
              <w:spacing w:after="0"/>
              <w:rPr>
                <w:rFonts w:eastAsia="Times New Roman"/>
                <w:noProof/>
                <w:spacing w:val="-8"/>
                <w:szCs w:val="24"/>
              </w:rPr>
            </w:pPr>
            <w:r>
              <w:rPr>
                <w:noProof/>
                <w:spacing w:val="-8"/>
              </w:rPr>
              <w:t>lors d’un second essai, une force statique de 8,2 kN dirigée vers l’arrière du véhicule;</w:t>
            </w:r>
          </w:p>
        </w:tc>
      </w:tr>
      <w:tr>
        <w:trPr>
          <w:tblCellSpacing w:w="0" w:type="dxa"/>
        </w:trPr>
        <w:tc>
          <w:tcPr>
            <w:tcW w:w="313" w:type="pct"/>
            <w:hideMark/>
          </w:tcPr>
          <w:p>
            <w:pPr>
              <w:spacing w:after="0"/>
              <w:rPr>
                <w:rFonts w:eastAsia="Times New Roman"/>
                <w:noProof/>
                <w:spacing w:val="-8"/>
                <w:szCs w:val="24"/>
              </w:rPr>
            </w:pPr>
            <w:r>
              <w:rPr>
                <w:noProof/>
                <w:spacing w:val="-8"/>
              </w:rPr>
              <w:t>3.2.3.</w:t>
            </w:r>
          </w:p>
        </w:tc>
        <w:tc>
          <w:tcPr>
            <w:tcW w:w="4687" w:type="pct"/>
            <w:hideMark/>
          </w:tcPr>
          <w:p>
            <w:pPr>
              <w:spacing w:after="0"/>
              <w:rPr>
                <w:rFonts w:eastAsia="Times New Roman"/>
                <w:noProof/>
                <w:spacing w:val="-8"/>
                <w:szCs w:val="24"/>
              </w:rPr>
            </w:pPr>
            <w:r>
              <w:rPr>
                <w:noProof/>
                <w:spacing w:val="-8"/>
              </w:rPr>
              <w:t>dans le cas d’un fauteuil roulant faisant face vers l’arrière, une force simultanée, coïncidant avec la force appliquée aux ancrages de retenue de l’occupant, de 8,2 kN et,</w:t>
            </w:r>
          </w:p>
        </w:tc>
      </w:tr>
      <w:tr>
        <w:trPr>
          <w:tblCellSpacing w:w="0" w:type="dxa"/>
        </w:trPr>
        <w:tc>
          <w:tcPr>
            <w:tcW w:w="313" w:type="pct"/>
            <w:hideMark/>
          </w:tcPr>
          <w:p>
            <w:pPr>
              <w:spacing w:after="0"/>
              <w:rPr>
                <w:rFonts w:eastAsia="Times New Roman"/>
                <w:noProof/>
                <w:spacing w:val="-8"/>
                <w:szCs w:val="24"/>
              </w:rPr>
            </w:pPr>
            <w:r>
              <w:rPr>
                <w:noProof/>
                <w:spacing w:val="-8"/>
              </w:rPr>
              <w:t>3.2.4.</w:t>
            </w:r>
          </w:p>
        </w:tc>
        <w:tc>
          <w:tcPr>
            <w:tcW w:w="4687" w:type="pct"/>
            <w:hideMark/>
          </w:tcPr>
          <w:p>
            <w:pPr>
              <w:spacing w:after="0"/>
              <w:rPr>
                <w:rFonts w:eastAsia="Times New Roman"/>
                <w:noProof/>
                <w:spacing w:val="-8"/>
                <w:szCs w:val="24"/>
              </w:rPr>
            </w:pPr>
            <w:r>
              <w:rPr>
                <w:noProof/>
                <w:spacing w:val="-8"/>
              </w:rPr>
              <w:t>lors d’un second essai, une force statique de 24,5 kN dirigée vers l’avant du véhicule;</w:t>
            </w:r>
          </w:p>
        </w:tc>
      </w:tr>
    </w:tbl>
    <w:p>
      <w:pPr>
        <w:spacing w:after="0"/>
        <w:rPr>
          <w:rFonts w:eastAsia="Times New Roman"/>
          <w:b/>
          <w:bCs/>
          <w:noProof/>
          <w:spacing w:val="-8"/>
          <w:szCs w:val="24"/>
        </w:rPr>
      </w:pPr>
      <w:r>
        <w:rPr>
          <w:b/>
          <w:noProof/>
          <w:spacing w:val="-8"/>
        </w:rPr>
        <w:t>3.3. Composants du système</w:t>
      </w:r>
    </w:p>
    <w:tbl>
      <w:tblPr>
        <w:tblW w:w="5000" w:type="pct"/>
        <w:tblCellSpacing w:w="0" w:type="dxa"/>
        <w:tblCellMar>
          <w:left w:w="0" w:type="dxa"/>
          <w:right w:w="0" w:type="dxa"/>
        </w:tblCellMar>
        <w:tblLook w:val="04A0" w:firstRow="1" w:lastRow="0" w:firstColumn="1" w:lastColumn="0" w:noHBand="0" w:noVBand="1"/>
      </w:tblPr>
      <w:tblGrid>
        <w:gridCol w:w="568"/>
        <w:gridCol w:w="8503"/>
      </w:tblGrid>
      <w:tr>
        <w:trPr>
          <w:tblCellSpacing w:w="0" w:type="dxa"/>
        </w:trPr>
        <w:tc>
          <w:tcPr>
            <w:tcW w:w="313" w:type="pct"/>
            <w:hideMark/>
          </w:tcPr>
          <w:p>
            <w:pPr>
              <w:spacing w:after="0"/>
              <w:rPr>
                <w:rFonts w:eastAsia="Times New Roman"/>
                <w:noProof/>
                <w:spacing w:val="-8"/>
                <w:szCs w:val="24"/>
              </w:rPr>
            </w:pPr>
            <w:r>
              <w:rPr>
                <w:noProof/>
                <w:spacing w:val="-8"/>
              </w:rPr>
              <w:t>3.3.1.</w:t>
            </w:r>
          </w:p>
        </w:tc>
        <w:tc>
          <w:tcPr>
            <w:tcW w:w="4687" w:type="pct"/>
            <w:hideMark/>
          </w:tcPr>
          <w:p>
            <w:pPr>
              <w:spacing w:after="0"/>
              <w:rPr>
                <w:rFonts w:eastAsia="Times New Roman"/>
                <w:noProof/>
                <w:spacing w:val="-8"/>
                <w:szCs w:val="24"/>
              </w:rPr>
            </w:pPr>
            <w:r>
              <w:rPr>
                <w:noProof/>
                <w:spacing w:val="-8"/>
              </w:rPr>
              <w:t>Tous les composants du système WTORS doivent satisfaire aux prescriptions correspondantes de la norme ISO 10542-1:2012. Toutefois, l’essai dynamique spécifié dans l’annexe A et aux paragraphes 5.2.2 et 5.2.3 de la norme ISO 10542-1:2012 doit être réalisé sur le système WTORS complet en utilisant la géométrie des ancrages du véhicule au lieu de la géométrie d’essai spécifiée dans l’annexe A de la norme ISO 10542-1:2012. Ceci peut se faire à l’intérieur de la structure du véhicule ou sur une structure de remplacement représentative de la géométrie des ancrages du système WTORS du véhicule. L’emplacement de chaque ancrage doit respecter la tolérance indiquée au paragraphe 7.7.1 du règlement n</w:t>
            </w:r>
            <w:r>
              <w:rPr>
                <w:noProof/>
                <w:spacing w:val="-8"/>
                <w:vertAlign w:val="superscript"/>
              </w:rPr>
              <w:t>o</w:t>
            </w:r>
            <w:r>
              <w:rPr>
                <w:noProof/>
                <w:spacing w:val="-8"/>
              </w:rPr>
              <w:t> 16-06 de la CEE-ONU.</w:t>
            </w:r>
          </w:p>
        </w:tc>
      </w:tr>
      <w:tr>
        <w:trPr>
          <w:tblCellSpacing w:w="0" w:type="dxa"/>
        </w:trPr>
        <w:tc>
          <w:tcPr>
            <w:tcW w:w="313" w:type="pct"/>
            <w:hideMark/>
          </w:tcPr>
          <w:p>
            <w:pPr>
              <w:spacing w:after="0"/>
              <w:rPr>
                <w:rFonts w:eastAsia="Times New Roman"/>
                <w:noProof/>
                <w:spacing w:val="-8"/>
                <w:szCs w:val="24"/>
              </w:rPr>
            </w:pPr>
            <w:r>
              <w:rPr>
                <w:noProof/>
                <w:spacing w:val="-8"/>
              </w:rPr>
              <w:t>3.3.2.</w:t>
            </w:r>
          </w:p>
        </w:tc>
        <w:tc>
          <w:tcPr>
            <w:tcW w:w="4687" w:type="pct"/>
            <w:hideMark/>
          </w:tcPr>
          <w:p>
            <w:pPr>
              <w:spacing w:after="0"/>
              <w:rPr>
                <w:rFonts w:eastAsia="Times New Roman"/>
                <w:noProof/>
                <w:spacing w:val="-8"/>
                <w:szCs w:val="24"/>
              </w:rPr>
            </w:pPr>
            <w:r>
              <w:rPr>
                <w:noProof/>
                <w:spacing w:val="-8"/>
              </w:rPr>
              <w:t>Si la partie du système WTORS qui retient l’occupant est homologuée au titre du règlement n</w:t>
            </w:r>
            <w:r>
              <w:rPr>
                <w:noProof/>
                <w:spacing w:val="-8"/>
                <w:vertAlign w:val="superscript"/>
              </w:rPr>
              <w:t>o</w:t>
            </w:r>
            <w:r>
              <w:rPr>
                <w:noProof/>
                <w:spacing w:val="-8"/>
              </w:rPr>
              <w:t> 16-06 de la CEE-ONU, elle doit être soumise à l’essai dynamique du système WTORS complet spécifié au paragraphe 3.3.1 du présent appendice, mais les prescriptions des paragraphes 5.1, 5.3 et 5.4 de la norme ISO10542-1:2012 sont à considérer comme respectées.</w:t>
            </w:r>
          </w:p>
        </w:tc>
      </w:tr>
    </w:tbl>
    <w:p>
      <w:pPr>
        <w:spacing w:after="0"/>
        <w:rPr>
          <w:rFonts w:eastAsia="Times New Roman"/>
          <w:b/>
          <w:bCs/>
          <w:noProof/>
          <w:spacing w:val="-8"/>
          <w:szCs w:val="24"/>
        </w:rPr>
      </w:pPr>
      <w:r>
        <w:rPr>
          <w:b/>
          <w:noProof/>
          <w:spacing w:val="-8"/>
        </w:rPr>
        <w:t>4. Essai dynamique dans le véhicule</w:t>
      </w:r>
    </w:p>
    <w:tbl>
      <w:tblPr>
        <w:tblW w:w="5000" w:type="pct"/>
        <w:tblCellSpacing w:w="0" w:type="dxa"/>
        <w:tblCellMar>
          <w:left w:w="0" w:type="dxa"/>
          <w:right w:w="0" w:type="dxa"/>
        </w:tblCellMar>
        <w:tblLook w:val="04A0" w:firstRow="1" w:lastRow="0" w:firstColumn="1" w:lastColumn="0" w:noHBand="0" w:noVBand="1"/>
      </w:tblPr>
      <w:tblGrid>
        <w:gridCol w:w="426"/>
        <w:gridCol w:w="8645"/>
      </w:tblGrid>
      <w:tr>
        <w:trPr>
          <w:tblCellSpacing w:w="0" w:type="dxa"/>
        </w:trPr>
        <w:tc>
          <w:tcPr>
            <w:tcW w:w="235" w:type="pct"/>
            <w:hideMark/>
          </w:tcPr>
          <w:p>
            <w:pPr>
              <w:spacing w:after="0"/>
              <w:rPr>
                <w:rFonts w:eastAsia="Times New Roman"/>
                <w:noProof/>
                <w:spacing w:val="-8"/>
                <w:szCs w:val="24"/>
              </w:rPr>
            </w:pPr>
            <w:r>
              <w:rPr>
                <w:noProof/>
                <w:spacing w:val="-8"/>
              </w:rPr>
              <w:t>4.1.</w:t>
            </w:r>
          </w:p>
        </w:tc>
        <w:tc>
          <w:tcPr>
            <w:tcW w:w="4765" w:type="pct"/>
            <w:hideMark/>
          </w:tcPr>
          <w:p>
            <w:pPr>
              <w:spacing w:after="0"/>
              <w:rPr>
                <w:rFonts w:eastAsia="Times New Roman"/>
                <w:noProof/>
                <w:spacing w:val="-8"/>
                <w:szCs w:val="24"/>
              </w:rPr>
            </w:pPr>
            <w:r>
              <w:rPr>
                <w:noProof/>
                <w:spacing w:val="-8"/>
              </w:rPr>
              <w:t>L’ensemble complet du système WTORS doit être soumis à un essai dynamique dans le véhicule conformément aux paragraphes 5.2.2 et 5.2.3 et à l’annexe A de la norme ISO 10542-1:2012, au cours duquel tous les composants/ancrages sont mis à l’essai simultanément, en utilisant une carrosserie nue ou une structure représentative du véhicule.</w:t>
            </w:r>
          </w:p>
        </w:tc>
      </w:tr>
      <w:tr>
        <w:trPr>
          <w:tblCellSpacing w:w="0" w:type="dxa"/>
        </w:trPr>
        <w:tc>
          <w:tcPr>
            <w:tcW w:w="235" w:type="pct"/>
            <w:hideMark/>
          </w:tcPr>
          <w:p>
            <w:pPr>
              <w:spacing w:after="0"/>
              <w:rPr>
                <w:rFonts w:eastAsia="Times New Roman"/>
                <w:noProof/>
                <w:spacing w:val="-8"/>
                <w:szCs w:val="24"/>
              </w:rPr>
            </w:pPr>
            <w:r>
              <w:rPr>
                <w:noProof/>
                <w:spacing w:val="-8"/>
              </w:rPr>
              <w:t>4.2.</w:t>
            </w:r>
          </w:p>
        </w:tc>
        <w:tc>
          <w:tcPr>
            <w:tcW w:w="4765" w:type="pct"/>
            <w:hideMark/>
          </w:tcPr>
          <w:p>
            <w:pPr>
              <w:spacing w:after="0"/>
              <w:rPr>
                <w:rFonts w:eastAsia="Times New Roman"/>
                <w:noProof/>
                <w:spacing w:val="-8"/>
                <w:szCs w:val="24"/>
              </w:rPr>
            </w:pPr>
            <w:r>
              <w:rPr>
                <w:noProof/>
                <w:spacing w:val="-8"/>
              </w:rPr>
              <w:t>Les composants du système WTORS doivent satisfaire aux prescriptions correspondantes des paragraphes 5.1, 5.3 et 5.4 de la norme ISO10542-1:2012. Ces prescriptions sont considérées comme satisfaites en ce qui concerne le système de retenue de l’occupant si celui-ci est homologué au titre du règlement n</w:t>
            </w:r>
            <w:r>
              <w:rPr>
                <w:noProof/>
                <w:spacing w:val="-8"/>
                <w:vertAlign w:val="superscript"/>
              </w:rPr>
              <w:t>o</w:t>
            </w:r>
            <w:r>
              <w:rPr>
                <w:noProof/>
                <w:spacing w:val="-8"/>
              </w:rPr>
              <w:t> 16-06 de la CEE-ONU.</w:t>
            </w:r>
          </w:p>
        </w:tc>
      </w:tr>
    </w:tbl>
    <w:p>
      <w:pPr>
        <w:spacing w:after="0"/>
        <w:rPr>
          <w:rFonts w:eastAsia="Arial Unicode MS"/>
          <w:noProof/>
          <w:spacing w:val="-8"/>
          <w:szCs w:val="24"/>
        </w:rPr>
      </w:pPr>
      <w:r>
        <w:rPr>
          <w:rFonts w:eastAsia="Arial Unicode MS"/>
          <w:noProof/>
          <w:spacing w:val="-8"/>
          <w:szCs w:val="24"/>
        </w:rPr>
        <w:pict>
          <v:rect id="_x0000_i1037" style="width:45.35pt;height:.75pt" o:hrpct="100" o:hralign="center" o:hrstd="t" o:hrnoshade="t" o:hr="t" fillcolor="black" stroked="f"/>
        </w:pict>
      </w:r>
    </w:p>
    <w:p>
      <w:pPr>
        <w:jc w:val="center"/>
        <w:rPr>
          <w:rFonts w:eastAsia="Arial Unicode MS"/>
          <w:i/>
          <w:iCs/>
          <w:noProof/>
          <w:spacing w:val="-8"/>
          <w:szCs w:val="24"/>
        </w:rPr>
      </w:pPr>
      <w:r>
        <w:rPr>
          <w:noProof/>
          <w:spacing w:val="-8"/>
        </w:rPr>
        <w:br w:type="page"/>
      </w:r>
      <w:r>
        <w:rPr>
          <w:i/>
          <w:noProof/>
          <w:spacing w:val="-8"/>
        </w:rPr>
        <w:t>Appendice 4</w:t>
      </w:r>
    </w:p>
    <w:p>
      <w:pPr>
        <w:jc w:val="center"/>
        <w:rPr>
          <w:rFonts w:eastAsia="Arial Unicode MS"/>
          <w:b/>
          <w:bCs/>
          <w:noProof/>
          <w:spacing w:val="-8"/>
          <w:szCs w:val="24"/>
        </w:rPr>
      </w:pPr>
      <w:r>
        <w:rPr>
          <w:b/>
          <w:noProof/>
          <w:spacing w:val="-8"/>
        </w:rPr>
        <w:t>Autres véhicules à usage spécial (y compris groupe spécial, véhicules porte-équipements et caravanes)</w:t>
      </w:r>
    </w:p>
    <w:p>
      <w:pPr>
        <w:rPr>
          <w:noProof/>
          <w:spacing w:val="-8"/>
        </w:rPr>
      </w:pPr>
      <w:r>
        <w:rPr>
          <w:noProof/>
          <w:spacing w:val="-8"/>
        </w:rPr>
        <w:t>Les exemptions prévues dans le présent appendice ne sont permises que si le constructeur démontre, à la satisfaction de l’autorité compétente en matière de réception, que le véhicule, du fait de sa fonction spéciale, ne peut satisfaire à toutes les prescriptions énoncées dans la partie I de l’annexe IV.</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81"/>
        <w:gridCol w:w="2509"/>
        <w:gridCol w:w="1600"/>
        <w:gridCol w:w="477"/>
        <w:gridCol w:w="477"/>
        <w:gridCol w:w="479"/>
        <w:gridCol w:w="479"/>
        <w:gridCol w:w="479"/>
        <w:gridCol w:w="430"/>
        <w:gridCol w:w="430"/>
        <w:gridCol w:w="430"/>
        <w:gridCol w:w="430"/>
      </w:tblGrid>
      <w:tr>
        <w:trPr>
          <w:cantSplit/>
          <w:tblCellSpacing w:w="0" w:type="dxa"/>
        </w:trPr>
        <w:tc>
          <w:tcPr>
            <w:tcW w:w="0" w:type="auto"/>
            <w:hideMark/>
          </w:tcPr>
          <w:p>
            <w:pPr>
              <w:spacing w:before="60" w:after="60"/>
              <w:ind w:right="195"/>
              <w:jc w:val="center"/>
              <w:rPr>
                <w:rFonts w:eastAsia="Times New Roman"/>
                <w:b/>
                <w:bCs/>
                <w:noProof/>
                <w:spacing w:val="-8"/>
                <w:sz w:val="20"/>
                <w:szCs w:val="20"/>
              </w:rPr>
            </w:pPr>
            <w:r>
              <w:rPr>
                <w:b/>
                <w:noProof/>
                <w:spacing w:val="-8"/>
                <w:sz w:val="20"/>
              </w:rPr>
              <w:t>Élément</w:t>
            </w:r>
          </w:p>
        </w:tc>
        <w:tc>
          <w:tcPr>
            <w:tcW w:w="1378" w:type="pct"/>
            <w:hideMark/>
          </w:tcPr>
          <w:p>
            <w:pPr>
              <w:spacing w:before="60" w:after="60"/>
              <w:ind w:right="195"/>
              <w:jc w:val="center"/>
              <w:rPr>
                <w:rFonts w:eastAsia="Times New Roman"/>
                <w:b/>
                <w:bCs/>
                <w:noProof/>
                <w:spacing w:val="-8"/>
                <w:sz w:val="20"/>
                <w:szCs w:val="20"/>
              </w:rPr>
            </w:pPr>
            <w:r>
              <w:rPr>
                <w:b/>
                <w:noProof/>
                <w:spacing w:val="-8"/>
                <w:sz w:val="20"/>
              </w:rPr>
              <w:t>Objet</w:t>
            </w:r>
          </w:p>
        </w:tc>
        <w:tc>
          <w:tcPr>
            <w:tcW w:w="879" w:type="pct"/>
            <w:hideMark/>
          </w:tcPr>
          <w:p>
            <w:pPr>
              <w:spacing w:before="60" w:after="60"/>
              <w:ind w:right="195"/>
              <w:jc w:val="center"/>
              <w:rPr>
                <w:rFonts w:eastAsia="Times New Roman"/>
                <w:b/>
                <w:bCs/>
                <w:noProof/>
                <w:spacing w:val="-8"/>
                <w:sz w:val="20"/>
                <w:szCs w:val="20"/>
              </w:rPr>
            </w:pPr>
            <w:r>
              <w:rPr>
                <w:b/>
                <w:noProof/>
                <w:spacing w:val="-8"/>
                <w:sz w:val="20"/>
              </w:rPr>
              <w:t>Référence à l’acte réglementaire</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M</w:t>
            </w:r>
            <w:r>
              <w:rPr>
                <w:b/>
                <w:noProof/>
                <w:spacing w:val="-8"/>
                <w:sz w:val="20"/>
                <w:vertAlign w:val="subscript"/>
              </w:rPr>
              <w:t>2</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M</w:t>
            </w:r>
            <w:r>
              <w:rPr>
                <w:b/>
                <w:noProof/>
                <w:spacing w:val="-8"/>
                <w:sz w:val="20"/>
                <w:vertAlign w:val="subscript"/>
              </w:rPr>
              <w:t>3</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N</w:t>
            </w:r>
            <w:r>
              <w:rPr>
                <w:b/>
                <w:noProof/>
                <w:spacing w:val="-8"/>
                <w:sz w:val="20"/>
                <w:vertAlign w:val="subscript"/>
              </w:rPr>
              <w:t>1</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N</w:t>
            </w:r>
            <w:r>
              <w:rPr>
                <w:b/>
                <w:noProof/>
                <w:spacing w:val="-8"/>
                <w:sz w:val="20"/>
                <w:vertAlign w:val="subscript"/>
              </w:rPr>
              <w:t>2</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N</w:t>
            </w:r>
            <w:r>
              <w:rPr>
                <w:b/>
                <w:noProof/>
                <w:spacing w:val="-8"/>
                <w:sz w:val="20"/>
                <w:vertAlign w:val="subscript"/>
              </w:rPr>
              <w:t>3</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O</w:t>
            </w:r>
            <w:r>
              <w:rPr>
                <w:b/>
                <w:noProof/>
                <w:spacing w:val="-8"/>
                <w:sz w:val="20"/>
                <w:vertAlign w:val="subscript"/>
              </w:rPr>
              <w:t>1</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O</w:t>
            </w:r>
            <w:r>
              <w:rPr>
                <w:b/>
                <w:noProof/>
                <w:spacing w:val="-8"/>
                <w:sz w:val="20"/>
                <w:vertAlign w:val="subscript"/>
              </w:rPr>
              <w:t>2</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O</w:t>
            </w:r>
            <w:r>
              <w:rPr>
                <w:b/>
                <w:noProof/>
                <w:spacing w:val="-8"/>
                <w:sz w:val="20"/>
                <w:vertAlign w:val="subscript"/>
              </w:rPr>
              <w:t>3</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O</w:t>
            </w:r>
            <w:r>
              <w:rPr>
                <w:b/>
                <w:noProof/>
                <w:spacing w:val="-8"/>
                <w:sz w:val="20"/>
                <w:vertAlign w:val="subscript"/>
              </w:rPr>
              <w:t>4</w:t>
            </w:r>
          </w:p>
        </w:tc>
      </w:tr>
      <w:tr>
        <w:trPr>
          <w:cantSplit/>
          <w:tblCellSpacing w:w="0" w:type="dxa"/>
        </w:trPr>
        <w:tc>
          <w:tcPr>
            <w:tcW w:w="0" w:type="auto"/>
          </w:tcPr>
          <w:p>
            <w:pPr>
              <w:spacing w:before="60" w:after="60"/>
              <w:jc w:val="left"/>
              <w:rPr>
                <w:rFonts w:eastAsia="Times New Roman"/>
                <w:noProof/>
                <w:spacing w:val="-8"/>
                <w:sz w:val="20"/>
                <w:szCs w:val="20"/>
              </w:rPr>
            </w:pPr>
            <w:r>
              <w:rPr>
                <w:noProof/>
                <w:spacing w:val="-8"/>
                <w:sz w:val="20"/>
              </w:rPr>
              <w:t>1A</w:t>
            </w:r>
          </w:p>
        </w:tc>
        <w:tc>
          <w:tcPr>
            <w:tcW w:w="1378" w:type="pct"/>
          </w:tcPr>
          <w:p>
            <w:pPr>
              <w:spacing w:before="60" w:after="60"/>
              <w:jc w:val="left"/>
              <w:rPr>
                <w:rFonts w:eastAsia="Times New Roman"/>
                <w:noProof/>
                <w:spacing w:val="-8"/>
                <w:sz w:val="20"/>
                <w:szCs w:val="20"/>
              </w:rPr>
            </w:pPr>
            <w:r>
              <w:rPr>
                <w:noProof/>
                <w:spacing w:val="-8"/>
                <w:sz w:val="20"/>
              </w:rPr>
              <w:t>Niveau sonore</w:t>
            </w:r>
          </w:p>
        </w:tc>
        <w:tc>
          <w:tcPr>
            <w:tcW w:w="879" w:type="pct"/>
          </w:tcPr>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540/2014</w:t>
            </w:r>
          </w:p>
        </w:tc>
        <w:tc>
          <w:tcPr>
            <w:tcW w:w="0" w:type="auto"/>
          </w:tcPr>
          <w:p>
            <w:pPr>
              <w:spacing w:before="100" w:beforeAutospacing="1" w:after="100" w:afterAutospacing="1"/>
              <w:jc w:val="center"/>
              <w:rPr>
                <w:rFonts w:eastAsia="Times New Roman"/>
                <w:noProof/>
                <w:spacing w:val="-8"/>
                <w:sz w:val="20"/>
                <w:szCs w:val="20"/>
              </w:rPr>
            </w:pPr>
          </w:p>
        </w:tc>
        <w:tc>
          <w:tcPr>
            <w:tcW w:w="0" w:type="auto"/>
          </w:tcPr>
          <w:p>
            <w:pPr>
              <w:spacing w:before="60" w:after="60"/>
              <w:jc w:val="center"/>
              <w:rPr>
                <w:rFonts w:eastAsia="Times New Roman"/>
                <w:noProof/>
                <w:spacing w:val="-8"/>
                <w:sz w:val="20"/>
                <w:szCs w:val="20"/>
              </w:rPr>
            </w:pPr>
            <w:r>
              <w:rPr>
                <w:noProof/>
                <w:spacing w:val="-8"/>
                <w:sz w:val="20"/>
              </w:rPr>
              <w:t>H</w:t>
            </w:r>
          </w:p>
        </w:tc>
        <w:tc>
          <w:tcPr>
            <w:tcW w:w="0" w:type="auto"/>
          </w:tcPr>
          <w:p>
            <w:pPr>
              <w:spacing w:before="60" w:after="60"/>
              <w:jc w:val="center"/>
              <w:rPr>
                <w:rFonts w:eastAsia="Times New Roman"/>
                <w:noProof/>
                <w:spacing w:val="-8"/>
                <w:sz w:val="20"/>
                <w:szCs w:val="20"/>
              </w:rPr>
            </w:pPr>
            <w:r>
              <w:rPr>
                <w:noProof/>
                <w:spacing w:val="-8"/>
                <w:sz w:val="20"/>
              </w:rPr>
              <w:t>H</w:t>
            </w:r>
          </w:p>
        </w:tc>
        <w:tc>
          <w:tcPr>
            <w:tcW w:w="0" w:type="auto"/>
          </w:tcPr>
          <w:p>
            <w:pPr>
              <w:spacing w:before="60" w:after="60"/>
              <w:jc w:val="center"/>
              <w:rPr>
                <w:rFonts w:eastAsia="Times New Roman"/>
                <w:noProof/>
                <w:spacing w:val="-8"/>
                <w:sz w:val="20"/>
                <w:szCs w:val="20"/>
              </w:rPr>
            </w:pPr>
            <w:r>
              <w:rPr>
                <w:noProof/>
                <w:spacing w:val="-8"/>
                <w:sz w:val="20"/>
              </w:rPr>
              <w:t>H</w:t>
            </w:r>
          </w:p>
        </w:tc>
        <w:tc>
          <w:tcPr>
            <w:tcW w:w="0" w:type="auto"/>
          </w:tcPr>
          <w:p>
            <w:pPr>
              <w:spacing w:before="60" w:after="60"/>
              <w:jc w:val="center"/>
              <w:rPr>
                <w:rFonts w:eastAsia="Times New Roman"/>
                <w:noProof/>
                <w:spacing w:val="-8"/>
                <w:sz w:val="20"/>
                <w:szCs w:val="20"/>
              </w:rPr>
            </w:pPr>
            <w:r>
              <w:rPr>
                <w:noProof/>
                <w:spacing w:val="-8"/>
                <w:sz w:val="20"/>
              </w:rPr>
              <w:t>H</w:t>
            </w:r>
          </w:p>
        </w:tc>
        <w:tc>
          <w:tcPr>
            <w:tcW w:w="0" w:type="auto"/>
          </w:tcPr>
          <w:p>
            <w:pPr>
              <w:spacing w:before="60" w:after="60"/>
              <w:jc w:val="center"/>
              <w:rPr>
                <w:rFonts w:eastAsia="Times New Roman"/>
                <w:noProof/>
                <w:spacing w:val="-8"/>
                <w:sz w:val="20"/>
                <w:szCs w:val="20"/>
              </w:rPr>
            </w:pPr>
            <w:r>
              <w:rPr>
                <w:noProof/>
                <w:spacing w:val="-8"/>
                <w:sz w:val="20"/>
              </w:rPr>
              <w:t>H</w:t>
            </w:r>
          </w:p>
        </w:tc>
        <w:tc>
          <w:tcPr>
            <w:tcW w:w="0" w:type="auto"/>
          </w:tcPr>
          <w:p>
            <w:pPr>
              <w:spacing w:before="100" w:beforeAutospacing="1" w:after="100" w:afterAutospacing="1"/>
              <w:jc w:val="center"/>
              <w:rPr>
                <w:rFonts w:eastAsia="Times New Roman"/>
                <w:noProof/>
                <w:spacing w:val="-8"/>
                <w:sz w:val="20"/>
                <w:szCs w:val="20"/>
              </w:rPr>
            </w:pPr>
          </w:p>
        </w:tc>
        <w:tc>
          <w:tcPr>
            <w:tcW w:w="0" w:type="auto"/>
          </w:tcPr>
          <w:p>
            <w:pPr>
              <w:spacing w:before="100" w:beforeAutospacing="1" w:after="100" w:afterAutospacing="1"/>
              <w:jc w:val="center"/>
              <w:rPr>
                <w:rFonts w:eastAsia="Times New Roman"/>
                <w:noProof/>
                <w:spacing w:val="-8"/>
                <w:sz w:val="20"/>
                <w:szCs w:val="20"/>
              </w:rPr>
            </w:pPr>
          </w:p>
        </w:tc>
        <w:tc>
          <w:tcPr>
            <w:tcW w:w="0" w:type="auto"/>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w:t>
            </w:r>
          </w:p>
        </w:tc>
        <w:tc>
          <w:tcPr>
            <w:tcW w:w="1378" w:type="pct"/>
            <w:hideMark/>
          </w:tcPr>
          <w:p>
            <w:pPr>
              <w:spacing w:before="60" w:after="60"/>
              <w:jc w:val="left"/>
              <w:rPr>
                <w:rFonts w:eastAsia="Times New Roman"/>
                <w:noProof/>
                <w:spacing w:val="-8"/>
                <w:sz w:val="20"/>
                <w:szCs w:val="20"/>
              </w:rPr>
            </w:pPr>
            <w:r>
              <w:rPr>
                <w:noProof/>
                <w:spacing w:val="-8"/>
                <w:sz w:val="20"/>
              </w:rPr>
              <w:t>Émissions des véhicules légers (Euro 5 et 6) / accès aux informations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715/2007</w:t>
            </w:r>
          </w:p>
        </w:tc>
        <w:tc>
          <w:tcPr>
            <w:tcW w:w="0" w:type="auto"/>
            <w:hideMark/>
          </w:tcPr>
          <w:p>
            <w:pPr>
              <w:spacing w:before="60" w:after="60"/>
              <w:jc w:val="center"/>
              <w:rPr>
                <w:rFonts w:eastAsia="Times New Roman"/>
                <w:noProof/>
                <w:spacing w:val="-8"/>
                <w:sz w:val="20"/>
                <w:szCs w:val="20"/>
              </w:rPr>
            </w:pPr>
            <w:r>
              <w:rPr>
                <w:noProof/>
                <w:spacing w:val="-8"/>
                <w:sz w:val="20"/>
              </w:rPr>
              <w:t>Q(</w:t>
            </w:r>
            <w:r>
              <w:rPr>
                <w:noProof/>
                <w:spacing w:val="-8"/>
                <w:sz w:val="20"/>
                <w:vertAlign w:val="superscript"/>
              </w:rPr>
              <w:t>1</w:t>
            </w:r>
            <w:r>
              <w:rPr>
                <w:noProof/>
                <w:spacing w:val="-8"/>
                <w:sz w:val="20"/>
              </w:rPr>
              <w: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Q+V</w:t>
            </w:r>
            <w:r>
              <w:rPr>
                <w:noProof/>
                <w:spacing w:val="-8"/>
                <w:sz w:val="20"/>
                <w:vertAlign w:val="subscript"/>
              </w:rPr>
              <w:t>1</w:t>
            </w:r>
            <w:r>
              <w:rPr>
                <w:noProof/>
                <w:spacing w:val="-8"/>
                <w:sz w:val="20"/>
              </w:rPr>
              <w:t xml:space="preserve"> (</w:t>
            </w:r>
            <w:r>
              <w:rPr>
                <w:noProof/>
                <w:spacing w:val="-8"/>
                <w:sz w:val="20"/>
                <w:vertAlign w:val="superscript"/>
              </w:rPr>
              <w:t>1</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Q+V</w:t>
            </w:r>
            <w:r>
              <w:rPr>
                <w:noProof/>
                <w:spacing w:val="-8"/>
                <w:sz w:val="20"/>
                <w:vertAlign w:val="subscript"/>
              </w:rPr>
              <w:t>1</w:t>
            </w:r>
            <w:r>
              <w:rPr>
                <w:noProof/>
                <w:spacing w:val="-8"/>
                <w:sz w:val="20"/>
              </w:rPr>
              <w:t xml:space="preserve"> (</w:t>
            </w:r>
            <w:r>
              <w:rPr>
                <w:noProof/>
                <w:spacing w:val="-8"/>
                <w:sz w:val="20"/>
                <w:vertAlign w:val="superscript"/>
              </w:rPr>
              <w:t>1</w:t>
            </w:r>
            <w:r>
              <w:rPr>
                <w:noProof/>
                <w:spacing w:val="-8"/>
                <w:sz w:val="20"/>
              </w:rPr>
              <w: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3A</w:t>
            </w:r>
          </w:p>
        </w:tc>
        <w:tc>
          <w:tcPr>
            <w:tcW w:w="1378" w:type="pct"/>
            <w:hideMark/>
          </w:tcPr>
          <w:p>
            <w:pPr>
              <w:spacing w:before="60" w:after="60"/>
              <w:jc w:val="left"/>
              <w:rPr>
                <w:rFonts w:eastAsia="Times New Roman"/>
                <w:noProof/>
                <w:spacing w:val="-8"/>
                <w:sz w:val="20"/>
                <w:szCs w:val="20"/>
              </w:rPr>
            </w:pPr>
            <w:r>
              <w:rPr>
                <w:noProof/>
                <w:spacing w:val="-8"/>
                <w:sz w:val="20"/>
              </w:rPr>
              <w:t>Prévention des risques d’incendie (réservoirs de carburant liquide)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34 de la CEE-ONU</w:t>
            </w:r>
          </w:p>
        </w:tc>
        <w:tc>
          <w:tcPr>
            <w:tcW w:w="0" w:type="auto"/>
            <w:hideMark/>
          </w:tcPr>
          <w:p>
            <w:pPr>
              <w:spacing w:before="60" w:after="60"/>
              <w:jc w:val="center"/>
              <w:rPr>
                <w:rFonts w:eastAsia="Times New Roman"/>
                <w:noProof/>
                <w:spacing w:val="-8"/>
                <w:sz w:val="20"/>
                <w:szCs w:val="20"/>
              </w:rPr>
            </w:pPr>
            <w:r>
              <w:rPr>
                <w:noProof/>
                <w:spacing w:val="-8"/>
                <w:sz w:val="20"/>
              </w:rPr>
              <w:t>F</w:t>
            </w:r>
          </w:p>
        </w:tc>
        <w:tc>
          <w:tcPr>
            <w:tcW w:w="0" w:type="auto"/>
            <w:hideMark/>
          </w:tcPr>
          <w:p>
            <w:pPr>
              <w:spacing w:before="60" w:after="60"/>
              <w:jc w:val="center"/>
              <w:rPr>
                <w:rFonts w:eastAsia="Times New Roman"/>
                <w:noProof/>
                <w:spacing w:val="-8"/>
                <w:sz w:val="20"/>
                <w:szCs w:val="20"/>
              </w:rPr>
            </w:pPr>
            <w:r>
              <w:rPr>
                <w:noProof/>
                <w:spacing w:val="-8"/>
                <w:sz w:val="20"/>
              </w:rPr>
              <w:t>F</w:t>
            </w:r>
          </w:p>
        </w:tc>
        <w:tc>
          <w:tcPr>
            <w:tcW w:w="0" w:type="auto"/>
            <w:hideMark/>
          </w:tcPr>
          <w:p>
            <w:pPr>
              <w:spacing w:before="60" w:after="60"/>
              <w:jc w:val="center"/>
              <w:rPr>
                <w:rFonts w:eastAsia="Times New Roman"/>
                <w:noProof/>
                <w:spacing w:val="-8"/>
                <w:sz w:val="20"/>
                <w:szCs w:val="20"/>
              </w:rPr>
            </w:pPr>
            <w:r>
              <w:rPr>
                <w:noProof/>
                <w:spacing w:val="-8"/>
                <w:sz w:val="20"/>
              </w:rPr>
              <w:t>F</w:t>
            </w:r>
          </w:p>
        </w:tc>
        <w:tc>
          <w:tcPr>
            <w:tcW w:w="0" w:type="auto"/>
            <w:hideMark/>
          </w:tcPr>
          <w:p>
            <w:pPr>
              <w:spacing w:before="60" w:after="60"/>
              <w:jc w:val="center"/>
              <w:rPr>
                <w:rFonts w:eastAsia="Times New Roman"/>
                <w:noProof/>
                <w:spacing w:val="-8"/>
                <w:sz w:val="20"/>
                <w:szCs w:val="20"/>
              </w:rPr>
            </w:pPr>
            <w:r>
              <w:rPr>
                <w:noProof/>
                <w:spacing w:val="-8"/>
                <w:sz w:val="20"/>
              </w:rPr>
              <w:t>F</w:t>
            </w:r>
          </w:p>
        </w:tc>
        <w:tc>
          <w:tcPr>
            <w:tcW w:w="0" w:type="auto"/>
            <w:hideMark/>
          </w:tcPr>
          <w:p>
            <w:pPr>
              <w:spacing w:before="60" w:after="60"/>
              <w:jc w:val="center"/>
              <w:rPr>
                <w:rFonts w:eastAsia="Times New Roman"/>
                <w:noProof/>
                <w:spacing w:val="-8"/>
                <w:sz w:val="20"/>
                <w:szCs w:val="20"/>
              </w:rPr>
            </w:pPr>
            <w:r>
              <w:rPr>
                <w:noProof/>
                <w:spacing w:val="-8"/>
                <w:sz w:val="20"/>
              </w:rPr>
              <w:t>F</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3B</w:t>
            </w:r>
          </w:p>
        </w:tc>
        <w:tc>
          <w:tcPr>
            <w:tcW w:w="1378" w:type="pct"/>
            <w:hideMark/>
          </w:tcPr>
          <w:p>
            <w:pPr>
              <w:spacing w:before="60" w:after="60"/>
              <w:jc w:val="left"/>
              <w:rPr>
                <w:rFonts w:eastAsia="Times New Roman"/>
                <w:noProof/>
                <w:spacing w:val="-8"/>
                <w:sz w:val="20"/>
                <w:szCs w:val="20"/>
              </w:rPr>
            </w:pPr>
            <w:r>
              <w:rPr>
                <w:noProof/>
                <w:spacing w:val="-8"/>
                <w:sz w:val="20"/>
              </w:rPr>
              <w:t>Dispositifs arrière de protection anti-encastrement et leur montage; protection contre l’encastrement à l’arrière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58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A</w:t>
            </w:r>
          </w:p>
        </w:tc>
        <w:tc>
          <w:tcPr>
            <w:tcW w:w="0" w:type="auto"/>
            <w:hideMark/>
          </w:tcPr>
          <w:p>
            <w:pPr>
              <w:spacing w:before="60" w:after="60"/>
              <w:jc w:val="center"/>
              <w:rPr>
                <w:rFonts w:eastAsia="Times New Roman"/>
                <w:noProof/>
                <w:spacing w:val="-8"/>
                <w:sz w:val="20"/>
                <w:szCs w:val="20"/>
              </w:rPr>
            </w:pPr>
            <w:r>
              <w:rPr>
                <w:noProof/>
                <w:spacing w:val="-8"/>
                <w:sz w:val="20"/>
              </w:rPr>
              <w:t>A</w:t>
            </w:r>
          </w:p>
        </w:tc>
        <w:tc>
          <w:tcPr>
            <w:tcW w:w="0" w:type="auto"/>
            <w:hideMark/>
          </w:tcPr>
          <w:p>
            <w:pPr>
              <w:spacing w:before="60" w:after="60"/>
              <w:jc w:val="center"/>
              <w:rPr>
                <w:rFonts w:eastAsia="Times New Roman"/>
                <w:noProof/>
                <w:spacing w:val="-8"/>
                <w:sz w:val="20"/>
                <w:szCs w:val="20"/>
              </w:rPr>
            </w:pPr>
            <w:r>
              <w:rPr>
                <w:noProof/>
                <w:spacing w:val="-8"/>
                <w:sz w:val="20"/>
              </w:rPr>
              <w:t>A</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4A</w:t>
            </w:r>
          </w:p>
        </w:tc>
        <w:tc>
          <w:tcPr>
            <w:tcW w:w="1378" w:type="pct"/>
            <w:hideMark/>
          </w:tcPr>
          <w:p>
            <w:pPr>
              <w:spacing w:before="60" w:after="60"/>
              <w:jc w:val="left"/>
              <w:rPr>
                <w:rFonts w:eastAsia="Times New Roman"/>
                <w:noProof/>
                <w:spacing w:val="-8"/>
                <w:sz w:val="20"/>
                <w:szCs w:val="20"/>
              </w:rPr>
            </w:pPr>
            <w:r>
              <w:rPr>
                <w:noProof/>
                <w:spacing w:val="-8"/>
                <w:sz w:val="20"/>
              </w:rPr>
              <w:t>Emplacement pour le montage et la fixation des plaques d’immatriculation arrière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1003/2010</w:t>
            </w:r>
          </w:p>
        </w:tc>
        <w:tc>
          <w:tcPr>
            <w:tcW w:w="0" w:type="auto"/>
            <w:hideMark/>
          </w:tcPr>
          <w:p>
            <w:pPr>
              <w:spacing w:before="60" w:after="60"/>
              <w:jc w:val="center"/>
              <w:rPr>
                <w:rFonts w:eastAsia="Times New Roman"/>
                <w:noProof/>
                <w:spacing w:val="-8"/>
                <w:sz w:val="20"/>
                <w:szCs w:val="20"/>
              </w:rPr>
            </w:pPr>
            <w:r>
              <w:rPr>
                <w:noProof/>
                <w:spacing w:val="-8"/>
                <w:sz w:val="20"/>
              </w:rPr>
              <w:t>A+R</w:t>
            </w:r>
          </w:p>
        </w:tc>
        <w:tc>
          <w:tcPr>
            <w:tcW w:w="0" w:type="auto"/>
            <w:hideMark/>
          </w:tcPr>
          <w:p>
            <w:pPr>
              <w:spacing w:before="60" w:after="60"/>
              <w:jc w:val="center"/>
              <w:rPr>
                <w:rFonts w:eastAsia="Times New Roman"/>
                <w:noProof/>
                <w:spacing w:val="-8"/>
                <w:sz w:val="20"/>
                <w:szCs w:val="20"/>
              </w:rPr>
            </w:pPr>
            <w:r>
              <w:rPr>
                <w:noProof/>
                <w:spacing w:val="-8"/>
                <w:sz w:val="20"/>
              </w:rPr>
              <w:t>A+R</w:t>
            </w:r>
          </w:p>
        </w:tc>
        <w:tc>
          <w:tcPr>
            <w:tcW w:w="0" w:type="auto"/>
            <w:hideMark/>
          </w:tcPr>
          <w:p>
            <w:pPr>
              <w:spacing w:before="60" w:after="60"/>
              <w:jc w:val="center"/>
              <w:rPr>
                <w:rFonts w:eastAsia="Times New Roman"/>
                <w:noProof/>
                <w:spacing w:val="-8"/>
                <w:sz w:val="20"/>
                <w:szCs w:val="20"/>
              </w:rPr>
            </w:pPr>
            <w:r>
              <w:rPr>
                <w:noProof/>
                <w:spacing w:val="-8"/>
                <w:sz w:val="20"/>
              </w:rPr>
              <w:t>A+R</w:t>
            </w:r>
          </w:p>
        </w:tc>
        <w:tc>
          <w:tcPr>
            <w:tcW w:w="0" w:type="auto"/>
            <w:hideMark/>
          </w:tcPr>
          <w:p>
            <w:pPr>
              <w:spacing w:before="60" w:after="60"/>
              <w:jc w:val="center"/>
              <w:rPr>
                <w:rFonts w:eastAsia="Times New Roman"/>
                <w:noProof/>
                <w:spacing w:val="-8"/>
                <w:sz w:val="20"/>
                <w:szCs w:val="20"/>
              </w:rPr>
            </w:pPr>
            <w:r>
              <w:rPr>
                <w:noProof/>
                <w:spacing w:val="-8"/>
                <w:sz w:val="20"/>
              </w:rPr>
              <w:t>A+R</w:t>
            </w:r>
          </w:p>
        </w:tc>
        <w:tc>
          <w:tcPr>
            <w:tcW w:w="0" w:type="auto"/>
            <w:hideMark/>
          </w:tcPr>
          <w:p>
            <w:pPr>
              <w:spacing w:before="60" w:after="60"/>
              <w:jc w:val="center"/>
              <w:rPr>
                <w:rFonts w:eastAsia="Times New Roman"/>
                <w:noProof/>
                <w:spacing w:val="-8"/>
                <w:sz w:val="20"/>
                <w:szCs w:val="20"/>
              </w:rPr>
            </w:pPr>
            <w:r>
              <w:rPr>
                <w:noProof/>
                <w:spacing w:val="-8"/>
                <w:sz w:val="20"/>
              </w:rPr>
              <w:t>A+R</w:t>
            </w:r>
          </w:p>
        </w:tc>
        <w:tc>
          <w:tcPr>
            <w:tcW w:w="0" w:type="auto"/>
            <w:hideMark/>
          </w:tcPr>
          <w:p>
            <w:pPr>
              <w:spacing w:before="60" w:after="60"/>
              <w:jc w:val="center"/>
              <w:rPr>
                <w:rFonts w:eastAsia="Times New Roman"/>
                <w:noProof/>
                <w:spacing w:val="-8"/>
                <w:sz w:val="20"/>
                <w:szCs w:val="20"/>
              </w:rPr>
            </w:pPr>
            <w:r>
              <w:rPr>
                <w:noProof/>
                <w:spacing w:val="-8"/>
                <w:sz w:val="20"/>
              </w:rPr>
              <w:t>A+R</w:t>
            </w:r>
          </w:p>
        </w:tc>
        <w:tc>
          <w:tcPr>
            <w:tcW w:w="0" w:type="auto"/>
            <w:hideMark/>
          </w:tcPr>
          <w:p>
            <w:pPr>
              <w:spacing w:before="60" w:after="60"/>
              <w:jc w:val="center"/>
              <w:rPr>
                <w:rFonts w:eastAsia="Times New Roman"/>
                <w:noProof/>
                <w:spacing w:val="-8"/>
                <w:sz w:val="20"/>
                <w:szCs w:val="20"/>
              </w:rPr>
            </w:pPr>
            <w:r>
              <w:rPr>
                <w:noProof/>
                <w:spacing w:val="-8"/>
                <w:sz w:val="20"/>
              </w:rPr>
              <w:t>A+R</w:t>
            </w:r>
          </w:p>
        </w:tc>
        <w:tc>
          <w:tcPr>
            <w:tcW w:w="0" w:type="auto"/>
            <w:hideMark/>
          </w:tcPr>
          <w:p>
            <w:pPr>
              <w:spacing w:before="60" w:after="60"/>
              <w:jc w:val="center"/>
              <w:rPr>
                <w:rFonts w:eastAsia="Times New Roman"/>
                <w:noProof/>
                <w:spacing w:val="-8"/>
                <w:sz w:val="20"/>
                <w:szCs w:val="20"/>
              </w:rPr>
            </w:pPr>
            <w:r>
              <w:rPr>
                <w:noProof/>
                <w:spacing w:val="-8"/>
                <w:sz w:val="20"/>
              </w:rPr>
              <w:t>A+R</w:t>
            </w:r>
          </w:p>
        </w:tc>
        <w:tc>
          <w:tcPr>
            <w:tcW w:w="0" w:type="auto"/>
            <w:hideMark/>
          </w:tcPr>
          <w:p>
            <w:pPr>
              <w:spacing w:before="60" w:after="60"/>
              <w:jc w:val="center"/>
              <w:rPr>
                <w:rFonts w:eastAsia="Times New Roman"/>
                <w:noProof/>
                <w:spacing w:val="-8"/>
                <w:sz w:val="20"/>
                <w:szCs w:val="20"/>
              </w:rPr>
            </w:pPr>
            <w:r>
              <w:rPr>
                <w:noProof/>
                <w:spacing w:val="-8"/>
                <w:sz w:val="20"/>
              </w:rPr>
              <w:t>A+R</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5A</w:t>
            </w:r>
          </w:p>
        </w:tc>
        <w:tc>
          <w:tcPr>
            <w:tcW w:w="1378" w:type="pct"/>
            <w:hideMark/>
          </w:tcPr>
          <w:p>
            <w:pPr>
              <w:spacing w:before="60" w:after="60"/>
              <w:jc w:val="left"/>
              <w:rPr>
                <w:rFonts w:eastAsia="Times New Roman"/>
                <w:noProof/>
                <w:spacing w:val="-8"/>
                <w:sz w:val="20"/>
                <w:szCs w:val="20"/>
              </w:rPr>
            </w:pPr>
            <w:r>
              <w:rPr>
                <w:noProof/>
                <w:spacing w:val="-8"/>
                <w:sz w:val="20"/>
              </w:rPr>
              <w:t>Équipement de direction</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 xml:space="preserve">o </w:t>
            </w:r>
            <w:r>
              <w:rPr>
                <w:noProof/>
                <w:spacing w:val="-8"/>
                <w:sz w:val="20"/>
              </w:rPr>
              <w:t>79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6A</w:t>
            </w:r>
          </w:p>
        </w:tc>
        <w:tc>
          <w:tcPr>
            <w:tcW w:w="1378" w:type="pct"/>
            <w:hideMark/>
          </w:tcPr>
          <w:p>
            <w:pPr>
              <w:spacing w:before="60" w:after="60"/>
              <w:jc w:val="left"/>
              <w:rPr>
                <w:rFonts w:eastAsia="Times New Roman"/>
                <w:noProof/>
                <w:spacing w:val="-8"/>
                <w:sz w:val="20"/>
                <w:szCs w:val="20"/>
              </w:rPr>
            </w:pPr>
            <w:r>
              <w:rPr>
                <w:noProof/>
                <w:spacing w:val="-8"/>
                <w:sz w:val="20"/>
              </w:rPr>
              <w:t>Accès au véhicule et manœuvrabilité</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B</w:t>
            </w:r>
          </w:p>
        </w:tc>
        <w:tc>
          <w:tcPr>
            <w:tcW w:w="0" w:type="auto"/>
            <w:hideMark/>
          </w:tcPr>
          <w:p>
            <w:pPr>
              <w:spacing w:before="60" w:after="60"/>
              <w:jc w:val="center"/>
              <w:rPr>
                <w:rFonts w:eastAsia="Times New Roman"/>
                <w:noProof/>
                <w:spacing w:val="-8"/>
                <w:sz w:val="20"/>
                <w:szCs w:val="20"/>
              </w:rPr>
            </w:pPr>
            <w:r>
              <w:rPr>
                <w:noProof/>
                <w:spacing w:val="-8"/>
                <w:sz w:val="20"/>
              </w:rPr>
              <w:t>B</w:t>
            </w:r>
          </w:p>
        </w:tc>
        <w:tc>
          <w:tcPr>
            <w:tcW w:w="0" w:type="auto"/>
            <w:hideMark/>
          </w:tcPr>
          <w:p>
            <w:pPr>
              <w:spacing w:before="60" w:after="60"/>
              <w:jc w:val="center"/>
              <w:rPr>
                <w:rFonts w:eastAsia="Times New Roman"/>
                <w:noProof/>
                <w:spacing w:val="-8"/>
                <w:sz w:val="20"/>
                <w:szCs w:val="20"/>
              </w:rPr>
            </w:pPr>
            <w:r>
              <w:rPr>
                <w:noProof/>
                <w:spacing w:val="-8"/>
                <w:sz w:val="20"/>
              </w:rPr>
              <w:t>B</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6B</w:t>
            </w:r>
          </w:p>
        </w:tc>
        <w:tc>
          <w:tcPr>
            <w:tcW w:w="1378" w:type="pct"/>
            <w:hideMark/>
          </w:tcPr>
          <w:p>
            <w:pPr>
              <w:spacing w:before="60" w:after="60"/>
              <w:jc w:val="left"/>
              <w:rPr>
                <w:rFonts w:eastAsia="Times New Roman"/>
                <w:noProof/>
                <w:spacing w:val="-8"/>
                <w:sz w:val="20"/>
                <w:szCs w:val="20"/>
              </w:rPr>
            </w:pPr>
            <w:r>
              <w:rPr>
                <w:noProof/>
                <w:spacing w:val="-8"/>
                <w:sz w:val="20"/>
              </w:rPr>
              <w:t>Serrures et organes de fixation des portes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B</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7A</w:t>
            </w:r>
          </w:p>
        </w:tc>
        <w:tc>
          <w:tcPr>
            <w:tcW w:w="1378" w:type="pct"/>
            <w:hideMark/>
          </w:tcPr>
          <w:p>
            <w:pPr>
              <w:spacing w:before="60" w:after="60"/>
              <w:jc w:val="left"/>
              <w:rPr>
                <w:rFonts w:eastAsia="Times New Roman"/>
                <w:noProof/>
                <w:spacing w:val="-8"/>
                <w:sz w:val="20"/>
                <w:szCs w:val="20"/>
              </w:rPr>
            </w:pPr>
            <w:r>
              <w:rPr>
                <w:noProof/>
                <w:spacing w:val="-8"/>
                <w:sz w:val="20"/>
              </w:rPr>
              <w:t>Avertisseurs sonores et signalisation sonore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28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8A</w:t>
            </w:r>
          </w:p>
        </w:tc>
        <w:tc>
          <w:tcPr>
            <w:tcW w:w="1378" w:type="pct"/>
            <w:hideMark/>
          </w:tcPr>
          <w:p>
            <w:pPr>
              <w:spacing w:before="60" w:after="60"/>
              <w:jc w:val="left"/>
              <w:rPr>
                <w:rFonts w:eastAsia="Times New Roman"/>
                <w:noProof/>
                <w:spacing w:val="-8"/>
                <w:sz w:val="20"/>
                <w:szCs w:val="20"/>
              </w:rPr>
            </w:pPr>
            <w:r>
              <w:rPr>
                <w:noProof/>
                <w:spacing w:val="-8"/>
                <w:sz w:val="20"/>
              </w:rPr>
              <w:t>Systèmes de vision indirecte et leur montage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46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9A</w:t>
            </w:r>
          </w:p>
        </w:tc>
        <w:tc>
          <w:tcPr>
            <w:tcW w:w="1378" w:type="pct"/>
            <w:hideMark/>
          </w:tcPr>
          <w:p>
            <w:pPr>
              <w:spacing w:before="60" w:after="60"/>
              <w:jc w:val="left"/>
              <w:rPr>
                <w:rFonts w:eastAsia="Times New Roman"/>
                <w:noProof/>
                <w:spacing w:val="-8"/>
                <w:sz w:val="20"/>
                <w:szCs w:val="20"/>
              </w:rPr>
            </w:pPr>
            <w:r>
              <w:rPr>
                <w:noProof/>
                <w:spacing w:val="-8"/>
                <w:sz w:val="20"/>
              </w:rPr>
              <w:t>Freinage des véhicules et des remorques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13 de la CEE-ONU</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X+U</w:t>
            </w:r>
            <w:r>
              <w:rPr>
                <w:noProof/>
                <w:spacing w:val="-8"/>
                <w:sz w:val="20"/>
                <w:vertAlign w:val="subscript"/>
              </w:rPr>
              <w:t>1</w:t>
            </w:r>
            <w:r>
              <w:rPr>
                <w:noProof/>
                <w:spacing w:val="-8"/>
                <w:sz w:val="20"/>
              </w:rPr>
              <w:t xml:space="preserve"> (</w:t>
            </w:r>
            <w:r>
              <w:rPr>
                <w:noProof/>
                <w:spacing w:val="-8"/>
                <w:sz w:val="20"/>
                <w:vertAlign w:val="superscript"/>
              </w:rPr>
              <w:t>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X+U</w:t>
            </w:r>
            <w:r>
              <w:rPr>
                <w:noProof/>
                <w:spacing w:val="-8"/>
                <w:sz w:val="20"/>
                <w:vertAlign w:val="subscript"/>
              </w:rPr>
              <w:t>1</w:t>
            </w:r>
            <w:r>
              <w:rPr>
                <w:noProof/>
                <w:spacing w:val="-8"/>
                <w:sz w:val="20"/>
              </w:rPr>
              <w:t xml:space="preserve"> (</w:t>
            </w:r>
            <w:r>
              <w:rPr>
                <w:noProof/>
                <w:spacing w:val="-8"/>
                <w:sz w:val="20"/>
                <w:vertAlign w:val="superscript"/>
              </w:rPr>
              <w:t>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9B</w:t>
            </w:r>
          </w:p>
        </w:tc>
        <w:tc>
          <w:tcPr>
            <w:tcW w:w="1378" w:type="pct"/>
            <w:hideMark/>
          </w:tcPr>
          <w:p>
            <w:pPr>
              <w:spacing w:before="60" w:after="60"/>
              <w:jc w:val="left"/>
              <w:rPr>
                <w:rFonts w:eastAsia="Times New Roman"/>
                <w:noProof/>
                <w:spacing w:val="-8"/>
                <w:sz w:val="20"/>
                <w:szCs w:val="20"/>
              </w:rPr>
            </w:pPr>
            <w:r>
              <w:rPr>
                <w:noProof/>
                <w:spacing w:val="-8"/>
                <w:sz w:val="20"/>
              </w:rPr>
              <w:t>Freinage des voitures particulières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13-H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4</w:t>
            </w:r>
            <w:r>
              <w:rPr>
                <w:noProof/>
                <w:spacing w:val="-8"/>
                <w:sz w:val="20"/>
              </w:rPr>
              <w: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10A</w:t>
            </w:r>
          </w:p>
        </w:tc>
        <w:tc>
          <w:tcPr>
            <w:tcW w:w="1378" w:type="pct"/>
            <w:hideMark/>
          </w:tcPr>
          <w:p>
            <w:pPr>
              <w:spacing w:before="60" w:after="60"/>
              <w:jc w:val="left"/>
              <w:rPr>
                <w:rFonts w:eastAsia="Times New Roman"/>
                <w:noProof/>
                <w:spacing w:val="-8"/>
                <w:sz w:val="20"/>
                <w:szCs w:val="20"/>
              </w:rPr>
            </w:pPr>
            <w:r>
              <w:rPr>
                <w:noProof/>
                <w:spacing w:val="-8"/>
                <w:sz w:val="20"/>
              </w:rPr>
              <w:t>Compatibilité électromagnétique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10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13A</w:t>
            </w:r>
          </w:p>
        </w:tc>
        <w:tc>
          <w:tcPr>
            <w:tcW w:w="1378" w:type="pct"/>
            <w:hideMark/>
          </w:tcPr>
          <w:p>
            <w:pPr>
              <w:spacing w:before="60" w:after="60"/>
              <w:jc w:val="left"/>
              <w:rPr>
                <w:rFonts w:eastAsia="Times New Roman"/>
                <w:noProof/>
                <w:spacing w:val="-8"/>
                <w:sz w:val="20"/>
                <w:szCs w:val="20"/>
              </w:rPr>
            </w:pPr>
            <w:r>
              <w:rPr>
                <w:noProof/>
                <w:spacing w:val="-8"/>
                <w:sz w:val="20"/>
              </w:rPr>
              <w:t>Protection des véhicules à moteur contre une utilisation non autorisée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18 de la CEE-ONU</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4A</w:t>
            </w:r>
            <w:r>
              <w:rPr>
                <w:noProof/>
                <w:spacing w:val="-8"/>
                <w:sz w:val="20"/>
              </w:rPr>
              <w: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13B</w:t>
            </w:r>
          </w:p>
        </w:tc>
        <w:tc>
          <w:tcPr>
            <w:tcW w:w="1378" w:type="pct"/>
            <w:hideMark/>
          </w:tcPr>
          <w:p>
            <w:pPr>
              <w:spacing w:before="60" w:after="60"/>
              <w:jc w:val="left"/>
              <w:rPr>
                <w:rFonts w:eastAsia="Times New Roman"/>
                <w:noProof/>
                <w:spacing w:val="-8"/>
                <w:sz w:val="20"/>
                <w:szCs w:val="20"/>
              </w:rPr>
            </w:pPr>
            <w:r>
              <w:rPr>
                <w:noProof/>
                <w:spacing w:val="-8"/>
                <w:sz w:val="20"/>
              </w:rPr>
              <w:t>Protection des véhicules à moteur contre une utilisation non autorisée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116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14A</w:t>
            </w:r>
          </w:p>
        </w:tc>
        <w:tc>
          <w:tcPr>
            <w:tcW w:w="1378" w:type="pct"/>
            <w:hideMark/>
          </w:tcPr>
          <w:p>
            <w:pPr>
              <w:spacing w:before="60" w:after="60"/>
              <w:jc w:val="left"/>
              <w:rPr>
                <w:rFonts w:eastAsia="Times New Roman"/>
                <w:noProof/>
                <w:spacing w:val="-8"/>
                <w:sz w:val="20"/>
                <w:szCs w:val="20"/>
              </w:rPr>
            </w:pPr>
            <w:r>
              <w:rPr>
                <w:noProof/>
                <w:spacing w:val="-8"/>
                <w:sz w:val="20"/>
              </w:rPr>
              <w:t>Protection du conducteur contre le dispositif de conduite en cas de choc</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15A</w:t>
            </w:r>
          </w:p>
        </w:tc>
        <w:tc>
          <w:tcPr>
            <w:tcW w:w="1378" w:type="pct"/>
            <w:hideMark/>
          </w:tcPr>
          <w:p>
            <w:pPr>
              <w:spacing w:before="60" w:after="60"/>
              <w:jc w:val="left"/>
              <w:rPr>
                <w:rFonts w:eastAsia="Times New Roman"/>
                <w:noProof/>
                <w:spacing w:val="-8"/>
                <w:sz w:val="20"/>
                <w:szCs w:val="20"/>
              </w:rPr>
            </w:pPr>
            <w:r>
              <w:rPr>
                <w:noProof/>
                <w:spacing w:val="-8"/>
                <w:sz w:val="20"/>
              </w:rPr>
              <w:t>Sièges, leurs ancrages et appuie-tête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17 de la CEE-ONU</w:t>
            </w:r>
          </w:p>
        </w:tc>
        <w:tc>
          <w:tcPr>
            <w:tcW w:w="0" w:type="auto"/>
            <w:hideMark/>
          </w:tcPr>
          <w:p>
            <w:pPr>
              <w:spacing w:before="60" w:after="60"/>
              <w:jc w:val="center"/>
              <w:rPr>
                <w:rFonts w:eastAsia="Times New Roman"/>
                <w:noProof/>
                <w:spacing w:val="-8"/>
                <w:sz w:val="20"/>
                <w:szCs w:val="20"/>
              </w:rPr>
            </w:pPr>
            <w:r>
              <w:rPr>
                <w:noProof/>
                <w:spacing w:val="-8"/>
                <w:sz w:val="20"/>
              </w:rPr>
              <w:t>D(</w:t>
            </w:r>
            <w:r>
              <w:rPr>
                <w:noProof/>
                <w:spacing w:val="-8"/>
                <w:sz w:val="20"/>
                <w:vertAlign w:val="superscript"/>
              </w:rPr>
              <w:t>4B</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D(</w:t>
            </w:r>
            <w:r>
              <w:rPr>
                <w:noProof/>
                <w:spacing w:val="-8"/>
                <w:sz w:val="20"/>
                <w:vertAlign w:val="superscript"/>
              </w:rPr>
              <w:t>4B</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15B</w:t>
            </w:r>
          </w:p>
        </w:tc>
        <w:tc>
          <w:tcPr>
            <w:tcW w:w="1378" w:type="pct"/>
            <w:hideMark/>
          </w:tcPr>
          <w:p>
            <w:pPr>
              <w:spacing w:before="60" w:after="60"/>
              <w:jc w:val="left"/>
              <w:rPr>
                <w:rFonts w:eastAsia="Times New Roman"/>
                <w:noProof/>
                <w:spacing w:val="-8"/>
                <w:sz w:val="20"/>
                <w:szCs w:val="20"/>
              </w:rPr>
            </w:pPr>
            <w:r>
              <w:rPr>
                <w:noProof/>
                <w:spacing w:val="-8"/>
                <w:sz w:val="20"/>
              </w:rPr>
              <w:t>Sièges des véhicules de grandes dimensions pour le transport de voyageurs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80 de la CEE-ONU</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17A</w:t>
            </w:r>
          </w:p>
        </w:tc>
        <w:tc>
          <w:tcPr>
            <w:tcW w:w="1378" w:type="pct"/>
            <w:hideMark/>
          </w:tcPr>
          <w:p>
            <w:pPr>
              <w:spacing w:before="60" w:after="60"/>
              <w:jc w:val="left"/>
              <w:rPr>
                <w:rFonts w:eastAsia="Times New Roman"/>
                <w:noProof/>
                <w:spacing w:val="-8"/>
                <w:sz w:val="20"/>
                <w:szCs w:val="20"/>
              </w:rPr>
            </w:pPr>
            <w:r>
              <w:rPr>
                <w:noProof/>
                <w:spacing w:val="-8"/>
                <w:sz w:val="20"/>
              </w:rPr>
              <w:t>Accès au véhicule et manœuvrabilité</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17B</w:t>
            </w:r>
          </w:p>
        </w:tc>
        <w:tc>
          <w:tcPr>
            <w:tcW w:w="1378" w:type="pct"/>
            <w:hideMark/>
          </w:tcPr>
          <w:p>
            <w:pPr>
              <w:spacing w:before="60" w:after="60"/>
              <w:jc w:val="left"/>
              <w:rPr>
                <w:rFonts w:eastAsia="Times New Roman"/>
                <w:noProof/>
                <w:spacing w:val="-8"/>
                <w:sz w:val="20"/>
                <w:szCs w:val="20"/>
              </w:rPr>
            </w:pPr>
            <w:r>
              <w:rPr>
                <w:noProof/>
                <w:spacing w:val="-8"/>
                <w:sz w:val="20"/>
              </w:rPr>
              <w:t>Appareil indicateur de vitesse, y compris son installation</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xml:space="preserve"> 39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18A</w:t>
            </w:r>
          </w:p>
        </w:tc>
        <w:tc>
          <w:tcPr>
            <w:tcW w:w="1378" w:type="pct"/>
            <w:hideMark/>
          </w:tcPr>
          <w:p>
            <w:pPr>
              <w:spacing w:before="60" w:after="60"/>
              <w:jc w:val="left"/>
              <w:rPr>
                <w:rFonts w:eastAsia="Times New Roman"/>
                <w:noProof/>
                <w:spacing w:val="-8"/>
                <w:sz w:val="20"/>
                <w:szCs w:val="20"/>
              </w:rPr>
            </w:pPr>
            <w:r>
              <w:rPr>
                <w:noProof/>
                <w:spacing w:val="-8"/>
                <w:sz w:val="20"/>
              </w:rPr>
              <w:t>Plaque réglementaire du constructeur et numéro d’identification du véhicule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19/2011</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19A</w:t>
            </w:r>
          </w:p>
        </w:tc>
        <w:tc>
          <w:tcPr>
            <w:tcW w:w="1378" w:type="pct"/>
            <w:hideMark/>
          </w:tcPr>
          <w:p>
            <w:pPr>
              <w:spacing w:before="60" w:after="60"/>
              <w:jc w:val="left"/>
              <w:rPr>
                <w:rFonts w:eastAsia="Times New Roman"/>
                <w:noProof/>
                <w:spacing w:val="-8"/>
                <w:sz w:val="20"/>
                <w:szCs w:val="20"/>
              </w:rPr>
            </w:pPr>
            <w:r>
              <w:rPr>
                <w:noProof/>
                <w:spacing w:val="-8"/>
                <w:sz w:val="20"/>
              </w:rPr>
              <w:t>Ancrages de ceintures de sécurité, systèmes d’ancrage Isofix et ancrages pour fixation supérieure Isofix</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14 de la CEE-ONU</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20A</w:t>
            </w:r>
          </w:p>
        </w:tc>
        <w:tc>
          <w:tcPr>
            <w:tcW w:w="1378" w:type="pct"/>
            <w:hideMark/>
          </w:tcPr>
          <w:p>
            <w:pPr>
              <w:spacing w:before="60" w:after="60"/>
              <w:jc w:val="left"/>
              <w:rPr>
                <w:rFonts w:eastAsia="Times New Roman"/>
                <w:noProof/>
                <w:spacing w:val="-8"/>
                <w:sz w:val="20"/>
                <w:szCs w:val="20"/>
              </w:rPr>
            </w:pPr>
            <w:r>
              <w:rPr>
                <w:noProof/>
                <w:spacing w:val="-8"/>
                <w:sz w:val="20"/>
              </w:rPr>
              <w:t>Installation des dispositifs d’éclairage et de signalisation lumineuse sur les véhicules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48 de la CEE-ONU</w:t>
            </w:r>
          </w:p>
        </w:tc>
        <w:tc>
          <w:tcPr>
            <w:tcW w:w="0" w:type="auto"/>
            <w:hideMark/>
          </w:tcPr>
          <w:p>
            <w:pPr>
              <w:spacing w:before="60" w:after="60"/>
              <w:jc w:val="center"/>
              <w:rPr>
                <w:rFonts w:eastAsia="Times New Roman"/>
                <w:noProof/>
                <w:spacing w:val="-8"/>
                <w:sz w:val="20"/>
                <w:szCs w:val="20"/>
              </w:rPr>
            </w:pPr>
            <w:r>
              <w:rPr>
                <w:noProof/>
                <w:spacing w:val="-8"/>
                <w:sz w:val="20"/>
              </w:rPr>
              <w:t>A+N</w:t>
            </w:r>
          </w:p>
        </w:tc>
        <w:tc>
          <w:tcPr>
            <w:tcW w:w="0" w:type="auto"/>
            <w:hideMark/>
          </w:tcPr>
          <w:p>
            <w:pPr>
              <w:spacing w:before="60" w:after="60"/>
              <w:jc w:val="center"/>
              <w:rPr>
                <w:rFonts w:eastAsia="Times New Roman"/>
                <w:noProof/>
                <w:spacing w:val="-8"/>
                <w:sz w:val="20"/>
                <w:szCs w:val="20"/>
              </w:rPr>
            </w:pPr>
            <w:r>
              <w:rPr>
                <w:noProof/>
                <w:spacing w:val="-8"/>
                <w:sz w:val="20"/>
              </w:rPr>
              <w:t>A+N</w:t>
            </w:r>
          </w:p>
        </w:tc>
        <w:tc>
          <w:tcPr>
            <w:tcW w:w="0" w:type="auto"/>
            <w:hideMark/>
          </w:tcPr>
          <w:p>
            <w:pPr>
              <w:spacing w:before="60" w:after="60"/>
              <w:jc w:val="center"/>
              <w:rPr>
                <w:rFonts w:eastAsia="Times New Roman"/>
                <w:noProof/>
                <w:spacing w:val="-8"/>
                <w:sz w:val="20"/>
                <w:szCs w:val="20"/>
              </w:rPr>
            </w:pPr>
            <w:r>
              <w:rPr>
                <w:noProof/>
                <w:spacing w:val="-8"/>
                <w:sz w:val="20"/>
              </w:rPr>
              <w:t>A+N</w:t>
            </w:r>
          </w:p>
        </w:tc>
        <w:tc>
          <w:tcPr>
            <w:tcW w:w="0" w:type="auto"/>
            <w:hideMark/>
          </w:tcPr>
          <w:p>
            <w:pPr>
              <w:spacing w:before="60" w:after="60"/>
              <w:jc w:val="center"/>
              <w:rPr>
                <w:rFonts w:eastAsia="Times New Roman"/>
                <w:noProof/>
                <w:spacing w:val="-8"/>
                <w:sz w:val="20"/>
                <w:szCs w:val="20"/>
              </w:rPr>
            </w:pPr>
            <w:r>
              <w:rPr>
                <w:noProof/>
                <w:spacing w:val="-8"/>
                <w:sz w:val="20"/>
              </w:rPr>
              <w:t>A+N</w:t>
            </w:r>
          </w:p>
        </w:tc>
        <w:tc>
          <w:tcPr>
            <w:tcW w:w="0" w:type="auto"/>
            <w:hideMark/>
          </w:tcPr>
          <w:p>
            <w:pPr>
              <w:spacing w:before="60" w:after="60"/>
              <w:jc w:val="center"/>
              <w:rPr>
                <w:rFonts w:eastAsia="Times New Roman"/>
                <w:noProof/>
                <w:spacing w:val="-8"/>
                <w:sz w:val="20"/>
                <w:szCs w:val="20"/>
              </w:rPr>
            </w:pPr>
            <w:r>
              <w:rPr>
                <w:noProof/>
                <w:spacing w:val="-8"/>
                <w:sz w:val="20"/>
              </w:rPr>
              <w:t>A+N</w:t>
            </w:r>
          </w:p>
        </w:tc>
        <w:tc>
          <w:tcPr>
            <w:tcW w:w="0" w:type="auto"/>
            <w:hideMark/>
          </w:tcPr>
          <w:p>
            <w:pPr>
              <w:spacing w:before="60" w:after="60"/>
              <w:jc w:val="center"/>
              <w:rPr>
                <w:rFonts w:eastAsia="Times New Roman"/>
                <w:noProof/>
                <w:spacing w:val="-8"/>
                <w:sz w:val="20"/>
                <w:szCs w:val="20"/>
              </w:rPr>
            </w:pPr>
            <w:r>
              <w:rPr>
                <w:noProof/>
                <w:spacing w:val="-8"/>
                <w:sz w:val="20"/>
              </w:rPr>
              <w:t>A+N</w:t>
            </w:r>
          </w:p>
        </w:tc>
        <w:tc>
          <w:tcPr>
            <w:tcW w:w="0" w:type="auto"/>
            <w:hideMark/>
          </w:tcPr>
          <w:p>
            <w:pPr>
              <w:spacing w:before="60" w:after="60"/>
              <w:jc w:val="center"/>
              <w:rPr>
                <w:rFonts w:eastAsia="Times New Roman"/>
                <w:noProof/>
                <w:spacing w:val="-8"/>
                <w:sz w:val="20"/>
                <w:szCs w:val="20"/>
              </w:rPr>
            </w:pPr>
            <w:r>
              <w:rPr>
                <w:noProof/>
                <w:spacing w:val="-8"/>
                <w:sz w:val="20"/>
              </w:rPr>
              <w:t>A+N</w:t>
            </w:r>
          </w:p>
        </w:tc>
        <w:tc>
          <w:tcPr>
            <w:tcW w:w="0" w:type="auto"/>
            <w:hideMark/>
          </w:tcPr>
          <w:p>
            <w:pPr>
              <w:spacing w:before="60" w:after="60"/>
              <w:jc w:val="center"/>
              <w:rPr>
                <w:rFonts w:eastAsia="Times New Roman"/>
                <w:noProof/>
                <w:spacing w:val="-8"/>
                <w:sz w:val="20"/>
                <w:szCs w:val="20"/>
              </w:rPr>
            </w:pPr>
            <w:r>
              <w:rPr>
                <w:noProof/>
                <w:spacing w:val="-8"/>
                <w:sz w:val="20"/>
              </w:rPr>
              <w:t>A+N</w:t>
            </w:r>
          </w:p>
        </w:tc>
        <w:tc>
          <w:tcPr>
            <w:tcW w:w="0" w:type="auto"/>
            <w:hideMark/>
          </w:tcPr>
          <w:p>
            <w:pPr>
              <w:spacing w:before="60" w:after="60"/>
              <w:jc w:val="center"/>
              <w:rPr>
                <w:rFonts w:eastAsia="Times New Roman"/>
                <w:noProof/>
                <w:spacing w:val="-8"/>
                <w:sz w:val="20"/>
                <w:szCs w:val="20"/>
              </w:rPr>
            </w:pPr>
            <w:r>
              <w:rPr>
                <w:noProof/>
                <w:spacing w:val="-8"/>
                <w:sz w:val="20"/>
              </w:rPr>
              <w:t>A+N</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21A</w:t>
            </w:r>
          </w:p>
        </w:tc>
        <w:tc>
          <w:tcPr>
            <w:tcW w:w="1378" w:type="pct"/>
            <w:hideMark/>
          </w:tcPr>
          <w:p>
            <w:pPr>
              <w:spacing w:before="60" w:after="60"/>
              <w:jc w:val="left"/>
              <w:rPr>
                <w:rFonts w:eastAsia="Times New Roman"/>
                <w:noProof/>
                <w:spacing w:val="-8"/>
                <w:sz w:val="20"/>
                <w:szCs w:val="20"/>
              </w:rPr>
            </w:pPr>
            <w:r>
              <w:rPr>
                <w:noProof/>
                <w:spacing w:val="-8"/>
                <w:sz w:val="20"/>
              </w:rPr>
              <w:t>Dispositifs catadioptriques pour les véhicules à moteur et leurs remorques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22A</w:t>
            </w:r>
          </w:p>
        </w:tc>
        <w:tc>
          <w:tcPr>
            <w:tcW w:w="1378" w:type="pct"/>
            <w:hideMark/>
          </w:tcPr>
          <w:p>
            <w:pPr>
              <w:spacing w:before="60" w:after="60"/>
              <w:jc w:val="left"/>
              <w:rPr>
                <w:rFonts w:eastAsia="Times New Roman"/>
                <w:noProof/>
                <w:spacing w:val="-8"/>
                <w:sz w:val="20"/>
                <w:szCs w:val="20"/>
              </w:rPr>
            </w:pPr>
            <w:r>
              <w:rPr>
                <w:noProof/>
                <w:spacing w:val="-8"/>
                <w:sz w:val="20"/>
              </w:rPr>
              <w:t>Feux de position avant et arrière, feux stop et feux d’encombrement pour les véhicules à moteur et leurs remorques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22B</w:t>
            </w:r>
          </w:p>
        </w:tc>
        <w:tc>
          <w:tcPr>
            <w:tcW w:w="1378" w:type="pct"/>
            <w:hideMark/>
          </w:tcPr>
          <w:p>
            <w:pPr>
              <w:spacing w:before="60" w:after="60"/>
              <w:jc w:val="left"/>
              <w:rPr>
                <w:rFonts w:eastAsia="Times New Roman"/>
                <w:noProof/>
                <w:spacing w:val="-8"/>
                <w:sz w:val="20"/>
                <w:szCs w:val="20"/>
              </w:rPr>
            </w:pPr>
            <w:r>
              <w:rPr>
                <w:noProof/>
                <w:spacing w:val="-8"/>
                <w:sz w:val="20"/>
              </w:rPr>
              <w:t>Feux de circulation diurne pour les véhicules à moteur</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87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22C</w:t>
            </w:r>
          </w:p>
        </w:tc>
        <w:tc>
          <w:tcPr>
            <w:tcW w:w="1378" w:type="pct"/>
            <w:hideMark/>
          </w:tcPr>
          <w:p>
            <w:pPr>
              <w:spacing w:before="60" w:after="60"/>
              <w:jc w:val="left"/>
              <w:rPr>
                <w:rFonts w:eastAsia="Times New Roman"/>
                <w:noProof/>
                <w:spacing w:val="-8"/>
                <w:sz w:val="20"/>
                <w:szCs w:val="20"/>
              </w:rPr>
            </w:pPr>
            <w:r>
              <w:rPr>
                <w:noProof/>
                <w:spacing w:val="-8"/>
                <w:sz w:val="20"/>
              </w:rPr>
              <w:t>Feux de position latéraux pour les véhicules à moteur et leurs remorques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91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23A</w:t>
            </w:r>
          </w:p>
        </w:tc>
        <w:tc>
          <w:tcPr>
            <w:tcW w:w="1378" w:type="pct"/>
            <w:hideMark/>
          </w:tcPr>
          <w:p>
            <w:pPr>
              <w:spacing w:before="60" w:after="60"/>
              <w:jc w:val="left"/>
              <w:rPr>
                <w:rFonts w:eastAsia="Times New Roman"/>
                <w:noProof/>
                <w:spacing w:val="-8"/>
                <w:sz w:val="20"/>
                <w:szCs w:val="20"/>
              </w:rPr>
            </w:pPr>
            <w:r>
              <w:rPr>
                <w:noProof/>
                <w:spacing w:val="-8"/>
                <w:sz w:val="20"/>
              </w:rPr>
              <w:t>Feux indicateurs de direction pour les véhicules à moteur et leurs remorques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6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24A</w:t>
            </w:r>
          </w:p>
        </w:tc>
        <w:tc>
          <w:tcPr>
            <w:tcW w:w="1378" w:type="pct"/>
            <w:hideMark/>
          </w:tcPr>
          <w:p>
            <w:pPr>
              <w:spacing w:before="60" w:after="60"/>
              <w:jc w:val="left"/>
              <w:rPr>
                <w:rFonts w:eastAsia="Times New Roman"/>
                <w:noProof/>
                <w:spacing w:val="-8"/>
                <w:sz w:val="20"/>
                <w:szCs w:val="20"/>
              </w:rPr>
            </w:pPr>
            <w:r>
              <w:rPr>
                <w:noProof/>
                <w:spacing w:val="-8"/>
                <w:sz w:val="20"/>
              </w:rPr>
              <w:t>Dispositifs d’éclairage de la plaque d’immatriculation arrière des véhicules à moteur et de leurs remorques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4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25A</w:t>
            </w:r>
          </w:p>
        </w:tc>
        <w:tc>
          <w:tcPr>
            <w:tcW w:w="1378" w:type="pct"/>
            <w:hideMark/>
          </w:tcPr>
          <w:p>
            <w:pPr>
              <w:spacing w:before="60" w:after="60"/>
              <w:jc w:val="left"/>
              <w:rPr>
                <w:rFonts w:eastAsia="Times New Roman"/>
                <w:noProof/>
                <w:spacing w:val="-8"/>
                <w:sz w:val="20"/>
                <w:szCs w:val="20"/>
              </w:rPr>
            </w:pPr>
            <w:r>
              <w:rPr>
                <w:noProof/>
                <w:spacing w:val="-8"/>
                <w:sz w:val="20"/>
              </w:rPr>
              <w:t>Projecteurs scellés halogènes, pour véhicules à moteur, émettant un faisceau de croisement asymétrique européen ou un faisceau de route, ou les deux à la fois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31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25B</w:t>
            </w:r>
          </w:p>
        </w:tc>
        <w:tc>
          <w:tcPr>
            <w:tcW w:w="1378" w:type="pct"/>
            <w:hideMark/>
          </w:tcPr>
          <w:p>
            <w:pPr>
              <w:spacing w:before="60" w:after="60"/>
              <w:jc w:val="left"/>
              <w:rPr>
                <w:rFonts w:eastAsia="Times New Roman"/>
                <w:noProof/>
                <w:spacing w:val="-8"/>
                <w:sz w:val="20"/>
                <w:szCs w:val="20"/>
              </w:rPr>
            </w:pPr>
            <w:r>
              <w:rPr>
                <w:noProof/>
                <w:spacing w:val="-8"/>
                <w:sz w:val="20"/>
              </w:rPr>
              <w:t>Lampes à incandescence destinées à être utilisées dans les feux homologués des véhicules à moteur et de leurs remorques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37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25C</w:t>
            </w:r>
          </w:p>
        </w:tc>
        <w:tc>
          <w:tcPr>
            <w:tcW w:w="1378" w:type="pct"/>
            <w:hideMark/>
          </w:tcPr>
          <w:p>
            <w:pPr>
              <w:spacing w:before="60" w:after="60"/>
              <w:jc w:val="left"/>
              <w:rPr>
                <w:rFonts w:eastAsia="Times New Roman"/>
                <w:noProof/>
                <w:spacing w:val="-8"/>
                <w:sz w:val="20"/>
                <w:szCs w:val="20"/>
              </w:rPr>
            </w:pPr>
            <w:r>
              <w:rPr>
                <w:noProof/>
                <w:spacing w:val="-8"/>
                <w:sz w:val="20"/>
              </w:rPr>
              <w:t>Projecteurs de véhicules à moteur munis de sources lumineuses à décharge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25D</w:t>
            </w:r>
          </w:p>
        </w:tc>
        <w:tc>
          <w:tcPr>
            <w:tcW w:w="1378" w:type="pct"/>
            <w:hideMark/>
          </w:tcPr>
          <w:p>
            <w:pPr>
              <w:spacing w:before="60" w:after="60"/>
              <w:jc w:val="left"/>
              <w:rPr>
                <w:rFonts w:eastAsia="Times New Roman"/>
                <w:noProof/>
                <w:spacing w:val="-8"/>
                <w:sz w:val="20"/>
                <w:szCs w:val="20"/>
              </w:rPr>
            </w:pPr>
            <w:r>
              <w:rPr>
                <w:noProof/>
                <w:spacing w:val="-8"/>
                <w:sz w:val="20"/>
              </w:rPr>
              <w:t>Sources lumineuses à décharge pour projecteurs homologués de véhicules à moteur</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99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25E</w:t>
            </w:r>
          </w:p>
        </w:tc>
        <w:tc>
          <w:tcPr>
            <w:tcW w:w="1378" w:type="pct"/>
            <w:hideMark/>
          </w:tcPr>
          <w:p>
            <w:pPr>
              <w:spacing w:before="60" w:after="60"/>
              <w:jc w:val="left"/>
              <w:rPr>
                <w:rFonts w:eastAsia="Times New Roman"/>
                <w:noProof/>
                <w:spacing w:val="-8"/>
                <w:sz w:val="20"/>
                <w:szCs w:val="20"/>
              </w:rPr>
            </w:pPr>
            <w:r>
              <w:rPr>
                <w:noProof/>
                <w:spacing w:val="-8"/>
                <w:sz w:val="20"/>
              </w:rPr>
              <w:t>Projecteurs pour véhicules à moteur émettant un faisceau de croisement asymétrique ou un faisceau de route, ou les deux à la fois, et équipés de lampes à incandescence et/ou de modules DEL</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112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25F</w:t>
            </w:r>
          </w:p>
        </w:tc>
        <w:tc>
          <w:tcPr>
            <w:tcW w:w="1378" w:type="pct"/>
            <w:hideMark/>
          </w:tcPr>
          <w:p>
            <w:pPr>
              <w:spacing w:before="60" w:after="60"/>
              <w:jc w:val="left"/>
              <w:rPr>
                <w:rFonts w:eastAsia="Times New Roman"/>
                <w:noProof/>
                <w:spacing w:val="-8"/>
                <w:sz w:val="20"/>
                <w:szCs w:val="20"/>
              </w:rPr>
            </w:pPr>
            <w:r>
              <w:rPr>
                <w:noProof/>
                <w:spacing w:val="-8"/>
                <w:sz w:val="20"/>
              </w:rPr>
              <w:t>Systèmes d’éclairage avant adaptatifs (AFS) destinés aux véhicules automobiles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123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26A</w:t>
            </w:r>
          </w:p>
        </w:tc>
        <w:tc>
          <w:tcPr>
            <w:tcW w:w="1378" w:type="pct"/>
            <w:hideMark/>
          </w:tcPr>
          <w:p>
            <w:pPr>
              <w:spacing w:before="60" w:after="60"/>
              <w:jc w:val="left"/>
              <w:rPr>
                <w:rFonts w:eastAsia="Times New Roman"/>
                <w:noProof/>
                <w:spacing w:val="-8"/>
                <w:sz w:val="20"/>
                <w:szCs w:val="20"/>
              </w:rPr>
            </w:pPr>
            <w:r>
              <w:rPr>
                <w:noProof/>
                <w:spacing w:val="-8"/>
                <w:sz w:val="20"/>
              </w:rPr>
              <w:t>Feux de brouillard avant des véhicules à moteur</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 </w:t>
            </w:r>
            <w:r>
              <w:rPr>
                <w:noProof/>
                <w:spacing w:val="-8"/>
                <w:sz w:val="20"/>
              </w:rPr>
              <w:t>19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27A</w:t>
            </w:r>
          </w:p>
        </w:tc>
        <w:tc>
          <w:tcPr>
            <w:tcW w:w="1378" w:type="pct"/>
            <w:hideMark/>
          </w:tcPr>
          <w:p>
            <w:pPr>
              <w:spacing w:before="60" w:after="60"/>
              <w:jc w:val="left"/>
              <w:rPr>
                <w:rFonts w:eastAsia="Times New Roman"/>
                <w:noProof/>
                <w:spacing w:val="-8"/>
                <w:sz w:val="20"/>
                <w:szCs w:val="20"/>
              </w:rPr>
            </w:pPr>
            <w:r>
              <w:rPr>
                <w:noProof/>
                <w:spacing w:val="-8"/>
                <w:sz w:val="20"/>
              </w:rPr>
              <w:t>Dispositifs de remorquage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1005/2010</w:t>
            </w:r>
          </w:p>
        </w:tc>
        <w:tc>
          <w:tcPr>
            <w:tcW w:w="0" w:type="auto"/>
            <w:hideMark/>
          </w:tcPr>
          <w:p>
            <w:pPr>
              <w:spacing w:before="60" w:after="60"/>
              <w:jc w:val="center"/>
              <w:rPr>
                <w:rFonts w:eastAsia="Times New Roman"/>
                <w:noProof/>
                <w:spacing w:val="-8"/>
                <w:sz w:val="20"/>
                <w:szCs w:val="20"/>
              </w:rPr>
            </w:pPr>
            <w:r>
              <w:rPr>
                <w:noProof/>
                <w:spacing w:val="-8"/>
                <w:sz w:val="20"/>
              </w:rPr>
              <w:t>A</w:t>
            </w:r>
          </w:p>
        </w:tc>
        <w:tc>
          <w:tcPr>
            <w:tcW w:w="0" w:type="auto"/>
            <w:hideMark/>
          </w:tcPr>
          <w:p>
            <w:pPr>
              <w:spacing w:before="60" w:after="60"/>
              <w:jc w:val="center"/>
              <w:rPr>
                <w:rFonts w:eastAsia="Times New Roman"/>
                <w:noProof/>
                <w:spacing w:val="-8"/>
                <w:sz w:val="20"/>
                <w:szCs w:val="20"/>
              </w:rPr>
            </w:pPr>
            <w:r>
              <w:rPr>
                <w:noProof/>
                <w:spacing w:val="-8"/>
                <w:sz w:val="20"/>
              </w:rPr>
              <w:t>A</w:t>
            </w:r>
          </w:p>
        </w:tc>
        <w:tc>
          <w:tcPr>
            <w:tcW w:w="0" w:type="auto"/>
            <w:hideMark/>
          </w:tcPr>
          <w:p>
            <w:pPr>
              <w:spacing w:before="60" w:after="60"/>
              <w:jc w:val="center"/>
              <w:rPr>
                <w:rFonts w:eastAsia="Times New Roman"/>
                <w:noProof/>
                <w:spacing w:val="-8"/>
                <w:sz w:val="20"/>
                <w:szCs w:val="20"/>
              </w:rPr>
            </w:pPr>
            <w:r>
              <w:rPr>
                <w:noProof/>
                <w:spacing w:val="-8"/>
                <w:sz w:val="20"/>
              </w:rPr>
              <w:t>A</w:t>
            </w:r>
          </w:p>
        </w:tc>
        <w:tc>
          <w:tcPr>
            <w:tcW w:w="0" w:type="auto"/>
            <w:hideMark/>
          </w:tcPr>
          <w:p>
            <w:pPr>
              <w:spacing w:before="60" w:after="60"/>
              <w:jc w:val="center"/>
              <w:rPr>
                <w:rFonts w:eastAsia="Times New Roman"/>
                <w:noProof/>
                <w:spacing w:val="-8"/>
                <w:sz w:val="20"/>
                <w:szCs w:val="20"/>
              </w:rPr>
            </w:pPr>
            <w:r>
              <w:rPr>
                <w:noProof/>
                <w:spacing w:val="-8"/>
                <w:sz w:val="20"/>
              </w:rPr>
              <w:t>A</w:t>
            </w:r>
          </w:p>
        </w:tc>
        <w:tc>
          <w:tcPr>
            <w:tcW w:w="0" w:type="auto"/>
            <w:hideMark/>
          </w:tcPr>
          <w:p>
            <w:pPr>
              <w:spacing w:before="60" w:after="60"/>
              <w:jc w:val="center"/>
              <w:rPr>
                <w:rFonts w:eastAsia="Times New Roman"/>
                <w:noProof/>
                <w:spacing w:val="-8"/>
                <w:sz w:val="20"/>
                <w:szCs w:val="20"/>
              </w:rPr>
            </w:pPr>
            <w:r>
              <w:rPr>
                <w:noProof/>
                <w:spacing w:val="-8"/>
                <w:sz w:val="20"/>
              </w:rPr>
              <w:t>A</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28A</w:t>
            </w:r>
          </w:p>
        </w:tc>
        <w:tc>
          <w:tcPr>
            <w:tcW w:w="1378" w:type="pct"/>
            <w:hideMark/>
          </w:tcPr>
          <w:p>
            <w:pPr>
              <w:spacing w:before="60" w:after="60"/>
              <w:jc w:val="left"/>
              <w:rPr>
                <w:rFonts w:eastAsia="Times New Roman"/>
                <w:noProof/>
                <w:spacing w:val="-8"/>
                <w:sz w:val="20"/>
                <w:szCs w:val="20"/>
              </w:rPr>
            </w:pPr>
            <w:r>
              <w:rPr>
                <w:noProof/>
                <w:spacing w:val="-8"/>
                <w:sz w:val="20"/>
              </w:rPr>
              <w:t>Feux de brouillard arrière des véhicules à moteur et de leurs remorques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29A</w:t>
            </w:r>
          </w:p>
        </w:tc>
        <w:tc>
          <w:tcPr>
            <w:tcW w:w="1378" w:type="pct"/>
            <w:hideMark/>
          </w:tcPr>
          <w:p>
            <w:pPr>
              <w:spacing w:before="60" w:after="60"/>
              <w:jc w:val="left"/>
              <w:rPr>
                <w:rFonts w:eastAsia="Times New Roman"/>
                <w:noProof/>
                <w:spacing w:val="-8"/>
                <w:sz w:val="20"/>
                <w:szCs w:val="20"/>
              </w:rPr>
            </w:pPr>
            <w:r>
              <w:rPr>
                <w:noProof/>
                <w:spacing w:val="-8"/>
                <w:sz w:val="20"/>
              </w:rPr>
              <w:t>Feux de marche arrière des véhicules à moteur et de leurs remorques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23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30A</w:t>
            </w:r>
          </w:p>
        </w:tc>
        <w:tc>
          <w:tcPr>
            <w:tcW w:w="1378" w:type="pct"/>
            <w:hideMark/>
          </w:tcPr>
          <w:p>
            <w:pPr>
              <w:spacing w:before="60" w:after="60"/>
              <w:jc w:val="left"/>
              <w:rPr>
                <w:rFonts w:eastAsia="Times New Roman"/>
                <w:noProof/>
                <w:spacing w:val="-8"/>
                <w:sz w:val="20"/>
                <w:szCs w:val="20"/>
              </w:rPr>
            </w:pPr>
            <w:r>
              <w:rPr>
                <w:noProof/>
                <w:spacing w:val="-8"/>
                <w:sz w:val="20"/>
              </w:rPr>
              <w:t>Feux de stationnement pour véhicules à moteur</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31A</w:t>
            </w:r>
          </w:p>
        </w:tc>
        <w:tc>
          <w:tcPr>
            <w:tcW w:w="1378" w:type="pct"/>
            <w:hideMark/>
          </w:tcPr>
          <w:p>
            <w:pPr>
              <w:spacing w:before="60" w:after="60"/>
              <w:jc w:val="left"/>
              <w:rPr>
                <w:rFonts w:eastAsia="Times New Roman"/>
                <w:noProof/>
                <w:spacing w:val="-8"/>
                <w:sz w:val="20"/>
                <w:szCs w:val="20"/>
              </w:rPr>
            </w:pPr>
            <w:r>
              <w:rPr>
                <w:noProof/>
                <w:spacing w:val="-8"/>
                <w:sz w:val="20"/>
              </w:rPr>
              <w:t>Ceintures de sécurité, systèmes de retenue, dispositifs de retenue pour enfants et dispositifs de retenue pour enfants Isofix</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16 de la CEE-ONU</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60" w:after="60"/>
              <w:jc w:val="center"/>
              <w:rPr>
                <w:rFonts w:eastAsia="Times New Roman"/>
                <w:noProof/>
                <w:spacing w:val="-8"/>
                <w:sz w:val="20"/>
                <w:szCs w:val="20"/>
              </w:rPr>
            </w:pPr>
            <w:r>
              <w:rPr>
                <w:noProof/>
                <w:spacing w:val="-8"/>
                <w:sz w:val="20"/>
              </w:rPr>
              <w:t>D</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33A</w:t>
            </w:r>
          </w:p>
        </w:tc>
        <w:tc>
          <w:tcPr>
            <w:tcW w:w="1378" w:type="pct"/>
            <w:hideMark/>
          </w:tcPr>
          <w:p>
            <w:pPr>
              <w:spacing w:before="60" w:after="60"/>
              <w:jc w:val="left"/>
              <w:rPr>
                <w:rFonts w:eastAsia="Times New Roman"/>
                <w:noProof/>
                <w:spacing w:val="-8"/>
                <w:sz w:val="20"/>
                <w:szCs w:val="20"/>
              </w:rPr>
            </w:pPr>
            <w:r>
              <w:rPr>
                <w:noProof/>
                <w:spacing w:val="-8"/>
                <w:sz w:val="20"/>
              </w:rPr>
              <w:t>Emplacement et moyens d’identification des commandes manuelles, des témoins et des indicateurs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121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34A</w:t>
            </w:r>
          </w:p>
        </w:tc>
        <w:tc>
          <w:tcPr>
            <w:tcW w:w="1378" w:type="pct"/>
            <w:hideMark/>
          </w:tcPr>
          <w:p>
            <w:pPr>
              <w:spacing w:before="60" w:after="60"/>
              <w:jc w:val="left"/>
              <w:rPr>
                <w:rFonts w:eastAsia="Times New Roman"/>
                <w:noProof/>
                <w:spacing w:val="-8"/>
                <w:sz w:val="20"/>
                <w:szCs w:val="20"/>
              </w:rPr>
            </w:pPr>
            <w:r>
              <w:rPr>
                <w:noProof/>
                <w:spacing w:val="-8"/>
                <w:sz w:val="20"/>
              </w:rPr>
              <w:t>Dispositifs de dégivrage et de désembuage du pare-brise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672/2010</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35A</w:t>
            </w:r>
          </w:p>
        </w:tc>
        <w:tc>
          <w:tcPr>
            <w:tcW w:w="1378" w:type="pct"/>
            <w:hideMark/>
          </w:tcPr>
          <w:p>
            <w:pPr>
              <w:spacing w:before="60" w:after="60"/>
              <w:jc w:val="left"/>
              <w:rPr>
                <w:rFonts w:eastAsia="Times New Roman"/>
                <w:noProof/>
                <w:spacing w:val="-8"/>
                <w:sz w:val="20"/>
                <w:szCs w:val="20"/>
              </w:rPr>
            </w:pPr>
            <w:r>
              <w:rPr>
                <w:noProof/>
                <w:spacing w:val="-8"/>
                <w:sz w:val="20"/>
              </w:rPr>
              <w:t>Essuie-glace et lave-glace du pare-brise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1008/2010</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36A</w:t>
            </w:r>
          </w:p>
        </w:tc>
        <w:tc>
          <w:tcPr>
            <w:tcW w:w="1378" w:type="pct"/>
            <w:hideMark/>
          </w:tcPr>
          <w:p>
            <w:pPr>
              <w:spacing w:before="60" w:after="60"/>
              <w:jc w:val="left"/>
              <w:rPr>
                <w:rFonts w:eastAsia="Times New Roman"/>
                <w:noProof/>
                <w:spacing w:val="-8"/>
                <w:sz w:val="20"/>
                <w:szCs w:val="20"/>
              </w:rPr>
            </w:pPr>
            <w:r>
              <w:rPr>
                <w:noProof/>
                <w:spacing w:val="-8"/>
                <w:sz w:val="20"/>
              </w:rPr>
              <w:t>Systèmes de chauffage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122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38A</w:t>
            </w:r>
          </w:p>
        </w:tc>
        <w:tc>
          <w:tcPr>
            <w:tcW w:w="1378" w:type="pct"/>
            <w:hideMark/>
          </w:tcPr>
          <w:p>
            <w:pPr>
              <w:spacing w:before="60" w:after="60"/>
              <w:jc w:val="left"/>
              <w:rPr>
                <w:rFonts w:eastAsia="Times New Roman"/>
                <w:noProof/>
                <w:spacing w:val="-8"/>
                <w:sz w:val="20"/>
                <w:szCs w:val="20"/>
              </w:rPr>
            </w:pPr>
            <w:r>
              <w:rPr>
                <w:noProof/>
                <w:spacing w:val="-8"/>
                <w:sz w:val="20"/>
              </w:rPr>
              <w:t>Appuie-tête incorporés ou non dans les sièges des véhicules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25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41A</w:t>
            </w:r>
          </w:p>
        </w:tc>
        <w:tc>
          <w:tcPr>
            <w:tcW w:w="1378" w:type="pct"/>
            <w:hideMark/>
          </w:tcPr>
          <w:p>
            <w:pPr>
              <w:spacing w:before="60" w:after="60"/>
              <w:jc w:val="left"/>
              <w:rPr>
                <w:rFonts w:eastAsia="Times New Roman"/>
                <w:noProof/>
                <w:spacing w:val="-8"/>
                <w:sz w:val="20"/>
                <w:szCs w:val="20"/>
              </w:rPr>
            </w:pPr>
            <w:r>
              <w:rPr>
                <w:noProof/>
                <w:spacing w:val="-8"/>
                <w:sz w:val="20"/>
              </w:rPr>
              <w:t>Émissions (Euro VI) des véhicules lourds/accès aux informations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595/2009</w:t>
            </w:r>
          </w:p>
        </w:tc>
        <w:tc>
          <w:tcPr>
            <w:tcW w:w="0" w:type="auto"/>
            <w:hideMark/>
          </w:tcPr>
          <w:p>
            <w:pPr>
              <w:spacing w:before="60" w:after="60"/>
              <w:jc w:val="center"/>
              <w:rPr>
                <w:rFonts w:eastAsia="Times New Roman"/>
                <w:noProof/>
                <w:spacing w:val="-8"/>
                <w:sz w:val="20"/>
                <w:szCs w:val="20"/>
              </w:rPr>
            </w:pPr>
            <w:r>
              <w:rPr>
                <w:noProof/>
                <w:spacing w:val="-8"/>
                <w:sz w:val="20"/>
              </w:rPr>
              <w:t>H (</w:t>
            </w:r>
            <w:r>
              <w:rPr>
                <w:noProof/>
                <w:spacing w:val="-8"/>
                <w:sz w:val="20"/>
                <w:vertAlign w:val="superscript"/>
              </w:rPr>
              <w:t>9</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H</w:t>
            </w:r>
          </w:p>
        </w:tc>
        <w:tc>
          <w:tcPr>
            <w:tcW w:w="0" w:type="auto"/>
            <w:hideMark/>
          </w:tcPr>
          <w:p>
            <w:pPr>
              <w:spacing w:before="60" w:after="60"/>
              <w:jc w:val="center"/>
              <w:rPr>
                <w:rFonts w:eastAsia="Times New Roman"/>
                <w:noProof/>
                <w:spacing w:val="-8"/>
                <w:sz w:val="20"/>
                <w:szCs w:val="20"/>
              </w:rPr>
            </w:pPr>
            <w:r>
              <w:rPr>
                <w:noProof/>
                <w:spacing w:val="-8"/>
                <w:sz w:val="20"/>
              </w:rPr>
              <w:t>H (</w:t>
            </w:r>
            <w:r>
              <w:rPr>
                <w:noProof/>
                <w:spacing w:val="-8"/>
                <w:sz w:val="20"/>
                <w:vertAlign w:val="superscript"/>
              </w:rPr>
              <w:t>9</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H (</w:t>
            </w:r>
            <w:r>
              <w:rPr>
                <w:noProof/>
                <w:spacing w:val="-8"/>
                <w:sz w:val="20"/>
                <w:vertAlign w:val="superscript"/>
              </w:rPr>
              <w:t>9</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H</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42A</w:t>
            </w:r>
          </w:p>
        </w:tc>
        <w:tc>
          <w:tcPr>
            <w:tcW w:w="1378" w:type="pct"/>
            <w:hideMark/>
          </w:tcPr>
          <w:p>
            <w:pPr>
              <w:spacing w:before="60" w:after="60"/>
              <w:jc w:val="left"/>
              <w:rPr>
                <w:rFonts w:eastAsia="Times New Roman"/>
                <w:noProof/>
                <w:spacing w:val="-8"/>
                <w:sz w:val="20"/>
                <w:szCs w:val="20"/>
              </w:rPr>
            </w:pPr>
            <w:r>
              <w:rPr>
                <w:noProof/>
                <w:spacing w:val="-8"/>
                <w:sz w:val="20"/>
              </w:rPr>
              <w:t>Protection latérale des véhicules utilitaires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73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43A</w:t>
            </w:r>
          </w:p>
        </w:tc>
        <w:tc>
          <w:tcPr>
            <w:tcW w:w="1378" w:type="pct"/>
            <w:hideMark/>
          </w:tcPr>
          <w:p>
            <w:pPr>
              <w:spacing w:before="60" w:after="60"/>
              <w:jc w:val="left"/>
              <w:rPr>
                <w:rFonts w:eastAsia="Times New Roman"/>
                <w:noProof/>
                <w:spacing w:val="-8"/>
                <w:sz w:val="20"/>
                <w:szCs w:val="20"/>
              </w:rPr>
            </w:pPr>
            <w:r>
              <w:rPr>
                <w:noProof/>
                <w:spacing w:val="-8"/>
                <w:sz w:val="20"/>
              </w:rPr>
              <w:t>Systèmes antiprojections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109/2011</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45A</w:t>
            </w:r>
          </w:p>
        </w:tc>
        <w:tc>
          <w:tcPr>
            <w:tcW w:w="1378" w:type="pct"/>
            <w:hideMark/>
          </w:tcPr>
          <w:p>
            <w:pPr>
              <w:spacing w:before="60" w:after="60"/>
              <w:jc w:val="left"/>
              <w:rPr>
                <w:rFonts w:eastAsia="Times New Roman"/>
                <w:noProof/>
                <w:spacing w:val="-8"/>
                <w:sz w:val="20"/>
                <w:szCs w:val="20"/>
              </w:rPr>
            </w:pPr>
            <w:r>
              <w:rPr>
                <w:noProof/>
                <w:spacing w:val="-8"/>
                <w:sz w:val="20"/>
              </w:rPr>
              <w:t>Vitrages de sécurité et leur installation sur les véhicules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43 de la CEE-ONU</w:t>
            </w:r>
          </w:p>
        </w:tc>
        <w:tc>
          <w:tcPr>
            <w:tcW w:w="0" w:type="auto"/>
            <w:hideMark/>
          </w:tcPr>
          <w:p>
            <w:pPr>
              <w:spacing w:before="60" w:after="60"/>
              <w:jc w:val="center"/>
              <w:rPr>
                <w:rFonts w:eastAsia="Times New Roman"/>
                <w:noProof/>
                <w:spacing w:val="-8"/>
                <w:sz w:val="20"/>
                <w:szCs w:val="20"/>
              </w:rPr>
            </w:pPr>
            <w:r>
              <w:rPr>
                <w:noProof/>
                <w:spacing w:val="-8"/>
                <w:sz w:val="20"/>
              </w:rPr>
              <w:t>J</w:t>
            </w:r>
          </w:p>
        </w:tc>
        <w:tc>
          <w:tcPr>
            <w:tcW w:w="0" w:type="auto"/>
            <w:hideMark/>
          </w:tcPr>
          <w:p>
            <w:pPr>
              <w:spacing w:before="60" w:after="60"/>
              <w:jc w:val="center"/>
              <w:rPr>
                <w:rFonts w:eastAsia="Times New Roman"/>
                <w:noProof/>
                <w:spacing w:val="-8"/>
                <w:sz w:val="20"/>
                <w:szCs w:val="20"/>
              </w:rPr>
            </w:pPr>
            <w:r>
              <w:rPr>
                <w:noProof/>
                <w:spacing w:val="-8"/>
                <w:sz w:val="20"/>
              </w:rPr>
              <w:t>J</w:t>
            </w:r>
          </w:p>
        </w:tc>
        <w:tc>
          <w:tcPr>
            <w:tcW w:w="0" w:type="auto"/>
            <w:hideMark/>
          </w:tcPr>
          <w:p>
            <w:pPr>
              <w:spacing w:before="60" w:after="60"/>
              <w:jc w:val="center"/>
              <w:rPr>
                <w:rFonts w:eastAsia="Times New Roman"/>
                <w:noProof/>
                <w:spacing w:val="-8"/>
                <w:sz w:val="20"/>
                <w:szCs w:val="20"/>
              </w:rPr>
            </w:pPr>
            <w:r>
              <w:rPr>
                <w:noProof/>
                <w:spacing w:val="-8"/>
                <w:sz w:val="20"/>
              </w:rPr>
              <w:t>J</w:t>
            </w:r>
          </w:p>
        </w:tc>
        <w:tc>
          <w:tcPr>
            <w:tcW w:w="0" w:type="auto"/>
            <w:hideMark/>
          </w:tcPr>
          <w:p>
            <w:pPr>
              <w:spacing w:before="60" w:after="60"/>
              <w:jc w:val="center"/>
              <w:rPr>
                <w:rFonts w:eastAsia="Times New Roman"/>
                <w:noProof/>
                <w:spacing w:val="-8"/>
                <w:sz w:val="20"/>
                <w:szCs w:val="20"/>
              </w:rPr>
            </w:pPr>
            <w:r>
              <w:rPr>
                <w:noProof/>
                <w:spacing w:val="-8"/>
                <w:sz w:val="20"/>
              </w:rPr>
              <w:t>J</w:t>
            </w:r>
          </w:p>
        </w:tc>
        <w:tc>
          <w:tcPr>
            <w:tcW w:w="0" w:type="auto"/>
            <w:hideMark/>
          </w:tcPr>
          <w:p>
            <w:pPr>
              <w:spacing w:before="60" w:after="60"/>
              <w:jc w:val="center"/>
              <w:rPr>
                <w:rFonts w:eastAsia="Times New Roman"/>
                <w:noProof/>
                <w:spacing w:val="-8"/>
                <w:sz w:val="20"/>
                <w:szCs w:val="20"/>
              </w:rPr>
            </w:pPr>
            <w:r>
              <w:rPr>
                <w:noProof/>
                <w:spacing w:val="-8"/>
                <w:sz w:val="20"/>
              </w:rPr>
              <w:t>J</w:t>
            </w:r>
          </w:p>
        </w:tc>
        <w:tc>
          <w:tcPr>
            <w:tcW w:w="0" w:type="auto"/>
            <w:hideMark/>
          </w:tcPr>
          <w:p>
            <w:pPr>
              <w:spacing w:before="60" w:after="60"/>
              <w:jc w:val="center"/>
              <w:rPr>
                <w:rFonts w:eastAsia="Times New Roman"/>
                <w:noProof/>
                <w:spacing w:val="-8"/>
                <w:sz w:val="20"/>
                <w:szCs w:val="20"/>
              </w:rPr>
            </w:pPr>
            <w:r>
              <w:rPr>
                <w:noProof/>
                <w:spacing w:val="-8"/>
                <w:sz w:val="20"/>
              </w:rPr>
              <w:t>J</w:t>
            </w:r>
          </w:p>
        </w:tc>
        <w:tc>
          <w:tcPr>
            <w:tcW w:w="0" w:type="auto"/>
            <w:hideMark/>
          </w:tcPr>
          <w:p>
            <w:pPr>
              <w:spacing w:before="60" w:after="60"/>
              <w:jc w:val="center"/>
              <w:rPr>
                <w:rFonts w:eastAsia="Times New Roman"/>
                <w:noProof/>
                <w:spacing w:val="-8"/>
                <w:sz w:val="20"/>
                <w:szCs w:val="20"/>
              </w:rPr>
            </w:pPr>
            <w:r>
              <w:rPr>
                <w:noProof/>
                <w:spacing w:val="-8"/>
                <w:sz w:val="20"/>
              </w:rPr>
              <w:t>J</w:t>
            </w:r>
          </w:p>
        </w:tc>
        <w:tc>
          <w:tcPr>
            <w:tcW w:w="0" w:type="auto"/>
            <w:hideMark/>
          </w:tcPr>
          <w:p>
            <w:pPr>
              <w:spacing w:before="60" w:after="60"/>
              <w:jc w:val="center"/>
              <w:rPr>
                <w:rFonts w:eastAsia="Times New Roman"/>
                <w:noProof/>
                <w:spacing w:val="-8"/>
                <w:sz w:val="20"/>
                <w:szCs w:val="20"/>
              </w:rPr>
            </w:pPr>
            <w:r>
              <w:rPr>
                <w:noProof/>
                <w:spacing w:val="-8"/>
                <w:sz w:val="20"/>
              </w:rPr>
              <w:t>J</w:t>
            </w:r>
          </w:p>
        </w:tc>
        <w:tc>
          <w:tcPr>
            <w:tcW w:w="0" w:type="auto"/>
            <w:hideMark/>
          </w:tcPr>
          <w:p>
            <w:pPr>
              <w:spacing w:before="60" w:after="60"/>
              <w:jc w:val="center"/>
              <w:rPr>
                <w:rFonts w:eastAsia="Times New Roman"/>
                <w:noProof/>
                <w:spacing w:val="-8"/>
                <w:sz w:val="20"/>
                <w:szCs w:val="20"/>
              </w:rPr>
            </w:pPr>
            <w:r>
              <w:rPr>
                <w:noProof/>
                <w:spacing w:val="-8"/>
                <w:sz w:val="20"/>
              </w:rPr>
              <w:t>J</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46</w:t>
            </w:r>
          </w:p>
        </w:tc>
        <w:tc>
          <w:tcPr>
            <w:tcW w:w="1378" w:type="pct"/>
            <w:hideMark/>
          </w:tcPr>
          <w:p>
            <w:pPr>
              <w:spacing w:before="60" w:after="60"/>
              <w:jc w:val="left"/>
              <w:rPr>
                <w:rFonts w:eastAsia="Times New Roman"/>
                <w:noProof/>
                <w:spacing w:val="-8"/>
                <w:sz w:val="20"/>
                <w:szCs w:val="20"/>
              </w:rPr>
            </w:pPr>
            <w:r>
              <w:rPr>
                <w:noProof/>
                <w:spacing w:val="-8"/>
                <w:sz w:val="20"/>
              </w:rPr>
              <w:t>Pneumatiques</w:t>
            </w:r>
          </w:p>
        </w:tc>
        <w:tc>
          <w:tcPr>
            <w:tcW w:w="879" w:type="pct"/>
            <w:hideMark/>
          </w:tcPr>
          <w:p>
            <w:pPr>
              <w:spacing w:before="60" w:after="60"/>
              <w:jc w:val="left"/>
              <w:rPr>
                <w:rFonts w:eastAsia="Times New Roman"/>
                <w:noProof/>
                <w:spacing w:val="-8"/>
                <w:sz w:val="20"/>
                <w:szCs w:val="20"/>
              </w:rPr>
            </w:pPr>
            <w:r>
              <w:rPr>
                <w:noProof/>
                <w:spacing w:val="-8"/>
                <w:sz w:val="20"/>
              </w:rPr>
              <w:t>Directive 92/23/CEE</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46A</w:t>
            </w:r>
          </w:p>
        </w:tc>
        <w:tc>
          <w:tcPr>
            <w:tcW w:w="1378" w:type="pct"/>
            <w:hideMark/>
          </w:tcPr>
          <w:p>
            <w:pPr>
              <w:spacing w:before="60" w:after="60"/>
              <w:jc w:val="left"/>
              <w:rPr>
                <w:rFonts w:eastAsia="Times New Roman"/>
                <w:noProof/>
                <w:spacing w:val="-8"/>
                <w:sz w:val="20"/>
                <w:szCs w:val="20"/>
              </w:rPr>
            </w:pPr>
            <w:r>
              <w:rPr>
                <w:noProof/>
                <w:spacing w:val="-8"/>
                <w:sz w:val="20"/>
              </w:rPr>
              <w:t>Montage des pneumatiques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458/2011</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46B</w:t>
            </w:r>
          </w:p>
        </w:tc>
        <w:tc>
          <w:tcPr>
            <w:tcW w:w="1378" w:type="pct"/>
            <w:hideMark/>
          </w:tcPr>
          <w:p>
            <w:pPr>
              <w:spacing w:before="60" w:after="60"/>
              <w:jc w:val="left"/>
              <w:rPr>
                <w:rFonts w:eastAsia="Times New Roman"/>
                <w:noProof/>
                <w:spacing w:val="-8"/>
                <w:sz w:val="20"/>
                <w:szCs w:val="20"/>
              </w:rPr>
            </w:pPr>
            <w:r>
              <w:rPr>
                <w:noProof/>
                <w:spacing w:val="-8"/>
                <w:sz w:val="20"/>
              </w:rPr>
              <w:t>Pneumatiques pour les véhicules à moteur et leurs remorques (classe C1)</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30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46C</w:t>
            </w:r>
          </w:p>
        </w:tc>
        <w:tc>
          <w:tcPr>
            <w:tcW w:w="1378" w:type="pct"/>
            <w:hideMark/>
          </w:tcPr>
          <w:p>
            <w:pPr>
              <w:spacing w:before="60" w:after="60"/>
              <w:jc w:val="left"/>
              <w:rPr>
                <w:rFonts w:eastAsia="Times New Roman"/>
                <w:noProof/>
                <w:spacing w:val="-8"/>
                <w:sz w:val="20"/>
                <w:szCs w:val="20"/>
              </w:rPr>
            </w:pPr>
            <w:r>
              <w:rPr>
                <w:noProof/>
                <w:spacing w:val="-8"/>
                <w:sz w:val="20"/>
              </w:rPr>
              <w:t>Pneumatiques pour les véhicules utilitaires et leurs remorques (classes C2 et C3)</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54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46D</w:t>
            </w:r>
          </w:p>
        </w:tc>
        <w:tc>
          <w:tcPr>
            <w:tcW w:w="1378" w:type="pct"/>
            <w:hideMark/>
          </w:tcPr>
          <w:p>
            <w:pPr>
              <w:spacing w:before="60" w:after="60"/>
              <w:jc w:val="left"/>
              <w:rPr>
                <w:rFonts w:eastAsia="Times New Roman"/>
                <w:noProof/>
                <w:spacing w:val="-8"/>
                <w:sz w:val="20"/>
                <w:szCs w:val="20"/>
              </w:rPr>
            </w:pPr>
            <w:r>
              <w:rPr>
                <w:noProof/>
                <w:spacing w:val="-8"/>
                <w:sz w:val="20"/>
              </w:rPr>
              <w:t>Émissions sonores de roulement, adhérence sur sol mouillé et résistance au roulement (classes C1, C2 et C3)</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117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46E</w:t>
            </w:r>
          </w:p>
        </w:tc>
        <w:tc>
          <w:tcPr>
            <w:tcW w:w="1378" w:type="pct"/>
            <w:hideMark/>
          </w:tcPr>
          <w:p>
            <w:pPr>
              <w:spacing w:before="60" w:after="60"/>
              <w:jc w:val="left"/>
              <w:rPr>
                <w:rFonts w:eastAsia="Times New Roman"/>
                <w:noProof/>
                <w:spacing w:val="-8"/>
                <w:sz w:val="20"/>
                <w:szCs w:val="20"/>
              </w:rPr>
            </w:pPr>
            <w:r>
              <w:rPr>
                <w:noProof/>
                <w:spacing w:val="-8"/>
                <w:sz w:val="20"/>
              </w:rPr>
              <w:t>Équipement de secours à usage temporaire, pneumatiques/système pour roulage à plat et système de surveillance de la pression des pneumatiques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64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9A</w:t>
            </w:r>
            <w:r>
              <w:rPr>
                <w:noProof/>
                <w:spacing w:val="-8"/>
                <w:sz w:val="20"/>
              </w:rPr>
              <w: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47A</w:t>
            </w:r>
          </w:p>
        </w:tc>
        <w:tc>
          <w:tcPr>
            <w:tcW w:w="1378" w:type="pct"/>
            <w:hideMark/>
          </w:tcPr>
          <w:p>
            <w:pPr>
              <w:spacing w:before="60" w:after="60"/>
              <w:jc w:val="left"/>
              <w:rPr>
                <w:rFonts w:eastAsia="Times New Roman"/>
                <w:noProof/>
                <w:spacing w:val="-8"/>
                <w:sz w:val="20"/>
                <w:szCs w:val="20"/>
              </w:rPr>
            </w:pPr>
            <w:r>
              <w:rPr>
                <w:noProof/>
                <w:spacing w:val="-8"/>
                <w:sz w:val="20"/>
              </w:rPr>
              <w:t>Systèmes de limitation de vitesse des véhicules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89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48A</w:t>
            </w:r>
          </w:p>
        </w:tc>
        <w:tc>
          <w:tcPr>
            <w:tcW w:w="1378" w:type="pct"/>
            <w:hideMark/>
          </w:tcPr>
          <w:p>
            <w:pPr>
              <w:spacing w:before="60" w:after="60"/>
              <w:jc w:val="left"/>
              <w:rPr>
                <w:rFonts w:eastAsia="Times New Roman"/>
                <w:noProof/>
                <w:spacing w:val="-8"/>
                <w:sz w:val="20"/>
                <w:szCs w:val="20"/>
              </w:rPr>
            </w:pPr>
            <w:r>
              <w:rPr>
                <w:noProof/>
                <w:spacing w:val="-8"/>
                <w:sz w:val="20"/>
              </w:rPr>
              <w:t>Masses et dimensions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49A</w:t>
            </w:r>
          </w:p>
        </w:tc>
        <w:tc>
          <w:tcPr>
            <w:tcW w:w="1378" w:type="pct"/>
            <w:hideMark/>
          </w:tcPr>
          <w:p>
            <w:pPr>
              <w:spacing w:before="60" w:after="60"/>
              <w:jc w:val="left"/>
              <w:rPr>
                <w:rFonts w:eastAsia="Times New Roman"/>
                <w:noProof/>
                <w:spacing w:val="-8"/>
                <w:sz w:val="20"/>
                <w:szCs w:val="20"/>
              </w:rPr>
            </w:pPr>
            <w:r>
              <w:rPr>
                <w:noProof/>
                <w:spacing w:val="-8"/>
                <w:sz w:val="20"/>
              </w:rPr>
              <w:t>Saillies extérieures à l’avant de la cloison postérieure de la cabine des véhicules utilitaires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61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50A</w:t>
            </w:r>
          </w:p>
        </w:tc>
        <w:tc>
          <w:tcPr>
            <w:tcW w:w="1378" w:type="pct"/>
            <w:hideMark/>
          </w:tcPr>
          <w:p>
            <w:pPr>
              <w:spacing w:before="60" w:after="60"/>
              <w:jc w:val="left"/>
              <w:rPr>
                <w:rFonts w:eastAsia="Times New Roman"/>
                <w:noProof/>
                <w:spacing w:val="-8"/>
                <w:sz w:val="20"/>
                <w:szCs w:val="20"/>
              </w:rPr>
            </w:pPr>
            <w:r>
              <w:rPr>
                <w:noProof/>
                <w:spacing w:val="-8"/>
                <w:sz w:val="20"/>
              </w:rPr>
              <w:t>Pièces mécaniques d’attelage des ensembles de véhicules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55 de la CEE-ONU</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50B</w:t>
            </w:r>
          </w:p>
        </w:tc>
        <w:tc>
          <w:tcPr>
            <w:tcW w:w="1378" w:type="pct"/>
            <w:hideMark/>
          </w:tcPr>
          <w:p>
            <w:pPr>
              <w:spacing w:before="60" w:after="60"/>
              <w:jc w:val="left"/>
              <w:rPr>
                <w:rFonts w:eastAsia="Times New Roman"/>
                <w:noProof/>
                <w:spacing w:val="-8"/>
                <w:sz w:val="20"/>
                <w:szCs w:val="20"/>
              </w:rPr>
            </w:pPr>
            <w:r>
              <w:rPr>
                <w:noProof/>
                <w:spacing w:val="-8"/>
                <w:sz w:val="20"/>
              </w:rPr>
              <w:t>Dispositifs d’attelage court (DAC); installation d’un type réceptionné de DAC</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102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51A</w:t>
            </w:r>
          </w:p>
        </w:tc>
        <w:tc>
          <w:tcPr>
            <w:tcW w:w="1378" w:type="pct"/>
            <w:hideMark/>
          </w:tcPr>
          <w:p>
            <w:pPr>
              <w:spacing w:before="60" w:after="60"/>
              <w:jc w:val="left"/>
              <w:rPr>
                <w:rFonts w:eastAsia="Times New Roman"/>
                <w:noProof/>
                <w:spacing w:val="-8"/>
                <w:sz w:val="20"/>
                <w:szCs w:val="20"/>
              </w:rPr>
            </w:pPr>
            <w:r>
              <w:rPr>
                <w:noProof/>
                <w:spacing w:val="-8"/>
                <w:sz w:val="20"/>
              </w:rPr>
              <w:t>Comportement au feu des matériaux utilisés dans l’aménagement intérieur de certaines catégories de véhicules à moteur</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118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52A</w:t>
            </w:r>
          </w:p>
        </w:tc>
        <w:tc>
          <w:tcPr>
            <w:tcW w:w="1378" w:type="pct"/>
            <w:hideMark/>
          </w:tcPr>
          <w:p>
            <w:pPr>
              <w:spacing w:before="60" w:after="60"/>
              <w:jc w:val="left"/>
              <w:rPr>
                <w:rFonts w:eastAsia="Times New Roman"/>
                <w:noProof/>
                <w:spacing w:val="-8"/>
                <w:sz w:val="20"/>
                <w:szCs w:val="20"/>
              </w:rPr>
            </w:pPr>
            <w:r>
              <w:rPr>
                <w:noProof/>
                <w:spacing w:val="-8"/>
                <w:sz w:val="20"/>
              </w:rPr>
              <w:t>Véhicules M</w:t>
            </w:r>
            <w:r>
              <w:rPr>
                <w:noProof/>
                <w:spacing w:val="-8"/>
                <w:sz w:val="20"/>
                <w:vertAlign w:val="subscript"/>
              </w:rPr>
              <w:t>2</w:t>
            </w:r>
            <w:r>
              <w:rPr>
                <w:noProof/>
                <w:spacing w:val="-8"/>
                <w:sz w:val="20"/>
              </w:rPr>
              <w:t xml:space="preserve"> et M</w:t>
            </w:r>
            <w:r>
              <w:rPr>
                <w:noProof/>
                <w:spacing w:val="-8"/>
                <w:sz w:val="20"/>
                <w:vertAlign w:val="subscript"/>
              </w:rPr>
              <w:t>3</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52B</w:t>
            </w:r>
          </w:p>
        </w:tc>
        <w:tc>
          <w:tcPr>
            <w:tcW w:w="1378" w:type="pct"/>
            <w:hideMark/>
          </w:tcPr>
          <w:p>
            <w:pPr>
              <w:spacing w:before="60" w:after="60"/>
              <w:jc w:val="left"/>
              <w:rPr>
                <w:rFonts w:eastAsia="Times New Roman"/>
                <w:noProof/>
                <w:spacing w:val="-8"/>
                <w:sz w:val="20"/>
                <w:szCs w:val="20"/>
              </w:rPr>
            </w:pPr>
            <w:r>
              <w:rPr>
                <w:noProof/>
                <w:spacing w:val="-8"/>
                <w:sz w:val="20"/>
              </w:rPr>
              <w:t>Résistance mécanique de la superstructure des véhicules de grande capacité pour le transport de personnes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66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54A</w:t>
            </w:r>
          </w:p>
        </w:tc>
        <w:tc>
          <w:tcPr>
            <w:tcW w:w="1378" w:type="pct"/>
            <w:hideMark/>
          </w:tcPr>
          <w:p>
            <w:pPr>
              <w:spacing w:before="60" w:after="60"/>
              <w:jc w:val="left"/>
              <w:rPr>
                <w:rFonts w:eastAsia="Times New Roman"/>
                <w:noProof/>
                <w:spacing w:val="-8"/>
                <w:sz w:val="20"/>
                <w:szCs w:val="20"/>
              </w:rPr>
            </w:pPr>
            <w:r>
              <w:rPr>
                <w:noProof/>
                <w:spacing w:val="-8"/>
                <w:sz w:val="20"/>
              </w:rPr>
              <w:t>Protection des occupants en cas de collision latérale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95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A</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56A</w:t>
            </w:r>
          </w:p>
        </w:tc>
        <w:tc>
          <w:tcPr>
            <w:tcW w:w="1378" w:type="pct"/>
            <w:hideMark/>
          </w:tcPr>
          <w:p>
            <w:pPr>
              <w:spacing w:before="60" w:after="60"/>
              <w:jc w:val="left"/>
              <w:rPr>
                <w:rFonts w:eastAsia="Times New Roman"/>
                <w:noProof/>
                <w:spacing w:val="-8"/>
                <w:sz w:val="20"/>
                <w:szCs w:val="20"/>
              </w:rPr>
            </w:pPr>
            <w:r>
              <w:rPr>
                <w:noProof/>
                <w:spacing w:val="-8"/>
                <w:sz w:val="20"/>
              </w:rPr>
              <w:t>Véhicules destinés au transport de marchandises dangereuses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105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13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13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13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57A</w:t>
            </w:r>
          </w:p>
        </w:tc>
        <w:tc>
          <w:tcPr>
            <w:tcW w:w="1378" w:type="pct"/>
            <w:hideMark/>
          </w:tcPr>
          <w:p>
            <w:pPr>
              <w:spacing w:before="60" w:after="60"/>
              <w:jc w:val="left"/>
              <w:rPr>
                <w:rFonts w:eastAsia="Times New Roman"/>
                <w:noProof/>
                <w:spacing w:val="-8"/>
                <w:sz w:val="20"/>
                <w:szCs w:val="20"/>
              </w:rPr>
            </w:pPr>
            <w:r>
              <w:rPr>
                <w:noProof/>
                <w:spacing w:val="-8"/>
                <w:sz w:val="20"/>
              </w:rPr>
              <w:t>Dispositifs avant de protection anti-encastrement et leur montage; protection contre l’encastrement à l’avant</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93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58</w:t>
            </w:r>
          </w:p>
        </w:tc>
        <w:tc>
          <w:tcPr>
            <w:tcW w:w="1378" w:type="pct"/>
            <w:hideMark/>
          </w:tcPr>
          <w:p>
            <w:pPr>
              <w:spacing w:before="60" w:after="60"/>
              <w:jc w:val="left"/>
              <w:rPr>
                <w:rFonts w:eastAsia="Times New Roman"/>
                <w:noProof/>
                <w:spacing w:val="-8"/>
                <w:sz w:val="20"/>
                <w:szCs w:val="20"/>
              </w:rPr>
            </w:pPr>
            <w:r>
              <w:rPr>
                <w:noProof/>
                <w:spacing w:val="-8"/>
                <w:sz w:val="20"/>
              </w:rPr>
              <w:t>Protection des piétons</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78/2009</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N/A</w:t>
            </w:r>
            <w:hyperlink r:id="rId36" w:anchor="ntr2-L_2014069EN.01003601-E0001">
              <w:r>
                <w:rPr>
                  <w:noProof/>
                  <w:spacing w:val="-8"/>
                  <w:sz w:val="20"/>
                  <w:u w:val="single"/>
                </w:rPr>
                <w:t xml:space="preserve"> </w:t>
              </w:r>
              <w:r>
                <w:rPr>
                  <w:noProof/>
                  <w:spacing w:val="-8"/>
                  <w:sz w:val="20"/>
                </w:rPr>
                <w:t>(</w:t>
              </w:r>
              <w:r>
                <w:rPr>
                  <w:noProof/>
                  <w:spacing w:val="-8"/>
                  <w:sz w:val="20"/>
                  <w:vertAlign w:val="superscript"/>
                </w:rPr>
                <w:t>2</w:t>
              </w:r>
              <w:r>
                <w:rPr>
                  <w:noProof/>
                  <w:spacing w:val="-8"/>
                  <w:sz w:val="20"/>
                </w:rPr>
                <w:t>)</w:t>
              </w:r>
            </w:hyperlink>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59</w:t>
            </w:r>
          </w:p>
        </w:tc>
        <w:tc>
          <w:tcPr>
            <w:tcW w:w="1378" w:type="pct"/>
            <w:hideMark/>
          </w:tcPr>
          <w:p>
            <w:pPr>
              <w:spacing w:before="60" w:after="60"/>
              <w:jc w:val="left"/>
              <w:rPr>
                <w:rFonts w:eastAsia="Times New Roman"/>
                <w:noProof/>
                <w:spacing w:val="-8"/>
                <w:sz w:val="20"/>
                <w:szCs w:val="20"/>
              </w:rPr>
            </w:pPr>
            <w:r>
              <w:rPr>
                <w:noProof/>
                <w:spacing w:val="-8"/>
                <w:sz w:val="20"/>
              </w:rPr>
              <w:t>Recyclabilité</w:t>
            </w:r>
          </w:p>
        </w:tc>
        <w:tc>
          <w:tcPr>
            <w:tcW w:w="879" w:type="pct"/>
            <w:hideMark/>
          </w:tcPr>
          <w:p>
            <w:pPr>
              <w:spacing w:before="60" w:after="60"/>
              <w:jc w:val="left"/>
              <w:rPr>
                <w:rFonts w:eastAsia="Times New Roman"/>
                <w:noProof/>
                <w:spacing w:val="-8"/>
                <w:sz w:val="20"/>
                <w:szCs w:val="20"/>
              </w:rPr>
            </w:pPr>
            <w:r>
              <w:rPr>
                <w:noProof/>
                <w:spacing w:val="-8"/>
                <w:sz w:val="20"/>
              </w:rPr>
              <w:t>Directive 2005/64/CE</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Sans objet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tcBorders>
              <w:bottom w:val="nil"/>
            </w:tcBorders>
            <w:hideMark/>
          </w:tcPr>
          <w:p>
            <w:pPr>
              <w:spacing w:before="60" w:after="60"/>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61</w:t>
            </w:r>
          </w:p>
        </w:tc>
        <w:tc>
          <w:tcPr>
            <w:tcW w:w="1378" w:type="pct"/>
            <w:hideMark/>
          </w:tcPr>
          <w:p>
            <w:pPr>
              <w:spacing w:before="60" w:after="60"/>
              <w:jc w:val="left"/>
              <w:rPr>
                <w:rFonts w:eastAsia="Times New Roman"/>
                <w:noProof/>
                <w:spacing w:val="-8"/>
                <w:sz w:val="20"/>
                <w:szCs w:val="20"/>
              </w:rPr>
            </w:pPr>
            <w:r>
              <w:rPr>
                <w:noProof/>
                <w:spacing w:val="-8"/>
                <w:sz w:val="20"/>
              </w:rPr>
              <w:t>Systèmes de climatisation</w:t>
            </w:r>
          </w:p>
        </w:tc>
        <w:tc>
          <w:tcPr>
            <w:tcW w:w="879" w:type="pct"/>
            <w:hideMark/>
          </w:tcPr>
          <w:p>
            <w:pPr>
              <w:spacing w:before="60" w:after="60"/>
              <w:jc w:val="left"/>
              <w:rPr>
                <w:rFonts w:eastAsia="Times New Roman"/>
                <w:noProof/>
                <w:spacing w:val="-8"/>
                <w:sz w:val="20"/>
                <w:szCs w:val="20"/>
              </w:rPr>
            </w:pPr>
            <w:r>
              <w:rPr>
                <w:noProof/>
                <w:spacing w:val="-8"/>
                <w:sz w:val="20"/>
              </w:rPr>
              <w:t>Directive 2006/40/CE</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14</w:t>
            </w:r>
            <w:r>
              <w:rPr>
                <w:noProof/>
                <w:spacing w:val="-8"/>
                <w:sz w:val="20"/>
              </w:rPr>
              <w: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62</w:t>
            </w:r>
          </w:p>
        </w:tc>
        <w:tc>
          <w:tcPr>
            <w:tcW w:w="1378" w:type="pct"/>
            <w:hideMark/>
          </w:tcPr>
          <w:p>
            <w:pPr>
              <w:spacing w:before="60" w:after="60"/>
              <w:jc w:val="left"/>
              <w:rPr>
                <w:rFonts w:eastAsia="Times New Roman"/>
                <w:noProof/>
                <w:spacing w:val="-8"/>
                <w:sz w:val="20"/>
                <w:szCs w:val="20"/>
              </w:rPr>
            </w:pPr>
            <w:r>
              <w:rPr>
                <w:noProof/>
                <w:spacing w:val="-8"/>
                <w:sz w:val="20"/>
              </w:rPr>
              <w:t>Système hydrogène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79/2009</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63</w:t>
            </w:r>
          </w:p>
        </w:tc>
        <w:tc>
          <w:tcPr>
            <w:tcW w:w="1378" w:type="pct"/>
            <w:hideMark/>
          </w:tcPr>
          <w:p>
            <w:pPr>
              <w:spacing w:before="60" w:after="60"/>
              <w:jc w:val="left"/>
              <w:rPr>
                <w:rFonts w:eastAsia="Times New Roman"/>
                <w:noProof/>
                <w:spacing w:val="-8"/>
                <w:sz w:val="20"/>
                <w:szCs w:val="20"/>
              </w:rPr>
            </w:pPr>
            <w:r>
              <w:rPr>
                <w:noProof/>
                <w:spacing w:val="-8"/>
                <w:sz w:val="20"/>
              </w:rPr>
              <w:t>Sécurité générale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c>
          <w:tcPr>
            <w:tcW w:w="0" w:type="auto"/>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65</w:t>
            </w:r>
          </w:p>
        </w:tc>
        <w:tc>
          <w:tcPr>
            <w:tcW w:w="1378" w:type="pct"/>
            <w:hideMark/>
          </w:tcPr>
          <w:p>
            <w:pPr>
              <w:spacing w:before="60" w:after="60"/>
              <w:jc w:val="left"/>
              <w:rPr>
                <w:rFonts w:eastAsia="Times New Roman"/>
                <w:noProof/>
                <w:spacing w:val="-8"/>
                <w:sz w:val="20"/>
                <w:szCs w:val="20"/>
              </w:rPr>
            </w:pPr>
            <w:r>
              <w:rPr>
                <w:noProof/>
                <w:spacing w:val="-8"/>
                <w:sz w:val="20"/>
              </w:rPr>
              <w:t>Système avancé de freinage d’urgence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347/2012</w:t>
            </w:r>
          </w:p>
        </w:tc>
        <w:tc>
          <w:tcPr>
            <w:tcW w:w="0" w:type="auto"/>
            <w:hideMark/>
          </w:tcPr>
          <w:p>
            <w:pPr>
              <w:spacing w:before="60" w:after="60"/>
              <w:jc w:val="center"/>
              <w:rPr>
                <w:rFonts w:eastAsia="Times New Roman"/>
                <w:noProof/>
                <w:spacing w:val="-8"/>
                <w:sz w:val="20"/>
                <w:szCs w:val="20"/>
              </w:rPr>
            </w:pPr>
            <w:r>
              <w:rPr>
                <w:noProof/>
                <w:spacing w:val="-8"/>
                <w:sz w:val="20"/>
              </w:rPr>
              <w:t>Sans objet</w:t>
            </w:r>
          </w:p>
        </w:tc>
        <w:tc>
          <w:tcPr>
            <w:tcW w:w="0" w:type="auto"/>
            <w:hideMark/>
          </w:tcPr>
          <w:p>
            <w:pPr>
              <w:spacing w:before="60" w:after="60"/>
              <w:jc w:val="center"/>
              <w:rPr>
                <w:rFonts w:eastAsia="Times New Roman"/>
                <w:noProof/>
                <w:spacing w:val="-8"/>
                <w:sz w:val="20"/>
                <w:szCs w:val="20"/>
              </w:rPr>
            </w:pPr>
            <w:r>
              <w:rPr>
                <w:noProof/>
                <w:spacing w:val="-8"/>
                <w:sz w:val="20"/>
              </w:rPr>
              <w:t>Sans objet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Sans objet</w:t>
            </w:r>
          </w:p>
        </w:tc>
        <w:tc>
          <w:tcPr>
            <w:tcW w:w="0" w:type="auto"/>
            <w:hideMark/>
          </w:tcPr>
          <w:p>
            <w:pPr>
              <w:spacing w:before="60" w:after="60"/>
              <w:jc w:val="center"/>
              <w:rPr>
                <w:rFonts w:eastAsia="Times New Roman"/>
                <w:noProof/>
                <w:spacing w:val="-8"/>
                <w:sz w:val="20"/>
                <w:szCs w:val="20"/>
              </w:rPr>
            </w:pPr>
            <w:r>
              <w:rPr>
                <w:noProof/>
                <w:spacing w:val="-8"/>
                <w:sz w:val="20"/>
              </w:rPr>
              <w:t>Sans objet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66</w:t>
            </w:r>
          </w:p>
        </w:tc>
        <w:tc>
          <w:tcPr>
            <w:tcW w:w="1378" w:type="pct"/>
            <w:hideMark/>
          </w:tcPr>
          <w:p>
            <w:pPr>
              <w:spacing w:before="60" w:after="60"/>
              <w:jc w:val="left"/>
              <w:rPr>
                <w:rFonts w:eastAsia="Times New Roman"/>
                <w:noProof/>
                <w:spacing w:val="-8"/>
                <w:sz w:val="20"/>
                <w:szCs w:val="20"/>
              </w:rPr>
            </w:pPr>
            <w:r>
              <w:rPr>
                <w:noProof/>
                <w:spacing w:val="-8"/>
                <w:sz w:val="20"/>
              </w:rPr>
              <w:t>Système d’avertissement de franchissement de ligne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351/2012</w:t>
            </w:r>
          </w:p>
        </w:tc>
        <w:tc>
          <w:tcPr>
            <w:tcW w:w="0" w:type="auto"/>
            <w:hideMark/>
          </w:tcPr>
          <w:p>
            <w:pPr>
              <w:spacing w:before="60" w:after="60"/>
              <w:jc w:val="center"/>
              <w:rPr>
                <w:rFonts w:eastAsia="Times New Roman"/>
                <w:noProof/>
                <w:spacing w:val="-8"/>
                <w:sz w:val="20"/>
                <w:szCs w:val="20"/>
              </w:rPr>
            </w:pPr>
            <w:r>
              <w:rPr>
                <w:noProof/>
                <w:spacing w:val="-8"/>
                <w:sz w:val="20"/>
              </w:rPr>
              <w:t>Sans objet</w:t>
            </w:r>
          </w:p>
        </w:tc>
        <w:tc>
          <w:tcPr>
            <w:tcW w:w="0" w:type="auto"/>
            <w:hideMark/>
          </w:tcPr>
          <w:p>
            <w:pPr>
              <w:spacing w:before="60" w:after="60"/>
              <w:jc w:val="center"/>
              <w:rPr>
                <w:rFonts w:eastAsia="Times New Roman"/>
                <w:noProof/>
                <w:spacing w:val="-8"/>
                <w:sz w:val="20"/>
                <w:szCs w:val="20"/>
              </w:rPr>
            </w:pPr>
            <w:r>
              <w:rPr>
                <w:noProof/>
                <w:spacing w:val="-8"/>
                <w:sz w:val="20"/>
              </w:rPr>
              <w:t>Sans objet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Sans objet</w:t>
            </w:r>
          </w:p>
        </w:tc>
        <w:tc>
          <w:tcPr>
            <w:tcW w:w="0" w:type="auto"/>
            <w:hideMark/>
          </w:tcPr>
          <w:p>
            <w:pPr>
              <w:spacing w:before="60" w:after="60"/>
              <w:jc w:val="center"/>
              <w:rPr>
                <w:rFonts w:eastAsia="Times New Roman"/>
                <w:noProof/>
                <w:spacing w:val="-8"/>
                <w:sz w:val="20"/>
                <w:szCs w:val="20"/>
              </w:rPr>
            </w:pPr>
            <w:r>
              <w:rPr>
                <w:noProof/>
                <w:spacing w:val="-8"/>
                <w:sz w:val="20"/>
              </w:rPr>
              <w:t>Sans objet</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67</w:t>
            </w:r>
          </w:p>
        </w:tc>
        <w:tc>
          <w:tcPr>
            <w:tcW w:w="1378" w:type="pct"/>
            <w:hideMark/>
          </w:tcPr>
          <w:p>
            <w:pPr>
              <w:spacing w:before="60" w:after="60"/>
              <w:jc w:val="left"/>
              <w:rPr>
                <w:rFonts w:eastAsia="Times New Roman"/>
                <w:noProof/>
                <w:spacing w:val="-8"/>
                <w:sz w:val="20"/>
                <w:szCs w:val="20"/>
              </w:rPr>
            </w:pPr>
            <w:r>
              <w:rPr>
                <w:noProof/>
                <w:spacing w:val="-8"/>
                <w:sz w:val="20"/>
              </w:rPr>
              <w:t>Organes spéciaux pour l’alimentation des moteurs au gaz de pétrole liquéfié (GPL) et leur installation sur les véhicules à moteur</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68</w:t>
            </w:r>
          </w:p>
        </w:tc>
        <w:tc>
          <w:tcPr>
            <w:tcW w:w="1378" w:type="pct"/>
            <w:hideMark/>
          </w:tcPr>
          <w:p>
            <w:pPr>
              <w:spacing w:before="60" w:after="60"/>
              <w:jc w:val="left"/>
              <w:rPr>
                <w:rFonts w:eastAsia="Times New Roman"/>
                <w:noProof/>
                <w:spacing w:val="-8"/>
                <w:sz w:val="20"/>
                <w:szCs w:val="20"/>
              </w:rPr>
            </w:pPr>
            <w:r>
              <w:rPr>
                <w:noProof/>
                <w:spacing w:val="-8"/>
                <w:sz w:val="20"/>
              </w:rPr>
              <w:t>Systèmes d’alarme pour véhicules (SAV)</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97 de la CEE-ONU</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69</w:t>
            </w:r>
          </w:p>
        </w:tc>
        <w:tc>
          <w:tcPr>
            <w:tcW w:w="1378" w:type="pct"/>
            <w:hideMark/>
          </w:tcPr>
          <w:p>
            <w:pPr>
              <w:spacing w:before="60" w:after="60"/>
              <w:jc w:val="left"/>
              <w:rPr>
                <w:rFonts w:eastAsia="Times New Roman"/>
                <w:noProof/>
                <w:spacing w:val="-8"/>
                <w:sz w:val="20"/>
                <w:szCs w:val="20"/>
              </w:rPr>
            </w:pPr>
            <w:r>
              <w:rPr>
                <w:noProof/>
                <w:spacing w:val="-8"/>
                <w:sz w:val="20"/>
              </w:rPr>
              <w:t>Sécurité électrique</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100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left"/>
              <w:rPr>
                <w:rFonts w:eastAsia="Times New Roman"/>
                <w:noProof/>
                <w:spacing w:val="-8"/>
                <w:sz w:val="20"/>
                <w:szCs w:val="20"/>
              </w:rPr>
            </w:pPr>
            <w:r>
              <w:rPr>
                <w:noProof/>
                <w:spacing w:val="-8"/>
                <w:sz w:val="20"/>
              </w:rPr>
              <w:t>70</w:t>
            </w:r>
          </w:p>
        </w:tc>
        <w:tc>
          <w:tcPr>
            <w:tcW w:w="1378" w:type="pct"/>
            <w:hideMark/>
          </w:tcPr>
          <w:p>
            <w:pPr>
              <w:spacing w:before="60" w:after="60"/>
              <w:jc w:val="left"/>
              <w:rPr>
                <w:rFonts w:eastAsia="Times New Roman"/>
                <w:noProof/>
                <w:spacing w:val="-8"/>
                <w:sz w:val="20"/>
                <w:szCs w:val="20"/>
              </w:rPr>
            </w:pPr>
            <w:r>
              <w:rPr>
                <w:noProof/>
                <w:spacing w:val="-8"/>
                <w:sz w:val="20"/>
              </w:rPr>
              <w:t>Organes spéciaux pour l’alimentation des moteurs au GNC et leur installation sur les véhicules à moteur</w:t>
            </w:r>
          </w:p>
        </w:tc>
        <w:tc>
          <w:tcPr>
            <w:tcW w:w="879" w:type="pct"/>
            <w:hideMark/>
          </w:tcPr>
          <w:p>
            <w:pPr>
              <w:spacing w:before="60" w:after="60"/>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110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60" w:after="60"/>
              <w:jc w:val="center"/>
              <w:rPr>
                <w:rFonts w:eastAsia="Times New Roman"/>
                <w:noProof/>
                <w:spacing w:val="-8"/>
                <w:sz w:val="20"/>
                <w:szCs w:val="20"/>
              </w:rPr>
            </w:pPr>
            <w:r>
              <w:rPr>
                <w:noProof/>
                <w:spacing w:val="-8"/>
                <w:sz w:val="20"/>
              </w:rPr>
              <w:t>X</w:t>
            </w: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c>
          <w:tcPr>
            <w:tcW w:w="0" w:type="auto"/>
            <w:hideMark/>
          </w:tcPr>
          <w:p>
            <w:pPr>
              <w:spacing w:before="100" w:beforeAutospacing="1" w:after="100" w:afterAutospacing="1"/>
              <w:jc w:val="center"/>
              <w:rPr>
                <w:rFonts w:eastAsia="Times New Roman"/>
                <w:noProof/>
                <w:spacing w:val="-8"/>
                <w:sz w:val="20"/>
                <w:szCs w:val="20"/>
              </w:rPr>
            </w:pPr>
          </w:p>
        </w:tc>
      </w:tr>
    </w:tbl>
    <w:p>
      <w:pPr>
        <w:spacing w:before="0" w:after="0"/>
        <w:rPr>
          <w:rFonts w:eastAsia="Arial Unicode MS"/>
          <w:noProof/>
          <w:spacing w:val="-8"/>
          <w:szCs w:val="24"/>
        </w:rPr>
      </w:pPr>
      <w:r>
        <w:rPr>
          <w:rFonts w:eastAsia="Arial Unicode MS"/>
          <w:noProof/>
          <w:color w:val="0070C0"/>
          <w:spacing w:val="-8"/>
          <w:szCs w:val="24"/>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pacing w:val="-8"/>
          <w:szCs w:val="24"/>
        </w:rPr>
      </w:pPr>
      <w:r>
        <w:rPr>
          <w:noProof/>
          <w:spacing w:val="-8"/>
        </w:rPr>
        <w:br w:type="page"/>
      </w:r>
      <w:r>
        <w:rPr>
          <w:i/>
          <w:noProof/>
          <w:spacing w:val="-8"/>
        </w:rPr>
        <w:t>Appendice 5</w:t>
      </w:r>
    </w:p>
    <w:p>
      <w:pPr>
        <w:jc w:val="center"/>
        <w:rPr>
          <w:rFonts w:eastAsia="Arial Unicode MS"/>
          <w:b/>
          <w:bCs/>
          <w:noProof/>
          <w:spacing w:val="-8"/>
          <w:szCs w:val="24"/>
        </w:rPr>
      </w:pPr>
      <w:r>
        <w:rPr>
          <w:b/>
          <w:noProof/>
          <w:spacing w:val="-8"/>
        </w:rPr>
        <w:t>Grues mobiles</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80"/>
        <w:gridCol w:w="4492"/>
        <w:gridCol w:w="2863"/>
        <w:gridCol w:w="866"/>
      </w:tblGrid>
      <w:tr>
        <w:trPr>
          <w:cantSplit/>
          <w:tblCellSpacing w:w="0" w:type="dxa"/>
        </w:trPr>
        <w:tc>
          <w:tcPr>
            <w:tcW w:w="0" w:type="auto"/>
            <w:hideMark/>
          </w:tcPr>
          <w:p>
            <w:pPr>
              <w:spacing w:before="60" w:after="60"/>
              <w:ind w:right="195"/>
              <w:jc w:val="center"/>
              <w:rPr>
                <w:rFonts w:eastAsia="Times New Roman"/>
                <w:b/>
                <w:bCs/>
                <w:noProof/>
                <w:spacing w:val="-8"/>
                <w:sz w:val="20"/>
                <w:szCs w:val="20"/>
              </w:rPr>
            </w:pPr>
            <w:r>
              <w:rPr>
                <w:b/>
                <w:noProof/>
                <w:spacing w:val="-8"/>
                <w:sz w:val="20"/>
              </w:rPr>
              <w:t>Élément</w:t>
            </w:r>
          </w:p>
        </w:tc>
        <w:tc>
          <w:tcPr>
            <w:tcW w:w="2468" w:type="pct"/>
            <w:hideMark/>
          </w:tcPr>
          <w:p>
            <w:pPr>
              <w:spacing w:before="60" w:after="60"/>
              <w:ind w:left="84" w:right="195"/>
              <w:jc w:val="center"/>
              <w:rPr>
                <w:rFonts w:eastAsia="Times New Roman"/>
                <w:b/>
                <w:bCs/>
                <w:noProof/>
                <w:spacing w:val="-8"/>
                <w:sz w:val="20"/>
                <w:szCs w:val="20"/>
              </w:rPr>
            </w:pPr>
            <w:r>
              <w:rPr>
                <w:b/>
                <w:noProof/>
                <w:spacing w:val="-8"/>
                <w:sz w:val="20"/>
              </w:rPr>
              <w:t>Objet</w:t>
            </w:r>
          </w:p>
        </w:tc>
        <w:tc>
          <w:tcPr>
            <w:tcW w:w="1573" w:type="pct"/>
            <w:hideMark/>
          </w:tcPr>
          <w:p>
            <w:pPr>
              <w:spacing w:before="60" w:after="60"/>
              <w:ind w:left="127" w:right="195"/>
              <w:jc w:val="center"/>
              <w:rPr>
                <w:rFonts w:eastAsia="Times New Roman"/>
                <w:b/>
                <w:bCs/>
                <w:noProof/>
                <w:spacing w:val="-8"/>
                <w:sz w:val="20"/>
                <w:szCs w:val="20"/>
              </w:rPr>
            </w:pPr>
            <w:r>
              <w:rPr>
                <w:b/>
                <w:noProof/>
                <w:spacing w:val="-8"/>
                <w:sz w:val="20"/>
              </w:rPr>
              <w:t>Référence à l’acte réglementaire</w:t>
            </w:r>
          </w:p>
        </w:tc>
        <w:tc>
          <w:tcPr>
            <w:tcW w:w="0" w:type="auto"/>
            <w:hideMark/>
          </w:tcPr>
          <w:p>
            <w:pPr>
              <w:spacing w:before="60" w:after="60"/>
              <w:ind w:right="195"/>
              <w:jc w:val="center"/>
              <w:rPr>
                <w:rFonts w:eastAsia="Times New Roman"/>
                <w:b/>
                <w:bCs/>
                <w:noProof/>
                <w:spacing w:val="-8"/>
                <w:sz w:val="20"/>
                <w:szCs w:val="20"/>
              </w:rPr>
            </w:pPr>
            <w:r>
              <w:rPr>
                <w:b/>
                <w:noProof/>
                <w:spacing w:val="-8"/>
                <w:sz w:val="20"/>
              </w:rPr>
              <w:t>N</w:t>
            </w:r>
            <w:r>
              <w:rPr>
                <w:b/>
                <w:noProof/>
                <w:spacing w:val="-8"/>
                <w:sz w:val="20"/>
                <w:vertAlign w:val="subscript"/>
              </w:rPr>
              <w:t>3</w:t>
            </w:r>
          </w:p>
        </w:tc>
      </w:tr>
      <w:tr>
        <w:trPr>
          <w:cantSplit/>
          <w:tblCellSpacing w:w="0" w:type="dxa"/>
        </w:trPr>
        <w:tc>
          <w:tcPr>
            <w:tcW w:w="0" w:type="auto"/>
          </w:tcPr>
          <w:p>
            <w:pPr>
              <w:spacing w:before="60" w:after="60"/>
              <w:jc w:val="center"/>
              <w:rPr>
                <w:rFonts w:eastAsia="Times New Roman"/>
                <w:noProof/>
                <w:spacing w:val="-8"/>
                <w:sz w:val="20"/>
                <w:szCs w:val="20"/>
              </w:rPr>
            </w:pPr>
            <w:r>
              <w:rPr>
                <w:noProof/>
                <w:spacing w:val="-8"/>
                <w:sz w:val="20"/>
              </w:rPr>
              <w:t>1A</w:t>
            </w:r>
          </w:p>
        </w:tc>
        <w:tc>
          <w:tcPr>
            <w:tcW w:w="2468" w:type="pct"/>
          </w:tcPr>
          <w:p>
            <w:pPr>
              <w:spacing w:before="60" w:after="60"/>
              <w:ind w:left="84"/>
              <w:jc w:val="left"/>
              <w:rPr>
                <w:rFonts w:eastAsia="Times New Roman"/>
                <w:noProof/>
                <w:spacing w:val="-8"/>
                <w:sz w:val="20"/>
                <w:szCs w:val="20"/>
              </w:rPr>
            </w:pPr>
            <w:r>
              <w:rPr>
                <w:noProof/>
                <w:spacing w:val="-8"/>
                <w:sz w:val="20"/>
              </w:rPr>
              <w:t>Niveau sonore</w:t>
            </w:r>
          </w:p>
        </w:tc>
        <w:tc>
          <w:tcPr>
            <w:tcW w:w="1573" w:type="pct"/>
          </w:tcPr>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540/2014</w:t>
            </w:r>
          </w:p>
        </w:tc>
        <w:tc>
          <w:tcPr>
            <w:tcW w:w="0" w:type="auto"/>
          </w:tcPr>
          <w:p>
            <w:pPr>
              <w:spacing w:before="60" w:after="60"/>
              <w:jc w:val="center"/>
              <w:rPr>
                <w:rFonts w:eastAsia="Times New Roman"/>
                <w:noProof/>
                <w:spacing w:val="-8"/>
                <w:sz w:val="20"/>
                <w:szCs w:val="20"/>
              </w:rPr>
            </w:pPr>
            <w:r>
              <w:rPr>
                <w:noProof/>
                <w:spacing w:val="-8"/>
                <w:sz w:val="20"/>
              </w:rPr>
              <w:t>T + Z</w:t>
            </w:r>
            <w:r>
              <w:rPr>
                <w:noProof/>
                <w:spacing w:val="-8"/>
                <w:sz w:val="20"/>
                <w:vertAlign w:val="subscript"/>
              </w:rPr>
              <w:t>1</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3A</w:t>
            </w:r>
          </w:p>
        </w:tc>
        <w:tc>
          <w:tcPr>
            <w:tcW w:w="2468" w:type="pct"/>
            <w:hideMark/>
          </w:tcPr>
          <w:p>
            <w:pPr>
              <w:spacing w:before="60" w:after="60"/>
              <w:ind w:left="84"/>
              <w:jc w:val="left"/>
              <w:rPr>
                <w:rFonts w:eastAsia="Times New Roman"/>
                <w:noProof/>
                <w:spacing w:val="-8"/>
                <w:sz w:val="20"/>
                <w:szCs w:val="20"/>
              </w:rPr>
            </w:pPr>
            <w:r>
              <w:rPr>
                <w:noProof/>
                <w:spacing w:val="-8"/>
                <w:sz w:val="20"/>
              </w:rPr>
              <w:t>Prévention des risques d’incendie (réservoirs de carburant liquide)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34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3B</w:t>
            </w:r>
          </w:p>
        </w:tc>
        <w:tc>
          <w:tcPr>
            <w:tcW w:w="2468" w:type="pct"/>
            <w:hideMark/>
          </w:tcPr>
          <w:p>
            <w:pPr>
              <w:spacing w:before="60" w:after="60"/>
              <w:ind w:left="84"/>
              <w:jc w:val="left"/>
              <w:rPr>
                <w:rFonts w:eastAsia="Times New Roman"/>
                <w:noProof/>
                <w:spacing w:val="-8"/>
                <w:sz w:val="20"/>
                <w:szCs w:val="20"/>
              </w:rPr>
            </w:pPr>
            <w:r>
              <w:rPr>
                <w:noProof/>
                <w:spacing w:val="-8"/>
                <w:sz w:val="20"/>
              </w:rPr>
              <w:t>Dispositifs arrière de protection anti-encastrement et leur montage; protection contre l’encastrement à l’arrière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58 de la CEE-ONU</w:t>
            </w:r>
          </w:p>
        </w:tc>
        <w:tc>
          <w:tcPr>
            <w:tcW w:w="0" w:type="auto"/>
            <w:hideMark/>
          </w:tcPr>
          <w:p>
            <w:pPr>
              <w:spacing w:before="60" w:after="60"/>
              <w:jc w:val="center"/>
              <w:rPr>
                <w:rFonts w:eastAsia="Times New Roman"/>
                <w:noProof/>
                <w:spacing w:val="-8"/>
                <w:sz w:val="20"/>
                <w:szCs w:val="20"/>
              </w:rPr>
            </w:pPr>
            <w:r>
              <w:rPr>
                <w:noProof/>
                <w:spacing w:val="-8"/>
                <w:sz w:val="20"/>
              </w:rPr>
              <w:t>A</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4A</w:t>
            </w:r>
          </w:p>
        </w:tc>
        <w:tc>
          <w:tcPr>
            <w:tcW w:w="2468" w:type="pct"/>
            <w:hideMark/>
          </w:tcPr>
          <w:p>
            <w:pPr>
              <w:spacing w:before="60" w:after="60"/>
              <w:ind w:left="84"/>
              <w:jc w:val="left"/>
              <w:rPr>
                <w:rFonts w:eastAsia="Times New Roman"/>
                <w:noProof/>
                <w:spacing w:val="-8"/>
                <w:sz w:val="20"/>
                <w:szCs w:val="20"/>
              </w:rPr>
            </w:pPr>
            <w:r>
              <w:rPr>
                <w:noProof/>
                <w:spacing w:val="-8"/>
                <w:sz w:val="20"/>
              </w:rPr>
              <w:t>Emplacement pour le montage et la fixation des plaques d’immatriculation arrière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1003/2010</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5A</w:t>
            </w:r>
          </w:p>
        </w:tc>
        <w:tc>
          <w:tcPr>
            <w:tcW w:w="2468" w:type="pct"/>
            <w:hideMark/>
          </w:tcPr>
          <w:p>
            <w:pPr>
              <w:spacing w:before="60" w:after="60"/>
              <w:ind w:left="84"/>
              <w:jc w:val="left"/>
              <w:rPr>
                <w:rFonts w:eastAsia="Times New Roman"/>
                <w:noProof/>
                <w:spacing w:val="-8"/>
                <w:sz w:val="20"/>
                <w:szCs w:val="20"/>
              </w:rPr>
            </w:pPr>
            <w:r>
              <w:rPr>
                <w:noProof/>
                <w:spacing w:val="-8"/>
                <w:sz w:val="20"/>
              </w:rPr>
              <w:t>Équipement de direction</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p>
            <w:pPr>
              <w:spacing w:before="60" w:after="60"/>
              <w:jc w:val="center"/>
              <w:rPr>
                <w:rFonts w:eastAsia="Times New Roman"/>
                <w:noProof/>
                <w:spacing w:val="-8"/>
                <w:sz w:val="20"/>
                <w:szCs w:val="20"/>
              </w:rPr>
            </w:pPr>
            <w:r>
              <w:rPr>
                <w:noProof/>
                <w:spacing w:val="-8"/>
                <w:sz w:val="20"/>
              </w:rPr>
              <w:t>Marche en crabe autorisée</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6A</w:t>
            </w:r>
          </w:p>
        </w:tc>
        <w:tc>
          <w:tcPr>
            <w:tcW w:w="2468" w:type="pct"/>
            <w:hideMark/>
          </w:tcPr>
          <w:p>
            <w:pPr>
              <w:spacing w:before="60" w:after="60"/>
              <w:ind w:left="84"/>
              <w:jc w:val="left"/>
              <w:rPr>
                <w:rFonts w:eastAsia="Times New Roman"/>
                <w:noProof/>
                <w:spacing w:val="-8"/>
                <w:sz w:val="20"/>
                <w:szCs w:val="20"/>
              </w:rPr>
            </w:pPr>
            <w:r>
              <w:rPr>
                <w:noProof/>
                <w:spacing w:val="-8"/>
                <w:sz w:val="20"/>
              </w:rPr>
              <w:t>Accès au véhicule et manœuvrabilité</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0" w:type="auto"/>
            <w:hideMark/>
          </w:tcPr>
          <w:p>
            <w:pPr>
              <w:spacing w:before="60" w:after="60"/>
              <w:jc w:val="center"/>
              <w:rPr>
                <w:rFonts w:eastAsia="Times New Roman"/>
                <w:noProof/>
                <w:spacing w:val="-8"/>
                <w:sz w:val="20"/>
                <w:szCs w:val="20"/>
              </w:rPr>
            </w:pPr>
            <w:r>
              <w:rPr>
                <w:noProof/>
                <w:spacing w:val="-8"/>
                <w:sz w:val="20"/>
              </w:rPr>
              <w:t>A</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7A</w:t>
            </w:r>
          </w:p>
        </w:tc>
        <w:tc>
          <w:tcPr>
            <w:tcW w:w="2468" w:type="pct"/>
            <w:hideMark/>
          </w:tcPr>
          <w:p>
            <w:pPr>
              <w:spacing w:before="60" w:after="60"/>
              <w:ind w:left="84"/>
              <w:jc w:val="left"/>
              <w:rPr>
                <w:rFonts w:eastAsia="Times New Roman"/>
                <w:noProof/>
                <w:spacing w:val="-8"/>
                <w:sz w:val="20"/>
                <w:szCs w:val="20"/>
              </w:rPr>
            </w:pPr>
            <w:r>
              <w:rPr>
                <w:noProof/>
                <w:spacing w:val="-8"/>
                <w:sz w:val="20"/>
              </w:rPr>
              <w:t>Avertisseurs sonores et signalisation sonore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28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8A</w:t>
            </w:r>
          </w:p>
        </w:tc>
        <w:tc>
          <w:tcPr>
            <w:tcW w:w="2468" w:type="pct"/>
            <w:hideMark/>
          </w:tcPr>
          <w:p>
            <w:pPr>
              <w:spacing w:before="60" w:after="60"/>
              <w:ind w:left="84"/>
              <w:jc w:val="left"/>
              <w:rPr>
                <w:rFonts w:eastAsia="Times New Roman"/>
                <w:noProof/>
                <w:spacing w:val="-8"/>
                <w:sz w:val="20"/>
                <w:szCs w:val="20"/>
              </w:rPr>
            </w:pPr>
            <w:r>
              <w:rPr>
                <w:noProof/>
                <w:spacing w:val="-8"/>
                <w:sz w:val="20"/>
              </w:rPr>
              <w:t>Systèmes de vision indirecte et leur montage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46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9A</w:t>
            </w:r>
          </w:p>
        </w:tc>
        <w:tc>
          <w:tcPr>
            <w:tcW w:w="2468" w:type="pct"/>
            <w:hideMark/>
          </w:tcPr>
          <w:p>
            <w:pPr>
              <w:spacing w:before="60" w:after="60"/>
              <w:ind w:left="84"/>
              <w:jc w:val="left"/>
              <w:rPr>
                <w:rFonts w:eastAsia="Times New Roman"/>
                <w:noProof/>
                <w:spacing w:val="-8"/>
                <w:sz w:val="20"/>
                <w:szCs w:val="20"/>
              </w:rPr>
            </w:pPr>
            <w:r>
              <w:rPr>
                <w:noProof/>
                <w:spacing w:val="-8"/>
                <w:sz w:val="20"/>
              </w:rPr>
              <w:t>Freinage des véhicules et des remorques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13 de la CEE-ONU</w:t>
            </w:r>
          </w:p>
        </w:tc>
        <w:tc>
          <w:tcPr>
            <w:tcW w:w="0" w:type="auto"/>
            <w:hideMark/>
          </w:tcPr>
          <w:p>
            <w:pPr>
              <w:spacing w:before="60" w:after="60"/>
              <w:jc w:val="center"/>
              <w:rPr>
                <w:rFonts w:eastAsia="Times New Roman"/>
                <w:noProof/>
                <w:spacing w:val="-8"/>
                <w:sz w:val="20"/>
                <w:szCs w:val="20"/>
              </w:rPr>
            </w:pPr>
            <w:r>
              <w:rPr>
                <w:noProof/>
                <w:spacing w:val="-8"/>
                <w:sz w:val="20"/>
              </w:rPr>
              <w:t>U (</w:t>
            </w:r>
            <w:r>
              <w:rPr>
                <w:noProof/>
                <w:spacing w:val="-8"/>
                <w:sz w:val="20"/>
                <w:vertAlign w:val="superscript"/>
              </w:rPr>
              <w:t>3</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10A</w:t>
            </w:r>
          </w:p>
        </w:tc>
        <w:tc>
          <w:tcPr>
            <w:tcW w:w="2468" w:type="pct"/>
            <w:hideMark/>
          </w:tcPr>
          <w:p>
            <w:pPr>
              <w:spacing w:before="60" w:after="60"/>
              <w:ind w:left="84"/>
              <w:jc w:val="left"/>
              <w:rPr>
                <w:rFonts w:eastAsia="Times New Roman"/>
                <w:noProof/>
                <w:spacing w:val="-8"/>
                <w:sz w:val="20"/>
                <w:szCs w:val="20"/>
              </w:rPr>
            </w:pPr>
            <w:r>
              <w:rPr>
                <w:noProof/>
                <w:spacing w:val="-8"/>
                <w:sz w:val="20"/>
              </w:rPr>
              <w:t>Compatibilité électromagnétique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13A</w:t>
            </w:r>
          </w:p>
        </w:tc>
        <w:tc>
          <w:tcPr>
            <w:tcW w:w="2468" w:type="pct"/>
            <w:hideMark/>
          </w:tcPr>
          <w:p>
            <w:pPr>
              <w:spacing w:before="60" w:after="60"/>
              <w:ind w:left="84"/>
              <w:jc w:val="left"/>
              <w:rPr>
                <w:rFonts w:eastAsia="Times New Roman"/>
                <w:noProof/>
                <w:spacing w:val="-8"/>
                <w:sz w:val="20"/>
                <w:szCs w:val="20"/>
              </w:rPr>
            </w:pPr>
            <w:r>
              <w:rPr>
                <w:noProof/>
                <w:spacing w:val="-8"/>
                <w:sz w:val="20"/>
              </w:rPr>
              <w:t>Protection des véhicules à moteur contre une utilisation non autorisée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18 de la CEE-ONU</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4 A</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15A</w:t>
            </w:r>
          </w:p>
        </w:tc>
        <w:tc>
          <w:tcPr>
            <w:tcW w:w="2468" w:type="pct"/>
            <w:hideMark/>
          </w:tcPr>
          <w:p>
            <w:pPr>
              <w:spacing w:before="60" w:after="60"/>
              <w:ind w:left="84"/>
              <w:jc w:val="left"/>
              <w:rPr>
                <w:rFonts w:eastAsia="Times New Roman"/>
                <w:noProof/>
                <w:spacing w:val="-8"/>
                <w:sz w:val="20"/>
                <w:szCs w:val="20"/>
              </w:rPr>
            </w:pPr>
            <w:r>
              <w:rPr>
                <w:noProof/>
                <w:spacing w:val="-8"/>
                <w:sz w:val="20"/>
              </w:rPr>
              <w:t>Sièges, leurs ancrages et appuie-tête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17A</w:t>
            </w:r>
          </w:p>
        </w:tc>
        <w:tc>
          <w:tcPr>
            <w:tcW w:w="2468" w:type="pct"/>
            <w:hideMark/>
          </w:tcPr>
          <w:p>
            <w:pPr>
              <w:spacing w:before="60" w:after="60"/>
              <w:ind w:left="84"/>
              <w:jc w:val="left"/>
              <w:rPr>
                <w:rFonts w:eastAsia="Times New Roman"/>
                <w:noProof/>
                <w:spacing w:val="-8"/>
                <w:sz w:val="20"/>
                <w:szCs w:val="20"/>
              </w:rPr>
            </w:pPr>
            <w:r>
              <w:rPr>
                <w:noProof/>
                <w:spacing w:val="-8"/>
                <w:sz w:val="20"/>
              </w:rPr>
              <w:t>Accès au véhicule et manœuvrabilité</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17B</w:t>
            </w:r>
          </w:p>
        </w:tc>
        <w:tc>
          <w:tcPr>
            <w:tcW w:w="2468" w:type="pct"/>
            <w:hideMark/>
          </w:tcPr>
          <w:p>
            <w:pPr>
              <w:spacing w:before="60" w:after="60"/>
              <w:ind w:left="84"/>
              <w:jc w:val="left"/>
              <w:rPr>
                <w:rFonts w:eastAsia="Times New Roman"/>
                <w:noProof/>
                <w:spacing w:val="-8"/>
                <w:sz w:val="20"/>
                <w:szCs w:val="20"/>
              </w:rPr>
            </w:pPr>
            <w:r>
              <w:rPr>
                <w:noProof/>
                <w:spacing w:val="-8"/>
                <w:sz w:val="20"/>
              </w:rPr>
              <w:t>Appareil indicateur de vitesse, y compris son installation</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18A</w:t>
            </w:r>
          </w:p>
        </w:tc>
        <w:tc>
          <w:tcPr>
            <w:tcW w:w="2468" w:type="pct"/>
            <w:hideMark/>
          </w:tcPr>
          <w:p>
            <w:pPr>
              <w:spacing w:before="60" w:after="60"/>
              <w:ind w:left="84"/>
              <w:jc w:val="left"/>
              <w:rPr>
                <w:rFonts w:eastAsia="Times New Roman"/>
                <w:noProof/>
                <w:spacing w:val="-8"/>
                <w:sz w:val="20"/>
                <w:szCs w:val="20"/>
              </w:rPr>
            </w:pPr>
            <w:r>
              <w:rPr>
                <w:noProof/>
                <w:spacing w:val="-8"/>
                <w:sz w:val="20"/>
              </w:rPr>
              <w:t>Plaque réglementaire du constructeur et numéro d’identification du véhicule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19/2011</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19A</w:t>
            </w:r>
          </w:p>
        </w:tc>
        <w:tc>
          <w:tcPr>
            <w:tcW w:w="2468" w:type="pct"/>
            <w:hideMark/>
          </w:tcPr>
          <w:p>
            <w:pPr>
              <w:spacing w:before="60" w:after="60"/>
              <w:ind w:left="84"/>
              <w:jc w:val="left"/>
              <w:rPr>
                <w:rFonts w:eastAsia="Times New Roman"/>
                <w:noProof/>
                <w:spacing w:val="-8"/>
                <w:sz w:val="20"/>
                <w:szCs w:val="20"/>
              </w:rPr>
            </w:pPr>
            <w:r>
              <w:rPr>
                <w:noProof/>
                <w:spacing w:val="-8"/>
                <w:sz w:val="20"/>
              </w:rPr>
              <w:t>Ancrages de ceintures de sécurité, systèmes d’ancrage Isofix et ancrages pour fixation supérieure Isofix</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14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20A</w:t>
            </w:r>
          </w:p>
        </w:tc>
        <w:tc>
          <w:tcPr>
            <w:tcW w:w="2468" w:type="pct"/>
            <w:hideMark/>
          </w:tcPr>
          <w:p>
            <w:pPr>
              <w:spacing w:before="60" w:after="60"/>
              <w:ind w:left="84"/>
              <w:jc w:val="left"/>
              <w:rPr>
                <w:rFonts w:eastAsia="Times New Roman"/>
                <w:noProof/>
                <w:spacing w:val="-8"/>
                <w:sz w:val="20"/>
                <w:szCs w:val="20"/>
              </w:rPr>
            </w:pPr>
            <w:r>
              <w:rPr>
                <w:noProof/>
                <w:spacing w:val="-8"/>
                <w:sz w:val="20"/>
              </w:rPr>
              <w:t>Installation des dispositifs d’éclairage et de signalisation lumineuse sur les véhicules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48 de la CEE-ONU</w:t>
            </w:r>
          </w:p>
        </w:tc>
        <w:tc>
          <w:tcPr>
            <w:tcW w:w="0" w:type="auto"/>
            <w:hideMark/>
          </w:tcPr>
          <w:p>
            <w:pPr>
              <w:spacing w:before="60" w:after="60"/>
              <w:jc w:val="center"/>
              <w:rPr>
                <w:rFonts w:eastAsia="Times New Roman"/>
                <w:noProof/>
                <w:spacing w:val="-8"/>
                <w:sz w:val="20"/>
                <w:szCs w:val="20"/>
              </w:rPr>
            </w:pPr>
            <w:r>
              <w:rPr>
                <w:noProof/>
                <w:spacing w:val="-8"/>
                <w:sz w:val="20"/>
              </w:rPr>
              <w:t>A+Y</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21A</w:t>
            </w:r>
          </w:p>
        </w:tc>
        <w:tc>
          <w:tcPr>
            <w:tcW w:w="2468" w:type="pct"/>
            <w:hideMark/>
          </w:tcPr>
          <w:p>
            <w:pPr>
              <w:spacing w:before="60" w:after="60"/>
              <w:ind w:left="84"/>
              <w:jc w:val="left"/>
              <w:rPr>
                <w:rFonts w:eastAsia="Times New Roman"/>
                <w:noProof/>
                <w:spacing w:val="-8"/>
                <w:sz w:val="20"/>
                <w:szCs w:val="20"/>
              </w:rPr>
            </w:pPr>
            <w:r>
              <w:rPr>
                <w:noProof/>
                <w:spacing w:val="-8"/>
                <w:sz w:val="20"/>
              </w:rPr>
              <w:t>Dispositifs catadioptriques pour les véhicules à moteur et leurs remorques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22A</w:t>
            </w:r>
          </w:p>
        </w:tc>
        <w:tc>
          <w:tcPr>
            <w:tcW w:w="2468" w:type="pct"/>
            <w:hideMark/>
          </w:tcPr>
          <w:p>
            <w:pPr>
              <w:spacing w:before="60" w:after="60"/>
              <w:ind w:left="84"/>
              <w:jc w:val="left"/>
              <w:rPr>
                <w:rFonts w:eastAsia="Times New Roman"/>
                <w:noProof/>
                <w:spacing w:val="-8"/>
                <w:sz w:val="20"/>
                <w:szCs w:val="20"/>
              </w:rPr>
            </w:pPr>
            <w:r>
              <w:rPr>
                <w:noProof/>
                <w:spacing w:val="-8"/>
                <w:sz w:val="20"/>
              </w:rPr>
              <w:t>Feux de position avant et arrière, feux stop et feux d’encombrement pour les véhicules à moteur et leurs remorques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22B</w:t>
            </w:r>
          </w:p>
        </w:tc>
        <w:tc>
          <w:tcPr>
            <w:tcW w:w="2468" w:type="pct"/>
            <w:hideMark/>
          </w:tcPr>
          <w:p>
            <w:pPr>
              <w:spacing w:before="60" w:after="60"/>
              <w:ind w:left="84"/>
              <w:jc w:val="left"/>
              <w:rPr>
                <w:rFonts w:eastAsia="Times New Roman"/>
                <w:noProof/>
                <w:spacing w:val="-8"/>
                <w:sz w:val="20"/>
                <w:szCs w:val="20"/>
              </w:rPr>
            </w:pPr>
            <w:r>
              <w:rPr>
                <w:noProof/>
                <w:spacing w:val="-8"/>
                <w:sz w:val="20"/>
              </w:rPr>
              <w:t>Feux de circulation diurne pour les véhicules à moteur</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87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22C</w:t>
            </w:r>
          </w:p>
        </w:tc>
        <w:tc>
          <w:tcPr>
            <w:tcW w:w="2468" w:type="pct"/>
            <w:hideMark/>
          </w:tcPr>
          <w:p>
            <w:pPr>
              <w:spacing w:before="60" w:after="60"/>
              <w:ind w:left="84"/>
              <w:jc w:val="left"/>
              <w:rPr>
                <w:rFonts w:eastAsia="Times New Roman"/>
                <w:noProof/>
                <w:spacing w:val="-8"/>
                <w:sz w:val="20"/>
                <w:szCs w:val="20"/>
              </w:rPr>
            </w:pPr>
            <w:r>
              <w:rPr>
                <w:noProof/>
                <w:spacing w:val="-8"/>
                <w:sz w:val="20"/>
              </w:rPr>
              <w:t>Feux de position latéraux pour les véhicules à moteur et leurs remorques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91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23A</w:t>
            </w:r>
          </w:p>
        </w:tc>
        <w:tc>
          <w:tcPr>
            <w:tcW w:w="2468" w:type="pct"/>
            <w:hideMark/>
          </w:tcPr>
          <w:p>
            <w:pPr>
              <w:spacing w:before="60" w:after="60"/>
              <w:ind w:left="84"/>
              <w:jc w:val="left"/>
              <w:rPr>
                <w:rFonts w:eastAsia="Times New Roman"/>
                <w:noProof/>
                <w:spacing w:val="-8"/>
                <w:sz w:val="20"/>
                <w:szCs w:val="20"/>
              </w:rPr>
            </w:pPr>
            <w:r>
              <w:rPr>
                <w:noProof/>
                <w:spacing w:val="-8"/>
                <w:sz w:val="20"/>
              </w:rPr>
              <w:t>Feux indicateurs de direction pour les véhicules à moteur et leurs remorques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24A</w:t>
            </w:r>
          </w:p>
        </w:tc>
        <w:tc>
          <w:tcPr>
            <w:tcW w:w="2468" w:type="pct"/>
            <w:hideMark/>
          </w:tcPr>
          <w:p>
            <w:pPr>
              <w:spacing w:before="60" w:after="60"/>
              <w:ind w:left="84"/>
              <w:jc w:val="left"/>
              <w:rPr>
                <w:rFonts w:eastAsia="Times New Roman"/>
                <w:noProof/>
                <w:spacing w:val="-8"/>
                <w:sz w:val="20"/>
                <w:szCs w:val="20"/>
              </w:rPr>
            </w:pPr>
            <w:r>
              <w:rPr>
                <w:noProof/>
                <w:spacing w:val="-8"/>
                <w:sz w:val="20"/>
              </w:rPr>
              <w:t>Dispositifs d’éclairage de la plaque d’immatriculation arrière des véhicules à moteur et de leurs remorques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4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25A</w:t>
            </w:r>
          </w:p>
        </w:tc>
        <w:tc>
          <w:tcPr>
            <w:tcW w:w="2468" w:type="pct"/>
            <w:hideMark/>
          </w:tcPr>
          <w:p>
            <w:pPr>
              <w:spacing w:before="60" w:after="60"/>
              <w:ind w:left="84"/>
              <w:jc w:val="left"/>
              <w:rPr>
                <w:rFonts w:eastAsia="Times New Roman"/>
                <w:noProof/>
                <w:spacing w:val="-8"/>
                <w:sz w:val="20"/>
                <w:szCs w:val="20"/>
              </w:rPr>
            </w:pPr>
            <w:r>
              <w:rPr>
                <w:noProof/>
                <w:spacing w:val="-8"/>
                <w:sz w:val="20"/>
              </w:rPr>
              <w:t>Projecteurs scellés halogènes, pour véhicules à moteur, émettant un faisceau de croisement asymétrique européen ou un faisceau de route, ou les deux à la fois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31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25B</w:t>
            </w:r>
          </w:p>
        </w:tc>
        <w:tc>
          <w:tcPr>
            <w:tcW w:w="2468" w:type="pct"/>
            <w:hideMark/>
          </w:tcPr>
          <w:p>
            <w:pPr>
              <w:spacing w:before="60" w:after="60"/>
              <w:ind w:left="84"/>
              <w:jc w:val="left"/>
              <w:rPr>
                <w:rFonts w:eastAsia="Times New Roman"/>
                <w:noProof/>
                <w:spacing w:val="-8"/>
                <w:sz w:val="20"/>
                <w:szCs w:val="20"/>
              </w:rPr>
            </w:pPr>
            <w:r>
              <w:rPr>
                <w:noProof/>
                <w:spacing w:val="-8"/>
                <w:sz w:val="20"/>
              </w:rPr>
              <w:t>Lampes à incandescence destinées à être utilisées dans les feux homologués des véhicules à moteur et de leurs remorques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25C</w:t>
            </w:r>
          </w:p>
        </w:tc>
        <w:tc>
          <w:tcPr>
            <w:tcW w:w="2468" w:type="pct"/>
            <w:hideMark/>
          </w:tcPr>
          <w:p>
            <w:pPr>
              <w:spacing w:before="60" w:after="60"/>
              <w:ind w:left="84"/>
              <w:jc w:val="left"/>
              <w:rPr>
                <w:rFonts w:eastAsia="Times New Roman"/>
                <w:noProof/>
                <w:spacing w:val="-8"/>
                <w:sz w:val="20"/>
                <w:szCs w:val="20"/>
              </w:rPr>
            </w:pPr>
            <w:r>
              <w:rPr>
                <w:noProof/>
                <w:spacing w:val="-8"/>
                <w:sz w:val="20"/>
              </w:rPr>
              <w:t>Projecteurs de véhicules à moteur munis de sources lumineuses à décharge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25D</w:t>
            </w:r>
          </w:p>
        </w:tc>
        <w:tc>
          <w:tcPr>
            <w:tcW w:w="2468" w:type="pct"/>
            <w:hideMark/>
          </w:tcPr>
          <w:p>
            <w:pPr>
              <w:spacing w:before="60" w:after="60"/>
              <w:ind w:left="84"/>
              <w:jc w:val="left"/>
              <w:rPr>
                <w:rFonts w:eastAsia="Times New Roman"/>
                <w:noProof/>
                <w:spacing w:val="-8"/>
                <w:sz w:val="20"/>
                <w:szCs w:val="20"/>
              </w:rPr>
            </w:pPr>
            <w:r>
              <w:rPr>
                <w:noProof/>
                <w:spacing w:val="-8"/>
                <w:sz w:val="20"/>
              </w:rPr>
              <w:t>Sources lumineuses à décharge pour projecteurs homologués de véhicules à moteur</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25E</w:t>
            </w:r>
          </w:p>
        </w:tc>
        <w:tc>
          <w:tcPr>
            <w:tcW w:w="2468" w:type="pct"/>
            <w:hideMark/>
          </w:tcPr>
          <w:p>
            <w:pPr>
              <w:spacing w:before="60" w:after="60"/>
              <w:ind w:left="84"/>
              <w:jc w:val="left"/>
              <w:rPr>
                <w:rFonts w:eastAsia="Times New Roman"/>
                <w:noProof/>
                <w:spacing w:val="-8"/>
                <w:sz w:val="20"/>
                <w:szCs w:val="20"/>
              </w:rPr>
            </w:pPr>
            <w:r>
              <w:rPr>
                <w:noProof/>
                <w:spacing w:val="-8"/>
                <w:sz w:val="20"/>
              </w:rPr>
              <w:t>Projecteurs pour véhicules à moteur émettant un faisceau de croisement asymétrique ou un faisceau de route, ou les deux à la fois, et équipés de lampes à incandescence et/ou de modules DEL</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112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25F</w:t>
            </w:r>
          </w:p>
        </w:tc>
        <w:tc>
          <w:tcPr>
            <w:tcW w:w="2468" w:type="pct"/>
            <w:hideMark/>
          </w:tcPr>
          <w:p>
            <w:pPr>
              <w:spacing w:before="60" w:after="60"/>
              <w:ind w:left="84"/>
              <w:jc w:val="left"/>
              <w:rPr>
                <w:rFonts w:eastAsia="Times New Roman"/>
                <w:noProof/>
                <w:spacing w:val="-8"/>
                <w:sz w:val="20"/>
                <w:szCs w:val="20"/>
              </w:rPr>
            </w:pPr>
            <w:r>
              <w:rPr>
                <w:noProof/>
                <w:spacing w:val="-8"/>
                <w:sz w:val="20"/>
              </w:rPr>
              <w:t>Systèmes d’éclairage avant adaptatifs (AFS) destinés aux véhicules automobiles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123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26A</w:t>
            </w:r>
          </w:p>
        </w:tc>
        <w:tc>
          <w:tcPr>
            <w:tcW w:w="2468" w:type="pct"/>
            <w:hideMark/>
          </w:tcPr>
          <w:p>
            <w:pPr>
              <w:spacing w:before="60" w:after="60"/>
              <w:ind w:left="84"/>
              <w:jc w:val="left"/>
              <w:rPr>
                <w:rFonts w:eastAsia="Times New Roman"/>
                <w:noProof/>
                <w:spacing w:val="-8"/>
                <w:sz w:val="20"/>
                <w:szCs w:val="20"/>
              </w:rPr>
            </w:pPr>
            <w:r>
              <w:rPr>
                <w:noProof/>
                <w:spacing w:val="-8"/>
                <w:sz w:val="20"/>
              </w:rPr>
              <w:t>Feux de brouillard avant des véhicules à moteur</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27A</w:t>
            </w:r>
          </w:p>
        </w:tc>
        <w:tc>
          <w:tcPr>
            <w:tcW w:w="2468" w:type="pct"/>
            <w:hideMark/>
          </w:tcPr>
          <w:p>
            <w:pPr>
              <w:spacing w:before="60" w:after="60"/>
              <w:ind w:left="84"/>
              <w:jc w:val="left"/>
              <w:rPr>
                <w:rFonts w:eastAsia="Times New Roman"/>
                <w:noProof/>
                <w:spacing w:val="-8"/>
                <w:sz w:val="20"/>
                <w:szCs w:val="20"/>
              </w:rPr>
            </w:pPr>
            <w:r>
              <w:rPr>
                <w:noProof/>
                <w:spacing w:val="-8"/>
                <w:sz w:val="20"/>
              </w:rPr>
              <w:t>Dispositifs de remorquage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1005/2010</w:t>
            </w:r>
          </w:p>
        </w:tc>
        <w:tc>
          <w:tcPr>
            <w:tcW w:w="0" w:type="auto"/>
            <w:hideMark/>
          </w:tcPr>
          <w:p>
            <w:pPr>
              <w:spacing w:before="60" w:after="60"/>
              <w:jc w:val="center"/>
              <w:rPr>
                <w:rFonts w:eastAsia="Times New Roman"/>
                <w:noProof/>
                <w:spacing w:val="-8"/>
                <w:sz w:val="20"/>
                <w:szCs w:val="20"/>
              </w:rPr>
            </w:pPr>
            <w:r>
              <w:rPr>
                <w:noProof/>
                <w:spacing w:val="-8"/>
                <w:sz w:val="20"/>
              </w:rPr>
              <w:t>A</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28A</w:t>
            </w:r>
          </w:p>
        </w:tc>
        <w:tc>
          <w:tcPr>
            <w:tcW w:w="2468" w:type="pct"/>
            <w:hideMark/>
          </w:tcPr>
          <w:p>
            <w:pPr>
              <w:spacing w:before="60" w:after="60"/>
              <w:ind w:left="84"/>
              <w:jc w:val="left"/>
              <w:rPr>
                <w:rFonts w:eastAsia="Times New Roman"/>
                <w:noProof/>
                <w:spacing w:val="-8"/>
                <w:sz w:val="20"/>
                <w:szCs w:val="20"/>
              </w:rPr>
            </w:pPr>
            <w:r>
              <w:rPr>
                <w:noProof/>
                <w:spacing w:val="-8"/>
                <w:sz w:val="20"/>
              </w:rPr>
              <w:t>Feux de brouillard arrière des véhicules à moteur et de leurs remorques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38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29A</w:t>
            </w:r>
          </w:p>
        </w:tc>
        <w:tc>
          <w:tcPr>
            <w:tcW w:w="2468" w:type="pct"/>
            <w:hideMark/>
          </w:tcPr>
          <w:p>
            <w:pPr>
              <w:spacing w:before="60" w:after="60"/>
              <w:ind w:left="84"/>
              <w:jc w:val="left"/>
              <w:rPr>
                <w:rFonts w:eastAsia="Times New Roman"/>
                <w:noProof/>
                <w:spacing w:val="-8"/>
                <w:sz w:val="20"/>
                <w:szCs w:val="20"/>
              </w:rPr>
            </w:pPr>
            <w:r>
              <w:rPr>
                <w:noProof/>
                <w:spacing w:val="-8"/>
                <w:sz w:val="20"/>
              </w:rPr>
              <w:t>Feux de marche arrière des véhicules à moteur et de leurs remorques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23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30A</w:t>
            </w:r>
          </w:p>
        </w:tc>
        <w:tc>
          <w:tcPr>
            <w:tcW w:w="2468" w:type="pct"/>
            <w:hideMark/>
          </w:tcPr>
          <w:p>
            <w:pPr>
              <w:spacing w:before="60" w:after="60"/>
              <w:ind w:left="84"/>
              <w:jc w:val="left"/>
              <w:rPr>
                <w:rFonts w:eastAsia="Times New Roman"/>
                <w:noProof/>
                <w:spacing w:val="-8"/>
                <w:sz w:val="20"/>
                <w:szCs w:val="20"/>
              </w:rPr>
            </w:pPr>
            <w:r>
              <w:rPr>
                <w:noProof/>
                <w:spacing w:val="-8"/>
                <w:sz w:val="20"/>
              </w:rPr>
              <w:t>Feux de stationnement pour véhicules à moteur</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31A</w:t>
            </w:r>
          </w:p>
        </w:tc>
        <w:tc>
          <w:tcPr>
            <w:tcW w:w="2468" w:type="pct"/>
            <w:hideMark/>
          </w:tcPr>
          <w:p>
            <w:pPr>
              <w:spacing w:before="60" w:after="60"/>
              <w:ind w:left="84"/>
              <w:jc w:val="left"/>
              <w:rPr>
                <w:rFonts w:eastAsia="Times New Roman"/>
                <w:noProof/>
                <w:spacing w:val="-8"/>
                <w:sz w:val="20"/>
                <w:szCs w:val="20"/>
              </w:rPr>
            </w:pPr>
            <w:r>
              <w:rPr>
                <w:noProof/>
                <w:spacing w:val="-8"/>
                <w:sz w:val="20"/>
              </w:rPr>
              <w:t>Ceintures de sécurité, systèmes de retenue, dispositifs de retenue pour enfants et dispositifs de retenue pour enfants Isofix</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16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33A</w:t>
            </w:r>
          </w:p>
        </w:tc>
        <w:tc>
          <w:tcPr>
            <w:tcW w:w="2468" w:type="pct"/>
            <w:hideMark/>
          </w:tcPr>
          <w:p>
            <w:pPr>
              <w:spacing w:before="60" w:after="60"/>
              <w:ind w:left="84"/>
              <w:jc w:val="left"/>
              <w:rPr>
                <w:rFonts w:eastAsia="Times New Roman"/>
                <w:noProof/>
                <w:spacing w:val="-8"/>
                <w:sz w:val="20"/>
                <w:szCs w:val="20"/>
              </w:rPr>
            </w:pPr>
            <w:r>
              <w:rPr>
                <w:noProof/>
                <w:spacing w:val="-8"/>
                <w:sz w:val="20"/>
              </w:rPr>
              <w:t>Emplacement et moyens d’identification des commandes manuelles, des témoins et des indicateurs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121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34A</w:t>
            </w:r>
          </w:p>
        </w:tc>
        <w:tc>
          <w:tcPr>
            <w:tcW w:w="2468" w:type="pct"/>
            <w:hideMark/>
          </w:tcPr>
          <w:p>
            <w:pPr>
              <w:spacing w:before="60" w:after="60"/>
              <w:ind w:left="84"/>
              <w:jc w:val="left"/>
              <w:rPr>
                <w:rFonts w:eastAsia="Times New Roman"/>
                <w:noProof/>
                <w:spacing w:val="-8"/>
                <w:sz w:val="20"/>
                <w:szCs w:val="20"/>
              </w:rPr>
            </w:pPr>
            <w:r>
              <w:rPr>
                <w:noProof/>
                <w:spacing w:val="-8"/>
                <w:sz w:val="20"/>
              </w:rPr>
              <w:t>Dispositifs de dégivrage et de désembuage du pare-brise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672/2010</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35A</w:t>
            </w:r>
          </w:p>
        </w:tc>
        <w:tc>
          <w:tcPr>
            <w:tcW w:w="2468" w:type="pct"/>
            <w:hideMark/>
          </w:tcPr>
          <w:p>
            <w:pPr>
              <w:spacing w:before="60" w:after="60"/>
              <w:ind w:left="84"/>
              <w:jc w:val="left"/>
              <w:rPr>
                <w:rFonts w:eastAsia="Times New Roman"/>
                <w:noProof/>
                <w:spacing w:val="-8"/>
                <w:sz w:val="20"/>
                <w:szCs w:val="20"/>
              </w:rPr>
            </w:pPr>
            <w:r>
              <w:rPr>
                <w:noProof/>
                <w:spacing w:val="-8"/>
                <w:sz w:val="20"/>
              </w:rPr>
              <w:t>Essuie-glace et lave-glace du pare-brise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1008/2010</w:t>
            </w:r>
          </w:p>
        </w:tc>
        <w:tc>
          <w:tcPr>
            <w:tcW w:w="0" w:type="auto"/>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36A</w:t>
            </w:r>
          </w:p>
        </w:tc>
        <w:tc>
          <w:tcPr>
            <w:tcW w:w="2468" w:type="pct"/>
            <w:hideMark/>
          </w:tcPr>
          <w:p>
            <w:pPr>
              <w:spacing w:before="60" w:after="60"/>
              <w:ind w:left="84"/>
              <w:jc w:val="left"/>
              <w:rPr>
                <w:rFonts w:eastAsia="Times New Roman"/>
                <w:noProof/>
                <w:spacing w:val="-8"/>
                <w:sz w:val="20"/>
                <w:szCs w:val="20"/>
              </w:rPr>
            </w:pPr>
            <w:r>
              <w:rPr>
                <w:noProof/>
                <w:spacing w:val="-8"/>
                <w:sz w:val="20"/>
              </w:rPr>
              <w:t>Systèmes de chauffage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122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41A</w:t>
            </w:r>
          </w:p>
        </w:tc>
        <w:tc>
          <w:tcPr>
            <w:tcW w:w="2468" w:type="pct"/>
            <w:hideMark/>
          </w:tcPr>
          <w:p>
            <w:pPr>
              <w:spacing w:before="60" w:after="60"/>
              <w:ind w:left="84"/>
              <w:jc w:val="left"/>
              <w:rPr>
                <w:rFonts w:eastAsia="Times New Roman"/>
                <w:noProof/>
                <w:spacing w:val="-8"/>
                <w:sz w:val="20"/>
                <w:szCs w:val="20"/>
              </w:rPr>
            </w:pPr>
            <w:r>
              <w:rPr>
                <w:noProof/>
                <w:spacing w:val="-8"/>
                <w:sz w:val="20"/>
              </w:rPr>
              <w:t>Émissions (Euro VI) des véhicules lourds/accès aux informations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595/2009</w:t>
            </w:r>
          </w:p>
        </w:tc>
        <w:tc>
          <w:tcPr>
            <w:tcW w:w="0" w:type="auto"/>
            <w:hideMark/>
          </w:tcPr>
          <w:p>
            <w:pPr>
              <w:spacing w:before="60" w:after="60"/>
              <w:jc w:val="center"/>
              <w:rPr>
                <w:rFonts w:eastAsia="Times New Roman"/>
                <w:noProof/>
                <w:spacing w:val="-8"/>
                <w:sz w:val="20"/>
                <w:szCs w:val="20"/>
              </w:rPr>
            </w:pPr>
            <w:r>
              <w:rPr>
                <w:noProof/>
                <w:spacing w:val="-8"/>
                <w:sz w:val="20"/>
              </w:rPr>
              <w:t>V</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42A</w:t>
            </w:r>
          </w:p>
        </w:tc>
        <w:tc>
          <w:tcPr>
            <w:tcW w:w="2468" w:type="pct"/>
            <w:hideMark/>
          </w:tcPr>
          <w:p>
            <w:pPr>
              <w:spacing w:before="60" w:after="60"/>
              <w:ind w:left="84"/>
              <w:jc w:val="left"/>
              <w:rPr>
                <w:rFonts w:eastAsia="Times New Roman"/>
                <w:noProof/>
                <w:spacing w:val="-8"/>
                <w:sz w:val="20"/>
                <w:szCs w:val="20"/>
              </w:rPr>
            </w:pPr>
            <w:r>
              <w:rPr>
                <w:noProof/>
                <w:spacing w:val="-8"/>
                <w:sz w:val="20"/>
              </w:rPr>
              <w:t>Protection latérale des véhicules utilitaires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73 de la CEE-ONU</w:t>
            </w:r>
          </w:p>
        </w:tc>
        <w:tc>
          <w:tcPr>
            <w:tcW w:w="0" w:type="auto"/>
            <w:hideMark/>
          </w:tcPr>
          <w:p>
            <w:pPr>
              <w:spacing w:before="60" w:after="60"/>
              <w:jc w:val="center"/>
              <w:rPr>
                <w:rFonts w:eastAsia="Times New Roman"/>
                <w:noProof/>
                <w:spacing w:val="-8"/>
                <w:sz w:val="20"/>
                <w:szCs w:val="20"/>
              </w:rPr>
            </w:pPr>
            <w:r>
              <w:rPr>
                <w:noProof/>
                <w:spacing w:val="-8"/>
                <w:sz w:val="20"/>
              </w:rPr>
              <w:t>A</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43A</w:t>
            </w:r>
          </w:p>
        </w:tc>
        <w:tc>
          <w:tcPr>
            <w:tcW w:w="2468" w:type="pct"/>
            <w:hideMark/>
          </w:tcPr>
          <w:p>
            <w:pPr>
              <w:spacing w:before="60" w:after="60"/>
              <w:ind w:left="84"/>
              <w:jc w:val="left"/>
              <w:rPr>
                <w:rFonts w:eastAsia="Times New Roman"/>
                <w:noProof/>
                <w:spacing w:val="-8"/>
                <w:sz w:val="20"/>
                <w:szCs w:val="20"/>
              </w:rPr>
            </w:pPr>
            <w:r>
              <w:rPr>
                <w:noProof/>
                <w:spacing w:val="-8"/>
                <w:sz w:val="20"/>
              </w:rPr>
              <w:t>Systèmes antiprojections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109/2011</w:t>
            </w:r>
          </w:p>
        </w:tc>
        <w:tc>
          <w:tcPr>
            <w:tcW w:w="0" w:type="auto"/>
            <w:hideMark/>
          </w:tcPr>
          <w:p>
            <w:pPr>
              <w:spacing w:before="60" w:after="60"/>
              <w:jc w:val="center"/>
              <w:rPr>
                <w:rFonts w:eastAsia="Times New Roman"/>
                <w:noProof/>
                <w:spacing w:val="-8"/>
                <w:sz w:val="20"/>
                <w:szCs w:val="20"/>
              </w:rPr>
            </w:pPr>
            <w:r>
              <w:rPr>
                <w:noProof/>
                <w:spacing w:val="-8"/>
                <w:sz w:val="20"/>
              </w:rPr>
              <w:t>Z</w:t>
            </w:r>
            <w:r>
              <w:rPr>
                <w:noProof/>
                <w:spacing w:val="-8"/>
                <w:sz w:val="20"/>
                <w:vertAlign w:val="subscript"/>
              </w:rPr>
              <w:t>1</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45A</w:t>
            </w:r>
          </w:p>
        </w:tc>
        <w:tc>
          <w:tcPr>
            <w:tcW w:w="2468" w:type="pct"/>
            <w:hideMark/>
          </w:tcPr>
          <w:p>
            <w:pPr>
              <w:spacing w:before="60" w:after="60"/>
              <w:ind w:left="84"/>
              <w:jc w:val="left"/>
              <w:rPr>
                <w:rFonts w:eastAsia="Times New Roman"/>
                <w:noProof/>
                <w:spacing w:val="-8"/>
                <w:sz w:val="20"/>
                <w:szCs w:val="20"/>
              </w:rPr>
            </w:pPr>
            <w:r>
              <w:rPr>
                <w:noProof/>
                <w:spacing w:val="-8"/>
                <w:sz w:val="20"/>
              </w:rPr>
              <w:t>Vitrages de sécurité et leur installation sur les véhicules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43 de la CEE-ONU</w:t>
            </w:r>
          </w:p>
        </w:tc>
        <w:tc>
          <w:tcPr>
            <w:tcW w:w="0" w:type="auto"/>
            <w:hideMark/>
          </w:tcPr>
          <w:p>
            <w:pPr>
              <w:spacing w:before="60" w:after="60"/>
              <w:jc w:val="center"/>
              <w:rPr>
                <w:rFonts w:eastAsia="Times New Roman"/>
                <w:noProof/>
                <w:spacing w:val="-8"/>
                <w:sz w:val="20"/>
                <w:szCs w:val="20"/>
              </w:rPr>
            </w:pPr>
            <w:r>
              <w:rPr>
                <w:noProof/>
                <w:spacing w:val="-8"/>
                <w:sz w:val="20"/>
              </w:rPr>
              <w:t>J</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w:t>
            </w:r>
          </w:p>
        </w:tc>
        <w:tc>
          <w:tcPr>
            <w:tcW w:w="2468" w:type="pct"/>
            <w:hideMark/>
          </w:tcPr>
          <w:p>
            <w:pPr>
              <w:spacing w:before="60" w:after="60"/>
              <w:ind w:left="84"/>
              <w:jc w:val="left"/>
              <w:rPr>
                <w:rFonts w:eastAsia="Times New Roman"/>
                <w:noProof/>
                <w:spacing w:val="-8"/>
                <w:sz w:val="20"/>
                <w:szCs w:val="20"/>
              </w:rPr>
            </w:pPr>
            <w:r>
              <w:rPr>
                <w:noProof/>
                <w:spacing w:val="-8"/>
                <w:sz w:val="20"/>
              </w:rPr>
              <w:t>Pneumatiques</w:t>
            </w:r>
          </w:p>
        </w:tc>
        <w:tc>
          <w:tcPr>
            <w:tcW w:w="1573" w:type="pct"/>
            <w:hideMark/>
          </w:tcPr>
          <w:p>
            <w:pPr>
              <w:spacing w:before="60" w:after="60"/>
              <w:ind w:left="127"/>
              <w:jc w:val="left"/>
              <w:rPr>
                <w:rFonts w:eastAsia="Times New Roman"/>
                <w:noProof/>
                <w:spacing w:val="-8"/>
                <w:sz w:val="20"/>
                <w:szCs w:val="20"/>
              </w:rPr>
            </w:pPr>
            <w:r>
              <w:rPr>
                <w:noProof/>
                <w:spacing w:val="-8"/>
                <w:sz w:val="20"/>
              </w:rPr>
              <w:t>Directive 92/23/CEE</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46A</w:t>
            </w:r>
          </w:p>
        </w:tc>
        <w:tc>
          <w:tcPr>
            <w:tcW w:w="2468" w:type="pct"/>
            <w:hideMark/>
          </w:tcPr>
          <w:p>
            <w:pPr>
              <w:spacing w:before="60" w:after="60"/>
              <w:ind w:left="84"/>
              <w:jc w:val="left"/>
              <w:rPr>
                <w:rFonts w:eastAsia="Times New Roman"/>
                <w:noProof/>
                <w:spacing w:val="-8"/>
                <w:sz w:val="20"/>
                <w:szCs w:val="20"/>
              </w:rPr>
            </w:pPr>
            <w:r>
              <w:rPr>
                <w:noProof/>
                <w:spacing w:val="-8"/>
                <w:sz w:val="20"/>
              </w:rPr>
              <w:t>Montage des pneumatiques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458/2011</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46C</w:t>
            </w:r>
          </w:p>
        </w:tc>
        <w:tc>
          <w:tcPr>
            <w:tcW w:w="2468" w:type="pct"/>
            <w:hideMark/>
          </w:tcPr>
          <w:p>
            <w:pPr>
              <w:spacing w:before="60" w:after="60"/>
              <w:ind w:left="84"/>
              <w:jc w:val="left"/>
              <w:rPr>
                <w:rFonts w:eastAsia="Times New Roman"/>
                <w:noProof/>
                <w:spacing w:val="-8"/>
                <w:sz w:val="20"/>
                <w:szCs w:val="20"/>
              </w:rPr>
            </w:pPr>
            <w:r>
              <w:rPr>
                <w:noProof/>
                <w:spacing w:val="-8"/>
                <w:sz w:val="20"/>
              </w:rPr>
              <w:t>Pneumatiques pour les véhicules utilitaires et leurs remorques (classes C2 et C3)</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54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46D</w:t>
            </w:r>
          </w:p>
        </w:tc>
        <w:tc>
          <w:tcPr>
            <w:tcW w:w="2468" w:type="pct"/>
            <w:hideMark/>
          </w:tcPr>
          <w:p>
            <w:pPr>
              <w:spacing w:before="60" w:after="60"/>
              <w:ind w:left="84"/>
              <w:jc w:val="left"/>
              <w:rPr>
                <w:rFonts w:eastAsia="Times New Roman"/>
                <w:noProof/>
                <w:spacing w:val="-8"/>
                <w:sz w:val="20"/>
                <w:szCs w:val="20"/>
              </w:rPr>
            </w:pPr>
            <w:r>
              <w:rPr>
                <w:noProof/>
                <w:spacing w:val="-8"/>
                <w:sz w:val="20"/>
              </w:rPr>
              <w:t>Émissions sonores de roulement, adhérence sur sol mouillé et résistance au roulement (classes C1, C2 et C3)</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117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47A</w:t>
            </w:r>
          </w:p>
        </w:tc>
        <w:tc>
          <w:tcPr>
            <w:tcW w:w="2468" w:type="pct"/>
            <w:hideMark/>
          </w:tcPr>
          <w:p>
            <w:pPr>
              <w:spacing w:before="60" w:after="60"/>
              <w:ind w:left="84"/>
              <w:jc w:val="left"/>
              <w:rPr>
                <w:rFonts w:eastAsia="Times New Roman"/>
                <w:noProof/>
                <w:spacing w:val="-8"/>
                <w:sz w:val="20"/>
                <w:szCs w:val="20"/>
              </w:rPr>
            </w:pPr>
            <w:r>
              <w:rPr>
                <w:noProof/>
                <w:spacing w:val="-8"/>
                <w:sz w:val="20"/>
              </w:rPr>
              <w:t>Systèmes de limitation de vitesse des véhicules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89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48A</w:t>
            </w:r>
          </w:p>
        </w:tc>
        <w:tc>
          <w:tcPr>
            <w:tcW w:w="2468" w:type="pct"/>
            <w:hideMark/>
          </w:tcPr>
          <w:p>
            <w:pPr>
              <w:spacing w:before="60" w:after="60"/>
              <w:ind w:left="84"/>
              <w:jc w:val="left"/>
              <w:rPr>
                <w:rFonts w:eastAsia="Times New Roman"/>
                <w:noProof/>
                <w:spacing w:val="-8"/>
                <w:sz w:val="20"/>
                <w:szCs w:val="20"/>
              </w:rPr>
            </w:pPr>
            <w:r>
              <w:rPr>
                <w:noProof/>
                <w:spacing w:val="-8"/>
                <w:sz w:val="20"/>
              </w:rPr>
              <w:t>Masses et dimensions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tc>
        <w:tc>
          <w:tcPr>
            <w:tcW w:w="0" w:type="auto"/>
            <w:hideMark/>
          </w:tcPr>
          <w:p>
            <w:pPr>
              <w:spacing w:before="60" w:after="60"/>
              <w:jc w:val="center"/>
              <w:rPr>
                <w:rFonts w:eastAsia="Times New Roman"/>
                <w:noProof/>
                <w:spacing w:val="-8"/>
                <w:sz w:val="20"/>
                <w:szCs w:val="20"/>
              </w:rPr>
            </w:pPr>
            <w:r>
              <w:rPr>
                <w:noProof/>
                <w:spacing w:val="-8"/>
                <w:sz w:val="20"/>
              </w:rPr>
              <w:t>A</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49A</w:t>
            </w:r>
          </w:p>
        </w:tc>
        <w:tc>
          <w:tcPr>
            <w:tcW w:w="2468" w:type="pct"/>
            <w:hideMark/>
          </w:tcPr>
          <w:p>
            <w:pPr>
              <w:spacing w:before="60" w:after="60"/>
              <w:ind w:left="84"/>
              <w:jc w:val="left"/>
              <w:rPr>
                <w:rFonts w:eastAsia="Times New Roman"/>
                <w:noProof/>
                <w:spacing w:val="-8"/>
                <w:sz w:val="20"/>
                <w:szCs w:val="20"/>
              </w:rPr>
            </w:pPr>
            <w:r>
              <w:rPr>
                <w:noProof/>
                <w:spacing w:val="-8"/>
                <w:sz w:val="20"/>
              </w:rPr>
              <w:t>Saillies extérieures à l’avant de la cloison postérieure de la cabine des véhicules utilitaires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61 de la CEE-ONU</w:t>
            </w:r>
          </w:p>
        </w:tc>
        <w:tc>
          <w:tcPr>
            <w:tcW w:w="0" w:type="auto"/>
            <w:hideMark/>
          </w:tcPr>
          <w:p>
            <w:pPr>
              <w:spacing w:before="60" w:after="60"/>
              <w:jc w:val="center"/>
              <w:rPr>
                <w:rFonts w:eastAsia="Times New Roman"/>
                <w:noProof/>
                <w:spacing w:val="-8"/>
                <w:sz w:val="20"/>
                <w:szCs w:val="20"/>
              </w:rPr>
            </w:pPr>
            <w:r>
              <w:rPr>
                <w:noProof/>
                <w:spacing w:val="-8"/>
                <w:sz w:val="20"/>
              </w:rPr>
              <w:t>A</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50A</w:t>
            </w:r>
          </w:p>
        </w:tc>
        <w:tc>
          <w:tcPr>
            <w:tcW w:w="2468" w:type="pct"/>
            <w:hideMark/>
          </w:tcPr>
          <w:p>
            <w:pPr>
              <w:spacing w:before="60" w:after="60"/>
              <w:ind w:left="84"/>
              <w:jc w:val="left"/>
              <w:rPr>
                <w:rFonts w:eastAsia="Times New Roman"/>
                <w:noProof/>
                <w:spacing w:val="-8"/>
                <w:sz w:val="20"/>
                <w:szCs w:val="20"/>
              </w:rPr>
            </w:pPr>
            <w:r>
              <w:rPr>
                <w:noProof/>
                <w:spacing w:val="-8"/>
                <w:sz w:val="20"/>
              </w:rPr>
              <w:t>Pièces mécaniques d’attelage des ensembles de véhicules</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55 de la CEE-ONU</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10</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50B</w:t>
            </w:r>
          </w:p>
        </w:tc>
        <w:tc>
          <w:tcPr>
            <w:tcW w:w="2468" w:type="pct"/>
            <w:hideMark/>
          </w:tcPr>
          <w:p>
            <w:pPr>
              <w:spacing w:before="60" w:after="60"/>
              <w:ind w:left="84"/>
              <w:jc w:val="left"/>
              <w:rPr>
                <w:rFonts w:eastAsia="Times New Roman"/>
                <w:noProof/>
                <w:spacing w:val="-8"/>
                <w:sz w:val="20"/>
                <w:szCs w:val="20"/>
              </w:rPr>
            </w:pPr>
            <w:r>
              <w:rPr>
                <w:noProof/>
                <w:spacing w:val="-8"/>
                <w:sz w:val="20"/>
              </w:rPr>
              <w:t>Dispositifs d’attelage court (DAC); installation d’un type réceptionné de DAC</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102 de la CEE-ONU</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10</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57A</w:t>
            </w:r>
          </w:p>
        </w:tc>
        <w:tc>
          <w:tcPr>
            <w:tcW w:w="2468" w:type="pct"/>
            <w:hideMark/>
          </w:tcPr>
          <w:p>
            <w:pPr>
              <w:spacing w:before="60" w:after="60"/>
              <w:ind w:left="84"/>
              <w:jc w:val="left"/>
              <w:rPr>
                <w:rFonts w:eastAsia="Times New Roman"/>
                <w:noProof/>
                <w:spacing w:val="-8"/>
                <w:sz w:val="20"/>
                <w:szCs w:val="20"/>
              </w:rPr>
            </w:pPr>
            <w:r>
              <w:rPr>
                <w:noProof/>
                <w:spacing w:val="-8"/>
                <w:sz w:val="20"/>
              </w:rPr>
              <w:t>Dispositifs avant de protection anti-encastrement et leur montage; protection contre l’encastrement à l’avant</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93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62</w:t>
            </w:r>
          </w:p>
        </w:tc>
        <w:tc>
          <w:tcPr>
            <w:tcW w:w="2468" w:type="pct"/>
            <w:hideMark/>
          </w:tcPr>
          <w:p>
            <w:pPr>
              <w:spacing w:before="60" w:after="60"/>
              <w:ind w:left="84"/>
              <w:jc w:val="left"/>
              <w:rPr>
                <w:rFonts w:eastAsia="Times New Roman"/>
                <w:noProof/>
                <w:spacing w:val="-8"/>
                <w:sz w:val="20"/>
                <w:szCs w:val="20"/>
              </w:rPr>
            </w:pPr>
            <w:r>
              <w:rPr>
                <w:noProof/>
                <w:spacing w:val="-8"/>
                <w:sz w:val="20"/>
              </w:rPr>
              <w:t>Système hydrogène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79/2009</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63</w:t>
            </w:r>
          </w:p>
        </w:tc>
        <w:tc>
          <w:tcPr>
            <w:tcW w:w="2468" w:type="pct"/>
            <w:hideMark/>
          </w:tcPr>
          <w:p>
            <w:pPr>
              <w:spacing w:before="60" w:after="60"/>
              <w:ind w:left="84"/>
              <w:jc w:val="left"/>
              <w:rPr>
                <w:rFonts w:eastAsia="Times New Roman"/>
                <w:noProof/>
                <w:spacing w:val="-8"/>
                <w:sz w:val="20"/>
                <w:szCs w:val="20"/>
              </w:rPr>
            </w:pPr>
            <w:r>
              <w:rPr>
                <w:noProof/>
                <w:spacing w:val="-8"/>
                <w:sz w:val="20"/>
              </w:rPr>
              <w:t>Sécurité générale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tc>
        <w:tc>
          <w:tcPr>
            <w:tcW w:w="0" w:type="auto"/>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15</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65</w:t>
            </w:r>
          </w:p>
        </w:tc>
        <w:tc>
          <w:tcPr>
            <w:tcW w:w="2468" w:type="pct"/>
            <w:hideMark/>
          </w:tcPr>
          <w:p>
            <w:pPr>
              <w:spacing w:before="60" w:after="60"/>
              <w:ind w:left="84"/>
              <w:jc w:val="left"/>
              <w:rPr>
                <w:rFonts w:eastAsia="Times New Roman"/>
                <w:noProof/>
                <w:spacing w:val="-8"/>
                <w:sz w:val="20"/>
                <w:szCs w:val="20"/>
              </w:rPr>
            </w:pPr>
            <w:r>
              <w:rPr>
                <w:noProof/>
                <w:spacing w:val="-8"/>
                <w:sz w:val="20"/>
              </w:rPr>
              <w:t>Système avancé de freinage d’urgence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347/2012</w:t>
            </w:r>
          </w:p>
        </w:tc>
        <w:tc>
          <w:tcPr>
            <w:tcW w:w="0" w:type="auto"/>
            <w:hideMark/>
          </w:tcPr>
          <w:p>
            <w:pPr>
              <w:spacing w:before="60" w:after="60"/>
              <w:jc w:val="center"/>
              <w:rPr>
                <w:rFonts w:eastAsia="Times New Roman"/>
                <w:noProof/>
                <w:spacing w:val="-8"/>
                <w:sz w:val="20"/>
                <w:szCs w:val="20"/>
              </w:rPr>
            </w:pPr>
            <w:r>
              <w:rPr>
                <w:noProof/>
                <w:spacing w:val="-8"/>
                <w:sz w:val="20"/>
              </w:rPr>
              <w:t>Sans objet (</w:t>
            </w:r>
            <w:r>
              <w:rPr>
                <w:noProof/>
                <w:spacing w:val="-8"/>
                <w:sz w:val="20"/>
                <w:vertAlign w:val="superscript"/>
              </w:rPr>
              <w:t>16</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66</w:t>
            </w:r>
          </w:p>
        </w:tc>
        <w:tc>
          <w:tcPr>
            <w:tcW w:w="2468" w:type="pct"/>
            <w:hideMark/>
          </w:tcPr>
          <w:p>
            <w:pPr>
              <w:spacing w:before="60" w:after="60"/>
              <w:ind w:left="84"/>
              <w:jc w:val="left"/>
              <w:rPr>
                <w:rFonts w:eastAsia="Times New Roman"/>
                <w:noProof/>
                <w:spacing w:val="-8"/>
                <w:sz w:val="20"/>
                <w:szCs w:val="20"/>
              </w:rPr>
            </w:pPr>
            <w:r>
              <w:rPr>
                <w:noProof/>
                <w:spacing w:val="-8"/>
                <w:sz w:val="20"/>
              </w:rPr>
              <w:t>Système d’avertissement de franchissement de ligne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351/2012</w:t>
            </w:r>
          </w:p>
        </w:tc>
        <w:tc>
          <w:tcPr>
            <w:tcW w:w="0" w:type="auto"/>
            <w:hideMark/>
          </w:tcPr>
          <w:p>
            <w:pPr>
              <w:spacing w:before="60" w:after="60"/>
              <w:jc w:val="center"/>
              <w:rPr>
                <w:rFonts w:eastAsia="Times New Roman"/>
                <w:noProof/>
                <w:spacing w:val="-8"/>
                <w:sz w:val="20"/>
                <w:szCs w:val="20"/>
              </w:rPr>
            </w:pPr>
            <w:r>
              <w:rPr>
                <w:noProof/>
                <w:spacing w:val="-8"/>
                <w:sz w:val="20"/>
              </w:rPr>
              <w:t>Sans objet (</w:t>
            </w:r>
            <w:r>
              <w:rPr>
                <w:noProof/>
                <w:spacing w:val="-8"/>
                <w:sz w:val="20"/>
                <w:vertAlign w:val="superscript"/>
              </w:rPr>
              <w:t>17</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67</w:t>
            </w:r>
          </w:p>
        </w:tc>
        <w:tc>
          <w:tcPr>
            <w:tcW w:w="2468" w:type="pct"/>
            <w:hideMark/>
          </w:tcPr>
          <w:p>
            <w:pPr>
              <w:spacing w:before="60" w:after="60"/>
              <w:ind w:left="84"/>
              <w:jc w:val="left"/>
              <w:rPr>
                <w:rFonts w:eastAsia="Times New Roman"/>
                <w:noProof/>
                <w:spacing w:val="-8"/>
                <w:sz w:val="20"/>
                <w:szCs w:val="20"/>
              </w:rPr>
            </w:pPr>
            <w:r>
              <w:rPr>
                <w:noProof/>
                <w:spacing w:val="-8"/>
                <w:sz w:val="20"/>
              </w:rPr>
              <w:t>Organes spéciaux pour l’alimentation des moteurs au gaz de pétrole liquéfié (GPL) et leur installation sur les véhicules à moteur</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67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69</w:t>
            </w:r>
          </w:p>
        </w:tc>
        <w:tc>
          <w:tcPr>
            <w:tcW w:w="2468" w:type="pct"/>
            <w:hideMark/>
          </w:tcPr>
          <w:p>
            <w:pPr>
              <w:spacing w:before="60" w:after="60"/>
              <w:ind w:left="84"/>
              <w:jc w:val="left"/>
              <w:rPr>
                <w:rFonts w:eastAsia="Times New Roman"/>
                <w:noProof/>
                <w:spacing w:val="-8"/>
                <w:sz w:val="20"/>
                <w:szCs w:val="20"/>
              </w:rPr>
            </w:pPr>
            <w:r>
              <w:rPr>
                <w:noProof/>
                <w:spacing w:val="-8"/>
                <w:sz w:val="20"/>
              </w:rPr>
              <w:t>Sécurité électrique</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100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70</w:t>
            </w:r>
          </w:p>
        </w:tc>
        <w:tc>
          <w:tcPr>
            <w:tcW w:w="2468" w:type="pct"/>
            <w:hideMark/>
          </w:tcPr>
          <w:p>
            <w:pPr>
              <w:spacing w:before="60" w:after="60"/>
              <w:ind w:left="84"/>
              <w:jc w:val="left"/>
              <w:rPr>
                <w:rFonts w:eastAsia="Times New Roman"/>
                <w:noProof/>
                <w:spacing w:val="-8"/>
                <w:sz w:val="20"/>
                <w:szCs w:val="20"/>
              </w:rPr>
            </w:pPr>
            <w:r>
              <w:rPr>
                <w:noProof/>
                <w:spacing w:val="-8"/>
                <w:sz w:val="20"/>
              </w:rPr>
              <w:t>Organes spéciaux pour l’alimentation des moteurs au GNC et leur installation sur les véhicules à moteur</w:t>
            </w:r>
          </w:p>
        </w:tc>
        <w:tc>
          <w:tcPr>
            <w:tcW w:w="1573" w:type="pct"/>
            <w:hideMark/>
          </w:tcPr>
          <w:p>
            <w:pPr>
              <w:spacing w:before="60" w:after="60"/>
              <w:ind w:left="127"/>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7"/>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110 de la CEE-ONU</w:t>
            </w:r>
          </w:p>
        </w:tc>
        <w:tc>
          <w:tcPr>
            <w:tcW w:w="0" w:type="auto"/>
            <w:hideMark/>
          </w:tcPr>
          <w:p>
            <w:pPr>
              <w:spacing w:before="60" w:after="60"/>
              <w:jc w:val="center"/>
              <w:rPr>
                <w:rFonts w:eastAsia="Times New Roman"/>
                <w:noProof/>
                <w:spacing w:val="-8"/>
                <w:sz w:val="20"/>
                <w:szCs w:val="20"/>
              </w:rPr>
            </w:pPr>
            <w:r>
              <w:rPr>
                <w:noProof/>
                <w:spacing w:val="-8"/>
                <w:sz w:val="20"/>
              </w:rPr>
              <w:t>X</w:t>
            </w:r>
          </w:p>
        </w:tc>
      </w:tr>
    </w:tbl>
    <w:p>
      <w:pPr>
        <w:spacing w:after="0"/>
        <w:rPr>
          <w:rFonts w:eastAsia="Arial Unicode MS"/>
          <w:noProof/>
          <w:spacing w:val="-8"/>
          <w:szCs w:val="24"/>
        </w:rPr>
      </w:pPr>
      <w:r>
        <w:rPr>
          <w:rFonts w:eastAsia="Arial Unicode MS"/>
          <w:noProof/>
          <w:color w:val="0070C0"/>
          <w:spacing w:val="-8"/>
          <w:szCs w:val="24"/>
        </w:rPr>
        <w:pict>
          <v:rect id="_x0000_i1039" style="width:45.35pt;height:.75pt" o:hrpct="100" o:hralign="center" o:hrstd="t" o:hrnoshade="t" o:hr="t" fillcolor="black" stroked="f"/>
        </w:pict>
      </w:r>
    </w:p>
    <w:p>
      <w:pPr>
        <w:spacing w:after="0"/>
        <w:jc w:val="center"/>
        <w:rPr>
          <w:rFonts w:eastAsia="Arial Unicode MS"/>
          <w:i/>
          <w:iCs/>
          <w:noProof/>
          <w:spacing w:val="-8"/>
          <w:szCs w:val="24"/>
        </w:rPr>
      </w:pPr>
      <w:r>
        <w:rPr>
          <w:noProof/>
          <w:spacing w:val="-8"/>
        </w:rPr>
        <w:br w:type="page"/>
      </w:r>
      <w:r>
        <w:rPr>
          <w:i/>
          <w:noProof/>
          <w:spacing w:val="-8"/>
        </w:rPr>
        <w:t>Appendice 6</w:t>
      </w:r>
    </w:p>
    <w:p>
      <w:pPr>
        <w:spacing w:before="240" w:after="240"/>
        <w:jc w:val="center"/>
        <w:rPr>
          <w:rFonts w:eastAsia="Arial Unicode MS"/>
          <w:b/>
          <w:bCs/>
          <w:noProof/>
          <w:spacing w:val="-8"/>
          <w:szCs w:val="24"/>
        </w:rPr>
      </w:pPr>
      <w:r>
        <w:rPr>
          <w:b/>
          <w:noProof/>
          <w:spacing w:val="-8"/>
        </w:rPr>
        <w:t>Remorques de transport de charges exceptionnelles</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80"/>
        <w:gridCol w:w="3531"/>
        <w:gridCol w:w="2750"/>
        <w:gridCol w:w="970"/>
        <w:gridCol w:w="970"/>
      </w:tblGrid>
      <w:tr>
        <w:trPr>
          <w:cantSplit/>
          <w:tblCellSpacing w:w="0" w:type="dxa"/>
        </w:trPr>
        <w:tc>
          <w:tcPr>
            <w:tcW w:w="0" w:type="auto"/>
            <w:hideMark/>
          </w:tcPr>
          <w:p>
            <w:pPr>
              <w:spacing w:before="60" w:after="60"/>
              <w:ind w:right="195"/>
              <w:jc w:val="center"/>
              <w:rPr>
                <w:rFonts w:eastAsia="Times New Roman"/>
                <w:b/>
                <w:bCs/>
                <w:noProof/>
                <w:spacing w:val="-8"/>
                <w:sz w:val="20"/>
                <w:szCs w:val="20"/>
              </w:rPr>
            </w:pPr>
            <w:r>
              <w:rPr>
                <w:b/>
                <w:noProof/>
                <w:spacing w:val="-8"/>
                <w:sz w:val="20"/>
              </w:rPr>
              <w:t>Élément</w:t>
            </w:r>
          </w:p>
        </w:tc>
        <w:tc>
          <w:tcPr>
            <w:tcW w:w="2000" w:type="pct"/>
            <w:hideMark/>
          </w:tcPr>
          <w:p>
            <w:pPr>
              <w:spacing w:before="60" w:after="60"/>
              <w:ind w:left="84" w:right="195"/>
              <w:jc w:val="center"/>
              <w:rPr>
                <w:rFonts w:eastAsia="Times New Roman"/>
                <w:b/>
                <w:bCs/>
                <w:noProof/>
                <w:spacing w:val="-8"/>
                <w:sz w:val="20"/>
                <w:szCs w:val="20"/>
              </w:rPr>
            </w:pPr>
            <w:r>
              <w:rPr>
                <w:b/>
                <w:noProof/>
                <w:spacing w:val="-8"/>
                <w:sz w:val="20"/>
              </w:rPr>
              <w:t>Objet</w:t>
            </w:r>
          </w:p>
        </w:tc>
        <w:tc>
          <w:tcPr>
            <w:tcW w:w="1558" w:type="pct"/>
            <w:hideMark/>
          </w:tcPr>
          <w:p>
            <w:pPr>
              <w:spacing w:before="60" w:after="60"/>
              <w:ind w:left="128" w:right="195"/>
              <w:jc w:val="center"/>
              <w:rPr>
                <w:rFonts w:eastAsia="Times New Roman"/>
                <w:b/>
                <w:bCs/>
                <w:noProof/>
                <w:spacing w:val="-8"/>
                <w:sz w:val="20"/>
                <w:szCs w:val="20"/>
              </w:rPr>
            </w:pPr>
            <w:r>
              <w:rPr>
                <w:b/>
                <w:noProof/>
                <w:spacing w:val="-8"/>
                <w:sz w:val="20"/>
              </w:rPr>
              <w:t>Référence à l’acte réglementaire</w:t>
            </w:r>
          </w:p>
        </w:tc>
        <w:tc>
          <w:tcPr>
            <w:tcW w:w="549" w:type="pct"/>
            <w:hideMark/>
          </w:tcPr>
          <w:p>
            <w:pPr>
              <w:spacing w:before="60" w:after="60"/>
              <w:ind w:right="195"/>
              <w:jc w:val="center"/>
              <w:rPr>
                <w:rFonts w:eastAsia="Times New Roman"/>
                <w:b/>
                <w:bCs/>
                <w:noProof/>
                <w:spacing w:val="-8"/>
                <w:sz w:val="20"/>
                <w:szCs w:val="20"/>
              </w:rPr>
            </w:pPr>
            <w:r>
              <w:rPr>
                <w:b/>
                <w:noProof/>
                <w:spacing w:val="-8"/>
                <w:sz w:val="20"/>
              </w:rPr>
              <w:t>N</w:t>
            </w:r>
            <w:r>
              <w:rPr>
                <w:b/>
                <w:noProof/>
                <w:spacing w:val="-8"/>
                <w:sz w:val="20"/>
                <w:vertAlign w:val="subscript"/>
              </w:rPr>
              <w:t>3</w:t>
            </w:r>
          </w:p>
        </w:tc>
        <w:tc>
          <w:tcPr>
            <w:tcW w:w="549" w:type="pct"/>
            <w:hideMark/>
          </w:tcPr>
          <w:p>
            <w:pPr>
              <w:spacing w:before="60" w:after="60"/>
              <w:ind w:right="195"/>
              <w:jc w:val="center"/>
              <w:rPr>
                <w:rFonts w:eastAsia="Times New Roman"/>
                <w:b/>
                <w:bCs/>
                <w:noProof/>
                <w:spacing w:val="-8"/>
                <w:sz w:val="20"/>
                <w:szCs w:val="20"/>
              </w:rPr>
            </w:pPr>
            <w:r>
              <w:rPr>
                <w:b/>
                <w:noProof/>
                <w:spacing w:val="-8"/>
                <w:sz w:val="20"/>
              </w:rPr>
              <w:t>O</w:t>
            </w:r>
            <w:r>
              <w:rPr>
                <w:b/>
                <w:noProof/>
                <w:spacing w:val="-8"/>
                <w:sz w:val="20"/>
                <w:vertAlign w:val="subscript"/>
              </w:rPr>
              <w:t>4</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w:t>
            </w:r>
          </w:p>
        </w:tc>
        <w:tc>
          <w:tcPr>
            <w:tcW w:w="2000" w:type="pct"/>
            <w:hideMark/>
          </w:tcPr>
          <w:p>
            <w:pPr>
              <w:spacing w:before="60" w:after="60"/>
              <w:ind w:left="84"/>
              <w:jc w:val="left"/>
              <w:rPr>
                <w:rFonts w:eastAsia="Times New Roman"/>
                <w:noProof/>
                <w:spacing w:val="-8"/>
                <w:sz w:val="20"/>
                <w:szCs w:val="20"/>
              </w:rPr>
            </w:pPr>
            <w:r>
              <w:rPr>
                <w:noProof/>
                <w:spacing w:val="-8"/>
                <w:sz w:val="20"/>
              </w:rPr>
              <w:t>Niveau sonore admissible</w:t>
            </w:r>
          </w:p>
        </w:tc>
        <w:tc>
          <w:tcPr>
            <w:tcW w:w="1558" w:type="pct"/>
            <w:hideMark/>
          </w:tcPr>
          <w:p>
            <w:pPr>
              <w:spacing w:before="60" w:after="60"/>
              <w:ind w:left="128"/>
              <w:jc w:val="left"/>
              <w:rPr>
                <w:rFonts w:eastAsia="Times New Roman"/>
                <w:noProof/>
                <w:spacing w:val="-8"/>
                <w:sz w:val="20"/>
                <w:szCs w:val="20"/>
              </w:rPr>
            </w:pPr>
            <w:r>
              <w:rPr>
                <w:noProof/>
                <w:spacing w:val="-8"/>
                <w:sz w:val="20"/>
              </w:rPr>
              <w:t>Directive 70/157/CEE</w:t>
            </w:r>
          </w:p>
        </w:tc>
        <w:tc>
          <w:tcPr>
            <w:tcW w:w="549" w:type="pct"/>
            <w:hideMark/>
          </w:tcPr>
          <w:p>
            <w:pPr>
              <w:spacing w:before="60" w:after="60"/>
              <w:jc w:val="center"/>
              <w:rPr>
                <w:rFonts w:eastAsia="Times New Roman"/>
                <w:noProof/>
                <w:spacing w:val="-8"/>
                <w:sz w:val="20"/>
                <w:szCs w:val="20"/>
              </w:rPr>
            </w:pPr>
            <w:r>
              <w:rPr>
                <w:noProof/>
                <w:spacing w:val="-8"/>
                <w:sz w:val="20"/>
              </w:rPr>
              <w:t>T</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3A</w:t>
            </w:r>
          </w:p>
        </w:tc>
        <w:tc>
          <w:tcPr>
            <w:tcW w:w="2000" w:type="pct"/>
            <w:hideMark/>
          </w:tcPr>
          <w:p>
            <w:pPr>
              <w:spacing w:before="60" w:after="60"/>
              <w:ind w:left="84"/>
              <w:jc w:val="left"/>
              <w:rPr>
                <w:rFonts w:eastAsia="Times New Roman"/>
                <w:noProof/>
                <w:spacing w:val="-8"/>
                <w:sz w:val="20"/>
                <w:szCs w:val="20"/>
              </w:rPr>
            </w:pPr>
            <w:r>
              <w:rPr>
                <w:noProof/>
                <w:spacing w:val="-8"/>
                <w:sz w:val="20"/>
              </w:rPr>
              <w:t>Prévention des risques d’incendie (réservoirs de carburant liquide)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34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3B</w:t>
            </w:r>
          </w:p>
        </w:tc>
        <w:tc>
          <w:tcPr>
            <w:tcW w:w="2000" w:type="pct"/>
            <w:hideMark/>
          </w:tcPr>
          <w:p>
            <w:pPr>
              <w:spacing w:before="60" w:after="60"/>
              <w:ind w:left="84"/>
              <w:jc w:val="left"/>
              <w:rPr>
                <w:rFonts w:eastAsia="Times New Roman"/>
                <w:noProof/>
                <w:spacing w:val="-8"/>
                <w:sz w:val="20"/>
                <w:szCs w:val="20"/>
              </w:rPr>
            </w:pPr>
            <w:r>
              <w:rPr>
                <w:noProof/>
                <w:spacing w:val="-8"/>
                <w:sz w:val="20"/>
              </w:rPr>
              <w:t>Dispositifs arrière de protection anti-encastrement et leur montage; protection contre l’encastrement à l’arrière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58 de la CEE-ONU</w:t>
            </w:r>
          </w:p>
        </w:tc>
        <w:tc>
          <w:tcPr>
            <w:tcW w:w="549" w:type="pct"/>
            <w:hideMark/>
          </w:tcPr>
          <w:p>
            <w:pPr>
              <w:spacing w:before="60" w:after="60"/>
              <w:jc w:val="center"/>
              <w:rPr>
                <w:rFonts w:eastAsia="Times New Roman"/>
                <w:noProof/>
                <w:spacing w:val="-8"/>
                <w:sz w:val="20"/>
                <w:szCs w:val="20"/>
              </w:rPr>
            </w:pPr>
            <w:r>
              <w:rPr>
                <w:noProof/>
                <w:spacing w:val="-8"/>
                <w:sz w:val="20"/>
              </w:rPr>
              <w:t>A</w:t>
            </w:r>
          </w:p>
        </w:tc>
        <w:tc>
          <w:tcPr>
            <w:tcW w:w="549" w:type="pct"/>
            <w:hideMark/>
          </w:tcPr>
          <w:p>
            <w:pPr>
              <w:spacing w:before="60" w:after="60"/>
              <w:jc w:val="center"/>
              <w:rPr>
                <w:rFonts w:eastAsia="Times New Roman"/>
                <w:noProof/>
                <w:spacing w:val="-8"/>
                <w:sz w:val="20"/>
                <w:szCs w:val="20"/>
              </w:rPr>
            </w:pPr>
            <w:r>
              <w:rPr>
                <w:noProof/>
                <w:spacing w:val="-8"/>
                <w:sz w:val="20"/>
              </w:rPr>
              <w:t>A</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4A</w:t>
            </w:r>
          </w:p>
        </w:tc>
        <w:tc>
          <w:tcPr>
            <w:tcW w:w="2000" w:type="pct"/>
            <w:hideMark/>
          </w:tcPr>
          <w:p>
            <w:pPr>
              <w:spacing w:before="60" w:after="60"/>
              <w:ind w:left="84"/>
              <w:jc w:val="left"/>
              <w:rPr>
                <w:rFonts w:eastAsia="Times New Roman"/>
                <w:noProof/>
                <w:spacing w:val="-8"/>
                <w:sz w:val="20"/>
                <w:szCs w:val="20"/>
              </w:rPr>
            </w:pPr>
            <w:r>
              <w:rPr>
                <w:noProof/>
                <w:spacing w:val="-8"/>
                <w:sz w:val="20"/>
              </w:rPr>
              <w:t>Emplacement pour le montage et la fixation des plaques d’immatriculation arrière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1003/2010</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A+R</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5A</w:t>
            </w:r>
          </w:p>
        </w:tc>
        <w:tc>
          <w:tcPr>
            <w:tcW w:w="2000" w:type="pct"/>
            <w:hideMark/>
          </w:tcPr>
          <w:p>
            <w:pPr>
              <w:spacing w:before="60" w:after="60"/>
              <w:ind w:left="84"/>
              <w:jc w:val="left"/>
              <w:rPr>
                <w:rFonts w:eastAsia="Times New Roman"/>
                <w:noProof/>
                <w:spacing w:val="-8"/>
                <w:sz w:val="20"/>
                <w:szCs w:val="20"/>
              </w:rPr>
            </w:pPr>
            <w:r>
              <w:rPr>
                <w:noProof/>
                <w:spacing w:val="-8"/>
                <w:sz w:val="20"/>
              </w:rPr>
              <w:t>Équipement de direction</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79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p>
            <w:pPr>
              <w:spacing w:before="60" w:after="60"/>
              <w:jc w:val="center"/>
              <w:rPr>
                <w:rFonts w:eastAsia="Times New Roman"/>
                <w:noProof/>
                <w:spacing w:val="-8"/>
                <w:sz w:val="20"/>
                <w:szCs w:val="20"/>
              </w:rPr>
            </w:pPr>
            <w:r>
              <w:rPr>
                <w:noProof/>
                <w:spacing w:val="-8"/>
                <w:sz w:val="20"/>
              </w:rPr>
              <w:t>Marche en crabe autorisée</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6A</w:t>
            </w:r>
          </w:p>
        </w:tc>
        <w:tc>
          <w:tcPr>
            <w:tcW w:w="2000" w:type="pct"/>
            <w:hideMark/>
          </w:tcPr>
          <w:p>
            <w:pPr>
              <w:spacing w:before="60" w:after="60"/>
              <w:ind w:left="84"/>
              <w:jc w:val="left"/>
              <w:rPr>
                <w:rFonts w:eastAsia="Times New Roman"/>
                <w:noProof/>
                <w:spacing w:val="-8"/>
                <w:sz w:val="20"/>
                <w:szCs w:val="20"/>
              </w:rPr>
            </w:pPr>
            <w:r>
              <w:rPr>
                <w:noProof/>
                <w:spacing w:val="-8"/>
                <w:sz w:val="20"/>
              </w:rPr>
              <w:t>Accès au véhicule et manœuvrabilité</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7A</w:t>
            </w:r>
          </w:p>
        </w:tc>
        <w:tc>
          <w:tcPr>
            <w:tcW w:w="2000" w:type="pct"/>
            <w:hideMark/>
          </w:tcPr>
          <w:p>
            <w:pPr>
              <w:spacing w:before="60" w:after="60"/>
              <w:ind w:left="84"/>
              <w:jc w:val="left"/>
              <w:rPr>
                <w:rFonts w:eastAsia="Times New Roman"/>
                <w:noProof/>
                <w:spacing w:val="-8"/>
                <w:sz w:val="20"/>
                <w:szCs w:val="20"/>
              </w:rPr>
            </w:pPr>
            <w:r>
              <w:rPr>
                <w:noProof/>
                <w:spacing w:val="-8"/>
                <w:sz w:val="20"/>
              </w:rPr>
              <w:t>Avertisseurs sonores et signalisation sonore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28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8A</w:t>
            </w:r>
          </w:p>
        </w:tc>
        <w:tc>
          <w:tcPr>
            <w:tcW w:w="2000" w:type="pct"/>
            <w:hideMark/>
          </w:tcPr>
          <w:p>
            <w:pPr>
              <w:spacing w:before="60" w:after="60"/>
              <w:ind w:left="84"/>
              <w:jc w:val="left"/>
              <w:rPr>
                <w:rFonts w:eastAsia="Times New Roman"/>
                <w:noProof/>
                <w:spacing w:val="-8"/>
                <w:sz w:val="20"/>
                <w:szCs w:val="20"/>
              </w:rPr>
            </w:pPr>
            <w:r>
              <w:rPr>
                <w:noProof/>
                <w:spacing w:val="-8"/>
                <w:sz w:val="20"/>
              </w:rPr>
              <w:t>Systèmes de vision indirecte et leur montage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46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9A</w:t>
            </w:r>
          </w:p>
        </w:tc>
        <w:tc>
          <w:tcPr>
            <w:tcW w:w="2000" w:type="pct"/>
            <w:hideMark/>
          </w:tcPr>
          <w:p>
            <w:pPr>
              <w:spacing w:before="60" w:after="60"/>
              <w:ind w:left="84"/>
              <w:jc w:val="left"/>
              <w:rPr>
                <w:rFonts w:eastAsia="Times New Roman"/>
                <w:noProof/>
                <w:spacing w:val="-8"/>
                <w:sz w:val="20"/>
                <w:szCs w:val="20"/>
              </w:rPr>
            </w:pPr>
            <w:r>
              <w:rPr>
                <w:noProof/>
                <w:spacing w:val="-8"/>
                <w:sz w:val="20"/>
              </w:rPr>
              <w:t>Freinage des véhicules et des remorques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13 de la CEE-ONU</w:t>
            </w:r>
          </w:p>
        </w:tc>
        <w:tc>
          <w:tcPr>
            <w:tcW w:w="549" w:type="pct"/>
            <w:hideMark/>
          </w:tcPr>
          <w:p>
            <w:pPr>
              <w:spacing w:before="60" w:after="60"/>
              <w:jc w:val="center"/>
              <w:rPr>
                <w:rFonts w:eastAsia="Times New Roman"/>
                <w:noProof/>
                <w:spacing w:val="-8"/>
                <w:sz w:val="20"/>
                <w:szCs w:val="20"/>
              </w:rPr>
            </w:pPr>
            <w:r>
              <w:rPr>
                <w:noProof/>
                <w:spacing w:val="-8"/>
                <w:sz w:val="20"/>
              </w:rPr>
              <w:t>U (</w:t>
            </w:r>
            <w:r>
              <w:rPr>
                <w:noProof/>
                <w:spacing w:val="-8"/>
                <w:sz w:val="20"/>
                <w:vertAlign w:val="superscript"/>
              </w:rPr>
              <w:t>3</w:t>
            </w:r>
            <w:r>
              <w:rPr>
                <w:noProof/>
                <w:spacing w:val="-8"/>
                <w:sz w:val="20"/>
              </w:rPr>
              <w:t>)</w:t>
            </w:r>
          </w:p>
        </w:tc>
        <w:tc>
          <w:tcPr>
            <w:tcW w:w="549" w:type="pct"/>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3</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10A</w:t>
            </w:r>
          </w:p>
        </w:tc>
        <w:tc>
          <w:tcPr>
            <w:tcW w:w="2000" w:type="pct"/>
            <w:hideMark/>
          </w:tcPr>
          <w:p>
            <w:pPr>
              <w:spacing w:before="60" w:after="60"/>
              <w:ind w:left="84"/>
              <w:jc w:val="left"/>
              <w:rPr>
                <w:rFonts w:eastAsia="Times New Roman"/>
                <w:noProof/>
                <w:spacing w:val="-8"/>
                <w:sz w:val="20"/>
                <w:szCs w:val="20"/>
              </w:rPr>
            </w:pPr>
            <w:r>
              <w:rPr>
                <w:noProof/>
                <w:spacing w:val="-8"/>
                <w:sz w:val="20"/>
              </w:rPr>
              <w:t>Compatibilité électromagnétique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13A</w:t>
            </w:r>
          </w:p>
        </w:tc>
        <w:tc>
          <w:tcPr>
            <w:tcW w:w="2000" w:type="pct"/>
            <w:hideMark/>
          </w:tcPr>
          <w:p>
            <w:pPr>
              <w:spacing w:before="60" w:after="60"/>
              <w:ind w:left="84"/>
              <w:jc w:val="left"/>
              <w:rPr>
                <w:rFonts w:eastAsia="Times New Roman"/>
                <w:noProof/>
                <w:spacing w:val="-8"/>
                <w:sz w:val="20"/>
                <w:szCs w:val="20"/>
              </w:rPr>
            </w:pPr>
            <w:r>
              <w:rPr>
                <w:noProof/>
                <w:spacing w:val="-8"/>
                <w:sz w:val="20"/>
              </w:rPr>
              <w:t>Protection des véhicules à moteur contre une utilisation non autorisée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18 de la CEE-ONU</w:t>
            </w:r>
          </w:p>
        </w:tc>
        <w:tc>
          <w:tcPr>
            <w:tcW w:w="549" w:type="pct"/>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4 A</w:t>
            </w:r>
            <w:r>
              <w:rPr>
                <w:noProof/>
                <w:spacing w:val="-8"/>
                <w:sz w:val="20"/>
              </w:rPr>
              <w:t>)</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15A</w:t>
            </w:r>
          </w:p>
        </w:tc>
        <w:tc>
          <w:tcPr>
            <w:tcW w:w="2000" w:type="pct"/>
            <w:hideMark/>
          </w:tcPr>
          <w:p>
            <w:pPr>
              <w:spacing w:before="60" w:after="60"/>
              <w:ind w:left="84"/>
              <w:jc w:val="left"/>
              <w:rPr>
                <w:rFonts w:eastAsia="Times New Roman"/>
                <w:noProof/>
                <w:spacing w:val="-8"/>
                <w:sz w:val="20"/>
                <w:szCs w:val="20"/>
              </w:rPr>
            </w:pPr>
            <w:r>
              <w:rPr>
                <w:noProof/>
                <w:spacing w:val="-8"/>
                <w:sz w:val="20"/>
              </w:rPr>
              <w:t>Sièges, leurs ancrages et appuie-tête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17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17A</w:t>
            </w:r>
          </w:p>
        </w:tc>
        <w:tc>
          <w:tcPr>
            <w:tcW w:w="2000" w:type="pct"/>
            <w:hideMark/>
          </w:tcPr>
          <w:p>
            <w:pPr>
              <w:spacing w:before="60" w:after="60"/>
              <w:ind w:left="84"/>
              <w:jc w:val="left"/>
              <w:rPr>
                <w:rFonts w:eastAsia="Times New Roman"/>
                <w:noProof/>
                <w:spacing w:val="-8"/>
                <w:sz w:val="20"/>
                <w:szCs w:val="20"/>
              </w:rPr>
            </w:pPr>
            <w:r>
              <w:rPr>
                <w:noProof/>
                <w:spacing w:val="-8"/>
                <w:sz w:val="20"/>
              </w:rPr>
              <w:t>Accès au véhicule et manœuvrabilité</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130/2012</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17B</w:t>
            </w:r>
          </w:p>
        </w:tc>
        <w:tc>
          <w:tcPr>
            <w:tcW w:w="2000" w:type="pct"/>
            <w:hideMark/>
          </w:tcPr>
          <w:p>
            <w:pPr>
              <w:spacing w:before="60" w:after="60"/>
              <w:ind w:left="84"/>
              <w:jc w:val="left"/>
              <w:rPr>
                <w:rFonts w:eastAsia="Times New Roman"/>
                <w:noProof/>
                <w:spacing w:val="-8"/>
                <w:sz w:val="20"/>
                <w:szCs w:val="20"/>
              </w:rPr>
            </w:pPr>
            <w:r>
              <w:rPr>
                <w:noProof/>
                <w:spacing w:val="-8"/>
                <w:sz w:val="20"/>
              </w:rPr>
              <w:t>Appareil indicateur de vitesse, y compris son installation</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39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18A</w:t>
            </w:r>
          </w:p>
        </w:tc>
        <w:tc>
          <w:tcPr>
            <w:tcW w:w="2000" w:type="pct"/>
            <w:hideMark/>
          </w:tcPr>
          <w:p>
            <w:pPr>
              <w:spacing w:before="60" w:after="60"/>
              <w:ind w:left="84"/>
              <w:jc w:val="left"/>
              <w:rPr>
                <w:rFonts w:eastAsia="Times New Roman"/>
                <w:noProof/>
                <w:spacing w:val="-8"/>
                <w:sz w:val="20"/>
                <w:szCs w:val="20"/>
              </w:rPr>
            </w:pPr>
            <w:r>
              <w:rPr>
                <w:noProof/>
                <w:spacing w:val="-8"/>
                <w:sz w:val="20"/>
              </w:rPr>
              <w:t>Plaque réglementaire du constructeur et numéro d’identification du véhicule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19/2011</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19A</w:t>
            </w:r>
          </w:p>
        </w:tc>
        <w:tc>
          <w:tcPr>
            <w:tcW w:w="2000" w:type="pct"/>
            <w:hideMark/>
          </w:tcPr>
          <w:p>
            <w:pPr>
              <w:spacing w:before="60" w:after="60"/>
              <w:ind w:left="84"/>
              <w:jc w:val="left"/>
              <w:rPr>
                <w:rFonts w:eastAsia="Times New Roman"/>
                <w:noProof/>
                <w:spacing w:val="-8"/>
                <w:sz w:val="20"/>
                <w:szCs w:val="20"/>
              </w:rPr>
            </w:pPr>
            <w:r>
              <w:rPr>
                <w:noProof/>
                <w:spacing w:val="-8"/>
                <w:sz w:val="20"/>
              </w:rPr>
              <w:t>Ancrages de ceintures de sécurité, systèmes d’ancrage Isofix et ancrages pour fixation supérieure Isofix</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14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20A</w:t>
            </w:r>
          </w:p>
        </w:tc>
        <w:tc>
          <w:tcPr>
            <w:tcW w:w="2000" w:type="pct"/>
            <w:hideMark/>
          </w:tcPr>
          <w:p>
            <w:pPr>
              <w:spacing w:before="60" w:after="60"/>
              <w:ind w:left="84"/>
              <w:jc w:val="left"/>
              <w:rPr>
                <w:rFonts w:eastAsia="Times New Roman"/>
                <w:noProof/>
                <w:spacing w:val="-8"/>
                <w:sz w:val="20"/>
                <w:szCs w:val="20"/>
              </w:rPr>
            </w:pPr>
            <w:r>
              <w:rPr>
                <w:noProof/>
                <w:spacing w:val="-8"/>
                <w:sz w:val="20"/>
              </w:rPr>
              <w:t>Installation des dispositifs d’éclairage et de signalisation lumineuse sur les véhicules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48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A+N</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21A</w:t>
            </w:r>
          </w:p>
        </w:tc>
        <w:tc>
          <w:tcPr>
            <w:tcW w:w="2000" w:type="pct"/>
            <w:hideMark/>
          </w:tcPr>
          <w:p>
            <w:pPr>
              <w:spacing w:before="60" w:after="60"/>
              <w:ind w:left="84"/>
              <w:jc w:val="left"/>
              <w:rPr>
                <w:rFonts w:eastAsia="Times New Roman"/>
                <w:noProof/>
                <w:spacing w:val="-8"/>
                <w:sz w:val="20"/>
                <w:szCs w:val="20"/>
              </w:rPr>
            </w:pPr>
            <w:r>
              <w:rPr>
                <w:noProof/>
                <w:spacing w:val="-8"/>
                <w:sz w:val="20"/>
              </w:rPr>
              <w:t>Dispositifs catadioptriques pour les véhicules à moteur et leurs remorques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22A</w:t>
            </w:r>
          </w:p>
        </w:tc>
        <w:tc>
          <w:tcPr>
            <w:tcW w:w="2000" w:type="pct"/>
            <w:hideMark/>
          </w:tcPr>
          <w:p>
            <w:pPr>
              <w:spacing w:before="60" w:after="60"/>
              <w:ind w:left="84"/>
              <w:jc w:val="left"/>
              <w:rPr>
                <w:rFonts w:eastAsia="Times New Roman"/>
                <w:noProof/>
                <w:spacing w:val="-8"/>
                <w:sz w:val="20"/>
                <w:szCs w:val="20"/>
              </w:rPr>
            </w:pPr>
            <w:r>
              <w:rPr>
                <w:noProof/>
                <w:spacing w:val="-8"/>
                <w:sz w:val="20"/>
              </w:rPr>
              <w:t>Feux de position avant et arrière, feux stop et feux d’encombrement pour les véhicules à moteur et leurs remorques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22B</w:t>
            </w:r>
          </w:p>
        </w:tc>
        <w:tc>
          <w:tcPr>
            <w:tcW w:w="2000" w:type="pct"/>
            <w:hideMark/>
          </w:tcPr>
          <w:p>
            <w:pPr>
              <w:spacing w:before="60" w:after="60"/>
              <w:ind w:left="84"/>
              <w:jc w:val="left"/>
              <w:rPr>
                <w:rFonts w:eastAsia="Times New Roman"/>
                <w:noProof/>
                <w:spacing w:val="-8"/>
                <w:sz w:val="20"/>
                <w:szCs w:val="20"/>
              </w:rPr>
            </w:pPr>
            <w:r>
              <w:rPr>
                <w:noProof/>
                <w:spacing w:val="-8"/>
                <w:sz w:val="20"/>
              </w:rPr>
              <w:t>Feux de circulation diurne pour les véhicules à moteur</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87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22C</w:t>
            </w:r>
          </w:p>
        </w:tc>
        <w:tc>
          <w:tcPr>
            <w:tcW w:w="2000" w:type="pct"/>
            <w:hideMark/>
          </w:tcPr>
          <w:p>
            <w:pPr>
              <w:spacing w:before="60" w:after="60"/>
              <w:ind w:left="84"/>
              <w:jc w:val="left"/>
              <w:rPr>
                <w:rFonts w:eastAsia="Times New Roman"/>
                <w:noProof/>
                <w:spacing w:val="-8"/>
                <w:sz w:val="20"/>
                <w:szCs w:val="20"/>
              </w:rPr>
            </w:pPr>
            <w:r>
              <w:rPr>
                <w:noProof/>
                <w:spacing w:val="-8"/>
                <w:sz w:val="20"/>
              </w:rPr>
              <w:t>Feux de position latéraux pour les véhicules à moteur et leurs remorques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91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23A</w:t>
            </w:r>
          </w:p>
        </w:tc>
        <w:tc>
          <w:tcPr>
            <w:tcW w:w="2000" w:type="pct"/>
            <w:hideMark/>
          </w:tcPr>
          <w:p>
            <w:pPr>
              <w:spacing w:before="60" w:after="60"/>
              <w:ind w:left="84"/>
              <w:jc w:val="left"/>
              <w:rPr>
                <w:rFonts w:eastAsia="Times New Roman"/>
                <w:noProof/>
                <w:spacing w:val="-8"/>
                <w:sz w:val="20"/>
                <w:szCs w:val="20"/>
              </w:rPr>
            </w:pPr>
            <w:r>
              <w:rPr>
                <w:noProof/>
                <w:spacing w:val="-8"/>
                <w:sz w:val="20"/>
              </w:rPr>
              <w:t>Feux indicateurs de direction pour les véhicules à moteur et leurs remorques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24A</w:t>
            </w:r>
          </w:p>
        </w:tc>
        <w:tc>
          <w:tcPr>
            <w:tcW w:w="2000" w:type="pct"/>
            <w:hideMark/>
          </w:tcPr>
          <w:p>
            <w:pPr>
              <w:spacing w:before="60" w:after="60"/>
              <w:ind w:left="84"/>
              <w:jc w:val="left"/>
              <w:rPr>
                <w:rFonts w:eastAsia="Times New Roman"/>
                <w:noProof/>
                <w:spacing w:val="-8"/>
                <w:sz w:val="20"/>
                <w:szCs w:val="20"/>
              </w:rPr>
            </w:pPr>
            <w:r>
              <w:rPr>
                <w:noProof/>
                <w:spacing w:val="-8"/>
                <w:sz w:val="20"/>
              </w:rPr>
              <w:t>Dispositifs d’éclairage de la plaque d’immatriculation arrière des véhicules à moteur et de leurs remorques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4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25A</w:t>
            </w:r>
          </w:p>
        </w:tc>
        <w:tc>
          <w:tcPr>
            <w:tcW w:w="2000" w:type="pct"/>
            <w:hideMark/>
          </w:tcPr>
          <w:p>
            <w:pPr>
              <w:spacing w:before="60" w:after="60"/>
              <w:ind w:left="84"/>
              <w:jc w:val="left"/>
              <w:rPr>
                <w:rFonts w:eastAsia="Times New Roman"/>
                <w:noProof/>
                <w:spacing w:val="-8"/>
                <w:sz w:val="20"/>
                <w:szCs w:val="20"/>
              </w:rPr>
            </w:pPr>
            <w:r>
              <w:rPr>
                <w:noProof/>
                <w:spacing w:val="-8"/>
                <w:sz w:val="20"/>
              </w:rPr>
              <w:t>Projecteurs scellés halogènes, pour véhicules à moteur, émettant un faisceau de croisement asymétrique européen ou un faisceau de route, ou les deux à la fois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31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25B</w:t>
            </w:r>
          </w:p>
        </w:tc>
        <w:tc>
          <w:tcPr>
            <w:tcW w:w="2000" w:type="pct"/>
            <w:hideMark/>
          </w:tcPr>
          <w:p>
            <w:pPr>
              <w:spacing w:before="60" w:after="60"/>
              <w:ind w:left="84"/>
              <w:jc w:val="left"/>
              <w:rPr>
                <w:rFonts w:eastAsia="Times New Roman"/>
                <w:noProof/>
                <w:spacing w:val="-8"/>
                <w:sz w:val="20"/>
                <w:szCs w:val="20"/>
              </w:rPr>
            </w:pPr>
            <w:r>
              <w:rPr>
                <w:noProof/>
                <w:spacing w:val="-8"/>
                <w:sz w:val="20"/>
              </w:rPr>
              <w:t>Lampes à incandescence destinées à être utilisées dans les feux homologués des véhicules à moteur et de leurs remorques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37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25C</w:t>
            </w:r>
          </w:p>
        </w:tc>
        <w:tc>
          <w:tcPr>
            <w:tcW w:w="2000" w:type="pct"/>
            <w:hideMark/>
          </w:tcPr>
          <w:p>
            <w:pPr>
              <w:spacing w:before="60" w:after="60"/>
              <w:ind w:left="84"/>
              <w:jc w:val="left"/>
              <w:rPr>
                <w:rFonts w:eastAsia="Times New Roman"/>
                <w:noProof/>
                <w:spacing w:val="-8"/>
                <w:sz w:val="20"/>
                <w:szCs w:val="20"/>
              </w:rPr>
            </w:pPr>
            <w:r>
              <w:rPr>
                <w:noProof/>
                <w:spacing w:val="-8"/>
                <w:sz w:val="20"/>
              </w:rPr>
              <w:t>Projecteurs de véhicules à moteur munis de sources lumineuses à décharge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98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25D</w:t>
            </w:r>
          </w:p>
        </w:tc>
        <w:tc>
          <w:tcPr>
            <w:tcW w:w="2000" w:type="pct"/>
            <w:hideMark/>
          </w:tcPr>
          <w:p>
            <w:pPr>
              <w:spacing w:before="60" w:after="60"/>
              <w:ind w:left="84"/>
              <w:jc w:val="left"/>
              <w:rPr>
                <w:rFonts w:eastAsia="Times New Roman"/>
                <w:noProof/>
                <w:spacing w:val="-8"/>
                <w:sz w:val="20"/>
                <w:szCs w:val="20"/>
              </w:rPr>
            </w:pPr>
            <w:r>
              <w:rPr>
                <w:noProof/>
                <w:spacing w:val="-8"/>
                <w:sz w:val="20"/>
              </w:rPr>
              <w:t>Sources lumineuses à décharge pour projecteurs homologués de véhicules à moteur</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99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25E</w:t>
            </w:r>
          </w:p>
        </w:tc>
        <w:tc>
          <w:tcPr>
            <w:tcW w:w="2000" w:type="pct"/>
            <w:hideMark/>
          </w:tcPr>
          <w:p>
            <w:pPr>
              <w:spacing w:before="60" w:after="60"/>
              <w:ind w:left="84"/>
              <w:jc w:val="left"/>
              <w:rPr>
                <w:rFonts w:eastAsia="Times New Roman"/>
                <w:noProof/>
                <w:spacing w:val="-8"/>
                <w:sz w:val="20"/>
                <w:szCs w:val="20"/>
              </w:rPr>
            </w:pPr>
            <w:r>
              <w:rPr>
                <w:noProof/>
                <w:spacing w:val="-8"/>
                <w:sz w:val="20"/>
              </w:rPr>
              <w:t>Projecteurs pour véhicules à moteur émettant un faisceau de croisement asymétrique ou un faisceau de route, ou les deux à la fois, et équipés de lampes à incandescence et/ou de modules DEL</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112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25F</w:t>
            </w:r>
          </w:p>
        </w:tc>
        <w:tc>
          <w:tcPr>
            <w:tcW w:w="2000" w:type="pct"/>
            <w:hideMark/>
          </w:tcPr>
          <w:p>
            <w:pPr>
              <w:spacing w:before="60" w:after="60"/>
              <w:ind w:left="84"/>
              <w:jc w:val="left"/>
              <w:rPr>
                <w:rFonts w:eastAsia="Times New Roman"/>
                <w:noProof/>
                <w:spacing w:val="-8"/>
                <w:sz w:val="20"/>
                <w:szCs w:val="20"/>
              </w:rPr>
            </w:pPr>
            <w:r>
              <w:rPr>
                <w:noProof/>
                <w:spacing w:val="-8"/>
                <w:sz w:val="20"/>
              </w:rPr>
              <w:t>Systèmes d’éclairage avant adaptatifs (AFS) destinés aux véhicules automobiles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123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26A</w:t>
            </w:r>
          </w:p>
        </w:tc>
        <w:tc>
          <w:tcPr>
            <w:tcW w:w="2000" w:type="pct"/>
            <w:hideMark/>
          </w:tcPr>
          <w:p>
            <w:pPr>
              <w:spacing w:before="60" w:after="60"/>
              <w:ind w:left="84"/>
              <w:jc w:val="left"/>
              <w:rPr>
                <w:rFonts w:eastAsia="Times New Roman"/>
                <w:noProof/>
                <w:spacing w:val="-8"/>
                <w:sz w:val="20"/>
                <w:szCs w:val="20"/>
              </w:rPr>
            </w:pPr>
            <w:r>
              <w:rPr>
                <w:noProof/>
                <w:spacing w:val="-8"/>
                <w:sz w:val="20"/>
              </w:rPr>
              <w:t>Feux de brouillard avant des véhicules à moteur</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19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27A</w:t>
            </w:r>
          </w:p>
        </w:tc>
        <w:tc>
          <w:tcPr>
            <w:tcW w:w="2000" w:type="pct"/>
            <w:hideMark/>
          </w:tcPr>
          <w:p>
            <w:pPr>
              <w:spacing w:before="60" w:after="60"/>
              <w:ind w:left="84"/>
              <w:jc w:val="left"/>
              <w:rPr>
                <w:rFonts w:eastAsia="Times New Roman"/>
                <w:noProof/>
                <w:spacing w:val="-8"/>
                <w:sz w:val="20"/>
                <w:szCs w:val="20"/>
              </w:rPr>
            </w:pPr>
            <w:r>
              <w:rPr>
                <w:noProof/>
                <w:spacing w:val="-8"/>
                <w:sz w:val="20"/>
              </w:rPr>
              <w:t>Dispositifs de remorquage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1005/2010</w:t>
            </w:r>
          </w:p>
        </w:tc>
        <w:tc>
          <w:tcPr>
            <w:tcW w:w="549" w:type="pct"/>
            <w:hideMark/>
          </w:tcPr>
          <w:p>
            <w:pPr>
              <w:spacing w:before="60" w:after="60"/>
              <w:jc w:val="center"/>
              <w:rPr>
                <w:rFonts w:eastAsia="Times New Roman"/>
                <w:noProof/>
                <w:spacing w:val="-8"/>
                <w:sz w:val="20"/>
                <w:szCs w:val="20"/>
              </w:rPr>
            </w:pPr>
            <w:r>
              <w:rPr>
                <w:noProof/>
                <w:spacing w:val="-8"/>
                <w:sz w:val="20"/>
              </w:rPr>
              <w:t>A</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28A</w:t>
            </w:r>
          </w:p>
        </w:tc>
        <w:tc>
          <w:tcPr>
            <w:tcW w:w="2000" w:type="pct"/>
            <w:hideMark/>
          </w:tcPr>
          <w:p>
            <w:pPr>
              <w:spacing w:before="60" w:after="60"/>
              <w:ind w:left="84"/>
              <w:jc w:val="left"/>
              <w:rPr>
                <w:rFonts w:eastAsia="Times New Roman"/>
                <w:noProof/>
                <w:spacing w:val="-8"/>
                <w:sz w:val="20"/>
                <w:szCs w:val="20"/>
              </w:rPr>
            </w:pPr>
            <w:r>
              <w:rPr>
                <w:noProof/>
                <w:spacing w:val="-8"/>
                <w:sz w:val="20"/>
              </w:rPr>
              <w:t>Feux de brouillard arrière des véhicules à moteur et de leurs remorques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38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29A</w:t>
            </w:r>
          </w:p>
        </w:tc>
        <w:tc>
          <w:tcPr>
            <w:tcW w:w="2000" w:type="pct"/>
            <w:hideMark/>
          </w:tcPr>
          <w:p>
            <w:pPr>
              <w:spacing w:before="60" w:after="60"/>
              <w:ind w:left="84"/>
              <w:jc w:val="left"/>
              <w:rPr>
                <w:rFonts w:eastAsia="Times New Roman"/>
                <w:noProof/>
                <w:spacing w:val="-8"/>
                <w:sz w:val="20"/>
                <w:szCs w:val="20"/>
              </w:rPr>
            </w:pPr>
            <w:r>
              <w:rPr>
                <w:noProof/>
                <w:spacing w:val="-8"/>
                <w:sz w:val="20"/>
              </w:rPr>
              <w:t>Feux de marche arrière des véhicules à moteur et de leurs remorques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23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30A</w:t>
            </w:r>
          </w:p>
        </w:tc>
        <w:tc>
          <w:tcPr>
            <w:tcW w:w="2000" w:type="pct"/>
            <w:hideMark/>
          </w:tcPr>
          <w:p>
            <w:pPr>
              <w:spacing w:before="60" w:after="60"/>
              <w:ind w:left="84"/>
              <w:jc w:val="left"/>
              <w:rPr>
                <w:rFonts w:eastAsia="Times New Roman"/>
                <w:noProof/>
                <w:spacing w:val="-8"/>
                <w:sz w:val="20"/>
                <w:szCs w:val="20"/>
              </w:rPr>
            </w:pPr>
            <w:r>
              <w:rPr>
                <w:noProof/>
                <w:spacing w:val="-8"/>
                <w:sz w:val="20"/>
              </w:rPr>
              <w:t>Feux de stationnement pour véhicules à moteur</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77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31A</w:t>
            </w:r>
          </w:p>
        </w:tc>
        <w:tc>
          <w:tcPr>
            <w:tcW w:w="2000" w:type="pct"/>
            <w:hideMark/>
          </w:tcPr>
          <w:p>
            <w:pPr>
              <w:spacing w:before="60" w:after="60"/>
              <w:ind w:left="84"/>
              <w:jc w:val="left"/>
              <w:rPr>
                <w:rFonts w:eastAsia="Times New Roman"/>
                <w:noProof/>
                <w:spacing w:val="-8"/>
                <w:sz w:val="20"/>
                <w:szCs w:val="20"/>
              </w:rPr>
            </w:pPr>
            <w:r>
              <w:rPr>
                <w:noProof/>
                <w:spacing w:val="-8"/>
                <w:sz w:val="20"/>
              </w:rPr>
              <w:t>Ceintures de sécurité, systèmes de retenue, dispositifs de retenue pour enfants et dispositifs de retenue pour enfants Isofix</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16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33A</w:t>
            </w:r>
          </w:p>
        </w:tc>
        <w:tc>
          <w:tcPr>
            <w:tcW w:w="2000" w:type="pct"/>
            <w:hideMark/>
          </w:tcPr>
          <w:p>
            <w:pPr>
              <w:spacing w:before="60" w:after="60"/>
              <w:ind w:left="84"/>
              <w:jc w:val="left"/>
              <w:rPr>
                <w:rFonts w:eastAsia="Times New Roman"/>
                <w:noProof/>
                <w:spacing w:val="-8"/>
                <w:sz w:val="20"/>
                <w:szCs w:val="20"/>
              </w:rPr>
            </w:pPr>
            <w:r>
              <w:rPr>
                <w:noProof/>
                <w:spacing w:val="-8"/>
                <w:sz w:val="20"/>
              </w:rPr>
              <w:t>Emplacement et moyens d’identification des commandes manuelles, des témoins et des indicateurs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121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34A</w:t>
            </w:r>
          </w:p>
        </w:tc>
        <w:tc>
          <w:tcPr>
            <w:tcW w:w="2000" w:type="pct"/>
            <w:hideMark/>
          </w:tcPr>
          <w:p>
            <w:pPr>
              <w:spacing w:before="60" w:after="60"/>
              <w:ind w:left="84"/>
              <w:jc w:val="left"/>
              <w:rPr>
                <w:rFonts w:eastAsia="Times New Roman"/>
                <w:noProof/>
                <w:spacing w:val="-8"/>
                <w:sz w:val="20"/>
                <w:szCs w:val="20"/>
              </w:rPr>
            </w:pPr>
            <w:r>
              <w:rPr>
                <w:noProof/>
                <w:spacing w:val="-8"/>
                <w:sz w:val="20"/>
              </w:rPr>
              <w:t>Dispositifs de dégivrage et de désembuage du pare-brise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672/2010</w:t>
            </w:r>
          </w:p>
        </w:tc>
        <w:tc>
          <w:tcPr>
            <w:tcW w:w="549" w:type="pct"/>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5</w:t>
            </w:r>
            <w:r>
              <w:rPr>
                <w:noProof/>
                <w:spacing w:val="-8"/>
                <w:sz w:val="20"/>
              </w:rPr>
              <w:t>)</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35A</w:t>
            </w:r>
          </w:p>
        </w:tc>
        <w:tc>
          <w:tcPr>
            <w:tcW w:w="2000" w:type="pct"/>
            <w:hideMark/>
          </w:tcPr>
          <w:p>
            <w:pPr>
              <w:spacing w:before="60" w:after="60"/>
              <w:ind w:left="84"/>
              <w:jc w:val="left"/>
              <w:rPr>
                <w:rFonts w:eastAsia="Times New Roman"/>
                <w:noProof/>
                <w:spacing w:val="-8"/>
                <w:sz w:val="20"/>
                <w:szCs w:val="20"/>
              </w:rPr>
            </w:pPr>
            <w:r>
              <w:rPr>
                <w:noProof/>
                <w:spacing w:val="-8"/>
                <w:sz w:val="20"/>
              </w:rPr>
              <w:t>Essuie-glace et lave-glace du pare-brise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1008/2010</w:t>
            </w:r>
          </w:p>
        </w:tc>
        <w:tc>
          <w:tcPr>
            <w:tcW w:w="549" w:type="pct"/>
            <w:hideMark/>
          </w:tcPr>
          <w:p>
            <w:pPr>
              <w:spacing w:before="60" w:after="60"/>
              <w:jc w:val="center"/>
              <w:rPr>
                <w:rFonts w:eastAsia="Times New Roman"/>
                <w:noProof/>
                <w:spacing w:val="-8"/>
                <w:sz w:val="20"/>
                <w:szCs w:val="20"/>
              </w:rPr>
            </w:pPr>
            <w:r>
              <w:rPr>
                <w:noProof/>
                <w:spacing w:val="-8"/>
                <w:sz w:val="20"/>
              </w:rPr>
              <w:t>(</w:t>
            </w:r>
            <w:r>
              <w:rPr>
                <w:noProof/>
                <w:spacing w:val="-8"/>
                <w:sz w:val="20"/>
                <w:vertAlign w:val="superscript"/>
              </w:rPr>
              <w:t>6</w:t>
            </w:r>
            <w:r>
              <w:rPr>
                <w:noProof/>
                <w:spacing w:val="-8"/>
                <w:sz w:val="20"/>
              </w:rPr>
              <w:t>)</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36A</w:t>
            </w:r>
          </w:p>
        </w:tc>
        <w:tc>
          <w:tcPr>
            <w:tcW w:w="2000" w:type="pct"/>
            <w:hideMark/>
          </w:tcPr>
          <w:p>
            <w:pPr>
              <w:spacing w:before="60" w:after="60"/>
              <w:ind w:left="84"/>
              <w:jc w:val="left"/>
              <w:rPr>
                <w:rFonts w:eastAsia="Times New Roman"/>
                <w:noProof/>
                <w:spacing w:val="-8"/>
                <w:sz w:val="20"/>
                <w:szCs w:val="20"/>
              </w:rPr>
            </w:pPr>
            <w:r>
              <w:rPr>
                <w:noProof/>
                <w:spacing w:val="-8"/>
                <w:sz w:val="20"/>
              </w:rPr>
              <w:t>Systèmes de chauffage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122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41A</w:t>
            </w:r>
          </w:p>
        </w:tc>
        <w:tc>
          <w:tcPr>
            <w:tcW w:w="2000" w:type="pct"/>
            <w:hideMark/>
          </w:tcPr>
          <w:p>
            <w:pPr>
              <w:spacing w:before="60" w:after="60"/>
              <w:ind w:left="84"/>
              <w:jc w:val="left"/>
              <w:rPr>
                <w:rFonts w:eastAsia="Times New Roman"/>
                <w:noProof/>
                <w:spacing w:val="-8"/>
                <w:sz w:val="20"/>
                <w:szCs w:val="20"/>
              </w:rPr>
            </w:pPr>
            <w:r>
              <w:rPr>
                <w:noProof/>
                <w:spacing w:val="-8"/>
                <w:sz w:val="20"/>
              </w:rPr>
              <w:t>Émissions (Euro VI) des véhicules lourds/accès aux informations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595/2009</w:t>
            </w:r>
          </w:p>
        </w:tc>
        <w:tc>
          <w:tcPr>
            <w:tcW w:w="549" w:type="pct"/>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9</w:t>
            </w:r>
            <w:r>
              <w:rPr>
                <w:noProof/>
                <w:spacing w:val="-8"/>
                <w:sz w:val="20"/>
              </w:rPr>
              <w:t>)</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42A</w:t>
            </w:r>
          </w:p>
        </w:tc>
        <w:tc>
          <w:tcPr>
            <w:tcW w:w="2000" w:type="pct"/>
            <w:hideMark/>
          </w:tcPr>
          <w:p>
            <w:pPr>
              <w:spacing w:before="60" w:after="60"/>
              <w:ind w:left="84"/>
              <w:jc w:val="left"/>
              <w:rPr>
                <w:rFonts w:eastAsia="Times New Roman"/>
                <w:noProof/>
                <w:spacing w:val="-8"/>
                <w:sz w:val="20"/>
                <w:szCs w:val="20"/>
              </w:rPr>
            </w:pPr>
            <w:r>
              <w:rPr>
                <w:noProof/>
                <w:spacing w:val="-8"/>
                <w:sz w:val="20"/>
              </w:rPr>
              <w:t>Protection latérale des véhicules utilitaires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73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A</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43A</w:t>
            </w:r>
          </w:p>
        </w:tc>
        <w:tc>
          <w:tcPr>
            <w:tcW w:w="2000" w:type="pct"/>
            <w:hideMark/>
          </w:tcPr>
          <w:p>
            <w:pPr>
              <w:spacing w:before="60" w:after="60"/>
              <w:ind w:left="84"/>
              <w:jc w:val="left"/>
              <w:rPr>
                <w:rFonts w:eastAsia="Times New Roman"/>
                <w:noProof/>
                <w:spacing w:val="-8"/>
                <w:sz w:val="20"/>
                <w:szCs w:val="20"/>
              </w:rPr>
            </w:pPr>
            <w:r>
              <w:rPr>
                <w:noProof/>
                <w:spacing w:val="-8"/>
                <w:sz w:val="20"/>
              </w:rPr>
              <w:t>Systèmes antiprojections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109/2011</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A</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45</w:t>
            </w:r>
          </w:p>
        </w:tc>
        <w:tc>
          <w:tcPr>
            <w:tcW w:w="2000" w:type="pct"/>
            <w:hideMark/>
          </w:tcPr>
          <w:p>
            <w:pPr>
              <w:spacing w:before="60" w:after="60"/>
              <w:ind w:left="84"/>
              <w:jc w:val="left"/>
              <w:rPr>
                <w:rFonts w:eastAsia="Times New Roman"/>
                <w:noProof/>
                <w:spacing w:val="-8"/>
                <w:sz w:val="20"/>
                <w:szCs w:val="20"/>
              </w:rPr>
            </w:pPr>
            <w:r>
              <w:rPr>
                <w:noProof/>
                <w:spacing w:val="-8"/>
                <w:sz w:val="20"/>
              </w:rPr>
              <w:t>Vitrages de sécurité</w:t>
            </w:r>
          </w:p>
        </w:tc>
        <w:tc>
          <w:tcPr>
            <w:tcW w:w="1558" w:type="pct"/>
            <w:hideMark/>
          </w:tcPr>
          <w:p>
            <w:pPr>
              <w:spacing w:before="60" w:after="60"/>
              <w:ind w:left="128"/>
              <w:jc w:val="left"/>
              <w:rPr>
                <w:rFonts w:eastAsia="Times New Roman"/>
                <w:noProof/>
                <w:spacing w:val="-8"/>
                <w:sz w:val="20"/>
                <w:szCs w:val="20"/>
              </w:rPr>
            </w:pPr>
            <w:r>
              <w:rPr>
                <w:noProof/>
                <w:spacing w:val="-8"/>
                <w:sz w:val="20"/>
              </w:rPr>
              <w:t>Directive 92/22/CEE</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45A</w:t>
            </w:r>
          </w:p>
        </w:tc>
        <w:tc>
          <w:tcPr>
            <w:tcW w:w="2000" w:type="pct"/>
            <w:hideMark/>
          </w:tcPr>
          <w:p>
            <w:pPr>
              <w:spacing w:before="60" w:after="60"/>
              <w:ind w:left="84"/>
              <w:jc w:val="left"/>
              <w:rPr>
                <w:rFonts w:eastAsia="Times New Roman"/>
                <w:noProof/>
                <w:spacing w:val="-8"/>
                <w:sz w:val="20"/>
                <w:szCs w:val="20"/>
              </w:rPr>
            </w:pPr>
            <w:r>
              <w:rPr>
                <w:noProof/>
                <w:spacing w:val="-8"/>
                <w:sz w:val="20"/>
              </w:rPr>
              <w:t>Vitrages de sécurité et leur installation sur les véhicules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43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w:t>
            </w:r>
          </w:p>
        </w:tc>
        <w:tc>
          <w:tcPr>
            <w:tcW w:w="2000" w:type="pct"/>
            <w:hideMark/>
          </w:tcPr>
          <w:p>
            <w:pPr>
              <w:spacing w:before="60" w:after="60"/>
              <w:ind w:left="84"/>
              <w:jc w:val="left"/>
              <w:rPr>
                <w:rFonts w:eastAsia="Times New Roman"/>
                <w:noProof/>
                <w:spacing w:val="-8"/>
                <w:sz w:val="20"/>
                <w:szCs w:val="20"/>
              </w:rPr>
            </w:pPr>
            <w:r>
              <w:rPr>
                <w:noProof/>
                <w:spacing w:val="-8"/>
                <w:sz w:val="20"/>
              </w:rPr>
              <w:t>Pneumatiques</w:t>
            </w:r>
          </w:p>
        </w:tc>
        <w:tc>
          <w:tcPr>
            <w:tcW w:w="1558" w:type="pct"/>
            <w:hideMark/>
          </w:tcPr>
          <w:p>
            <w:pPr>
              <w:spacing w:before="60" w:after="60"/>
              <w:ind w:left="128"/>
              <w:jc w:val="left"/>
              <w:rPr>
                <w:rFonts w:eastAsia="Times New Roman"/>
                <w:noProof/>
                <w:spacing w:val="-8"/>
                <w:sz w:val="20"/>
                <w:szCs w:val="20"/>
              </w:rPr>
            </w:pPr>
            <w:r>
              <w:rPr>
                <w:noProof/>
                <w:spacing w:val="-8"/>
                <w:sz w:val="20"/>
              </w:rPr>
              <w:t>Directive 92/23/CEE</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I</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46A</w:t>
            </w:r>
          </w:p>
        </w:tc>
        <w:tc>
          <w:tcPr>
            <w:tcW w:w="2000" w:type="pct"/>
            <w:hideMark/>
          </w:tcPr>
          <w:p>
            <w:pPr>
              <w:spacing w:before="60" w:after="60"/>
              <w:ind w:left="84"/>
              <w:jc w:val="left"/>
              <w:rPr>
                <w:rFonts w:eastAsia="Times New Roman"/>
                <w:noProof/>
                <w:spacing w:val="-8"/>
                <w:sz w:val="20"/>
                <w:szCs w:val="20"/>
              </w:rPr>
            </w:pPr>
            <w:r>
              <w:rPr>
                <w:noProof/>
                <w:spacing w:val="-8"/>
                <w:sz w:val="20"/>
              </w:rPr>
              <w:t>Montage des pneumatiques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458/2011</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I</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46C</w:t>
            </w:r>
          </w:p>
        </w:tc>
        <w:tc>
          <w:tcPr>
            <w:tcW w:w="2000" w:type="pct"/>
            <w:hideMark/>
          </w:tcPr>
          <w:p>
            <w:pPr>
              <w:spacing w:before="60" w:after="60"/>
              <w:ind w:left="84"/>
              <w:jc w:val="left"/>
              <w:rPr>
                <w:rFonts w:eastAsia="Times New Roman"/>
                <w:noProof/>
                <w:spacing w:val="-8"/>
                <w:sz w:val="20"/>
                <w:szCs w:val="20"/>
              </w:rPr>
            </w:pPr>
            <w:r>
              <w:rPr>
                <w:noProof/>
                <w:spacing w:val="-8"/>
                <w:sz w:val="20"/>
              </w:rPr>
              <w:t>Pneumatiques pour les véhicules utilitaires et leurs remorques (classes C2 et C3)</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54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I</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46D</w:t>
            </w:r>
          </w:p>
        </w:tc>
        <w:tc>
          <w:tcPr>
            <w:tcW w:w="2000" w:type="pct"/>
            <w:hideMark/>
          </w:tcPr>
          <w:p>
            <w:pPr>
              <w:spacing w:before="60" w:after="60"/>
              <w:ind w:left="84"/>
              <w:jc w:val="left"/>
              <w:rPr>
                <w:rFonts w:eastAsia="Times New Roman"/>
                <w:noProof/>
                <w:spacing w:val="-8"/>
                <w:sz w:val="20"/>
                <w:szCs w:val="20"/>
              </w:rPr>
            </w:pPr>
            <w:r>
              <w:rPr>
                <w:noProof/>
                <w:spacing w:val="-8"/>
                <w:sz w:val="20"/>
              </w:rPr>
              <w:t>Émissions sonores de roulement, adhérence sur sol mouillé et résistance au roulement (classes C1, C2 et C3)</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117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60" w:after="60"/>
              <w:jc w:val="center"/>
              <w:rPr>
                <w:rFonts w:eastAsia="Times New Roman"/>
                <w:noProof/>
                <w:spacing w:val="-8"/>
                <w:sz w:val="20"/>
                <w:szCs w:val="20"/>
              </w:rPr>
            </w:pPr>
            <w:r>
              <w:rPr>
                <w:noProof/>
                <w:spacing w:val="-8"/>
                <w:sz w:val="20"/>
              </w:rPr>
              <w:t>I</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47A</w:t>
            </w:r>
          </w:p>
        </w:tc>
        <w:tc>
          <w:tcPr>
            <w:tcW w:w="2000" w:type="pct"/>
            <w:hideMark/>
          </w:tcPr>
          <w:p>
            <w:pPr>
              <w:spacing w:before="60" w:after="60"/>
              <w:ind w:left="84"/>
              <w:jc w:val="left"/>
              <w:rPr>
                <w:rFonts w:eastAsia="Times New Roman"/>
                <w:noProof/>
                <w:spacing w:val="-8"/>
                <w:sz w:val="20"/>
                <w:szCs w:val="20"/>
              </w:rPr>
            </w:pPr>
            <w:r>
              <w:rPr>
                <w:noProof/>
                <w:spacing w:val="-8"/>
                <w:sz w:val="20"/>
              </w:rPr>
              <w:t>Systèmes de limitation de vitesse des véhicules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89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48A</w:t>
            </w:r>
          </w:p>
        </w:tc>
        <w:tc>
          <w:tcPr>
            <w:tcW w:w="2000" w:type="pct"/>
            <w:hideMark/>
          </w:tcPr>
          <w:p>
            <w:pPr>
              <w:spacing w:before="60" w:after="60"/>
              <w:ind w:left="84"/>
              <w:jc w:val="left"/>
              <w:rPr>
                <w:rFonts w:eastAsia="Times New Roman"/>
                <w:noProof/>
                <w:spacing w:val="-8"/>
                <w:sz w:val="20"/>
                <w:szCs w:val="20"/>
              </w:rPr>
            </w:pPr>
            <w:r>
              <w:rPr>
                <w:noProof/>
                <w:spacing w:val="-8"/>
                <w:sz w:val="20"/>
              </w:rPr>
              <w:t>Masses et dimensions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1230/2012</w:t>
            </w:r>
          </w:p>
        </w:tc>
        <w:tc>
          <w:tcPr>
            <w:tcW w:w="549" w:type="pct"/>
            <w:hideMark/>
          </w:tcPr>
          <w:p>
            <w:pPr>
              <w:spacing w:before="60" w:after="60"/>
              <w:jc w:val="center"/>
              <w:rPr>
                <w:rFonts w:eastAsia="Times New Roman"/>
                <w:noProof/>
                <w:spacing w:val="-8"/>
                <w:sz w:val="20"/>
                <w:szCs w:val="20"/>
              </w:rPr>
            </w:pPr>
            <w:r>
              <w:rPr>
                <w:noProof/>
                <w:spacing w:val="-8"/>
                <w:sz w:val="20"/>
              </w:rPr>
              <w:t>A</w:t>
            </w:r>
          </w:p>
        </w:tc>
        <w:tc>
          <w:tcPr>
            <w:tcW w:w="549" w:type="pct"/>
            <w:hideMark/>
          </w:tcPr>
          <w:p>
            <w:pPr>
              <w:spacing w:before="60" w:after="60"/>
              <w:jc w:val="center"/>
              <w:rPr>
                <w:rFonts w:eastAsia="Times New Roman"/>
                <w:noProof/>
                <w:spacing w:val="-8"/>
                <w:sz w:val="20"/>
                <w:szCs w:val="20"/>
              </w:rPr>
            </w:pPr>
            <w:r>
              <w:rPr>
                <w:noProof/>
                <w:spacing w:val="-8"/>
                <w:sz w:val="20"/>
              </w:rPr>
              <w:t>A</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49A</w:t>
            </w:r>
          </w:p>
        </w:tc>
        <w:tc>
          <w:tcPr>
            <w:tcW w:w="2000" w:type="pct"/>
            <w:hideMark/>
          </w:tcPr>
          <w:p>
            <w:pPr>
              <w:spacing w:before="60" w:after="60"/>
              <w:ind w:left="84"/>
              <w:jc w:val="left"/>
              <w:rPr>
                <w:rFonts w:eastAsia="Times New Roman"/>
                <w:noProof/>
                <w:spacing w:val="-8"/>
                <w:sz w:val="20"/>
                <w:szCs w:val="20"/>
              </w:rPr>
            </w:pPr>
            <w:r>
              <w:rPr>
                <w:noProof/>
                <w:spacing w:val="-8"/>
                <w:sz w:val="20"/>
              </w:rPr>
              <w:t>Saillies extérieures à l’avant de la cloison postérieure de la cabine des véhicules utilitaires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61 de la CEE-ONU</w:t>
            </w:r>
          </w:p>
        </w:tc>
        <w:tc>
          <w:tcPr>
            <w:tcW w:w="549" w:type="pct"/>
            <w:hideMark/>
          </w:tcPr>
          <w:p>
            <w:pPr>
              <w:spacing w:before="60" w:after="60"/>
              <w:jc w:val="center"/>
              <w:rPr>
                <w:rFonts w:eastAsia="Times New Roman"/>
                <w:noProof/>
                <w:spacing w:val="-8"/>
                <w:sz w:val="20"/>
                <w:szCs w:val="20"/>
              </w:rPr>
            </w:pPr>
            <w:r>
              <w:rPr>
                <w:noProof/>
                <w:spacing w:val="-8"/>
                <w:sz w:val="20"/>
              </w:rPr>
              <w:t>A</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50A</w:t>
            </w:r>
          </w:p>
        </w:tc>
        <w:tc>
          <w:tcPr>
            <w:tcW w:w="2000" w:type="pct"/>
            <w:hideMark/>
          </w:tcPr>
          <w:p>
            <w:pPr>
              <w:spacing w:before="60" w:after="60"/>
              <w:ind w:left="84"/>
              <w:jc w:val="left"/>
              <w:rPr>
                <w:rFonts w:eastAsia="Times New Roman"/>
                <w:noProof/>
                <w:spacing w:val="-8"/>
                <w:sz w:val="20"/>
                <w:szCs w:val="20"/>
              </w:rPr>
            </w:pPr>
            <w:r>
              <w:rPr>
                <w:noProof/>
                <w:spacing w:val="-8"/>
                <w:sz w:val="20"/>
              </w:rPr>
              <w:t>Pièces mécaniques d’attelage des ensembles de véhicules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55 de la CEE-ONU</w:t>
            </w:r>
          </w:p>
        </w:tc>
        <w:tc>
          <w:tcPr>
            <w:tcW w:w="549" w:type="pct"/>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49" w:type="pct"/>
            <w:hideMark/>
          </w:tcPr>
          <w:p>
            <w:pPr>
              <w:spacing w:before="60" w:after="60"/>
              <w:jc w:val="center"/>
              <w:rPr>
                <w:rFonts w:eastAsia="Times New Roman"/>
                <w:noProof/>
                <w:spacing w:val="-8"/>
                <w:sz w:val="20"/>
                <w:szCs w:val="20"/>
              </w:rPr>
            </w:pPr>
            <w:r>
              <w:rPr>
                <w:noProof/>
                <w:spacing w:val="-8"/>
                <w:sz w:val="20"/>
              </w:rPr>
              <w:t>X</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50B</w:t>
            </w:r>
          </w:p>
        </w:tc>
        <w:tc>
          <w:tcPr>
            <w:tcW w:w="2000" w:type="pct"/>
            <w:hideMark/>
          </w:tcPr>
          <w:p>
            <w:pPr>
              <w:spacing w:before="60" w:after="60"/>
              <w:ind w:left="84"/>
              <w:jc w:val="left"/>
              <w:rPr>
                <w:rFonts w:eastAsia="Times New Roman"/>
                <w:noProof/>
                <w:spacing w:val="-8"/>
                <w:sz w:val="20"/>
                <w:szCs w:val="20"/>
              </w:rPr>
            </w:pPr>
            <w:r>
              <w:rPr>
                <w:noProof/>
                <w:spacing w:val="-8"/>
                <w:sz w:val="20"/>
              </w:rPr>
              <w:t>Dispositifs d’attelage court (DAC); installation d’un type réceptionné de DAC</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102 de la CEE-ONU</w:t>
            </w:r>
          </w:p>
        </w:tc>
        <w:tc>
          <w:tcPr>
            <w:tcW w:w="549" w:type="pct"/>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c>
          <w:tcPr>
            <w:tcW w:w="549" w:type="pct"/>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10</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56A</w:t>
            </w:r>
          </w:p>
        </w:tc>
        <w:tc>
          <w:tcPr>
            <w:tcW w:w="2000" w:type="pct"/>
            <w:hideMark/>
          </w:tcPr>
          <w:p>
            <w:pPr>
              <w:spacing w:before="60" w:after="60"/>
              <w:ind w:left="84"/>
              <w:jc w:val="left"/>
              <w:rPr>
                <w:rFonts w:eastAsia="Times New Roman"/>
                <w:noProof/>
                <w:spacing w:val="-8"/>
                <w:sz w:val="20"/>
                <w:szCs w:val="20"/>
              </w:rPr>
            </w:pPr>
            <w:r>
              <w:rPr>
                <w:noProof/>
                <w:spacing w:val="-8"/>
                <w:sz w:val="20"/>
              </w:rPr>
              <w:t>Véhicules destinés au transport de marchandises dangereuses</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105 de la CEE-ONU</w:t>
            </w:r>
          </w:p>
        </w:tc>
        <w:tc>
          <w:tcPr>
            <w:tcW w:w="549" w:type="pct"/>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c>
          <w:tcPr>
            <w:tcW w:w="549" w:type="pct"/>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13</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57A</w:t>
            </w:r>
          </w:p>
        </w:tc>
        <w:tc>
          <w:tcPr>
            <w:tcW w:w="2000" w:type="pct"/>
            <w:hideMark/>
          </w:tcPr>
          <w:p>
            <w:pPr>
              <w:spacing w:before="60" w:after="60"/>
              <w:ind w:left="84"/>
              <w:jc w:val="left"/>
              <w:rPr>
                <w:rFonts w:eastAsia="Times New Roman"/>
                <w:noProof/>
                <w:spacing w:val="-8"/>
                <w:sz w:val="20"/>
                <w:szCs w:val="20"/>
              </w:rPr>
            </w:pPr>
            <w:r>
              <w:rPr>
                <w:noProof/>
                <w:spacing w:val="-8"/>
                <w:sz w:val="20"/>
              </w:rPr>
              <w:t>Dispositifs avant de protection anti-encastrement et leur montage; protection contre l’encastrement à l’avant</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93 de la CEE-ONU</w:t>
            </w:r>
          </w:p>
        </w:tc>
        <w:tc>
          <w:tcPr>
            <w:tcW w:w="549" w:type="pct"/>
            <w:hideMark/>
          </w:tcPr>
          <w:p>
            <w:pPr>
              <w:spacing w:before="60" w:after="60"/>
              <w:jc w:val="center"/>
              <w:rPr>
                <w:rFonts w:eastAsia="Times New Roman"/>
                <w:noProof/>
                <w:spacing w:val="-8"/>
                <w:sz w:val="20"/>
                <w:szCs w:val="20"/>
              </w:rPr>
            </w:pPr>
            <w:r>
              <w:rPr>
                <w:noProof/>
                <w:spacing w:val="-8"/>
                <w:sz w:val="20"/>
              </w:rPr>
              <w:t>A</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62</w:t>
            </w:r>
          </w:p>
        </w:tc>
        <w:tc>
          <w:tcPr>
            <w:tcW w:w="2000" w:type="pct"/>
            <w:hideMark/>
          </w:tcPr>
          <w:p>
            <w:pPr>
              <w:spacing w:before="60" w:after="60"/>
              <w:ind w:left="84"/>
              <w:jc w:val="left"/>
              <w:rPr>
                <w:rFonts w:eastAsia="Times New Roman"/>
                <w:noProof/>
                <w:spacing w:val="-8"/>
                <w:sz w:val="20"/>
                <w:szCs w:val="20"/>
              </w:rPr>
            </w:pPr>
            <w:r>
              <w:rPr>
                <w:noProof/>
                <w:spacing w:val="-8"/>
                <w:sz w:val="20"/>
              </w:rPr>
              <w:t>Système hydrogène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79/2009</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63</w:t>
            </w:r>
          </w:p>
        </w:tc>
        <w:tc>
          <w:tcPr>
            <w:tcW w:w="2000" w:type="pct"/>
            <w:hideMark/>
          </w:tcPr>
          <w:p>
            <w:pPr>
              <w:spacing w:before="60" w:after="60"/>
              <w:ind w:left="84"/>
              <w:jc w:val="left"/>
              <w:rPr>
                <w:rFonts w:eastAsia="Times New Roman"/>
                <w:noProof/>
                <w:spacing w:val="-8"/>
                <w:sz w:val="20"/>
                <w:szCs w:val="20"/>
              </w:rPr>
            </w:pPr>
            <w:r>
              <w:rPr>
                <w:noProof/>
                <w:spacing w:val="-8"/>
                <w:sz w:val="20"/>
              </w:rPr>
              <w:t>Sécurité générale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tc>
        <w:tc>
          <w:tcPr>
            <w:tcW w:w="549" w:type="pct"/>
            <w:hideMark/>
          </w:tcPr>
          <w:p>
            <w:pPr>
              <w:spacing w:before="60" w:after="60"/>
              <w:jc w:val="center"/>
              <w:rPr>
                <w:rFonts w:eastAsia="Times New Roman"/>
                <w:noProof/>
                <w:spacing w:val="-8"/>
                <w:sz w:val="20"/>
                <w:szCs w:val="20"/>
              </w:rPr>
            </w:pPr>
            <w:r>
              <w:rPr>
                <w:noProof/>
                <w:spacing w:val="-8"/>
                <w:sz w:val="20"/>
              </w:rPr>
              <w:t>X (</w:t>
            </w:r>
            <w:r>
              <w:rPr>
                <w:noProof/>
                <w:spacing w:val="-8"/>
                <w:sz w:val="20"/>
                <w:vertAlign w:val="superscript"/>
              </w:rPr>
              <w:t>15</w:t>
            </w:r>
            <w:r>
              <w:rPr>
                <w:noProof/>
                <w:spacing w:val="-8"/>
                <w:sz w:val="20"/>
              </w:rPr>
              <w:t>)</w:t>
            </w:r>
          </w:p>
        </w:tc>
        <w:tc>
          <w:tcPr>
            <w:tcW w:w="549" w:type="pct"/>
            <w:hideMark/>
          </w:tcPr>
          <w:p>
            <w:pPr>
              <w:spacing w:before="60" w:after="60"/>
              <w:jc w:val="center"/>
              <w:rPr>
                <w:rFonts w:eastAsia="Times New Roman"/>
                <w:noProof/>
                <w:spacing w:val="-8"/>
                <w:sz w:val="20"/>
                <w:szCs w:val="20"/>
              </w:rPr>
            </w:pPr>
            <w:r>
              <w:rPr>
                <w:noProof/>
                <w:spacing w:val="-8"/>
                <w:sz w:val="20"/>
              </w:rPr>
              <w:t>X(</w:t>
            </w:r>
            <w:r>
              <w:rPr>
                <w:noProof/>
                <w:spacing w:val="-8"/>
                <w:sz w:val="20"/>
                <w:vertAlign w:val="superscript"/>
              </w:rPr>
              <w:t>15</w:t>
            </w:r>
            <w:r>
              <w:rPr>
                <w:noProof/>
                <w:spacing w:val="-8"/>
                <w:sz w:val="20"/>
              </w:rPr>
              <w:t>)</w:t>
            </w: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65</w:t>
            </w:r>
          </w:p>
        </w:tc>
        <w:tc>
          <w:tcPr>
            <w:tcW w:w="2000" w:type="pct"/>
            <w:hideMark/>
          </w:tcPr>
          <w:p>
            <w:pPr>
              <w:spacing w:before="60" w:after="60"/>
              <w:ind w:left="84"/>
              <w:jc w:val="left"/>
              <w:rPr>
                <w:rFonts w:eastAsia="Times New Roman"/>
                <w:noProof/>
                <w:spacing w:val="-8"/>
                <w:sz w:val="20"/>
                <w:szCs w:val="20"/>
              </w:rPr>
            </w:pPr>
            <w:r>
              <w:rPr>
                <w:noProof/>
                <w:spacing w:val="-8"/>
                <w:sz w:val="20"/>
              </w:rPr>
              <w:t>Système avancé de freinage d’urgence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347/2012</w:t>
            </w:r>
          </w:p>
        </w:tc>
        <w:tc>
          <w:tcPr>
            <w:tcW w:w="549" w:type="pct"/>
            <w:hideMark/>
          </w:tcPr>
          <w:p>
            <w:pPr>
              <w:spacing w:before="60" w:after="60"/>
              <w:jc w:val="center"/>
              <w:rPr>
                <w:rFonts w:eastAsia="Times New Roman"/>
                <w:noProof/>
                <w:spacing w:val="-8"/>
                <w:sz w:val="20"/>
                <w:szCs w:val="20"/>
              </w:rPr>
            </w:pPr>
            <w:r>
              <w:rPr>
                <w:noProof/>
                <w:spacing w:val="-8"/>
                <w:sz w:val="20"/>
              </w:rPr>
              <w:t>Sans objet (</w:t>
            </w:r>
            <w:r>
              <w:rPr>
                <w:noProof/>
                <w:spacing w:val="-8"/>
                <w:sz w:val="20"/>
                <w:vertAlign w:val="superscript"/>
              </w:rPr>
              <w:t>16</w:t>
            </w:r>
            <w:r>
              <w:rPr>
                <w:noProof/>
                <w:spacing w:val="-8"/>
                <w:sz w:val="20"/>
              </w:rPr>
              <w:t>)</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66</w:t>
            </w:r>
          </w:p>
        </w:tc>
        <w:tc>
          <w:tcPr>
            <w:tcW w:w="2000" w:type="pct"/>
            <w:hideMark/>
          </w:tcPr>
          <w:p>
            <w:pPr>
              <w:spacing w:before="60" w:after="60"/>
              <w:ind w:left="84"/>
              <w:jc w:val="left"/>
              <w:rPr>
                <w:rFonts w:eastAsia="Times New Roman"/>
                <w:noProof/>
                <w:spacing w:val="-8"/>
                <w:sz w:val="20"/>
                <w:szCs w:val="20"/>
              </w:rPr>
            </w:pPr>
            <w:r>
              <w:rPr>
                <w:noProof/>
                <w:spacing w:val="-8"/>
                <w:sz w:val="20"/>
              </w:rPr>
              <w:t>Système d’avertissement de franchissement de la ligne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(UE) n</w:t>
            </w:r>
            <w:r>
              <w:rPr>
                <w:noProof/>
                <w:spacing w:val="-8"/>
                <w:sz w:val="20"/>
                <w:vertAlign w:val="superscript"/>
              </w:rPr>
              <w:t>o</w:t>
            </w:r>
            <w:r>
              <w:rPr>
                <w:noProof/>
                <w:spacing w:val="-8"/>
                <w:sz w:val="20"/>
              </w:rPr>
              <w:t> 351/2012</w:t>
            </w:r>
          </w:p>
        </w:tc>
        <w:tc>
          <w:tcPr>
            <w:tcW w:w="549" w:type="pct"/>
            <w:hideMark/>
          </w:tcPr>
          <w:p>
            <w:pPr>
              <w:spacing w:before="60" w:after="60"/>
              <w:jc w:val="center"/>
              <w:rPr>
                <w:rFonts w:eastAsia="Times New Roman"/>
                <w:noProof/>
                <w:spacing w:val="-8"/>
                <w:sz w:val="20"/>
                <w:szCs w:val="20"/>
              </w:rPr>
            </w:pPr>
            <w:r>
              <w:rPr>
                <w:noProof/>
                <w:spacing w:val="-8"/>
                <w:sz w:val="20"/>
              </w:rPr>
              <w:t>Sans objet (</w:t>
            </w:r>
            <w:r>
              <w:rPr>
                <w:noProof/>
                <w:spacing w:val="-8"/>
                <w:sz w:val="20"/>
                <w:vertAlign w:val="superscript"/>
              </w:rPr>
              <w:t>17</w:t>
            </w:r>
            <w:r>
              <w:rPr>
                <w:noProof/>
                <w:spacing w:val="-8"/>
                <w:sz w:val="20"/>
              </w:rPr>
              <w:t>)</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67</w:t>
            </w:r>
          </w:p>
        </w:tc>
        <w:tc>
          <w:tcPr>
            <w:tcW w:w="2000" w:type="pct"/>
            <w:hideMark/>
          </w:tcPr>
          <w:p>
            <w:pPr>
              <w:spacing w:before="60" w:after="60"/>
              <w:ind w:left="84"/>
              <w:jc w:val="left"/>
              <w:rPr>
                <w:rFonts w:eastAsia="Times New Roman"/>
                <w:noProof/>
                <w:spacing w:val="-8"/>
                <w:sz w:val="20"/>
                <w:szCs w:val="20"/>
              </w:rPr>
            </w:pPr>
            <w:r>
              <w:rPr>
                <w:noProof/>
                <w:spacing w:val="-8"/>
                <w:sz w:val="20"/>
              </w:rPr>
              <w:t>Organes spéciaux pour l’alimentation des moteurs au gaz de pétrole liquéfié (GPL) et leur installation sur les véhicules à moteur</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67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69</w:t>
            </w:r>
          </w:p>
        </w:tc>
        <w:tc>
          <w:tcPr>
            <w:tcW w:w="2000" w:type="pct"/>
            <w:hideMark/>
          </w:tcPr>
          <w:p>
            <w:pPr>
              <w:spacing w:before="60" w:after="60"/>
              <w:ind w:left="84"/>
              <w:jc w:val="left"/>
              <w:rPr>
                <w:rFonts w:eastAsia="Times New Roman"/>
                <w:noProof/>
                <w:spacing w:val="-8"/>
                <w:sz w:val="20"/>
                <w:szCs w:val="20"/>
              </w:rPr>
            </w:pPr>
            <w:r>
              <w:rPr>
                <w:noProof/>
                <w:spacing w:val="-8"/>
                <w:sz w:val="20"/>
              </w:rPr>
              <w:t>Sécurité électrique</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100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r>
        <w:trPr>
          <w:cantSplit/>
          <w:tblCellSpacing w:w="0" w:type="dxa"/>
        </w:trPr>
        <w:tc>
          <w:tcPr>
            <w:tcW w:w="0" w:type="auto"/>
            <w:hideMark/>
          </w:tcPr>
          <w:p>
            <w:pPr>
              <w:spacing w:before="60" w:after="60"/>
              <w:jc w:val="center"/>
              <w:rPr>
                <w:rFonts w:eastAsia="Times New Roman"/>
                <w:noProof/>
                <w:spacing w:val="-8"/>
                <w:sz w:val="20"/>
                <w:szCs w:val="20"/>
              </w:rPr>
            </w:pPr>
            <w:r>
              <w:rPr>
                <w:noProof/>
                <w:spacing w:val="-8"/>
                <w:sz w:val="20"/>
              </w:rPr>
              <w:t>70</w:t>
            </w:r>
          </w:p>
        </w:tc>
        <w:tc>
          <w:tcPr>
            <w:tcW w:w="2000" w:type="pct"/>
            <w:hideMark/>
          </w:tcPr>
          <w:p>
            <w:pPr>
              <w:spacing w:before="60" w:after="60"/>
              <w:ind w:left="84"/>
              <w:jc w:val="left"/>
              <w:rPr>
                <w:rFonts w:eastAsia="Times New Roman"/>
                <w:noProof/>
                <w:spacing w:val="-8"/>
                <w:sz w:val="20"/>
                <w:szCs w:val="20"/>
              </w:rPr>
            </w:pPr>
            <w:r>
              <w:rPr>
                <w:noProof/>
                <w:spacing w:val="-8"/>
                <w:sz w:val="20"/>
              </w:rPr>
              <w:t>Organes spéciaux pour l’alimentation des moteurs au GNC et leur installation sur les véhicules à moteur</w:t>
            </w:r>
          </w:p>
        </w:tc>
        <w:tc>
          <w:tcPr>
            <w:tcW w:w="1558" w:type="pct"/>
            <w:hideMark/>
          </w:tcPr>
          <w:p>
            <w:pPr>
              <w:spacing w:before="60" w:after="60"/>
              <w:ind w:left="128"/>
              <w:jc w:val="left"/>
              <w:rPr>
                <w:rFonts w:eastAsia="Times New Roman"/>
                <w:noProof/>
                <w:spacing w:val="-8"/>
                <w:sz w:val="20"/>
                <w:szCs w:val="20"/>
              </w:rPr>
            </w:pPr>
            <w:r>
              <w:rPr>
                <w:noProof/>
                <w:spacing w:val="-8"/>
                <w:sz w:val="20"/>
              </w:rPr>
              <w:t>Règlement (CE) n</w:t>
            </w:r>
            <w:r>
              <w:rPr>
                <w:noProof/>
                <w:spacing w:val="-8"/>
                <w:sz w:val="20"/>
                <w:vertAlign w:val="superscript"/>
              </w:rPr>
              <w:t>o</w:t>
            </w:r>
            <w:r>
              <w:rPr>
                <w:noProof/>
                <w:spacing w:val="-8"/>
                <w:sz w:val="20"/>
              </w:rPr>
              <w:t> 661/2009</w:t>
            </w:r>
          </w:p>
          <w:p>
            <w:pPr>
              <w:spacing w:before="60" w:after="60"/>
              <w:ind w:left="128"/>
              <w:jc w:val="left"/>
              <w:rPr>
                <w:rFonts w:eastAsia="Times New Roman"/>
                <w:noProof/>
                <w:spacing w:val="-8"/>
                <w:sz w:val="20"/>
                <w:szCs w:val="20"/>
              </w:rPr>
            </w:pPr>
            <w:r>
              <w:rPr>
                <w:noProof/>
                <w:spacing w:val="-8"/>
                <w:sz w:val="20"/>
              </w:rPr>
              <w:t>Règlement n</w:t>
            </w:r>
            <w:r>
              <w:rPr>
                <w:noProof/>
                <w:spacing w:val="-8"/>
                <w:sz w:val="20"/>
                <w:vertAlign w:val="superscript"/>
              </w:rPr>
              <w:t>o</w:t>
            </w:r>
            <w:r>
              <w:rPr>
                <w:noProof/>
                <w:spacing w:val="-8"/>
                <w:sz w:val="20"/>
              </w:rPr>
              <w:t> 110 de la CEE-ONU</w:t>
            </w:r>
          </w:p>
        </w:tc>
        <w:tc>
          <w:tcPr>
            <w:tcW w:w="549" w:type="pct"/>
            <w:hideMark/>
          </w:tcPr>
          <w:p>
            <w:pPr>
              <w:spacing w:before="60" w:after="60"/>
              <w:jc w:val="center"/>
              <w:rPr>
                <w:rFonts w:eastAsia="Times New Roman"/>
                <w:noProof/>
                <w:spacing w:val="-8"/>
                <w:sz w:val="20"/>
                <w:szCs w:val="20"/>
              </w:rPr>
            </w:pPr>
            <w:r>
              <w:rPr>
                <w:noProof/>
                <w:spacing w:val="-8"/>
                <w:sz w:val="20"/>
              </w:rPr>
              <w:t>X</w:t>
            </w:r>
          </w:p>
        </w:tc>
        <w:tc>
          <w:tcPr>
            <w:tcW w:w="549" w:type="pct"/>
            <w:hideMark/>
          </w:tcPr>
          <w:p>
            <w:pPr>
              <w:spacing w:before="100" w:beforeAutospacing="1" w:after="100" w:afterAutospacing="1"/>
              <w:jc w:val="center"/>
              <w:rPr>
                <w:rFonts w:eastAsia="Times New Roman"/>
                <w:noProof/>
                <w:spacing w:val="-8"/>
                <w:sz w:val="20"/>
                <w:szCs w:val="20"/>
              </w:rPr>
            </w:pPr>
          </w:p>
        </w:tc>
      </w:tr>
    </w:tbl>
    <w:p>
      <w:pPr>
        <w:spacing w:before="0" w:after="0"/>
        <w:rPr>
          <w:rFonts w:eastAsia="Times New Roman"/>
          <w:i/>
          <w:iCs/>
          <w:noProof/>
          <w:spacing w:val="-8"/>
          <w:szCs w:val="24"/>
        </w:rPr>
      </w:pPr>
      <w:r>
        <w:rPr>
          <w:noProof/>
          <w:spacing w:val="-8"/>
        </w:rPr>
        <w:br w:type="page"/>
      </w:r>
      <w:r>
        <w:rPr>
          <w:i/>
          <w:noProof/>
          <w:spacing w:val="-8"/>
          <w:sz w:val="20"/>
        </w:rPr>
        <w:t xml:space="preserve"> </w:t>
      </w:r>
      <w:r>
        <w:rPr>
          <w:b/>
          <w:noProof/>
          <w:spacing w:val="-8"/>
        </w:rPr>
        <w:t>Notes explicatives concernant l’applicabilité des prescriptions</w:t>
      </w:r>
    </w:p>
    <w:tbl>
      <w:tblPr>
        <w:tblW w:w="5391" w:type="pct"/>
        <w:tblCellSpacing w:w="0" w:type="dxa"/>
        <w:tblCellMar>
          <w:left w:w="0" w:type="dxa"/>
          <w:right w:w="0" w:type="dxa"/>
        </w:tblCellMar>
        <w:tblLook w:val="04A0" w:firstRow="1" w:lastRow="0" w:firstColumn="1" w:lastColumn="0" w:noHBand="0" w:noVBand="1"/>
      </w:tblPr>
      <w:tblGrid>
        <w:gridCol w:w="840"/>
        <w:gridCol w:w="8940"/>
      </w:tblGrid>
      <w:tr>
        <w:trPr>
          <w:tblCellSpacing w:w="0" w:type="dxa"/>
        </w:trPr>
        <w:tc>
          <w:tcPr>
            <w:tcW w:w="840" w:type="dxa"/>
            <w:hideMark/>
          </w:tcPr>
          <w:p>
            <w:pPr>
              <w:spacing w:after="0"/>
              <w:rPr>
                <w:rFonts w:eastAsia="Times New Roman"/>
                <w:noProof/>
                <w:spacing w:val="-8"/>
                <w:sz w:val="20"/>
                <w:szCs w:val="20"/>
              </w:rPr>
            </w:pPr>
            <w:r>
              <w:rPr>
                <w:noProof/>
                <w:spacing w:val="-8"/>
                <w:sz w:val="20"/>
                <w:szCs w:val="20"/>
              </w:rPr>
              <w:t>X</w:t>
            </w:r>
          </w:p>
        </w:tc>
        <w:tc>
          <w:tcPr>
            <w:tcW w:w="8940" w:type="dxa"/>
            <w:hideMark/>
          </w:tcPr>
          <w:p>
            <w:pPr>
              <w:spacing w:after="0"/>
              <w:ind w:left="1" w:right="569"/>
              <w:rPr>
                <w:rFonts w:eastAsia="Times New Roman"/>
                <w:noProof/>
                <w:spacing w:val="-8"/>
                <w:sz w:val="20"/>
                <w:szCs w:val="20"/>
              </w:rPr>
            </w:pPr>
            <w:r>
              <w:rPr>
                <w:noProof/>
                <w:spacing w:val="-8"/>
                <w:sz w:val="20"/>
                <w:szCs w:val="20"/>
              </w:rPr>
              <w:t>Les prescriptions énoncées dans l’acte réglementaire concerné sont applicables. Les séries d’amendements des règlements de la CEE-ONU ayant valeur contraignante sont énumérées dans l’annexe IV du règlement (CE) n</w:t>
            </w:r>
            <w:r>
              <w:rPr>
                <w:noProof/>
                <w:spacing w:val="-8"/>
                <w:sz w:val="20"/>
                <w:szCs w:val="20"/>
                <w:vertAlign w:val="superscript"/>
              </w:rPr>
              <w:t>o</w:t>
            </w:r>
            <w:r>
              <w:rPr>
                <w:noProof/>
                <w:spacing w:val="-8"/>
                <w:sz w:val="20"/>
                <w:szCs w:val="20"/>
              </w:rPr>
              <w:t> 661/2009. Les séries d’amendements adoptées par la suite sont acceptées en leur lieu et place. Les États membres peuvent accorder des extensions de réceptions par type existantes délivrées au titre des directives qui ont été abrogées par le règlement (CE) n</w:t>
            </w:r>
            <w:r>
              <w:rPr>
                <w:noProof/>
                <w:spacing w:val="-8"/>
                <w:sz w:val="20"/>
                <w:szCs w:val="20"/>
                <w:vertAlign w:val="superscript"/>
              </w:rPr>
              <w:t>o</w:t>
            </w:r>
            <w:r>
              <w:rPr>
                <w:noProof/>
                <w:spacing w:val="-8"/>
                <w:sz w:val="20"/>
                <w:szCs w:val="20"/>
              </w:rPr>
              <w:t> 661/2009, dans les conditions fixées par l’article 13, paragraphe 14, dudit règlement.</w:t>
            </w:r>
          </w:p>
        </w:tc>
      </w:tr>
      <w:tr>
        <w:trPr>
          <w:tblCellSpacing w:w="0" w:type="dxa"/>
        </w:trPr>
        <w:tc>
          <w:tcPr>
            <w:tcW w:w="840" w:type="dxa"/>
            <w:hideMark/>
          </w:tcPr>
          <w:p>
            <w:pPr>
              <w:spacing w:after="0"/>
              <w:ind w:right="-169"/>
              <w:rPr>
                <w:rFonts w:eastAsia="Times New Roman"/>
                <w:noProof/>
                <w:spacing w:val="-8"/>
                <w:sz w:val="20"/>
                <w:szCs w:val="20"/>
              </w:rPr>
            </w:pPr>
            <w:r>
              <w:rPr>
                <w:noProof/>
                <w:spacing w:val="-8"/>
                <w:sz w:val="20"/>
                <w:szCs w:val="20"/>
              </w:rPr>
              <w:t>Sans objet</w:t>
            </w:r>
          </w:p>
        </w:tc>
        <w:tc>
          <w:tcPr>
            <w:tcW w:w="8940" w:type="dxa"/>
            <w:hideMark/>
          </w:tcPr>
          <w:p>
            <w:pPr>
              <w:spacing w:after="0"/>
              <w:ind w:left="1" w:right="569"/>
              <w:rPr>
                <w:rFonts w:eastAsia="Times New Roman"/>
                <w:noProof/>
                <w:spacing w:val="-8"/>
                <w:sz w:val="20"/>
                <w:szCs w:val="20"/>
              </w:rPr>
            </w:pPr>
            <w:r>
              <w:rPr>
                <w:noProof/>
                <w:spacing w:val="-8"/>
                <w:sz w:val="20"/>
                <w:szCs w:val="20"/>
              </w:rPr>
              <w:t>L’acte réglementaire n’est pas applicable à ce véhicule (pas de prescriptions).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1</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Pour les véhicules ayant une masse de référence inférieure ou égale à 2 610 kg. À la demande du constructeur, le règlement (CE) n</w:t>
            </w:r>
            <w:r>
              <w:rPr>
                <w:noProof/>
                <w:spacing w:val="-8"/>
                <w:sz w:val="20"/>
                <w:szCs w:val="20"/>
                <w:vertAlign w:val="superscript"/>
              </w:rPr>
              <w:t>o</w:t>
            </w:r>
            <w:r>
              <w:rPr>
                <w:noProof/>
                <w:spacing w:val="-8"/>
                <w:sz w:val="20"/>
                <w:szCs w:val="20"/>
              </w:rPr>
              <w:t xml:space="preserve"> 715/2007 peut s’appliquer aux véhicules dont la masse de référence ne dépasse pas 2 840 kg. </w:t>
            </w:r>
          </w:p>
          <w:p>
            <w:pPr>
              <w:spacing w:after="0"/>
              <w:ind w:left="1" w:right="569"/>
              <w:rPr>
                <w:rFonts w:eastAsia="Times New Roman"/>
                <w:noProof/>
                <w:spacing w:val="-8"/>
                <w:sz w:val="20"/>
                <w:szCs w:val="20"/>
              </w:rPr>
            </w:pPr>
            <w:r>
              <w:rPr>
                <w:noProof/>
                <w:spacing w:val="-8"/>
                <w:sz w:val="20"/>
                <w:szCs w:val="20"/>
              </w:rPr>
              <w:t>En ce qui concerne l’accès aux informations, pour les parties autres que le véhicule de base (par exemple, le compartiment habitable), il suffit que le constructeur communique les informations concernant la réparation et l’entretien du véhicule d’une manière aisément accessible et rapide.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2</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Dans le cas de véhicules équipés d’une installation à GPL ou à GNC, une réception par type de véhicule au titre du règlement n</w:t>
            </w:r>
            <w:r>
              <w:rPr>
                <w:noProof/>
                <w:spacing w:val="-8"/>
                <w:sz w:val="20"/>
                <w:szCs w:val="20"/>
                <w:vertAlign w:val="superscript"/>
              </w:rPr>
              <w:t>o</w:t>
            </w:r>
            <w:r>
              <w:rPr>
                <w:noProof/>
                <w:spacing w:val="-8"/>
                <w:sz w:val="20"/>
                <w:szCs w:val="20"/>
              </w:rPr>
              <w:t> 67 ou du règlement n</w:t>
            </w:r>
            <w:r>
              <w:rPr>
                <w:noProof/>
                <w:spacing w:val="-8"/>
                <w:sz w:val="20"/>
                <w:szCs w:val="20"/>
                <w:vertAlign w:val="superscript"/>
              </w:rPr>
              <w:t>o</w:t>
            </w:r>
            <w:r>
              <w:rPr>
                <w:noProof/>
                <w:spacing w:val="-8"/>
                <w:sz w:val="20"/>
                <w:szCs w:val="20"/>
              </w:rPr>
              <w:t> 110 de la CEE-ONU est requise.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3</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L’installation d’un système de contrôle électronique de la stabilité (ESC) est requise en vertu de l’article 12 et de l’article 13 du règlement (CE) n</w:t>
            </w:r>
            <w:r>
              <w:rPr>
                <w:noProof/>
                <w:spacing w:val="-8"/>
                <w:sz w:val="20"/>
                <w:szCs w:val="20"/>
                <w:vertAlign w:val="superscript"/>
              </w:rPr>
              <w:t>o</w:t>
            </w:r>
            <w:r>
              <w:rPr>
                <w:noProof/>
                <w:spacing w:val="-8"/>
                <w:sz w:val="20"/>
                <w:szCs w:val="20"/>
              </w:rPr>
              <w:t> 661/2009. Toutefois, conformément au règlement n</w:t>
            </w:r>
            <w:r>
              <w:rPr>
                <w:noProof/>
                <w:spacing w:val="-8"/>
                <w:sz w:val="20"/>
                <w:szCs w:val="20"/>
                <w:vertAlign w:val="superscript"/>
              </w:rPr>
              <w:t>o</w:t>
            </w:r>
            <w:r>
              <w:rPr>
                <w:noProof/>
                <w:spacing w:val="-8"/>
                <w:sz w:val="20"/>
                <w:szCs w:val="20"/>
              </w:rPr>
              <w:t> 13 de la CEE-ONU, le montage d’un système ESC n’est pas requis pour les véhicules à usage spécial des catégories M</w:t>
            </w:r>
            <w:r>
              <w:rPr>
                <w:noProof/>
                <w:spacing w:val="-8"/>
                <w:sz w:val="20"/>
                <w:szCs w:val="20"/>
                <w:vertAlign w:val="subscript"/>
              </w:rPr>
              <w:t>2</w:t>
            </w:r>
            <w:r>
              <w:rPr>
                <w:noProof/>
                <w:spacing w:val="-8"/>
                <w:sz w:val="20"/>
                <w:szCs w:val="20"/>
              </w:rPr>
              <w:t>, M</w:t>
            </w:r>
            <w:r>
              <w:rPr>
                <w:noProof/>
                <w:spacing w:val="-8"/>
                <w:sz w:val="20"/>
                <w:szCs w:val="20"/>
                <w:vertAlign w:val="subscript"/>
              </w:rPr>
              <w:t>3</w:t>
            </w:r>
            <w:r>
              <w:rPr>
                <w:noProof/>
                <w:spacing w:val="-8"/>
                <w:sz w:val="20"/>
                <w:szCs w:val="20"/>
              </w:rPr>
              <w:t>, N</w:t>
            </w:r>
            <w:r>
              <w:rPr>
                <w:noProof/>
                <w:spacing w:val="-8"/>
                <w:sz w:val="20"/>
                <w:szCs w:val="20"/>
                <w:vertAlign w:val="subscript"/>
              </w:rPr>
              <w:t>2</w:t>
            </w:r>
            <w:r>
              <w:rPr>
                <w:noProof/>
                <w:spacing w:val="-8"/>
                <w:sz w:val="20"/>
                <w:szCs w:val="20"/>
              </w:rPr>
              <w:t xml:space="preserve"> et N</w:t>
            </w:r>
            <w:r>
              <w:rPr>
                <w:noProof/>
                <w:spacing w:val="-8"/>
                <w:sz w:val="20"/>
                <w:szCs w:val="20"/>
                <w:vertAlign w:val="subscript"/>
              </w:rPr>
              <w:t>3</w:t>
            </w:r>
            <w:r>
              <w:rPr>
                <w:noProof/>
                <w:spacing w:val="-8"/>
                <w:sz w:val="20"/>
                <w:szCs w:val="20"/>
              </w:rPr>
              <w:t>, ni pour les véhicules destinés à transporter des charges exceptionnelles et les remorques dotées de zones pouvant accueillir des passagers en position debout. Les véhicules N</w:t>
            </w:r>
            <w:r>
              <w:rPr>
                <w:noProof/>
                <w:spacing w:val="-8"/>
                <w:sz w:val="20"/>
                <w:szCs w:val="20"/>
                <w:vertAlign w:val="subscript"/>
              </w:rPr>
              <w:t>1</w:t>
            </w:r>
            <w:r>
              <w:rPr>
                <w:noProof/>
                <w:spacing w:val="-8"/>
                <w:sz w:val="20"/>
                <w:szCs w:val="20"/>
              </w:rPr>
              <w:t xml:space="preserve"> peuvent être réceptionnés conformément aux règlements n</w:t>
            </w:r>
            <w:r>
              <w:rPr>
                <w:noProof/>
                <w:spacing w:val="-8"/>
                <w:sz w:val="20"/>
                <w:szCs w:val="20"/>
                <w:vertAlign w:val="superscript"/>
              </w:rPr>
              <w:t>os</w:t>
            </w:r>
            <w:r>
              <w:rPr>
                <w:noProof/>
                <w:spacing w:val="-8"/>
                <w:sz w:val="20"/>
                <w:szCs w:val="20"/>
              </w:rPr>
              <w:t> 13 ou 13H de la CEE-ONU.</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4</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L’installation d’un système de contrôle électronique de la stabilité (ESC) est requise en vertu de l’article 12 et de l’article 13 du règlement (CE) n</w:t>
            </w:r>
            <w:r>
              <w:rPr>
                <w:noProof/>
                <w:spacing w:val="-8"/>
                <w:sz w:val="20"/>
                <w:szCs w:val="20"/>
                <w:vertAlign w:val="superscript"/>
              </w:rPr>
              <w:t>o</w:t>
            </w:r>
            <w:r>
              <w:rPr>
                <w:noProof/>
                <w:spacing w:val="-8"/>
                <w:sz w:val="20"/>
                <w:szCs w:val="20"/>
              </w:rPr>
              <w:t> 661/2009. Dès lors, il convient de se conformer aux prescriptions énoncées dans la partie A de l’annexe 9 du règlement n</w:t>
            </w:r>
            <w:r>
              <w:rPr>
                <w:noProof/>
                <w:spacing w:val="-8"/>
                <w:sz w:val="20"/>
                <w:szCs w:val="20"/>
                <w:vertAlign w:val="superscript"/>
              </w:rPr>
              <w:t>o</w:t>
            </w:r>
            <w:r>
              <w:rPr>
                <w:noProof/>
                <w:spacing w:val="-8"/>
                <w:sz w:val="20"/>
                <w:szCs w:val="20"/>
              </w:rPr>
              <w:t> 13-H de la CEE-ONU. Les véhicules N</w:t>
            </w:r>
            <w:r>
              <w:rPr>
                <w:noProof/>
                <w:spacing w:val="-8"/>
                <w:sz w:val="20"/>
                <w:szCs w:val="20"/>
                <w:vertAlign w:val="subscript"/>
              </w:rPr>
              <w:t>1</w:t>
            </w:r>
            <w:r>
              <w:rPr>
                <w:noProof/>
                <w:spacing w:val="-8"/>
                <w:sz w:val="20"/>
                <w:szCs w:val="20"/>
              </w:rPr>
              <w:t xml:space="preserve"> peuvent être réceptionné conformément aux règlements n</w:t>
            </w:r>
            <w:r>
              <w:rPr>
                <w:noProof/>
                <w:spacing w:val="-8"/>
                <w:sz w:val="20"/>
                <w:szCs w:val="20"/>
                <w:vertAlign w:val="superscript"/>
              </w:rPr>
              <w:t>os</w:t>
            </w:r>
            <w:r>
              <w:rPr>
                <w:noProof/>
                <w:spacing w:val="-8"/>
                <w:sz w:val="20"/>
                <w:szCs w:val="20"/>
              </w:rPr>
              <w:t> 13 ou 13H de la CEE-ONU.</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4A</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Tout dispositif de protection éventuellement installé doit respecter les prescriptions énoncées dans le règlement n</w:t>
            </w:r>
            <w:r>
              <w:rPr>
                <w:noProof/>
                <w:spacing w:val="-8"/>
                <w:sz w:val="20"/>
                <w:szCs w:val="20"/>
                <w:vertAlign w:val="superscript"/>
              </w:rPr>
              <w:t>o</w:t>
            </w:r>
            <w:r>
              <w:rPr>
                <w:noProof/>
                <w:spacing w:val="-8"/>
                <w:sz w:val="20"/>
                <w:szCs w:val="20"/>
              </w:rPr>
              <w:t> 18 de la CEE-ONU.</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4 B</w:t>
            </w:r>
            <w:r>
              <w:rPr>
                <w:noProof/>
                <w:spacing w:val="-8"/>
                <w:sz w:val="20"/>
                <w:szCs w:val="20"/>
              </w:rPr>
              <w:t>)</w:t>
            </w:r>
          </w:p>
        </w:tc>
        <w:tc>
          <w:tcPr>
            <w:tcW w:w="8940" w:type="dxa"/>
            <w:hideMark/>
          </w:tcPr>
          <w:p>
            <w:pPr>
              <w:spacing w:after="0"/>
              <w:ind w:right="569"/>
              <w:rPr>
                <w:rFonts w:eastAsia="Times New Roman"/>
                <w:noProof/>
                <w:spacing w:val="-8"/>
                <w:sz w:val="20"/>
                <w:szCs w:val="20"/>
              </w:rPr>
            </w:pPr>
            <w:r>
              <w:rPr>
                <w:noProof/>
                <w:spacing w:val="-8"/>
                <w:sz w:val="20"/>
                <w:szCs w:val="20"/>
              </w:rPr>
              <w:t>Ce règlement s’applique aux sièges qui n’entrent pas dans le champ d’application du règlement n</w:t>
            </w:r>
            <w:r>
              <w:rPr>
                <w:noProof/>
                <w:spacing w:val="-8"/>
                <w:sz w:val="20"/>
                <w:szCs w:val="20"/>
                <w:vertAlign w:val="superscript"/>
              </w:rPr>
              <w:t>o</w:t>
            </w:r>
            <w:r>
              <w:rPr>
                <w:noProof/>
                <w:spacing w:val="-8"/>
                <w:sz w:val="20"/>
                <w:szCs w:val="20"/>
              </w:rPr>
              <w:t> 80 de la CEE-ONU. Pour les autres options, voir article 2 du règlement (CE) n° 595/2009.</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5</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Les véhicules autres que ceux de la catégorie M</w:t>
            </w:r>
            <w:r>
              <w:rPr>
                <w:noProof/>
                <w:spacing w:val="-8"/>
                <w:sz w:val="20"/>
                <w:szCs w:val="20"/>
                <w:vertAlign w:val="subscript"/>
              </w:rPr>
              <w:t>1</w:t>
            </w:r>
            <w:r>
              <w:rPr>
                <w:noProof/>
                <w:spacing w:val="-8"/>
                <w:sz w:val="20"/>
                <w:szCs w:val="20"/>
              </w:rPr>
              <w:t xml:space="preserve"> ne doivent pas nécessairement satisfaire entièrement aux prescriptions du règlement (UE) n</w:t>
            </w:r>
            <w:r>
              <w:rPr>
                <w:noProof/>
                <w:spacing w:val="-8"/>
                <w:sz w:val="20"/>
                <w:szCs w:val="20"/>
                <w:vertAlign w:val="superscript"/>
              </w:rPr>
              <w:t>o</w:t>
            </w:r>
            <w:r>
              <w:rPr>
                <w:noProof/>
                <w:spacing w:val="-8"/>
                <w:sz w:val="20"/>
                <w:szCs w:val="20"/>
              </w:rPr>
              <w:t> 672/2010, mais ils doivent être équipés d’un dispositif de désembuage et de dégivrage du pare-brise.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6</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Les véhicules autres que ceux de la catégorie M</w:t>
            </w:r>
            <w:r>
              <w:rPr>
                <w:noProof/>
                <w:spacing w:val="-8"/>
                <w:sz w:val="20"/>
                <w:szCs w:val="20"/>
                <w:vertAlign w:val="subscript"/>
              </w:rPr>
              <w:t>1</w:t>
            </w:r>
            <w:r>
              <w:rPr>
                <w:noProof/>
                <w:spacing w:val="-8"/>
                <w:sz w:val="20"/>
                <w:szCs w:val="20"/>
              </w:rPr>
              <w:t xml:space="preserve"> ne doivent pas nécessairement satisfaire entièrement aux prescriptions du règlement (UE) n</w:t>
            </w:r>
            <w:r>
              <w:rPr>
                <w:noProof/>
                <w:spacing w:val="-8"/>
                <w:sz w:val="20"/>
                <w:szCs w:val="20"/>
                <w:vertAlign w:val="superscript"/>
              </w:rPr>
              <w:t>o</w:t>
            </w:r>
            <w:r>
              <w:rPr>
                <w:noProof/>
                <w:spacing w:val="-8"/>
                <w:sz w:val="20"/>
                <w:szCs w:val="20"/>
              </w:rPr>
              <w:t> 1008/2010, mais ils doivent être équipés de dispositifs de lave-glace et d’essuie-glace.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8</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Pour les véhicules ayant une masse de référence dépassant 2 610 kg et n’ayant pas bénéficié de la possibilité prévue à la note (</w:t>
            </w:r>
            <w:r>
              <w:rPr>
                <w:noProof/>
                <w:spacing w:val="-8"/>
                <w:sz w:val="20"/>
                <w:szCs w:val="20"/>
                <w:vertAlign w:val="superscript"/>
              </w:rPr>
              <w:t>1</w:t>
            </w:r>
            <w:r>
              <w:rPr>
                <w:noProof/>
                <w:spacing w:val="-8"/>
                <w:sz w:val="20"/>
                <w:szCs w:val="20"/>
              </w:rPr>
              <w:t>).</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9</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Pour les véhicules ayant une masse de référence dépassant 2 610 kg et qui ne sont pas réceptionnés par type au titre du règlement (CE) n</w:t>
            </w:r>
            <w:r>
              <w:rPr>
                <w:noProof/>
                <w:spacing w:val="-8"/>
                <w:sz w:val="20"/>
                <w:szCs w:val="20"/>
                <w:vertAlign w:val="superscript"/>
              </w:rPr>
              <w:t>o</w:t>
            </w:r>
            <w:r>
              <w:rPr>
                <w:noProof/>
                <w:spacing w:val="-8"/>
                <w:sz w:val="20"/>
                <w:szCs w:val="20"/>
              </w:rPr>
              <w:t> 715/2007 (à la demande du constructeur et pour autant que leur masse de référence ne dépasse pas 2 840 kg). Pour les parties autres que le véhicule de base, il suffit que le constructeur communique les informations concernant la réparation et l’entretien du véhicule d’une manière aisément accessible et rapide.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9 A</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S’applique uniquement lorsque les véhicules sont dotés d’un équipement visé par le règlement n</w:t>
            </w:r>
            <w:r>
              <w:rPr>
                <w:noProof/>
                <w:spacing w:val="-8"/>
                <w:sz w:val="20"/>
                <w:szCs w:val="20"/>
                <w:vertAlign w:val="superscript"/>
              </w:rPr>
              <w:t>o</w:t>
            </w:r>
            <w:r>
              <w:rPr>
                <w:noProof/>
                <w:spacing w:val="-8"/>
                <w:sz w:val="20"/>
                <w:szCs w:val="20"/>
              </w:rPr>
              <w:t> 64 de la CEE-ONU. Système de surveillance de la pression des pneumatiques obligatoire pour les véhicules M</w:t>
            </w:r>
            <w:r>
              <w:rPr>
                <w:noProof/>
                <w:spacing w:val="-8"/>
                <w:sz w:val="20"/>
                <w:szCs w:val="20"/>
                <w:vertAlign w:val="subscript"/>
              </w:rPr>
              <w:t>1</w:t>
            </w:r>
            <w:r>
              <w:rPr>
                <w:noProof/>
                <w:spacing w:val="-8"/>
                <w:sz w:val="20"/>
                <w:szCs w:val="20"/>
              </w:rPr>
              <w:t xml:space="preserve"> conformément à l’article 9, paragraphe 2, du règlement (CE) n</w:t>
            </w:r>
            <w:r>
              <w:rPr>
                <w:noProof/>
                <w:spacing w:val="-8"/>
                <w:sz w:val="20"/>
                <w:szCs w:val="20"/>
                <w:vertAlign w:val="superscript"/>
              </w:rPr>
              <w:t>o</w:t>
            </w:r>
            <w:r>
              <w:rPr>
                <w:noProof/>
                <w:spacing w:val="-8"/>
                <w:sz w:val="20"/>
                <w:szCs w:val="20"/>
              </w:rPr>
              <w:t> 661/2009.</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10</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S’applique uniquement aux véhicules équipés d’attelage(s).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11</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S’applique aux véhicules dont la masse en charge maximale techniquement admissible ne dépasse pas 2,5 tonnes.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12</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S’applique uniquement aux véhicules dont le «point de référence de place assise (point "R")» du siège le plus bas n’est pas situé à plus de 700 mm au-dessus du niveau du sol.</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13</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S’applique uniquement lorsque le constructeur demande la réception par type de véhicules destinés au transport de marchandises dangereuses.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14</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S’applique uniquement aux véhicules de catégorie N</w:t>
            </w:r>
            <w:r>
              <w:rPr>
                <w:noProof/>
                <w:spacing w:val="-8"/>
                <w:sz w:val="20"/>
                <w:szCs w:val="20"/>
                <w:vertAlign w:val="subscript"/>
              </w:rPr>
              <w:t>1</w:t>
            </w:r>
            <w:r>
              <w:rPr>
                <w:noProof/>
                <w:spacing w:val="-8"/>
                <w:sz w:val="20"/>
                <w:szCs w:val="20"/>
              </w:rPr>
              <w:t>, classe I (masse de référence ≤ 1 305 kg).</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15</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À la demande du constructeur, une réception par type peut être accordée au titre de cet élément, en lieu et place de réceptions par type au titre de chacun des éléments couverts par le règlement (CE) n</w:t>
            </w:r>
            <w:r>
              <w:rPr>
                <w:noProof/>
                <w:spacing w:val="-8"/>
                <w:sz w:val="20"/>
                <w:szCs w:val="20"/>
                <w:vertAlign w:val="superscript"/>
              </w:rPr>
              <w:t>o</w:t>
            </w:r>
            <w:r>
              <w:rPr>
                <w:noProof/>
                <w:spacing w:val="-8"/>
                <w:sz w:val="20"/>
                <w:szCs w:val="20"/>
              </w:rPr>
              <w:t> 661/2009.</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16</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Le montage d’un système avancé de freinage d’urgence n’est pas requis pour les véhicules à usage spécial, conformément à l’article 1</w:t>
            </w:r>
            <w:r>
              <w:rPr>
                <w:noProof/>
                <w:spacing w:val="-8"/>
                <w:sz w:val="20"/>
                <w:szCs w:val="20"/>
                <w:vertAlign w:val="superscript"/>
              </w:rPr>
              <w:t>er</w:t>
            </w:r>
            <w:r>
              <w:rPr>
                <w:noProof/>
                <w:spacing w:val="-8"/>
                <w:sz w:val="20"/>
                <w:szCs w:val="20"/>
              </w:rPr>
              <w:t xml:space="preserve"> du règlement (UE) n</w:t>
            </w:r>
            <w:r>
              <w:rPr>
                <w:noProof/>
                <w:spacing w:val="-8"/>
                <w:sz w:val="20"/>
                <w:szCs w:val="20"/>
                <w:vertAlign w:val="superscript"/>
              </w:rPr>
              <w:t>o</w:t>
            </w:r>
            <w:r>
              <w:rPr>
                <w:noProof/>
                <w:spacing w:val="-8"/>
                <w:sz w:val="20"/>
                <w:szCs w:val="20"/>
              </w:rPr>
              <w:t> 347/2012.</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t>
            </w:r>
            <w:r>
              <w:rPr>
                <w:noProof/>
                <w:spacing w:val="-8"/>
                <w:sz w:val="20"/>
                <w:szCs w:val="20"/>
                <w:vertAlign w:val="superscript"/>
              </w:rPr>
              <w:t>17</w:t>
            </w:r>
            <w:r>
              <w:rPr>
                <w:noProof/>
                <w:spacing w:val="-8"/>
                <w:sz w:val="20"/>
                <w:szCs w:val="20"/>
              </w:rPr>
              <w:t>)</w:t>
            </w:r>
          </w:p>
        </w:tc>
        <w:tc>
          <w:tcPr>
            <w:tcW w:w="8940" w:type="dxa"/>
            <w:hideMark/>
          </w:tcPr>
          <w:p>
            <w:pPr>
              <w:spacing w:after="0"/>
              <w:ind w:left="1" w:right="569"/>
              <w:rPr>
                <w:rFonts w:eastAsia="Times New Roman"/>
                <w:noProof/>
                <w:spacing w:val="-8"/>
                <w:sz w:val="20"/>
                <w:szCs w:val="20"/>
              </w:rPr>
            </w:pPr>
            <w:r>
              <w:rPr>
                <w:noProof/>
                <w:spacing w:val="-8"/>
                <w:sz w:val="20"/>
                <w:szCs w:val="20"/>
              </w:rPr>
              <w:t>Le montage d’un système d’avertissement de franchissement de ligne n’est pas requis pour les véhicules à usage spécial, conformément à l’article 1</w:t>
            </w:r>
            <w:r>
              <w:rPr>
                <w:noProof/>
                <w:spacing w:val="-8"/>
                <w:sz w:val="20"/>
                <w:szCs w:val="20"/>
                <w:vertAlign w:val="superscript"/>
              </w:rPr>
              <w:t>er</w:t>
            </w:r>
            <w:r>
              <w:rPr>
                <w:noProof/>
                <w:spacing w:val="-8"/>
                <w:sz w:val="20"/>
                <w:szCs w:val="20"/>
              </w:rPr>
              <w:t xml:space="preserve"> du règlement (UE) n</w:t>
            </w:r>
            <w:r>
              <w:rPr>
                <w:noProof/>
                <w:spacing w:val="-8"/>
                <w:sz w:val="20"/>
                <w:szCs w:val="20"/>
                <w:vertAlign w:val="superscript"/>
              </w:rPr>
              <w:t>o</w:t>
            </w:r>
            <w:r>
              <w:rPr>
                <w:noProof/>
                <w:spacing w:val="-8"/>
                <w:sz w:val="20"/>
                <w:szCs w:val="20"/>
              </w:rPr>
              <w:t> 351/2012.</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A</w:t>
            </w:r>
          </w:p>
        </w:tc>
        <w:tc>
          <w:tcPr>
            <w:tcW w:w="8940" w:type="dxa"/>
            <w:hideMark/>
          </w:tcPr>
          <w:p>
            <w:pPr>
              <w:spacing w:after="0"/>
              <w:ind w:left="1" w:right="569"/>
              <w:rPr>
                <w:rFonts w:eastAsia="Times New Roman"/>
                <w:noProof/>
                <w:spacing w:val="-8"/>
                <w:sz w:val="20"/>
                <w:szCs w:val="20"/>
              </w:rPr>
            </w:pPr>
            <w:r>
              <w:rPr>
                <w:noProof/>
                <w:spacing w:val="-8"/>
                <w:sz w:val="20"/>
                <w:szCs w:val="20"/>
              </w:rPr>
              <w:t xml:space="preserve">L’autorité compétente en matière de réception par type ne peut accorder des exemptions que si le constructeur démontre que le véhicule ne peut satisfaire aux prescriptions en raison de son usage spécial. Les exemptions accordées doivent être décrites sur la fiche de réception par type et sur le certificat de conformité du véhicule (remarques – point 52 du certificat de conformité). </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A</w:t>
            </w:r>
            <w:r>
              <w:rPr>
                <w:noProof/>
                <w:spacing w:val="-8"/>
                <w:sz w:val="20"/>
                <w:szCs w:val="20"/>
                <w:vertAlign w:val="subscript"/>
              </w:rPr>
              <w:t>1</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Le montage d’un système ESC n’est pas obligatoire. Dans le cas de réceptions par type multi-étapes, lorsque les modifications apportées à un stade particulier sont susceptibles d’affecter la fonction du système ESC du véhicule de base, le constructeur peut soit désactiver le système, soit démontrer que le véhicule n’a pas été rendu dangereux ou instable. Cette démonstration peut être faite en effectuant des manœuvres rapides de double changement de voie dans chaque direction, à 80 km/h, avec suffisamment d’amplitude pour entraîner l’intervention du système ESC. Ces interventions doivent être bien contrôlées et avoir pour effet d’améliorer la stabilité du véhicule. Le service technique est en droit de demander d’autres essais s’il le juge nécessaire.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B</w:t>
            </w:r>
          </w:p>
        </w:tc>
        <w:tc>
          <w:tcPr>
            <w:tcW w:w="8940" w:type="dxa"/>
            <w:hideMark/>
          </w:tcPr>
          <w:p>
            <w:pPr>
              <w:spacing w:after="0"/>
              <w:ind w:left="1" w:right="569"/>
              <w:rPr>
                <w:rFonts w:eastAsia="Times New Roman"/>
                <w:noProof/>
                <w:spacing w:val="-8"/>
                <w:sz w:val="20"/>
                <w:szCs w:val="20"/>
              </w:rPr>
            </w:pPr>
            <w:r>
              <w:rPr>
                <w:noProof/>
                <w:spacing w:val="-8"/>
                <w:sz w:val="20"/>
                <w:szCs w:val="20"/>
              </w:rPr>
              <w:t>Application limitée aux portes donnant accès aux sièges prévus pour un usage normal lorsque le véhicule est utilisé sur la voie publique et lorsque la distance entre le point R du siège et le plan médian de la surface de la portière, mesurée perpendiculairement au plan longitudinal médian du véhicule, ne dépasse pas 500 mm.</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C</w:t>
            </w:r>
          </w:p>
        </w:tc>
        <w:tc>
          <w:tcPr>
            <w:tcW w:w="8940" w:type="dxa"/>
            <w:hideMark/>
          </w:tcPr>
          <w:p>
            <w:pPr>
              <w:spacing w:after="0"/>
              <w:ind w:left="1" w:right="569"/>
              <w:rPr>
                <w:rFonts w:eastAsia="Times New Roman"/>
                <w:noProof/>
                <w:spacing w:val="-8"/>
                <w:sz w:val="20"/>
                <w:szCs w:val="20"/>
              </w:rPr>
            </w:pPr>
            <w:r>
              <w:rPr>
                <w:noProof/>
                <w:spacing w:val="-8"/>
                <w:sz w:val="20"/>
                <w:szCs w:val="20"/>
              </w:rPr>
              <w:t>Application limitée à la partie du véhicule située devant le siège le plus reculé prévu pour un usage normal lorsque le véhicule est utilisé sur la voie publique, ainsi qu’à la zone d’impact de la tête définie dans l’acte réglementaire concerné.</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D</w:t>
            </w:r>
          </w:p>
        </w:tc>
        <w:tc>
          <w:tcPr>
            <w:tcW w:w="8940" w:type="dxa"/>
            <w:hideMark/>
          </w:tcPr>
          <w:p>
            <w:pPr>
              <w:spacing w:after="0"/>
              <w:ind w:left="1" w:right="569"/>
              <w:rPr>
                <w:rFonts w:eastAsia="Times New Roman"/>
                <w:noProof/>
                <w:spacing w:val="-8"/>
                <w:sz w:val="20"/>
                <w:szCs w:val="20"/>
              </w:rPr>
            </w:pPr>
            <w:r>
              <w:rPr>
                <w:noProof/>
                <w:spacing w:val="-8"/>
                <w:sz w:val="20"/>
                <w:szCs w:val="20"/>
              </w:rPr>
              <w:t>Application limitée aux sièges prévus pour un usage normal lorsque le véhicule est utilisé sur la voie publique. Les sièges non conçus pour être utilisés lorsque le véhicule circule sur la voie publique doivent être clairement signalés aux utilisateurs par un pictogramme ou par un signe accompagné d’un texte approprié. Les prescriptions du règlement n</w:t>
            </w:r>
            <w:r>
              <w:rPr>
                <w:noProof/>
                <w:spacing w:val="-8"/>
                <w:sz w:val="20"/>
                <w:szCs w:val="20"/>
                <w:vertAlign w:val="superscript"/>
              </w:rPr>
              <w:t>o</w:t>
            </w:r>
            <w:r>
              <w:rPr>
                <w:noProof/>
                <w:spacing w:val="-8"/>
                <w:sz w:val="20"/>
                <w:szCs w:val="20"/>
              </w:rPr>
              <w:t xml:space="preserve"> 17 de la CEE-ONU concernant la retenue des bagages ne s’appliquent pas. </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E</w:t>
            </w:r>
          </w:p>
        </w:tc>
        <w:tc>
          <w:tcPr>
            <w:tcW w:w="8940" w:type="dxa"/>
            <w:hideMark/>
          </w:tcPr>
          <w:p>
            <w:pPr>
              <w:spacing w:after="0"/>
              <w:ind w:left="1" w:right="569"/>
              <w:rPr>
                <w:rFonts w:eastAsia="Times New Roman"/>
                <w:noProof/>
                <w:spacing w:val="-8"/>
                <w:sz w:val="20"/>
                <w:szCs w:val="20"/>
              </w:rPr>
            </w:pPr>
            <w:r>
              <w:rPr>
                <w:noProof/>
                <w:spacing w:val="-8"/>
                <w:sz w:val="20"/>
                <w:szCs w:val="20"/>
              </w:rPr>
              <w:t>Avant uniquement.</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F</w:t>
            </w:r>
          </w:p>
        </w:tc>
        <w:tc>
          <w:tcPr>
            <w:tcW w:w="8940" w:type="dxa"/>
            <w:hideMark/>
          </w:tcPr>
          <w:p>
            <w:pPr>
              <w:spacing w:after="0"/>
              <w:ind w:left="1" w:right="569"/>
              <w:rPr>
                <w:rFonts w:eastAsia="Times New Roman"/>
                <w:noProof/>
                <w:spacing w:val="-8"/>
                <w:sz w:val="20"/>
                <w:szCs w:val="20"/>
              </w:rPr>
            </w:pPr>
            <w:r>
              <w:rPr>
                <w:noProof/>
                <w:spacing w:val="-8"/>
                <w:sz w:val="20"/>
                <w:szCs w:val="20"/>
              </w:rPr>
              <w:t>Il est possible de modifier le cheminement et la longueur du conduit d’alimentation et l’emplacement du réservoir à bord du véhicule.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G</w:t>
            </w:r>
          </w:p>
        </w:tc>
        <w:tc>
          <w:tcPr>
            <w:tcW w:w="8940" w:type="dxa"/>
            <w:hideMark/>
          </w:tcPr>
          <w:p>
            <w:pPr>
              <w:spacing w:after="0"/>
              <w:ind w:left="1" w:right="569"/>
              <w:rPr>
                <w:rFonts w:eastAsia="Times New Roman"/>
                <w:noProof/>
                <w:spacing w:val="-8"/>
                <w:sz w:val="20"/>
                <w:szCs w:val="20"/>
              </w:rPr>
            </w:pPr>
            <w:r>
              <w:rPr>
                <w:noProof/>
                <w:spacing w:val="-8"/>
                <w:sz w:val="20"/>
                <w:szCs w:val="20"/>
              </w:rPr>
              <w:t>Dans le cas d’une réception par type multi-étapes, les prescriptions selon la catégorie du véhicule de base/incomplet (dont, par exemple, le châssis qui a été utilisé pour construire le véhicule à usage spécial) peuvent également être utilisées.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H</w:t>
            </w:r>
          </w:p>
        </w:tc>
        <w:tc>
          <w:tcPr>
            <w:tcW w:w="8940" w:type="dxa"/>
            <w:hideMark/>
          </w:tcPr>
          <w:p>
            <w:pPr>
              <w:spacing w:after="0"/>
              <w:ind w:left="1" w:right="569"/>
              <w:rPr>
                <w:rFonts w:eastAsia="Times New Roman"/>
                <w:noProof/>
                <w:spacing w:val="-8"/>
                <w:sz w:val="20"/>
                <w:szCs w:val="20"/>
              </w:rPr>
            </w:pPr>
            <w:r>
              <w:rPr>
                <w:noProof/>
                <w:spacing w:val="-8"/>
                <w:sz w:val="20"/>
                <w:szCs w:val="20"/>
              </w:rPr>
              <w:t>Il est possible de modifier de deux mètres au maximum la longueur du système d’échappement après le dernier silencieux sans procéder à de nouveaux essais.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I</w:t>
            </w:r>
          </w:p>
        </w:tc>
        <w:tc>
          <w:tcPr>
            <w:tcW w:w="8940" w:type="dxa"/>
            <w:hideMark/>
          </w:tcPr>
          <w:p>
            <w:pPr>
              <w:spacing w:after="0"/>
              <w:ind w:left="1" w:right="569"/>
              <w:rPr>
                <w:rFonts w:eastAsia="Times New Roman"/>
                <w:noProof/>
                <w:spacing w:val="-8"/>
                <w:sz w:val="20"/>
                <w:szCs w:val="20"/>
              </w:rPr>
            </w:pPr>
            <w:r>
              <w:rPr>
                <w:noProof/>
                <w:spacing w:val="-8"/>
                <w:sz w:val="20"/>
                <w:szCs w:val="20"/>
              </w:rPr>
              <w:t>Les pneumatiques doivent être réceptionnés par type selon les prescriptions du règlement n</w:t>
            </w:r>
            <w:r>
              <w:rPr>
                <w:noProof/>
                <w:spacing w:val="-8"/>
                <w:sz w:val="20"/>
                <w:szCs w:val="20"/>
                <w:vertAlign w:val="superscript"/>
              </w:rPr>
              <w:t>o</w:t>
            </w:r>
            <w:r>
              <w:rPr>
                <w:noProof/>
                <w:spacing w:val="-8"/>
                <w:sz w:val="20"/>
                <w:szCs w:val="20"/>
              </w:rPr>
              <w:t> 54 de la CEE-ONU, même si la vitesse par construction du véhicule est inférieure à 80 km/h. En accord avec le fabricant des pneumatiques, la capacité de charge peut être ajustée en fonction de la vitesse maximale par construction de la remorque.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J</w:t>
            </w:r>
          </w:p>
        </w:tc>
        <w:tc>
          <w:tcPr>
            <w:tcW w:w="8940" w:type="dxa"/>
            <w:hideMark/>
          </w:tcPr>
          <w:p>
            <w:pPr>
              <w:spacing w:after="0"/>
              <w:ind w:left="1" w:right="569"/>
              <w:rPr>
                <w:rFonts w:eastAsia="Times New Roman"/>
                <w:noProof/>
                <w:spacing w:val="-8"/>
                <w:sz w:val="20"/>
                <w:szCs w:val="20"/>
              </w:rPr>
            </w:pPr>
            <w:r>
              <w:rPr>
                <w:noProof/>
                <w:spacing w:val="-8"/>
                <w:sz w:val="20"/>
                <w:szCs w:val="20"/>
              </w:rPr>
              <w:t>Pour tous les vitrages autres que ceux de la cabine du conducteur (pare-brise et vitrages latéraux), il est possible d’utiliser soit du verre de sécurité, soit du plastique rigide.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K</w:t>
            </w:r>
          </w:p>
        </w:tc>
        <w:tc>
          <w:tcPr>
            <w:tcW w:w="8940" w:type="dxa"/>
            <w:hideMark/>
          </w:tcPr>
          <w:p>
            <w:pPr>
              <w:spacing w:after="0"/>
              <w:ind w:left="1" w:right="569"/>
              <w:rPr>
                <w:rFonts w:eastAsia="Times New Roman"/>
                <w:noProof/>
                <w:spacing w:val="-8"/>
                <w:sz w:val="20"/>
                <w:szCs w:val="20"/>
              </w:rPr>
            </w:pPr>
            <w:r>
              <w:rPr>
                <w:noProof/>
                <w:spacing w:val="-8"/>
                <w:sz w:val="20"/>
                <w:szCs w:val="20"/>
              </w:rPr>
              <w:t>Des dispositifs d’alarme d’urgence supplémentaires sont autorisés.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L</w:t>
            </w:r>
          </w:p>
        </w:tc>
        <w:tc>
          <w:tcPr>
            <w:tcW w:w="8940" w:type="dxa"/>
            <w:hideMark/>
          </w:tcPr>
          <w:p>
            <w:pPr>
              <w:spacing w:after="0"/>
              <w:ind w:left="1" w:right="569"/>
              <w:rPr>
                <w:rFonts w:eastAsia="Times New Roman"/>
                <w:noProof/>
                <w:spacing w:val="-8"/>
                <w:sz w:val="20"/>
                <w:szCs w:val="20"/>
              </w:rPr>
            </w:pPr>
            <w:r>
              <w:rPr>
                <w:noProof/>
                <w:spacing w:val="-8"/>
                <w:sz w:val="20"/>
                <w:szCs w:val="20"/>
              </w:rPr>
              <w:t>Application limitée aux sièges prévus pour un usage normal lorsque le véhicule est utilisé sur la voie publique. Les sièges arrière doivent être au moins munis d’ancrages de ceintures sous-abdominales. Les sièges non conçus pour être utilisés lorsque le véhicule circule sur la voie publique doivent être clairement signalés aux utilisateurs par un pictogramme ou par un signe accompagné d’un texte approprié. Des systèmes de fixation ISOFIX ne sont pas requis sur les ambulances et les corbillards.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M</w:t>
            </w:r>
          </w:p>
        </w:tc>
        <w:tc>
          <w:tcPr>
            <w:tcW w:w="8940" w:type="dxa"/>
            <w:hideMark/>
          </w:tcPr>
          <w:p>
            <w:pPr>
              <w:spacing w:after="0"/>
              <w:ind w:left="1" w:right="569"/>
              <w:rPr>
                <w:rFonts w:eastAsia="Times New Roman"/>
                <w:noProof/>
                <w:spacing w:val="-8"/>
                <w:sz w:val="20"/>
                <w:szCs w:val="20"/>
              </w:rPr>
            </w:pPr>
            <w:r>
              <w:rPr>
                <w:noProof/>
                <w:spacing w:val="-8"/>
                <w:sz w:val="20"/>
                <w:szCs w:val="20"/>
              </w:rPr>
              <w:t>Application limitée aux sièges prévus pour un usage normal lorsque le véhicule est utilisé sur la voie publique. Les sièges arrière doivent être au moins munis de ceintures sous-abdominales. Les sièges non conçus pour être utilisés lorsque le véhicule circule sur la voie publique doivent être clairement signalés aux utilisateurs par un pictogramme ou par un signe accompagné d’un texte approprié. Des systèmes de fixation ISOFIX ne sont pas requis sur les ambulances et les corbillards.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N</w:t>
            </w:r>
          </w:p>
        </w:tc>
        <w:tc>
          <w:tcPr>
            <w:tcW w:w="8940" w:type="dxa"/>
            <w:hideMark/>
          </w:tcPr>
          <w:p>
            <w:pPr>
              <w:spacing w:after="0"/>
              <w:ind w:left="1" w:right="569"/>
              <w:rPr>
                <w:rFonts w:eastAsia="Times New Roman"/>
                <w:noProof/>
                <w:spacing w:val="-8"/>
                <w:sz w:val="20"/>
                <w:szCs w:val="20"/>
              </w:rPr>
            </w:pPr>
            <w:r>
              <w:rPr>
                <w:noProof/>
                <w:spacing w:val="-8"/>
                <w:sz w:val="20"/>
                <w:szCs w:val="20"/>
              </w:rPr>
              <w:t>Sous réserve que tous les dispositifs d’éclairage obligatoires soient installés et que la visibilité géométrique ne soit pas compromise.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Q</w:t>
            </w:r>
          </w:p>
        </w:tc>
        <w:tc>
          <w:tcPr>
            <w:tcW w:w="8940" w:type="dxa"/>
            <w:hideMark/>
          </w:tcPr>
          <w:p>
            <w:pPr>
              <w:spacing w:after="0"/>
              <w:ind w:left="1" w:right="569"/>
              <w:rPr>
                <w:rFonts w:eastAsia="Times New Roman"/>
                <w:noProof/>
                <w:spacing w:val="-8"/>
                <w:sz w:val="20"/>
                <w:szCs w:val="20"/>
              </w:rPr>
            </w:pPr>
            <w:r>
              <w:rPr>
                <w:noProof/>
                <w:spacing w:val="-8"/>
                <w:sz w:val="20"/>
                <w:szCs w:val="20"/>
              </w:rPr>
              <w:t>Il est possible de modifier de deux mètres au maximum la longueur du système d’échappement après le dernier silencieux sans procéder à de nouveaux essais. Une réception UE par type accordée au véhicule de base le plus représentatif reste valable indépendamment des éventuelles modifications du poids de référence.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R</w:t>
            </w:r>
          </w:p>
        </w:tc>
        <w:tc>
          <w:tcPr>
            <w:tcW w:w="8940" w:type="dxa"/>
            <w:hideMark/>
          </w:tcPr>
          <w:p>
            <w:pPr>
              <w:spacing w:after="0"/>
              <w:ind w:left="1" w:right="569"/>
              <w:rPr>
                <w:rFonts w:eastAsia="Times New Roman"/>
                <w:noProof/>
                <w:spacing w:val="-8"/>
                <w:sz w:val="20"/>
                <w:szCs w:val="20"/>
              </w:rPr>
            </w:pPr>
            <w:r>
              <w:rPr>
                <w:noProof/>
                <w:spacing w:val="-8"/>
                <w:sz w:val="20"/>
                <w:szCs w:val="20"/>
              </w:rPr>
              <w:t>Sous réserve que les plaques d’immatriculation de tous les États membres puissent être montées et rester visibles.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S</w:t>
            </w:r>
          </w:p>
        </w:tc>
        <w:tc>
          <w:tcPr>
            <w:tcW w:w="8940" w:type="dxa"/>
            <w:hideMark/>
          </w:tcPr>
          <w:p>
            <w:pPr>
              <w:spacing w:after="0"/>
              <w:ind w:left="1" w:right="569"/>
              <w:rPr>
                <w:rFonts w:eastAsia="Times New Roman"/>
                <w:noProof/>
                <w:spacing w:val="-8"/>
                <w:sz w:val="20"/>
                <w:szCs w:val="20"/>
              </w:rPr>
            </w:pPr>
            <w:r>
              <w:rPr>
                <w:noProof/>
                <w:spacing w:val="-8"/>
                <w:sz w:val="20"/>
                <w:szCs w:val="20"/>
              </w:rPr>
              <w:t>Le facteur de transmission de la lumière est d’au moins 60 % et l’angle d’obstruction du montant «A» ne dépasse pas 10 degrés.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T</w:t>
            </w:r>
          </w:p>
        </w:tc>
        <w:tc>
          <w:tcPr>
            <w:tcW w:w="8940" w:type="dxa"/>
            <w:hideMark/>
          </w:tcPr>
          <w:p>
            <w:pPr>
              <w:spacing w:after="0"/>
              <w:ind w:left="1" w:right="569"/>
              <w:rPr>
                <w:rFonts w:eastAsia="Times New Roman"/>
                <w:noProof/>
                <w:spacing w:val="-8"/>
                <w:sz w:val="20"/>
                <w:szCs w:val="20"/>
              </w:rPr>
            </w:pPr>
            <w:r>
              <w:rPr>
                <w:noProof/>
                <w:spacing w:val="-8"/>
                <w:sz w:val="20"/>
                <w:szCs w:val="20"/>
              </w:rPr>
              <w:t>Essai à réaliser uniquement sur le véhicule complet/complété. Le véhicule peut être soumis à l’essai conformément à la directive 70/157/CEE. En ce qui concerne le point 5.2.2.1 de l’annexe I de la directive 70/157/CEE, les valeurs limites suivantes s’appliquent:</w:t>
            </w:r>
          </w:p>
          <w:tbl>
            <w:tblPr>
              <w:tblW w:w="8196" w:type="dxa"/>
              <w:tblCellSpacing w:w="0" w:type="dxa"/>
              <w:tblInd w:w="1" w:type="dxa"/>
              <w:tblCellMar>
                <w:left w:w="0" w:type="dxa"/>
                <w:right w:w="0" w:type="dxa"/>
              </w:tblCellMar>
              <w:tblLook w:val="04A0" w:firstRow="1" w:lastRow="0" w:firstColumn="1" w:lastColumn="0" w:noHBand="0" w:noVBand="1"/>
            </w:tblPr>
            <w:tblGrid>
              <w:gridCol w:w="561"/>
              <w:gridCol w:w="7635"/>
            </w:tblGrid>
            <w:tr>
              <w:trPr>
                <w:tblCellSpacing w:w="0" w:type="dxa"/>
              </w:trPr>
              <w:tc>
                <w:tcPr>
                  <w:tcW w:w="342" w:type="pct"/>
                  <w:hideMark/>
                </w:tcPr>
                <w:p>
                  <w:pPr>
                    <w:spacing w:after="0"/>
                    <w:ind w:right="327"/>
                    <w:rPr>
                      <w:rFonts w:eastAsia="Times New Roman"/>
                      <w:noProof/>
                      <w:spacing w:val="-8"/>
                      <w:sz w:val="20"/>
                      <w:szCs w:val="20"/>
                    </w:rPr>
                  </w:pPr>
                  <w:r>
                    <w:rPr>
                      <w:noProof/>
                      <w:spacing w:val="-8"/>
                      <w:sz w:val="20"/>
                      <w:szCs w:val="20"/>
                    </w:rPr>
                    <w:t>a)</w:t>
                  </w:r>
                </w:p>
              </w:tc>
              <w:tc>
                <w:tcPr>
                  <w:tcW w:w="4658" w:type="pct"/>
                  <w:hideMark/>
                </w:tcPr>
                <w:p>
                  <w:pPr>
                    <w:spacing w:after="0"/>
                    <w:rPr>
                      <w:rFonts w:eastAsia="Times New Roman"/>
                      <w:noProof/>
                      <w:spacing w:val="-8"/>
                      <w:sz w:val="20"/>
                      <w:szCs w:val="20"/>
                    </w:rPr>
                  </w:pPr>
                  <w:r>
                    <w:rPr>
                      <w:noProof/>
                      <w:spacing w:val="-8"/>
                      <w:sz w:val="20"/>
                      <w:szCs w:val="20"/>
                    </w:rPr>
                    <w:t>81 dB(A) pour les véhicules dont le moteur a une puissance inférieure à 75 kW;</w:t>
                  </w:r>
                </w:p>
              </w:tc>
            </w:tr>
            <w:tr>
              <w:trPr>
                <w:tblCellSpacing w:w="0" w:type="dxa"/>
              </w:trPr>
              <w:tc>
                <w:tcPr>
                  <w:tcW w:w="342" w:type="pct"/>
                  <w:hideMark/>
                </w:tcPr>
                <w:p>
                  <w:pPr>
                    <w:spacing w:after="0"/>
                    <w:ind w:right="338"/>
                    <w:rPr>
                      <w:rFonts w:eastAsia="Times New Roman"/>
                      <w:noProof/>
                      <w:spacing w:val="-8"/>
                      <w:sz w:val="20"/>
                      <w:szCs w:val="20"/>
                    </w:rPr>
                  </w:pPr>
                  <w:r>
                    <w:rPr>
                      <w:noProof/>
                      <w:spacing w:val="-8"/>
                      <w:sz w:val="20"/>
                      <w:szCs w:val="20"/>
                    </w:rPr>
                    <w:t>b)</w:t>
                  </w:r>
                </w:p>
              </w:tc>
              <w:tc>
                <w:tcPr>
                  <w:tcW w:w="4658" w:type="pct"/>
                  <w:hideMark/>
                </w:tcPr>
                <w:p>
                  <w:pPr>
                    <w:spacing w:after="0"/>
                    <w:rPr>
                      <w:rFonts w:eastAsia="Times New Roman"/>
                      <w:noProof/>
                      <w:spacing w:val="-8"/>
                      <w:sz w:val="20"/>
                      <w:szCs w:val="20"/>
                    </w:rPr>
                  </w:pPr>
                  <w:r>
                    <w:rPr>
                      <w:noProof/>
                      <w:spacing w:val="-8"/>
                      <w:sz w:val="20"/>
                      <w:szCs w:val="20"/>
                    </w:rPr>
                    <w:t>83 dB(A) pour les véhicules dont le moteur a une puissance comprise entre 75 kW et 150 kW;</w:t>
                  </w:r>
                </w:p>
              </w:tc>
            </w:tr>
            <w:tr>
              <w:trPr>
                <w:tblCellSpacing w:w="0" w:type="dxa"/>
              </w:trPr>
              <w:tc>
                <w:tcPr>
                  <w:tcW w:w="342" w:type="pct"/>
                  <w:hideMark/>
                </w:tcPr>
                <w:p>
                  <w:pPr>
                    <w:spacing w:after="0"/>
                    <w:ind w:right="327"/>
                    <w:rPr>
                      <w:rFonts w:eastAsia="Times New Roman"/>
                      <w:noProof/>
                      <w:spacing w:val="-8"/>
                      <w:sz w:val="20"/>
                      <w:szCs w:val="20"/>
                    </w:rPr>
                  </w:pPr>
                  <w:r>
                    <w:rPr>
                      <w:noProof/>
                      <w:spacing w:val="-8"/>
                      <w:sz w:val="20"/>
                      <w:szCs w:val="20"/>
                    </w:rPr>
                    <w:t>c)</w:t>
                  </w:r>
                </w:p>
              </w:tc>
              <w:tc>
                <w:tcPr>
                  <w:tcW w:w="4658" w:type="pct"/>
                  <w:hideMark/>
                </w:tcPr>
                <w:p>
                  <w:pPr>
                    <w:spacing w:after="0"/>
                    <w:rPr>
                      <w:rFonts w:eastAsia="Times New Roman"/>
                      <w:noProof/>
                      <w:spacing w:val="-8"/>
                      <w:sz w:val="20"/>
                      <w:szCs w:val="20"/>
                    </w:rPr>
                  </w:pPr>
                  <w:r>
                    <w:rPr>
                      <w:noProof/>
                      <w:spacing w:val="-8"/>
                      <w:sz w:val="20"/>
                      <w:szCs w:val="20"/>
                    </w:rPr>
                    <w:t>84 dB(A) pour les véhicules dont le moteur a une puissance de 150 kW ou plus.</w:t>
                  </w:r>
                </w:p>
              </w:tc>
            </w:tr>
          </w:tbl>
          <w:p>
            <w:pPr>
              <w:spacing w:after="0"/>
              <w:ind w:left="1" w:right="569"/>
              <w:rPr>
                <w:rFonts w:eastAsia="Times New Roman"/>
                <w:noProof/>
                <w:spacing w:val="-8"/>
                <w:sz w:val="20"/>
                <w:szCs w:val="20"/>
              </w:rPr>
            </w:pPr>
          </w:p>
        </w:tc>
      </w:tr>
      <w:tr>
        <w:trPr>
          <w:cantSplit/>
          <w:tblCellSpacing w:w="0" w:type="dxa"/>
        </w:trPr>
        <w:tc>
          <w:tcPr>
            <w:tcW w:w="840" w:type="dxa"/>
            <w:hideMark/>
          </w:tcPr>
          <w:p>
            <w:pPr>
              <w:spacing w:after="0"/>
              <w:rPr>
                <w:rFonts w:eastAsia="Times New Roman"/>
                <w:noProof/>
                <w:spacing w:val="-8"/>
                <w:sz w:val="20"/>
                <w:szCs w:val="20"/>
              </w:rPr>
            </w:pPr>
            <w:r>
              <w:rPr>
                <w:noProof/>
                <w:spacing w:val="-8"/>
                <w:sz w:val="20"/>
                <w:szCs w:val="20"/>
              </w:rPr>
              <w:t>U</w:t>
            </w:r>
          </w:p>
        </w:tc>
        <w:tc>
          <w:tcPr>
            <w:tcW w:w="8940" w:type="dxa"/>
            <w:hideMark/>
          </w:tcPr>
          <w:p>
            <w:pPr>
              <w:spacing w:after="0"/>
              <w:ind w:left="1" w:right="569"/>
              <w:rPr>
                <w:rFonts w:eastAsia="Times New Roman"/>
                <w:noProof/>
                <w:spacing w:val="-8"/>
                <w:sz w:val="20"/>
                <w:szCs w:val="20"/>
              </w:rPr>
            </w:pPr>
            <w:r>
              <w:rPr>
                <w:noProof/>
                <w:spacing w:val="-8"/>
                <w:sz w:val="20"/>
                <w:szCs w:val="20"/>
              </w:rPr>
              <w:t>Essai à réaliser uniquement sur le véhicule complet/complété. Les véhicules ayant 4 essieux ou moins doivent satisfaire à l’ensemble des prescriptions énoncées dans les actes réglementaires concernés. Des dérogations sont admises pour les véhicules comportant plus de quatre essieux, à condition:</w:t>
            </w:r>
          </w:p>
          <w:tbl>
            <w:tblPr>
              <w:tblW w:w="8412" w:type="dxa"/>
              <w:tblCellSpacing w:w="0" w:type="dxa"/>
              <w:tblInd w:w="1" w:type="dxa"/>
              <w:tblCellMar>
                <w:left w:w="0" w:type="dxa"/>
                <w:right w:w="0" w:type="dxa"/>
              </w:tblCellMar>
              <w:tblLook w:val="04A0" w:firstRow="1" w:lastRow="0" w:firstColumn="1" w:lastColumn="0" w:noHBand="0" w:noVBand="1"/>
            </w:tblPr>
            <w:tblGrid>
              <w:gridCol w:w="604"/>
              <w:gridCol w:w="7808"/>
            </w:tblGrid>
            <w:tr>
              <w:trPr>
                <w:tblCellSpacing w:w="0" w:type="dxa"/>
              </w:trPr>
              <w:tc>
                <w:tcPr>
                  <w:tcW w:w="604" w:type="dxa"/>
                  <w:hideMark/>
                </w:tcPr>
                <w:p>
                  <w:pPr>
                    <w:tabs>
                      <w:tab w:val="left" w:pos="-1436"/>
                    </w:tabs>
                    <w:spacing w:after="0"/>
                    <w:ind w:right="361"/>
                    <w:rPr>
                      <w:rFonts w:eastAsia="Times New Roman"/>
                      <w:noProof/>
                      <w:spacing w:val="-8"/>
                      <w:sz w:val="20"/>
                      <w:szCs w:val="20"/>
                    </w:rPr>
                  </w:pPr>
                  <w:r>
                    <w:rPr>
                      <w:noProof/>
                      <w:spacing w:val="-8"/>
                      <w:sz w:val="20"/>
                      <w:szCs w:val="20"/>
                    </w:rPr>
                    <w:t>a)</w:t>
                  </w:r>
                </w:p>
              </w:tc>
              <w:tc>
                <w:tcPr>
                  <w:tcW w:w="7808" w:type="dxa"/>
                  <w:hideMark/>
                </w:tcPr>
                <w:p>
                  <w:pPr>
                    <w:spacing w:after="0"/>
                    <w:ind w:right="569"/>
                    <w:rPr>
                      <w:rFonts w:eastAsia="Times New Roman"/>
                      <w:noProof/>
                      <w:spacing w:val="-8"/>
                      <w:sz w:val="20"/>
                      <w:szCs w:val="20"/>
                    </w:rPr>
                  </w:pPr>
                  <w:r>
                    <w:rPr>
                      <w:noProof/>
                      <w:spacing w:val="-8"/>
                      <w:sz w:val="20"/>
                      <w:szCs w:val="20"/>
                    </w:rPr>
                    <w:t>qu’elles soient justifiées par les particularités de la construction de ces véhicules;</w:t>
                  </w:r>
                </w:p>
              </w:tc>
            </w:tr>
            <w:tr>
              <w:trPr>
                <w:tblCellSpacing w:w="0" w:type="dxa"/>
              </w:trPr>
              <w:tc>
                <w:tcPr>
                  <w:tcW w:w="604" w:type="dxa"/>
                  <w:hideMark/>
                </w:tcPr>
                <w:p>
                  <w:pPr>
                    <w:tabs>
                      <w:tab w:val="left" w:pos="0"/>
                    </w:tabs>
                    <w:spacing w:after="0"/>
                    <w:ind w:right="361"/>
                    <w:rPr>
                      <w:rFonts w:eastAsia="Times New Roman"/>
                      <w:noProof/>
                      <w:spacing w:val="-8"/>
                      <w:sz w:val="20"/>
                      <w:szCs w:val="20"/>
                    </w:rPr>
                  </w:pPr>
                  <w:r>
                    <w:rPr>
                      <w:noProof/>
                      <w:spacing w:val="-8"/>
                      <w:sz w:val="20"/>
                      <w:szCs w:val="20"/>
                    </w:rPr>
                    <w:t>b)</w:t>
                  </w:r>
                </w:p>
              </w:tc>
              <w:tc>
                <w:tcPr>
                  <w:tcW w:w="7808" w:type="dxa"/>
                  <w:hideMark/>
                </w:tcPr>
                <w:p>
                  <w:pPr>
                    <w:spacing w:after="0"/>
                    <w:ind w:right="569"/>
                    <w:rPr>
                      <w:rFonts w:eastAsia="Times New Roman"/>
                      <w:noProof/>
                      <w:spacing w:val="-8"/>
                      <w:sz w:val="20"/>
                      <w:szCs w:val="20"/>
                    </w:rPr>
                  </w:pPr>
                  <w:r>
                    <w:rPr>
                      <w:noProof/>
                      <w:spacing w:val="-8"/>
                      <w:sz w:val="20"/>
                      <w:szCs w:val="20"/>
                    </w:rPr>
                    <w:t>que les performances de freinage prescrites par l’acte réglementaire concerné pour les freins de stationnement, de service et auxiliaire soient respectées.</w:t>
                  </w:r>
                </w:p>
              </w:tc>
            </w:tr>
          </w:tbl>
          <w:p>
            <w:pPr>
              <w:spacing w:after="0"/>
              <w:ind w:left="1" w:right="569"/>
              <w:rPr>
                <w:rFonts w:eastAsia="Times New Roman"/>
                <w:noProof/>
                <w:spacing w:val="-8"/>
                <w:sz w:val="20"/>
                <w:szCs w:val="20"/>
              </w:rPr>
            </w:pP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U</w:t>
            </w:r>
            <w:r>
              <w:rPr>
                <w:noProof/>
                <w:spacing w:val="-8"/>
                <w:sz w:val="20"/>
                <w:szCs w:val="20"/>
                <w:vertAlign w:val="subscript"/>
              </w:rPr>
              <w:t>1</w:t>
            </w:r>
            <w:r>
              <w:rPr>
                <w:noProof/>
                <w:spacing w:val="-8"/>
                <w:sz w:val="20"/>
                <w:szCs w:val="20"/>
              </w:rPr>
              <w:t xml:space="preserve"> </w:t>
            </w:r>
          </w:p>
        </w:tc>
        <w:tc>
          <w:tcPr>
            <w:tcW w:w="8940" w:type="dxa"/>
            <w:hideMark/>
          </w:tcPr>
          <w:p>
            <w:pPr>
              <w:spacing w:after="0"/>
              <w:ind w:left="1"/>
              <w:rPr>
                <w:rFonts w:eastAsia="Times New Roman"/>
                <w:noProof/>
                <w:spacing w:val="-8"/>
                <w:sz w:val="20"/>
                <w:szCs w:val="20"/>
              </w:rPr>
            </w:pPr>
            <w:r>
              <w:rPr>
                <w:noProof/>
                <w:spacing w:val="-8"/>
                <w:sz w:val="20"/>
                <w:szCs w:val="20"/>
              </w:rPr>
              <w:t>L’ABS n’est pas obligatoire pour les véhicules à entraînement hydrostatique.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V</w:t>
            </w:r>
          </w:p>
        </w:tc>
        <w:tc>
          <w:tcPr>
            <w:tcW w:w="8940" w:type="dxa"/>
            <w:hideMark/>
          </w:tcPr>
          <w:p>
            <w:pPr>
              <w:spacing w:after="0"/>
              <w:ind w:left="1"/>
              <w:rPr>
                <w:rFonts w:eastAsia="Times New Roman"/>
                <w:noProof/>
                <w:spacing w:val="-8"/>
                <w:sz w:val="20"/>
                <w:szCs w:val="20"/>
              </w:rPr>
            </w:pPr>
            <w:r>
              <w:rPr>
                <w:noProof/>
                <w:spacing w:val="-8"/>
                <w:sz w:val="20"/>
                <w:szCs w:val="20"/>
              </w:rPr>
              <w:t>À titre d’alternative, la directive 97/68/CE peut également être appliquée.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V</w:t>
            </w:r>
            <w:r>
              <w:rPr>
                <w:noProof/>
                <w:spacing w:val="-8"/>
                <w:sz w:val="20"/>
                <w:szCs w:val="20"/>
                <w:vertAlign w:val="subscript"/>
              </w:rPr>
              <w:t>1</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À titre d’alternative, la directive 97/68/CE peut également être appliquée aux véhicules à entraînement hydrostatique.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w:t>
            </w:r>
            <w:r>
              <w:rPr>
                <w:noProof/>
                <w:spacing w:val="-8"/>
                <w:sz w:val="20"/>
                <w:szCs w:val="20"/>
                <w:vertAlign w:val="subscript"/>
              </w:rPr>
              <w:t>0</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La modification de la longueur du système d’échappement est permise sans nouvel essai pour autant que la contre-pression soit similaire. Si un nouvel essai est requis, un dépassement de 2 dB(A) de la limite applicable est autorisé.</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w:t>
            </w:r>
            <w:r>
              <w:rPr>
                <w:noProof/>
                <w:spacing w:val="-8"/>
                <w:sz w:val="20"/>
                <w:szCs w:val="20"/>
                <w:vertAlign w:val="subscript"/>
              </w:rPr>
              <w:t>1</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La modification du système d’échappement est permise sans aucun nouvel essai concernant les émissions d’échappement et le rapport CO</w:t>
            </w:r>
            <w:r>
              <w:rPr>
                <w:noProof/>
                <w:spacing w:val="-8"/>
                <w:sz w:val="20"/>
                <w:szCs w:val="20"/>
                <w:vertAlign w:val="subscript"/>
              </w:rPr>
              <w:t>2</w:t>
            </w:r>
            <w:r>
              <w:rPr>
                <w:noProof/>
                <w:spacing w:val="-8"/>
                <w:sz w:val="20"/>
                <w:szCs w:val="20"/>
              </w:rPr>
              <w:t>/consommation de carburant, pour autant que les dispositifs de contrôle des émissions, y compris les filtres à particules (le cas échéant), ne soient pas affectés. Si les dispositifs de lutte contre l’évaporation sont conservés tels qu’installés par le constructeur du véhicule de base, aucun nouvel essai relatif aux émissions par évaporation n’est exigé sur le véhicule modifié.</w:t>
            </w:r>
          </w:p>
          <w:p>
            <w:pPr>
              <w:spacing w:after="0"/>
              <w:ind w:left="1" w:right="569"/>
              <w:rPr>
                <w:rFonts w:eastAsia="Times New Roman"/>
                <w:noProof/>
                <w:spacing w:val="-8"/>
                <w:sz w:val="20"/>
                <w:szCs w:val="20"/>
              </w:rPr>
            </w:pPr>
            <w:r>
              <w:rPr>
                <w:noProof/>
                <w:spacing w:val="-8"/>
                <w:sz w:val="20"/>
                <w:szCs w:val="20"/>
              </w:rPr>
              <w:t>Une réception UE par type accordée au véhicule de base le plus représentatif reste valable indépendamment des éventuelles modifications de la masse de référence.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w:t>
            </w:r>
            <w:r>
              <w:rPr>
                <w:noProof/>
                <w:spacing w:val="-8"/>
                <w:sz w:val="20"/>
                <w:szCs w:val="20"/>
                <w:vertAlign w:val="subscript"/>
              </w:rPr>
              <w:t>2</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Il est permis de modifier sans nouvel essai le cheminement et la longueur du conduit d’alimentation, des durites et des canalisations de vapeur du carburant. Le déplacement du réservoir de carburant d’origine est autorisé pour autant que toutes les prescriptions soient satisfaites. Toutefois, de nouveaux essais selon l’annexe 5 du règlement n</w:t>
            </w:r>
            <w:r>
              <w:rPr>
                <w:noProof/>
                <w:spacing w:val="-8"/>
                <w:sz w:val="20"/>
                <w:szCs w:val="20"/>
                <w:vertAlign w:val="superscript"/>
              </w:rPr>
              <w:t>o</w:t>
            </w:r>
            <w:r>
              <w:rPr>
                <w:noProof/>
                <w:spacing w:val="-8"/>
                <w:sz w:val="20"/>
                <w:szCs w:val="20"/>
              </w:rPr>
              <w:t> 34 de la CEE-ONU ne sont pas requis.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w:t>
            </w:r>
            <w:r>
              <w:rPr>
                <w:noProof/>
                <w:spacing w:val="-8"/>
                <w:sz w:val="20"/>
                <w:szCs w:val="20"/>
                <w:vertAlign w:val="subscript"/>
              </w:rPr>
              <w:t>3</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Le plan longitudinal de la position de route prévue des fauteuils roulants doit être parallèle au plan longitudinal du véhicule.</w:t>
            </w:r>
          </w:p>
          <w:p>
            <w:pPr>
              <w:spacing w:after="0"/>
              <w:ind w:left="1" w:right="569"/>
              <w:rPr>
                <w:rFonts w:eastAsia="Times New Roman"/>
                <w:noProof/>
                <w:spacing w:val="-8"/>
                <w:sz w:val="20"/>
                <w:szCs w:val="20"/>
              </w:rPr>
            </w:pPr>
            <w:r>
              <w:rPr>
                <w:noProof/>
                <w:spacing w:val="-8"/>
                <w:sz w:val="20"/>
                <w:szCs w:val="20"/>
              </w:rPr>
              <w:t>Des informations appropriées ayant pour objet de recommander l’utilisation d’un fauteuil roulant doté d’une structure satisfaisant aux prescriptions de la partie concernée de la norme ISO 7176-19:2008, de sorte que ce fauteuil résiste aux forces transmises par le mécanisme d’arrimage durant les différentes conditions de conduite, doivent être communiquées au propriétaire du véhicule.</w:t>
            </w:r>
          </w:p>
          <w:p>
            <w:pPr>
              <w:spacing w:after="0"/>
              <w:ind w:left="1" w:right="569"/>
              <w:rPr>
                <w:rFonts w:eastAsia="Times New Roman"/>
                <w:noProof/>
                <w:spacing w:val="-8"/>
                <w:sz w:val="20"/>
                <w:szCs w:val="20"/>
              </w:rPr>
            </w:pPr>
            <w:r>
              <w:rPr>
                <w:noProof/>
                <w:spacing w:val="-8"/>
                <w:sz w:val="20"/>
                <w:szCs w:val="20"/>
              </w:rPr>
              <w:t>Les sièges du véhicule peuvent être adaptés sans nouvel essai, pour autant qu’il puisse être démontré au service technique que leurs ancrages, mécanismes et appuie-tête offrent le même niveau de performance.</w:t>
            </w:r>
          </w:p>
          <w:p>
            <w:pPr>
              <w:spacing w:after="0"/>
              <w:ind w:left="1" w:right="569"/>
              <w:rPr>
                <w:rFonts w:eastAsia="Times New Roman"/>
                <w:noProof/>
                <w:spacing w:val="-8"/>
                <w:sz w:val="20"/>
                <w:szCs w:val="20"/>
              </w:rPr>
            </w:pPr>
            <w:r>
              <w:rPr>
                <w:noProof/>
                <w:spacing w:val="-8"/>
                <w:sz w:val="20"/>
                <w:szCs w:val="20"/>
              </w:rPr>
              <w:t>Les prescriptions du règlement n</w:t>
            </w:r>
            <w:r>
              <w:rPr>
                <w:noProof/>
                <w:spacing w:val="-8"/>
                <w:sz w:val="20"/>
                <w:szCs w:val="20"/>
                <w:vertAlign w:val="superscript"/>
              </w:rPr>
              <w:t>o</w:t>
            </w:r>
            <w:r>
              <w:rPr>
                <w:noProof/>
                <w:spacing w:val="-8"/>
                <w:sz w:val="20"/>
                <w:szCs w:val="20"/>
              </w:rPr>
              <w:t> 17 de la CEE-ONU concernant la retenue des bagages ne s’appliquent pas.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w:t>
            </w:r>
            <w:r>
              <w:rPr>
                <w:noProof/>
                <w:spacing w:val="-8"/>
                <w:sz w:val="20"/>
                <w:szCs w:val="20"/>
                <w:vertAlign w:val="subscript"/>
              </w:rPr>
              <w:t>4</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La conformité aux actes réglementaires applicables est requise en ce qui concerne les dispositifs d’aide à l’embarquement, lorsqu’ils sont en position de repos.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w:t>
            </w:r>
            <w:r>
              <w:rPr>
                <w:noProof/>
                <w:spacing w:val="-8"/>
                <w:sz w:val="20"/>
                <w:szCs w:val="20"/>
                <w:vertAlign w:val="subscript"/>
              </w:rPr>
              <w:t>5</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Chaque emplacement de fauteuil roulant doit être pourvu d’ancrages auxquels doit être fixé un système d’arrimage du fauteuil roulant et de retenue de son occupant (WTORS) et qui satisfont aux prescriptions supplémentaires, figurant dans l’appendice 3, pour l’essai du système d’arrimage du fauteuil roulant et de retenue de son occupant.</w:t>
            </w:r>
          </w:p>
        </w:tc>
      </w:tr>
      <w:tr>
        <w:trPr>
          <w:cantSplit/>
          <w:tblCellSpacing w:w="0" w:type="dxa"/>
        </w:trPr>
        <w:tc>
          <w:tcPr>
            <w:tcW w:w="840" w:type="dxa"/>
            <w:hideMark/>
          </w:tcPr>
          <w:p>
            <w:pPr>
              <w:spacing w:after="0"/>
              <w:rPr>
                <w:rFonts w:eastAsia="Times New Roman"/>
                <w:noProof/>
                <w:spacing w:val="-8"/>
                <w:sz w:val="20"/>
                <w:szCs w:val="20"/>
              </w:rPr>
            </w:pPr>
            <w:r>
              <w:rPr>
                <w:noProof/>
                <w:spacing w:val="-8"/>
                <w:sz w:val="20"/>
                <w:szCs w:val="20"/>
              </w:rPr>
              <w:t>W</w:t>
            </w:r>
            <w:r>
              <w:rPr>
                <w:noProof/>
                <w:spacing w:val="-8"/>
                <w:sz w:val="20"/>
                <w:szCs w:val="20"/>
                <w:vertAlign w:val="subscript"/>
              </w:rPr>
              <w:t>6</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Chaque emplacement de fauteuil roulant doit être pourvu d’une ceinture de retenue de l’occupant qui satisfait aux prescriptions supplémentaires, figurant dans l’appendice 3, pour l’essai du système d’arrimage du fauteuil roulant et de retenue de son occupant.</w:t>
            </w:r>
          </w:p>
          <w:p>
            <w:pPr>
              <w:spacing w:after="0"/>
              <w:ind w:left="1" w:right="569"/>
              <w:rPr>
                <w:rFonts w:eastAsia="Times New Roman"/>
                <w:noProof/>
                <w:spacing w:val="-8"/>
                <w:sz w:val="20"/>
                <w:szCs w:val="20"/>
              </w:rPr>
            </w:pPr>
            <w:r>
              <w:rPr>
                <w:noProof/>
                <w:spacing w:val="-8"/>
                <w:sz w:val="20"/>
                <w:szCs w:val="20"/>
              </w:rPr>
              <w:t>Si, en raison de la conversion du véhicule, les points d’ancrage des ceintures de sécurité doivent être déplacés au-delà de la tolérance prévue au paragraphe 7.7.1 du règlement n</w:t>
            </w:r>
            <w:r>
              <w:rPr>
                <w:noProof/>
                <w:spacing w:val="-8"/>
                <w:sz w:val="20"/>
                <w:szCs w:val="20"/>
                <w:vertAlign w:val="superscript"/>
              </w:rPr>
              <w:t>o</w:t>
            </w:r>
            <w:r>
              <w:rPr>
                <w:noProof/>
                <w:spacing w:val="-8"/>
                <w:sz w:val="20"/>
                <w:szCs w:val="20"/>
              </w:rPr>
              <w:t> 16-06 de la CEE-ONU, le service technique examine si le changement constitue, ou non, une détérioration. Dans l’affirmative, l’essai prévu au paragraphe 7.7.1 du règlement n</w:t>
            </w:r>
            <w:r>
              <w:rPr>
                <w:noProof/>
                <w:spacing w:val="-8"/>
                <w:sz w:val="20"/>
                <w:szCs w:val="20"/>
                <w:vertAlign w:val="superscript"/>
              </w:rPr>
              <w:t>o</w:t>
            </w:r>
            <w:r>
              <w:rPr>
                <w:noProof/>
                <w:spacing w:val="-8"/>
                <w:sz w:val="20"/>
                <w:szCs w:val="20"/>
              </w:rPr>
              <w:t> 16-06 de la CEE-ONU doit être effectué. Une extension de la réception UE par type n’est pas nécessaire. L’essai peut être réalisé en utilisant des composants qui n’ont pas subi l’essai de conditionnement prescrit par le règlement n</w:t>
            </w:r>
            <w:r>
              <w:rPr>
                <w:noProof/>
                <w:spacing w:val="-8"/>
                <w:sz w:val="20"/>
                <w:szCs w:val="20"/>
                <w:vertAlign w:val="superscript"/>
              </w:rPr>
              <w:t>o</w:t>
            </w:r>
            <w:r>
              <w:rPr>
                <w:noProof/>
                <w:spacing w:val="-8"/>
                <w:sz w:val="20"/>
                <w:szCs w:val="20"/>
              </w:rPr>
              <w:t> 16-06 de la CEE-ONU.</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W</w:t>
            </w:r>
            <w:r>
              <w:rPr>
                <w:noProof/>
                <w:spacing w:val="-8"/>
                <w:sz w:val="20"/>
                <w:szCs w:val="20"/>
                <w:vertAlign w:val="subscript"/>
              </w:rPr>
              <w:t>8</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Pour les calculs, la masse du fauteuil roulant et de son occupant est supposée être de 160 kg. La masse doit être concentrée au point P du fauteuil de référence dans sa position de route déclarée par le constructeur.</w:t>
            </w:r>
          </w:p>
          <w:p>
            <w:pPr>
              <w:spacing w:after="0"/>
              <w:ind w:left="1" w:right="569"/>
              <w:rPr>
                <w:rFonts w:eastAsia="Times New Roman"/>
                <w:noProof/>
                <w:spacing w:val="-8"/>
                <w:sz w:val="20"/>
                <w:szCs w:val="20"/>
              </w:rPr>
            </w:pPr>
            <w:r>
              <w:rPr>
                <w:noProof/>
                <w:spacing w:val="-8"/>
                <w:sz w:val="20"/>
                <w:szCs w:val="20"/>
              </w:rPr>
              <w:t xml:space="preserve">Toute limitation du nombre de passagers résultant de l’utilisation de fauteuils roulants doit être mentionnée dans le manuel du propriétaire, à la page 2 de la fiche de réception UE par type et dans le certificat de conformité (section «Remarques»). </w:t>
            </w:r>
          </w:p>
        </w:tc>
      </w:tr>
      <w:tr>
        <w:trPr>
          <w:tblCellSpacing w:w="0" w:type="dxa"/>
        </w:trPr>
        <w:tc>
          <w:tcPr>
            <w:tcW w:w="840" w:type="dxa"/>
          </w:tcPr>
          <w:p>
            <w:pPr>
              <w:spacing w:after="0"/>
              <w:rPr>
                <w:rFonts w:eastAsia="Times New Roman"/>
                <w:noProof/>
                <w:spacing w:val="-8"/>
                <w:sz w:val="20"/>
                <w:szCs w:val="20"/>
              </w:rPr>
            </w:pPr>
            <w:r>
              <w:rPr>
                <w:noProof/>
                <w:spacing w:val="-8"/>
                <w:sz w:val="20"/>
                <w:szCs w:val="20"/>
              </w:rPr>
              <w:t>W</w:t>
            </w:r>
            <w:r>
              <w:rPr>
                <w:noProof/>
                <w:spacing w:val="-8"/>
                <w:sz w:val="20"/>
                <w:szCs w:val="20"/>
                <w:vertAlign w:val="subscript"/>
              </w:rPr>
              <w:t>9</w:t>
            </w:r>
          </w:p>
        </w:tc>
        <w:tc>
          <w:tcPr>
            <w:tcW w:w="8940" w:type="dxa"/>
          </w:tcPr>
          <w:p>
            <w:pPr>
              <w:spacing w:after="0"/>
              <w:ind w:left="1" w:right="569"/>
              <w:rPr>
                <w:rFonts w:eastAsia="Times New Roman"/>
                <w:noProof/>
                <w:spacing w:val="-8"/>
                <w:sz w:val="20"/>
                <w:szCs w:val="20"/>
              </w:rPr>
            </w:pPr>
            <w:r>
              <w:rPr>
                <w:noProof/>
                <w:spacing w:val="-8"/>
                <w:sz w:val="20"/>
                <w:szCs w:val="20"/>
              </w:rPr>
              <w:t>La modification de la longueur du système d’échappement est permise sans nouvel essai, pour autant que la contre-pression reste similaire.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Y</w:t>
            </w:r>
          </w:p>
        </w:tc>
        <w:tc>
          <w:tcPr>
            <w:tcW w:w="8940" w:type="dxa"/>
            <w:hideMark/>
          </w:tcPr>
          <w:p>
            <w:pPr>
              <w:spacing w:after="0"/>
              <w:ind w:left="1" w:right="569"/>
              <w:rPr>
                <w:rFonts w:eastAsia="Times New Roman"/>
                <w:noProof/>
                <w:spacing w:val="-8"/>
                <w:sz w:val="20"/>
                <w:szCs w:val="20"/>
              </w:rPr>
            </w:pPr>
            <w:r>
              <w:rPr>
                <w:noProof/>
                <w:spacing w:val="-8"/>
                <w:sz w:val="20"/>
                <w:szCs w:val="20"/>
              </w:rPr>
              <w:t>Sous réserve que tous les dispositifs d’éclairage obligatoires soient installés.</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Z</w:t>
            </w:r>
          </w:p>
        </w:tc>
        <w:tc>
          <w:tcPr>
            <w:tcW w:w="8940" w:type="dxa"/>
            <w:hideMark/>
          </w:tcPr>
          <w:p>
            <w:pPr>
              <w:spacing w:after="0"/>
              <w:ind w:left="1" w:right="569"/>
              <w:rPr>
                <w:rFonts w:eastAsia="Times New Roman"/>
                <w:noProof/>
                <w:spacing w:val="-8"/>
                <w:sz w:val="20"/>
                <w:szCs w:val="20"/>
              </w:rPr>
            </w:pPr>
            <w:r>
              <w:rPr>
                <w:noProof/>
                <w:spacing w:val="-8"/>
                <w:sz w:val="20"/>
                <w:szCs w:val="20"/>
              </w:rPr>
              <w:t>Les prescriptions concernant la saillie des fenêtres ouvertes ne s’appliquent pas au compartiment habitable.</w:t>
            </w:r>
          </w:p>
        </w:tc>
      </w:tr>
      <w:tr>
        <w:trPr>
          <w:tblCellSpacing w:w="0" w:type="dxa"/>
        </w:trPr>
        <w:tc>
          <w:tcPr>
            <w:tcW w:w="840" w:type="dxa"/>
            <w:hideMark/>
          </w:tcPr>
          <w:p>
            <w:pPr>
              <w:spacing w:after="0"/>
              <w:rPr>
                <w:rFonts w:eastAsia="Times New Roman"/>
                <w:noProof/>
                <w:spacing w:val="-8"/>
                <w:sz w:val="20"/>
                <w:szCs w:val="20"/>
              </w:rPr>
            </w:pPr>
            <w:r>
              <w:rPr>
                <w:noProof/>
                <w:spacing w:val="-8"/>
                <w:sz w:val="20"/>
                <w:szCs w:val="20"/>
              </w:rPr>
              <w:t>Z</w:t>
            </w:r>
            <w:r>
              <w:rPr>
                <w:noProof/>
                <w:spacing w:val="-8"/>
                <w:sz w:val="20"/>
                <w:szCs w:val="20"/>
                <w:vertAlign w:val="subscript"/>
              </w:rPr>
              <w:t>1</w:t>
            </w:r>
            <w:r>
              <w:rPr>
                <w:noProof/>
                <w:spacing w:val="-8"/>
                <w:sz w:val="20"/>
                <w:szCs w:val="20"/>
              </w:rPr>
              <w:t xml:space="preserve"> </w:t>
            </w:r>
          </w:p>
        </w:tc>
        <w:tc>
          <w:tcPr>
            <w:tcW w:w="8940" w:type="dxa"/>
            <w:hideMark/>
          </w:tcPr>
          <w:p>
            <w:pPr>
              <w:spacing w:after="0"/>
              <w:ind w:left="1" w:right="569"/>
              <w:rPr>
                <w:rFonts w:eastAsia="Times New Roman"/>
                <w:noProof/>
                <w:spacing w:val="-8"/>
                <w:sz w:val="20"/>
                <w:szCs w:val="20"/>
              </w:rPr>
            </w:pPr>
            <w:r>
              <w:rPr>
                <w:noProof/>
                <w:spacing w:val="-8"/>
                <w:sz w:val="20"/>
                <w:szCs w:val="20"/>
              </w:rPr>
              <w:t>Les grues mobiles possédant plus de six essieux sont considérées comme des véhicules hors-route (N3G) lorsqu’au moins trois essieux sont moteurs et pour autant qu’elles satisfassent aux dispositions du point 4.3 b) ii) et iii) ainsi que du point 4.3 c) de l’annexe II.</w:t>
            </w:r>
          </w:p>
        </w:tc>
      </w:tr>
    </w:tbl>
    <w:p>
      <w:pPr>
        <w:spacing w:before="0" w:after="0"/>
        <w:rPr>
          <w:noProof/>
          <w:spacing w:val="-8"/>
          <w:sz w:val="20"/>
          <w:szCs w:val="20"/>
        </w:rPr>
      </w:pPr>
      <w:r>
        <w:rPr>
          <w:rFonts w:eastAsia="Arial Unicode MS"/>
          <w:noProof/>
          <w:color w:val="000000"/>
          <w:spacing w:val="-8"/>
          <w:sz w:val="20"/>
          <w:szCs w:val="20"/>
        </w:rPr>
        <w:pict>
          <v:rect id="_x0000_i1040" style="width:45.35pt;height:.75pt" o:hrpct="100" o:hralign="center" o:hrstd="t" o:hrnoshade="t" o:hr="t" fillcolor="black" stroked="f"/>
        </w:pict>
      </w:r>
    </w:p>
    <w:p>
      <w:pPr>
        <w:rPr>
          <w:noProof/>
        </w:rPr>
      </w:pPr>
      <w:r>
        <w:rPr>
          <w:noProof/>
        </w:rPr>
        <w:br w:type="page"/>
      </w:r>
    </w:p>
    <w:p>
      <w:pPr>
        <w:rPr>
          <w:noProof/>
        </w:rPr>
        <w:sectPr>
          <w:footerReference w:type="default" r:id="rId37"/>
          <w:footerReference w:type="first" r:id="rId38"/>
          <w:pgSz w:w="11907" w:h="16839" w:code="9"/>
          <w:pgMar w:top="1134" w:right="1418" w:bottom="1134" w:left="1418" w:header="709" w:footer="709" w:gutter="0"/>
          <w:cols w:space="708"/>
          <w:docGrid w:linePitch="360"/>
        </w:sectPr>
      </w:pPr>
    </w:p>
    <w:p>
      <w:pPr>
        <w:spacing w:before="0" w:after="200" w:line="276" w:lineRule="auto"/>
        <w:jc w:val="left"/>
        <w:rPr>
          <w:b/>
          <w:noProof/>
          <w:u w:val="single"/>
        </w:rPr>
      </w:pPr>
    </w:p>
    <w:p>
      <w:pPr>
        <w:pStyle w:val="Annexetitre"/>
        <w:rPr>
          <w:noProof/>
        </w:rPr>
      </w:pPr>
      <w:r>
        <w:rPr>
          <w:noProof/>
        </w:rPr>
        <w:t>ANNEXE V</w:t>
      </w:r>
    </w:p>
    <w:p>
      <w:pPr>
        <w:spacing w:before="480" w:after="360"/>
        <w:jc w:val="left"/>
        <w:rPr>
          <w:rFonts w:eastAsia="Arial Unicode MS"/>
          <w:b/>
          <w:bCs/>
          <w:noProof/>
          <w:szCs w:val="24"/>
        </w:rPr>
      </w:pPr>
      <w:r>
        <w:rPr>
          <w:b/>
          <w:noProof/>
        </w:rPr>
        <w:t xml:space="preserve">PROCÉDURES À SUIVRE POUR LA RÉCEPTION UE PAR TYPE </w:t>
      </w:r>
    </w:p>
    <w:p>
      <w:pPr>
        <w:spacing w:before="360" w:after="240"/>
        <w:ind w:left="567" w:hanging="567"/>
        <w:jc w:val="left"/>
        <w:rPr>
          <w:rFonts w:eastAsia="Arial Unicode MS"/>
          <w:b/>
          <w:bCs/>
          <w:noProof/>
          <w:szCs w:val="24"/>
        </w:rPr>
      </w:pPr>
      <w:r>
        <w:rPr>
          <w:b/>
          <w:noProof/>
        </w:rPr>
        <w:t>1.</w:t>
      </w:r>
      <w:r>
        <w:rPr>
          <w:noProof/>
        </w:rPr>
        <w:tab/>
      </w:r>
      <w:r>
        <w:rPr>
          <w:b/>
          <w:noProof/>
        </w:rPr>
        <w:t xml:space="preserve">Objectifs et champ d’application </w:t>
      </w:r>
    </w:p>
    <w:p>
      <w:pPr>
        <w:spacing w:after="0"/>
        <w:ind w:left="567" w:hanging="567"/>
        <w:rPr>
          <w:rFonts w:eastAsia="Arial Unicode MS"/>
          <w:noProof/>
          <w:szCs w:val="24"/>
        </w:rPr>
      </w:pPr>
      <w:r>
        <w:rPr>
          <w:noProof/>
        </w:rPr>
        <w:t>1.1.</w:t>
      </w:r>
      <w:r>
        <w:rPr>
          <w:noProof/>
        </w:rPr>
        <w:tab/>
        <w:t>La présente annexe établit les procédures pour le bon fonctionnement de la réception par type des véhicules conformément aux articles 24, 25 et 26.</w:t>
      </w:r>
    </w:p>
    <w:p>
      <w:pPr>
        <w:spacing w:after="0"/>
        <w:ind w:left="567" w:hanging="567"/>
        <w:rPr>
          <w:rFonts w:eastAsia="Arial Unicode MS"/>
          <w:noProof/>
          <w:szCs w:val="24"/>
        </w:rPr>
      </w:pPr>
      <w:r>
        <w:rPr>
          <w:noProof/>
        </w:rPr>
        <w:t>1.2.</w:t>
      </w:r>
      <w:r>
        <w:rPr>
          <w:noProof/>
        </w:rPr>
        <w:tab/>
        <w:t>Elle comprend également:</w:t>
      </w:r>
    </w:p>
    <w:p>
      <w:pPr>
        <w:ind w:left="1134" w:hanging="567"/>
        <w:rPr>
          <w:rFonts w:eastAsia="Arial Unicode MS"/>
          <w:noProof/>
          <w:szCs w:val="24"/>
        </w:rPr>
      </w:pPr>
      <w:r>
        <w:rPr>
          <w:noProof/>
        </w:rPr>
        <w:t>a)</w:t>
      </w:r>
      <w:r>
        <w:rPr>
          <w:noProof/>
        </w:rPr>
        <w:tab/>
        <w:t>la liste des normes internationales pertinentes pour la désignation des services techniques conformément aux articles 72 et 74;</w:t>
      </w:r>
    </w:p>
    <w:p>
      <w:pPr>
        <w:ind w:left="1134" w:hanging="567"/>
        <w:rPr>
          <w:rFonts w:eastAsia="Arial Unicode MS"/>
          <w:noProof/>
          <w:szCs w:val="24"/>
        </w:rPr>
      </w:pPr>
      <w:r>
        <w:rPr>
          <w:noProof/>
        </w:rPr>
        <w:t>b)</w:t>
      </w:r>
      <w:r>
        <w:rPr>
          <w:noProof/>
        </w:rPr>
        <w:tab/>
        <w:t>la description de la procédure à suivre pour évaluer les compétences des services techniques conformément à l’article 77;</w:t>
      </w:r>
    </w:p>
    <w:p>
      <w:pPr>
        <w:ind w:left="1134" w:hanging="567"/>
        <w:rPr>
          <w:rFonts w:eastAsia="Arial Unicode MS"/>
          <w:noProof/>
          <w:szCs w:val="24"/>
        </w:rPr>
      </w:pPr>
      <w:r>
        <w:rPr>
          <w:noProof/>
        </w:rPr>
        <w:t>c)</w:t>
      </w:r>
      <w:r>
        <w:rPr>
          <w:noProof/>
        </w:rPr>
        <w:tab/>
        <w:t>les prescriptions générales applicables à la rédaction des rapports d’essais par les services techniques.</w:t>
      </w:r>
    </w:p>
    <w:p>
      <w:pPr>
        <w:spacing w:before="360" w:after="240"/>
        <w:ind w:left="567" w:hanging="567"/>
        <w:jc w:val="left"/>
        <w:rPr>
          <w:rFonts w:eastAsia="Arial Unicode MS"/>
          <w:b/>
          <w:bCs/>
          <w:noProof/>
          <w:szCs w:val="24"/>
        </w:rPr>
      </w:pPr>
      <w:r>
        <w:rPr>
          <w:b/>
          <w:noProof/>
        </w:rPr>
        <w:t>2.</w:t>
      </w:r>
      <w:r>
        <w:rPr>
          <w:noProof/>
        </w:rPr>
        <w:tab/>
      </w:r>
      <w:r>
        <w:rPr>
          <w:b/>
          <w:noProof/>
        </w:rPr>
        <w:t xml:space="preserve">Procédure de réception par type </w:t>
      </w:r>
    </w:p>
    <w:p>
      <w:pPr>
        <w:spacing w:after="0"/>
        <w:ind w:left="567"/>
        <w:rPr>
          <w:rFonts w:eastAsia="Arial Unicode MS"/>
          <w:noProof/>
          <w:szCs w:val="24"/>
        </w:rPr>
      </w:pPr>
      <w:r>
        <w:rPr>
          <w:noProof/>
        </w:rPr>
        <w:t>Lorsqu’elle est saisie d’une demande de réception d’un type de véhicule, l’autorité compétente en la matière:</w:t>
      </w:r>
    </w:p>
    <w:p>
      <w:pPr>
        <w:ind w:left="1134" w:hanging="567"/>
        <w:rPr>
          <w:rFonts w:eastAsia="Arial Unicode MS"/>
          <w:noProof/>
          <w:szCs w:val="24"/>
        </w:rPr>
      </w:pPr>
      <w:r>
        <w:rPr>
          <w:noProof/>
        </w:rPr>
        <w:t>a)</w:t>
      </w:r>
      <w:r>
        <w:rPr>
          <w:noProof/>
        </w:rPr>
        <w:tab/>
        <w:t>vérifie que toutes les fiches de réception UE par type délivrées au titre des actes réglementaires applicables à la réception par type des véhicules concernent le type de véhicule en question et correspondent aux exigences prescrites;</w:t>
      </w:r>
    </w:p>
    <w:p>
      <w:pPr>
        <w:ind w:left="1134" w:hanging="567"/>
        <w:rPr>
          <w:rFonts w:eastAsia="Arial Unicode MS"/>
          <w:noProof/>
          <w:szCs w:val="24"/>
        </w:rPr>
      </w:pPr>
      <w:r>
        <w:rPr>
          <w:noProof/>
        </w:rPr>
        <w:t>b)</w:t>
      </w:r>
      <w:r>
        <w:rPr>
          <w:noProof/>
        </w:rPr>
        <w:tab/>
        <w:t>s’assure que les spécifications et les données du véhicule contenues dans la partie I de la fiche de renseignements du véhicule figurent dans les dossiers de réception et dans les fiches de réception UE par type délivrées au titre des actes réglementaires applicables;</w:t>
      </w:r>
    </w:p>
    <w:p>
      <w:pPr>
        <w:ind w:left="1134" w:hanging="567"/>
        <w:rPr>
          <w:rFonts w:eastAsia="Arial Unicode MS"/>
          <w:noProof/>
          <w:szCs w:val="24"/>
        </w:rPr>
      </w:pPr>
      <w:r>
        <w:rPr>
          <w:noProof/>
        </w:rPr>
        <w:t>c)</w:t>
      </w:r>
      <w:r>
        <w:rPr>
          <w:noProof/>
        </w:rPr>
        <w:tab/>
        <w:t>confirme, lorsqu’un numéro de rubrique de la partie I de la fiche de renseignements ne figure pas dans le dossier de réception prévu par l’un des actes réglementaires, que la partie ou la caractéristique du véhicule concernée est conforme aux indications du dossier constructeur;</w:t>
      </w:r>
    </w:p>
    <w:p>
      <w:pPr>
        <w:ind w:left="1134" w:hanging="567"/>
        <w:rPr>
          <w:rFonts w:eastAsia="Arial Unicode MS"/>
          <w:noProof/>
          <w:szCs w:val="24"/>
        </w:rPr>
      </w:pPr>
      <w:r>
        <w:rPr>
          <w:noProof/>
        </w:rPr>
        <w:t>d)</w:t>
      </w:r>
      <w:r>
        <w:rPr>
          <w:noProof/>
        </w:rPr>
        <w:tab/>
        <w:t>effectue ou fait effectuer, sur un échantillon de véhicules du type à réceptionner, des inspections de parties et de systèmes du véhicule afin de vérifier que le ou les véhicules sont construits conformément aux données pertinentes figurant dans le dossier de réception authentifié en ce qui concerne les fiches de réception UE par type correspondantes;</w:t>
      </w:r>
    </w:p>
    <w:p>
      <w:pPr>
        <w:ind w:left="1134" w:hanging="567"/>
        <w:rPr>
          <w:rFonts w:eastAsia="Arial Unicode MS"/>
          <w:noProof/>
          <w:szCs w:val="24"/>
        </w:rPr>
      </w:pPr>
      <w:r>
        <w:rPr>
          <w:noProof/>
        </w:rPr>
        <w:t>e)</w:t>
      </w:r>
      <w:r>
        <w:rPr>
          <w:noProof/>
        </w:rPr>
        <w:tab/>
        <w:t>effectue ou fait effectuer, le cas échéant, les contrôles d’installation nécessaires en ce qui concerne les entités techniques distinctes;</w:t>
      </w:r>
    </w:p>
    <w:p>
      <w:pPr>
        <w:ind w:left="1134" w:hanging="567"/>
        <w:rPr>
          <w:rFonts w:eastAsia="Arial Unicode MS"/>
          <w:noProof/>
          <w:szCs w:val="24"/>
        </w:rPr>
      </w:pPr>
      <w:r>
        <w:rPr>
          <w:noProof/>
        </w:rPr>
        <w:t>f)</w:t>
      </w:r>
      <w:r>
        <w:rPr>
          <w:noProof/>
        </w:rPr>
        <w:tab/>
        <w:t>effectue ou fait effectuer, le cas échéant, les contrôles nécessaires en ce qui concerne la présence des dispositifs prévus dans les notes 1 et 2 de la partie I de l’annexe IV;</w:t>
      </w:r>
    </w:p>
    <w:p>
      <w:pPr>
        <w:ind w:left="1134" w:hanging="567"/>
        <w:rPr>
          <w:rFonts w:eastAsia="Arial Unicode MS"/>
          <w:noProof/>
          <w:szCs w:val="24"/>
        </w:rPr>
      </w:pPr>
      <w:r>
        <w:rPr>
          <w:noProof/>
        </w:rPr>
        <w:t>g)</w:t>
      </w:r>
      <w:r>
        <w:rPr>
          <w:noProof/>
        </w:rPr>
        <w:tab/>
        <w:t>effectue ou fait effectuer les contrôles nécessaires pour garantir que les prescriptions visées à la note 5 de la partie I de l’annexe IV sont respectées.</w:t>
      </w:r>
    </w:p>
    <w:p>
      <w:pPr>
        <w:rPr>
          <w:b/>
          <w:noProof/>
        </w:rPr>
      </w:pPr>
      <w:r>
        <w:rPr>
          <w:b/>
          <w:noProof/>
        </w:rPr>
        <w:t>3.</w:t>
      </w:r>
      <w:r>
        <w:rPr>
          <w:noProof/>
        </w:rPr>
        <w:tab/>
      </w:r>
      <w:r>
        <w:rPr>
          <w:b/>
          <w:noProof/>
        </w:rPr>
        <w:t xml:space="preserve">Combinaison de spécifications techniques </w:t>
      </w:r>
    </w:p>
    <w:p>
      <w:pPr>
        <w:spacing w:after="240"/>
        <w:ind w:left="567"/>
        <w:rPr>
          <w:rFonts w:eastAsia="Arial Unicode MS"/>
          <w:noProof/>
          <w:szCs w:val="24"/>
        </w:rPr>
      </w:pPr>
      <w:r>
        <w:rPr>
          <w:noProof/>
        </w:rPr>
        <w:t>Le nombre de véhicules à présenter doit être suffisant pour permettre une vérification adéquate des différentes combinaisons à réceptionner, selon les critères suivants:</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Spécifications techniques</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Catégorie de véhicules</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Moteur</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Boîte de vitesses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Nombre d’essieux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Essieux moteurs (nombre, emplacement et interconnexion)</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Essieux directeurs (nombre et emplacement)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Types de carrosserie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Nombre de portes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Côté de conduite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Nombre de sièges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Niveau d’équipement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360" w:after="240"/>
        <w:ind w:left="567" w:hanging="567"/>
        <w:jc w:val="left"/>
        <w:rPr>
          <w:rFonts w:eastAsia="Arial Unicode MS"/>
          <w:b/>
          <w:bCs/>
          <w:noProof/>
          <w:szCs w:val="24"/>
        </w:rPr>
      </w:pPr>
      <w:r>
        <w:rPr>
          <w:b/>
          <w:noProof/>
        </w:rPr>
        <w:t>4.</w:t>
      </w:r>
      <w:r>
        <w:rPr>
          <w:noProof/>
        </w:rPr>
        <w:tab/>
      </w:r>
      <w:r>
        <w:rPr>
          <w:b/>
          <w:noProof/>
        </w:rPr>
        <w:t xml:space="preserve">Dispositions spécifiques </w:t>
      </w:r>
    </w:p>
    <w:p>
      <w:pPr>
        <w:spacing w:after="0"/>
        <w:ind w:left="567"/>
        <w:rPr>
          <w:rFonts w:eastAsia="Arial Unicode MS"/>
          <w:noProof/>
          <w:szCs w:val="24"/>
        </w:rPr>
      </w:pPr>
      <w:r>
        <w:rPr>
          <w:noProof/>
        </w:rPr>
        <w:t>En l’absence de fiches de réception prévues dans les actes réglementaires applicables, l’autorité compétente en matière de réception:</w:t>
      </w:r>
    </w:p>
    <w:p>
      <w:pPr>
        <w:spacing w:after="0"/>
        <w:ind w:left="1134" w:hanging="567"/>
        <w:rPr>
          <w:rFonts w:eastAsia="Arial Unicode MS"/>
          <w:noProof/>
          <w:szCs w:val="24"/>
        </w:rPr>
      </w:pPr>
      <w:r>
        <w:rPr>
          <w:noProof/>
        </w:rPr>
        <w:t>a)</w:t>
      </w:r>
      <w:r>
        <w:rPr>
          <w:noProof/>
        </w:rPr>
        <w:tab/>
        <w:t>fait procéder aux essais et aux contrôles prescrits par chacun des actes réglementaires applicables;</w:t>
      </w:r>
    </w:p>
    <w:p>
      <w:pPr>
        <w:spacing w:after="0"/>
        <w:ind w:left="1134" w:hanging="567"/>
        <w:rPr>
          <w:rFonts w:eastAsia="Arial Unicode MS"/>
          <w:noProof/>
          <w:szCs w:val="24"/>
        </w:rPr>
      </w:pPr>
      <w:r>
        <w:rPr>
          <w:noProof/>
        </w:rPr>
        <w:t>b)</w:t>
      </w:r>
      <w:r>
        <w:rPr>
          <w:noProof/>
        </w:rPr>
        <w:tab/>
        <w:t>vérifie que le véhicule est conforme aux indications du dossier constructeur et qu’il satisfait aux prescriptions techniques de chacun des actes réglementaires applicables;</w:t>
      </w:r>
    </w:p>
    <w:p>
      <w:pPr>
        <w:spacing w:after="0"/>
        <w:ind w:left="1134" w:hanging="567"/>
        <w:rPr>
          <w:rFonts w:eastAsia="Arial Unicode MS"/>
          <w:noProof/>
          <w:szCs w:val="24"/>
        </w:rPr>
      </w:pPr>
      <w:r>
        <w:rPr>
          <w:noProof/>
        </w:rPr>
        <w:t>c)</w:t>
      </w:r>
      <w:r>
        <w:rPr>
          <w:noProof/>
        </w:rPr>
        <w:tab/>
        <w:t>effectue ou fait effectuer, le cas échéant, les contrôles d’installation nécessaires en ce qui concerne les entités techniques distinctes;</w:t>
      </w:r>
    </w:p>
    <w:p>
      <w:pPr>
        <w:spacing w:after="0"/>
        <w:ind w:left="1134" w:hanging="567"/>
        <w:rPr>
          <w:rFonts w:eastAsia="Arial Unicode MS"/>
          <w:noProof/>
          <w:szCs w:val="24"/>
        </w:rPr>
      </w:pPr>
      <w:r>
        <w:rPr>
          <w:noProof/>
        </w:rPr>
        <w:t>d)</w:t>
      </w:r>
      <w:r>
        <w:rPr>
          <w:noProof/>
        </w:rPr>
        <w:tab/>
        <w:t>effectue ou fait effectuer, le cas échéant, les contrôles nécessaires en ce qui concerne la présence des dispositifs prévus aux notes 1 et 2 de la partie I de l’annexe IV;</w:t>
      </w:r>
    </w:p>
    <w:p>
      <w:pPr>
        <w:spacing w:after="0"/>
        <w:ind w:left="1134" w:hanging="567"/>
        <w:rPr>
          <w:rFonts w:eastAsia="Arial Unicode MS"/>
          <w:noProof/>
          <w:szCs w:val="24"/>
        </w:rPr>
      </w:pPr>
      <w:r>
        <w:rPr>
          <w:noProof/>
        </w:rPr>
        <w:t>e</w:t>
      </w:r>
      <w:r>
        <w:rPr>
          <w:noProof/>
        </w:rPr>
        <w:tab/>
        <w:t>effectue ou fait effectuer les contrôles nécessaires pour garantir que les prescriptions de la note 5 de la partie I de l’annexe IV sont respectées.</w:t>
      </w:r>
    </w:p>
    <w:p>
      <w:pPr>
        <w:spacing w:before="0" w:after="0"/>
        <w:jc w:val="left"/>
        <w:rPr>
          <w:rFonts w:eastAsia="Arial Unicode MS"/>
          <w:noProof/>
          <w:szCs w:val="24"/>
        </w:rPr>
      </w:pPr>
      <w:r>
        <w:rPr>
          <w:rFonts w:eastAsia="Arial Unicode MS"/>
          <w:noProof/>
          <w:szCs w:val="24"/>
        </w:rPr>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noProof/>
        </w:rPr>
        <w:br w:type="page"/>
      </w:r>
      <w:r>
        <w:rPr>
          <w:i/>
          <w:noProof/>
        </w:rPr>
        <w:t>Appendice 1</w:t>
      </w:r>
    </w:p>
    <w:p>
      <w:pPr>
        <w:spacing w:before="240" w:after="240"/>
        <w:jc w:val="center"/>
        <w:rPr>
          <w:rFonts w:eastAsia="Arial Unicode MS"/>
          <w:b/>
          <w:bCs/>
          <w:noProof/>
          <w:szCs w:val="24"/>
        </w:rPr>
      </w:pPr>
      <w:r>
        <w:rPr>
          <w:b/>
          <w:noProof/>
        </w:rPr>
        <w:t>Normes auxquelles les entités visées à l'article 72 doivent se conformer</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Cs w:val="24"/>
              </w:rPr>
            </w:pPr>
            <w:r>
              <w:rPr>
                <w:noProof/>
                <w:sz w:val="22"/>
              </w:rPr>
              <w:t>1.</w:t>
            </w:r>
          </w:p>
        </w:tc>
        <w:tc>
          <w:tcPr>
            <w:tcW w:w="4609" w:type="pct"/>
            <w:hideMark/>
          </w:tcPr>
          <w:p>
            <w:pPr>
              <w:spacing w:after="0"/>
              <w:rPr>
                <w:rFonts w:eastAsia="Arial Unicode MS"/>
                <w:noProof/>
                <w:szCs w:val="24"/>
              </w:rPr>
            </w:pPr>
            <w:r>
              <w:rPr>
                <w:noProof/>
                <w:sz w:val="22"/>
              </w:rPr>
              <w:t>Activités liées aux essais en vue de la réception par type, à effectuer conformément aux actes réglementaires énumérés dans l’annexe IV</w:t>
            </w:r>
          </w:p>
        </w:tc>
      </w:tr>
      <w:tr>
        <w:trPr>
          <w:gridAfter w:val="1"/>
          <w:wAfter w:w="77" w:type="pct"/>
          <w:tblCellSpacing w:w="0" w:type="dxa"/>
        </w:trPr>
        <w:tc>
          <w:tcPr>
            <w:tcW w:w="314" w:type="pct"/>
          </w:tcPr>
          <w:p>
            <w:pPr>
              <w:spacing w:after="0"/>
              <w:rPr>
                <w:rFonts w:eastAsia="Arial Unicode MS"/>
                <w:noProof/>
                <w:szCs w:val="24"/>
              </w:rPr>
            </w:pPr>
            <w:r>
              <w:rPr>
                <w:noProof/>
                <w:sz w:val="22"/>
              </w:rPr>
              <w:t>1.1.</w:t>
            </w:r>
          </w:p>
        </w:tc>
        <w:tc>
          <w:tcPr>
            <w:tcW w:w="4609" w:type="pct"/>
          </w:tcPr>
          <w:p>
            <w:pPr>
              <w:spacing w:after="0"/>
              <w:rPr>
                <w:rFonts w:eastAsia="Arial Unicode MS"/>
                <w:noProof/>
                <w:szCs w:val="24"/>
              </w:rPr>
            </w:pPr>
            <w:r>
              <w:rPr>
                <w:noProof/>
                <w:sz w:val="22"/>
              </w:rPr>
              <w:t>Catégorie A (essais exécutés par les services techniques dans leurs propres installations):</w:t>
            </w:r>
          </w:p>
          <w:p>
            <w:pPr>
              <w:spacing w:after="0"/>
              <w:rPr>
                <w:rFonts w:eastAsia="Arial Unicode MS"/>
                <w:noProof/>
                <w:szCs w:val="24"/>
              </w:rPr>
            </w:pPr>
            <w:r>
              <w:rPr>
                <w:noProof/>
                <w:sz w:val="22"/>
              </w:rPr>
              <w:t>EN ISO/IEC 17025:2005 sur les exigences générales concernant la compétence des laboratoires d’étalonnages et d’essais.</w:t>
            </w:r>
          </w:p>
          <w:p>
            <w:pPr>
              <w:spacing w:after="0"/>
              <w:rPr>
                <w:rFonts w:eastAsia="Arial Unicode MS"/>
                <w:noProof/>
                <w:szCs w:val="24"/>
              </w:rPr>
            </w:pPr>
            <w:r>
              <w:rPr>
                <w:noProof/>
                <w:sz w:val="22"/>
              </w:rPr>
              <w:t>Un service technique désigné pour mener les activités de la catégorie A peut effectuer ou superviser les essais prévus dans les actes réglementaires pour lesquels il a été désigné dans les installations d’un constructeur ou de son mandataire.</w:t>
            </w:r>
          </w:p>
        </w:tc>
      </w:tr>
      <w:tr>
        <w:trPr>
          <w:gridAfter w:val="1"/>
          <w:wAfter w:w="77" w:type="pct"/>
          <w:tblCellSpacing w:w="0" w:type="dxa"/>
        </w:trPr>
        <w:tc>
          <w:tcPr>
            <w:tcW w:w="314" w:type="pct"/>
          </w:tcPr>
          <w:p>
            <w:pPr>
              <w:spacing w:after="0"/>
              <w:rPr>
                <w:rFonts w:eastAsia="Arial Unicode MS"/>
                <w:noProof/>
                <w:szCs w:val="24"/>
              </w:rPr>
            </w:pPr>
            <w:r>
              <w:rPr>
                <w:noProof/>
                <w:sz w:val="22"/>
              </w:rPr>
              <w:t>1.2.</w:t>
            </w:r>
          </w:p>
        </w:tc>
        <w:tc>
          <w:tcPr>
            <w:tcW w:w="4609" w:type="pct"/>
          </w:tcPr>
          <w:p>
            <w:pPr>
              <w:spacing w:after="0"/>
              <w:rPr>
                <w:rFonts w:eastAsia="Arial Unicode MS"/>
                <w:noProof/>
                <w:szCs w:val="24"/>
              </w:rPr>
            </w:pPr>
            <w:r>
              <w:rPr>
                <w:noProof/>
                <w:sz w:val="22"/>
              </w:rPr>
              <w:t>Catégorie B (supervision des essais exécutés dans les installations du constructeur ou dans les installations de son mandataire):</w:t>
            </w:r>
          </w:p>
          <w:p>
            <w:pPr>
              <w:spacing w:after="0"/>
              <w:rPr>
                <w:rFonts w:eastAsia="Arial Unicode MS"/>
                <w:noProof/>
                <w:szCs w:val="24"/>
              </w:rPr>
            </w:pPr>
            <w:r>
              <w:rPr>
                <w:noProof/>
                <w:sz w:val="22"/>
              </w:rPr>
              <w:t>EN ISO/IEC 17020:2012 sur les critères généraux pour le fonctionnement de différents types d’organismes procédant à l’inspection.</w:t>
            </w:r>
          </w:p>
          <w:p>
            <w:pPr>
              <w:spacing w:after="0"/>
              <w:rPr>
                <w:rFonts w:eastAsia="Arial Unicode MS"/>
                <w:noProof/>
                <w:szCs w:val="24"/>
              </w:rPr>
            </w:pPr>
            <w:r>
              <w:rPr>
                <w:noProof/>
                <w:sz w:val="22"/>
              </w:rPr>
              <w:t>Avant d’exécuter ou de superviser un essai dans les installations d’un constructeur ou de son représentant, le service technique doit vérifier que les locaux d’essai et les dispositifs de mesure satisfont aux exigences appropriées de la norme visée au point 1.1.</w:t>
            </w:r>
          </w:p>
        </w:tc>
      </w:tr>
      <w:tr>
        <w:trPr>
          <w:tblCellSpacing w:w="0" w:type="dxa"/>
        </w:trPr>
        <w:tc>
          <w:tcPr>
            <w:tcW w:w="314" w:type="pct"/>
            <w:hideMark/>
          </w:tcPr>
          <w:p>
            <w:pPr>
              <w:spacing w:after="0"/>
              <w:rPr>
                <w:rFonts w:eastAsia="Arial Unicode MS"/>
                <w:noProof/>
                <w:szCs w:val="24"/>
              </w:rPr>
            </w:pPr>
            <w:r>
              <w:rPr>
                <w:noProof/>
                <w:sz w:val="22"/>
              </w:rPr>
              <w:t>2.</w:t>
            </w:r>
          </w:p>
        </w:tc>
        <w:tc>
          <w:tcPr>
            <w:tcW w:w="4686" w:type="pct"/>
            <w:gridSpan w:val="2"/>
            <w:hideMark/>
          </w:tcPr>
          <w:p>
            <w:pPr>
              <w:spacing w:after="0"/>
              <w:rPr>
                <w:rFonts w:eastAsia="Arial Unicode MS"/>
                <w:noProof/>
                <w:szCs w:val="24"/>
              </w:rPr>
            </w:pPr>
            <w:r>
              <w:rPr>
                <w:noProof/>
                <w:sz w:val="22"/>
              </w:rPr>
              <w:t xml:space="preserve">Activités liées à la conformité de la production </w:t>
            </w:r>
          </w:p>
        </w:tc>
      </w:tr>
      <w:tr>
        <w:trPr>
          <w:tblCellSpacing w:w="0" w:type="dxa"/>
        </w:trPr>
        <w:tc>
          <w:tcPr>
            <w:tcW w:w="314" w:type="pct"/>
          </w:tcPr>
          <w:p>
            <w:pPr>
              <w:spacing w:after="0"/>
              <w:rPr>
                <w:rFonts w:eastAsia="Arial Unicode MS"/>
                <w:noProof/>
                <w:szCs w:val="24"/>
              </w:rPr>
            </w:pPr>
            <w:r>
              <w:rPr>
                <w:noProof/>
                <w:sz w:val="22"/>
              </w:rPr>
              <w:t>2.1.</w:t>
            </w:r>
          </w:p>
        </w:tc>
        <w:tc>
          <w:tcPr>
            <w:tcW w:w="4686" w:type="pct"/>
            <w:gridSpan w:val="2"/>
          </w:tcPr>
          <w:p>
            <w:pPr>
              <w:spacing w:after="0"/>
              <w:rPr>
                <w:rFonts w:eastAsia="Arial Unicode MS"/>
                <w:noProof/>
                <w:szCs w:val="24"/>
              </w:rPr>
            </w:pPr>
            <w:r>
              <w:rPr>
                <w:noProof/>
                <w:sz w:val="22"/>
              </w:rPr>
              <w:t>Catégorie C (procédure à suivre pour effectuer l’évaluation initiale et les contrôles de surveillance du système de gestion de la qualité du constructeur):</w:t>
            </w:r>
          </w:p>
          <w:p>
            <w:pPr>
              <w:spacing w:after="0"/>
              <w:rPr>
                <w:rFonts w:eastAsia="Arial Unicode MS"/>
                <w:noProof/>
                <w:szCs w:val="24"/>
              </w:rPr>
            </w:pPr>
            <w:r>
              <w:rPr>
                <w:noProof/>
                <w:sz w:val="22"/>
              </w:rPr>
              <w:t>EN ISO/IEC 17021:2011 sur les exigences pour les organismes procédant à l’audit et à la certification des systèmes de management.</w:t>
            </w:r>
          </w:p>
        </w:tc>
      </w:tr>
      <w:tr>
        <w:trPr>
          <w:tblCellSpacing w:w="0" w:type="dxa"/>
        </w:trPr>
        <w:tc>
          <w:tcPr>
            <w:tcW w:w="314" w:type="pct"/>
          </w:tcPr>
          <w:p>
            <w:pPr>
              <w:spacing w:after="0"/>
              <w:rPr>
                <w:rFonts w:eastAsia="Arial Unicode MS"/>
                <w:noProof/>
                <w:szCs w:val="24"/>
              </w:rPr>
            </w:pPr>
            <w:r>
              <w:rPr>
                <w:noProof/>
                <w:sz w:val="22"/>
              </w:rPr>
              <w:t>2.2.</w:t>
            </w:r>
          </w:p>
        </w:tc>
        <w:tc>
          <w:tcPr>
            <w:tcW w:w="4686" w:type="pct"/>
            <w:gridSpan w:val="2"/>
          </w:tcPr>
          <w:p>
            <w:pPr>
              <w:spacing w:after="0"/>
              <w:rPr>
                <w:rFonts w:eastAsia="Arial Unicode MS"/>
                <w:noProof/>
                <w:szCs w:val="24"/>
              </w:rPr>
            </w:pPr>
            <w:r>
              <w:rPr>
                <w:noProof/>
                <w:sz w:val="22"/>
              </w:rPr>
              <w:t>Catégorie D (inspection ou essais concernant des échantillons de production ou supervision de ces opérations):</w:t>
            </w:r>
          </w:p>
          <w:p>
            <w:pPr>
              <w:spacing w:after="0"/>
              <w:rPr>
                <w:rFonts w:eastAsia="Arial Unicode MS"/>
                <w:noProof/>
                <w:szCs w:val="24"/>
              </w:rPr>
            </w:pPr>
            <w:r>
              <w:rPr>
                <w:noProof/>
                <w:sz w:val="22"/>
              </w:rPr>
              <w:t>EN ISO/IEC 17020:2012 sur les critères généraux pour le fonctionnement de différents types d’organismes procédant à l’inspection.</w:t>
            </w:r>
          </w:p>
        </w:tc>
      </w:tr>
    </w:tbl>
    <w:p>
      <w:pPr>
        <w:spacing w:before="0" w:after="0"/>
        <w:jc w:val="left"/>
        <w:rPr>
          <w:rFonts w:eastAsia="Arial Unicode MS"/>
          <w:noProof/>
          <w:szCs w:val="24"/>
        </w:rPr>
      </w:pPr>
      <w:r>
        <w:rPr>
          <w:rFonts w:eastAsia="Arial Unicode MS"/>
          <w:noProof/>
          <w:szCs w:val="24"/>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noProof/>
        </w:rPr>
        <w:br w:type="page"/>
      </w:r>
      <w:r>
        <w:rPr>
          <w:i/>
          <w:noProof/>
        </w:rPr>
        <w:t>Appendice 2</w:t>
      </w:r>
    </w:p>
    <w:p>
      <w:pPr>
        <w:spacing w:before="240" w:after="240"/>
        <w:jc w:val="center"/>
        <w:rPr>
          <w:rFonts w:eastAsia="Arial Unicode MS"/>
          <w:b/>
          <w:bCs/>
          <w:noProof/>
          <w:szCs w:val="24"/>
        </w:rPr>
      </w:pPr>
      <w:r>
        <w:rPr>
          <w:b/>
          <w:noProof/>
        </w:rPr>
        <w:t>Procédure d’évaluation des services techniques</w:t>
      </w:r>
    </w:p>
    <w:p>
      <w:pPr>
        <w:spacing w:before="360" w:after="240"/>
        <w:ind w:left="567" w:hanging="567"/>
        <w:jc w:val="left"/>
        <w:rPr>
          <w:rFonts w:eastAsia="Arial Unicode MS"/>
          <w:b/>
          <w:bCs/>
          <w:noProof/>
          <w:szCs w:val="24"/>
        </w:rPr>
      </w:pPr>
      <w:r>
        <w:rPr>
          <w:b/>
          <w:noProof/>
        </w:rPr>
        <w:t>1.</w:t>
      </w:r>
      <w:r>
        <w:rPr>
          <w:noProof/>
        </w:rPr>
        <w:tab/>
      </w:r>
      <w:r>
        <w:rPr>
          <w:b/>
          <w:noProof/>
        </w:rPr>
        <w:t>Objectif et champ d’application</w:t>
      </w:r>
    </w:p>
    <w:p>
      <w:pPr>
        <w:spacing w:after="0"/>
        <w:ind w:left="567" w:hanging="567"/>
        <w:rPr>
          <w:rFonts w:eastAsia="Arial Unicode MS"/>
          <w:noProof/>
          <w:szCs w:val="24"/>
        </w:rPr>
      </w:pPr>
      <w:r>
        <w:rPr>
          <w:noProof/>
        </w:rPr>
        <w:t>1.1.</w:t>
      </w:r>
      <w:r>
        <w:rPr>
          <w:noProof/>
        </w:rPr>
        <w:tab/>
        <w:t>Le présent appendice définit les modalités selon lesquelles l’autorité compétente visée à l’article 77 doit mener la procédure d’évaluation des services techniques.</w:t>
      </w:r>
    </w:p>
    <w:p>
      <w:pPr>
        <w:spacing w:after="0"/>
        <w:ind w:left="567" w:hanging="567"/>
        <w:rPr>
          <w:rFonts w:eastAsia="Arial Unicode MS"/>
          <w:noProof/>
          <w:szCs w:val="24"/>
        </w:rPr>
      </w:pPr>
      <w:r>
        <w:rPr>
          <w:noProof/>
        </w:rPr>
        <w:t>1.2.</w:t>
      </w:r>
      <w:r>
        <w:rPr>
          <w:noProof/>
        </w:rPr>
        <w:tab/>
        <w:t>Ces prescriptions s’appliquent à tous les services techniques, quel que soit leur statut juridique (organisation indépendante, constructeur ou autorité compétente en matière de réception faisant fonction de service technique).</w:t>
      </w:r>
    </w:p>
    <w:p>
      <w:pPr>
        <w:spacing w:before="360" w:after="240"/>
        <w:ind w:left="567" w:hanging="567"/>
        <w:jc w:val="left"/>
        <w:rPr>
          <w:rFonts w:eastAsia="Arial Unicode MS"/>
          <w:b/>
          <w:bCs/>
          <w:noProof/>
          <w:szCs w:val="24"/>
        </w:rPr>
      </w:pPr>
      <w:r>
        <w:rPr>
          <w:b/>
          <w:noProof/>
        </w:rPr>
        <w:t>2.</w:t>
      </w:r>
      <w:r>
        <w:rPr>
          <w:noProof/>
        </w:rPr>
        <w:tab/>
      </w:r>
      <w:r>
        <w:rPr>
          <w:b/>
          <w:noProof/>
        </w:rPr>
        <w:t xml:space="preserve">Évaluations </w:t>
      </w:r>
    </w:p>
    <w:p>
      <w:pPr>
        <w:spacing w:after="0"/>
        <w:ind w:left="567"/>
        <w:rPr>
          <w:rFonts w:eastAsia="Arial Unicode MS"/>
          <w:noProof/>
          <w:szCs w:val="24"/>
        </w:rPr>
      </w:pPr>
      <w:r>
        <w:rPr>
          <w:noProof/>
        </w:rPr>
        <w:t>La réalisation d’une évaluation est régie par:</w:t>
      </w:r>
    </w:p>
    <w:p>
      <w:pPr>
        <w:spacing w:after="0"/>
        <w:ind w:left="1134" w:hanging="567"/>
        <w:rPr>
          <w:rFonts w:eastAsia="Arial Unicode MS"/>
          <w:noProof/>
          <w:szCs w:val="24"/>
        </w:rPr>
      </w:pPr>
      <w:r>
        <w:rPr>
          <w:noProof/>
        </w:rPr>
        <w:t>i)</w:t>
      </w:r>
      <w:r>
        <w:rPr>
          <w:noProof/>
        </w:rPr>
        <w:tab/>
        <w:t>le principe d’indépendance, condition sine qua non de l’impartialité et de l’objectivité des conclusions;</w:t>
      </w:r>
    </w:p>
    <w:p>
      <w:pPr>
        <w:spacing w:after="0"/>
        <w:ind w:left="1134" w:hanging="567"/>
        <w:rPr>
          <w:rFonts w:eastAsia="Arial Unicode MS"/>
          <w:noProof/>
          <w:szCs w:val="24"/>
        </w:rPr>
      </w:pPr>
      <w:r>
        <w:rPr>
          <w:noProof/>
        </w:rPr>
        <w:t>ii)</w:t>
      </w:r>
      <w:r>
        <w:rPr>
          <w:noProof/>
        </w:rPr>
        <w:tab/>
        <w:t>une approche fondée sur des observations factuelles, garantie de conclusions fiables et reproductibles.</w:t>
      </w:r>
    </w:p>
    <w:p>
      <w:pPr>
        <w:spacing w:after="0"/>
        <w:ind w:left="567"/>
        <w:rPr>
          <w:rFonts w:eastAsia="Arial Unicode MS"/>
          <w:noProof/>
          <w:szCs w:val="24"/>
        </w:rPr>
      </w:pPr>
      <w:r>
        <w:rPr>
          <w:noProof/>
        </w:rPr>
        <w:t>Les contrôleurs font preuve de responsabilité et d’intégrité, tout en respectant les principes de confidentialité et de discrétion.</w:t>
      </w:r>
    </w:p>
    <w:p>
      <w:pPr>
        <w:spacing w:after="0"/>
        <w:ind w:left="567"/>
        <w:rPr>
          <w:rFonts w:eastAsia="Arial Unicode MS"/>
          <w:noProof/>
          <w:szCs w:val="24"/>
        </w:rPr>
      </w:pPr>
      <w:r>
        <w:rPr>
          <w:noProof/>
        </w:rPr>
        <w:t>Ils doivent rendre leurs conclusions avec fidélité et précision.</w:t>
      </w:r>
    </w:p>
    <w:p>
      <w:pPr>
        <w:spacing w:before="360" w:after="240"/>
        <w:ind w:left="567" w:hanging="567"/>
        <w:jc w:val="left"/>
        <w:rPr>
          <w:rFonts w:eastAsia="Arial Unicode MS"/>
          <w:b/>
          <w:bCs/>
          <w:noProof/>
          <w:szCs w:val="24"/>
        </w:rPr>
      </w:pPr>
      <w:r>
        <w:rPr>
          <w:b/>
          <w:noProof/>
        </w:rPr>
        <w:t>3.</w:t>
      </w:r>
      <w:r>
        <w:rPr>
          <w:noProof/>
        </w:rPr>
        <w:tab/>
      </w:r>
      <w:r>
        <w:rPr>
          <w:b/>
          <w:noProof/>
        </w:rPr>
        <w:t xml:space="preserve">Aptitudes requises des contrôleurs </w:t>
      </w:r>
    </w:p>
    <w:p>
      <w:pPr>
        <w:spacing w:after="0"/>
        <w:ind w:left="567" w:hanging="567"/>
        <w:rPr>
          <w:rFonts w:eastAsia="Arial Unicode MS"/>
          <w:noProof/>
          <w:szCs w:val="24"/>
        </w:rPr>
      </w:pPr>
      <w:r>
        <w:rPr>
          <w:noProof/>
        </w:rPr>
        <w:t>3.1.</w:t>
      </w:r>
      <w:r>
        <w:rPr>
          <w:noProof/>
        </w:rPr>
        <w:tab/>
        <w:t>Les évaluations ne peuvent être effectuées que par des contrôleurs ayant les connaissances techniques et administratives nécessaires pour les mener à bien.</w:t>
      </w:r>
    </w:p>
    <w:p>
      <w:pPr>
        <w:spacing w:after="0"/>
        <w:ind w:left="567" w:hanging="567"/>
        <w:rPr>
          <w:rFonts w:eastAsia="Arial Unicode MS"/>
          <w:noProof/>
          <w:szCs w:val="24"/>
        </w:rPr>
      </w:pPr>
      <w:r>
        <w:rPr>
          <w:noProof/>
        </w:rPr>
        <w:t>3.2.</w:t>
      </w:r>
      <w:r>
        <w:rPr>
          <w:noProof/>
        </w:rPr>
        <w:tab/>
        <w:t>Les contrôleurs doivent être spécialement formés pour mener des activités d’évaluation. Ils doivent, en outre, avoir une connaissance précise du domaine technique dans lequel le service technique exercera ses activités.</w:t>
      </w:r>
    </w:p>
    <w:p>
      <w:pPr>
        <w:spacing w:after="0"/>
        <w:ind w:left="567" w:hanging="567"/>
        <w:rPr>
          <w:rFonts w:eastAsia="Arial Unicode MS"/>
          <w:noProof/>
          <w:szCs w:val="24"/>
        </w:rPr>
      </w:pPr>
      <w:r>
        <w:rPr>
          <w:noProof/>
        </w:rPr>
        <w:t>3.3.</w:t>
      </w:r>
      <w:r>
        <w:rPr>
          <w:noProof/>
        </w:rPr>
        <w:tab/>
        <w:t>Sans préjudice des points 3.1 et 3.2, l’évaluation visée à l’article 77 est menée par des contrôleurs indépendantes des activités sur lesquelles porte l’évaluation.</w:t>
      </w:r>
    </w:p>
    <w:p>
      <w:pPr>
        <w:spacing w:before="360" w:after="240"/>
        <w:ind w:left="567" w:hanging="567"/>
        <w:jc w:val="left"/>
        <w:rPr>
          <w:rFonts w:eastAsia="Arial Unicode MS"/>
          <w:b/>
          <w:bCs/>
          <w:noProof/>
          <w:szCs w:val="24"/>
        </w:rPr>
      </w:pPr>
      <w:r>
        <w:rPr>
          <w:b/>
          <w:noProof/>
        </w:rPr>
        <w:t>4.</w:t>
      </w:r>
      <w:r>
        <w:rPr>
          <w:noProof/>
        </w:rPr>
        <w:tab/>
      </w:r>
      <w:r>
        <w:rPr>
          <w:b/>
          <w:noProof/>
        </w:rPr>
        <w:t xml:space="preserve">Demande de désignation </w:t>
      </w:r>
    </w:p>
    <w:p>
      <w:pPr>
        <w:spacing w:after="0"/>
        <w:ind w:left="567" w:hanging="567"/>
        <w:rPr>
          <w:rFonts w:eastAsia="Arial Unicode MS"/>
          <w:noProof/>
          <w:szCs w:val="24"/>
        </w:rPr>
      </w:pPr>
      <w:r>
        <w:rPr>
          <w:noProof/>
        </w:rPr>
        <w:t>4.1.</w:t>
      </w:r>
      <w:r>
        <w:rPr>
          <w:noProof/>
        </w:rPr>
        <w:tab/>
        <w:t>Un représentant dûment habilité du service technique demandeur présente à l’autorité compétente une demande formelle comprenant:</w:t>
      </w:r>
    </w:p>
    <w:p>
      <w:pPr>
        <w:spacing w:after="0"/>
        <w:ind w:left="1134" w:hanging="567"/>
        <w:rPr>
          <w:rFonts w:eastAsia="Arial Unicode MS"/>
          <w:noProof/>
          <w:szCs w:val="24"/>
        </w:rPr>
      </w:pPr>
      <w:r>
        <w:rPr>
          <w:noProof/>
        </w:rPr>
        <w:t>a)</w:t>
      </w:r>
      <w:r>
        <w:rPr>
          <w:noProof/>
        </w:rPr>
        <w:tab/>
        <w:t>des données à caractère général concernant le service technique, y compris notamment la raison sociale, le nom, les adresses, le statut juridique et le potentiel technique;</w:t>
      </w:r>
    </w:p>
    <w:p>
      <w:pPr>
        <w:spacing w:after="0"/>
        <w:ind w:left="1134" w:hanging="567"/>
        <w:rPr>
          <w:rFonts w:eastAsia="Arial Unicode MS"/>
          <w:noProof/>
          <w:szCs w:val="24"/>
        </w:rPr>
      </w:pPr>
      <w:r>
        <w:rPr>
          <w:noProof/>
        </w:rPr>
        <w:t>b)</w:t>
      </w:r>
      <w:r>
        <w:rPr>
          <w:noProof/>
        </w:rPr>
        <w:tab/>
        <w:t>une description détaillée, y compris les curriculum vitæ, du personnel en charge des essais et du personnel d’encadrement, s’appuyant sur les formations reçues et les compétences professionnelles;</w:t>
      </w:r>
    </w:p>
    <w:p>
      <w:pPr>
        <w:spacing w:after="0"/>
        <w:ind w:left="1134" w:hanging="567"/>
        <w:rPr>
          <w:rFonts w:eastAsia="Arial Unicode MS"/>
          <w:noProof/>
          <w:szCs w:val="24"/>
        </w:rPr>
      </w:pPr>
      <w:r>
        <w:rPr>
          <w:noProof/>
        </w:rPr>
        <w:t>c)</w:t>
      </w:r>
      <w:r>
        <w:rPr>
          <w:noProof/>
        </w:rPr>
        <w:tab/>
        <w:t>les services techniques qui utilisent des méthodes d’essai virtuel doivent apporter la preuve de leur capacité de travailler dans un environnement assisté par ordinateur;</w:t>
      </w:r>
    </w:p>
    <w:p>
      <w:pPr>
        <w:spacing w:after="0"/>
        <w:ind w:left="1134" w:hanging="567"/>
        <w:rPr>
          <w:rFonts w:eastAsia="Arial Unicode MS"/>
          <w:noProof/>
          <w:szCs w:val="24"/>
        </w:rPr>
      </w:pPr>
      <w:r>
        <w:rPr>
          <w:noProof/>
        </w:rPr>
        <w:t>d)</w:t>
      </w:r>
      <w:r>
        <w:rPr>
          <w:noProof/>
        </w:rPr>
        <w:tab/>
        <w:t>des informations générales concernant le service technique, telles que la nature de ses activités, sa place au sein d’une entité constituée plus grande, le cas échéant, et l’adresse de toutes ses installations visées par la désignation;</w:t>
      </w:r>
    </w:p>
    <w:p>
      <w:pPr>
        <w:spacing w:after="0"/>
        <w:ind w:left="1134" w:hanging="567"/>
        <w:rPr>
          <w:rFonts w:eastAsia="Arial Unicode MS"/>
          <w:noProof/>
          <w:szCs w:val="24"/>
        </w:rPr>
      </w:pPr>
      <w:r>
        <w:rPr>
          <w:noProof/>
        </w:rPr>
        <w:t>e)</w:t>
      </w:r>
      <w:r>
        <w:rPr>
          <w:noProof/>
        </w:rPr>
        <w:tab/>
        <w:t>un document par lequel le service technique accepte l’obligation de respecter les prescriptions concernant la désignation ainsi que les autres obligations prévues dans les actes réglementaires applicables pour lesquels il est désigné;</w:t>
      </w:r>
    </w:p>
    <w:p>
      <w:pPr>
        <w:spacing w:after="0"/>
        <w:ind w:left="1134" w:hanging="600"/>
        <w:rPr>
          <w:rFonts w:eastAsia="Arial Unicode MS"/>
          <w:noProof/>
          <w:szCs w:val="24"/>
        </w:rPr>
      </w:pPr>
      <w:r>
        <w:rPr>
          <w:noProof/>
        </w:rPr>
        <w:t>d)</w:t>
      </w:r>
      <w:r>
        <w:rPr>
          <w:noProof/>
        </w:rPr>
        <w:tab/>
        <w:t>une description des activités d’évaluation de la conformité que le service technique mène dans le cadre des actes réglementaires applicables ainsi qu’une liste des actes réglementaires pour lesquels le service technique sollicite la désignation, avec indication de limites de capacité, s’il y a lieu;</w:t>
      </w:r>
    </w:p>
    <w:p>
      <w:pPr>
        <w:spacing w:after="0"/>
        <w:ind w:left="1134" w:hanging="600"/>
        <w:rPr>
          <w:rFonts w:eastAsia="Arial Unicode MS"/>
          <w:noProof/>
          <w:szCs w:val="24"/>
        </w:rPr>
      </w:pPr>
      <w:r>
        <w:rPr>
          <w:noProof/>
        </w:rPr>
        <w:t>g)</w:t>
      </w:r>
      <w:r>
        <w:rPr>
          <w:noProof/>
        </w:rPr>
        <w:tab/>
        <w:t>une copie du manuel d’assurance qualité du service technique.</w:t>
      </w:r>
    </w:p>
    <w:p>
      <w:pPr>
        <w:spacing w:after="0"/>
        <w:ind w:left="567" w:hanging="578"/>
        <w:rPr>
          <w:rFonts w:eastAsia="Arial Unicode MS"/>
          <w:noProof/>
          <w:szCs w:val="24"/>
        </w:rPr>
      </w:pPr>
      <w:r>
        <w:rPr>
          <w:noProof/>
        </w:rPr>
        <w:t>4.2.</w:t>
      </w:r>
      <w:r>
        <w:rPr>
          <w:noProof/>
        </w:rPr>
        <w:tab/>
        <w:t>L’autorité compétente doit vérifier l’adéquation des informations fournies par le service technique.</w:t>
      </w:r>
    </w:p>
    <w:p>
      <w:pPr>
        <w:spacing w:after="0"/>
        <w:ind w:left="567" w:hanging="578"/>
        <w:rPr>
          <w:rFonts w:eastAsia="Arial Unicode MS"/>
          <w:noProof/>
          <w:szCs w:val="24"/>
        </w:rPr>
      </w:pPr>
      <w:r>
        <w:rPr>
          <w:noProof/>
        </w:rPr>
        <w:t>4.3.</w:t>
      </w:r>
      <w:r>
        <w:rPr>
          <w:noProof/>
        </w:rPr>
        <w:tab/>
        <w:t>Le service technique doit notifier à l’autorité compétente en matière de réception tout changement par rapport aux informations fournies conformément au point 4.1.</w:t>
      </w:r>
    </w:p>
    <w:p>
      <w:pPr>
        <w:spacing w:before="360" w:after="240"/>
        <w:ind w:left="567" w:hanging="567"/>
        <w:jc w:val="left"/>
        <w:rPr>
          <w:rFonts w:eastAsia="Arial Unicode MS"/>
          <w:b/>
          <w:bCs/>
          <w:noProof/>
          <w:szCs w:val="24"/>
        </w:rPr>
      </w:pPr>
      <w:r>
        <w:rPr>
          <w:b/>
          <w:noProof/>
        </w:rPr>
        <w:t>5.</w:t>
      </w:r>
      <w:r>
        <w:rPr>
          <w:noProof/>
        </w:rPr>
        <w:tab/>
      </w:r>
      <w:r>
        <w:rPr>
          <w:b/>
          <w:noProof/>
        </w:rPr>
        <w:t xml:space="preserve">Examen des ressources </w:t>
      </w:r>
    </w:p>
    <w:p>
      <w:pPr>
        <w:spacing w:after="0"/>
        <w:ind w:left="567"/>
        <w:rPr>
          <w:rFonts w:eastAsia="Arial Unicode MS"/>
          <w:noProof/>
          <w:szCs w:val="24"/>
        </w:rPr>
      </w:pPr>
      <w:r>
        <w:rPr>
          <w:noProof/>
        </w:rPr>
        <w:t>L’autorité compétente doit vérifier qu’elle est apte à procéder à l’évaluation du service technique, qu’il s’agisse de sa propre politique, de ses compétences ou de l’existence de contrôleurs et d’experts compétents disponibles.</w:t>
      </w:r>
    </w:p>
    <w:p>
      <w:pPr>
        <w:spacing w:before="360" w:after="240"/>
        <w:ind w:left="567" w:hanging="567"/>
        <w:jc w:val="left"/>
        <w:rPr>
          <w:rFonts w:eastAsia="Arial Unicode MS"/>
          <w:b/>
          <w:bCs/>
          <w:noProof/>
          <w:szCs w:val="24"/>
        </w:rPr>
      </w:pPr>
      <w:r>
        <w:rPr>
          <w:b/>
          <w:noProof/>
        </w:rPr>
        <w:t>6.</w:t>
      </w:r>
      <w:r>
        <w:rPr>
          <w:noProof/>
        </w:rPr>
        <w:tab/>
      </w:r>
      <w:r>
        <w:rPr>
          <w:b/>
          <w:noProof/>
        </w:rPr>
        <w:t xml:space="preserve">Sous-traitance de l’évaluation </w:t>
      </w:r>
    </w:p>
    <w:p>
      <w:pPr>
        <w:spacing w:after="0"/>
        <w:ind w:left="567" w:hanging="567"/>
        <w:rPr>
          <w:rFonts w:eastAsia="Arial Unicode MS"/>
          <w:noProof/>
          <w:szCs w:val="24"/>
        </w:rPr>
      </w:pPr>
      <w:r>
        <w:rPr>
          <w:noProof/>
        </w:rPr>
        <w:t>6.1.</w:t>
      </w:r>
      <w:r>
        <w:rPr>
          <w:noProof/>
        </w:rPr>
        <w:tab/>
        <w:t xml:space="preserve">L’autorité compétente peut sous-traiter des parties de l’évaluation à une autre autorité de désignation ou demander à d’autres autorités compétentes de mettre à sa disposition des experts techniques qui l’aideront à s’acquitter de sa tâche. Les sous-traitants et experts doivent être acceptés par le service technique demandeur. </w:t>
      </w:r>
    </w:p>
    <w:p>
      <w:pPr>
        <w:spacing w:after="0"/>
        <w:ind w:left="567" w:hanging="567"/>
        <w:rPr>
          <w:rFonts w:eastAsia="Arial Unicode MS"/>
          <w:noProof/>
          <w:szCs w:val="24"/>
        </w:rPr>
      </w:pPr>
      <w:r>
        <w:rPr>
          <w:noProof/>
        </w:rPr>
        <w:t>6.2.</w:t>
      </w:r>
      <w:r>
        <w:rPr>
          <w:noProof/>
        </w:rPr>
        <w:tab/>
        <w:t>L’autorité compétente doit tenir compte des certificats d’accréditation pertinents afin de mener à bien son évaluation globale du service technique.</w:t>
      </w:r>
    </w:p>
    <w:p>
      <w:pPr>
        <w:spacing w:before="360" w:after="240"/>
        <w:ind w:left="567" w:hanging="567"/>
        <w:jc w:val="left"/>
        <w:rPr>
          <w:rFonts w:eastAsia="Arial Unicode MS"/>
          <w:b/>
          <w:bCs/>
          <w:noProof/>
          <w:szCs w:val="24"/>
        </w:rPr>
      </w:pPr>
      <w:r>
        <w:rPr>
          <w:b/>
          <w:noProof/>
        </w:rPr>
        <w:t>7.</w:t>
      </w:r>
      <w:r>
        <w:rPr>
          <w:noProof/>
        </w:rPr>
        <w:tab/>
      </w:r>
      <w:r>
        <w:rPr>
          <w:b/>
          <w:noProof/>
        </w:rPr>
        <w:t xml:space="preserve">Préparation de l’évaluation </w:t>
      </w:r>
    </w:p>
    <w:p>
      <w:pPr>
        <w:spacing w:after="0"/>
        <w:ind w:left="567" w:hanging="567"/>
        <w:rPr>
          <w:rFonts w:eastAsia="Arial Unicode MS"/>
          <w:noProof/>
          <w:szCs w:val="24"/>
        </w:rPr>
      </w:pPr>
      <w:r>
        <w:rPr>
          <w:noProof/>
        </w:rPr>
        <w:t>7.1.</w:t>
      </w:r>
      <w:r>
        <w:rPr>
          <w:noProof/>
        </w:rPr>
        <w:tab/>
        <w:t>L’autorité compétente doit constituer une équipe d’évaluation en bonne et due forme. Elle doit s’assurer que cette équipe a les compétences techniques nécessaires pour s’acquitter de chacune des tâches qui lui sont confiées. En particulier, l’équipe dans son ensemble doit posséder:</w:t>
      </w:r>
    </w:p>
    <w:p>
      <w:pPr>
        <w:spacing w:after="0"/>
        <w:ind w:left="1134" w:hanging="567"/>
        <w:rPr>
          <w:rFonts w:eastAsia="Arial Unicode MS"/>
          <w:noProof/>
          <w:szCs w:val="24"/>
        </w:rPr>
      </w:pPr>
      <w:r>
        <w:rPr>
          <w:noProof/>
        </w:rPr>
        <w:t>a)</w:t>
      </w:r>
      <w:r>
        <w:rPr>
          <w:noProof/>
        </w:rPr>
        <w:tab/>
        <w:t xml:space="preserve">une connaissance appropriée du domaine particulier pour lequel la désignation est demandée; </w:t>
      </w:r>
    </w:p>
    <w:p>
      <w:pPr>
        <w:spacing w:after="0"/>
        <w:ind w:left="1134" w:hanging="567"/>
        <w:rPr>
          <w:rFonts w:eastAsia="Arial Unicode MS"/>
          <w:noProof/>
          <w:szCs w:val="24"/>
        </w:rPr>
      </w:pPr>
      <w:r>
        <w:rPr>
          <w:noProof/>
        </w:rPr>
        <w:t>b)</w:t>
      </w:r>
      <w:r>
        <w:rPr>
          <w:noProof/>
        </w:rPr>
        <w:tab/>
        <w:t>des connaissances suffisantes pour évaluer de manière fiable l’aptitude du service technique à exercer ses activités dans ce domaine.</w:t>
      </w:r>
    </w:p>
    <w:p>
      <w:pPr>
        <w:spacing w:after="0"/>
        <w:ind w:left="567" w:hanging="567"/>
        <w:rPr>
          <w:rFonts w:eastAsia="Arial Unicode MS"/>
          <w:noProof/>
          <w:szCs w:val="24"/>
        </w:rPr>
      </w:pPr>
      <w:r>
        <w:rPr>
          <w:noProof/>
        </w:rPr>
        <w:t>7.2.</w:t>
      </w:r>
      <w:r>
        <w:rPr>
          <w:noProof/>
        </w:rPr>
        <w:tab/>
        <w:t>L’autorité compétente doit définir clairement la tâche qui est assignée à l’équipe d’évaluation. Le travail de l’équipe d’évaluation consiste à examiner les documents reçus du service technique demandeur et à procéder à l’évaluation sur site.</w:t>
      </w:r>
    </w:p>
    <w:p>
      <w:pPr>
        <w:spacing w:after="0"/>
        <w:ind w:left="567" w:hanging="567"/>
        <w:rPr>
          <w:rFonts w:eastAsia="Arial Unicode MS"/>
          <w:noProof/>
          <w:szCs w:val="24"/>
        </w:rPr>
      </w:pPr>
      <w:r>
        <w:rPr>
          <w:noProof/>
        </w:rPr>
        <w:t>7.3.</w:t>
      </w:r>
      <w:r>
        <w:rPr>
          <w:noProof/>
        </w:rPr>
        <w:tab/>
        <w:t>L’autorité compétente doit convenir, avec le service technique et l’équipe chargée de l’évaluation, de la date et du calendrier de l’évaluation. Toutefois, c’est à l’autorité compétente qu’incombe la responsabilité de veiller à ce que cette date cadre avec le plan de surveillance et de réévaluation.</w:t>
      </w:r>
    </w:p>
    <w:p>
      <w:pPr>
        <w:spacing w:after="0"/>
        <w:ind w:left="567" w:hanging="567"/>
        <w:rPr>
          <w:rFonts w:eastAsia="Arial Unicode MS"/>
          <w:noProof/>
          <w:szCs w:val="24"/>
        </w:rPr>
      </w:pPr>
      <w:r>
        <w:rPr>
          <w:noProof/>
        </w:rPr>
        <w:t>7.4.</w:t>
      </w:r>
      <w:r>
        <w:rPr>
          <w:noProof/>
        </w:rPr>
        <w:tab/>
        <w:t>L’autorité compétente doit veiller à ce que l’équipe d’évaluation dispose des documents appropriés concernant les critères, des comptes rendus des évaluations précédentes ainsi que des documents et dossiers pertinents concernant le service technique.</w:t>
      </w:r>
    </w:p>
    <w:p>
      <w:pPr>
        <w:spacing w:before="360" w:after="240"/>
        <w:ind w:left="567" w:hanging="567"/>
        <w:jc w:val="left"/>
        <w:rPr>
          <w:rFonts w:eastAsia="Arial Unicode MS"/>
          <w:b/>
          <w:bCs/>
          <w:noProof/>
          <w:szCs w:val="24"/>
        </w:rPr>
      </w:pPr>
      <w:r>
        <w:rPr>
          <w:b/>
          <w:noProof/>
        </w:rPr>
        <w:t>8.</w:t>
      </w:r>
      <w:r>
        <w:rPr>
          <w:noProof/>
        </w:rPr>
        <w:tab/>
      </w:r>
      <w:r>
        <w:rPr>
          <w:b/>
          <w:noProof/>
        </w:rPr>
        <w:t xml:space="preserve">Évaluation sur site </w:t>
      </w:r>
    </w:p>
    <w:p>
      <w:pPr>
        <w:spacing w:after="0"/>
        <w:ind w:left="567"/>
        <w:rPr>
          <w:rFonts w:eastAsia="Arial Unicode MS"/>
          <w:noProof/>
          <w:szCs w:val="24"/>
        </w:rPr>
      </w:pPr>
      <w:r>
        <w:rPr>
          <w:noProof/>
        </w:rPr>
        <w:t>L’équipe d’évaluation doit procéder à l’évaluation du service technique dans les locaux où celui-ci mène une ou plusieurs de ses activités principales et, s’il y a lieu, inspecter certaines autres installations où le service technique opère.</w:t>
      </w:r>
    </w:p>
    <w:p>
      <w:pPr>
        <w:spacing w:before="360" w:after="240"/>
        <w:ind w:left="567" w:hanging="567"/>
        <w:jc w:val="left"/>
        <w:rPr>
          <w:rFonts w:eastAsia="Arial Unicode MS"/>
          <w:b/>
          <w:bCs/>
          <w:noProof/>
          <w:szCs w:val="24"/>
        </w:rPr>
      </w:pPr>
      <w:r>
        <w:rPr>
          <w:b/>
          <w:noProof/>
        </w:rPr>
        <w:t>9.</w:t>
      </w:r>
      <w:r>
        <w:rPr>
          <w:noProof/>
        </w:rPr>
        <w:tab/>
      </w:r>
      <w:r>
        <w:rPr>
          <w:b/>
          <w:noProof/>
        </w:rPr>
        <w:t xml:space="preserve">Analyse des conclusions et rapport d’évaluation </w:t>
      </w:r>
    </w:p>
    <w:p>
      <w:pPr>
        <w:spacing w:after="0"/>
        <w:ind w:left="567" w:hanging="567"/>
        <w:rPr>
          <w:rFonts w:eastAsia="Arial Unicode MS"/>
          <w:noProof/>
          <w:szCs w:val="24"/>
        </w:rPr>
      </w:pPr>
      <w:r>
        <w:rPr>
          <w:noProof/>
        </w:rPr>
        <w:t>9.1.</w:t>
      </w:r>
      <w:r>
        <w:rPr>
          <w:noProof/>
        </w:rPr>
        <w:tab/>
        <w:t>L’équipe d’évaluation doit analyser toutes les informations et données pertinentes recueillies pendant l’examen des documents et des dossiers et lors de l’évaluation sur site. Cette analyse doit être suffisamment approfondie pour permettre de déterminer le niveau de compétence du service technique et la mesure dans laquelle il remplit les conditions requises pour être désigné.</w:t>
      </w:r>
    </w:p>
    <w:p>
      <w:pPr>
        <w:spacing w:after="0"/>
        <w:ind w:left="567" w:hanging="567"/>
        <w:rPr>
          <w:rFonts w:eastAsia="Arial Unicode MS"/>
          <w:noProof/>
          <w:szCs w:val="24"/>
        </w:rPr>
      </w:pPr>
      <w:r>
        <w:rPr>
          <w:noProof/>
        </w:rPr>
        <w:t>9.2.</w:t>
      </w:r>
      <w:r>
        <w:rPr>
          <w:noProof/>
        </w:rPr>
        <w:tab/>
        <w:t>Les procédures de l’autorité compétente en ce qui concerne l’établissement des rapports doivent garantir que les prescriptions suivantes sont respectées:</w:t>
      </w:r>
    </w:p>
    <w:p>
      <w:pPr>
        <w:spacing w:after="0"/>
        <w:ind w:left="567" w:hanging="567"/>
        <w:rPr>
          <w:rFonts w:eastAsia="Arial Unicode MS"/>
          <w:noProof/>
          <w:szCs w:val="24"/>
        </w:rPr>
      </w:pPr>
      <w:r>
        <w:rPr>
          <w:noProof/>
        </w:rPr>
        <w:t>9.2.1.</w:t>
      </w:r>
      <w:r>
        <w:rPr>
          <w:noProof/>
        </w:rPr>
        <w:tab/>
        <w:t>L’équipe d’évaluation et le service technique doivent se réunir avant de quitter le site. Lors de cette réunion, l’équipe d’évaluation doit remettre au service technique un compte rendu écrit et/ou rendre compte oralement des conclusions qu’elle a tirées de son analyse. Le service technique doit pouvoir poser des questions sur ces conclusions, notamment, le cas échéant, sur celles qui concernent les prescriptions non respectées et sur leur fondement.</w:t>
      </w:r>
    </w:p>
    <w:p>
      <w:pPr>
        <w:spacing w:after="0"/>
        <w:ind w:left="567" w:hanging="567"/>
        <w:rPr>
          <w:rFonts w:eastAsia="Arial Unicode MS"/>
          <w:noProof/>
          <w:szCs w:val="24"/>
        </w:rPr>
      </w:pPr>
      <w:r>
        <w:rPr>
          <w:noProof/>
        </w:rPr>
        <w:t>9.2.2.</w:t>
      </w:r>
      <w:r>
        <w:rPr>
          <w:noProof/>
        </w:rPr>
        <w:tab/>
        <w:t>Un rapport écrit sur les conclusions de l'évaluation doit être porté sans retard à l'attention du service technique. Ce rapport d’évaluation doit contenir des observations sur la compétence et la conformité et mettre en évidence, le cas échéant, les problèmes de non-conformité auxquels il faudra remédier afin de respecter toutes les conditions requises pour la désignation.</w:t>
      </w:r>
    </w:p>
    <w:p>
      <w:pPr>
        <w:spacing w:after="0"/>
        <w:ind w:left="567" w:hanging="567"/>
        <w:rPr>
          <w:rFonts w:eastAsia="Arial Unicode MS"/>
          <w:noProof/>
          <w:szCs w:val="24"/>
        </w:rPr>
      </w:pPr>
      <w:r>
        <w:rPr>
          <w:noProof/>
        </w:rPr>
        <w:t>9.2.3.</w:t>
      </w:r>
      <w:r>
        <w:rPr>
          <w:noProof/>
        </w:rPr>
        <w:tab/>
        <w:t>Le service technique doit être invité à donner suite au rapport d’évaluation et à décrire les mesures concrètes qu’il a prises ou qu’il compte prendre, dans un délai donné, pour remédier à tout problème de non-conformité ayant été mis en évidence.</w:t>
      </w:r>
    </w:p>
    <w:p>
      <w:pPr>
        <w:spacing w:after="0"/>
        <w:ind w:left="567" w:hanging="567"/>
        <w:rPr>
          <w:rFonts w:eastAsia="Arial Unicode MS"/>
          <w:noProof/>
          <w:szCs w:val="24"/>
        </w:rPr>
      </w:pPr>
      <w:r>
        <w:rPr>
          <w:noProof/>
        </w:rPr>
        <w:t>9.3.</w:t>
      </w:r>
      <w:r>
        <w:rPr>
          <w:noProof/>
        </w:rPr>
        <w:tab/>
        <w:t>L’autorité compétente doit veiller à ce que les mesures prises par le service technique pour remédier aux problèmes de non-conformité soient suffisantes et efficaces. Si tel n’est pas le cas, de nouvelles informations doivent être demandées au service technique. On peut, en outre, lui demander d’apporter la preuve que les mesures prises ont effectivement été mises en œuvre ou procéder à une évaluation de suivi pour vérifier que des mesures correctives ont effectivement été mises en œuvre.</w:t>
      </w:r>
    </w:p>
    <w:p>
      <w:pPr>
        <w:spacing w:after="0"/>
        <w:ind w:left="567" w:hanging="567"/>
        <w:rPr>
          <w:rFonts w:eastAsia="Arial Unicode MS"/>
          <w:noProof/>
          <w:szCs w:val="24"/>
        </w:rPr>
      </w:pPr>
      <w:r>
        <w:rPr>
          <w:noProof/>
        </w:rPr>
        <w:t>9.4.</w:t>
      </w:r>
      <w:r>
        <w:rPr>
          <w:noProof/>
        </w:rPr>
        <w:tab/>
        <w:t>Le rapport d’évaluation doit comporter au moins les éléments d’information suivants:</w:t>
      </w:r>
    </w:p>
    <w:p>
      <w:pPr>
        <w:spacing w:after="0"/>
        <w:ind w:left="1134" w:hanging="567"/>
        <w:rPr>
          <w:rFonts w:eastAsia="Arial Unicode MS"/>
          <w:noProof/>
          <w:szCs w:val="24"/>
        </w:rPr>
      </w:pPr>
      <w:r>
        <w:rPr>
          <w:noProof/>
        </w:rPr>
        <w:t>a)</w:t>
      </w:r>
      <w:r>
        <w:rPr>
          <w:noProof/>
        </w:rPr>
        <w:tab/>
        <w:t>l’identification non équivoque du service technique;</w:t>
      </w:r>
    </w:p>
    <w:p>
      <w:pPr>
        <w:spacing w:after="0"/>
        <w:ind w:left="1134" w:hanging="567"/>
        <w:rPr>
          <w:rFonts w:eastAsia="Arial Unicode MS"/>
          <w:noProof/>
          <w:szCs w:val="24"/>
        </w:rPr>
      </w:pPr>
      <w:r>
        <w:rPr>
          <w:noProof/>
        </w:rPr>
        <w:t>b)</w:t>
      </w:r>
      <w:r>
        <w:rPr>
          <w:noProof/>
        </w:rPr>
        <w:tab/>
        <w:t>la ou les dates de l’évaluation sur site;</w:t>
      </w:r>
    </w:p>
    <w:p>
      <w:pPr>
        <w:spacing w:after="0"/>
        <w:ind w:left="1134" w:hanging="567"/>
        <w:rPr>
          <w:rFonts w:eastAsia="Arial Unicode MS"/>
          <w:noProof/>
          <w:szCs w:val="24"/>
        </w:rPr>
      </w:pPr>
      <w:r>
        <w:rPr>
          <w:noProof/>
        </w:rPr>
        <w:t>c)</w:t>
      </w:r>
      <w:r>
        <w:rPr>
          <w:noProof/>
        </w:rPr>
        <w:tab/>
        <w:t>le nom du ou des contrôleurs et/ou des experts qui ont participé à l’évaluation;</w:t>
      </w:r>
    </w:p>
    <w:p>
      <w:pPr>
        <w:spacing w:after="0"/>
        <w:ind w:left="1134" w:hanging="567"/>
        <w:rPr>
          <w:rFonts w:eastAsia="Arial Unicode MS"/>
          <w:noProof/>
          <w:szCs w:val="24"/>
        </w:rPr>
      </w:pPr>
      <w:r>
        <w:rPr>
          <w:noProof/>
        </w:rPr>
        <w:t>d)</w:t>
      </w:r>
      <w:r>
        <w:rPr>
          <w:noProof/>
        </w:rPr>
        <w:tab/>
        <w:t>l’identification non équivoque de tous les sites évalués;</w:t>
      </w:r>
    </w:p>
    <w:p>
      <w:pPr>
        <w:spacing w:after="0"/>
        <w:ind w:left="1134" w:hanging="567"/>
        <w:rPr>
          <w:rFonts w:eastAsia="Arial Unicode MS"/>
          <w:noProof/>
          <w:szCs w:val="24"/>
        </w:rPr>
      </w:pPr>
      <w:r>
        <w:rPr>
          <w:noProof/>
        </w:rPr>
        <w:t>e)</w:t>
      </w:r>
      <w:r>
        <w:rPr>
          <w:noProof/>
        </w:rPr>
        <w:tab/>
        <w:t>le domaine pour lequel la désignation a été demandée et sur lequel a porté l’évaluation;</w:t>
      </w:r>
    </w:p>
    <w:p>
      <w:pPr>
        <w:spacing w:after="0"/>
        <w:ind w:left="1134" w:hanging="567"/>
        <w:rPr>
          <w:rFonts w:eastAsia="Arial Unicode MS"/>
          <w:noProof/>
          <w:szCs w:val="24"/>
        </w:rPr>
      </w:pPr>
      <w:r>
        <w:rPr>
          <w:noProof/>
        </w:rPr>
        <w:t>f)</w:t>
      </w:r>
      <w:r>
        <w:rPr>
          <w:noProof/>
        </w:rPr>
        <w:tab/>
        <w:t>une déclaration sur l’adéquation de l’organisation interne et des procédures adoptées par le service technique qui témoigne de ses compétences, établie à la lumière du respect des conditions requises pour la désignation;</w:t>
      </w:r>
    </w:p>
    <w:p>
      <w:pPr>
        <w:spacing w:after="0"/>
        <w:ind w:left="1134" w:hanging="567"/>
        <w:rPr>
          <w:rFonts w:eastAsia="Arial Unicode MS"/>
          <w:noProof/>
          <w:szCs w:val="24"/>
        </w:rPr>
      </w:pPr>
      <w:r>
        <w:rPr>
          <w:noProof/>
        </w:rPr>
        <w:t>g)</w:t>
      </w:r>
      <w:r>
        <w:rPr>
          <w:noProof/>
        </w:rPr>
        <w:tab/>
        <w:t>des informations sur le règlement de tous les points de non-conformité;</w:t>
      </w:r>
    </w:p>
    <w:p>
      <w:pPr>
        <w:spacing w:after="0"/>
        <w:ind w:left="1134" w:hanging="567"/>
        <w:rPr>
          <w:rFonts w:eastAsia="Arial Unicode MS"/>
          <w:noProof/>
          <w:szCs w:val="24"/>
        </w:rPr>
      </w:pPr>
      <w:r>
        <w:rPr>
          <w:noProof/>
        </w:rPr>
        <w:t xml:space="preserve">h) </w:t>
      </w:r>
      <w:r>
        <w:rPr>
          <w:noProof/>
        </w:rPr>
        <w:tab/>
        <w:t>une recommandation indiquant s’il y a lieu ou non de désigner ou de confirmer le service technique examiné et, dans l’affirmative, précisant le domaine concerné par cette désignation.</w:t>
      </w:r>
    </w:p>
    <w:p>
      <w:pPr>
        <w:spacing w:before="360" w:after="240"/>
        <w:ind w:left="567" w:hanging="567"/>
        <w:jc w:val="left"/>
        <w:rPr>
          <w:rFonts w:eastAsia="Arial Unicode MS"/>
          <w:b/>
          <w:bCs/>
          <w:noProof/>
          <w:szCs w:val="24"/>
        </w:rPr>
      </w:pPr>
      <w:r>
        <w:rPr>
          <w:b/>
          <w:noProof/>
        </w:rPr>
        <w:t>10.</w:t>
      </w:r>
      <w:r>
        <w:rPr>
          <w:noProof/>
        </w:rPr>
        <w:tab/>
      </w:r>
      <w:r>
        <w:rPr>
          <w:b/>
          <w:noProof/>
        </w:rPr>
        <w:t xml:space="preserve">Octroi ou confirmation d’une désignation </w:t>
      </w:r>
    </w:p>
    <w:p>
      <w:pPr>
        <w:spacing w:after="0"/>
        <w:ind w:left="567" w:hanging="567"/>
        <w:rPr>
          <w:rFonts w:eastAsia="Arial Unicode MS"/>
          <w:noProof/>
          <w:szCs w:val="24"/>
        </w:rPr>
      </w:pPr>
      <w:r>
        <w:rPr>
          <w:noProof/>
        </w:rPr>
        <w:t>10.1.</w:t>
      </w:r>
      <w:r>
        <w:rPr>
          <w:noProof/>
        </w:rPr>
        <w:tab/>
        <w:t>L’autorité compétente doit décider sans retard excessif, sur la base du ou des rapports d’évaluation et de tout autre renseignement pertinent, s’il y a lieu ou non d’accorder, de confirmer ou de prolonger la désignation.</w:t>
      </w:r>
    </w:p>
    <w:p>
      <w:pPr>
        <w:spacing w:after="0"/>
        <w:ind w:left="567" w:hanging="567"/>
        <w:rPr>
          <w:rFonts w:eastAsia="Arial Unicode MS"/>
          <w:noProof/>
          <w:szCs w:val="24"/>
        </w:rPr>
      </w:pPr>
      <w:r>
        <w:rPr>
          <w:noProof/>
        </w:rPr>
        <w:t>10.2.</w:t>
      </w:r>
      <w:r>
        <w:rPr>
          <w:noProof/>
        </w:rPr>
        <w:tab/>
        <w:t>L’autorité compétente en matière de réception délivre au service technique un certificat. Ce certificat comporte les données suivantes:</w:t>
      </w:r>
    </w:p>
    <w:p>
      <w:pPr>
        <w:spacing w:after="0"/>
        <w:ind w:left="1134" w:hanging="567"/>
        <w:rPr>
          <w:rFonts w:eastAsia="Arial Unicode MS"/>
          <w:noProof/>
          <w:szCs w:val="24"/>
        </w:rPr>
      </w:pPr>
      <w:r>
        <w:rPr>
          <w:noProof/>
        </w:rPr>
        <w:t xml:space="preserve">a) </w:t>
      </w:r>
      <w:r>
        <w:rPr>
          <w:noProof/>
        </w:rPr>
        <w:tab/>
        <w:t>l’identité et le logo de l’autorité compétente en matière de réception;</w:t>
      </w:r>
    </w:p>
    <w:p>
      <w:pPr>
        <w:spacing w:after="0"/>
        <w:ind w:left="1134" w:hanging="567"/>
        <w:rPr>
          <w:rFonts w:eastAsia="Arial Unicode MS"/>
          <w:noProof/>
          <w:szCs w:val="24"/>
        </w:rPr>
      </w:pPr>
      <w:r>
        <w:rPr>
          <w:noProof/>
        </w:rPr>
        <w:t>b)</w:t>
      </w:r>
      <w:r>
        <w:rPr>
          <w:noProof/>
        </w:rPr>
        <w:tab/>
        <w:t>l’identification non équivoque du service technique désigné;</w:t>
      </w:r>
    </w:p>
    <w:p>
      <w:pPr>
        <w:spacing w:after="0"/>
        <w:ind w:left="1134" w:hanging="567"/>
        <w:rPr>
          <w:rFonts w:eastAsia="Arial Unicode MS"/>
          <w:noProof/>
          <w:szCs w:val="24"/>
        </w:rPr>
      </w:pPr>
      <w:r>
        <w:rPr>
          <w:noProof/>
        </w:rPr>
        <w:t>c)</w:t>
      </w:r>
      <w:r>
        <w:rPr>
          <w:noProof/>
        </w:rPr>
        <w:tab/>
        <w:t>la date effective de l’octroi de la désignation et la date à laquelle elle expire;</w:t>
      </w:r>
    </w:p>
    <w:p>
      <w:pPr>
        <w:spacing w:after="0"/>
        <w:ind w:left="1134" w:hanging="567"/>
        <w:rPr>
          <w:rFonts w:eastAsia="Arial Unicode MS"/>
          <w:noProof/>
          <w:szCs w:val="24"/>
        </w:rPr>
      </w:pPr>
      <w:r>
        <w:rPr>
          <w:noProof/>
        </w:rPr>
        <w:t>d)</w:t>
      </w:r>
      <w:r>
        <w:rPr>
          <w:noProof/>
        </w:rPr>
        <w:tab/>
        <w:t>une brève indication ou mention du domaine de compétence visé par la désignation (actes réglementaires applicables ou parties de ceux-ci);</w:t>
      </w:r>
    </w:p>
    <w:p>
      <w:pPr>
        <w:spacing w:after="0"/>
        <w:ind w:left="1134" w:hanging="567"/>
        <w:rPr>
          <w:rFonts w:eastAsia="Arial Unicode MS"/>
          <w:noProof/>
          <w:szCs w:val="24"/>
        </w:rPr>
      </w:pPr>
      <w:r>
        <w:rPr>
          <w:noProof/>
        </w:rPr>
        <w:t>e)</w:t>
      </w:r>
      <w:r>
        <w:rPr>
          <w:noProof/>
        </w:rPr>
        <w:tab/>
        <w:t>une déclaration de conformité et une référence au présent règlement.</w:t>
      </w:r>
    </w:p>
    <w:p>
      <w:pPr>
        <w:spacing w:before="360" w:after="240"/>
        <w:ind w:left="567" w:hanging="567"/>
        <w:jc w:val="left"/>
        <w:rPr>
          <w:noProof/>
        </w:rPr>
      </w:pPr>
      <w:r>
        <w:rPr>
          <w:b/>
          <w:noProof/>
        </w:rPr>
        <w:t>11.</w:t>
      </w:r>
      <w:r>
        <w:rPr>
          <w:noProof/>
        </w:rPr>
        <w:tab/>
      </w:r>
      <w:r>
        <w:rPr>
          <w:b/>
          <w:noProof/>
        </w:rPr>
        <w:t>Réévaluation</w:t>
      </w:r>
      <w:r>
        <w:rPr>
          <w:noProof/>
        </w:rPr>
        <w:t xml:space="preserve"> </w:t>
      </w:r>
      <w:r>
        <w:rPr>
          <w:b/>
          <w:noProof/>
        </w:rPr>
        <w:t>et surveillance</w:t>
      </w:r>
    </w:p>
    <w:p>
      <w:pPr>
        <w:spacing w:after="0"/>
        <w:ind w:left="567" w:hanging="567"/>
        <w:rPr>
          <w:rFonts w:eastAsia="Arial Unicode MS"/>
          <w:noProof/>
          <w:szCs w:val="24"/>
        </w:rPr>
      </w:pPr>
      <w:r>
        <w:rPr>
          <w:noProof/>
        </w:rPr>
        <w:t>11.1.</w:t>
      </w:r>
      <w:r>
        <w:rPr>
          <w:noProof/>
        </w:rPr>
        <w:tab/>
        <w:t>La différence entre une réévaluation et une première évaluation réside dans le fait qu’il faut tenir compte, lors de la réévaluation, de l’expérience acquise à l’occasion des évaluations précédentes. Une évaluation sur site effectuée au titre de la surveillance n’est pas aussi exhaustive qu’une réévaluation.</w:t>
      </w:r>
    </w:p>
    <w:p>
      <w:pPr>
        <w:spacing w:after="0"/>
        <w:ind w:left="567" w:hanging="567"/>
        <w:rPr>
          <w:rFonts w:eastAsia="Arial Unicode MS"/>
          <w:noProof/>
          <w:szCs w:val="24"/>
        </w:rPr>
      </w:pPr>
      <w:r>
        <w:rPr>
          <w:noProof/>
        </w:rPr>
        <w:t>11.2.</w:t>
      </w:r>
      <w:r>
        <w:rPr>
          <w:noProof/>
        </w:rPr>
        <w:tab/>
        <w:t>L’autorité compétente doit établir un plan de réévaluation et de surveillance pour chaque service technique désigné, de telle sorte que des échantillons représentatifs du domaine visé par la désignation fassent régulièrement l’objet d’une évaluation.</w:t>
      </w:r>
    </w:p>
    <w:p>
      <w:pPr>
        <w:spacing w:after="100" w:afterAutospacing="1"/>
        <w:ind w:left="567"/>
        <w:rPr>
          <w:rFonts w:eastAsia="Arial Unicode MS"/>
          <w:noProof/>
          <w:szCs w:val="24"/>
        </w:rPr>
      </w:pPr>
      <w:r>
        <w:rPr>
          <w:noProof/>
        </w:rPr>
        <w:t>La durée de l’intervalle entre deux évaluations sur site, qu’il s’agisse d’une réévaluation ou d’une surveillance, dépend de la stabilité attestée à laquelle le service technique est parvenu.</w:t>
      </w:r>
    </w:p>
    <w:p>
      <w:pPr>
        <w:spacing w:after="0"/>
        <w:ind w:left="567" w:hanging="567"/>
        <w:rPr>
          <w:rFonts w:eastAsia="Arial Unicode MS"/>
          <w:noProof/>
          <w:szCs w:val="24"/>
        </w:rPr>
      </w:pPr>
      <w:r>
        <w:rPr>
          <w:noProof/>
        </w:rPr>
        <w:t>11.3.</w:t>
      </w:r>
      <w:r>
        <w:rPr>
          <w:noProof/>
        </w:rPr>
        <w:tab/>
        <w:t>Si, à l’occasion d’une surveillance ou d’une réévaluation, des problèmes de non-conformité sont mis en évidence, l’autorité compétente doit fixer un délai précis pour la mise en œuvre de mesures correctives.</w:t>
      </w:r>
    </w:p>
    <w:p>
      <w:pPr>
        <w:spacing w:after="0"/>
        <w:ind w:left="567" w:hanging="567"/>
        <w:rPr>
          <w:rFonts w:eastAsia="Arial Unicode MS"/>
          <w:noProof/>
          <w:szCs w:val="24"/>
        </w:rPr>
      </w:pPr>
      <w:r>
        <w:rPr>
          <w:noProof/>
        </w:rPr>
        <w:t>11.4.</w:t>
      </w:r>
      <w:r>
        <w:rPr>
          <w:noProof/>
        </w:rPr>
        <w:tab/>
        <w:t>Lorsque les mesures visant à remédier aux problèmes ou à apporter des améliorations n’ont pas été prises dans le délai convenu ou qu’elles sont jugées insuffisantes, l’autorité compétente doit prendre des mesures appropriées telles que l’organisation d’une nouvelle évaluation ou la suspension/le retrait de la désignation pour une ou plusieurs des activités pour lesquelles le service technique a été désigné.</w:t>
      </w:r>
    </w:p>
    <w:p>
      <w:pPr>
        <w:spacing w:after="0"/>
        <w:ind w:left="567" w:hanging="567"/>
        <w:rPr>
          <w:rFonts w:eastAsia="Arial Unicode MS"/>
          <w:noProof/>
          <w:szCs w:val="24"/>
        </w:rPr>
      </w:pPr>
      <w:r>
        <w:rPr>
          <w:noProof/>
        </w:rPr>
        <w:t>11.5.</w:t>
      </w:r>
      <w:r>
        <w:rPr>
          <w:noProof/>
        </w:rPr>
        <w:tab/>
        <w:t>Lorsque l’autorité compétente décide de suspendre ou de retirer la désignation d’un service technique, elle en informe ce dernier par courrier recommandé. Dans tous les cas, l’autorité compétente doit prendre toutes les mesures nécessaires pour garantir la continuité des activités déjà entreprises par le service technique.</w:t>
      </w:r>
    </w:p>
    <w:p>
      <w:pPr>
        <w:spacing w:before="240" w:after="240"/>
        <w:ind w:left="567" w:hanging="567"/>
        <w:jc w:val="left"/>
        <w:rPr>
          <w:rFonts w:eastAsia="Arial Unicode MS"/>
          <w:b/>
          <w:bCs/>
          <w:noProof/>
          <w:szCs w:val="24"/>
        </w:rPr>
      </w:pPr>
      <w:r>
        <w:rPr>
          <w:b/>
          <w:noProof/>
        </w:rPr>
        <w:t>12.</w:t>
      </w:r>
      <w:r>
        <w:rPr>
          <w:noProof/>
        </w:rPr>
        <w:tab/>
      </w:r>
      <w:r>
        <w:rPr>
          <w:b/>
          <w:noProof/>
        </w:rPr>
        <w:t xml:space="preserve">Registres concernant les services techniques désignés </w:t>
      </w:r>
    </w:p>
    <w:p>
      <w:pPr>
        <w:spacing w:after="0"/>
        <w:ind w:left="567" w:hanging="567"/>
        <w:rPr>
          <w:rFonts w:eastAsia="Arial Unicode MS"/>
          <w:noProof/>
          <w:szCs w:val="24"/>
        </w:rPr>
      </w:pPr>
      <w:r>
        <w:rPr>
          <w:noProof/>
        </w:rPr>
        <w:t>12.1.</w:t>
      </w:r>
      <w:r>
        <w:rPr>
          <w:noProof/>
        </w:rPr>
        <w:tab/>
        <w:t>L’autorité compétente doit tenir des registres sur les services techniques prouvant que les conditions requises pour la désignation, notamment en ce qui concerne la compétence, ont effectivement été remplies.</w:t>
      </w:r>
    </w:p>
    <w:p>
      <w:pPr>
        <w:spacing w:after="0"/>
        <w:ind w:left="567" w:hanging="567"/>
        <w:rPr>
          <w:rFonts w:eastAsia="Arial Unicode MS"/>
          <w:noProof/>
          <w:szCs w:val="24"/>
        </w:rPr>
      </w:pPr>
      <w:r>
        <w:rPr>
          <w:noProof/>
        </w:rPr>
        <w:t>12.2.</w:t>
      </w:r>
      <w:r>
        <w:rPr>
          <w:noProof/>
        </w:rPr>
        <w:tab/>
        <w:t>L’autorité compétente doit veiller à ce que le caractère confidentiel des données figurant dans les registres soit respecté.</w:t>
      </w:r>
    </w:p>
    <w:p>
      <w:pPr>
        <w:spacing w:after="0"/>
        <w:ind w:left="567" w:hanging="567"/>
        <w:rPr>
          <w:rFonts w:eastAsia="Arial Unicode MS"/>
          <w:noProof/>
          <w:szCs w:val="24"/>
        </w:rPr>
      </w:pPr>
      <w:r>
        <w:rPr>
          <w:noProof/>
        </w:rPr>
        <w:t>12.3.</w:t>
      </w:r>
      <w:r>
        <w:rPr>
          <w:noProof/>
        </w:rPr>
        <w:tab/>
        <w:t>Les registres concernant les services techniques doivent comporter au moins les éléments suivants:</w:t>
      </w:r>
    </w:p>
    <w:p>
      <w:pPr>
        <w:spacing w:after="0"/>
        <w:ind w:left="1134" w:hanging="567"/>
        <w:rPr>
          <w:rFonts w:eastAsia="Arial Unicode MS"/>
          <w:noProof/>
          <w:szCs w:val="24"/>
        </w:rPr>
      </w:pPr>
      <w:r>
        <w:rPr>
          <w:noProof/>
        </w:rPr>
        <w:t>a)</w:t>
      </w:r>
      <w:r>
        <w:rPr>
          <w:noProof/>
        </w:rPr>
        <w:tab/>
        <w:t>la correspondance pertinente;</w:t>
      </w:r>
    </w:p>
    <w:p>
      <w:pPr>
        <w:spacing w:after="0"/>
        <w:ind w:left="1134" w:hanging="567"/>
        <w:rPr>
          <w:rFonts w:eastAsia="Arial Unicode MS"/>
          <w:noProof/>
          <w:szCs w:val="24"/>
        </w:rPr>
      </w:pPr>
      <w:r>
        <w:rPr>
          <w:noProof/>
        </w:rPr>
        <w:t>b)</w:t>
      </w:r>
      <w:r>
        <w:rPr>
          <w:noProof/>
        </w:rPr>
        <w:tab/>
        <w:t>les procès-verbaux et rapports d’évaluation;</w:t>
      </w:r>
    </w:p>
    <w:p>
      <w:pPr>
        <w:spacing w:after="0"/>
        <w:ind w:left="1134" w:hanging="567"/>
        <w:rPr>
          <w:rFonts w:eastAsia="Arial Unicode MS"/>
          <w:noProof/>
          <w:szCs w:val="24"/>
        </w:rPr>
      </w:pPr>
      <w:r>
        <w:rPr>
          <w:noProof/>
        </w:rPr>
        <w:t>c)</w:t>
      </w:r>
      <w:r>
        <w:rPr>
          <w:noProof/>
        </w:rPr>
        <w:tab/>
        <w:t>une copie des certificats de désignation.</w:t>
      </w:r>
    </w:p>
    <w:p>
      <w:pPr>
        <w:spacing w:before="0" w:after="0"/>
        <w:jc w:val="left"/>
        <w:rPr>
          <w:rFonts w:eastAsia="Arial Unicode MS"/>
          <w:noProof/>
          <w:szCs w:val="24"/>
        </w:rPr>
      </w:pPr>
      <w:r>
        <w:rPr>
          <w:rFonts w:eastAsia="Arial Unicode MS"/>
          <w:noProof/>
          <w:szCs w:val="24"/>
        </w:rPr>
        <w:pict>
          <v:rect id="_x0000_i1043"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 3</w:t>
      </w:r>
    </w:p>
    <w:p>
      <w:pPr>
        <w:spacing w:before="360" w:after="240"/>
        <w:jc w:val="center"/>
        <w:rPr>
          <w:rFonts w:eastAsia="Arial Unicode MS"/>
          <w:b/>
          <w:bCs/>
          <w:noProof/>
          <w:szCs w:val="24"/>
        </w:rPr>
      </w:pPr>
      <w:r>
        <w:rPr>
          <w:b/>
          <w:noProof/>
        </w:rPr>
        <w:t>Prescriptions générales concernant le format des rapports d’essais</w:t>
      </w:r>
    </w:p>
    <w:p>
      <w:pPr>
        <w:spacing w:after="0"/>
        <w:ind w:left="567" w:hanging="567"/>
        <w:rPr>
          <w:rFonts w:eastAsia="Arial Unicode MS"/>
          <w:noProof/>
          <w:szCs w:val="24"/>
        </w:rPr>
      </w:pPr>
      <w:r>
        <w:rPr>
          <w:noProof/>
        </w:rPr>
        <w:t>1.</w:t>
      </w:r>
      <w:r>
        <w:rPr>
          <w:noProof/>
        </w:rPr>
        <w:tab/>
        <w:t>Pour chacun des actes réglementaires énumérés dans la partie I de l’annexe IV, les rapports d’essais doivent satisfaire aux exigences de la norme EN ISO/CEI 17025:2005. En particulier, ils doivent inclure les informations mentionnées au point 5.10.2, y compris la note 1, de cette norme.</w:t>
      </w:r>
    </w:p>
    <w:p>
      <w:pPr>
        <w:spacing w:after="0"/>
        <w:ind w:left="567" w:hanging="567"/>
        <w:rPr>
          <w:rFonts w:eastAsia="Arial Unicode MS"/>
          <w:noProof/>
          <w:szCs w:val="24"/>
        </w:rPr>
      </w:pPr>
      <w:r>
        <w:rPr>
          <w:noProof/>
        </w:rPr>
        <w:t>2.</w:t>
      </w:r>
      <w:r>
        <w:rPr>
          <w:noProof/>
        </w:rPr>
        <w:tab/>
        <w:t>Le modèle de rapport d’essais est établi par l’autorité compétente en matière de réception conformément à ses règles de bonne pratique.</w:t>
      </w:r>
    </w:p>
    <w:p>
      <w:pPr>
        <w:spacing w:after="0"/>
        <w:ind w:left="567" w:hanging="567"/>
        <w:rPr>
          <w:rFonts w:eastAsia="Arial Unicode MS"/>
          <w:noProof/>
          <w:szCs w:val="24"/>
        </w:rPr>
      </w:pPr>
      <w:r>
        <w:rPr>
          <w:noProof/>
        </w:rPr>
        <w:t>3.</w:t>
      </w:r>
      <w:r>
        <w:rPr>
          <w:noProof/>
        </w:rPr>
        <w:tab/>
        <w:t>Les rapports d’essais doivent être rédigés dans la langue officielle de l'Union déterminée par l’autorité compétente en matière de réception.</w:t>
      </w:r>
    </w:p>
    <w:p>
      <w:pPr>
        <w:spacing w:after="0"/>
        <w:ind w:left="567" w:hanging="567"/>
        <w:rPr>
          <w:rFonts w:eastAsia="Arial Unicode MS"/>
          <w:noProof/>
          <w:szCs w:val="24"/>
        </w:rPr>
      </w:pPr>
      <w:r>
        <w:rPr>
          <w:noProof/>
        </w:rPr>
        <w:t>4.</w:t>
      </w:r>
      <w:r>
        <w:rPr>
          <w:noProof/>
        </w:rPr>
        <w:tab/>
        <w:t>Le rapport d’essais doit comporter au moins les éléments d’information suivants:</w:t>
      </w:r>
    </w:p>
    <w:p>
      <w:pPr>
        <w:spacing w:after="0"/>
        <w:ind w:left="993" w:hanging="426"/>
        <w:rPr>
          <w:rFonts w:eastAsia="Arial Unicode MS"/>
          <w:noProof/>
          <w:szCs w:val="24"/>
        </w:rPr>
      </w:pPr>
      <w:r>
        <w:rPr>
          <w:noProof/>
        </w:rPr>
        <w:t>a)</w:t>
      </w:r>
      <w:r>
        <w:rPr>
          <w:noProof/>
        </w:rPr>
        <w:tab/>
        <w:t>l’identification du véhicule, du composant ou de l’entité technique distincte ayant subi les essais;</w:t>
      </w:r>
    </w:p>
    <w:p>
      <w:pPr>
        <w:spacing w:after="0"/>
        <w:ind w:left="993" w:hanging="426"/>
        <w:rPr>
          <w:rFonts w:eastAsia="Arial Unicode MS"/>
          <w:noProof/>
          <w:szCs w:val="24"/>
        </w:rPr>
      </w:pPr>
      <w:r>
        <w:rPr>
          <w:noProof/>
        </w:rPr>
        <w:t>b)</w:t>
      </w:r>
      <w:r>
        <w:rPr>
          <w:noProof/>
        </w:rPr>
        <w:tab/>
        <w:t>une description détaillée des caractéristiques du véhicule, du composant ou de l’entité technique distincte qui sont en rapport avec l’acte réglementaire;</w:t>
      </w:r>
    </w:p>
    <w:p>
      <w:pPr>
        <w:spacing w:after="0"/>
        <w:ind w:left="993" w:hanging="426"/>
        <w:rPr>
          <w:rFonts w:eastAsia="Arial Unicode MS"/>
          <w:noProof/>
          <w:szCs w:val="24"/>
        </w:rPr>
      </w:pPr>
      <w:r>
        <w:rPr>
          <w:noProof/>
        </w:rPr>
        <w:t>c)</w:t>
      </w:r>
      <w:r>
        <w:rPr>
          <w:noProof/>
        </w:rPr>
        <w:tab/>
        <w:t>les résultats de mesures spécifiées dans les actes réglementaires applicables et, si nécessaire, les limites ou seuils à respecter;</w:t>
      </w:r>
    </w:p>
    <w:p>
      <w:pPr>
        <w:spacing w:after="0"/>
        <w:ind w:left="993" w:hanging="426"/>
        <w:rPr>
          <w:rFonts w:eastAsia="Arial Unicode MS"/>
          <w:noProof/>
          <w:szCs w:val="24"/>
        </w:rPr>
      </w:pPr>
      <w:r>
        <w:rPr>
          <w:noProof/>
        </w:rPr>
        <w:t>d)</w:t>
      </w:r>
      <w:r>
        <w:rPr>
          <w:noProof/>
        </w:rPr>
        <w:tab/>
        <w:t>pour chacune des mesures visées au point c), la décision d’acceptation ou de refus;</w:t>
      </w:r>
    </w:p>
    <w:p>
      <w:pPr>
        <w:spacing w:after="0"/>
        <w:ind w:left="993" w:hanging="426"/>
        <w:rPr>
          <w:rFonts w:eastAsia="Arial Unicode MS"/>
          <w:noProof/>
          <w:szCs w:val="24"/>
        </w:rPr>
      </w:pPr>
      <w:r>
        <w:rPr>
          <w:noProof/>
        </w:rPr>
        <w:t>e)</w:t>
      </w:r>
      <w:r>
        <w:rPr>
          <w:noProof/>
        </w:rPr>
        <w:tab/>
        <w:t>une déclaration détaillée de conformité aux diverses dispositions devant être respectées, c’est-à-dire aux dispositions pour lesquelles il n’est pas nécessaire d’effectuer des mesures.</w:t>
      </w:r>
    </w:p>
    <w:p>
      <w:pPr>
        <w:ind w:left="993"/>
        <w:rPr>
          <w:rFonts w:eastAsia="Arial Unicode MS"/>
          <w:noProof/>
          <w:szCs w:val="24"/>
        </w:rPr>
      </w:pPr>
      <w:r>
        <w:rPr>
          <w:noProof/>
        </w:rPr>
        <w:t>Par exemple, le rapport d’essais devrait inclure une déclaration quant au respect des prescriptions énoncées dans la partie B de l’annexe II du règlement (UE) n</w:t>
      </w:r>
      <w:r>
        <w:rPr>
          <w:noProof/>
          <w:vertAlign w:val="superscript"/>
        </w:rPr>
        <w:t>o</w:t>
      </w:r>
      <w:r>
        <w:rPr>
          <w:noProof/>
        </w:rPr>
        <w:t> 19/2011, de la manière suivante: «L’emplacement où le numéro d’identification du véhicule est gravé satisfait aux prescriptions de la partie B de l’annexe II.»;</w:t>
      </w:r>
    </w:p>
    <w:p>
      <w:pPr>
        <w:spacing w:after="0"/>
        <w:ind w:left="993" w:hanging="426"/>
        <w:rPr>
          <w:rFonts w:eastAsia="Arial Unicode MS"/>
          <w:noProof/>
          <w:szCs w:val="24"/>
        </w:rPr>
      </w:pPr>
      <w:r>
        <w:rPr>
          <w:noProof/>
        </w:rPr>
        <w:t>f)</w:t>
      </w:r>
      <w:r>
        <w:rPr>
          <w:noProof/>
        </w:rPr>
        <w:tab/>
        <w:t>lorsque des méthodes d’essai autres que celles prescrites dans les actes réglementaires sont autorisées, une description de la méthode d’essai employée pour réaliser l’essai;</w:t>
      </w:r>
    </w:p>
    <w:p>
      <w:pPr>
        <w:spacing w:after="0"/>
        <w:ind w:left="993" w:hanging="426"/>
        <w:rPr>
          <w:rFonts w:eastAsia="Arial Unicode MS"/>
          <w:noProof/>
          <w:szCs w:val="24"/>
        </w:rPr>
      </w:pPr>
      <w:r>
        <w:rPr>
          <w:noProof/>
        </w:rPr>
        <w:t>g)</w:t>
      </w:r>
      <w:r>
        <w:rPr>
          <w:noProof/>
        </w:rPr>
        <w:tab/>
        <w:t>les photographies prises durant les essais, dont le nombre doit être déterminé par l’autorité compétente en matière de réception.</w:t>
      </w:r>
    </w:p>
    <w:p>
      <w:pPr>
        <w:ind w:left="993"/>
        <w:rPr>
          <w:rFonts w:eastAsia="Arial Unicode MS"/>
          <w:noProof/>
          <w:szCs w:val="24"/>
        </w:rPr>
      </w:pPr>
      <w:r>
        <w:rPr>
          <w:noProof/>
        </w:rPr>
        <w:t>Dans le cas d’essais virtuels, des captures d’écran ou d’autres éléments probants peuvent remplacer les photographies;</w:t>
      </w:r>
    </w:p>
    <w:p>
      <w:pPr>
        <w:spacing w:after="0"/>
        <w:ind w:left="993" w:hanging="426"/>
        <w:rPr>
          <w:rFonts w:eastAsia="Arial Unicode MS"/>
          <w:noProof/>
          <w:szCs w:val="24"/>
        </w:rPr>
      </w:pPr>
      <w:r>
        <w:rPr>
          <w:noProof/>
        </w:rPr>
        <w:t>h)</w:t>
      </w:r>
      <w:r>
        <w:rPr>
          <w:noProof/>
        </w:rPr>
        <w:tab/>
        <w:t>les conclusions tirées;</w:t>
      </w:r>
    </w:p>
    <w:p>
      <w:pPr>
        <w:spacing w:after="0"/>
        <w:ind w:left="993" w:hanging="426"/>
        <w:rPr>
          <w:rFonts w:eastAsia="Arial Unicode MS"/>
          <w:noProof/>
          <w:szCs w:val="24"/>
        </w:rPr>
      </w:pPr>
      <w:r>
        <w:rPr>
          <w:noProof/>
        </w:rPr>
        <w:t>i)</w:t>
      </w:r>
      <w:r>
        <w:rPr>
          <w:noProof/>
        </w:rPr>
        <w:tab/>
        <w:t>lorsque des avis ou des interprétations ont été formulés, ils sont dûment documentés et indiqués en tant que tels dans le rapport d’essais.</w:t>
      </w:r>
    </w:p>
    <w:p>
      <w:pPr>
        <w:spacing w:after="0"/>
        <w:ind w:left="567" w:hanging="567"/>
        <w:rPr>
          <w:rFonts w:eastAsia="Arial Unicode MS"/>
          <w:noProof/>
          <w:szCs w:val="24"/>
        </w:rPr>
      </w:pPr>
      <w:r>
        <w:rPr>
          <w:noProof/>
        </w:rPr>
        <w:t>5.</w:t>
      </w:r>
      <w:r>
        <w:rPr>
          <w:noProof/>
        </w:rPr>
        <w:tab/>
        <w:t>Lorsque les essais sont effectués sur un véhicule, un composant ou une entité technique qui combine un certain nombre des caractéristiques les plus défavorables en ce qui concerne le niveau requis de performances (scénario le plus pessimiste), le rapport d’essais inclut une note indiquant la façon dont le choix a été fait par le constructeur en accord avec l’autorité compétente en matière de réception.</w:t>
      </w:r>
    </w:p>
    <w:p>
      <w:pPr>
        <w:spacing w:before="0" w:after="0"/>
        <w:jc w:val="left"/>
        <w:rPr>
          <w:rFonts w:eastAsia="Arial Unicode MS"/>
          <w:noProof/>
          <w:szCs w:val="24"/>
        </w:rPr>
      </w:pPr>
      <w:r>
        <w:rPr>
          <w:rFonts w:eastAsia="Arial Unicode MS"/>
          <w:noProof/>
          <w:szCs w:val="24"/>
        </w:rPr>
        <w:pict>
          <v:rect id="_x0000_i1044" style="width:45.35pt;height:.75pt" o:hrpct="100" o:hralign="center" o:hrstd="t" o:hrnoshade="t" o:hr="t" fillcolor="black" stroked="f"/>
        </w:pict>
      </w:r>
    </w:p>
    <w:p>
      <w:pPr>
        <w:pStyle w:val="Annexetitre"/>
        <w:rPr>
          <w:noProof/>
        </w:rPr>
      </w:pPr>
      <w:r>
        <w:rPr>
          <w:noProof/>
        </w:rPr>
        <w:br w:type="page"/>
        <w:t>ANNEXE VI</w:t>
      </w:r>
    </w:p>
    <w:p>
      <w:pPr>
        <w:spacing w:before="240" w:after="240"/>
        <w:jc w:val="center"/>
        <w:rPr>
          <w:rFonts w:eastAsia="Arial Unicode MS"/>
          <w:b/>
          <w:bCs/>
          <w:noProof/>
          <w:szCs w:val="24"/>
        </w:rPr>
      </w:pPr>
      <w:r>
        <w:rPr>
          <w:b/>
          <w:noProof/>
        </w:rPr>
        <w:t>MODÈLES DE LA FICHE DE RÉCEPTION UE PAR TYPE</w:t>
      </w:r>
    </w:p>
    <w:p>
      <w:pPr>
        <w:spacing w:before="480" w:after="240"/>
        <w:jc w:val="center"/>
        <w:rPr>
          <w:rFonts w:eastAsia="Arial Unicode MS"/>
          <w:bCs/>
          <w:noProof/>
          <w:szCs w:val="24"/>
        </w:rPr>
      </w:pPr>
      <w:r>
        <w:rPr>
          <w:noProof/>
        </w:rPr>
        <w:t>MODÈLE A</w:t>
      </w:r>
    </w:p>
    <w:p>
      <w:pPr>
        <w:jc w:val="center"/>
        <w:rPr>
          <w:rFonts w:eastAsia="Arial Unicode MS"/>
          <w:b/>
          <w:bCs/>
          <w:noProof/>
          <w:szCs w:val="24"/>
        </w:rPr>
      </w:pPr>
      <w:r>
        <w:rPr>
          <w:b/>
          <w:noProof/>
        </w:rPr>
        <w:t>(à utiliser pour la réception UE par type d’un véhicule)</w:t>
      </w:r>
    </w:p>
    <w:p>
      <w:pPr>
        <w:jc w:val="center"/>
        <w:rPr>
          <w:rFonts w:eastAsia="Arial Unicode MS"/>
          <w:b/>
          <w:bCs/>
          <w:noProof/>
          <w:szCs w:val="24"/>
        </w:rPr>
      </w:pPr>
      <w:r>
        <w:rPr>
          <w:noProof/>
        </w:rPr>
        <w:t>Format maximal: A4 (210 × 297 mm)</w:t>
      </w:r>
    </w:p>
    <w:p>
      <w:pPr>
        <w:spacing w:before="360" w:after="360"/>
        <w:jc w:val="center"/>
        <w:rPr>
          <w:rFonts w:eastAsia="Arial Unicode MS"/>
          <w:b/>
          <w:iCs/>
          <w:noProof/>
          <w:szCs w:val="24"/>
        </w:rPr>
      </w:pPr>
      <w:r>
        <w:rPr>
          <w:b/>
          <w:noProof/>
        </w:rPr>
        <w:t>FICHE DE RÉCEPTION UE PAR TYPE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Tampon de l’autorité compétente en matière de réception</w:t>
      </w:r>
    </w:p>
    <w:p>
      <w:pPr>
        <w:spacing w:before="100" w:beforeAutospacing="1" w:after="100" w:afterAutospacing="1"/>
        <w:jc w:val="left"/>
        <w:rPr>
          <w:rFonts w:eastAsia="Arial Unicode MS"/>
          <w:noProof/>
          <w:szCs w:val="24"/>
        </w:rPr>
      </w:pPr>
      <w:r>
        <w:rPr>
          <w:noProof/>
        </w:rPr>
        <w:t>Date d’expiration de la présente fiche: jj/mm/aaaa (</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1"/>
        <w:gridCol w:w="5103"/>
      </w:tblGrid>
      <w:tr>
        <w:trPr>
          <w:tblCellSpacing w:w="0" w:type="dxa"/>
        </w:trPr>
        <w:tc>
          <w:tcPr>
            <w:tcW w:w="4141"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Cs w:val="24"/>
              </w:rPr>
            </w:pPr>
            <w:r>
              <w:rPr>
                <w:noProof/>
                <w:sz w:val="22"/>
              </w:rPr>
              <w:t>Communication concernant:</w:t>
            </w:r>
          </w:p>
        </w:tc>
        <w:tc>
          <w:tcPr>
            <w:tcW w:w="5103"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Cs w:val="24"/>
              </w:rPr>
            </w:pPr>
            <w:r>
              <w:rPr>
                <w:noProof/>
                <w:sz w:val="22"/>
              </w:rPr>
              <w:t>d’un type de:</w:t>
            </w:r>
          </w:p>
        </w:tc>
      </w:tr>
      <w:tr>
        <w:trPr>
          <w:tblCellSpacing w:w="0" w:type="dxa"/>
        </w:trPr>
        <w:tc>
          <w:tcPr>
            <w:tcW w:w="41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 la réception UE par type (</w:t>
            </w:r>
            <w:r>
              <w:rPr>
                <w:noProof/>
                <w:sz w:val="22"/>
                <w:vertAlign w:val="superscript"/>
              </w:rPr>
              <w:t>1</w:t>
            </w:r>
            <w:r>
              <w:rPr>
                <w:noProof/>
                <w:sz w:val="22"/>
              </w:rPr>
              <w:t>)</w:t>
            </w:r>
          </w:p>
          <w:p>
            <w:pPr>
              <w:spacing w:before="60" w:after="60"/>
              <w:rPr>
                <w:rFonts w:eastAsia="Arial Unicode MS"/>
                <w:noProof/>
                <w:szCs w:val="24"/>
              </w:rPr>
            </w:pPr>
            <w:r>
              <w:rPr>
                <w:noProof/>
                <w:sz w:val="22"/>
              </w:rPr>
              <w:t>— l’extension de la réception UE par type (</w:t>
            </w:r>
            <w:r>
              <w:rPr>
                <w:noProof/>
                <w:sz w:val="22"/>
                <w:vertAlign w:val="superscript"/>
              </w:rPr>
              <w:t>1</w:t>
            </w:r>
            <w:r>
              <w:rPr>
                <w:noProof/>
                <w:sz w:val="22"/>
              </w:rPr>
              <w:t>)</w:t>
            </w:r>
          </w:p>
          <w:p>
            <w:pPr>
              <w:spacing w:before="60" w:after="60"/>
              <w:rPr>
                <w:rFonts w:eastAsia="Arial Unicode MS"/>
                <w:noProof/>
                <w:szCs w:val="24"/>
              </w:rPr>
            </w:pPr>
            <w:r>
              <w:rPr>
                <w:noProof/>
                <w:sz w:val="22"/>
              </w:rPr>
              <w:t>— le refus de la réception UE par type (</w:t>
            </w:r>
            <w:r>
              <w:rPr>
                <w:noProof/>
                <w:sz w:val="22"/>
                <w:vertAlign w:val="superscript"/>
              </w:rPr>
              <w:t>1</w:t>
            </w:r>
            <w:r>
              <w:rPr>
                <w:noProof/>
                <w:sz w:val="22"/>
              </w:rPr>
              <w:t>)</w:t>
            </w:r>
          </w:p>
          <w:p>
            <w:pPr>
              <w:spacing w:before="60" w:after="60"/>
              <w:rPr>
                <w:rFonts w:eastAsia="Arial Unicode MS"/>
                <w:noProof/>
                <w:szCs w:val="24"/>
              </w:rPr>
            </w:pPr>
            <w:r>
              <w:rPr>
                <w:noProof/>
                <w:sz w:val="22"/>
              </w:rPr>
              <w:t>— le retrait de la réception UE par type (</w:t>
            </w:r>
            <w:r>
              <w:rPr>
                <w:noProof/>
                <w:sz w:val="22"/>
                <w:vertAlign w:val="superscript"/>
              </w:rPr>
              <w:t>1</w:t>
            </w:r>
            <w:r>
              <w:rPr>
                <w:noProof/>
                <w:sz w:val="22"/>
              </w:rPr>
              <w:t>)</w:t>
            </w:r>
          </w:p>
        </w:tc>
        <w:tc>
          <w:tcPr>
            <w:tcW w:w="5103"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Cs w:val="24"/>
              </w:rPr>
            </w:pPr>
            <w:r>
              <w:rPr>
                <w:noProof/>
                <w:sz w:val="22"/>
              </w:rPr>
              <w:t>— véhicule complet (</w:t>
            </w:r>
            <w:r>
              <w:rPr>
                <w:noProof/>
                <w:sz w:val="22"/>
                <w:vertAlign w:val="superscript"/>
              </w:rPr>
              <w:t>1</w:t>
            </w:r>
            <w:r>
              <w:rPr>
                <w:noProof/>
                <w:sz w:val="22"/>
              </w:rPr>
              <w:t>)</w:t>
            </w:r>
          </w:p>
          <w:p>
            <w:pPr>
              <w:spacing w:before="60" w:after="60"/>
              <w:ind w:left="96"/>
              <w:rPr>
                <w:rFonts w:eastAsia="Arial Unicode MS"/>
                <w:noProof/>
                <w:szCs w:val="24"/>
              </w:rPr>
            </w:pPr>
            <w:r>
              <w:rPr>
                <w:noProof/>
                <w:sz w:val="22"/>
              </w:rPr>
              <w:t>— véhicule complété (</w:t>
            </w:r>
            <w:r>
              <w:rPr>
                <w:noProof/>
                <w:sz w:val="22"/>
                <w:vertAlign w:val="superscript"/>
              </w:rPr>
              <w:t>1</w:t>
            </w:r>
            <w:r>
              <w:rPr>
                <w:noProof/>
                <w:sz w:val="22"/>
              </w:rPr>
              <w:t>)</w:t>
            </w:r>
          </w:p>
          <w:p>
            <w:pPr>
              <w:spacing w:before="60" w:after="60"/>
              <w:ind w:left="96"/>
              <w:rPr>
                <w:rFonts w:eastAsia="Arial Unicode MS"/>
                <w:noProof/>
                <w:szCs w:val="24"/>
              </w:rPr>
            </w:pPr>
            <w:r>
              <w:rPr>
                <w:noProof/>
                <w:sz w:val="22"/>
              </w:rPr>
              <w:t>— véhicule incomplet (</w:t>
            </w:r>
            <w:r>
              <w:rPr>
                <w:noProof/>
                <w:sz w:val="22"/>
                <w:vertAlign w:val="superscript"/>
              </w:rPr>
              <w:t>1</w:t>
            </w:r>
            <w:r>
              <w:rPr>
                <w:noProof/>
                <w:sz w:val="22"/>
              </w:rPr>
              <w:t>)</w:t>
            </w:r>
          </w:p>
          <w:p>
            <w:pPr>
              <w:spacing w:before="60" w:after="60"/>
              <w:ind w:left="96"/>
              <w:rPr>
                <w:rFonts w:eastAsia="Arial Unicode MS"/>
                <w:noProof/>
                <w:szCs w:val="24"/>
              </w:rPr>
            </w:pPr>
            <w:r>
              <w:rPr>
                <w:noProof/>
                <w:sz w:val="22"/>
              </w:rPr>
              <w:t>— véhicule avec variantes complètes et incomplètes (</w:t>
            </w:r>
            <w:r>
              <w:rPr>
                <w:noProof/>
                <w:sz w:val="22"/>
                <w:vertAlign w:val="superscript"/>
              </w:rPr>
              <w:t>1</w:t>
            </w:r>
            <w:r>
              <w:rPr>
                <w:noProof/>
                <w:sz w:val="22"/>
              </w:rPr>
              <w:t>)</w:t>
            </w:r>
          </w:p>
          <w:p>
            <w:pPr>
              <w:spacing w:before="60" w:after="60"/>
              <w:ind w:left="96"/>
              <w:rPr>
                <w:rFonts w:eastAsia="Arial Unicode MS"/>
                <w:noProof/>
                <w:szCs w:val="24"/>
              </w:rPr>
            </w:pPr>
            <w:r>
              <w:rPr>
                <w:noProof/>
                <w:sz w:val="22"/>
              </w:rPr>
              <w:t>— véhicule avec variantes complétées et incomplètes (</w:t>
            </w:r>
            <w:r>
              <w:rPr>
                <w:noProof/>
                <w:sz w:val="22"/>
                <w:vertAlign w:val="superscript"/>
              </w:rPr>
              <w:t>1</w:t>
            </w:r>
            <w:r>
              <w:rPr>
                <w:noProof/>
                <w:sz w:val="22"/>
              </w:rPr>
              <w:t>)</w:t>
            </w:r>
          </w:p>
        </w:tc>
      </w:tr>
    </w:tbl>
    <w:p>
      <w:pPr>
        <w:spacing w:after="0"/>
        <w:rPr>
          <w:rFonts w:eastAsia="Arial Unicode MS"/>
          <w:noProof/>
          <w:szCs w:val="24"/>
        </w:rPr>
      </w:pPr>
      <w:r>
        <w:rPr>
          <w:noProof/>
        </w:rPr>
        <w:t>délivrée conformément au règlement (UE) n</w:t>
      </w:r>
      <w:r>
        <w:rPr>
          <w:noProof/>
          <w:vertAlign w:val="superscript"/>
        </w:rPr>
        <w:t>o</w:t>
      </w:r>
      <w:r>
        <w:rPr>
          <w:noProof/>
        </w:rPr>
        <w:t xml:space="preserve"> XXX/201X, modifié en dernier lieu par le règlement (UE) n</w:t>
      </w:r>
      <w:r>
        <w:rPr>
          <w:noProof/>
          <w:vertAlign w:val="superscript"/>
        </w:rPr>
        <w:t>o</w:t>
      </w:r>
      <w:r>
        <w:rPr>
          <w:noProof/>
        </w:rPr>
        <w:t>. …/… (</w:t>
      </w:r>
      <w:r>
        <w:rPr>
          <w:noProof/>
          <w:vertAlign w:val="superscript"/>
        </w:rPr>
        <w:t>1</w:t>
      </w:r>
      <w:r>
        <w:rPr>
          <w:noProof/>
        </w:rPr>
        <w:t>)</w:t>
      </w:r>
      <w:r>
        <w:rPr>
          <w:i/>
          <w:noProof/>
        </w:rPr>
        <w:t>.</w:t>
      </w:r>
    </w:p>
    <w:p>
      <w:pPr>
        <w:spacing w:after="240"/>
        <w:rPr>
          <w:rFonts w:eastAsia="Arial Unicode MS"/>
          <w:noProof/>
          <w:szCs w:val="24"/>
        </w:rPr>
      </w:pPr>
      <w:r>
        <w:rPr>
          <w:noProof/>
        </w:rPr>
        <w:t>Numéro de réception UE par type:</w:t>
      </w:r>
    </w:p>
    <w:p>
      <w:pPr>
        <w:spacing w:after="240"/>
        <w:rPr>
          <w:rFonts w:eastAsia="Arial Unicode MS"/>
          <w:noProof/>
          <w:szCs w:val="24"/>
        </w:rPr>
      </w:pPr>
      <w:r>
        <w:rPr>
          <w:noProof/>
        </w:rPr>
        <w:t>Raison de l’extension:</w:t>
      </w:r>
    </w:p>
    <w:p>
      <w:pPr>
        <w:jc w:val="center"/>
        <w:rPr>
          <w:rFonts w:eastAsia="Arial Unicode MS"/>
          <w:bCs/>
          <w:noProof/>
          <w:szCs w:val="24"/>
        </w:rPr>
      </w:pPr>
      <w:r>
        <w:rPr>
          <w:noProof/>
        </w:rPr>
        <w:t>SECTION I</w:t>
      </w:r>
    </w:p>
    <w:p>
      <w:pPr>
        <w:spacing w:after="0"/>
        <w:ind w:left="851" w:hanging="851"/>
        <w:rPr>
          <w:rFonts w:eastAsia="Arial Unicode MS"/>
          <w:noProof/>
          <w:szCs w:val="24"/>
        </w:rPr>
      </w:pPr>
      <w:r>
        <w:rPr>
          <w:noProof/>
        </w:rPr>
        <w:t>1.1.</w:t>
      </w:r>
      <w:r>
        <w:rPr>
          <w:noProof/>
        </w:rPr>
        <w:tab/>
        <w:t>Marque (dénomination commerciale du constructeur):</w:t>
      </w:r>
    </w:p>
    <w:p>
      <w:pPr>
        <w:spacing w:after="0"/>
        <w:ind w:left="851" w:hanging="851"/>
        <w:rPr>
          <w:rFonts w:eastAsia="Arial Unicode MS"/>
          <w:noProof/>
          <w:szCs w:val="24"/>
        </w:rPr>
      </w:pPr>
      <w:r>
        <w:rPr>
          <w:noProof/>
        </w:rPr>
        <w:t>1.2.</w:t>
      </w:r>
      <w:r>
        <w:rPr>
          <w:noProof/>
        </w:rPr>
        <w:tab/>
        <w:t>Type:</w:t>
      </w:r>
    </w:p>
    <w:p>
      <w:pPr>
        <w:spacing w:after="0"/>
        <w:ind w:left="851" w:hanging="851"/>
        <w:rPr>
          <w:rFonts w:eastAsia="Arial Unicode MS"/>
          <w:noProof/>
          <w:szCs w:val="24"/>
        </w:rPr>
      </w:pPr>
      <w:r>
        <w:rPr>
          <w:noProof/>
        </w:rPr>
        <w:t>1.2.1.</w:t>
      </w:r>
      <w:r>
        <w:rPr>
          <w:noProof/>
        </w:rPr>
        <w:tab/>
        <w:t>Appellation(s) commerciale(s) (</w:t>
      </w:r>
      <w:r>
        <w:rPr>
          <w:noProof/>
          <w:vertAlign w:val="superscript"/>
        </w:rPr>
        <w:t>2</w:t>
      </w:r>
      <w:r>
        <w:rPr>
          <w:noProof/>
        </w:rPr>
        <w:t>):</w:t>
      </w:r>
    </w:p>
    <w:p>
      <w:pPr>
        <w:spacing w:after="0"/>
        <w:ind w:left="851" w:hanging="851"/>
        <w:rPr>
          <w:rFonts w:eastAsia="Arial Unicode MS"/>
          <w:noProof/>
          <w:szCs w:val="24"/>
        </w:rPr>
      </w:pPr>
      <w:r>
        <w:rPr>
          <w:noProof/>
        </w:rPr>
        <w:t>1.3.</w:t>
      </w:r>
      <w:r>
        <w:rPr>
          <w:noProof/>
        </w:rPr>
        <w:tab/>
        <w:t>Moyen d’identification du type, s’il est indiqué sur le véhicule:</w:t>
      </w:r>
    </w:p>
    <w:p>
      <w:pPr>
        <w:spacing w:after="0"/>
        <w:ind w:left="851" w:hanging="851"/>
        <w:rPr>
          <w:rFonts w:eastAsia="Arial Unicode MS"/>
          <w:noProof/>
          <w:szCs w:val="24"/>
        </w:rPr>
      </w:pPr>
      <w:r>
        <w:rPr>
          <w:noProof/>
        </w:rPr>
        <w:t>1.3.1.</w:t>
      </w:r>
      <w:r>
        <w:rPr>
          <w:noProof/>
        </w:rPr>
        <w:tab/>
        <w:t>Emplacement de ce marquage:</w:t>
      </w:r>
    </w:p>
    <w:p>
      <w:pPr>
        <w:spacing w:after="0"/>
        <w:ind w:left="851" w:hanging="851"/>
        <w:rPr>
          <w:rFonts w:eastAsia="Arial Unicode MS"/>
          <w:noProof/>
          <w:szCs w:val="24"/>
        </w:rPr>
      </w:pPr>
      <w:r>
        <w:rPr>
          <w:noProof/>
        </w:rPr>
        <w:t>1.4.</w:t>
      </w:r>
      <w:r>
        <w:rPr>
          <w:noProof/>
        </w:rPr>
        <w:tab/>
        <w:t>Catégorie de véhicule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Supprimer les mentions inutiles</w:t>
      </w:r>
      <w:r>
        <w:rPr>
          <w:noProof/>
        </w:rPr>
        <w:t>.</w:t>
      </w:r>
    </w:p>
    <w:p>
      <w:pPr>
        <w:spacing w:before="0" w:after="0"/>
        <w:ind w:left="284" w:hanging="284"/>
        <w:rPr>
          <w:noProof/>
          <w:sz w:val="20"/>
        </w:rPr>
      </w:pPr>
      <w:r>
        <w:rPr>
          <w:noProof/>
          <w:sz w:val="20"/>
        </w:rPr>
        <w:t>(</w:t>
      </w:r>
      <w:r>
        <w:rPr>
          <w:noProof/>
          <w:sz w:val="20"/>
          <w:vertAlign w:val="superscript"/>
        </w:rPr>
        <w:t>2</w:t>
      </w:r>
      <w:r>
        <w:rPr>
          <w:noProof/>
          <w:sz w:val="20"/>
        </w:rPr>
        <w:t>)</w:t>
      </w:r>
      <w:r>
        <w:rPr>
          <w:noProof/>
          <w:sz w:val="20"/>
        </w:rPr>
        <w:tab/>
        <w:t>Si ce renseignement n’est pas disponible lors de la délivrance de la réception, ce point doit être complété au plus tard lors de la mise du véhicule sur le marché.</w:t>
      </w:r>
    </w:p>
    <w:p>
      <w:pPr>
        <w:spacing w:before="0" w:after="0"/>
        <w:ind w:left="284" w:hanging="284"/>
        <w:rPr>
          <w:noProof/>
          <w:sz w:val="20"/>
        </w:rPr>
      </w:pPr>
      <w:r>
        <w:rPr>
          <w:noProof/>
          <w:sz w:val="20"/>
        </w:rPr>
        <w:t>(</w:t>
      </w:r>
      <w:r>
        <w:rPr>
          <w:noProof/>
          <w:sz w:val="20"/>
          <w:vertAlign w:val="superscript"/>
        </w:rPr>
        <w:t>3</w:t>
      </w:r>
      <w:r>
        <w:rPr>
          <w:noProof/>
          <w:sz w:val="20"/>
        </w:rPr>
        <w:t>)</w:t>
      </w:r>
      <w:r>
        <w:rPr>
          <w:noProof/>
          <w:sz w:val="20"/>
        </w:rPr>
        <w:tab/>
        <w:t>Comme défini dans l’annexe II, partie A, du règlement (UE) …/….</w:t>
      </w:r>
    </w:p>
    <w:p>
      <w:pPr>
        <w:spacing w:before="0" w:after="0"/>
        <w:ind w:left="284" w:hanging="284"/>
        <w:rPr>
          <w:noProof/>
          <w:sz w:val="20"/>
        </w:rPr>
      </w:pPr>
      <w:r>
        <w:rPr>
          <w:noProof/>
          <w:sz w:val="20"/>
        </w:rPr>
        <w:t>(</w:t>
      </w:r>
      <w:r>
        <w:rPr>
          <w:noProof/>
          <w:sz w:val="20"/>
          <w:vertAlign w:val="superscript"/>
        </w:rPr>
        <w:t>4</w:t>
      </w:r>
      <w:r>
        <w:rPr>
          <w:noProof/>
          <w:sz w:val="20"/>
        </w:rPr>
        <w:t>)</w:t>
      </w:r>
      <w:r>
        <w:rPr>
          <w:noProof/>
          <w:sz w:val="20"/>
        </w:rPr>
        <w:tab/>
        <w:t xml:space="preserve">À indiquer conformément à l’article 33, paragraphe 1, du règlement (UE) …/…. </w:t>
      </w:r>
    </w:p>
    <w:p>
      <w:pPr>
        <w:spacing w:before="100" w:beforeAutospacing="1" w:after="100" w:afterAutospacing="1"/>
        <w:ind w:left="709" w:hanging="709"/>
        <w:rPr>
          <w:rFonts w:eastAsia="Arial Unicode MS"/>
          <w:noProof/>
          <w:szCs w:val="24"/>
        </w:rPr>
      </w:pPr>
      <w:r>
        <w:rPr>
          <w:noProof/>
        </w:rPr>
        <w:br w:type="page"/>
        <w:t>1.5.</w:t>
      </w:r>
      <w:r>
        <w:rPr>
          <w:noProof/>
        </w:rPr>
        <w:tab/>
        <w:t>Raison sociale et adresse du constructeur du véhicule complet/complété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Pour les véhicules faisant l’objet d’une réception par type multi-étapes, raison sociale et adresse du constructeur du véhicule de base/véhicule de la ou des étapes antérieures:</w:t>
      </w:r>
    </w:p>
    <w:p>
      <w:pPr>
        <w:spacing w:after="0"/>
        <w:ind w:left="709" w:hanging="709"/>
        <w:rPr>
          <w:rFonts w:eastAsia="Arial Unicode MS"/>
          <w:noProof/>
          <w:szCs w:val="24"/>
        </w:rPr>
      </w:pPr>
      <w:r>
        <w:rPr>
          <w:noProof/>
        </w:rPr>
        <w:t>1.8.</w:t>
      </w:r>
      <w:r>
        <w:rPr>
          <w:noProof/>
        </w:rPr>
        <w:tab/>
        <w:t>Nom(s) et adresse(s) de la ou des usines d’assemblage:</w:t>
      </w:r>
    </w:p>
    <w:p>
      <w:pPr>
        <w:spacing w:after="0"/>
        <w:ind w:left="709" w:hanging="709"/>
        <w:rPr>
          <w:rFonts w:eastAsia="Arial Unicode MS"/>
          <w:noProof/>
          <w:szCs w:val="24"/>
        </w:rPr>
      </w:pPr>
      <w:r>
        <w:rPr>
          <w:noProof/>
        </w:rPr>
        <w:t>1.9.</w:t>
      </w:r>
      <w:r>
        <w:rPr>
          <w:noProof/>
        </w:rPr>
        <w:tab/>
        <w:t>Nom et adresse du mandataire du constructeur (le cas échéant):</w:t>
      </w:r>
    </w:p>
    <w:p>
      <w:pPr>
        <w:spacing w:before="240" w:after="240"/>
        <w:jc w:val="center"/>
        <w:rPr>
          <w:rFonts w:eastAsia="Arial Unicode MS"/>
          <w:bCs/>
          <w:noProof/>
          <w:szCs w:val="24"/>
        </w:rPr>
      </w:pPr>
      <w:r>
        <w:rPr>
          <w:noProof/>
        </w:rPr>
        <w:t>SECTION II</w:t>
      </w:r>
    </w:p>
    <w:p>
      <w:pPr>
        <w:spacing w:after="0"/>
        <w:rPr>
          <w:rFonts w:eastAsia="Arial Unicode MS"/>
          <w:noProof/>
          <w:szCs w:val="24"/>
        </w:rPr>
      </w:pPr>
      <w:r>
        <w:rPr>
          <w:noProof/>
        </w:rPr>
        <w:t>Le soussigné certifie, par la présente, l’exactitude de la description, faite par le constructeur dans la fiche de renseignements en annexe, du type de véhicule [un (des) échantillon(s) ayant été choisi(s) par l’autorité compétente en matière de réception et présenté(s) par le constructeur en tant que prototype(s) du type de véhicule], ainsi que l’applicabilité au type de véhicule des résultats d’essais en annexe.</w:t>
      </w:r>
    </w:p>
    <w:p>
      <w:pPr>
        <w:spacing w:after="0"/>
        <w:ind w:left="426" w:hanging="426"/>
        <w:rPr>
          <w:rFonts w:eastAsia="Arial Unicode MS"/>
          <w:noProof/>
          <w:szCs w:val="24"/>
        </w:rPr>
      </w:pPr>
      <w:r>
        <w:rPr>
          <w:noProof/>
        </w:rPr>
        <w:t>1.</w:t>
      </w:r>
      <w:r>
        <w:rPr>
          <w:noProof/>
        </w:rPr>
        <w:tab/>
        <w:t>Pour les véhicules/variantes complets (complètes) et complété(e)s (</w:t>
      </w:r>
      <w:r>
        <w:rPr>
          <w:noProof/>
          <w:vertAlign w:val="superscript"/>
        </w:rPr>
        <w:t>1</w:t>
      </w:r>
      <w:r>
        <w:rPr>
          <w:noProof/>
        </w:rPr>
        <w:t>):</w:t>
      </w:r>
    </w:p>
    <w:p>
      <w:pPr>
        <w:spacing w:after="100" w:afterAutospacing="1"/>
        <w:ind w:left="425"/>
        <w:rPr>
          <w:rFonts w:eastAsia="Arial Unicode MS"/>
          <w:noProof/>
          <w:szCs w:val="24"/>
        </w:rPr>
      </w:pPr>
      <w:r>
        <w:rPr>
          <w:noProof/>
        </w:rPr>
        <w:t>Le type de véhicule satisfait/ne satisfait (</w:t>
      </w:r>
      <w:r>
        <w:rPr>
          <w:noProof/>
          <w:vertAlign w:val="superscript"/>
        </w:rPr>
        <w:t>1</w:t>
      </w:r>
      <w:r>
        <w:rPr>
          <w:noProof/>
        </w:rPr>
        <w:t>) pas aux prescriptions techniques de tous les actes réglementaires applicables indiqués dans l’annexe IV (</w:t>
      </w:r>
      <w:r>
        <w:rPr>
          <w:noProof/>
          <w:vertAlign w:val="superscript"/>
        </w:rPr>
        <w:t>2</w:t>
      </w:r>
      <w:r>
        <w:rPr>
          <w:noProof/>
        </w:rPr>
        <w:t>) du règlement (UE) n</w:t>
      </w:r>
      <w:r>
        <w:rPr>
          <w:noProof/>
          <w:vertAlign w:val="superscript"/>
        </w:rPr>
        <w:t>o</w:t>
      </w:r>
      <w:r>
        <w:rPr>
          <w:noProof/>
        </w:rPr>
        <w:t> XXX/201X.</w:t>
      </w:r>
    </w:p>
    <w:p>
      <w:pPr>
        <w:spacing w:after="100" w:afterAutospacing="1"/>
        <w:ind w:left="426" w:hanging="426"/>
        <w:rPr>
          <w:rFonts w:eastAsia="Arial Unicode MS"/>
          <w:noProof/>
          <w:szCs w:val="24"/>
        </w:rPr>
      </w:pPr>
      <w:r>
        <w:rPr>
          <w:noProof/>
        </w:rPr>
        <w:t>1.1.</w:t>
      </w:r>
      <w:r>
        <w:rPr>
          <w:noProof/>
        </w:rPr>
        <w:tab/>
        <w:t>Restrictions de validité (</w:t>
      </w:r>
      <w:r>
        <w:rPr>
          <w:noProof/>
          <w:vertAlign w:val="superscript"/>
        </w:rPr>
        <w:t>1</w:t>
      </w:r>
      <w:r>
        <w:rPr>
          <w:noProof/>
        </w:rPr>
        <w:t>)(</w:t>
      </w:r>
      <w:r>
        <w:rPr>
          <w:noProof/>
          <w:vertAlign w:val="superscript"/>
        </w:rPr>
        <w:t>3</w:t>
      </w:r>
      <w:r>
        <w:rPr>
          <w:noProof/>
        </w:rPr>
        <w:t>):………………………………………………………….</w:t>
      </w:r>
    </w:p>
    <w:p>
      <w:pPr>
        <w:spacing w:after="100" w:afterAutospacing="1"/>
        <w:ind w:left="426" w:hanging="426"/>
        <w:rPr>
          <w:rFonts w:eastAsia="Arial Unicode MS"/>
          <w:noProof/>
          <w:szCs w:val="24"/>
        </w:rPr>
      </w:pPr>
      <w:r>
        <w:rPr>
          <w:noProof/>
        </w:rPr>
        <w:t>1.2.</w:t>
      </w:r>
      <w:r>
        <w:rPr>
          <w:noProof/>
        </w:rPr>
        <w:tab/>
        <w:t>Dérogations accordées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Raisons des dérogations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Autres prescriptions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Pour les véhicules incomplets/variantes incomplètes (</w:t>
      </w:r>
      <w:r>
        <w:rPr>
          <w:noProof/>
          <w:vertAlign w:val="superscript"/>
        </w:rPr>
        <w:t>1</w:t>
      </w:r>
      <w:r>
        <w:rPr>
          <w:noProof/>
        </w:rPr>
        <w:t>):</w:t>
      </w:r>
    </w:p>
    <w:p>
      <w:pPr>
        <w:spacing w:after="100" w:afterAutospacing="1"/>
        <w:ind w:left="425"/>
        <w:rPr>
          <w:rFonts w:eastAsia="Arial Unicode MS"/>
          <w:noProof/>
          <w:szCs w:val="24"/>
        </w:rPr>
      </w:pPr>
      <w:r>
        <w:rPr>
          <w:noProof/>
        </w:rPr>
        <w:t>Le type de véhicule satisfait/ne satisfait pas (</w:t>
      </w:r>
      <w:r>
        <w:rPr>
          <w:noProof/>
          <w:vertAlign w:val="superscript"/>
        </w:rPr>
        <w:t>1</w:t>
      </w:r>
      <w:r>
        <w:rPr>
          <w:noProof/>
        </w:rPr>
        <w:t>) aux prescriptions techniques des actes réglementaires énumérés dans le tableau de la page 2.</w:t>
      </w:r>
    </w:p>
    <w:p>
      <w:pPr>
        <w:spacing w:after="0"/>
        <w:ind w:left="426" w:hanging="426"/>
        <w:rPr>
          <w:rFonts w:eastAsia="Arial Unicode MS"/>
          <w:noProof/>
          <w:szCs w:val="24"/>
        </w:rPr>
      </w:pPr>
      <w:r>
        <w:rPr>
          <w:noProof/>
        </w:rPr>
        <w:t>3.</w:t>
      </w:r>
      <w:r>
        <w:rPr>
          <w:noProof/>
        </w:rPr>
        <w:tab/>
        <w:t>La réception est accordée/refusée/retirée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La réception est accordée conformément à l’article 37 du règlement (UE) n</w:t>
      </w:r>
      <w:r>
        <w:rPr>
          <w:noProof/>
          <w:vertAlign w:val="superscript"/>
        </w:rPr>
        <w:t>o</w:t>
      </w:r>
      <w:r>
        <w:rPr>
          <w:noProof/>
        </w:rPr>
        <w:t xml:space="preserve"> XXX/201X et sa validité expire, dès lors, le jj/mm/aa.</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sz w:val="22"/>
              </w:rPr>
              <w:t>(Lieu)</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sz w:val="22"/>
              </w:rPr>
              <w:t>(Signature)</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sz w:val="22"/>
              </w:rPr>
              <w:t>(Date)</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Supprimer les mentions inutiles</w:t>
      </w:r>
      <w:r>
        <w:rPr>
          <w:noProof/>
        </w:rPr>
        <w:t>.</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Voir page 2.</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Applicable uniquement pour la réception par type d’un véhicule bénéficiant d’une dérogation pour nouvelle technologie ou nouveau concept, en vertu de l’article 37 du règlement (UE) n</w:t>
      </w:r>
      <w:r>
        <w:rPr>
          <w:noProof/>
          <w:sz w:val="20"/>
          <w:vertAlign w:val="superscript"/>
        </w:rPr>
        <w:t>o</w:t>
      </w:r>
      <w:r>
        <w:rPr>
          <w:noProof/>
          <w:sz w:val="20"/>
        </w:rPr>
        <w:t> XXX/201X.</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Applicable uniquement pour la réception par type, au niveau national, d’un véhicule produit en petite série, en vertu de l’article 40 du règlement (UE) n</w:t>
      </w:r>
      <w:r>
        <w:rPr>
          <w:noProof/>
          <w:sz w:val="20"/>
          <w:vertAlign w:val="superscript"/>
        </w:rPr>
        <w:t>o</w:t>
      </w:r>
      <w:r>
        <w:rPr>
          <w:noProof/>
          <w:sz w:val="20"/>
        </w:rPr>
        <w:t> XXX/201X.</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Cs w:val="24"/>
              </w:rPr>
            </w:pPr>
            <w:r>
              <w:rPr>
                <w:noProof/>
                <w:sz w:val="22"/>
              </w:rPr>
              <w:t>Pièces jointes:</w:t>
            </w:r>
          </w:p>
        </w:tc>
        <w:tc>
          <w:tcPr>
            <w:tcW w:w="0" w:type="auto"/>
            <w:hideMark/>
          </w:tcPr>
          <w:p>
            <w:pPr>
              <w:spacing w:after="0"/>
              <w:rPr>
                <w:rFonts w:eastAsia="Arial Unicode MS"/>
                <w:noProof/>
                <w:szCs w:val="24"/>
              </w:rPr>
            </w:pPr>
          </w:p>
        </w:tc>
        <w:tc>
          <w:tcPr>
            <w:tcW w:w="0" w:type="auto"/>
            <w:hideMark/>
          </w:tcPr>
          <w:p>
            <w:pPr>
              <w:spacing w:before="240" w:after="0"/>
              <w:rPr>
                <w:rFonts w:eastAsia="Arial Unicode MS"/>
                <w:noProof/>
                <w:szCs w:val="24"/>
              </w:rPr>
            </w:pPr>
            <w:r>
              <w:rPr>
                <w:noProof/>
                <w:sz w:val="22"/>
              </w:rPr>
              <w:t>Dossier de réception</w:t>
            </w:r>
          </w:p>
          <w:p>
            <w:pPr>
              <w:spacing w:after="0"/>
              <w:rPr>
                <w:rFonts w:eastAsia="Arial Unicode MS"/>
                <w:noProof/>
                <w:szCs w:val="24"/>
              </w:rPr>
            </w:pPr>
            <w:r>
              <w:rPr>
                <w:noProof/>
                <w:sz w:val="22"/>
              </w:rPr>
              <w:t>Résultats d’essais (voir annexe VIII du règlement (UE) n</w:t>
            </w:r>
            <w:r>
              <w:rPr>
                <w:noProof/>
                <w:sz w:val="22"/>
                <w:vertAlign w:val="superscript"/>
              </w:rPr>
              <w:t>o</w:t>
            </w:r>
            <w:r>
              <w:rPr>
                <w:noProof/>
                <w:sz w:val="22"/>
              </w:rPr>
              <w:t xml:space="preserve"> XXX/201X)</w:t>
            </w:r>
          </w:p>
          <w:p>
            <w:pPr>
              <w:spacing w:after="0"/>
              <w:rPr>
                <w:rFonts w:eastAsia="Arial Unicode MS"/>
                <w:noProof/>
                <w:szCs w:val="24"/>
              </w:rPr>
            </w:pPr>
            <w:r>
              <w:rPr>
                <w:noProof/>
                <w:sz w:val="22"/>
              </w:rPr>
              <w:t>Nom(s) et spécimen(s) de signature de la ou des personnes autorisées à signer les certificats de conformité et indication de leurs fonctions dans la société</w:t>
            </w:r>
          </w:p>
        </w:tc>
      </w:tr>
    </w:tbl>
    <w:p>
      <w:pPr>
        <w:spacing w:after="0"/>
        <w:rPr>
          <w:rFonts w:eastAsia="Arial Unicode MS"/>
          <w:strike/>
          <w:noProof/>
          <w:szCs w:val="24"/>
        </w:rPr>
      </w:pPr>
      <w:r>
        <w:rPr>
          <w:i/>
          <w:noProof/>
        </w:rPr>
        <w:t>NB:</w:t>
      </w:r>
    </w:p>
    <w:p>
      <w:pPr>
        <w:spacing w:after="0"/>
        <w:ind w:left="426" w:hanging="382"/>
        <w:rPr>
          <w:rFonts w:eastAsia="Arial Unicode MS"/>
          <w:noProof/>
          <w:szCs w:val="24"/>
        </w:rPr>
      </w:pPr>
      <w:r>
        <w:rPr>
          <w:noProof/>
        </w:rPr>
        <w:t>–</w:t>
      </w:r>
      <w:r>
        <w:rPr>
          <w:noProof/>
        </w:rPr>
        <w:tab/>
        <w:t>Si le présent modèle est utilisé pour la réception par type d’un véhicule dans le cadre d’une dérogation pour nouvelle technologie ou nouveau concept, conformément à l’article 37 du règlement (UE) n</w:t>
      </w:r>
      <w:r>
        <w:rPr>
          <w:noProof/>
          <w:vertAlign w:val="superscript"/>
        </w:rPr>
        <w:t>o</w:t>
      </w:r>
      <w:r>
        <w:rPr>
          <w:noProof/>
        </w:rPr>
        <w:t xml:space="preserve"> XXX/201X, l’intitulé du certificat est le suivant: «CERTIFICAT DE CONFORMITÉ PROVISOIRE, VALABLE UNIQUEMENT SUR LE TERRITOIRE DE LA/DU …(EM)». </w:t>
      </w:r>
    </w:p>
    <w:p>
      <w:pPr>
        <w:spacing w:after="0"/>
        <w:ind w:left="426"/>
        <w:rPr>
          <w:rFonts w:eastAsia="Arial Unicode MS"/>
          <w:noProof/>
          <w:szCs w:val="24"/>
        </w:rPr>
      </w:pPr>
      <w:r>
        <w:rPr>
          <w:noProof/>
        </w:rPr>
        <w:t>Le certificat de conformité provisoire doit également indiquer dans son intitulé, au lieu de «VÉHICULES COMPLETS», la mention: «POUR LES VÉHICULES COMPLETS, RÉCEPTIONNÉS PAR TYPE CONFORMÉMENT À L’ARTICLE 37 DU RÈGLEMENT (UE) N</w:t>
      </w:r>
      <w:r>
        <w:rPr>
          <w:noProof/>
          <w:vertAlign w:val="superscript"/>
        </w:rPr>
        <w:t>o</w:t>
      </w:r>
      <w:r>
        <w:rPr>
          <w:noProof/>
        </w:rPr>
        <w:t xml:space="preserve"> XXX/201X DU PARLEMENT EUROPÉEN ET DU CONSEIL DU [JJ MOIS ANNÉE] RELATIF À LA RÉCEPTION ET À LA SURVEILLANCE DU MARCHÉ DES VÉHICULES À MOTEUR ET DE LEURS REMORQUES, AINSI QUE DES SYSTÈMES, COMPOSANTS ET ENTITÉS TECHNIQUES DISTINCTES DESTINÉS À CES VÉHICULES (RÉCEPTION PROVISOIRE)», conformément à l’article 37 du règlement (UE) n</w:t>
      </w:r>
      <w:r>
        <w:rPr>
          <w:noProof/>
          <w:vertAlign w:val="superscript"/>
        </w:rPr>
        <w:t>o</w:t>
      </w:r>
      <w:r>
        <w:rPr>
          <w:noProof/>
        </w:rPr>
        <w:t xml:space="preserve"> XXX/201X.</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Si le présent modèle est utilisé pour la réception par type, au niveau national, d’un véhicule produit en petite série, conformément à l’article 40 du règlement (UE) n</w:t>
      </w:r>
      <w:r>
        <w:rPr>
          <w:noProof/>
          <w:vertAlign w:val="superscript"/>
        </w:rPr>
        <w:t>o</w:t>
      </w:r>
      <w:r>
        <w:rPr>
          <w:noProof/>
        </w:rPr>
        <w:t> XXX/201X, la fiche doit porter l’intitulé suivant: «FICHE DE RÉCEPTION NATIONALE PAR TYPE D’UN VÉHICULE PRODUIT EN PETITE SÉRIE». Le texte doit spécifier la nature des exemptions, leurs justifications et les autres prescriptions applicables visées à l’article 40, paragraphe 2, du règlement (UE) n</w:t>
      </w:r>
      <w:r>
        <w:rPr>
          <w:noProof/>
          <w:vertAlign w:val="superscript"/>
        </w:rPr>
        <w:t>o</w:t>
      </w:r>
      <w:r>
        <w:rPr>
          <w:noProof/>
        </w:rPr>
        <w:t> XXX/201X.</w:t>
      </w:r>
    </w:p>
    <w:p>
      <w:pPr>
        <w:jc w:val="center"/>
        <w:rPr>
          <w:rFonts w:eastAsia="Arial Unicode MS"/>
          <w:b/>
          <w:iCs/>
          <w:noProof/>
          <w:szCs w:val="24"/>
        </w:rPr>
      </w:pPr>
      <w:r>
        <w:rPr>
          <w:noProof/>
        </w:rPr>
        <w:br w:type="page"/>
      </w:r>
      <w:r>
        <w:rPr>
          <w:b/>
          <w:noProof/>
        </w:rPr>
        <w:t>FICHE DE RÉCEPTION UE PAR TYPE</w:t>
      </w:r>
    </w:p>
    <w:p>
      <w:pPr>
        <w:spacing w:after="0"/>
        <w:rPr>
          <w:rFonts w:eastAsia="Arial Unicode MS"/>
          <w:noProof/>
          <w:szCs w:val="24"/>
        </w:rPr>
      </w:pPr>
      <w:r>
        <w:rPr>
          <w:noProof/>
        </w:rPr>
        <w:t>Page 2</w:t>
      </w:r>
    </w:p>
    <w:p>
      <w:pPr>
        <w:spacing w:after="0"/>
        <w:rPr>
          <w:rFonts w:eastAsia="Arial Unicode MS"/>
          <w:noProof/>
          <w:szCs w:val="24"/>
        </w:rPr>
      </w:pPr>
      <w:r>
        <w:rPr>
          <w:noProof/>
        </w:rPr>
        <w:t>La présente réception UE par type est fondée, pour les véhicules, variantes ou versions incomplets et complétés, sur la ou les réceptions de véhicules incomplets visé(e)s ci-dessous.</w:t>
      </w:r>
    </w:p>
    <w:p>
      <w:pPr>
        <w:spacing w:before="240" w:after="0"/>
        <w:rPr>
          <w:rFonts w:eastAsia="Arial Unicode MS"/>
          <w:noProof/>
          <w:szCs w:val="24"/>
        </w:rPr>
      </w:pPr>
      <w:r>
        <w:rPr>
          <w:noProof/>
        </w:rPr>
        <w:t>Étape 1: Constructeur du véhicule de base:</w:t>
      </w:r>
    </w:p>
    <w:p>
      <w:pPr>
        <w:spacing w:after="0"/>
        <w:rPr>
          <w:rFonts w:eastAsia="Arial Unicode MS"/>
          <w:noProof/>
          <w:szCs w:val="24"/>
        </w:rPr>
      </w:pPr>
      <w:r>
        <w:rPr>
          <w:noProof/>
        </w:rPr>
        <w:t>Numéro de réception UE par type:</w:t>
      </w:r>
    </w:p>
    <w:p>
      <w:pPr>
        <w:spacing w:after="0"/>
        <w:rPr>
          <w:rFonts w:eastAsia="Arial Unicode MS"/>
          <w:noProof/>
          <w:szCs w:val="24"/>
        </w:rPr>
      </w:pPr>
      <w:r>
        <w:rPr>
          <w:noProof/>
        </w:rPr>
        <w:t>Date:</w:t>
      </w:r>
    </w:p>
    <w:p>
      <w:pPr>
        <w:spacing w:after="0"/>
        <w:rPr>
          <w:rFonts w:eastAsia="Arial Unicode MS"/>
          <w:noProof/>
          <w:szCs w:val="24"/>
        </w:rPr>
      </w:pPr>
      <w:r>
        <w:rPr>
          <w:noProof/>
        </w:rPr>
        <w:t>Applicable aux variantes ou versions (selon le cas):</w:t>
      </w:r>
    </w:p>
    <w:p>
      <w:pPr>
        <w:spacing w:before="240" w:after="0"/>
        <w:rPr>
          <w:rFonts w:eastAsia="Arial Unicode MS"/>
          <w:noProof/>
          <w:szCs w:val="24"/>
        </w:rPr>
      </w:pPr>
      <w:r>
        <w:rPr>
          <w:noProof/>
        </w:rPr>
        <w:t>Étape 2: Constructeur:</w:t>
      </w:r>
    </w:p>
    <w:p>
      <w:pPr>
        <w:spacing w:after="0"/>
        <w:rPr>
          <w:rFonts w:eastAsia="Arial Unicode MS"/>
          <w:noProof/>
          <w:szCs w:val="24"/>
        </w:rPr>
      </w:pPr>
      <w:r>
        <w:rPr>
          <w:noProof/>
        </w:rPr>
        <w:t>Numéro de réception UE par type:</w:t>
      </w:r>
    </w:p>
    <w:p>
      <w:pPr>
        <w:spacing w:after="0"/>
        <w:rPr>
          <w:rFonts w:eastAsia="Arial Unicode MS"/>
          <w:noProof/>
          <w:szCs w:val="24"/>
        </w:rPr>
      </w:pPr>
      <w:r>
        <w:rPr>
          <w:noProof/>
        </w:rPr>
        <w:t>Date:</w:t>
      </w:r>
    </w:p>
    <w:p>
      <w:pPr>
        <w:spacing w:after="0"/>
        <w:rPr>
          <w:rFonts w:eastAsia="Arial Unicode MS"/>
          <w:noProof/>
          <w:szCs w:val="24"/>
        </w:rPr>
      </w:pPr>
      <w:r>
        <w:rPr>
          <w:noProof/>
        </w:rPr>
        <w:t>Applicable aux variantes ou versions (selon le cas):</w:t>
      </w:r>
    </w:p>
    <w:p>
      <w:pPr>
        <w:spacing w:before="240" w:after="0"/>
        <w:rPr>
          <w:rFonts w:eastAsia="Arial Unicode MS"/>
          <w:noProof/>
          <w:szCs w:val="24"/>
        </w:rPr>
      </w:pPr>
      <w:r>
        <w:rPr>
          <w:noProof/>
        </w:rPr>
        <w:t>Étape 3: Constructeur:</w:t>
      </w:r>
    </w:p>
    <w:p>
      <w:pPr>
        <w:spacing w:after="0"/>
        <w:rPr>
          <w:rFonts w:eastAsia="Arial Unicode MS"/>
          <w:noProof/>
          <w:szCs w:val="24"/>
        </w:rPr>
      </w:pPr>
      <w:r>
        <w:rPr>
          <w:noProof/>
        </w:rPr>
        <w:t>Numéro de réception UE par type:</w:t>
      </w:r>
    </w:p>
    <w:p>
      <w:pPr>
        <w:spacing w:after="0"/>
        <w:rPr>
          <w:rFonts w:eastAsia="Arial Unicode MS"/>
          <w:noProof/>
          <w:szCs w:val="24"/>
        </w:rPr>
      </w:pPr>
      <w:r>
        <w:rPr>
          <w:noProof/>
        </w:rPr>
        <w:t>Date:</w:t>
      </w:r>
    </w:p>
    <w:p>
      <w:pPr>
        <w:spacing w:after="0"/>
        <w:rPr>
          <w:rFonts w:eastAsia="Arial Unicode MS"/>
          <w:noProof/>
          <w:szCs w:val="24"/>
        </w:rPr>
      </w:pPr>
      <w:r>
        <w:rPr>
          <w:noProof/>
        </w:rPr>
        <w:t>Applicable aux variantes ou versions (selon le cas):</w:t>
      </w:r>
    </w:p>
    <w:p>
      <w:pPr>
        <w:spacing w:after="0"/>
        <w:rPr>
          <w:rFonts w:eastAsia="Arial Unicode MS"/>
          <w:noProof/>
          <w:szCs w:val="24"/>
        </w:rPr>
      </w:pPr>
      <w:r>
        <w:rPr>
          <w:noProof/>
        </w:rPr>
        <w:t>Dans le cas où la réception comprend une ou plusieurs variantes ou versions incomplètes (selon le cas), énumérer les variantes ou versions (selon le cas) qui sont complètes ou complétées.</w:t>
      </w:r>
    </w:p>
    <w:p>
      <w:pPr>
        <w:spacing w:after="0"/>
        <w:rPr>
          <w:rFonts w:eastAsia="Arial Unicode MS"/>
          <w:noProof/>
          <w:szCs w:val="24"/>
          <w:lang w:val="pt-PT"/>
        </w:rPr>
      </w:pPr>
      <w:r>
        <w:rPr>
          <w:noProof/>
          <w:lang w:val="pt-PT"/>
        </w:rPr>
        <w:t>Variante(s) complète(s)/complétée(s):</w:t>
      </w:r>
    </w:p>
    <w:p>
      <w:pPr>
        <w:spacing w:after="0"/>
        <w:rPr>
          <w:rFonts w:eastAsia="Arial Unicode MS"/>
          <w:noProof/>
          <w:szCs w:val="24"/>
        </w:rPr>
      </w:pPr>
      <w:r>
        <w:rPr>
          <w:noProof/>
        </w:rPr>
        <w:t>Liste des prescriptions applicables au type de véhicule incomplet réceptionné ou à la variante ou version incomplète réceptionnée (selon le cas, en tenant compte du champ d’application et de la dernière modification de chacun des actes réglementaires énumérés dans le tableau suivant):</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985"/>
        <w:gridCol w:w="1984"/>
        <w:gridCol w:w="1843"/>
        <w:gridCol w:w="1417"/>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Élément</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Objet</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Référence de l’acte réglementaire</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Dernière modification</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Applicable à la variante ou, le cas échéant, à la version</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sz w:val="20"/>
                <w:szCs w:val="20"/>
              </w:rPr>
              <w:t>(Énumérer uniquement les objets pour lesquels il existe une réception UE par type.)</w:t>
            </w:r>
          </w:p>
        </w:tc>
      </w:tr>
    </w:tbl>
    <w:p>
      <w:pPr>
        <w:spacing w:before="240" w:after="0"/>
        <w:rPr>
          <w:rFonts w:eastAsia="Arial Unicode MS"/>
          <w:noProof/>
          <w:szCs w:val="24"/>
        </w:rPr>
      </w:pPr>
      <w:r>
        <w:rPr>
          <w:noProof/>
        </w:rPr>
        <w:t>Dans le cas des véhicules à usage spécial, exemptions accordées ou dispositions spéciales appliquées en vertu de l’annexe IV, partie III, et dérogations accordées en vertu de l’article 37:</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Référence de l’acte réglementaire</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Numéro de l’élément</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Type de réception et nature de la dérogation/exemption</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Applicable à la variante ou, le cas échéant, à la version</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i/>
          <w:iCs/>
          <w:noProof/>
          <w:szCs w:val="24"/>
        </w:rPr>
      </w:pPr>
      <w:r>
        <w:rPr>
          <w:noProof/>
        </w:rPr>
        <w:br w:type="page"/>
      </w:r>
      <w:r>
        <w:rPr>
          <w:i/>
          <w:noProof/>
        </w:rPr>
        <w:t>Appendice</w:t>
      </w:r>
    </w:p>
    <w:p>
      <w:pPr>
        <w:jc w:val="center"/>
        <w:rPr>
          <w:rFonts w:eastAsia="Arial Unicode MS"/>
          <w:b/>
          <w:iCs/>
          <w:noProof/>
          <w:szCs w:val="24"/>
        </w:rPr>
      </w:pPr>
      <w:r>
        <w:rPr>
          <w:b/>
          <w:noProof/>
        </w:rPr>
        <w:t>Liste des actes réglementaires auxquels le type de véhicule est conforme</w:t>
      </w:r>
    </w:p>
    <w:p>
      <w:pPr>
        <w:spacing w:after="240"/>
        <w:jc w:val="center"/>
        <w:rPr>
          <w:rFonts w:eastAsia="Arial Unicode MS"/>
          <w:iCs/>
          <w:noProof/>
          <w:szCs w:val="24"/>
        </w:rPr>
      </w:pPr>
      <w:r>
        <w:rPr>
          <w:noProof/>
        </w:rPr>
        <w:t>(à remplir uniquement en cas de réception par type conformément à l’article 26, paragraphe 6)</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Objet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Référence de l’acte réglementaire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Modifié par</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rPr>
              <w:t>Applicable aux variantes</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rPr>
              <w:t>1A</w:t>
            </w:r>
            <w:r>
              <w:rPr>
                <w:noProof/>
              </w:rPr>
              <w:tab/>
            </w:r>
            <w:r>
              <w:rPr>
                <w:noProof/>
                <w:sz w:val="20"/>
              </w:rPr>
              <w:t>Niveau sonore</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2.</w:t>
            </w:r>
            <w:r>
              <w:rPr>
                <w:noProof/>
              </w:rPr>
              <w:tab/>
            </w:r>
            <w:r>
              <w:rPr>
                <w:noProof/>
                <w:sz w:val="20"/>
              </w:rPr>
              <w:t>Émissions</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3.</w:t>
            </w:r>
            <w:r>
              <w:rPr>
                <w:noProof/>
              </w:rPr>
              <w:tab/>
            </w:r>
            <w:r>
              <w:rPr>
                <w:noProof/>
                <w:sz w:val="20"/>
              </w:rPr>
              <w:t>Réservoirs de carburant/dispositifs de protection arrière</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rPr>
        <w:t>(</w:t>
      </w:r>
      <w:r>
        <w:rPr>
          <w:noProof/>
          <w:vertAlign w:val="superscript"/>
        </w:rPr>
        <w:t>1</w:t>
      </w:r>
      <w:r>
        <w:rPr>
          <w:noProof/>
        </w:rPr>
        <w:t xml:space="preserve">) </w:t>
      </w:r>
      <w:r>
        <w:rPr>
          <w:noProof/>
          <w:sz w:val="20"/>
        </w:rPr>
        <w:t>Conformément à l’annexe IV du présent règlement.</w:t>
      </w:r>
    </w:p>
    <w:p>
      <w:pPr>
        <w:spacing w:after="0"/>
        <w:jc w:val="center"/>
        <w:rPr>
          <w:rFonts w:eastAsia="Arial Unicode MS"/>
          <w:bCs/>
          <w:noProof/>
          <w:szCs w:val="24"/>
        </w:rPr>
      </w:pPr>
      <w:r>
        <w:rPr>
          <w:noProof/>
        </w:rPr>
        <w:br w:type="page"/>
        <w:t>MODÈLE B</w:t>
      </w:r>
    </w:p>
    <w:p>
      <w:pPr>
        <w:spacing w:before="240" w:after="240"/>
        <w:jc w:val="center"/>
        <w:rPr>
          <w:rFonts w:eastAsia="Arial Unicode MS"/>
          <w:b/>
          <w:bCs/>
          <w:noProof/>
          <w:szCs w:val="24"/>
        </w:rPr>
      </w:pPr>
      <w:r>
        <w:rPr>
          <w:b/>
          <w:noProof/>
        </w:rPr>
        <w:t>(à utiliser pour la réception par type d’un véhicule en ce qui concerne un système)</w:t>
      </w:r>
    </w:p>
    <w:p>
      <w:pPr>
        <w:jc w:val="center"/>
        <w:rPr>
          <w:rFonts w:eastAsia="Arial Unicode MS"/>
          <w:b/>
          <w:bCs/>
          <w:noProof/>
          <w:szCs w:val="24"/>
        </w:rPr>
      </w:pPr>
      <w:r>
        <w:rPr>
          <w:noProof/>
        </w:rPr>
        <w:t>Format maximal: A4 (210 × 297 mm)</w:t>
      </w:r>
    </w:p>
    <w:p>
      <w:pPr>
        <w:spacing w:before="240" w:after="240"/>
        <w:jc w:val="center"/>
        <w:rPr>
          <w:rFonts w:eastAsia="Arial Unicode MS"/>
          <w:b/>
          <w:iCs/>
          <w:noProof/>
          <w:szCs w:val="24"/>
        </w:rPr>
      </w:pPr>
      <w:r>
        <w:rPr>
          <w:b/>
          <w:noProof/>
        </w:rPr>
        <w:t>FICHE DE RÉCEPTION UE PAR TYPE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Tampon de l’autorité compétente en matière de réception</w:t>
      </w:r>
    </w:p>
    <w:p>
      <w:pPr>
        <w:rPr>
          <w:rFonts w:eastAsia="Arial Unicode MS"/>
          <w:noProof/>
          <w:szCs w:val="24"/>
        </w:rPr>
      </w:pPr>
    </w:p>
    <w:p>
      <w:pPr>
        <w:spacing w:after="0"/>
        <w:rPr>
          <w:rFonts w:eastAsia="Arial Unicode MS"/>
          <w:noProof/>
          <w:szCs w:val="24"/>
        </w:rPr>
      </w:pPr>
      <w:r>
        <w:rPr>
          <w:noProof/>
        </w:rPr>
        <w:t>Communication concernant:</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440"/>
        <w:gridCol w:w="425"/>
        <w:gridCol w:w="3827"/>
      </w:tblGrid>
      <w:tr>
        <w:trPr>
          <w:tblCellSpacing w:w="0" w:type="dxa"/>
        </w:trPr>
        <w:tc>
          <w:tcPr>
            <w:tcW w:w="4440"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Cs w:val="24"/>
              </w:rPr>
            </w:pPr>
            <w:r>
              <w:rPr>
                <w:noProof/>
              </w:rPr>
              <w:t>— la réception UE par type (</w:t>
            </w:r>
            <w:r>
              <w:rPr>
                <w:noProof/>
                <w:sz w:val="22"/>
                <w:vertAlign w:val="superscript"/>
              </w:rPr>
              <w:t>1</w:t>
            </w:r>
            <w:r>
              <w:rPr>
                <w:noProof/>
              </w:rPr>
              <w:t>)</w:t>
            </w:r>
          </w:p>
        </w:tc>
        <w:tc>
          <w:tcPr>
            <w:tcW w:w="425"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Cs w:val="24"/>
              </w:rPr>
            </w:pPr>
            <w:r>
              <w:rPr>
                <w:rFonts w:eastAsia="Arial Unicode MS"/>
                <w:noProof/>
                <w:szCs w:val="24"/>
                <w:lang w:val="en-US" w:eastAsia="en-US"/>
              </w:rPr>
              <w:drawing>
                <wp:inline distT="0" distB="0" distL="0" distR="0">
                  <wp:extent cx="133350" cy="868680"/>
                  <wp:effectExtent l="0" t="0" r="0" b="7620"/>
                  <wp:docPr id="4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3350" cy="868680"/>
                          </a:xfrm>
                          <a:prstGeom prst="rect">
                            <a:avLst/>
                          </a:prstGeom>
                          <a:noFill/>
                          <a:ln>
                            <a:noFill/>
                          </a:ln>
                        </pic:spPr>
                      </pic:pic>
                    </a:graphicData>
                  </a:graphic>
                </wp:inline>
              </w:drawing>
            </w:r>
          </w:p>
        </w:tc>
        <w:tc>
          <w:tcPr>
            <w:tcW w:w="3827"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Cs w:val="24"/>
              </w:rPr>
            </w:pPr>
            <w:r>
              <w:rPr>
                <w:noProof/>
                <w:sz w:val="22"/>
              </w:rPr>
              <w:t>d’un type de système/type de véhicule en ce qui concerne un système (</w:t>
            </w:r>
            <w:r>
              <w:rPr>
                <w:noProof/>
                <w:sz w:val="22"/>
                <w:vertAlign w:val="superscript"/>
              </w:rPr>
              <w:t>1</w:t>
            </w:r>
            <w:r>
              <w:rPr>
                <w:noProof/>
                <w:sz w:val="22"/>
              </w:rPr>
              <w:t>)</w:t>
            </w:r>
          </w:p>
        </w:tc>
      </w:tr>
      <w:tr>
        <w:trPr>
          <w:tblCellSpacing w:w="0" w:type="dxa"/>
        </w:trPr>
        <w:tc>
          <w:tcPr>
            <w:tcW w:w="4440"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Cs w:val="24"/>
              </w:rPr>
            </w:pPr>
            <w:r>
              <w:rPr>
                <w:noProof/>
              </w:rPr>
              <w:t>— l’extension de la réception UE par type (</w:t>
            </w:r>
            <w:r>
              <w:rPr>
                <w:noProof/>
                <w:sz w:val="22"/>
                <w:vertAlign w:val="superscript"/>
              </w:rPr>
              <w:t>1</w:t>
            </w:r>
            <w:r>
              <w:rPr>
                <w:noProof/>
              </w:rPr>
              <w:t>)</w:t>
            </w:r>
          </w:p>
        </w:tc>
        <w:tc>
          <w:tcPr>
            <w:tcW w:w="425" w:type="dxa"/>
            <w:vMerge/>
            <w:tcBorders>
              <w:left w:val="outset" w:sz="6" w:space="0" w:color="auto"/>
              <w:right w:val="outset" w:sz="6" w:space="0" w:color="auto"/>
            </w:tcBorders>
            <w:vAlign w:val="center"/>
            <w:hideMark/>
          </w:tcPr>
          <w:p>
            <w:pPr>
              <w:spacing w:before="0" w:after="0"/>
              <w:jc w:val="left"/>
              <w:rPr>
                <w:rFonts w:eastAsia="Arial Unicode MS"/>
                <w:noProof/>
                <w:szCs w:val="24"/>
              </w:rPr>
            </w:pPr>
          </w:p>
        </w:tc>
        <w:tc>
          <w:tcPr>
            <w:tcW w:w="3827"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Cs w:val="24"/>
              </w:rPr>
            </w:pPr>
          </w:p>
        </w:tc>
      </w:tr>
      <w:tr>
        <w:trPr>
          <w:tblCellSpacing w:w="0" w:type="dxa"/>
        </w:trPr>
        <w:tc>
          <w:tcPr>
            <w:tcW w:w="4440"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Cs w:val="24"/>
              </w:rPr>
            </w:pPr>
            <w:r>
              <w:rPr>
                <w:noProof/>
              </w:rPr>
              <w:t>— le refus de la réception UE par type (</w:t>
            </w:r>
            <w:r>
              <w:rPr>
                <w:noProof/>
                <w:sz w:val="22"/>
                <w:vertAlign w:val="superscript"/>
              </w:rPr>
              <w:t>1</w:t>
            </w:r>
            <w:r>
              <w:rPr>
                <w:noProof/>
              </w:rPr>
              <w:t>)</w:t>
            </w:r>
          </w:p>
        </w:tc>
        <w:tc>
          <w:tcPr>
            <w:tcW w:w="425"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c>
          <w:tcPr>
            <w:tcW w:w="3827"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Cs w:val="24"/>
              </w:rPr>
            </w:pPr>
          </w:p>
        </w:tc>
      </w:tr>
      <w:tr>
        <w:trPr>
          <w:tblCellSpacing w:w="0" w:type="dxa"/>
        </w:trPr>
        <w:tc>
          <w:tcPr>
            <w:tcW w:w="4440"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Cs w:val="24"/>
              </w:rPr>
            </w:pPr>
            <w:r>
              <w:rPr>
                <w:noProof/>
              </w:rPr>
              <w:t>— le retrait de la réception UE par type (</w:t>
            </w:r>
            <w:r>
              <w:rPr>
                <w:noProof/>
                <w:sz w:val="22"/>
                <w:vertAlign w:val="superscript"/>
              </w:rPr>
              <w:t>1</w:t>
            </w:r>
            <w:r>
              <w:rPr>
                <w:noProof/>
              </w:rPr>
              <w:t>)</w:t>
            </w:r>
          </w:p>
        </w:tc>
        <w:tc>
          <w:tcPr>
            <w:tcW w:w="4252"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bl>
    <w:p>
      <w:pPr>
        <w:spacing w:after="0"/>
        <w:rPr>
          <w:rFonts w:eastAsia="Arial Unicode MS"/>
          <w:noProof/>
          <w:szCs w:val="24"/>
        </w:rPr>
      </w:pPr>
      <w:r>
        <w:rPr>
          <w:noProof/>
        </w:rPr>
        <w:t>délivrée conformément au règlement (UE) n</w:t>
      </w:r>
      <w:r>
        <w:rPr>
          <w:noProof/>
          <w:vertAlign w:val="superscript"/>
        </w:rPr>
        <w:t>o</w:t>
      </w:r>
      <w:r>
        <w:rPr>
          <w:noProof/>
        </w:rPr>
        <w:t xml:space="preserve"> XXX/201X / règlement (CE) n</w:t>
      </w:r>
      <w:r>
        <w:rPr>
          <w:noProof/>
          <w:vertAlign w:val="superscript"/>
        </w:rPr>
        <w:t>o</w:t>
      </w:r>
      <w:r>
        <w:rPr>
          <w:noProof/>
        </w:rPr>
        <w:t xml:space="preserve"> .../ ... (</w:t>
      </w:r>
      <w:r>
        <w:rPr>
          <w:noProof/>
          <w:vertAlign w:val="superscript"/>
        </w:rPr>
        <w:t>1</w:t>
      </w:r>
      <w:r>
        <w:rPr>
          <w:noProof/>
        </w:rPr>
        <w:t>), modifié en dernier lieu par le règlement (CE) n</w:t>
      </w:r>
      <w:r>
        <w:rPr>
          <w:noProof/>
          <w:vertAlign w:val="superscript"/>
        </w:rPr>
        <w:t>o</w:t>
      </w:r>
      <w:r>
        <w:rPr>
          <w:noProof/>
        </w:rPr>
        <w:t xml:space="preserve"> …/… (</w:t>
      </w:r>
      <w:r>
        <w:rPr>
          <w:noProof/>
          <w:vertAlign w:val="superscript"/>
        </w:rPr>
        <w:t>1</w:t>
      </w:r>
      <w:r>
        <w:rPr>
          <w:noProof/>
        </w:rPr>
        <w:t>)</w:t>
      </w:r>
      <w:r>
        <w:rPr>
          <w:noProof/>
          <w:vertAlign w:val="superscript"/>
        </w:rPr>
        <w:t>..</w:t>
      </w:r>
      <w:r>
        <w:rPr>
          <w:i/>
          <w:noProof/>
        </w:rPr>
        <w:t xml:space="preserve"> </w:t>
      </w:r>
    </w:p>
    <w:p>
      <w:pPr>
        <w:spacing w:after="240"/>
        <w:rPr>
          <w:rFonts w:eastAsia="Arial Unicode MS"/>
          <w:noProof/>
          <w:szCs w:val="24"/>
        </w:rPr>
      </w:pPr>
      <w:r>
        <w:rPr>
          <w:noProof/>
        </w:rPr>
        <w:t>Numéro de réception UE par type:</w:t>
      </w:r>
    </w:p>
    <w:p>
      <w:pPr>
        <w:spacing w:after="240"/>
        <w:rPr>
          <w:rFonts w:eastAsia="Arial Unicode MS"/>
          <w:noProof/>
          <w:szCs w:val="24"/>
        </w:rPr>
      </w:pPr>
      <w:r>
        <w:rPr>
          <w:noProof/>
        </w:rPr>
        <w:t>Raison de l’extension:</w:t>
      </w:r>
    </w:p>
    <w:p>
      <w:pPr>
        <w:jc w:val="center"/>
        <w:rPr>
          <w:rFonts w:eastAsia="Arial Unicode MS"/>
          <w:bCs/>
          <w:noProof/>
          <w:szCs w:val="24"/>
        </w:rPr>
      </w:pPr>
      <w:r>
        <w:rPr>
          <w:noProof/>
        </w:rPr>
        <w:t>SECTION I</w:t>
      </w:r>
    </w:p>
    <w:p>
      <w:pPr>
        <w:spacing w:after="0"/>
        <w:ind w:left="709" w:hanging="676"/>
        <w:rPr>
          <w:rFonts w:eastAsia="Arial Unicode MS"/>
          <w:noProof/>
          <w:szCs w:val="24"/>
        </w:rPr>
      </w:pPr>
      <w:r>
        <w:rPr>
          <w:noProof/>
        </w:rPr>
        <w:t>1.1.</w:t>
      </w:r>
      <w:r>
        <w:rPr>
          <w:noProof/>
        </w:rPr>
        <w:tab/>
        <w:t>Marque (dénomination commerciale du constructeur):</w:t>
      </w:r>
    </w:p>
    <w:p>
      <w:pPr>
        <w:spacing w:after="0"/>
        <w:ind w:left="709" w:hanging="676"/>
        <w:rPr>
          <w:rFonts w:eastAsia="Arial Unicode MS"/>
          <w:noProof/>
          <w:szCs w:val="24"/>
        </w:rPr>
      </w:pPr>
      <w:r>
        <w:rPr>
          <w:noProof/>
        </w:rPr>
        <w:t>1.2.</w:t>
      </w:r>
      <w:r>
        <w:rPr>
          <w:noProof/>
        </w:rPr>
        <w:tab/>
        <w:t>Type:</w:t>
      </w:r>
    </w:p>
    <w:p>
      <w:pPr>
        <w:spacing w:after="0"/>
        <w:ind w:left="709" w:hanging="676"/>
        <w:rPr>
          <w:rFonts w:eastAsia="Arial Unicode MS"/>
          <w:noProof/>
          <w:szCs w:val="24"/>
        </w:rPr>
      </w:pPr>
      <w:r>
        <w:rPr>
          <w:noProof/>
        </w:rPr>
        <w:t>1.2.1.</w:t>
      </w:r>
      <w:r>
        <w:rPr>
          <w:noProof/>
        </w:rPr>
        <w:tab/>
        <w:t>Appellation(s) commerciale(s) (le cas échéant):</w:t>
      </w:r>
    </w:p>
    <w:p>
      <w:pPr>
        <w:spacing w:after="0"/>
        <w:ind w:left="709" w:hanging="676"/>
        <w:rPr>
          <w:rFonts w:eastAsia="Arial Unicode MS"/>
          <w:noProof/>
          <w:szCs w:val="24"/>
        </w:rPr>
      </w:pPr>
      <w:r>
        <w:rPr>
          <w:noProof/>
        </w:rPr>
        <w:t>1.3.</w:t>
      </w:r>
      <w:r>
        <w:rPr>
          <w:noProof/>
        </w:rPr>
        <w:tab/>
        <w:t>Moyen d’identification du type, s’il est indiqué sur le véhicule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Emplacement de ce marquage:</w:t>
      </w:r>
    </w:p>
    <w:p>
      <w:pPr>
        <w:spacing w:after="0"/>
        <w:ind w:left="709" w:hanging="676"/>
        <w:rPr>
          <w:rFonts w:eastAsia="Arial Unicode MS"/>
          <w:noProof/>
          <w:szCs w:val="24"/>
        </w:rPr>
      </w:pPr>
      <w:r>
        <w:rPr>
          <w:noProof/>
        </w:rPr>
        <w:t>1.4.</w:t>
      </w:r>
      <w:r>
        <w:rPr>
          <w:noProof/>
        </w:rPr>
        <w:tab/>
        <w:t>Catégorie de véhicule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Raison sociale et adresse du constructeur:</w:t>
      </w:r>
    </w:p>
    <w:p>
      <w:pPr>
        <w:spacing w:after="0"/>
        <w:ind w:left="709" w:hanging="676"/>
        <w:rPr>
          <w:rFonts w:eastAsia="Arial Unicode MS"/>
          <w:noProof/>
          <w:szCs w:val="24"/>
        </w:rPr>
      </w:pPr>
      <w:r>
        <w:rPr>
          <w:noProof/>
        </w:rPr>
        <w:t>1.8.</w:t>
      </w:r>
      <w:r>
        <w:rPr>
          <w:noProof/>
        </w:rPr>
        <w:tab/>
        <w:t>Nom(s) et adresse(s) de la ou des usines d’assemblage:</w:t>
      </w:r>
    </w:p>
    <w:p>
      <w:pPr>
        <w:spacing w:after="0"/>
        <w:ind w:left="709" w:hanging="676"/>
        <w:rPr>
          <w:rFonts w:eastAsia="Arial Unicode MS"/>
          <w:noProof/>
          <w:szCs w:val="24"/>
        </w:rPr>
      </w:pPr>
      <w:r>
        <w:rPr>
          <w:noProof/>
        </w:rPr>
        <w:t>1.9.</w:t>
      </w:r>
      <w:r>
        <w:rPr>
          <w:noProof/>
        </w:rPr>
        <w:tab/>
        <w:t>Nom et adresse du mandataire du constructeur (le cas échéant):</w:t>
      </w:r>
    </w:p>
    <w:p>
      <w:pPr>
        <w:spacing w:before="600" w:after="0"/>
        <w:jc w:val="left"/>
        <w:rPr>
          <w:rFonts w:eastAsia="Arial Unicode MS"/>
          <w:bCs/>
          <w:noProof/>
          <w:szCs w:val="24"/>
        </w:rPr>
      </w:pPr>
      <w:r>
        <w:rPr>
          <w:noProof/>
        </w:rPr>
        <w:t>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Supprimer les mentions inutiles</w:t>
      </w:r>
      <w:r>
        <w:rPr>
          <w:noProof/>
        </w:rPr>
        <w:t>.</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Si le moyen d’identification du type contient des caractères non pertinents pour la description des types de véhicule, de composant ou d’entité technique distincte couverts par la présente fiche de renseignements, il importe de les indiquer dans la documentation au moyen du symbole «?» (par exemple: ABC??123??).</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Comme défini dans l’annexe II, partie A, du règlement (UE) …/….</w:t>
      </w:r>
    </w:p>
    <w:p>
      <w:pPr>
        <w:jc w:val="center"/>
        <w:rPr>
          <w:rFonts w:eastAsia="Arial Unicode MS"/>
          <w:bCs/>
          <w:noProof/>
          <w:szCs w:val="24"/>
        </w:rPr>
      </w:pPr>
      <w:r>
        <w:rPr>
          <w:noProof/>
        </w:rPr>
        <w:br w:type="page"/>
        <w:t>SECTION II</w:t>
      </w:r>
    </w:p>
    <w:p>
      <w:pPr>
        <w:spacing w:after="0"/>
        <w:ind w:left="709" w:hanging="709"/>
        <w:rPr>
          <w:rFonts w:eastAsia="Arial Unicode MS"/>
          <w:noProof/>
          <w:szCs w:val="24"/>
        </w:rPr>
      </w:pPr>
      <w:r>
        <w:rPr>
          <w:noProof/>
        </w:rPr>
        <w:t>1.</w:t>
      </w:r>
      <w:r>
        <w:rPr>
          <w:noProof/>
        </w:rPr>
        <w:tab/>
        <w:t>Informations supplémentaires (le cas échéant): voir addendum.</w:t>
      </w:r>
    </w:p>
    <w:p>
      <w:pPr>
        <w:spacing w:after="0"/>
        <w:ind w:left="709" w:hanging="709"/>
        <w:rPr>
          <w:rFonts w:eastAsia="Arial Unicode MS"/>
          <w:noProof/>
          <w:szCs w:val="24"/>
        </w:rPr>
      </w:pPr>
      <w:r>
        <w:rPr>
          <w:noProof/>
        </w:rPr>
        <w:t>2.</w:t>
      </w:r>
      <w:r>
        <w:rPr>
          <w:noProof/>
        </w:rPr>
        <w:tab/>
        <w:t>Service technique responsable de la réalisation des essais:</w:t>
      </w:r>
    </w:p>
    <w:p>
      <w:pPr>
        <w:spacing w:after="0"/>
        <w:ind w:left="709" w:hanging="709"/>
        <w:rPr>
          <w:rFonts w:eastAsia="Arial Unicode MS"/>
          <w:noProof/>
          <w:szCs w:val="24"/>
        </w:rPr>
      </w:pPr>
      <w:r>
        <w:rPr>
          <w:noProof/>
        </w:rPr>
        <w:t>3.</w:t>
      </w:r>
      <w:r>
        <w:rPr>
          <w:noProof/>
        </w:rPr>
        <w:tab/>
        <w:t>Date du rapport d’essais:</w:t>
      </w:r>
    </w:p>
    <w:p>
      <w:pPr>
        <w:spacing w:after="0"/>
        <w:ind w:left="709" w:hanging="709"/>
        <w:rPr>
          <w:rFonts w:eastAsia="Arial Unicode MS"/>
          <w:noProof/>
          <w:szCs w:val="24"/>
        </w:rPr>
      </w:pPr>
      <w:r>
        <w:rPr>
          <w:noProof/>
        </w:rPr>
        <w:t>4.</w:t>
      </w:r>
      <w:r>
        <w:rPr>
          <w:noProof/>
        </w:rPr>
        <w:tab/>
        <w:t>Numéro du rapport d’essais:</w:t>
      </w:r>
    </w:p>
    <w:p>
      <w:pPr>
        <w:spacing w:after="0"/>
        <w:ind w:left="709" w:hanging="709"/>
        <w:rPr>
          <w:rFonts w:eastAsia="Arial Unicode MS"/>
          <w:noProof/>
          <w:szCs w:val="24"/>
        </w:rPr>
      </w:pPr>
      <w:r>
        <w:rPr>
          <w:noProof/>
        </w:rPr>
        <w:t>5.</w:t>
      </w:r>
      <w:r>
        <w:rPr>
          <w:noProof/>
        </w:rPr>
        <w:tab/>
        <w:t>Remarques (le cas échéant): voir addendum.</w:t>
      </w:r>
    </w:p>
    <w:p>
      <w:pPr>
        <w:spacing w:after="0"/>
        <w:ind w:left="709" w:hanging="709"/>
        <w:rPr>
          <w:rFonts w:eastAsia="Arial Unicode MS"/>
          <w:noProof/>
          <w:szCs w:val="24"/>
        </w:rPr>
      </w:pPr>
      <w:r>
        <w:rPr>
          <w:noProof/>
        </w:rPr>
        <w:t>6.</w:t>
      </w:r>
      <w:r>
        <w:rPr>
          <w:noProof/>
        </w:rPr>
        <w:tab/>
        <w:t>Lieu:</w:t>
      </w:r>
    </w:p>
    <w:p>
      <w:pPr>
        <w:spacing w:after="0"/>
        <w:ind w:left="709" w:hanging="709"/>
        <w:rPr>
          <w:rFonts w:eastAsia="Arial Unicode MS"/>
          <w:noProof/>
          <w:szCs w:val="24"/>
        </w:rPr>
      </w:pPr>
      <w:r>
        <w:rPr>
          <w:noProof/>
        </w:rPr>
        <w:t>7.</w:t>
      </w:r>
      <w:r>
        <w:rPr>
          <w:noProof/>
        </w:rPr>
        <w:tab/>
        <w:t>Date:</w:t>
      </w:r>
    </w:p>
    <w:p>
      <w:pPr>
        <w:spacing w:after="0"/>
        <w:ind w:left="709" w:hanging="709"/>
        <w:rPr>
          <w:rFonts w:eastAsia="Arial Unicode MS"/>
          <w:noProof/>
          <w:szCs w:val="24"/>
        </w:rPr>
      </w:pPr>
      <w:r>
        <w:rPr>
          <w:noProof/>
        </w:rPr>
        <w:t>8.</w:t>
      </w:r>
      <w:r>
        <w:rPr>
          <w:noProof/>
        </w:rPr>
        <w:tab/>
        <w:t>Signature:</w:t>
      </w:r>
    </w:p>
    <w:tbl>
      <w:tblPr>
        <w:tblW w:w="4083" w:type="pct"/>
        <w:tblCellSpacing w:w="0" w:type="dxa"/>
        <w:tblCellMar>
          <w:left w:w="0" w:type="dxa"/>
          <w:right w:w="0" w:type="dxa"/>
        </w:tblCellMar>
        <w:tblLook w:val="04A0" w:firstRow="1" w:lastRow="0" w:firstColumn="1" w:lastColumn="0" w:noHBand="0" w:noVBand="1"/>
      </w:tblPr>
      <w:tblGrid>
        <w:gridCol w:w="1701"/>
        <w:gridCol w:w="19"/>
        <w:gridCol w:w="5687"/>
      </w:tblGrid>
      <w:tr>
        <w:trPr>
          <w:tblCellSpacing w:w="0" w:type="dxa"/>
        </w:trPr>
        <w:tc>
          <w:tcPr>
            <w:tcW w:w="1148" w:type="pct"/>
            <w:hideMark/>
          </w:tcPr>
          <w:p>
            <w:pPr>
              <w:spacing w:after="0"/>
              <w:rPr>
                <w:rFonts w:eastAsia="Arial Unicode MS"/>
                <w:noProof/>
                <w:szCs w:val="24"/>
              </w:rPr>
            </w:pPr>
            <w:r>
              <w:rPr>
                <w:noProof/>
                <w:sz w:val="22"/>
              </w:rPr>
              <w:t>Pièces jointes:</w:t>
            </w:r>
          </w:p>
        </w:tc>
        <w:tc>
          <w:tcPr>
            <w:tcW w:w="0" w:type="auto"/>
            <w:hideMark/>
          </w:tcPr>
          <w:p>
            <w:pPr>
              <w:spacing w:after="0"/>
              <w:rPr>
                <w:rFonts w:eastAsia="Arial Unicode MS"/>
                <w:noProof/>
                <w:szCs w:val="24"/>
              </w:rPr>
            </w:pPr>
          </w:p>
        </w:tc>
        <w:tc>
          <w:tcPr>
            <w:tcW w:w="0" w:type="auto"/>
            <w:hideMark/>
          </w:tcPr>
          <w:p>
            <w:pPr>
              <w:spacing w:after="0"/>
              <w:rPr>
                <w:rFonts w:eastAsia="Arial Unicode MS"/>
                <w:noProof/>
                <w:szCs w:val="24"/>
              </w:rPr>
            </w:pPr>
            <w:r>
              <w:rPr>
                <w:noProof/>
                <w:sz w:val="22"/>
              </w:rPr>
              <w:t>Dossier de réception</w:t>
            </w:r>
          </w:p>
          <w:p>
            <w:pPr>
              <w:spacing w:after="0"/>
              <w:rPr>
                <w:rFonts w:eastAsia="Arial Unicode MS"/>
                <w:noProof/>
                <w:szCs w:val="24"/>
              </w:rPr>
            </w:pPr>
            <w:r>
              <w:rPr>
                <w:noProof/>
                <w:sz w:val="22"/>
              </w:rPr>
              <w:t>Rapport d’essais</w:t>
            </w:r>
          </w:p>
        </w:tc>
      </w:tr>
    </w:tbl>
    <w:p>
      <w:pPr>
        <w:spacing w:before="480"/>
        <w:jc w:val="center"/>
        <w:rPr>
          <w:rFonts w:eastAsia="Arial Unicode MS"/>
          <w:i/>
          <w:iCs/>
          <w:noProof/>
          <w:szCs w:val="24"/>
        </w:rPr>
      </w:pPr>
      <w:r>
        <w:rPr>
          <w:i/>
          <w:noProof/>
        </w:rPr>
        <w:t>Addendum</w:t>
      </w:r>
    </w:p>
    <w:p>
      <w:pPr>
        <w:jc w:val="center"/>
        <w:rPr>
          <w:rFonts w:eastAsia="Arial Unicode MS"/>
          <w:b/>
          <w:iCs/>
          <w:noProof/>
          <w:szCs w:val="24"/>
        </w:rPr>
      </w:pPr>
      <w:r>
        <w:rPr>
          <w:b/>
          <w:noProof/>
        </w:rPr>
        <w:t>à la fiche de réception UE par type n</w:t>
      </w:r>
      <w:r>
        <w:rPr>
          <w:b/>
          <w:noProof/>
          <w:vertAlign w:val="superscript"/>
        </w:rPr>
        <w:t>o</w:t>
      </w:r>
      <w:r>
        <w:rPr>
          <w:b/>
          <w:noProof/>
        </w:rPr>
        <w:t>…</w:t>
      </w:r>
    </w:p>
    <w:p>
      <w:pPr>
        <w:spacing w:after="0"/>
        <w:ind w:left="709" w:hanging="709"/>
        <w:rPr>
          <w:rFonts w:eastAsia="Arial Unicode MS"/>
          <w:noProof/>
          <w:szCs w:val="24"/>
        </w:rPr>
      </w:pPr>
      <w:r>
        <w:rPr>
          <w:noProof/>
        </w:rPr>
        <w:t>1.</w:t>
      </w:r>
      <w:r>
        <w:rPr>
          <w:noProof/>
        </w:rPr>
        <w:tab/>
        <w:t>Informations supplémentaires</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Numéro de réception par type de chaque composant ou de chaque entité technique distincte installé(e) sur le type de véhicule pour satisfaire aux prescriptions du règlement (UE) .../....</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Remarques</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noProof/>
        </w:rPr>
        <w:br w:type="page"/>
        <w:t>MODÈLE C</w:t>
      </w:r>
    </w:p>
    <w:p>
      <w:pPr>
        <w:jc w:val="center"/>
        <w:rPr>
          <w:rFonts w:eastAsia="Arial Unicode MS"/>
          <w:b/>
          <w:bCs/>
          <w:noProof/>
          <w:szCs w:val="24"/>
        </w:rPr>
      </w:pPr>
      <w:r>
        <w:rPr>
          <w:b/>
          <w:noProof/>
        </w:rPr>
        <w:t>(à utiliser pour la réception par type d’un composant/d’une entité technique distincte)</w:t>
      </w:r>
    </w:p>
    <w:p>
      <w:pPr>
        <w:jc w:val="center"/>
        <w:rPr>
          <w:rFonts w:eastAsia="Arial Unicode MS"/>
          <w:b/>
          <w:bCs/>
          <w:noProof/>
          <w:szCs w:val="24"/>
        </w:rPr>
      </w:pPr>
      <w:r>
        <w:rPr>
          <w:noProof/>
        </w:rPr>
        <w:t>Format maximal: A4 (210 × 297 mm)</w:t>
      </w:r>
    </w:p>
    <w:p>
      <w:pPr>
        <w:spacing w:before="240" w:after="480"/>
        <w:jc w:val="center"/>
        <w:rPr>
          <w:rFonts w:eastAsia="Arial Unicode MS"/>
          <w:b/>
          <w:iCs/>
          <w:noProof/>
          <w:szCs w:val="24"/>
        </w:rPr>
      </w:pPr>
      <w:r>
        <w:rPr>
          <w:b/>
          <w:noProof/>
        </w:rPr>
        <w:t>FICHE DE RÉCEPTION UE PAR TYPE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Tampon de l’autorité compétente en matière de réception</w:t>
      </w:r>
    </w:p>
    <w:p>
      <w:pPr>
        <w:spacing w:after="0"/>
        <w:rPr>
          <w:rFonts w:eastAsia="Arial Unicode MS"/>
          <w:noProof/>
          <w:szCs w:val="24"/>
        </w:rPr>
      </w:pPr>
      <w:r>
        <w:rPr>
          <w:noProof/>
        </w:rPr>
        <w:t>Communication concernant:</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81"/>
        <w:gridCol w:w="4111"/>
      </w:tblGrid>
      <w:tr>
        <w:trPr>
          <w:tblCellSpacing w:w="0" w:type="dxa"/>
        </w:trPr>
        <w:tc>
          <w:tcPr>
            <w:tcW w:w="4581"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Cs w:val="24"/>
              </w:rPr>
            </w:pPr>
            <w:r>
              <w:rPr>
                <w:noProof/>
              </w:rPr>
              <w:t>— la réception UE par type (</w:t>
            </w:r>
            <w:r>
              <w:rPr>
                <w:noProof/>
                <w:sz w:val="22"/>
                <w:vertAlign w:val="superscript"/>
              </w:rPr>
              <w:t>1</w:t>
            </w:r>
            <w:r>
              <w:rPr>
                <w:noProof/>
              </w:rPr>
              <w:t>)</w:t>
            </w:r>
          </w:p>
        </w:tc>
        <w:tc>
          <w:tcPr>
            <w:tcW w:w="4111"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3950"/>
            </w:tblGrid>
            <w:tr>
              <w:trPr>
                <w:tblCellSpacing w:w="15" w:type="dxa"/>
              </w:trPr>
              <w:tc>
                <w:tcPr>
                  <w:tcW w:w="0" w:type="auto"/>
                  <w:hideMark/>
                </w:tcPr>
                <w:p>
                  <w:pPr>
                    <w:framePr w:hSpace="180" w:wrap="around" w:vAnchor="text" w:hAnchor="margin" w:y="323"/>
                    <w:snapToGrid w:val="0"/>
                    <w:spacing w:before="0" w:after="0"/>
                    <w:jc w:val="left"/>
                    <w:rPr>
                      <w:rFonts w:eastAsia="Arial Unicode MS"/>
                      <w:noProof/>
                      <w:szCs w:val="24"/>
                    </w:rPr>
                  </w:pPr>
                  <w:r>
                    <w:rPr>
                      <w:rFonts w:eastAsia="Arial Unicode MS"/>
                      <w:noProof/>
                      <w:szCs w:val="24"/>
                      <w:lang w:val="en-US" w:eastAsia="en-US"/>
                    </w:rPr>
                    <w:drawing>
                      <wp:inline distT="0" distB="0" distL="0" distR="0">
                        <wp:extent cx="110490" cy="478155"/>
                        <wp:effectExtent l="0" t="0" r="3810" b="0"/>
                        <wp:docPr id="4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0490" cy="478155"/>
                                </a:xfrm>
                                <a:prstGeom prst="rect">
                                  <a:avLst/>
                                </a:prstGeom>
                                <a:noFill/>
                                <a:ln>
                                  <a:noFill/>
                                </a:ln>
                              </pic:spPr>
                            </pic:pic>
                          </a:graphicData>
                        </a:graphic>
                      </wp:inline>
                    </w:drawing>
                  </w:r>
                  <w:r>
                    <w:rPr>
                      <w:noProof/>
                    </w:rPr>
                    <w:tab/>
                    <w:t>d’un type de composant/d’entité technique distincte (</w:t>
                  </w:r>
                  <w:r>
                    <w:rPr>
                      <w:noProof/>
                      <w:vertAlign w:val="superscript"/>
                    </w:rPr>
                    <w:t>1</w:t>
                  </w:r>
                  <w:r>
                    <w:rPr>
                      <w:noProof/>
                    </w:rPr>
                    <w:t>)</w:t>
                  </w:r>
                </w:p>
              </w:tc>
            </w:tr>
          </w:tbl>
          <w:p>
            <w:pPr>
              <w:spacing w:before="0" w:after="0"/>
              <w:jc w:val="left"/>
              <w:rPr>
                <w:rFonts w:eastAsia="Arial Unicode MS"/>
                <w:noProof/>
                <w:szCs w:val="24"/>
              </w:rPr>
            </w:pPr>
          </w:p>
        </w:tc>
      </w:tr>
      <w:tr>
        <w:trPr>
          <w:tblCellSpacing w:w="0" w:type="dxa"/>
        </w:trPr>
        <w:tc>
          <w:tcPr>
            <w:tcW w:w="4581"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Cs w:val="24"/>
              </w:rPr>
            </w:pPr>
            <w:r>
              <w:rPr>
                <w:noProof/>
              </w:rPr>
              <w:t>— l’extension de la réception UE par type (</w:t>
            </w:r>
            <w:r>
              <w:rPr>
                <w:noProof/>
                <w:sz w:val="22"/>
                <w:vertAlign w:val="superscript"/>
              </w:rPr>
              <w:t>1</w:t>
            </w:r>
            <w:r>
              <w:rPr>
                <w:noProof/>
              </w:rPr>
              <w:t>)</w:t>
            </w:r>
          </w:p>
        </w:tc>
        <w:tc>
          <w:tcPr>
            <w:tcW w:w="411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r>
      <w:tr>
        <w:trPr>
          <w:tblCellSpacing w:w="0" w:type="dxa"/>
        </w:trPr>
        <w:tc>
          <w:tcPr>
            <w:tcW w:w="4581"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Cs w:val="24"/>
              </w:rPr>
            </w:pPr>
            <w:r>
              <w:rPr>
                <w:noProof/>
              </w:rPr>
              <w:t>— le refus de la réception UE par type (</w:t>
            </w:r>
            <w:r>
              <w:rPr>
                <w:noProof/>
                <w:sz w:val="22"/>
                <w:vertAlign w:val="superscript"/>
              </w:rPr>
              <w:t>1</w:t>
            </w:r>
            <w:r>
              <w:rPr>
                <w:noProof/>
              </w:rPr>
              <w:t>)</w:t>
            </w:r>
          </w:p>
        </w:tc>
        <w:tc>
          <w:tcPr>
            <w:tcW w:w="411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Cs w:val="24"/>
              </w:rPr>
            </w:pPr>
          </w:p>
        </w:tc>
      </w:tr>
      <w:tr>
        <w:trPr>
          <w:tblCellSpacing w:w="0" w:type="dxa"/>
        </w:trPr>
        <w:tc>
          <w:tcPr>
            <w:tcW w:w="4581"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Cs w:val="24"/>
              </w:rPr>
            </w:pPr>
            <w:r>
              <w:rPr>
                <w:noProof/>
              </w:rPr>
              <w:t>— le retrait de la réception UE par type (</w:t>
            </w:r>
            <w:r>
              <w:rPr>
                <w:noProof/>
                <w:sz w:val="22"/>
                <w:vertAlign w:val="superscript"/>
              </w:rPr>
              <w:t>1</w:t>
            </w:r>
            <w:r>
              <w:rPr>
                <w:noProof/>
              </w:rPr>
              <w:t>)</w:t>
            </w:r>
          </w:p>
        </w:tc>
        <w:tc>
          <w:tcPr>
            <w:tcW w:w="411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Cs w:val="24"/>
              </w:rPr>
            </w:pPr>
          </w:p>
        </w:tc>
      </w:tr>
    </w:tbl>
    <w:p>
      <w:pPr>
        <w:spacing w:after="0"/>
        <w:rPr>
          <w:rFonts w:eastAsia="Arial Unicode MS"/>
          <w:noProof/>
          <w:szCs w:val="24"/>
        </w:rPr>
      </w:pPr>
      <w:r>
        <w:rPr>
          <w:noProof/>
        </w:rPr>
        <w:t>délivrée conformément au règlement (UE) n</w:t>
      </w:r>
      <w:r>
        <w:rPr>
          <w:noProof/>
          <w:vertAlign w:val="superscript"/>
        </w:rPr>
        <w:t>o</w:t>
      </w:r>
      <w:r>
        <w:rPr>
          <w:noProof/>
        </w:rPr>
        <w:t xml:space="preserve"> XXX/201X / règlement (CE) n</w:t>
      </w:r>
      <w:r>
        <w:rPr>
          <w:noProof/>
          <w:vertAlign w:val="superscript"/>
        </w:rPr>
        <w:t>o</w:t>
      </w:r>
      <w:r>
        <w:rPr>
          <w:noProof/>
        </w:rPr>
        <w:t xml:space="preserve"> .../ ... (</w:t>
      </w:r>
      <w:r>
        <w:rPr>
          <w:noProof/>
          <w:vertAlign w:val="superscript"/>
        </w:rPr>
        <w:t>1</w:t>
      </w:r>
      <w:r>
        <w:rPr>
          <w:noProof/>
        </w:rPr>
        <w:t>), modifié en dernier lieu par le règlement (CE) n</w:t>
      </w:r>
      <w:r>
        <w:rPr>
          <w:noProof/>
          <w:vertAlign w:val="superscript"/>
        </w:rPr>
        <w:t>o</w:t>
      </w:r>
      <w:r>
        <w:rPr>
          <w:noProof/>
        </w:rPr>
        <w:t xml:space="preserve"> …/… (</w:t>
      </w:r>
      <w:r>
        <w:rPr>
          <w:noProof/>
          <w:vertAlign w:val="superscript"/>
        </w:rPr>
        <w:t>1</w:t>
      </w:r>
      <w:r>
        <w:rPr>
          <w:noProof/>
        </w:rPr>
        <w:t>)</w:t>
      </w:r>
      <w:r>
        <w:rPr>
          <w:noProof/>
          <w:vertAlign w:val="superscript"/>
        </w:rPr>
        <w:t>..</w:t>
      </w:r>
    </w:p>
    <w:p>
      <w:pPr>
        <w:spacing w:after="240"/>
        <w:rPr>
          <w:rFonts w:eastAsia="Arial Unicode MS"/>
          <w:noProof/>
          <w:szCs w:val="24"/>
        </w:rPr>
      </w:pPr>
      <w:r>
        <w:rPr>
          <w:noProof/>
        </w:rPr>
        <w:t>Numéro de réception UE par type:</w:t>
      </w:r>
    </w:p>
    <w:p>
      <w:pPr>
        <w:spacing w:after="240"/>
        <w:rPr>
          <w:rFonts w:eastAsia="Arial Unicode MS"/>
          <w:noProof/>
          <w:szCs w:val="24"/>
        </w:rPr>
      </w:pPr>
      <w:r>
        <w:rPr>
          <w:noProof/>
        </w:rPr>
        <w:t>Raison de l’extension:</w:t>
      </w:r>
    </w:p>
    <w:p>
      <w:pPr>
        <w:spacing w:before="240" w:after="240"/>
        <w:jc w:val="center"/>
        <w:rPr>
          <w:rFonts w:eastAsia="Arial Unicode MS"/>
          <w:bCs/>
          <w:noProof/>
          <w:szCs w:val="24"/>
        </w:rPr>
      </w:pPr>
      <w:r>
        <w:rPr>
          <w:noProof/>
        </w:rPr>
        <w:t>SECTION I</w:t>
      </w:r>
    </w:p>
    <w:p>
      <w:pPr>
        <w:spacing w:after="0"/>
        <w:ind w:left="709" w:hanging="709"/>
        <w:rPr>
          <w:rFonts w:eastAsia="Arial Unicode MS"/>
          <w:noProof/>
          <w:szCs w:val="24"/>
        </w:rPr>
      </w:pPr>
      <w:r>
        <w:rPr>
          <w:noProof/>
        </w:rPr>
        <w:t>1.1.</w:t>
      </w:r>
      <w:r>
        <w:rPr>
          <w:noProof/>
        </w:rPr>
        <w:tab/>
        <w:t>Marque (dénomination commerciale du constructeur):</w:t>
      </w:r>
    </w:p>
    <w:p>
      <w:pPr>
        <w:spacing w:after="0"/>
        <w:ind w:left="709" w:hanging="709"/>
        <w:rPr>
          <w:rFonts w:eastAsia="Arial Unicode MS"/>
          <w:noProof/>
          <w:szCs w:val="24"/>
        </w:rPr>
      </w:pPr>
      <w:r>
        <w:rPr>
          <w:noProof/>
        </w:rPr>
        <w:t>1.2.</w:t>
      </w:r>
      <w:r>
        <w:rPr>
          <w:noProof/>
        </w:rPr>
        <w:tab/>
        <w:t>Type:</w:t>
      </w:r>
    </w:p>
    <w:p>
      <w:pPr>
        <w:spacing w:after="0"/>
        <w:ind w:left="709" w:hanging="709"/>
        <w:rPr>
          <w:rFonts w:eastAsia="Arial Unicode MS"/>
          <w:noProof/>
          <w:szCs w:val="24"/>
        </w:rPr>
      </w:pPr>
      <w:r>
        <w:rPr>
          <w:noProof/>
        </w:rPr>
        <w:t>1.3.</w:t>
      </w:r>
      <w:r>
        <w:rPr>
          <w:noProof/>
        </w:rPr>
        <w:tab/>
        <w:t>Moyen d’identification du type, s’il est indiqué sur le composant/l’entité technique distincte (</w:t>
      </w:r>
      <w:r>
        <w:rPr>
          <w:noProof/>
          <w:vertAlign w:val="superscript"/>
        </w:rPr>
        <w:t>1</w:t>
      </w:r>
      <w:r>
        <w:rPr>
          <w:noProof/>
        </w:rPr>
        <w:t>) (</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Emplacement de ce marquage:</w:t>
      </w:r>
    </w:p>
    <w:p>
      <w:pPr>
        <w:spacing w:after="0"/>
        <w:ind w:left="709" w:hanging="709"/>
        <w:rPr>
          <w:rFonts w:eastAsia="Arial Unicode MS"/>
          <w:noProof/>
          <w:szCs w:val="24"/>
        </w:rPr>
      </w:pPr>
      <w:r>
        <w:rPr>
          <w:noProof/>
        </w:rPr>
        <w:t>1.5.</w:t>
      </w:r>
      <w:r>
        <w:rPr>
          <w:noProof/>
        </w:rPr>
        <w:tab/>
        <w:t>Raison sociale et adresse du constructeur:</w:t>
      </w:r>
    </w:p>
    <w:p>
      <w:pPr>
        <w:spacing w:after="0"/>
        <w:ind w:left="709" w:hanging="709"/>
        <w:rPr>
          <w:rFonts w:eastAsia="Arial Unicode MS"/>
          <w:noProof/>
          <w:szCs w:val="24"/>
        </w:rPr>
      </w:pPr>
      <w:r>
        <w:rPr>
          <w:noProof/>
        </w:rPr>
        <w:t>1.7.</w:t>
      </w:r>
      <w:r>
        <w:rPr>
          <w:noProof/>
        </w:rPr>
        <w:tab/>
        <w:t>Dans le cas de composants et d’entités techniques distinctes, emplacement et méthode de fixation de la marque de réception UE:</w:t>
      </w:r>
    </w:p>
    <w:p>
      <w:pPr>
        <w:spacing w:after="0"/>
        <w:ind w:left="709" w:hanging="709"/>
        <w:rPr>
          <w:rFonts w:eastAsia="Arial Unicode MS"/>
          <w:noProof/>
          <w:szCs w:val="24"/>
        </w:rPr>
      </w:pPr>
      <w:r>
        <w:rPr>
          <w:noProof/>
        </w:rPr>
        <w:t>1.8.</w:t>
      </w:r>
      <w:r>
        <w:rPr>
          <w:noProof/>
        </w:rPr>
        <w:tab/>
        <w:t>Nom(s) et adresse(s) de la ou des usines d’assemblage:</w:t>
      </w:r>
    </w:p>
    <w:p>
      <w:pPr>
        <w:spacing w:after="0"/>
        <w:ind w:left="709" w:hanging="709"/>
        <w:rPr>
          <w:rFonts w:eastAsia="Arial Unicode MS"/>
          <w:noProof/>
          <w:szCs w:val="24"/>
        </w:rPr>
      </w:pPr>
      <w:r>
        <w:rPr>
          <w:noProof/>
        </w:rPr>
        <w:t>1.9.</w:t>
      </w:r>
      <w:r>
        <w:rPr>
          <w:noProof/>
        </w:rPr>
        <w:tab/>
        <w:t>Nom et adresse du mandataire du constructeur (le cas échéant):</w:t>
      </w:r>
    </w:p>
    <w:p>
      <w:pPr>
        <w:spacing w:before="600" w:after="0"/>
        <w:jc w:val="left"/>
        <w:rPr>
          <w:rFonts w:eastAsia="Arial Unicode MS"/>
          <w:bCs/>
          <w:noProof/>
          <w:szCs w:val="24"/>
        </w:rPr>
      </w:pPr>
      <w:r>
        <w:rPr>
          <w:noProof/>
        </w:rPr>
        <w:t>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Supprimer les mentions inutiles</w:t>
      </w:r>
      <w:r>
        <w:rPr>
          <w:noProof/>
        </w:rPr>
        <w:t>.</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Si le moyen d’identification du type contient des caractères non pertinents pour la description des types de véhicule, de composant ou d’entité technique distincte couverts par la présente fiche de renseignements, il importe de les indiquer dans la communication au moyen du symbole «?» (par exemple: ABC??123??).</w:t>
      </w:r>
    </w:p>
    <w:p>
      <w:pPr>
        <w:jc w:val="center"/>
        <w:rPr>
          <w:rFonts w:eastAsia="Arial Unicode MS"/>
          <w:bCs/>
          <w:noProof/>
          <w:szCs w:val="24"/>
        </w:rPr>
      </w:pPr>
      <w:r>
        <w:rPr>
          <w:noProof/>
        </w:rPr>
        <w:br w:type="page"/>
        <w:t>SECTION II</w:t>
      </w:r>
    </w:p>
    <w:p>
      <w:pPr>
        <w:spacing w:after="0"/>
        <w:ind w:left="567" w:hanging="567"/>
        <w:rPr>
          <w:rFonts w:eastAsia="Arial Unicode MS"/>
          <w:noProof/>
          <w:szCs w:val="24"/>
        </w:rPr>
      </w:pPr>
      <w:r>
        <w:rPr>
          <w:noProof/>
        </w:rPr>
        <w:t>1.</w:t>
      </w:r>
      <w:r>
        <w:rPr>
          <w:noProof/>
        </w:rPr>
        <w:tab/>
        <w:t>Informations supplémentaires (le cas échéant): voir addendum.</w:t>
      </w:r>
    </w:p>
    <w:p>
      <w:pPr>
        <w:spacing w:after="0"/>
        <w:ind w:left="567" w:hanging="567"/>
        <w:rPr>
          <w:rFonts w:eastAsia="Arial Unicode MS"/>
          <w:noProof/>
          <w:szCs w:val="24"/>
        </w:rPr>
      </w:pPr>
      <w:r>
        <w:rPr>
          <w:noProof/>
        </w:rPr>
        <w:t>2.</w:t>
      </w:r>
      <w:r>
        <w:rPr>
          <w:noProof/>
        </w:rPr>
        <w:tab/>
        <w:t>Service technique responsable de la réalisation des essais:</w:t>
      </w:r>
    </w:p>
    <w:p>
      <w:pPr>
        <w:spacing w:after="0"/>
        <w:ind w:left="567" w:hanging="567"/>
        <w:rPr>
          <w:rFonts w:eastAsia="Arial Unicode MS"/>
          <w:noProof/>
          <w:szCs w:val="24"/>
        </w:rPr>
      </w:pPr>
      <w:r>
        <w:rPr>
          <w:noProof/>
        </w:rPr>
        <w:t>3.</w:t>
      </w:r>
      <w:r>
        <w:rPr>
          <w:noProof/>
        </w:rPr>
        <w:tab/>
        <w:t>Date du rapport d’essais:</w:t>
      </w:r>
    </w:p>
    <w:p>
      <w:pPr>
        <w:spacing w:after="0"/>
        <w:ind w:left="567" w:hanging="567"/>
        <w:rPr>
          <w:rFonts w:eastAsia="Arial Unicode MS"/>
          <w:noProof/>
          <w:szCs w:val="24"/>
        </w:rPr>
      </w:pPr>
      <w:r>
        <w:rPr>
          <w:noProof/>
        </w:rPr>
        <w:t>4.</w:t>
      </w:r>
      <w:r>
        <w:rPr>
          <w:noProof/>
        </w:rPr>
        <w:tab/>
        <w:t>Numéro du rapport d’essais:</w:t>
      </w:r>
    </w:p>
    <w:p>
      <w:pPr>
        <w:spacing w:after="0"/>
        <w:ind w:left="567" w:hanging="567"/>
        <w:rPr>
          <w:rFonts w:eastAsia="Arial Unicode MS"/>
          <w:noProof/>
          <w:szCs w:val="24"/>
        </w:rPr>
      </w:pPr>
      <w:r>
        <w:rPr>
          <w:noProof/>
        </w:rPr>
        <w:t>5.</w:t>
      </w:r>
      <w:r>
        <w:rPr>
          <w:noProof/>
        </w:rPr>
        <w:tab/>
        <w:t>Remarques (le cas échéant): voir addendum.</w:t>
      </w:r>
    </w:p>
    <w:p>
      <w:pPr>
        <w:spacing w:after="0"/>
        <w:ind w:left="567" w:hanging="567"/>
        <w:rPr>
          <w:rFonts w:eastAsia="Arial Unicode MS"/>
          <w:noProof/>
          <w:szCs w:val="24"/>
        </w:rPr>
      </w:pPr>
      <w:r>
        <w:rPr>
          <w:noProof/>
        </w:rPr>
        <w:t>6.</w:t>
      </w:r>
      <w:r>
        <w:rPr>
          <w:noProof/>
        </w:rPr>
        <w:tab/>
        <w:t>Lieu:</w:t>
      </w:r>
    </w:p>
    <w:p>
      <w:pPr>
        <w:spacing w:after="0"/>
        <w:ind w:left="567" w:hanging="567"/>
        <w:rPr>
          <w:rFonts w:eastAsia="Arial Unicode MS"/>
          <w:noProof/>
          <w:szCs w:val="24"/>
        </w:rPr>
      </w:pPr>
      <w:r>
        <w:rPr>
          <w:noProof/>
        </w:rPr>
        <w:t>7.</w:t>
      </w:r>
      <w:r>
        <w:rPr>
          <w:noProof/>
        </w:rPr>
        <w:tab/>
        <w:t>Date:</w:t>
      </w:r>
    </w:p>
    <w:p>
      <w:pPr>
        <w:spacing w:after="240"/>
        <w:ind w:left="567" w:hanging="567"/>
        <w:rPr>
          <w:rFonts w:eastAsia="Arial Unicode MS"/>
          <w:noProof/>
          <w:szCs w:val="24"/>
        </w:rPr>
      </w:pPr>
      <w:r>
        <w:rPr>
          <w:noProof/>
        </w:rPr>
        <w:t>8.</w:t>
      </w:r>
      <w:r>
        <w:rPr>
          <w:noProof/>
        </w:rPr>
        <w:tab/>
        <w:t>Signature:</w:t>
      </w:r>
    </w:p>
    <w:tbl>
      <w:tblPr>
        <w:tblW w:w="4273" w:type="pct"/>
        <w:tblCellSpacing w:w="0" w:type="dxa"/>
        <w:tblCellMar>
          <w:left w:w="0" w:type="dxa"/>
          <w:right w:w="0" w:type="dxa"/>
        </w:tblCellMar>
        <w:tblLook w:val="04A0" w:firstRow="1" w:lastRow="0" w:firstColumn="1" w:lastColumn="0" w:noHBand="0" w:noVBand="1"/>
      </w:tblPr>
      <w:tblGrid>
        <w:gridCol w:w="1985"/>
        <w:gridCol w:w="19"/>
        <w:gridCol w:w="5748"/>
      </w:tblGrid>
      <w:tr>
        <w:trPr>
          <w:tblCellSpacing w:w="0" w:type="dxa"/>
        </w:trPr>
        <w:tc>
          <w:tcPr>
            <w:tcW w:w="1280" w:type="pct"/>
            <w:hideMark/>
          </w:tcPr>
          <w:p>
            <w:pPr>
              <w:spacing w:after="0"/>
              <w:rPr>
                <w:rFonts w:eastAsia="Arial Unicode MS"/>
                <w:noProof/>
                <w:szCs w:val="24"/>
              </w:rPr>
            </w:pPr>
            <w:r>
              <w:rPr>
                <w:noProof/>
                <w:sz w:val="22"/>
              </w:rPr>
              <w:t>Pièces jointes:</w:t>
            </w:r>
          </w:p>
        </w:tc>
        <w:tc>
          <w:tcPr>
            <w:tcW w:w="0" w:type="auto"/>
            <w:hideMark/>
          </w:tcPr>
          <w:p>
            <w:pPr>
              <w:spacing w:after="0"/>
              <w:rPr>
                <w:rFonts w:eastAsia="Arial Unicode MS"/>
                <w:noProof/>
                <w:szCs w:val="24"/>
              </w:rPr>
            </w:pPr>
          </w:p>
        </w:tc>
        <w:tc>
          <w:tcPr>
            <w:tcW w:w="0" w:type="auto"/>
            <w:hideMark/>
          </w:tcPr>
          <w:p>
            <w:pPr>
              <w:spacing w:after="0"/>
              <w:rPr>
                <w:rFonts w:eastAsia="Arial Unicode MS"/>
                <w:noProof/>
                <w:szCs w:val="24"/>
              </w:rPr>
            </w:pPr>
            <w:r>
              <w:rPr>
                <w:noProof/>
                <w:sz w:val="22"/>
              </w:rPr>
              <w:t>Dossier de réception</w:t>
            </w:r>
          </w:p>
          <w:p>
            <w:pPr>
              <w:spacing w:after="0"/>
              <w:rPr>
                <w:rFonts w:eastAsia="Arial Unicode MS"/>
                <w:noProof/>
                <w:szCs w:val="24"/>
              </w:rPr>
            </w:pPr>
            <w:r>
              <w:rPr>
                <w:noProof/>
                <w:sz w:val="22"/>
              </w:rPr>
              <w:t>Rapport d’essais</w:t>
            </w:r>
          </w:p>
        </w:tc>
      </w:tr>
    </w:tbl>
    <w:p>
      <w:pPr>
        <w:spacing w:before="960"/>
        <w:jc w:val="center"/>
        <w:rPr>
          <w:rFonts w:eastAsia="Arial Unicode MS"/>
          <w:i/>
          <w:iCs/>
          <w:noProof/>
          <w:szCs w:val="24"/>
        </w:rPr>
      </w:pPr>
      <w:r>
        <w:rPr>
          <w:i/>
          <w:noProof/>
        </w:rPr>
        <w:t>Addendum</w:t>
      </w:r>
    </w:p>
    <w:p>
      <w:pPr>
        <w:jc w:val="center"/>
        <w:rPr>
          <w:rFonts w:eastAsia="Arial Unicode MS"/>
          <w:b/>
          <w:iCs/>
          <w:noProof/>
          <w:szCs w:val="24"/>
        </w:rPr>
      </w:pPr>
      <w:r>
        <w:rPr>
          <w:b/>
          <w:noProof/>
        </w:rPr>
        <w:t>à la fiche de réception UE par type n</w:t>
      </w:r>
      <w:r>
        <w:rPr>
          <w:b/>
          <w:noProof/>
          <w:vertAlign w:val="superscript"/>
        </w:rPr>
        <w:t>o</w:t>
      </w:r>
      <w:r>
        <w:rPr>
          <w:b/>
          <w:noProof/>
        </w:rPr>
        <w:t>…</w:t>
      </w:r>
    </w:p>
    <w:p>
      <w:pPr>
        <w:spacing w:after="0"/>
        <w:ind w:left="567" w:hanging="567"/>
        <w:rPr>
          <w:rFonts w:eastAsia="Arial Unicode MS"/>
          <w:noProof/>
          <w:szCs w:val="24"/>
        </w:rPr>
      </w:pPr>
      <w:r>
        <w:rPr>
          <w:noProof/>
        </w:rPr>
        <w:t>1.</w:t>
      </w:r>
      <w:r>
        <w:rPr>
          <w:noProof/>
        </w:rPr>
        <w:tab/>
        <w:t>Informations supplémentaires</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Restriction d’utilisation du dispositif (le cas échéant)</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Remarques</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noProof/>
        </w:rPr>
        <w:br w:type="page"/>
        <w:t>MODÈLE D</w:t>
      </w:r>
    </w:p>
    <w:p>
      <w:pPr>
        <w:jc w:val="center"/>
        <w:rPr>
          <w:rFonts w:eastAsia="Arial Unicode MS"/>
          <w:b/>
          <w:bCs/>
          <w:noProof/>
          <w:szCs w:val="24"/>
        </w:rPr>
      </w:pPr>
      <w:r>
        <w:rPr>
          <w:b/>
          <w:noProof/>
        </w:rPr>
        <w:t>(à utiliser pour la réception individuelle harmonisée d’un véhicule en vertu de l’article 42)</w:t>
      </w:r>
    </w:p>
    <w:p>
      <w:pPr>
        <w:jc w:val="center"/>
        <w:rPr>
          <w:rFonts w:eastAsia="Arial Unicode MS"/>
          <w:bCs/>
          <w:noProof/>
          <w:szCs w:val="24"/>
        </w:rPr>
      </w:pPr>
      <w:r>
        <w:rPr>
          <w:noProof/>
        </w:rPr>
        <w:t>Format maximal: A4 (210 × 297 mm)</w:t>
      </w:r>
    </w:p>
    <w:p>
      <w:pPr>
        <w:spacing w:before="360"/>
        <w:jc w:val="center"/>
        <w:rPr>
          <w:rFonts w:eastAsia="Arial Unicode MS"/>
          <w:iCs/>
          <w:noProof/>
          <w:szCs w:val="24"/>
        </w:rPr>
      </w:pPr>
      <w:r>
        <w:rPr>
          <w:b/>
          <w:noProof/>
        </w:rPr>
        <w:t>FICHE DE RÉCEPTION UE INDIVIDUELLE</w:t>
      </w:r>
      <w:r>
        <w:rPr>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rFonts w:eastAsia="Arial Unicode MS"/>
                <w:noProof/>
                <w:szCs w:val="24"/>
                <w:lang w:val="en-US" w:eastAsia="en-US"/>
              </w:rPr>
              <w:drawing>
                <wp:inline distT="0" distB="0" distL="0" distR="0">
                  <wp:extent cx="969645" cy="808990"/>
                  <wp:effectExtent l="0" t="0" r="1905" b="0"/>
                  <wp:docPr id="44"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Nom, adresse, numéro de téléphone et adresse de courrier électronique de l’autorité compétente en matière de réception</w:t>
            </w:r>
          </w:p>
        </w:tc>
      </w:tr>
    </w:tbl>
    <w:p>
      <w:pPr>
        <w:spacing w:after="0"/>
        <w:rPr>
          <w:rFonts w:eastAsia="Arial Unicode MS"/>
          <w:noProof/>
          <w:szCs w:val="24"/>
        </w:rPr>
      </w:pPr>
      <w:r>
        <w:rPr>
          <w:noProof/>
        </w:rPr>
        <w:t>Communication concernant la réception UE individuelle d’un véhicule conformément à l’article 42 du règlement (UE) n</w:t>
      </w:r>
      <w:r>
        <w:rPr>
          <w:noProof/>
          <w:vertAlign w:val="superscript"/>
        </w:rPr>
        <w:t>o</w:t>
      </w:r>
      <w:r>
        <w:rPr>
          <w:noProof/>
        </w:rPr>
        <w:t xml:space="preserve"> XXX/201X </w:t>
      </w:r>
    </w:p>
    <w:p>
      <w:pPr>
        <w:spacing w:before="240" w:after="240"/>
        <w:jc w:val="center"/>
        <w:rPr>
          <w:rFonts w:eastAsia="Arial Unicode MS"/>
          <w:bCs/>
          <w:noProof/>
          <w:szCs w:val="24"/>
        </w:rPr>
      </w:pPr>
      <w:r>
        <w:rPr>
          <w:noProof/>
        </w:rPr>
        <w:t>SECTION I</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Cs w:val="24"/>
              </w:rPr>
            </w:pPr>
            <w:r>
              <w:rPr>
                <w:noProof/>
                <w:sz w:val="22"/>
              </w:rPr>
              <w:t>1.1.</w:t>
            </w:r>
          </w:p>
        </w:tc>
        <w:tc>
          <w:tcPr>
            <w:tcW w:w="0" w:type="auto"/>
            <w:gridSpan w:val="5"/>
            <w:hideMark/>
          </w:tcPr>
          <w:p>
            <w:pPr>
              <w:spacing w:after="0"/>
              <w:rPr>
                <w:rFonts w:eastAsia="Arial Unicode MS"/>
                <w:noProof/>
                <w:szCs w:val="24"/>
              </w:rPr>
            </w:pPr>
            <w:r>
              <w:rPr>
                <w:noProof/>
                <w:sz w:val="22"/>
              </w:rPr>
              <w:t>Marque (dénomination commerciale du constructeur) …</w:t>
            </w:r>
          </w:p>
        </w:tc>
      </w:tr>
      <w:tr>
        <w:trPr>
          <w:gridAfter w:val="1"/>
          <w:tblCellSpacing w:w="0" w:type="dxa"/>
        </w:trPr>
        <w:tc>
          <w:tcPr>
            <w:tcW w:w="837" w:type="dxa"/>
            <w:gridSpan w:val="3"/>
            <w:hideMark/>
          </w:tcPr>
          <w:p>
            <w:pPr>
              <w:spacing w:after="0"/>
              <w:rPr>
                <w:rFonts w:eastAsia="Arial Unicode MS"/>
                <w:noProof/>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Type:</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Variante:</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Version:</w:t>
                  </w:r>
                </w:p>
              </w:tc>
            </w:tr>
          </w:tbl>
          <w:p>
            <w:pPr>
              <w:spacing w:before="0" w:after="0"/>
              <w:jc w:val="left"/>
              <w:rPr>
                <w:rFonts w:eastAsia="Arial Unicode MS"/>
                <w:noProof/>
                <w:szCs w:val="24"/>
              </w:rPr>
            </w:pPr>
          </w:p>
        </w:tc>
      </w:tr>
      <w:tr>
        <w:trPr>
          <w:gridAfter w:val="1"/>
          <w:tblCellSpacing w:w="0" w:type="dxa"/>
        </w:trPr>
        <w:tc>
          <w:tcPr>
            <w:tcW w:w="837" w:type="dxa"/>
            <w:gridSpan w:val="3"/>
          </w:tcPr>
          <w:p>
            <w:pPr>
              <w:rPr>
                <w:rFonts w:eastAsia="Arial Unicode MS"/>
                <w:noProof/>
                <w:szCs w:val="24"/>
              </w:rPr>
            </w:pPr>
            <w:r>
              <w:rPr>
                <w:noProof/>
                <w:sz w:val="22"/>
              </w:rPr>
              <w:t>1.2.1.</w:t>
            </w:r>
          </w:p>
        </w:tc>
        <w:tc>
          <w:tcPr>
            <w:tcW w:w="8171" w:type="dxa"/>
            <w:gridSpan w:val="3"/>
          </w:tcPr>
          <w:p>
            <w:pPr>
              <w:rPr>
                <w:rFonts w:eastAsia="Arial Unicode MS"/>
                <w:noProof/>
                <w:szCs w:val="24"/>
              </w:rPr>
            </w:pPr>
            <w:r>
              <w:rPr>
                <w:noProof/>
                <w:sz w:val="22"/>
              </w:rPr>
              <w:t>Appellation commerciale: …</w:t>
            </w:r>
          </w:p>
        </w:tc>
      </w:tr>
      <w:tr>
        <w:trPr>
          <w:gridAfter w:val="3"/>
          <w:wAfter w:w="939" w:type="dxa"/>
          <w:tblCellSpacing w:w="0" w:type="dxa"/>
        </w:trPr>
        <w:tc>
          <w:tcPr>
            <w:tcW w:w="837" w:type="dxa"/>
            <w:gridSpan w:val="3"/>
            <w:hideMark/>
          </w:tcPr>
          <w:p>
            <w:pPr>
              <w:spacing w:after="0"/>
              <w:rPr>
                <w:rFonts w:eastAsia="Arial Unicode MS"/>
                <w:noProof/>
                <w:szCs w:val="24"/>
              </w:rPr>
            </w:pPr>
            <w:r>
              <w:rPr>
                <w:noProof/>
                <w:sz w:val="22"/>
              </w:rPr>
              <w:t>1.4.</w:t>
            </w:r>
          </w:p>
        </w:tc>
        <w:tc>
          <w:tcPr>
            <w:tcW w:w="7295" w:type="dxa"/>
            <w:hideMark/>
          </w:tcPr>
          <w:p>
            <w:pPr>
              <w:spacing w:after="0"/>
              <w:rPr>
                <w:rFonts w:eastAsia="Arial Unicode MS"/>
                <w:noProof/>
                <w:szCs w:val="24"/>
              </w:rPr>
            </w:pPr>
            <w:r>
              <w:rPr>
                <w:noProof/>
                <w:sz w:val="22"/>
              </w:rPr>
              <w:t>Catégorie de véhicule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Cs w:val="24"/>
              </w:rPr>
            </w:pPr>
            <w:r>
              <w:rPr>
                <w:noProof/>
                <w:sz w:val="22"/>
              </w:rPr>
              <w:t>1.5.</w:t>
            </w:r>
          </w:p>
        </w:tc>
        <w:tc>
          <w:tcPr>
            <w:tcW w:w="7650" w:type="dxa"/>
            <w:gridSpan w:val="3"/>
            <w:hideMark/>
          </w:tcPr>
          <w:p>
            <w:pPr>
              <w:spacing w:after="0"/>
              <w:ind w:left="336"/>
              <w:rPr>
                <w:rFonts w:eastAsia="Arial Unicode MS"/>
                <w:noProof/>
                <w:szCs w:val="24"/>
              </w:rPr>
            </w:pPr>
            <w:r>
              <w:rPr>
                <w:noProof/>
                <w:sz w:val="22"/>
              </w:rPr>
              <w:t>Raison sociale et adresse du constructeur: …</w:t>
            </w:r>
          </w:p>
        </w:tc>
      </w:tr>
      <w:tr>
        <w:trPr>
          <w:gridAfter w:val="2"/>
          <w:wAfter w:w="904" w:type="dxa"/>
          <w:tblCellSpacing w:w="0" w:type="dxa"/>
        </w:trPr>
        <w:tc>
          <w:tcPr>
            <w:tcW w:w="517" w:type="dxa"/>
            <w:gridSpan w:val="2"/>
            <w:hideMark/>
          </w:tcPr>
          <w:p>
            <w:pPr>
              <w:spacing w:after="0"/>
              <w:rPr>
                <w:rFonts w:eastAsia="Arial Unicode MS"/>
                <w:noProof/>
                <w:szCs w:val="24"/>
              </w:rPr>
            </w:pPr>
            <w:r>
              <w:rPr>
                <w:noProof/>
                <w:sz w:val="22"/>
              </w:rPr>
              <w:t>1.6.</w:t>
            </w:r>
          </w:p>
        </w:tc>
        <w:tc>
          <w:tcPr>
            <w:tcW w:w="7650" w:type="dxa"/>
            <w:gridSpan w:val="3"/>
            <w:hideMark/>
          </w:tcPr>
          <w:p>
            <w:pPr>
              <w:spacing w:after="0"/>
              <w:ind w:left="336"/>
              <w:rPr>
                <w:rFonts w:eastAsia="Arial Unicode MS"/>
                <w:noProof/>
                <w:szCs w:val="24"/>
              </w:rPr>
            </w:pPr>
            <w:r>
              <w:rPr>
                <w:noProof/>
                <w:sz w:val="22"/>
              </w:rPr>
              <w:t>Emplacement et méthode de fixation des plaques réglementaires: …</w:t>
            </w:r>
          </w:p>
          <w:p>
            <w:pPr>
              <w:spacing w:after="0"/>
              <w:ind w:left="336"/>
              <w:rPr>
                <w:rFonts w:eastAsia="Arial Unicode MS"/>
                <w:noProof/>
                <w:szCs w:val="24"/>
              </w:rPr>
            </w:pPr>
            <w:r>
              <w:rPr>
                <w:noProof/>
                <w:sz w:val="22"/>
              </w:rPr>
              <w:t>Emplacement du numéro d’identification du véhicule: …</w:t>
            </w:r>
          </w:p>
        </w:tc>
      </w:tr>
      <w:tr>
        <w:trPr>
          <w:gridAfter w:val="2"/>
          <w:wAfter w:w="904" w:type="dxa"/>
          <w:tblCellSpacing w:w="0" w:type="dxa"/>
        </w:trPr>
        <w:tc>
          <w:tcPr>
            <w:tcW w:w="482" w:type="dxa"/>
            <w:hideMark/>
          </w:tcPr>
          <w:p>
            <w:pPr>
              <w:spacing w:after="0"/>
              <w:rPr>
                <w:rFonts w:eastAsia="Arial Unicode MS"/>
                <w:noProof/>
                <w:szCs w:val="24"/>
              </w:rPr>
            </w:pPr>
            <w:r>
              <w:rPr>
                <w:noProof/>
                <w:sz w:val="22"/>
              </w:rPr>
              <w:t>1.9.</w:t>
            </w:r>
          </w:p>
        </w:tc>
        <w:tc>
          <w:tcPr>
            <w:tcW w:w="7685" w:type="dxa"/>
            <w:gridSpan w:val="4"/>
            <w:hideMark/>
          </w:tcPr>
          <w:p>
            <w:pPr>
              <w:spacing w:after="0"/>
              <w:ind w:left="369"/>
              <w:rPr>
                <w:rFonts w:eastAsia="Arial Unicode MS"/>
                <w:noProof/>
                <w:szCs w:val="24"/>
              </w:rPr>
            </w:pPr>
            <w:r>
              <w:rPr>
                <w:noProof/>
                <w:sz w:val="22"/>
              </w:rPr>
              <w:t>Nom et adresse du mandataire du constructeur (le cas échéant): …</w:t>
            </w:r>
          </w:p>
        </w:tc>
      </w:tr>
      <w:tr>
        <w:trPr>
          <w:gridAfter w:val="2"/>
          <w:wAfter w:w="904" w:type="dxa"/>
          <w:tblCellSpacing w:w="0" w:type="dxa"/>
        </w:trPr>
        <w:tc>
          <w:tcPr>
            <w:tcW w:w="837" w:type="dxa"/>
            <w:gridSpan w:val="3"/>
            <w:hideMark/>
          </w:tcPr>
          <w:p>
            <w:pPr>
              <w:spacing w:after="0"/>
              <w:rPr>
                <w:rFonts w:eastAsia="Arial Unicode MS"/>
                <w:noProof/>
                <w:szCs w:val="24"/>
              </w:rPr>
            </w:pPr>
            <w:r>
              <w:rPr>
                <w:noProof/>
                <w:sz w:val="22"/>
              </w:rPr>
              <w:t>1.10.</w:t>
            </w:r>
          </w:p>
        </w:tc>
        <w:tc>
          <w:tcPr>
            <w:tcW w:w="7330" w:type="dxa"/>
            <w:gridSpan w:val="2"/>
            <w:hideMark/>
          </w:tcPr>
          <w:p>
            <w:pPr>
              <w:spacing w:after="0"/>
              <w:rPr>
                <w:rFonts w:eastAsia="Arial Unicode MS"/>
                <w:noProof/>
                <w:szCs w:val="24"/>
              </w:rPr>
            </w:pPr>
            <w:r>
              <w:rPr>
                <w:noProof/>
                <w:sz w:val="22"/>
              </w:rPr>
              <w:t>Numéro d’identification du véhicule: …</w:t>
            </w:r>
          </w:p>
        </w:tc>
      </w:tr>
    </w:tbl>
    <w:p>
      <w:pPr>
        <w:spacing w:after="0"/>
        <w:rPr>
          <w:rFonts w:eastAsia="Arial Unicode MS"/>
          <w:noProof/>
          <w:szCs w:val="24"/>
        </w:rPr>
      </w:pPr>
      <w:r>
        <w:rPr>
          <w:noProof/>
        </w:rPr>
        <w:t>Le soussigné [</w:t>
      </w:r>
      <w:r>
        <w:rPr>
          <w:i/>
          <w:noProof/>
        </w:rPr>
        <w:t>… …nom et fonction</w:t>
      </w:r>
      <w:r>
        <w:rPr>
          <w:noProof/>
        </w:rPr>
        <w:t xml:space="preserve">] certifie, par la présente, que le véhicule soumis pour réception le </w:t>
      </w:r>
      <w:r>
        <w:rPr>
          <w:noProof/>
          <w:sz w:val="22"/>
        </w:rPr>
        <w:t xml:space="preserve">[…… </w:t>
      </w:r>
      <w:r>
        <w:rPr>
          <w:i/>
          <w:noProof/>
          <w:sz w:val="22"/>
        </w:rPr>
        <w:t>date de la demande</w:t>
      </w:r>
      <w:r>
        <w:rPr>
          <w:noProof/>
          <w:sz w:val="22"/>
        </w:rPr>
        <w:t xml:space="preserve">] par […… </w:t>
      </w:r>
      <w:r>
        <w:rPr>
          <w:i/>
          <w:noProof/>
          <w:sz w:val="22"/>
        </w:rPr>
        <w:t xml:space="preserve">nom et adresse du demandeur] </w:t>
      </w:r>
      <w:r>
        <w:rPr>
          <w:noProof/>
        </w:rPr>
        <w:t>est réceptionné en vertu de l’article 42 du règlement (UE) n</w:t>
      </w:r>
      <w:r>
        <w:rPr>
          <w:noProof/>
          <w:vertAlign w:val="superscript"/>
        </w:rPr>
        <w:t>o</w:t>
      </w:r>
      <w:r>
        <w:rPr>
          <w:noProof/>
        </w:rPr>
        <w:t xml:space="preserve"> XXX/201X. En foi de quoi, le numéro de réception suivant a été attribué: …</w:t>
      </w:r>
    </w:p>
    <w:p>
      <w:pPr>
        <w:spacing w:after="0"/>
        <w:rPr>
          <w:rFonts w:eastAsia="Arial Unicode MS"/>
          <w:noProof/>
          <w:szCs w:val="24"/>
        </w:rPr>
      </w:pPr>
      <w:r>
        <w:rPr>
          <w:noProof/>
        </w:rPr>
        <w:t>Le véhicule est conforme à l’appendice 2 de l’annexe IV du règlement (UE) n</w:t>
      </w:r>
      <w:r>
        <w:rPr>
          <w:noProof/>
          <w:vertAlign w:val="superscript"/>
        </w:rPr>
        <w:t>o</w:t>
      </w:r>
      <w:r>
        <w:rPr>
          <w:noProof/>
        </w:rPr>
        <w:t> XXX/201X. Il peut être immatriculé à titre permanent sans autre réception dans les États membres dans lesquels la conduite est à droite/à gauche (</w:t>
      </w:r>
      <w:r>
        <w:rPr>
          <w:noProof/>
          <w:vertAlign w:val="superscript"/>
        </w:rPr>
        <w:t>1</w:t>
      </w:r>
      <w:r>
        <w:rPr>
          <w:noProof/>
        </w:rPr>
        <w:t>) et qui utilisent les unités métriques/impériales (</w:t>
      </w:r>
      <w:r>
        <w:rPr>
          <w:noProof/>
          <w:vertAlign w:val="superscript"/>
        </w:rPr>
        <w:t>1</w:t>
      </w:r>
      <w:r>
        <w:rPr>
          <w:noProof/>
        </w:rPr>
        <w:t>) pour le tachymètre.</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Supprimer les mentions inutiles</w:t>
      </w:r>
      <w:r>
        <w:rPr>
          <w:noProof/>
        </w:rPr>
        <w:t>.</w:t>
      </w:r>
    </w:p>
    <w:p>
      <w:pPr>
        <w:spacing w:before="0" w:after="0"/>
        <w:ind w:left="284" w:hanging="284"/>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Comme défini dans l’annexe II, partie A, du règlement (UE) n</w:t>
      </w:r>
      <w:r>
        <w:rPr>
          <w:noProof/>
          <w:sz w:val="20"/>
          <w:vertAlign w:val="superscript"/>
        </w:rPr>
        <w:t>o</w:t>
      </w:r>
      <w:r>
        <w:rPr>
          <w:noProof/>
          <w:sz w:val="20"/>
        </w:rPr>
        <w:t xml:space="preserve"> XXX/201X </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4</w:t>
      </w:r>
      <w:r>
        <w:rPr>
          <w:noProof/>
          <w:sz w:val="20"/>
          <w:szCs w:val="20"/>
        </w:rPr>
        <w:t>)</w:t>
      </w:r>
      <w:r>
        <w:rPr>
          <w:noProof/>
          <w:sz w:val="20"/>
          <w:szCs w:val="20"/>
        </w:rPr>
        <w:tab/>
        <w:t>Numéro distinctif de l’État membre qui délivre la fiche de réception individuelle d’un véhicule: (voir «partie 1» à la section 1 de l’annexe VII du règlement (UE) n</w:t>
      </w:r>
      <w:r>
        <w:rPr>
          <w:noProof/>
          <w:sz w:val="20"/>
          <w:szCs w:val="20"/>
          <w:vertAlign w:val="superscript"/>
        </w:rPr>
        <w:t>o</w:t>
      </w:r>
      <w:r>
        <w:rPr>
          <w:noProof/>
          <w:sz w:val="20"/>
          <w:szCs w:val="20"/>
        </w:rPr>
        <w:t> XXX/201X.</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
        <w:gridCol w:w="1248"/>
        <w:gridCol w:w="312"/>
        <w:gridCol w:w="838"/>
        <w:gridCol w:w="980"/>
        <w:gridCol w:w="980"/>
        <w:gridCol w:w="4714"/>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(Lieu) (Date)</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(Signature (</w:t>
            </w:r>
            <w:r>
              <w:rPr>
                <w:noProof/>
                <w:sz w:val="22"/>
                <w:vertAlign w:val="superscript"/>
              </w:rPr>
              <w:t>3</w:t>
            </w: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(Tampon de l’autorité compétente en matière de réception)</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Cs w:val="24"/>
              </w:rPr>
            </w:pPr>
          </w:p>
        </w:tc>
        <w:tc>
          <w:tcPr>
            <w:tcW w:w="0" w:type="auto"/>
            <w:gridSpan w:val="3"/>
            <w:hideMark/>
          </w:tcPr>
          <w:p>
            <w:pPr>
              <w:spacing w:after="0"/>
              <w:rPr>
                <w:rFonts w:eastAsia="Arial Unicode MS"/>
                <w:noProof/>
                <w:szCs w:val="24"/>
              </w:rPr>
            </w:pPr>
            <w:r>
              <w:rPr>
                <w:noProof/>
                <w:sz w:val="22"/>
              </w:rPr>
              <w:t>Deux photographies (</w:t>
            </w:r>
            <w:r>
              <w:rPr>
                <w:noProof/>
                <w:sz w:val="22"/>
                <w:vertAlign w:val="superscript"/>
              </w:rPr>
              <w:t>5</w:t>
            </w:r>
            <w:r>
              <w:rPr>
                <w:noProof/>
                <w:sz w:val="22"/>
              </w:rPr>
              <w:t>) du véhicule (résolution minimale 640 × 480 pixels, ~7 × 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Cs w:val="24"/>
              </w:rPr>
            </w:pPr>
          </w:p>
        </w:tc>
        <w:tc>
          <w:tcPr>
            <w:tcW w:w="0" w:type="auto"/>
            <w:gridSpan w:val="2"/>
            <w:hideMark/>
          </w:tcPr>
          <w:p>
            <w:pPr>
              <w:spacing w:before="0" w:after="0"/>
              <w:jc w:val="left"/>
              <w:rPr>
                <w:rFonts w:eastAsia="Arial Unicode MS"/>
                <w:noProof/>
                <w:color w:val="0070C0"/>
                <w:szCs w:val="24"/>
              </w:rPr>
            </w:pPr>
          </w:p>
        </w:tc>
      </w:tr>
    </w:tbl>
    <w:p>
      <w:pPr>
        <w:spacing w:before="9480" w:after="0"/>
        <w:jc w:val="left"/>
        <w:rPr>
          <w:rFonts w:eastAsia="Arial Unicode MS"/>
          <w:bCs/>
          <w:noProof/>
          <w:szCs w:val="24"/>
        </w:rPr>
      </w:pPr>
      <w:r>
        <w:rPr>
          <w:noProof/>
        </w:rPr>
        <w:t>_______________</w:t>
      </w:r>
    </w:p>
    <w:p>
      <w:pPr>
        <w:spacing w:before="0" w:after="0"/>
        <w:ind w:left="284" w:hanging="284"/>
        <w:jc w:val="left"/>
        <w:rPr>
          <w:rFonts w:eastAsia="Arial Unicode MS"/>
          <w:noProof/>
          <w:sz w:val="20"/>
          <w:szCs w:val="20"/>
        </w:rPr>
      </w:pPr>
      <w:r>
        <w:rPr>
          <w:noProof/>
          <w:sz w:val="20"/>
          <w:szCs w:val="20"/>
        </w:rPr>
        <w:t>(</w:t>
      </w:r>
      <w:r>
        <w:rPr>
          <w:noProof/>
          <w:sz w:val="20"/>
          <w:szCs w:val="20"/>
          <w:vertAlign w:val="superscript"/>
        </w:rPr>
        <w:t>3</w:t>
      </w:r>
      <w:r>
        <w:rPr>
          <w:noProof/>
          <w:sz w:val="20"/>
          <w:szCs w:val="20"/>
        </w:rPr>
        <w:t>)</w:t>
      </w:r>
      <w:r>
        <w:rPr>
          <w:noProof/>
          <w:sz w:val="20"/>
          <w:szCs w:val="20"/>
        </w:rPr>
        <w:tab/>
        <w:t>Ou représentation visuelle d’une «signature électronique avancée» conformément à la directive 1999/93/CE, y compris les données de vérification.</w:t>
      </w:r>
    </w:p>
    <w:p>
      <w:pPr>
        <w:spacing w:before="0" w:after="0"/>
        <w:ind w:left="284" w:hanging="284"/>
        <w:jc w:val="left"/>
        <w:rPr>
          <w:rFonts w:eastAsia="Arial Unicode MS"/>
          <w:bCs/>
          <w:noProof/>
          <w:sz w:val="20"/>
          <w:szCs w:val="20"/>
        </w:rPr>
      </w:pPr>
      <w:r>
        <w:rPr>
          <w:noProof/>
          <w:sz w:val="20"/>
          <w:szCs w:val="20"/>
        </w:rPr>
        <w:t>(</w:t>
      </w:r>
      <w:r>
        <w:rPr>
          <w:noProof/>
          <w:sz w:val="20"/>
          <w:szCs w:val="20"/>
          <w:vertAlign w:val="superscript"/>
        </w:rPr>
        <w:t>5</w:t>
      </w:r>
      <w:r>
        <w:rPr>
          <w:noProof/>
          <w:sz w:val="20"/>
          <w:szCs w:val="20"/>
        </w:rPr>
        <w:t>)</w:t>
      </w:r>
      <w:r>
        <w:rPr>
          <w:noProof/>
          <w:sz w:val="20"/>
          <w:szCs w:val="20"/>
        </w:rPr>
        <w:tab/>
        <w:t>1 photo ¾ avant et 1 photo ¾ arrière.</w:t>
      </w:r>
    </w:p>
    <w:p>
      <w:pPr>
        <w:spacing w:before="240" w:after="240"/>
        <w:jc w:val="center"/>
        <w:rPr>
          <w:rFonts w:eastAsia="Arial Unicode MS"/>
          <w:bCs/>
          <w:noProof/>
          <w:szCs w:val="24"/>
        </w:rPr>
      </w:pPr>
      <w:r>
        <w:rPr>
          <w:noProof/>
        </w:rPr>
        <w:br w:type="page"/>
      </w:r>
    </w:p>
    <w:p>
      <w:pPr>
        <w:spacing w:before="240" w:after="240"/>
        <w:jc w:val="center"/>
        <w:rPr>
          <w:rFonts w:eastAsia="Arial Unicode MS"/>
          <w:bCs/>
          <w:noProof/>
          <w:szCs w:val="24"/>
        </w:rPr>
      </w:pPr>
      <w:r>
        <w:rPr>
          <w:noProof/>
        </w:rPr>
        <w:t>SECTION II</w:t>
      </w:r>
    </w:p>
    <w:p>
      <w:pPr>
        <w:spacing w:before="0"/>
        <w:jc w:val="center"/>
        <w:rPr>
          <w:rFonts w:eastAsia="Arial Unicode MS"/>
          <w:noProof/>
          <w:szCs w:val="24"/>
        </w:rPr>
      </w:pPr>
      <w:r>
        <w:rPr>
          <w:b/>
          <w:noProof/>
        </w:rPr>
        <w:t>Caractéristiques générales de construction</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Cs w:val="24"/>
              </w:rPr>
            </w:pPr>
            <w:r>
              <w:rPr>
                <w:noProof/>
                <w:sz w:val="22"/>
              </w:rPr>
              <w:t>1.</w:t>
            </w:r>
          </w:p>
        </w:tc>
        <w:tc>
          <w:tcPr>
            <w:tcW w:w="0" w:type="auto"/>
            <w:hideMark/>
          </w:tcPr>
          <w:p>
            <w:pPr>
              <w:spacing w:before="60" w:after="0"/>
              <w:rPr>
                <w:rFonts w:eastAsia="Arial Unicode MS"/>
                <w:noProof/>
                <w:szCs w:val="24"/>
              </w:rPr>
            </w:pPr>
            <w:r>
              <w:rPr>
                <w:noProof/>
                <w:sz w:val="22"/>
              </w:rPr>
              <w:t>Nombre d’essieux: … et de roues: …</w:t>
            </w:r>
          </w:p>
        </w:tc>
      </w:tr>
      <w:tr>
        <w:trPr>
          <w:trHeight w:val="113"/>
          <w:tblCellSpacing w:w="0" w:type="dxa"/>
        </w:trPr>
        <w:tc>
          <w:tcPr>
            <w:tcW w:w="304" w:type="pct"/>
          </w:tcPr>
          <w:p>
            <w:pPr>
              <w:spacing w:before="60" w:after="0"/>
              <w:rPr>
                <w:rFonts w:eastAsia="Arial Unicode MS"/>
                <w:noProof/>
                <w:szCs w:val="24"/>
              </w:rPr>
            </w:pPr>
            <w:r>
              <w:rPr>
                <w:noProof/>
                <w:sz w:val="22"/>
              </w:rPr>
              <w:t>1.1.</w:t>
            </w:r>
          </w:p>
        </w:tc>
        <w:tc>
          <w:tcPr>
            <w:tcW w:w="0" w:type="auto"/>
          </w:tcPr>
          <w:p>
            <w:pPr>
              <w:spacing w:before="60" w:after="0"/>
              <w:rPr>
                <w:rFonts w:eastAsia="Arial Unicode MS"/>
                <w:noProof/>
                <w:szCs w:val="24"/>
              </w:rPr>
            </w:pPr>
            <w:r>
              <w:rPr>
                <w:noProof/>
                <w:sz w:val="22"/>
              </w:rPr>
              <w:t>Nombre et emplacement des essieux à roues jumelées: …</w:t>
            </w:r>
          </w:p>
        </w:tc>
      </w:tr>
      <w:tr>
        <w:trPr>
          <w:trHeight w:val="113"/>
          <w:tblCellSpacing w:w="0" w:type="dxa"/>
        </w:trPr>
        <w:tc>
          <w:tcPr>
            <w:tcW w:w="304" w:type="pct"/>
            <w:hideMark/>
          </w:tcPr>
          <w:p>
            <w:pPr>
              <w:spacing w:before="60" w:after="0"/>
              <w:rPr>
                <w:rFonts w:eastAsia="Arial Unicode MS"/>
                <w:noProof/>
                <w:szCs w:val="24"/>
              </w:rPr>
            </w:pPr>
            <w:r>
              <w:rPr>
                <w:noProof/>
                <w:sz w:val="22"/>
              </w:rPr>
              <w:t>3.</w:t>
            </w:r>
          </w:p>
        </w:tc>
        <w:tc>
          <w:tcPr>
            <w:tcW w:w="0" w:type="auto"/>
            <w:hideMark/>
          </w:tcPr>
          <w:p>
            <w:pPr>
              <w:spacing w:before="60" w:after="0"/>
              <w:rPr>
                <w:rFonts w:eastAsia="Arial Unicode MS"/>
                <w:noProof/>
                <w:szCs w:val="24"/>
              </w:rPr>
            </w:pPr>
            <w:r>
              <w:rPr>
                <w:noProof/>
                <w:sz w:val="22"/>
              </w:rPr>
              <w:t>Essieux moteurs (nombre, emplacement, crabotage d’un autre essieu): …</w:t>
            </w:r>
          </w:p>
        </w:tc>
      </w:tr>
    </w:tbl>
    <w:p>
      <w:pPr>
        <w:spacing w:after="0"/>
        <w:ind w:left="567"/>
        <w:jc w:val="left"/>
        <w:rPr>
          <w:rFonts w:eastAsia="Arial Unicode MS"/>
          <w:noProof/>
          <w:szCs w:val="24"/>
        </w:rPr>
      </w:pPr>
      <w:r>
        <w:rPr>
          <w:b/>
          <w:noProof/>
        </w:rPr>
        <w:t>Dimensions principales</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Cs w:val="24"/>
              </w:rPr>
            </w:pPr>
            <w:r>
              <w:rPr>
                <w:noProof/>
                <w:sz w:val="22"/>
              </w:rPr>
              <w:t>4.</w:t>
            </w:r>
          </w:p>
        </w:tc>
        <w:tc>
          <w:tcPr>
            <w:tcW w:w="0" w:type="auto"/>
            <w:hideMark/>
          </w:tcPr>
          <w:p>
            <w:pPr>
              <w:spacing w:before="60" w:after="0"/>
              <w:rPr>
                <w:rFonts w:eastAsia="Arial Unicode MS"/>
                <w:noProof/>
                <w:szCs w:val="24"/>
              </w:rPr>
            </w:pPr>
            <w:r>
              <w:rPr>
                <w:noProof/>
                <w:sz w:val="22"/>
              </w:rPr>
              <w:t>Empattement (</w:t>
            </w:r>
            <w:r>
              <w:rPr>
                <w:noProof/>
                <w:sz w:val="22"/>
                <w:vertAlign w:val="superscript"/>
              </w:rPr>
              <w:t>a</w:t>
            </w:r>
            <w:r>
              <w:rPr>
                <w:noProof/>
                <w:sz w:val="22"/>
              </w:rPr>
              <w:t>): … mm</w:t>
            </w:r>
          </w:p>
        </w:tc>
      </w:tr>
      <w:tr>
        <w:trPr>
          <w:tblCellSpacing w:w="0" w:type="dxa"/>
        </w:trPr>
        <w:tc>
          <w:tcPr>
            <w:tcW w:w="304" w:type="pct"/>
          </w:tcPr>
          <w:p>
            <w:pPr>
              <w:spacing w:before="60" w:after="0"/>
              <w:rPr>
                <w:rFonts w:eastAsia="Arial Unicode MS"/>
                <w:noProof/>
                <w:szCs w:val="24"/>
              </w:rPr>
            </w:pPr>
            <w:r>
              <w:rPr>
                <w:noProof/>
                <w:sz w:val="22"/>
              </w:rPr>
              <w:t>4.1.</w:t>
            </w:r>
          </w:p>
        </w:tc>
        <w:tc>
          <w:tcPr>
            <w:tcW w:w="0" w:type="auto"/>
          </w:tcPr>
          <w:p>
            <w:pPr>
              <w:spacing w:before="60" w:after="0"/>
              <w:rPr>
                <w:rFonts w:eastAsia="Arial Unicode MS"/>
                <w:noProof/>
                <w:szCs w:val="24"/>
              </w:rPr>
            </w:pPr>
            <w:r>
              <w:rPr>
                <w:noProof/>
                <w:sz w:val="22"/>
              </w:rPr>
              <w:t>Écartement des essieux: 1-2: … mm 2-3: … mm 3-4: … mm</w:t>
            </w:r>
          </w:p>
        </w:tc>
      </w:tr>
      <w:tr>
        <w:trPr>
          <w:tblCellSpacing w:w="0" w:type="dxa"/>
        </w:trPr>
        <w:tc>
          <w:tcPr>
            <w:tcW w:w="0" w:type="auto"/>
            <w:hideMark/>
          </w:tcPr>
          <w:p>
            <w:pPr>
              <w:spacing w:before="60" w:after="0"/>
              <w:rPr>
                <w:rFonts w:eastAsia="Arial Unicode MS"/>
                <w:noProof/>
                <w:szCs w:val="24"/>
              </w:rPr>
            </w:pPr>
            <w:r>
              <w:rPr>
                <w:noProof/>
                <w:sz w:val="22"/>
              </w:rPr>
              <w:t>5.</w:t>
            </w:r>
          </w:p>
        </w:tc>
        <w:tc>
          <w:tcPr>
            <w:tcW w:w="0" w:type="auto"/>
            <w:hideMark/>
          </w:tcPr>
          <w:p>
            <w:pPr>
              <w:spacing w:before="60" w:after="0"/>
              <w:rPr>
                <w:rFonts w:eastAsia="Arial Unicode MS"/>
                <w:noProof/>
                <w:szCs w:val="24"/>
              </w:rPr>
            </w:pPr>
            <w:r>
              <w:rPr>
                <w:noProof/>
                <w:sz w:val="22"/>
              </w:rPr>
              <w:t>Longueur: … mm</w:t>
            </w:r>
          </w:p>
        </w:tc>
      </w:tr>
      <w:tr>
        <w:trPr>
          <w:tblCellSpacing w:w="0" w:type="dxa"/>
        </w:trPr>
        <w:tc>
          <w:tcPr>
            <w:tcW w:w="0" w:type="auto"/>
            <w:hideMark/>
          </w:tcPr>
          <w:p>
            <w:pPr>
              <w:spacing w:before="60" w:after="0"/>
              <w:rPr>
                <w:rFonts w:eastAsia="Arial Unicode MS"/>
                <w:noProof/>
                <w:szCs w:val="24"/>
              </w:rPr>
            </w:pPr>
            <w:r>
              <w:rPr>
                <w:noProof/>
                <w:sz w:val="22"/>
              </w:rPr>
              <w:t>6.</w:t>
            </w:r>
          </w:p>
        </w:tc>
        <w:tc>
          <w:tcPr>
            <w:tcW w:w="0" w:type="auto"/>
            <w:hideMark/>
          </w:tcPr>
          <w:p>
            <w:pPr>
              <w:spacing w:before="60" w:after="0"/>
              <w:rPr>
                <w:rFonts w:eastAsia="Arial Unicode MS"/>
                <w:noProof/>
                <w:szCs w:val="24"/>
              </w:rPr>
            </w:pPr>
            <w:r>
              <w:rPr>
                <w:noProof/>
                <w:sz w:val="22"/>
              </w:rPr>
              <w:t>Largeur: … mm</w:t>
            </w:r>
          </w:p>
        </w:tc>
      </w:tr>
      <w:tr>
        <w:trPr>
          <w:tblCellSpacing w:w="0" w:type="dxa"/>
        </w:trPr>
        <w:tc>
          <w:tcPr>
            <w:tcW w:w="0" w:type="auto"/>
            <w:hideMark/>
          </w:tcPr>
          <w:p>
            <w:pPr>
              <w:spacing w:before="60" w:after="0"/>
              <w:rPr>
                <w:rFonts w:eastAsia="Arial Unicode MS"/>
                <w:noProof/>
                <w:szCs w:val="24"/>
              </w:rPr>
            </w:pPr>
            <w:r>
              <w:rPr>
                <w:noProof/>
                <w:sz w:val="22"/>
              </w:rPr>
              <w:t>7.</w:t>
            </w:r>
          </w:p>
        </w:tc>
        <w:tc>
          <w:tcPr>
            <w:tcW w:w="0" w:type="auto"/>
            <w:hideMark/>
          </w:tcPr>
          <w:p>
            <w:pPr>
              <w:spacing w:before="60" w:after="0"/>
              <w:rPr>
                <w:rFonts w:eastAsia="Arial Unicode MS"/>
                <w:noProof/>
                <w:szCs w:val="24"/>
              </w:rPr>
            </w:pPr>
            <w:r>
              <w:rPr>
                <w:noProof/>
                <w:sz w:val="22"/>
              </w:rPr>
              <w:t>Hauteur: … mm</w:t>
            </w:r>
          </w:p>
        </w:tc>
      </w:tr>
    </w:tbl>
    <w:p>
      <w:pPr>
        <w:spacing w:after="0"/>
        <w:ind w:left="567"/>
        <w:jc w:val="left"/>
        <w:rPr>
          <w:rFonts w:eastAsia="Arial Unicode MS"/>
          <w:noProof/>
          <w:szCs w:val="24"/>
        </w:rPr>
      </w:pPr>
      <w:r>
        <w:rPr>
          <w:b/>
          <w:noProof/>
        </w:rPr>
        <w:t>Masses</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Cs w:val="24"/>
              </w:rPr>
            </w:pPr>
            <w:r>
              <w:rPr>
                <w:noProof/>
                <w:sz w:val="22"/>
              </w:rPr>
              <w:t>13.</w:t>
            </w:r>
          </w:p>
        </w:tc>
        <w:tc>
          <w:tcPr>
            <w:tcW w:w="4699" w:type="pct"/>
            <w:gridSpan w:val="4"/>
            <w:hideMark/>
          </w:tcPr>
          <w:p>
            <w:pPr>
              <w:spacing w:before="60" w:after="0"/>
              <w:rPr>
                <w:rFonts w:eastAsia="Arial Unicode MS"/>
                <w:noProof/>
                <w:szCs w:val="24"/>
              </w:rPr>
            </w:pPr>
            <w:r>
              <w:rPr>
                <w:noProof/>
                <w:sz w:val="22"/>
              </w:rPr>
              <w:t>Masse du véhicule en ordre de marche: …kg (</w:t>
            </w:r>
            <w:r>
              <w:rPr>
                <w:noProof/>
                <w:sz w:val="22"/>
                <w:vertAlign w:val="superscript"/>
              </w:rPr>
              <w:t>b</w:t>
            </w:r>
            <w:r>
              <w:rPr>
                <w:noProof/>
                <w:sz w:val="22"/>
              </w:rPr>
              <w:t>)</w:t>
            </w:r>
          </w:p>
        </w:tc>
      </w:tr>
      <w:tr>
        <w:trPr>
          <w:tblCellSpacing w:w="0" w:type="dxa"/>
        </w:trPr>
        <w:tc>
          <w:tcPr>
            <w:tcW w:w="301" w:type="pct"/>
            <w:hideMark/>
          </w:tcPr>
          <w:p>
            <w:pPr>
              <w:spacing w:before="60" w:after="0"/>
              <w:rPr>
                <w:rFonts w:eastAsia="Arial Unicode MS"/>
                <w:noProof/>
                <w:szCs w:val="24"/>
              </w:rPr>
            </w:pPr>
            <w:r>
              <w:rPr>
                <w:noProof/>
                <w:sz w:val="22"/>
              </w:rPr>
              <w:t>16.</w:t>
            </w:r>
          </w:p>
        </w:tc>
        <w:tc>
          <w:tcPr>
            <w:tcW w:w="4699" w:type="pct"/>
            <w:gridSpan w:val="4"/>
            <w:hideMark/>
          </w:tcPr>
          <w:p>
            <w:pPr>
              <w:spacing w:before="60" w:after="0"/>
              <w:rPr>
                <w:rFonts w:eastAsia="Arial Unicode MS"/>
                <w:noProof/>
                <w:szCs w:val="24"/>
              </w:rPr>
            </w:pPr>
            <w:r>
              <w:rPr>
                <w:noProof/>
                <w:sz w:val="22"/>
              </w:rPr>
              <w:t>Masses maximales techniquement admissibles</w:t>
            </w:r>
          </w:p>
        </w:tc>
      </w:tr>
      <w:tr>
        <w:trPr>
          <w:tblCellSpacing w:w="0" w:type="dxa"/>
        </w:trPr>
        <w:tc>
          <w:tcPr>
            <w:tcW w:w="0" w:type="auto"/>
            <w:hideMark/>
          </w:tcPr>
          <w:p>
            <w:pPr>
              <w:spacing w:before="60" w:after="0"/>
              <w:rPr>
                <w:rFonts w:eastAsia="Arial Unicode MS"/>
                <w:noProof/>
                <w:szCs w:val="24"/>
              </w:rPr>
            </w:pPr>
            <w:r>
              <w:rPr>
                <w:noProof/>
                <w:sz w:val="22"/>
              </w:rPr>
              <w:t>16.1.</w:t>
            </w:r>
          </w:p>
        </w:tc>
        <w:tc>
          <w:tcPr>
            <w:tcW w:w="4699" w:type="pct"/>
            <w:gridSpan w:val="4"/>
            <w:hideMark/>
          </w:tcPr>
          <w:p>
            <w:pPr>
              <w:spacing w:before="60" w:after="0"/>
              <w:rPr>
                <w:rFonts w:eastAsia="Arial Unicode MS"/>
                <w:noProof/>
                <w:szCs w:val="24"/>
              </w:rPr>
            </w:pPr>
            <w:r>
              <w:rPr>
                <w:noProof/>
                <w:sz w:val="22"/>
              </w:rPr>
              <w:t>Masse en charge maximale techniquement admissible: … kg</w:t>
            </w:r>
          </w:p>
        </w:tc>
      </w:tr>
      <w:tr>
        <w:trPr>
          <w:tblCellSpacing w:w="0" w:type="dxa"/>
        </w:trPr>
        <w:tc>
          <w:tcPr>
            <w:tcW w:w="301" w:type="pct"/>
          </w:tcPr>
          <w:p>
            <w:pPr>
              <w:spacing w:before="60" w:after="0"/>
              <w:rPr>
                <w:rFonts w:eastAsia="Arial Unicode MS"/>
                <w:noProof/>
                <w:szCs w:val="24"/>
              </w:rPr>
            </w:pPr>
            <w:r>
              <w:rPr>
                <w:noProof/>
                <w:sz w:val="22"/>
              </w:rPr>
              <w:t>16.2.</w:t>
            </w:r>
          </w:p>
        </w:tc>
        <w:tc>
          <w:tcPr>
            <w:tcW w:w="4699" w:type="pct"/>
            <w:gridSpan w:val="4"/>
          </w:tcPr>
          <w:p>
            <w:pPr>
              <w:spacing w:before="60" w:after="0"/>
              <w:rPr>
                <w:rFonts w:eastAsia="Arial Unicode MS"/>
                <w:noProof/>
                <w:szCs w:val="24"/>
              </w:rPr>
            </w:pPr>
            <w:r>
              <w:rPr>
                <w:noProof/>
                <w:sz w:val="22"/>
              </w:rPr>
              <w:t>Masse techniquement admissible sur chaque essieu: 1. … kg 2. … kg 3. … kg etc.</w:t>
            </w:r>
          </w:p>
        </w:tc>
      </w:tr>
      <w:tr>
        <w:trPr>
          <w:tblCellSpacing w:w="0" w:type="dxa"/>
        </w:trPr>
        <w:tc>
          <w:tcPr>
            <w:tcW w:w="301" w:type="pct"/>
          </w:tcPr>
          <w:p>
            <w:pPr>
              <w:spacing w:before="60" w:after="0"/>
              <w:rPr>
                <w:rFonts w:eastAsia="Arial Unicode MS"/>
                <w:noProof/>
                <w:szCs w:val="24"/>
              </w:rPr>
            </w:pPr>
            <w:r>
              <w:rPr>
                <w:noProof/>
                <w:sz w:val="22"/>
              </w:rPr>
              <w:t>16.4.</w:t>
            </w:r>
          </w:p>
        </w:tc>
        <w:tc>
          <w:tcPr>
            <w:tcW w:w="4699" w:type="pct"/>
            <w:gridSpan w:val="4"/>
          </w:tcPr>
          <w:p>
            <w:pPr>
              <w:spacing w:before="60" w:after="0"/>
              <w:rPr>
                <w:rFonts w:eastAsia="Arial Unicode MS"/>
                <w:noProof/>
                <w:szCs w:val="24"/>
              </w:rPr>
            </w:pPr>
            <w:r>
              <w:rPr>
                <w:noProof/>
                <w:sz w:val="22"/>
              </w:rPr>
              <w:t>Masse maximale techniquement admissible de l’ensemble: … kg</w:t>
            </w:r>
          </w:p>
        </w:tc>
      </w:tr>
      <w:tr>
        <w:trPr>
          <w:gridAfter w:val="3"/>
          <w:wAfter w:w="1762" w:type="pct"/>
          <w:tblCellSpacing w:w="0" w:type="dxa"/>
        </w:trPr>
        <w:tc>
          <w:tcPr>
            <w:tcW w:w="0" w:type="auto"/>
            <w:hideMark/>
          </w:tcPr>
          <w:p>
            <w:pPr>
              <w:spacing w:before="60" w:after="0"/>
              <w:rPr>
                <w:rFonts w:eastAsia="Arial Unicode MS"/>
                <w:noProof/>
                <w:szCs w:val="24"/>
              </w:rPr>
            </w:pPr>
            <w:r>
              <w:rPr>
                <w:noProof/>
                <w:sz w:val="22"/>
              </w:rPr>
              <w:t>18.</w:t>
            </w:r>
          </w:p>
        </w:tc>
        <w:tc>
          <w:tcPr>
            <w:tcW w:w="2937" w:type="pct"/>
            <w:hideMark/>
          </w:tcPr>
          <w:p>
            <w:pPr>
              <w:spacing w:before="60" w:after="0"/>
              <w:rPr>
                <w:rFonts w:eastAsia="Arial Unicode MS"/>
                <w:noProof/>
                <w:szCs w:val="24"/>
              </w:rPr>
            </w:pPr>
            <w:r>
              <w:rPr>
                <w:noProof/>
                <w:sz w:val="22"/>
              </w:rPr>
              <w:t>Masse tractable maximale techniquement admissible en cas de:</w:t>
            </w:r>
          </w:p>
        </w:tc>
      </w:tr>
      <w:tr>
        <w:trPr>
          <w:gridAfter w:val="2"/>
          <w:wAfter w:w="406" w:type="pct"/>
          <w:tblCellSpacing w:w="0" w:type="dxa"/>
        </w:trPr>
        <w:tc>
          <w:tcPr>
            <w:tcW w:w="0" w:type="auto"/>
          </w:tcPr>
          <w:p>
            <w:pPr>
              <w:spacing w:before="60" w:after="0"/>
              <w:rPr>
                <w:rFonts w:eastAsia="Arial Unicode MS"/>
                <w:noProof/>
                <w:szCs w:val="24"/>
              </w:rPr>
            </w:pPr>
            <w:r>
              <w:rPr>
                <w:noProof/>
                <w:sz w:val="22"/>
              </w:rPr>
              <w:t>18.1.</w:t>
            </w:r>
          </w:p>
        </w:tc>
        <w:tc>
          <w:tcPr>
            <w:tcW w:w="4292" w:type="pct"/>
            <w:gridSpan w:val="2"/>
          </w:tcPr>
          <w:p>
            <w:pPr>
              <w:spacing w:before="60" w:after="0"/>
              <w:rPr>
                <w:rFonts w:eastAsia="Arial Unicode MS"/>
                <w:noProof/>
                <w:szCs w:val="24"/>
              </w:rPr>
            </w:pPr>
            <w:r>
              <w:rPr>
                <w:noProof/>
                <w:sz w:val="22"/>
              </w:rPr>
              <w:t>remorque à timon: … kg</w:t>
            </w:r>
          </w:p>
        </w:tc>
      </w:tr>
      <w:tr>
        <w:trPr>
          <w:gridAfter w:val="2"/>
          <w:wAfter w:w="406" w:type="pct"/>
          <w:tblCellSpacing w:w="0" w:type="dxa"/>
        </w:trPr>
        <w:tc>
          <w:tcPr>
            <w:tcW w:w="0" w:type="auto"/>
          </w:tcPr>
          <w:p>
            <w:pPr>
              <w:spacing w:before="60" w:after="0"/>
              <w:rPr>
                <w:rFonts w:eastAsia="Arial Unicode MS"/>
                <w:noProof/>
                <w:szCs w:val="24"/>
              </w:rPr>
            </w:pPr>
            <w:r>
              <w:rPr>
                <w:noProof/>
                <w:sz w:val="22"/>
              </w:rPr>
              <w:t>18.2.</w:t>
            </w:r>
          </w:p>
        </w:tc>
        <w:tc>
          <w:tcPr>
            <w:tcW w:w="4292" w:type="pct"/>
            <w:gridSpan w:val="2"/>
          </w:tcPr>
          <w:p>
            <w:pPr>
              <w:spacing w:before="60" w:after="0"/>
              <w:rPr>
                <w:rFonts w:eastAsia="Arial Unicode MS"/>
                <w:noProof/>
                <w:szCs w:val="24"/>
              </w:rPr>
            </w:pPr>
            <w:r>
              <w:rPr>
                <w:noProof/>
                <w:sz w:val="22"/>
              </w:rPr>
              <w:t>semi-remorque: …kg</w:t>
            </w:r>
          </w:p>
        </w:tc>
      </w:tr>
      <w:tr>
        <w:trPr>
          <w:gridAfter w:val="2"/>
          <w:wAfter w:w="406" w:type="pct"/>
          <w:tblCellSpacing w:w="0" w:type="dxa"/>
        </w:trPr>
        <w:tc>
          <w:tcPr>
            <w:tcW w:w="0" w:type="auto"/>
          </w:tcPr>
          <w:p>
            <w:pPr>
              <w:spacing w:before="60" w:after="0"/>
              <w:rPr>
                <w:rFonts w:eastAsia="Arial Unicode MS"/>
                <w:noProof/>
                <w:szCs w:val="24"/>
              </w:rPr>
            </w:pPr>
            <w:r>
              <w:rPr>
                <w:noProof/>
                <w:sz w:val="22"/>
              </w:rPr>
              <w:t>18.3.</w:t>
            </w:r>
          </w:p>
        </w:tc>
        <w:tc>
          <w:tcPr>
            <w:tcW w:w="4292" w:type="pct"/>
            <w:gridSpan w:val="2"/>
          </w:tcPr>
          <w:p>
            <w:pPr>
              <w:spacing w:before="60" w:after="0"/>
              <w:rPr>
                <w:rFonts w:eastAsia="Arial Unicode MS"/>
                <w:noProof/>
                <w:szCs w:val="24"/>
              </w:rPr>
            </w:pPr>
            <w:r>
              <w:rPr>
                <w:noProof/>
                <w:sz w:val="22"/>
              </w:rPr>
              <w:t>remorque à essieu central: …kg</w:t>
            </w:r>
          </w:p>
        </w:tc>
      </w:tr>
      <w:tr>
        <w:trPr>
          <w:gridAfter w:val="2"/>
          <w:wAfter w:w="406" w:type="pct"/>
          <w:tblCellSpacing w:w="0" w:type="dxa"/>
        </w:trPr>
        <w:tc>
          <w:tcPr>
            <w:tcW w:w="0" w:type="auto"/>
          </w:tcPr>
          <w:p>
            <w:pPr>
              <w:spacing w:before="60" w:after="0"/>
              <w:rPr>
                <w:rFonts w:eastAsia="Arial Unicode MS"/>
                <w:noProof/>
                <w:szCs w:val="24"/>
              </w:rPr>
            </w:pPr>
            <w:r>
              <w:rPr>
                <w:noProof/>
                <w:sz w:val="22"/>
              </w:rPr>
              <w:t>18.4.</w:t>
            </w:r>
          </w:p>
        </w:tc>
        <w:tc>
          <w:tcPr>
            <w:tcW w:w="4292" w:type="pct"/>
            <w:gridSpan w:val="2"/>
          </w:tcPr>
          <w:p>
            <w:pPr>
              <w:spacing w:before="60" w:after="0"/>
              <w:rPr>
                <w:rFonts w:eastAsia="Arial Unicode MS"/>
                <w:noProof/>
                <w:szCs w:val="24"/>
              </w:rPr>
            </w:pPr>
            <w:r>
              <w:rPr>
                <w:noProof/>
                <w:sz w:val="22"/>
              </w:rPr>
              <w:t>remorque non freinée: … kg</w:t>
            </w:r>
          </w:p>
        </w:tc>
      </w:tr>
      <w:tr>
        <w:trPr>
          <w:gridAfter w:val="1"/>
          <w:wAfter w:w="181" w:type="pct"/>
          <w:tblCellSpacing w:w="0" w:type="dxa"/>
        </w:trPr>
        <w:tc>
          <w:tcPr>
            <w:tcW w:w="0" w:type="auto"/>
            <w:hideMark/>
          </w:tcPr>
          <w:p>
            <w:pPr>
              <w:spacing w:before="60" w:after="0"/>
              <w:rPr>
                <w:rFonts w:eastAsia="Arial Unicode MS"/>
                <w:noProof/>
                <w:szCs w:val="24"/>
              </w:rPr>
            </w:pPr>
            <w:r>
              <w:rPr>
                <w:noProof/>
                <w:sz w:val="22"/>
              </w:rPr>
              <w:t>19.</w:t>
            </w:r>
          </w:p>
        </w:tc>
        <w:tc>
          <w:tcPr>
            <w:tcW w:w="0" w:type="auto"/>
            <w:gridSpan w:val="3"/>
            <w:hideMark/>
          </w:tcPr>
          <w:p>
            <w:pPr>
              <w:spacing w:before="60" w:after="0"/>
              <w:rPr>
                <w:rFonts w:eastAsia="Arial Unicode MS"/>
                <w:noProof/>
                <w:szCs w:val="24"/>
              </w:rPr>
            </w:pPr>
            <w:r>
              <w:rPr>
                <w:noProof/>
                <w:sz w:val="22"/>
              </w:rPr>
              <w:t>Masse verticale statique maximale techniquement admissible au point d’attelage: … kg</w:t>
            </w:r>
          </w:p>
        </w:tc>
      </w:tr>
    </w:tbl>
    <w:p>
      <w:pPr>
        <w:spacing w:after="0"/>
        <w:ind w:left="567"/>
        <w:jc w:val="left"/>
        <w:rPr>
          <w:rFonts w:eastAsia="Arial Unicode MS"/>
          <w:noProof/>
          <w:szCs w:val="24"/>
        </w:rPr>
      </w:pPr>
      <w:r>
        <w:rPr>
          <w:b/>
          <w:noProof/>
        </w:rPr>
        <w:t>Groupe moteur</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Cs w:val="24"/>
              </w:rPr>
            </w:pPr>
            <w:r>
              <w:rPr>
                <w:noProof/>
                <w:sz w:val="22"/>
              </w:rPr>
              <w:t>20.</w:t>
            </w:r>
          </w:p>
        </w:tc>
        <w:tc>
          <w:tcPr>
            <w:tcW w:w="4547" w:type="pct"/>
            <w:gridSpan w:val="3"/>
            <w:hideMark/>
          </w:tcPr>
          <w:p>
            <w:pPr>
              <w:spacing w:before="60" w:after="0"/>
              <w:rPr>
                <w:rFonts w:eastAsia="Arial Unicode MS"/>
                <w:noProof/>
                <w:szCs w:val="24"/>
              </w:rPr>
            </w:pPr>
            <w:r>
              <w:rPr>
                <w:noProof/>
                <w:sz w:val="22"/>
              </w:rPr>
              <w:t>Constructeur du moteur: …</w:t>
            </w:r>
          </w:p>
        </w:tc>
      </w:tr>
      <w:tr>
        <w:trPr>
          <w:gridAfter w:val="2"/>
          <w:wAfter w:w="152" w:type="pct"/>
          <w:tblCellSpacing w:w="0" w:type="dxa"/>
        </w:trPr>
        <w:tc>
          <w:tcPr>
            <w:tcW w:w="301" w:type="pct"/>
            <w:hideMark/>
          </w:tcPr>
          <w:p>
            <w:pPr>
              <w:spacing w:before="60" w:after="0"/>
              <w:rPr>
                <w:rFonts w:eastAsia="Arial Unicode MS"/>
                <w:noProof/>
                <w:szCs w:val="24"/>
              </w:rPr>
            </w:pPr>
            <w:r>
              <w:rPr>
                <w:noProof/>
                <w:sz w:val="22"/>
              </w:rPr>
              <w:t>21.</w:t>
            </w:r>
          </w:p>
        </w:tc>
        <w:tc>
          <w:tcPr>
            <w:tcW w:w="4547" w:type="pct"/>
            <w:gridSpan w:val="3"/>
            <w:hideMark/>
          </w:tcPr>
          <w:p>
            <w:pPr>
              <w:spacing w:before="60" w:after="0"/>
              <w:rPr>
                <w:rFonts w:eastAsia="Arial Unicode MS"/>
                <w:noProof/>
                <w:szCs w:val="24"/>
              </w:rPr>
            </w:pPr>
            <w:r>
              <w:rPr>
                <w:noProof/>
                <w:sz w:val="22"/>
              </w:rPr>
              <w:t>Code du moteur tel qu’il est indiqué sur le moteur: …</w:t>
            </w:r>
          </w:p>
        </w:tc>
      </w:tr>
      <w:tr>
        <w:trPr>
          <w:gridAfter w:val="1"/>
          <w:wAfter w:w="75" w:type="pct"/>
          <w:tblCellSpacing w:w="0" w:type="dxa"/>
        </w:trPr>
        <w:tc>
          <w:tcPr>
            <w:tcW w:w="301" w:type="pct"/>
            <w:hideMark/>
          </w:tcPr>
          <w:p>
            <w:pPr>
              <w:spacing w:before="60" w:after="0"/>
              <w:rPr>
                <w:rFonts w:eastAsia="Arial Unicode MS"/>
                <w:noProof/>
                <w:szCs w:val="24"/>
              </w:rPr>
            </w:pPr>
            <w:r>
              <w:rPr>
                <w:noProof/>
                <w:sz w:val="22"/>
              </w:rPr>
              <w:t>22.</w:t>
            </w:r>
          </w:p>
        </w:tc>
        <w:tc>
          <w:tcPr>
            <w:tcW w:w="4624" w:type="pct"/>
            <w:gridSpan w:val="4"/>
            <w:hideMark/>
          </w:tcPr>
          <w:p>
            <w:pPr>
              <w:spacing w:before="60" w:after="0"/>
              <w:rPr>
                <w:rFonts w:eastAsia="Arial Unicode MS"/>
                <w:noProof/>
                <w:szCs w:val="24"/>
              </w:rPr>
            </w:pPr>
            <w:r>
              <w:rPr>
                <w:noProof/>
                <w:sz w:val="22"/>
              </w:rPr>
              <w:t>Principe de fonctionnement: …</w:t>
            </w:r>
          </w:p>
        </w:tc>
      </w:tr>
      <w:tr>
        <w:trPr>
          <w:gridAfter w:val="1"/>
          <w:wAfter w:w="75" w:type="pct"/>
          <w:tblCellSpacing w:w="0" w:type="dxa"/>
        </w:trPr>
        <w:tc>
          <w:tcPr>
            <w:tcW w:w="301" w:type="pct"/>
            <w:hideMark/>
          </w:tcPr>
          <w:p>
            <w:pPr>
              <w:spacing w:before="60" w:after="0"/>
              <w:rPr>
                <w:rFonts w:eastAsia="Arial Unicode MS"/>
                <w:noProof/>
                <w:szCs w:val="24"/>
              </w:rPr>
            </w:pPr>
            <w:r>
              <w:rPr>
                <w:noProof/>
                <w:sz w:val="22"/>
              </w:rPr>
              <w:t>23.</w:t>
            </w:r>
          </w:p>
        </w:tc>
        <w:tc>
          <w:tcPr>
            <w:tcW w:w="4624" w:type="pct"/>
            <w:gridSpan w:val="4"/>
            <w:hideMark/>
          </w:tcPr>
          <w:p>
            <w:pPr>
              <w:spacing w:before="60" w:after="0"/>
              <w:rPr>
                <w:rFonts w:eastAsia="Arial Unicode MS"/>
                <w:noProof/>
                <w:szCs w:val="24"/>
              </w:rPr>
            </w:pPr>
            <w:r>
              <w:rPr>
                <w:noProof/>
                <w:sz w:val="22"/>
              </w:rPr>
              <w:t>Électrique pur: oui/non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Cs w:val="24"/>
                    </w:rPr>
                  </w:pPr>
                  <w:r>
                    <w:rPr>
                      <w:noProof/>
                      <w:sz w:val="22"/>
                    </w:rPr>
                    <w:t>23.1.</w:t>
                  </w:r>
                </w:p>
              </w:tc>
              <w:tc>
                <w:tcPr>
                  <w:tcW w:w="6183" w:type="dxa"/>
                  <w:hideMark/>
                </w:tcPr>
                <w:p>
                  <w:pPr>
                    <w:spacing w:before="60" w:after="0"/>
                    <w:rPr>
                      <w:rFonts w:eastAsia="Arial Unicode MS"/>
                      <w:noProof/>
                      <w:szCs w:val="24"/>
                    </w:rPr>
                  </w:pPr>
                  <w:r>
                    <w:rPr>
                      <w:noProof/>
                      <w:sz w:val="22"/>
                    </w:rPr>
                    <w:t>Véhicule [électrique] hybride: oui/non (</w:t>
                  </w:r>
                  <w:r>
                    <w:rPr>
                      <w:noProof/>
                      <w:sz w:val="22"/>
                      <w:vertAlign w:val="superscript"/>
                    </w:rPr>
                    <w:t>1</w:t>
                  </w:r>
                  <w:r>
                    <w:rPr>
                      <w:noProof/>
                      <w:sz w:val="22"/>
                    </w:rPr>
                    <w:t>)</w:t>
                  </w:r>
                </w:p>
              </w:tc>
            </w:tr>
          </w:tbl>
          <w:p>
            <w:pPr>
              <w:spacing w:before="60" w:after="0"/>
              <w:rPr>
                <w:rFonts w:eastAsia="Arial Unicode MS"/>
                <w:noProof/>
                <w:szCs w:val="24"/>
              </w:rPr>
            </w:pPr>
          </w:p>
        </w:tc>
        <w:tc>
          <w:tcPr>
            <w:tcW w:w="2273" w:type="pct"/>
            <w:gridSpan w:val="2"/>
            <w:hideMark/>
          </w:tcPr>
          <w:p>
            <w:pPr>
              <w:spacing w:before="60" w:after="0"/>
              <w:ind w:left="142"/>
              <w:rPr>
                <w:rFonts w:eastAsia="Arial Unicode MS"/>
                <w:noProof/>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Cs w:val="24"/>
                    </w:rPr>
                  </w:pPr>
                  <w:r>
                    <w:rPr>
                      <w:noProof/>
                      <w:sz w:val="22"/>
                    </w:rPr>
                    <w:t>24.</w:t>
                  </w:r>
                </w:p>
              </w:tc>
              <w:tc>
                <w:tcPr>
                  <w:tcW w:w="6183" w:type="dxa"/>
                  <w:hideMark/>
                </w:tcPr>
                <w:p>
                  <w:pPr>
                    <w:spacing w:before="60" w:after="0"/>
                    <w:rPr>
                      <w:rFonts w:eastAsia="Arial Unicode MS"/>
                      <w:noProof/>
                      <w:szCs w:val="24"/>
                    </w:rPr>
                  </w:pPr>
                  <w:r>
                    <w:rPr>
                      <w:noProof/>
                      <w:sz w:val="22"/>
                    </w:rPr>
                    <w:t>Nombre et disposition des cylindres</w:t>
                  </w:r>
                </w:p>
              </w:tc>
            </w:tr>
          </w:tbl>
          <w:p>
            <w:pPr>
              <w:spacing w:before="60" w:after="0"/>
              <w:rPr>
                <w:rFonts w:eastAsia="Arial Unicode MS"/>
                <w:noProof/>
                <w:szCs w:val="24"/>
              </w:rPr>
            </w:pPr>
          </w:p>
        </w:tc>
        <w:tc>
          <w:tcPr>
            <w:tcW w:w="2273" w:type="pct"/>
            <w:gridSpan w:val="2"/>
            <w:hideMark/>
          </w:tcPr>
          <w:p>
            <w:pPr>
              <w:spacing w:before="60" w:after="0"/>
              <w:ind w:left="142"/>
              <w:rPr>
                <w:rFonts w:eastAsia="Arial Unicode MS"/>
                <w:noProof/>
                <w:szCs w:val="24"/>
              </w:rPr>
            </w:pPr>
          </w:p>
        </w:tc>
      </w:tr>
      <w:tr>
        <w:trPr>
          <w:tblCellSpacing w:w="0" w:type="dxa"/>
        </w:trPr>
        <w:tc>
          <w:tcPr>
            <w:tcW w:w="301" w:type="pct"/>
            <w:hideMark/>
          </w:tcPr>
          <w:p>
            <w:pPr>
              <w:spacing w:before="60" w:after="0"/>
              <w:rPr>
                <w:rFonts w:eastAsia="Arial Unicode MS"/>
                <w:noProof/>
                <w:szCs w:val="24"/>
              </w:rPr>
            </w:pPr>
            <w:r>
              <w:rPr>
                <w:noProof/>
                <w:sz w:val="22"/>
              </w:rPr>
              <w:t>25.</w:t>
            </w:r>
          </w:p>
        </w:tc>
        <w:tc>
          <w:tcPr>
            <w:tcW w:w="4699" w:type="pct"/>
            <w:gridSpan w:val="5"/>
            <w:hideMark/>
          </w:tcPr>
          <w:p>
            <w:pPr>
              <w:spacing w:before="60" w:after="0"/>
              <w:rPr>
                <w:rFonts w:eastAsia="Arial Unicode MS"/>
                <w:noProof/>
                <w:szCs w:val="24"/>
              </w:rPr>
            </w:pPr>
            <w:r>
              <w:rPr>
                <w:noProof/>
                <w:sz w:val="22"/>
              </w:rPr>
              <w:t>Cylindrée: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Cs w:val="24"/>
              </w:rPr>
            </w:pPr>
            <w:r>
              <w:rPr>
                <w:noProof/>
                <w:sz w:val="22"/>
              </w:rPr>
              <w:t>26.</w:t>
            </w:r>
          </w:p>
        </w:tc>
        <w:tc>
          <w:tcPr>
            <w:tcW w:w="4699" w:type="pct"/>
            <w:gridSpan w:val="5"/>
            <w:hideMark/>
          </w:tcPr>
          <w:p>
            <w:pPr>
              <w:spacing w:before="60" w:after="0"/>
              <w:rPr>
                <w:rFonts w:eastAsia="Arial Unicode MS"/>
                <w:noProof/>
                <w:szCs w:val="24"/>
              </w:rPr>
            </w:pPr>
            <w:r>
              <w:rPr>
                <w:noProof/>
                <w:sz w:val="22"/>
              </w:rPr>
              <w:t>Carburant: gazole/essence/GPL/GN – biométhane/éthanol/biogazole/hydrogène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Cs w:val="24"/>
              </w:rPr>
            </w:pPr>
            <w:r>
              <w:rPr>
                <w:noProof/>
                <w:sz w:val="22"/>
              </w:rPr>
              <w:t>26.1.</w:t>
            </w:r>
          </w:p>
        </w:tc>
        <w:tc>
          <w:tcPr>
            <w:tcW w:w="4699" w:type="pct"/>
            <w:gridSpan w:val="5"/>
            <w:hideMark/>
          </w:tcPr>
          <w:p>
            <w:pPr>
              <w:spacing w:before="60" w:after="0"/>
              <w:rPr>
                <w:rFonts w:eastAsia="Arial Unicode MS"/>
                <w:noProof/>
                <w:szCs w:val="24"/>
              </w:rPr>
            </w:pPr>
            <w:r>
              <w:rPr>
                <w:noProof/>
                <w:sz w:val="22"/>
              </w:rPr>
              <w:t>Monocarburant/bicarburant/polycarburant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Cs w:val="24"/>
              </w:rPr>
            </w:pPr>
            <w:r>
              <w:rPr>
                <w:noProof/>
                <w:sz w:val="22"/>
              </w:rPr>
              <w:t>27.</w:t>
            </w:r>
          </w:p>
        </w:tc>
        <w:tc>
          <w:tcPr>
            <w:tcW w:w="4396" w:type="pct"/>
            <w:gridSpan w:val="2"/>
            <w:hideMark/>
          </w:tcPr>
          <w:p>
            <w:pPr>
              <w:spacing w:before="60" w:after="0"/>
              <w:rPr>
                <w:rFonts w:eastAsia="Arial Unicode MS"/>
                <w:noProof/>
                <w:szCs w:val="24"/>
              </w:rPr>
            </w:pPr>
            <w:r>
              <w:rPr>
                <w:noProof/>
                <w:sz w:val="22"/>
              </w:rPr>
              <w:t>Puissance nette maximale: (</w:t>
            </w:r>
            <w:r>
              <w:rPr>
                <w:noProof/>
                <w:sz w:val="22"/>
                <w:vertAlign w:val="superscript"/>
              </w:rPr>
              <w:t>c</w:t>
            </w:r>
            <w:r>
              <w:rPr>
                <w:noProof/>
                <w:sz w:val="22"/>
              </w:rPr>
              <w:t>) … kW à … min</w:t>
            </w:r>
            <w:r>
              <w:rPr>
                <w:noProof/>
                <w:sz w:val="22"/>
                <w:vertAlign w:val="superscript"/>
              </w:rPr>
              <w:t>-1</w:t>
            </w:r>
            <w:r>
              <w:rPr>
                <w:noProof/>
                <w:sz w:val="22"/>
              </w:rPr>
              <w:t xml:space="preserve"> ou puissance nominale continue maximale (moteur électrique)… kW (</w:t>
            </w:r>
            <w:r>
              <w:rPr>
                <w:noProof/>
                <w:sz w:val="22"/>
                <w:vertAlign w:val="superscript"/>
              </w:rPr>
              <w:t>1</w:t>
            </w:r>
            <w:r>
              <w:rPr>
                <w:noProof/>
                <w:sz w:val="22"/>
              </w:rPr>
              <w:t>)</w:t>
            </w:r>
          </w:p>
        </w:tc>
      </w:tr>
    </w:tbl>
    <w:p>
      <w:pPr>
        <w:spacing w:after="0"/>
        <w:ind w:left="567"/>
        <w:jc w:val="left"/>
        <w:rPr>
          <w:rFonts w:eastAsia="Arial Unicode MS"/>
          <w:noProof/>
          <w:szCs w:val="24"/>
        </w:rPr>
      </w:pPr>
      <w:r>
        <w:rPr>
          <w:b/>
          <w:noProof/>
        </w:rPr>
        <w:t>Vitesse maximale</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Cs w:val="24"/>
              </w:rPr>
            </w:pPr>
            <w:r>
              <w:rPr>
                <w:noProof/>
                <w:sz w:val="22"/>
              </w:rPr>
              <w:t>29.</w:t>
            </w:r>
          </w:p>
        </w:tc>
        <w:tc>
          <w:tcPr>
            <w:tcW w:w="0" w:type="auto"/>
            <w:hideMark/>
          </w:tcPr>
          <w:p>
            <w:pPr>
              <w:spacing w:before="60" w:after="0"/>
              <w:rPr>
                <w:rFonts w:eastAsia="Arial Unicode MS"/>
                <w:noProof/>
                <w:szCs w:val="24"/>
              </w:rPr>
            </w:pPr>
            <w:r>
              <w:rPr>
                <w:noProof/>
                <w:sz w:val="22"/>
              </w:rPr>
              <w:t>Vitesse maximale: …km/h</w:t>
            </w:r>
          </w:p>
        </w:tc>
      </w:tr>
    </w:tbl>
    <w:p>
      <w:pPr>
        <w:spacing w:after="0"/>
        <w:ind w:left="567"/>
        <w:jc w:val="left"/>
        <w:rPr>
          <w:rFonts w:eastAsia="Arial Unicode MS"/>
          <w:noProof/>
          <w:szCs w:val="24"/>
        </w:rPr>
      </w:pPr>
      <w:r>
        <w:rPr>
          <w:b/>
          <w:noProof/>
        </w:rPr>
        <w:t>Essieux et suspension</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55"/>
        <w:gridCol w:w="8516"/>
      </w:tblGrid>
      <w:tr>
        <w:trPr>
          <w:tblCellSpacing w:w="0" w:type="dxa"/>
        </w:trPr>
        <w:tc>
          <w:tcPr>
            <w:tcW w:w="0" w:type="auto"/>
            <w:hideMark/>
          </w:tcPr>
          <w:p>
            <w:pPr>
              <w:spacing w:before="60" w:after="0"/>
              <w:rPr>
                <w:rFonts w:eastAsia="Arial Unicode MS"/>
                <w:noProof/>
                <w:szCs w:val="24"/>
              </w:rPr>
            </w:pPr>
            <w:r>
              <w:rPr>
                <w:noProof/>
                <w:sz w:val="22"/>
              </w:rPr>
              <w:t>30.</w:t>
            </w:r>
          </w:p>
        </w:tc>
        <w:tc>
          <w:tcPr>
            <w:tcW w:w="0" w:type="auto"/>
            <w:hideMark/>
          </w:tcPr>
          <w:p>
            <w:pPr>
              <w:spacing w:before="60" w:after="0"/>
              <w:rPr>
                <w:rFonts w:eastAsia="Arial Unicode MS"/>
                <w:noProof/>
                <w:szCs w:val="24"/>
              </w:rPr>
            </w:pPr>
            <w:r>
              <w:rPr>
                <w:noProof/>
                <w:sz w:val="22"/>
              </w:rPr>
              <w:t>Voie des essieux: 1. … mm 2. … mm 3. … mm</w:t>
            </w:r>
          </w:p>
        </w:tc>
      </w:tr>
      <w:tr>
        <w:trPr>
          <w:tblCellSpacing w:w="0" w:type="dxa"/>
        </w:trPr>
        <w:tc>
          <w:tcPr>
            <w:tcW w:w="0" w:type="auto"/>
            <w:hideMark/>
          </w:tcPr>
          <w:p>
            <w:pPr>
              <w:spacing w:before="60" w:after="0"/>
              <w:rPr>
                <w:rFonts w:eastAsia="Arial Unicode MS"/>
                <w:noProof/>
                <w:szCs w:val="24"/>
              </w:rPr>
            </w:pPr>
            <w:r>
              <w:rPr>
                <w:noProof/>
                <w:sz w:val="22"/>
              </w:rPr>
              <w:t>35.</w:t>
            </w:r>
          </w:p>
        </w:tc>
        <w:tc>
          <w:tcPr>
            <w:tcW w:w="0" w:type="auto"/>
            <w:hideMark/>
          </w:tcPr>
          <w:p>
            <w:pPr>
              <w:spacing w:before="60" w:after="0"/>
              <w:rPr>
                <w:rFonts w:eastAsia="Arial Unicode MS"/>
                <w:noProof/>
                <w:szCs w:val="24"/>
              </w:rPr>
            </w:pPr>
            <w:r>
              <w:rPr>
                <w:noProof/>
                <w:sz w:val="22"/>
              </w:rPr>
              <w:t>Combinaison pneumatiques/roues: …</w:t>
            </w:r>
          </w:p>
        </w:tc>
      </w:tr>
    </w:tbl>
    <w:p>
      <w:pPr>
        <w:spacing w:after="0"/>
        <w:ind w:left="567"/>
        <w:jc w:val="left"/>
        <w:rPr>
          <w:rFonts w:eastAsia="Arial Unicode MS"/>
          <w:noProof/>
          <w:szCs w:val="24"/>
        </w:rPr>
      </w:pPr>
      <w:r>
        <w:rPr>
          <w:b/>
          <w:noProof/>
        </w:rPr>
        <w:t>Carrosserie</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Cs w:val="24"/>
              </w:rPr>
            </w:pPr>
            <w:r>
              <w:rPr>
                <w:noProof/>
                <w:sz w:val="22"/>
              </w:rPr>
              <w:t>38.</w:t>
            </w:r>
          </w:p>
        </w:tc>
        <w:tc>
          <w:tcPr>
            <w:tcW w:w="3439" w:type="pct"/>
            <w:hideMark/>
          </w:tcPr>
          <w:p>
            <w:pPr>
              <w:spacing w:before="60" w:after="0"/>
              <w:rPr>
                <w:rFonts w:eastAsia="Arial Unicode MS"/>
                <w:noProof/>
                <w:szCs w:val="24"/>
              </w:rPr>
            </w:pPr>
            <w:r>
              <w:rPr>
                <w:noProof/>
                <w:sz w:val="22"/>
              </w:rPr>
              <w:t>Code de la carrosserie (</w:t>
            </w:r>
            <w:r>
              <w:rPr>
                <w:noProof/>
                <w:sz w:val="22"/>
                <w:vertAlign w:val="superscript"/>
              </w:rPr>
              <w:t>d</w:t>
            </w:r>
            <w:r>
              <w:rPr>
                <w:noProof/>
                <w:sz w:val="22"/>
              </w:rPr>
              <w:t>): …</w:t>
            </w:r>
          </w:p>
        </w:tc>
      </w:tr>
      <w:tr>
        <w:trPr>
          <w:gridAfter w:val="2"/>
          <w:wAfter w:w="1249" w:type="pct"/>
          <w:tblCellSpacing w:w="0" w:type="dxa"/>
        </w:trPr>
        <w:tc>
          <w:tcPr>
            <w:tcW w:w="311" w:type="pct"/>
            <w:hideMark/>
          </w:tcPr>
          <w:p>
            <w:pPr>
              <w:spacing w:before="60" w:after="0"/>
              <w:rPr>
                <w:rFonts w:eastAsia="Arial Unicode MS"/>
                <w:noProof/>
                <w:szCs w:val="24"/>
              </w:rPr>
            </w:pPr>
            <w:r>
              <w:rPr>
                <w:noProof/>
                <w:sz w:val="22"/>
              </w:rPr>
              <w:t>40.</w:t>
            </w:r>
          </w:p>
        </w:tc>
        <w:tc>
          <w:tcPr>
            <w:tcW w:w="3439" w:type="pct"/>
            <w:hideMark/>
          </w:tcPr>
          <w:p>
            <w:pPr>
              <w:spacing w:before="60" w:after="0"/>
              <w:rPr>
                <w:rFonts w:eastAsia="Arial Unicode MS"/>
                <w:noProof/>
                <w:szCs w:val="24"/>
              </w:rPr>
            </w:pPr>
            <w:r>
              <w:rPr>
                <w:noProof/>
                <w:sz w:val="22"/>
              </w:rPr>
              <w:t>Couleur du véhicule (</w:t>
            </w:r>
            <w:r>
              <w:rPr>
                <w:noProof/>
                <w:sz w:val="22"/>
                <w:vertAlign w:val="superscript"/>
              </w:rPr>
              <w:t>e</w:t>
            </w:r>
            <w:r>
              <w:rPr>
                <w:noProof/>
                <w:sz w:val="22"/>
              </w:rPr>
              <w:t>): …</w:t>
            </w:r>
          </w:p>
        </w:tc>
      </w:tr>
      <w:tr>
        <w:trPr>
          <w:gridAfter w:val="1"/>
          <w:tblCellSpacing w:w="0" w:type="dxa"/>
        </w:trPr>
        <w:tc>
          <w:tcPr>
            <w:tcW w:w="311" w:type="pct"/>
            <w:hideMark/>
          </w:tcPr>
          <w:p>
            <w:pPr>
              <w:spacing w:before="60" w:after="0"/>
              <w:rPr>
                <w:rFonts w:eastAsia="Arial Unicode MS"/>
                <w:noProof/>
                <w:szCs w:val="24"/>
              </w:rPr>
            </w:pPr>
            <w:r>
              <w:rPr>
                <w:noProof/>
                <w:sz w:val="22"/>
              </w:rPr>
              <w:t>41.</w:t>
            </w:r>
          </w:p>
        </w:tc>
        <w:tc>
          <w:tcPr>
            <w:tcW w:w="4533" w:type="pct"/>
            <w:gridSpan w:val="2"/>
            <w:hideMark/>
          </w:tcPr>
          <w:p>
            <w:pPr>
              <w:spacing w:before="60" w:after="0"/>
              <w:rPr>
                <w:rFonts w:eastAsia="Arial Unicode MS"/>
                <w:noProof/>
                <w:szCs w:val="24"/>
              </w:rPr>
            </w:pPr>
            <w:r>
              <w:rPr>
                <w:noProof/>
                <w:sz w:val="22"/>
              </w:rPr>
              <w:t>Nombre et configuration des portes: …</w:t>
            </w:r>
          </w:p>
        </w:tc>
      </w:tr>
      <w:tr>
        <w:trPr>
          <w:tblCellSpacing w:w="0" w:type="dxa"/>
        </w:trPr>
        <w:tc>
          <w:tcPr>
            <w:tcW w:w="0" w:type="auto"/>
            <w:hideMark/>
          </w:tcPr>
          <w:p>
            <w:pPr>
              <w:spacing w:before="60" w:after="0"/>
              <w:rPr>
                <w:rFonts w:eastAsia="Arial Unicode MS"/>
                <w:noProof/>
                <w:szCs w:val="24"/>
              </w:rPr>
            </w:pPr>
            <w:r>
              <w:rPr>
                <w:noProof/>
                <w:sz w:val="22"/>
              </w:rPr>
              <w:t>42.</w:t>
            </w:r>
          </w:p>
        </w:tc>
        <w:tc>
          <w:tcPr>
            <w:tcW w:w="0" w:type="auto"/>
            <w:gridSpan w:val="3"/>
            <w:hideMark/>
          </w:tcPr>
          <w:p>
            <w:pPr>
              <w:spacing w:before="60" w:after="0"/>
              <w:rPr>
                <w:rFonts w:eastAsia="Arial Unicode MS"/>
                <w:noProof/>
                <w:szCs w:val="24"/>
              </w:rPr>
            </w:pPr>
            <w:r>
              <w:rPr>
                <w:noProof/>
                <w:sz w:val="22"/>
              </w:rPr>
              <w:t>Nombre de places assises (y compris celle du conducteur) (</w:t>
            </w:r>
            <w:r>
              <w:rPr>
                <w:noProof/>
                <w:sz w:val="22"/>
                <w:vertAlign w:val="superscript"/>
              </w:rPr>
              <w:t>f</w:t>
            </w:r>
            <w:r>
              <w:rPr>
                <w:noProof/>
                <w:sz w:val="22"/>
              </w:rPr>
              <w:t>): …</w:t>
            </w:r>
          </w:p>
        </w:tc>
      </w:tr>
      <w:tr>
        <w:trPr>
          <w:tblCellSpacing w:w="0" w:type="dxa"/>
        </w:trPr>
        <w:tc>
          <w:tcPr>
            <w:tcW w:w="0" w:type="auto"/>
          </w:tcPr>
          <w:p>
            <w:pPr>
              <w:spacing w:before="60" w:after="0"/>
              <w:rPr>
                <w:rFonts w:eastAsia="Arial Unicode MS"/>
                <w:noProof/>
                <w:szCs w:val="24"/>
              </w:rPr>
            </w:pPr>
            <w:r>
              <w:rPr>
                <w:noProof/>
                <w:sz w:val="22"/>
              </w:rPr>
              <w:t>42.1.</w:t>
            </w:r>
          </w:p>
        </w:tc>
        <w:tc>
          <w:tcPr>
            <w:tcW w:w="0" w:type="auto"/>
            <w:gridSpan w:val="3"/>
          </w:tcPr>
          <w:p>
            <w:pPr>
              <w:spacing w:before="60" w:after="0"/>
              <w:rPr>
                <w:rFonts w:eastAsia="Arial Unicode MS"/>
                <w:noProof/>
                <w:szCs w:val="24"/>
              </w:rPr>
            </w:pPr>
            <w:r>
              <w:rPr>
                <w:noProof/>
                <w:sz w:val="22"/>
              </w:rPr>
              <w:t>Place(s) assise(s) conçue(s) pour être utilisée(s) uniquement lorsque le véhicule est à l’arrêt: …</w:t>
            </w:r>
          </w:p>
        </w:tc>
      </w:tr>
      <w:tr>
        <w:trPr>
          <w:tblCellSpacing w:w="0" w:type="dxa"/>
        </w:trPr>
        <w:tc>
          <w:tcPr>
            <w:tcW w:w="0" w:type="auto"/>
          </w:tcPr>
          <w:p>
            <w:pPr>
              <w:spacing w:before="60" w:after="0"/>
              <w:rPr>
                <w:rFonts w:eastAsia="Arial Unicode MS"/>
                <w:noProof/>
                <w:szCs w:val="24"/>
              </w:rPr>
            </w:pPr>
            <w:r>
              <w:rPr>
                <w:noProof/>
                <w:sz w:val="22"/>
              </w:rPr>
              <w:t>42.3.</w:t>
            </w:r>
          </w:p>
        </w:tc>
        <w:tc>
          <w:tcPr>
            <w:tcW w:w="0" w:type="auto"/>
            <w:gridSpan w:val="3"/>
          </w:tcPr>
          <w:p>
            <w:pPr>
              <w:spacing w:before="60" w:after="0"/>
              <w:rPr>
                <w:rFonts w:eastAsia="Arial Unicode MS"/>
                <w:noProof/>
                <w:szCs w:val="24"/>
              </w:rPr>
            </w:pPr>
            <w:r>
              <w:rPr>
                <w:noProof/>
                <w:sz w:val="22"/>
              </w:rPr>
              <w:t>Nombre de places accessibles à des utilisateurs en fauteuil roulant: …</w:t>
            </w:r>
          </w:p>
        </w:tc>
      </w:tr>
    </w:tbl>
    <w:p>
      <w:pPr>
        <w:spacing w:after="0"/>
        <w:ind w:left="567"/>
        <w:jc w:val="left"/>
        <w:rPr>
          <w:rFonts w:eastAsia="Arial Unicode MS"/>
          <w:noProof/>
          <w:szCs w:val="24"/>
        </w:rPr>
      </w:pPr>
      <w:r>
        <w:rPr>
          <w:b/>
          <w:noProof/>
        </w:rPr>
        <w:t>Dispositif d’attelage</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Cs w:val="24"/>
              </w:rPr>
            </w:pPr>
            <w:r>
              <w:rPr>
                <w:noProof/>
                <w:sz w:val="22"/>
              </w:rPr>
              <w:t>44.</w:t>
            </w:r>
          </w:p>
        </w:tc>
        <w:tc>
          <w:tcPr>
            <w:tcW w:w="0" w:type="auto"/>
            <w:hideMark/>
          </w:tcPr>
          <w:p>
            <w:pPr>
              <w:spacing w:after="0"/>
              <w:rPr>
                <w:rFonts w:eastAsia="Arial Unicode MS"/>
                <w:noProof/>
                <w:szCs w:val="24"/>
              </w:rPr>
            </w:pPr>
            <w:r>
              <w:rPr>
                <w:noProof/>
                <w:sz w:val="22"/>
              </w:rPr>
              <w:t>Numéro de réception ou marque de réception du dispositif d’attelage (le cas échéant): …</w:t>
            </w:r>
          </w:p>
        </w:tc>
      </w:tr>
    </w:tbl>
    <w:p>
      <w:pPr>
        <w:spacing w:after="0"/>
        <w:ind w:left="567"/>
        <w:jc w:val="left"/>
        <w:rPr>
          <w:rFonts w:eastAsia="Arial Unicode MS"/>
          <w:noProof/>
          <w:szCs w:val="24"/>
        </w:rPr>
      </w:pPr>
      <w:r>
        <w:rPr>
          <w:b/>
          <w:noProof/>
        </w:rPr>
        <w:t>Performances environnementales</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Cs w:val="24"/>
              </w:rPr>
            </w:pPr>
            <w:r>
              <w:rPr>
                <w:noProof/>
                <w:sz w:val="22"/>
              </w:rPr>
              <w:t>46.</w:t>
            </w:r>
          </w:p>
        </w:tc>
        <w:tc>
          <w:tcPr>
            <w:tcW w:w="8647" w:type="dxa"/>
            <w:gridSpan w:val="4"/>
            <w:hideMark/>
          </w:tcPr>
          <w:p>
            <w:pPr>
              <w:spacing w:before="60" w:after="0"/>
              <w:rPr>
                <w:rFonts w:eastAsia="Arial Unicode MS"/>
                <w:noProof/>
                <w:szCs w:val="24"/>
              </w:rPr>
            </w:pPr>
            <w:r>
              <w:rPr>
                <w:noProof/>
                <w:sz w:val="22"/>
              </w:rPr>
              <w:t>Niveau sonore</w:t>
            </w:r>
          </w:p>
          <w:p>
            <w:pPr>
              <w:spacing w:before="60" w:after="0"/>
              <w:rPr>
                <w:rFonts w:eastAsia="Arial Unicode MS"/>
                <w:noProof/>
                <w:szCs w:val="24"/>
              </w:rPr>
            </w:pPr>
            <w:r>
              <w:rPr>
                <w:noProof/>
                <w:sz w:val="22"/>
              </w:rPr>
              <w:t>À l’arrêt: … dB(A) au régime moteur: …min</w:t>
            </w:r>
            <w:r>
              <w:rPr>
                <w:noProof/>
                <w:sz w:val="22"/>
                <w:vertAlign w:val="superscript"/>
              </w:rPr>
              <w:t>-1</w:t>
            </w:r>
            <w:r>
              <w:rPr>
                <w:noProof/>
                <w:sz w:val="22"/>
              </w:rPr>
              <w:t xml:space="preserve"> </w:t>
            </w:r>
          </w:p>
          <w:p>
            <w:pPr>
              <w:spacing w:before="60" w:after="0"/>
              <w:rPr>
                <w:rFonts w:eastAsia="Arial Unicode MS"/>
                <w:noProof/>
                <w:szCs w:val="24"/>
              </w:rPr>
            </w:pPr>
            <w:r>
              <w:rPr>
                <w:noProof/>
                <w:sz w:val="22"/>
              </w:rPr>
              <w:t>En marche (passage): … dB(A)</w:t>
            </w:r>
          </w:p>
        </w:tc>
      </w:tr>
      <w:tr>
        <w:trPr>
          <w:gridAfter w:val="1"/>
          <w:wAfter w:w="425" w:type="dxa"/>
          <w:tblCellSpacing w:w="0" w:type="dxa"/>
        </w:trPr>
        <w:tc>
          <w:tcPr>
            <w:tcW w:w="567" w:type="dxa"/>
            <w:hideMark/>
          </w:tcPr>
          <w:p>
            <w:pPr>
              <w:spacing w:before="60" w:after="0"/>
              <w:rPr>
                <w:rFonts w:eastAsia="Arial Unicode MS"/>
                <w:noProof/>
                <w:szCs w:val="24"/>
              </w:rPr>
            </w:pPr>
            <w:r>
              <w:rPr>
                <w:noProof/>
                <w:sz w:val="22"/>
              </w:rPr>
              <w:t>47.</w:t>
            </w:r>
          </w:p>
        </w:tc>
        <w:tc>
          <w:tcPr>
            <w:tcW w:w="8647" w:type="dxa"/>
            <w:gridSpan w:val="4"/>
            <w:hideMark/>
          </w:tcPr>
          <w:p>
            <w:pPr>
              <w:spacing w:before="60" w:after="0"/>
              <w:rPr>
                <w:rFonts w:eastAsia="Arial Unicode MS"/>
                <w:noProof/>
                <w:szCs w:val="24"/>
              </w:rPr>
            </w:pPr>
            <w:r>
              <w:rPr>
                <w:noProof/>
                <w:sz w:val="22"/>
              </w:rPr>
              <w:t>Niveau des émissions d’échappement (</w:t>
            </w:r>
            <w:r>
              <w:rPr>
                <w:noProof/>
                <w:sz w:val="22"/>
                <w:vertAlign w:val="superscript"/>
              </w:rPr>
              <w:t>g</w:t>
            </w:r>
            <w:r>
              <w:rPr>
                <w:noProof/>
                <w:sz w:val="22"/>
              </w:rPr>
              <w:t>): Euro …</w:t>
            </w:r>
          </w:p>
          <w:p>
            <w:pPr>
              <w:spacing w:before="60" w:after="0"/>
              <w:rPr>
                <w:rFonts w:eastAsia="Arial Unicode MS"/>
                <w:noProof/>
                <w:szCs w:val="24"/>
              </w:rPr>
            </w:pPr>
            <w:r>
              <w:rPr>
                <w:noProof/>
                <w:sz w:val="22"/>
              </w:rPr>
              <w:t>Autre législation: …</w:t>
            </w:r>
          </w:p>
        </w:tc>
      </w:tr>
      <w:tr>
        <w:trPr>
          <w:gridAfter w:val="1"/>
          <w:wAfter w:w="425" w:type="dxa"/>
          <w:tblCellSpacing w:w="0" w:type="dxa"/>
        </w:trPr>
        <w:tc>
          <w:tcPr>
            <w:tcW w:w="567" w:type="dxa"/>
            <w:hideMark/>
          </w:tcPr>
          <w:p>
            <w:pPr>
              <w:spacing w:before="60" w:after="0"/>
              <w:rPr>
                <w:rFonts w:eastAsia="Arial Unicode MS"/>
                <w:noProof/>
                <w:szCs w:val="24"/>
              </w:rPr>
            </w:pPr>
            <w:r>
              <w:rPr>
                <w:noProof/>
                <w:sz w:val="22"/>
              </w:rPr>
              <w:t>49.</w:t>
            </w:r>
          </w:p>
        </w:tc>
        <w:tc>
          <w:tcPr>
            <w:tcW w:w="8647" w:type="dxa"/>
            <w:gridSpan w:val="4"/>
            <w:hideMark/>
          </w:tcPr>
          <w:p>
            <w:pPr>
              <w:spacing w:before="60" w:after="0"/>
              <w:rPr>
                <w:rFonts w:eastAsia="Arial Unicode MS"/>
                <w:noProof/>
                <w:szCs w:val="24"/>
              </w:rPr>
            </w:pPr>
            <w:r>
              <w:rPr>
                <w:noProof/>
                <w:sz w:val="22"/>
              </w:rPr>
              <w:t>Émissions de CO</w:t>
            </w:r>
            <w:r>
              <w:rPr>
                <w:noProof/>
                <w:sz w:val="22"/>
                <w:vertAlign w:val="subscript"/>
              </w:rPr>
              <w:t>2</w:t>
            </w:r>
            <w:r>
              <w:rPr>
                <w:noProof/>
                <w:sz w:val="22"/>
              </w:rPr>
              <w:t>/consommation de carburant/consommation d’énergie électrique (</w:t>
            </w:r>
            <w:r>
              <w:rPr>
                <w:noProof/>
                <w:sz w:val="22"/>
                <w:vertAlign w:val="superscript"/>
              </w:rPr>
              <w:t>h</w:t>
            </w:r>
            <w:r>
              <w:rPr>
                <w:noProof/>
                <w:sz w:val="22"/>
              </w:rPr>
              <w:t>):</w:t>
            </w:r>
          </w:p>
          <w:p>
            <w:pPr>
              <w:spacing w:before="60" w:after="0"/>
              <w:ind w:left="426" w:hanging="437"/>
              <w:rPr>
                <w:rFonts w:eastAsia="Arial Unicode MS"/>
                <w:noProof/>
                <w:szCs w:val="24"/>
              </w:rPr>
            </w:pPr>
            <w:r>
              <w:rPr>
                <w:noProof/>
                <w:sz w:val="22"/>
              </w:rPr>
              <w:t>1.</w:t>
            </w:r>
            <w:r>
              <w:rPr>
                <w:noProof/>
              </w:rPr>
              <w:tab/>
              <w:t>T</w:t>
            </w:r>
            <w:r>
              <w:rPr>
                <w:noProof/>
                <w:sz w:val="22"/>
              </w:rPr>
              <w:t>ous systèmes de propulsion hors véhicules électriques purs</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
                      <w:bCs/>
                      <w:noProof/>
                      <w:szCs w:val="24"/>
                    </w:rPr>
                  </w:pPr>
                  <w:r>
                    <w:rPr>
                      <w:b/>
                      <w:noProof/>
                      <w:sz w:val="22"/>
                    </w:rPr>
                    <w:t>Émissions de CO</w:t>
                  </w:r>
                  <w:r>
                    <w:rPr>
                      <w:b/>
                      <w:noProof/>
                      <w:sz w:val="22"/>
                      <w:vertAlign w:val="subscript"/>
                    </w:rPr>
                    <w:t>2</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
                      <w:bCs/>
                      <w:noProof/>
                      <w:szCs w:val="24"/>
                    </w:rPr>
                  </w:pPr>
                  <w:r>
                    <w:rPr>
                      <w:b/>
                      <w:noProof/>
                      <w:sz w:val="22"/>
                    </w:rPr>
                    <w:t>Consommation de carburant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Conditions mixtes:</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Pondérée(s), conditions mixtes</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 l/100 km</w:t>
                  </w:r>
                </w:p>
              </w:tc>
            </w:tr>
          </w:tbl>
          <w:p>
            <w:pPr>
              <w:spacing w:before="60" w:after="0"/>
              <w:ind w:left="426" w:hanging="426"/>
              <w:rPr>
                <w:rFonts w:eastAsia="Arial Unicode MS"/>
                <w:noProof/>
                <w:szCs w:val="24"/>
              </w:rPr>
            </w:pPr>
            <w:r>
              <w:rPr>
                <w:noProof/>
                <w:sz w:val="22"/>
              </w:rPr>
              <w:t>2.</w:t>
            </w:r>
            <w:r>
              <w:rPr>
                <w:noProof/>
              </w:rPr>
              <w:tab/>
              <w:t>V</w:t>
            </w:r>
            <w:r>
              <w:rPr>
                <w:noProof/>
                <w:sz w:val="22"/>
              </w:rPr>
              <w:t>éhicules électriques purs et véhicules électriques hybrides chargeables de l’extérieur</w:t>
            </w:r>
          </w:p>
          <w:p>
            <w:pPr>
              <w:spacing w:before="60" w:after="100" w:afterAutospacing="1"/>
              <w:ind w:left="556" w:hanging="556"/>
              <w:rPr>
                <w:rFonts w:eastAsia="Arial Unicode MS"/>
                <w:noProof/>
                <w:szCs w:val="24"/>
              </w:rPr>
            </w:pPr>
            <w:r>
              <w:rPr>
                <w:noProof/>
                <w:sz w:val="22"/>
              </w:rPr>
              <w:t>Consommation d’énergie électrique [pondérée, conditions mixtes (</w:t>
            </w:r>
            <w:r>
              <w:rPr>
                <w:noProof/>
                <w:sz w:val="22"/>
                <w:vertAlign w:val="superscript"/>
              </w:rPr>
              <w:t>1</w:t>
            </w:r>
            <w:r>
              <w:rPr>
                <w:noProof/>
                <w:sz w:val="22"/>
              </w:rPr>
              <w:t>) ] … Wh/km</w:t>
            </w:r>
          </w:p>
        </w:tc>
      </w:tr>
      <w:tr>
        <w:trPr>
          <w:gridAfter w:val="2"/>
          <w:wAfter w:w="2403" w:type="dxa"/>
          <w:tblCellSpacing w:w="0" w:type="dxa"/>
        </w:trPr>
        <w:tc>
          <w:tcPr>
            <w:tcW w:w="694" w:type="dxa"/>
            <w:gridSpan w:val="2"/>
            <w:hideMark/>
          </w:tcPr>
          <w:p>
            <w:pPr>
              <w:spacing w:before="60" w:after="0"/>
              <w:rPr>
                <w:rFonts w:eastAsia="Arial Unicode MS"/>
                <w:noProof/>
                <w:szCs w:val="24"/>
              </w:rPr>
            </w:pPr>
            <w:r>
              <w:rPr>
                <w:noProof/>
                <w:sz w:val="22"/>
              </w:rPr>
              <w:t>52.</w:t>
            </w:r>
          </w:p>
        </w:tc>
        <w:tc>
          <w:tcPr>
            <w:tcW w:w="6542" w:type="dxa"/>
            <w:gridSpan w:val="2"/>
            <w:hideMark/>
          </w:tcPr>
          <w:p>
            <w:pPr>
              <w:spacing w:before="60" w:after="0"/>
              <w:rPr>
                <w:rFonts w:eastAsia="Arial Unicode MS"/>
                <w:noProof/>
                <w:szCs w:val="24"/>
              </w:rPr>
            </w:pPr>
            <w:r>
              <w:rPr>
                <w:noProof/>
                <w:sz w:val="22"/>
              </w:rPr>
              <w:t>Remarques: …</w:t>
            </w:r>
          </w:p>
        </w:tc>
      </w:tr>
      <w:tr>
        <w:trPr>
          <w:tblCellSpacing w:w="0" w:type="dxa"/>
        </w:trPr>
        <w:tc>
          <w:tcPr>
            <w:tcW w:w="709" w:type="dxa"/>
            <w:gridSpan w:val="3"/>
            <w:hideMark/>
          </w:tcPr>
          <w:p>
            <w:pPr>
              <w:spacing w:before="60" w:after="0"/>
              <w:rPr>
                <w:rFonts w:eastAsia="Arial Unicode MS"/>
                <w:noProof/>
                <w:szCs w:val="24"/>
              </w:rPr>
            </w:pPr>
            <w:r>
              <w:rPr>
                <w:noProof/>
                <w:sz w:val="22"/>
              </w:rPr>
              <w:t>53.</w:t>
            </w:r>
          </w:p>
        </w:tc>
        <w:tc>
          <w:tcPr>
            <w:tcW w:w="8930" w:type="dxa"/>
            <w:gridSpan w:val="3"/>
            <w:hideMark/>
          </w:tcPr>
          <w:p>
            <w:pPr>
              <w:spacing w:before="60" w:after="0"/>
              <w:rPr>
                <w:rFonts w:eastAsia="Arial Unicode MS"/>
                <w:noProof/>
                <w:szCs w:val="24"/>
              </w:rPr>
            </w:pPr>
            <w:r>
              <w:rPr>
                <w:noProof/>
                <w:sz w:val="22"/>
              </w:rPr>
              <w:t>Informations complémentaires: kilométrage (</w:t>
            </w:r>
            <w:r>
              <w:rPr>
                <w:noProof/>
                <w:sz w:val="22"/>
                <w:vertAlign w:val="superscript"/>
              </w:rPr>
              <w:t>2</w:t>
            </w:r>
            <w:r>
              <w:rPr>
                <w:noProof/>
                <w:sz w:val="22"/>
              </w:rPr>
              <w:t>), …</w:t>
            </w:r>
          </w:p>
        </w:tc>
      </w:tr>
    </w:tbl>
    <w:p>
      <w:pPr>
        <w:spacing w:before="360" w:after="0"/>
        <w:jc w:val="left"/>
        <w:rPr>
          <w:rFonts w:eastAsia="Arial Unicode MS"/>
          <w:i/>
          <w:iCs/>
          <w:noProof/>
          <w:szCs w:val="24"/>
        </w:rPr>
      </w:pPr>
      <w:r>
        <w:rPr>
          <w:i/>
          <w:noProof/>
        </w:rPr>
        <w:t>_______________</w:t>
      </w:r>
    </w:p>
    <w:p>
      <w:pPr>
        <w:spacing w:before="0" w:after="0"/>
        <w:jc w:val="left"/>
        <w:rPr>
          <w:rFonts w:eastAsia="Arial Unicode MS"/>
          <w:noProof/>
          <w:sz w:val="20"/>
          <w:szCs w:val="20"/>
        </w:rPr>
      </w:pPr>
      <w:r>
        <w:rPr>
          <w:b/>
          <w:noProof/>
        </w:rPr>
        <w:t>Notes explicatives concernant le modèle D</w:t>
      </w:r>
      <w:r>
        <w:rPr>
          <w:b/>
          <w:noProof/>
          <w:sz w:val="20"/>
        </w:rPr>
        <w:t xml:space="preserve">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Supprimer les mentions inutiles.</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Non obligatoire.</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a</w:t>
      </w:r>
      <w:r>
        <w:rPr>
          <w:noProof/>
          <w:sz w:val="20"/>
          <w:szCs w:val="20"/>
        </w:rPr>
        <w:t>)</w:t>
      </w:r>
      <w:r>
        <w:rPr>
          <w:noProof/>
          <w:sz w:val="20"/>
          <w:szCs w:val="20"/>
        </w:rPr>
        <w:tab/>
        <w:t>Cette entrée n’est complétée que si le véhicule possède deux essieux.</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b</w:t>
      </w:r>
      <w:r>
        <w:rPr>
          <w:noProof/>
          <w:sz w:val="20"/>
          <w:szCs w:val="20"/>
        </w:rPr>
        <w:t>)</w:t>
      </w:r>
      <w:r>
        <w:rPr>
          <w:noProof/>
          <w:sz w:val="20"/>
          <w:szCs w:val="20"/>
        </w:rPr>
        <w:tab/>
        <w:t>Cette masse est la masse réelle du véhicule dans les conditions visées au point 2.6 de l’annexe I du règlement (UE) n</w:t>
      </w:r>
      <w:r>
        <w:rPr>
          <w:noProof/>
          <w:sz w:val="20"/>
          <w:szCs w:val="20"/>
          <w:vertAlign w:val="superscript"/>
        </w:rPr>
        <w:t xml:space="preserve">o </w:t>
      </w:r>
      <w:r>
        <w:rPr>
          <w:noProof/>
          <w:sz w:val="20"/>
          <w:szCs w:val="20"/>
        </w:rPr>
        <w:t>XXX/201X.</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c</w:t>
      </w:r>
      <w:r>
        <w:rPr>
          <w:noProof/>
          <w:sz w:val="20"/>
          <w:szCs w:val="20"/>
        </w:rPr>
        <w:t>)</w:t>
      </w:r>
      <w:r>
        <w:rPr>
          <w:noProof/>
          <w:sz w:val="20"/>
          <w:szCs w:val="20"/>
        </w:rPr>
        <w:tab/>
        <w:t>Pour les véhicules électriques hybrides, indiquer les deux puissances de sortie.</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d</w:t>
      </w:r>
      <w:r>
        <w:rPr>
          <w:noProof/>
          <w:sz w:val="20"/>
          <w:szCs w:val="20"/>
        </w:rPr>
        <w:t>)</w:t>
      </w:r>
      <w:r>
        <w:rPr>
          <w:noProof/>
          <w:sz w:val="20"/>
          <w:szCs w:val="20"/>
        </w:rPr>
        <w:tab/>
        <w:t>Il convient d’utiliser les codes décrits à la partie C de l’annexe II.</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e</w:t>
      </w:r>
      <w:r>
        <w:rPr>
          <w:noProof/>
          <w:sz w:val="20"/>
          <w:szCs w:val="20"/>
        </w:rPr>
        <w:t>)</w:t>
      </w:r>
      <w:r>
        <w:rPr>
          <w:noProof/>
          <w:sz w:val="20"/>
          <w:szCs w:val="20"/>
        </w:rPr>
        <w:tab/>
        <w:t>N’indiquer que la ou les couleurs de base: blanc, jaune, orange, rouge, violet, bleu, vert, gris, brun ou noir.</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f</w:t>
      </w:r>
      <w:r>
        <w:rPr>
          <w:noProof/>
          <w:sz w:val="20"/>
          <w:szCs w:val="20"/>
        </w:rPr>
        <w:t>)</w:t>
      </w:r>
      <w:r>
        <w:rPr>
          <w:noProof/>
          <w:sz w:val="20"/>
          <w:szCs w:val="20"/>
        </w:rPr>
        <w:tab/>
        <w:t>À l’exclusion des sièges destinés à n’être utilisés que lorsque le véhicule est à l’arrêt et du nombre de places pour les fauteuils roulants.</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g</w:t>
      </w:r>
      <w:r>
        <w:rPr>
          <w:noProof/>
          <w:sz w:val="20"/>
          <w:szCs w:val="20"/>
        </w:rPr>
        <w:t>)</w:t>
      </w:r>
      <w:r>
        <w:rPr>
          <w:noProof/>
          <w:sz w:val="20"/>
          <w:szCs w:val="20"/>
        </w:rPr>
        <w:tab/>
        <w:t>Ajouter le numéro du niveau Euro et, le cas échéant, le caractère correspondant aux dispositions utilisées pour la réception par type.</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h</w:t>
      </w:r>
      <w:r>
        <w:rPr>
          <w:noProof/>
          <w:sz w:val="20"/>
          <w:szCs w:val="20"/>
        </w:rPr>
        <w:t>)</w:t>
      </w:r>
      <w:r>
        <w:rPr>
          <w:noProof/>
          <w:sz w:val="20"/>
          <w:szCs w:val="20"/>
        </w:rPr>
        <w:tab/>
        <w:t>Répéter pour les divers carburants pouvant être utilisés.</w:t>
      </w:r>
    </w:p>
    <w:p>
      <w:pPr>
        <w:spacing w:before="240" w:after="0"/>
        <w:jc w:val="left"/>
        <w:rPr>
          <w:rFonts w:eastAsia="Arial Unicode MS"/>
          <w:noProof/>
          <w:szCs w:val="24"/>
        </w:rPr>
      </w:pPr>
      <w:r>
        <w:rPr>
          <w:rFonts w:eastAsia="Arial Unicode MS"/>
          <w:noProof/>
          <w:szCs w:val="24"/>
        </w:rPr>
        <w:pict>
          <v:rect id="_x0000_i1045" style="width:45.35pt;height:.75pt" o:hrpct="100" o:hralign="center" o:hrstd="t" o:hrnoshade="t" o:hr="t" fillcolor="black" stroked="f"/>
        </w:pict>
      </w:r>
    </w:p>
    <w:p>
      <w:pPr>
        <w:rPr>
          <w:noProof/>
        </w:rPr>
      </w:pPr>
      <w:r>
        <w:rPr>
          <w:noProof/>
        </w:rPr>
        <w:br w:type="page"/>
      </w:r>
    </w:p>
    <w:p>
      <w:pPr>
        <w:pStyle w:val="Annexetitre"/>
        <w:rPr>
          <w:noProof/>
        </w:rPr>
      </w:pPr>
      <w:r>
        <w:rPr>
          <w:noProof/>
        </w:rPr>
        <w:t>ANNEXE VII</w:t>
      </w:r>
    </w:p>
    <w:p>
      <w:pPr>
        <w:spacing w:before="240" w:after="240"/>
        <w:jc w:val="center"/>
        <w:rPr>
          <w:rFonts w:eastAsia="Arial Unicode MS"/>
          <w:b/>
          <w:bCs/>
          <w:noProof/>
          <w:szCs w:val="24"/>
        </w:rPr>
      </w:pPr>
      <w:r>
        <w:rPr>
          <w:b/>
          <w:noProof/>
        </w:rPr>
        <w:t>SYSTÈME DE NUMÉROTATION DES FICHES DE RÉCEPTION UE PAR TYPE (</w:t>
      </w:r>
      <w:r>
        <w:rPr>
          <w:b/>
          <w:noProof/>
          <w:vertAlign w:val="superscript"/>
        </w:rPr>
        <w:t>1</w:t>
      </w:r>
      <w:r>
        <w:rPr>
          <w:b/>
          <w:noProof/>
        </w:rPr>
        <w:t>)</w:t>
      </w:r>
    </w:p>
    <w:p>
      <w:pPr>
        <w:spacing w:after="0"/>
        <w:ind w:left="709" w:hanging="709"/>
        <w:rPr>
          <w:rFonts w:eastAsia="Arial Unicode MS"/>
          <w:noProof/>
          <w:szCs w:val="24"/>
        </w:rPr>
      </w:pPr>
      <w:r>
        <w:rPr>
          <w:noProof/>
        </w:rPr>
        <w:t>1.</w:t>
      </w:r>
      <w:r>
        <w:rPr>
          <w:noProof/>
        </w:rPr>
        <w:tab/>
        <w:t>Le numéro de réception UE par type se compose de quatre parties pour les réceptions par type de véhicules entiers et de cinq parties pour les réceptions par type de systèmes, de composants et d’entités techniques distinctes, comme indiqué ci-après. Dans tous les cas, les parties sont séparées par un astérisque (caractère «*»).</w:t>
      </w:r>
    </w:p>
    <w:p>
      <w:pPr>
        <w:ind w:left="1843" w:hanging="1134"/>
        <w:rPr>
          <w:rFonts w:eastAsia="Arial Unicode MS"/>
          <w:noProof/>
          <w:szCs w:val="24"/>
        </w:rPr>
      </w:pPr>
      <w:r>
        <w:rPr>
          <w:noProof/>
        </w:rPr>
        <w:t>Partie 1:</w:t>
      </w:r>
      <w:r>
        <w:rPr>
          <w:noProof/>
        </w:rPr>
        <w:tab/>
        <w:t>Un «e» minuscule suivi du numéro distinctif de l’État membre qui délivre la réception UE par type:</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Cs w:val="24"/>
                    </w:rPr>
                  </w:pPr>
                  <w:r>
                    <w:rPr>
                      <w:noProof/>
                      <w:sz w:val="22"/>
                    </w:rPr>
                    <w:t>1</w:t>
                  </w:r>
                </w:p>
              </w:tc>
              <w:tc>
                <w:tcPr>
                  <w:tcW w:w="2447" w:type="pct"/>
                  <w:hideMark/>
                </w:tcPr>
                <w:p>
                  <w:pPr>
                    <w:spacing w:before="60" w:after="60"/>
                    <w:rPr>
                      <w:rFonts w:eastAsia="Arial Unicode MS"/>
                      <w:noProof/>
                      <w:szCs w:val="24"/>
                    </w:rPr>
                  </w:pPr>
                  <w:r>
                    <w:rPr>
                      <w:noProof/>
                      <w:sz w:val="22"/>
                    </w:rPr>
                    <w:t>pour l’Allemagne;</w:t>
                  </w:r>
                </w:p>
              </w:tc>
              <w:tc>
                <w:tcPr>
                  <w:tcW w:w="511" w:type="pct"/>
                </w:tcPr>
                <w:p>
                  <w:pPr>
                    <w:spacing w:before="60" w:after="60"/>
                    <w:jc w:val="left"/>
                    <w:rPr>
                      <w:rFonts w:eastAsia="Arial Unicode MS"/>
                      <w:noProof/>
                      <w:szCs w:val="24"/>
                    </w:rPr>
                  </w:pPr>
                  <w:r>
                    <w:rPr>
                      <w:noProof/>
                      <w:sz w:val="22"/>
                    </w:rPr>
                    <w:t>19</w:t>
                  </w:r>
                </w:p>
              </w:tc>
              <w:tc>
                <w:tcPr>
                  <w:tcW w:w="1630" w:type="pct"/>
                </w:tcPr>
                <w:p>
                  <w:pPr>
                    <w:spacing w:before="60" w:after="60"/>
                    <w:rPr>
                      <w:rFonts w:eastAsia="Arial Unicode MS"/>
                      <w:noProof/>
                      <w:szCs w:val="24"/>
                    </w:rPr>
                  </w:pPr>
                  <w:r>
                    <w:rPr>
                      <w:noProof/>
                      <w:sz w:val="22"/>
                    </w:rPr>
                    <w:t>pour la Roumanie;</w:t>
                  </w:r>
                </w:p>
              </w:tc>
            </w:tr>
            <w:tr>
              <w:trPr>
                <w:tblCellSpacing w:w="0" w:type="dxa"/>
              </w:trPr>
              <w:tc>
                <w:tcPr>
                  <w:tcW w:w="412" w:type="pct"/>
                  <w:hideMark/>
                </w:tcPr>
                <w:p>
                  <w:pPr>
                    <w:spacing w:before="60" w:after="60"/>
                    <w:jc w:val="left"/>
                    <w:rPr>
                      <w:rFonts w:eastAsia="Arial Unicode MS"/>
                      <w:noProof/>
                      <w:szCs w:val="24"/>
                    </w:rPr>
                  </w:pPr>
                  <w:r>
                    <w:rPr>
                      <w:noProof/>
                      <w:sz w:val="22"/>
                    </w:rPr>
                    <w:t>2</w:t>
                  </w:r>
                </w:p>
              </w:tc>
              <w:tc>
                <w:tcPr>
                  <w:tcW w:w="2447" w:type="pct"/>
                  <w:hideMark/>
                </w:tcPr>
                <w:p>
                  <w:pPr>
                    <w:spacing w:before="60" w:after="60"/>
                    <w:rPr>
                      <w:rFonts w:eastAsia="Arial Unicode MS"/>
                      <w:noProof/>
                      <w:szCs w:val="24"/>
                    </w:rPr>
                  </w:pPr>
                  <w:r>
                    <w:rPr>
                      <w:noProof/>
                      <w:sz w:val="22"/>
                    </w:rPr>
                    <w:t>pour la France;</w:t>
                  </w:r>
                </w:p>
              </w:tc>
              <w:tc>
                <w:tcPr>
                  <w:tcW w:w="511" w:type="pct"/>
                </w:tcPr>
                <w:p>
                  <w:pPr>
                    <w:spacing w:before="60" w:after="60"/>
                    <w:jc w:val="left"/>
                    <w:rPr>
                      <w:rFonts w:eastAsia="Arial Unicode MS"/>
                      <w:noProof/>
                      <w:szCs w:val="24"/>
                    </w:rPr>
                  </w:pPr>
                  <w:r>
                    <w:rPr>
                      <w:noProof/>
                      <w:sz w:val="22"/>
                    </w:rPr>
                    <w:t>20</w:t>
                  </w:r>
                </w:p>
              </w:tc>
              <w:tc>
                <w:tcPr>
                  <w:tcW w:w="1630" w:type="pct"/>
                </w:tcPr>
                <w:p>
                  <w:pPr>
                    <w:spacing w:before="60" w:after="60"/>
                    <w:rPr>
                      <w:rFonts w:eastAsia="Arial Unicode MS"/>
                      <w:noProof/>
                      <w:szCs w:val="24"/>
                    </w:rPr>
                  </w:pPr>
                  <w:r>
                    <w:rPr>
                      <w:noProof/>
                      <w:sz w:val="22"/>
                    </w:rPr>
                    <w:t>pour la Pologne;</w:t>
                  </w:r>
                </w:p>
              </w:tc>
            </w:tr>
            <w:tr>
              <w:trPr>
                <w:tblCellSpacing w:w="0" w:type="dxa"/>
              </w:trPr>
              <w:tc>
                <w:tcPr>
                  <w:tcW w:w="412" w:type="pct"/>
                  <w:hideMark/>
                </w:tcPr>
                <w:p>
                  <w:pPr>
                    <w:spacing w:before="60" w:after="60"/>
                    <w:jc w:val="left"/>
                    <w:rPr>
                      <w:rFonts w:eastAsia="Arial Unicode MS"/>
                      <w:noProof/>
                      <w:szCs w:val="24"/>
                    </w:rPr>
                  </w:pPr>
                  <w:r>
                    <w:rPr>
                      <w:noProof/>
                      <w:sz w:val="22"/>
                    </w:rPr>
                    <w:t>3</w:t>
                  </w:r>
                </w:p>
              </w:tc>
              <w:tc>
                <w:tcPr>
                  <w:tcW w:w="2447" w:type="pct"/>
                  <w:hideMark/>
                </w:tcPr>
                <w:p>
                  <w:pPr>
                    <w:spacing w:before="60" w:after="60"/>
                    <w:rPr>
                      <w:rFonts w:eastAsia="Arial Unicode MS"/>
                      <w:noProof/>
                      <w:szCs w:val="24"/>
                    </w:rPr>
                  </w:pPr>
                  <w:r>
                    <w:rPr>
                      <w:noProof/>
                      <w:sz w:val="22"/>
                    </w:rPr>
                    <w:t>pour l’Italie;</w:t>
                  </w:r>
                </w:p>
              </w:tc>
              <w:tc>
                <w:tcPr>
                  <w:tcW w:w="511" w:type="pct"/>
                </w:tcPr>
                <w:p>
                  <w:pPr>
                    <w:spacing w:before="60" w:after="60"/>
                    <w:jc w:val="left"/>
                    <w:rPr>
                      <w:rFonts w:eastAsia="Arial Unicode MS"/>
                      <w:noProof/>
                      <w:szCs w:val="24"/>
                    </w:rPr>
                  </w:pPr>
                  <w:r>
                    <w:rPr>
                      <w:noProof/>
                      <w:sz w:val="22"/>
                    </w:rPr>
                    <w:t>21</w:t>
                  </w:r>
                </w:p>
              </w:tc>
              <w:tc>
                <w:tcPr>
                  <w:tcW w:w="1630" w:type="pct"/>
                </w:tcPr>
                <w:p>
                  <w:pPr>
                    <w:spacing w:before="60" w:after="60"/>
                    <w:rPr>
                      <w:rFonts w:eastAsia="Arial Unicode MS"/>
                      <w:noProof/>
                      <w:szCs w:val="24"/>
                    </w:rPr>
                  </w:pPr>
                  <w:r>
                    <w:rPr>
                      <w:noProof/>
                      <w:sz w:val="22"/>
                    </w:rPr>
                    <w:t>pour le Portugal;</w:t>
                  </w:r>
                </w:p>
              </w:tc>
            </w:tr>
            <w:tr>
              <w:trPr>
                <w:tblCellSpacing w:w="0" w:type="dxa"/>
              </w:trPr>
              <w:tc>
                <w:tcPr>
                  <w:tcW w:w="412" w:type="pct"/>
                  <w:hideMark/>
                </w:tcPr>
                <w:p>
                  <w:pPr>
                    <w:spacing w:before="60" w:after="60"/>
                    <w:jc w:val="left"/>
                    <w:rPr>
                      <w:rFonts w:eastAsia="Arial Unicode MS"/>
                      <w:noProof/>
                      <w:szCs w:val="24"/>
                    </w:rPr>
                  </w:pPr>
                  <w:r>
                    <w:rPr>
                      <w:noProof/>
                      <w:sz w:val="22"/>
                    </w:rPr>
                    <w:t>4</w:t>
                  </w:r>
                </w:p>
              </w:tc>
              <w:tc>
                <w:tcPr>
                  <w:tcW w:w="2447" w:type="pct"/>
                  <w:hideMark/>
                </w:tcPr>
                <w:p>
                  <w:pPr>
                    <w:spacing w:before="60" w:after="60"/>
                    <w:rPr>
                      <w:rFonts w:eastAsia="Arial Unicode MS"/>
                      <w:noProof/>
                      <w:szCs w:val="24"/>
                    </w:rPr>
                  </w:pPr>
                  <w:r>
                    <w:rPr>
                      <w:noProof/>
                      <w:sz w:val="22"/>
                    </w:rPr>
                    <w:t>pour les Pays-Bas;</w:t>
                  </w:r>
                </w:p>
              </w:tc>
              <w:tc>
                <w:tcPr>
                  <w:tcW w:w="511" w:type="pct"/>
                </w:tcPr>
                <w:p>
                  <w:pPr>
                    <w:spacing w:before="60" w:after="60"/>
                    <w:jc w:val="left"/>
                    <w:rPr>
                      <w:rFonts w:eastAsia="Arial Unicode MS"/>
                      <w:noProof/>
                      <w:szCs w:val="24"/>
                    </w:rPr>
                  </w:pPr>
                  <w:r>
                    <w:rPr>
                      <w:noProof/>
                      <w:sz w:val="22"/>
                    </w:rPr>
                    <w:t>23</w:t>
                  </w:r>
                </w:p>
              </w:tc>
              <w:tc>
                <w:tcPr>
                  <w:tcW w:w="1630" w:type="pct"/>
                </w:tcPr>
                <w:p>
                  <w:pPr>
                    <w:spacing w:before="60" w:after="60"/>
                    <w:rPr>
                      <w:rFonts w:eastAsia="Arial Unicode MS"/>
                      <w:noProof/>
                      <w:szCs w:val="24"/>
                    </w:rPr>
                  </w:pPr>
                  <w:r>
                    <w:rPr>
                      <w:noProof/>
                      <w:sz w:val="22"/>
                    </w:rPr>
                    <w:t>pour la Grèce;</w:t>
                  </w:r>
                </w:p>
              </w:tc>
            </w:tr>
            <w:tr>
              <w:trPr>
                <w:tblCellSpacing w:w="0" w:type="dxa"/>
              </w:trPr>
              <w:tc>
                <w:tcPr>
                  <w:tcW w:w="412" w:type="pct"/>
                  <w:hideMark/>
                </w:tcPr>
                <w:p>
                  <w:pPr>
                    <w:spacing w:before="60" w:after="60"/>
                    <w:jc w:val="left"/>
                    <w:rPr>
                      <w:rFonts w:eastAsia="Arial Unicode MS"/>
                      <w:noProof/>
                      <w:szCs w:val="24"/>
                    </w:rPr>
                  </w:pPr>
                  <w:r>
                    <w:rPr>
                      <w:noProof/>
                      <w:sz w:val="22"/>
                    </w:rPr>
                    <w:t>5</w:t>
                  </w:r>
                </w:p>
              </w:tc>
              <w:tc>
                <w:tcPr>
                  <w:tcW w:w="2447" w:type="pct"/>
                  <w:hideMark/>
                </w:tcPr>
                <w:p>
                  <w:pPr>
                    <w:spacing w:before="60" w:after="60"/>
                    <w:rPr>
                      <w:rFonts w:eastAsia="Arial Unicode MS"/>
                      <w:noProof/>
                      <w:szCs w:val="24"/>
                    </w:rPr>
                  </w:pPr>
                  <w:r>
                    <w:rPr>
                      <w:noProof/>
                      <w:sz w:val="22"/>
                    </w:rPr>
                    <w:t>pour la Suède;</w:t>
                  </w:r>
                </w:p>
              </w:tc>
              <w:tc>
                <w:tcPr>
                  <w:tcW w:w="511" w:type="pct"/>
                </w:tcPr>
                <w:p>
                  <w:pPr>
                    <w:spacing w:before="60" w:after="60"/>
                    <w:jc w:val="left"/>
                    <w:rPr>
                      <w:rFonts w:eastAsia="Arial Unicode MS"/>
                      <w:noProof/>
                      <w:szCs w:val="24"/>
                    </w:rPr>
                  </w:pPr>
                  <w:r>
                    <w:rPr>
                      <w:noProof/>
                      <w:sz w:val="22"/>
                    </w:rPr>
                    <w:t>24</w:t>
                  </w:r>
                </w:p>
              </w:tc>
              <w:tc>
                <w:tcPr>
                  <w:tcW w:w="1630" w:type="pct"/>
                </w:tcPr>
                <w:p>
                  <w:pPr>
                    <w:spacing w:before="60" w:after="60"/>
                    <w:rPr>
                      <w:rFonts w:eastAsia="Arial Unicode MS"/>
                      <w:noProof/>
                      <w:szCs w:val="24"/>
                    </w:rPr>
                  </w:pPr>
                  <w:r>
                    <w:rPr>
                      <w:noProof/>
                      <w:sz w:val="22"/>
                    </w:rPr>
                    <w:t>pour l’Irlande;</w:t>
                  </w:r>
                </w:p>
              </w:tc>
            </w:tr>
            <w:tr>
              <w:trPr>
                <w:tblCellSpacing w:w="0" w:type="dxa"/>
              </w:trPr>
              <w:tc>
                <w:tcPr>
                  <w:tcW w:w="412" w:type="pct"/>
                  <w:hideMark/>
                </w:tcPr>
                <w:p>
                  <w:pPr>
                    <w:spacing w:before="60" w:after="60"/>
                    <w:jc w:val="left"/>
                    <w:rPr>
                      <w:rFonts w:eastAsia="Arial Unicode MS"/>
                      <w:noProof/>
                      <w:szCs w:val="24"/>
                    </w:rPr>
                  </w:pPr>
                  <w:r>
                    <w:rPr>
                      <w:noProof/>
                      <w:sz w:val="22"/>
                    </w:rPr>
                    <w:t>6</w:t>
                  </w:r>
                </w:p>
              </w:tc>
              <w:tc>
                <w:tcPr>
                  <w:tcW w:w="2447" w:type="pct"/>
                  <w:hideMark/>
                </w:tcPr>
                <w:p>
                  <w:pPr>
                    <w:spacing w:before="60" w:after="60"/>
                    <w:rPr>
                      <w:rFonts w:eastAsia="Arial Unicode MS"/>
                      <w:noProof/>
                      <w:szCs w:val="24"/>
                    </w:rPr>
                  </w:pPr>
                  <w:r>
                    <w:rPr>
                      <w:noProof/>
                      <w:sz w:val="22"/>
                    </w:rPr>
                    <w:t>pour la Belgique;</w:t>
                  </w:r>
                </w:p>
              </w:tc>
              <w:tc>
                <w:tcPr>
                  <w:tcW w:w="511" w:type="pct"/>
                </w:tcPr>
                <w:p>
                  <w:pPr>
                    <w:spacing w:before="60" w:after="60"/>
                    <w:jc w:val="left"/>
                    <w:rPr>
                      <w:rFonts w:eastAsia="Arial Unicode MS"/>
                      <w:noProof/>
                      <w:szCs w:val="24"/>
                    </w:rPr>
                  </w:pPr>
                  <w:r>
                    <w:rPr>
                      <w:noProof/>
                      <w:sz w:val="22"/>
                    </w:rPr>
                    <w:t>25</w:t>
                  </w:r>
                </w:p>
              </w:tc>
              <w:tc>
                <w:tcPr>
                  <w:tcW w:w="1630" w:type="pct"/>
                </w:tcPr>
                <w:p>
                  <w:pPr>
                    <w:spacing w:before="60" w:after="60"/>
                    <w:rPr>
                      <w:rFonts w:eastAsia="Arial Unicode MS"/>
                      <w:noProof/>
                      <w:szCs w:val="24"/>
                    </w:rPr>
                  </w:pPr>
                  <w:r>
                    <w:rPr>
                      <w:noProof/>
                      <w:sz w:val="22"/>
                    </w:rPr>
                    <w:t>pour la Croatie;</w:t>
                  </w:r>
                </w:p>
              </w:tc>
            </w:tr>
            <w:tr>
              <w:trPr>
                <w:tblCellSpacing w:w="0" w:type="dxa"/>
              </w:trPr>
              <w:tc>
                <w:tcPr>
                  <w:tcW w:w="412" w:type="pct"/>
                  <w:hideMark/>
                </w:tcPr>
                <w:p>
                  <w:pPr>
                    <w:spacing w:before="60" w:after="60"/>
                    <w:jc w:val="left"/>
                    <w:rPr>
                      <w:rFonts w:eastAsia="Arial Unicode MS"/>
                      <w:noProof/>
                      <w:szCs w:val="24"/>
                    </w:rPr>
                  </w:pPr>
                  <w:r>
                    <w:rPr>
                      <w:noProof/>
                      <w:sz w:val="22"/>
                    </w:rPr>
                    <w:t>7</w:t>
                  </w:r>
                </w:p>
              </w:tc>
              <w:tc>
                <w:tcPr>
                  <w:tcW w:w="2447" w:type="pct"/>
                  <w:hideMark/>
                </w:tcPr>
                <w:p>
                  <w:pPr>
                    <w:spacing w:before="60" w:after="60"/>
                    <w:rPr>
                      <w:rFonts w:eastAsia="Arial Unicode MS"/>
                      <w:noProof/>
                      <w:szCs w:val="24"/>
                    </w:rPr>
                  </w:pPr>
                  <w:r>
                    <w:rPr>
                      <w:noProof/>
                      <w:sz w:val="22"/>
                    </w:rPr>
                    <w:t>pour la Hongrie;</w:t>
                  </w:r>
                </w:p>
              </w:tc>
              <w:tc>
                <w:tcPr>
                  <w:tcW w:w="511" w:type="pct"/>
                </w:tcPr>
                <w:p>
                  <w:pPr>
                    <w:spacing w:before="60" w:after="60"/>
                    <w:jc w:val="left"/>
                    <w:rPr>
                      <w:rFonts w:eastAsia="Arial Unicode MS"/>
                      <w:noProof/>
                      <w:szCs w:val="24"/>
                    </w:rPr>
                  </w:pPr>
                  <w:r>
                    <w:rPr>
                      <w:noProof/>
                      <w:sz w:val="22"/>
                    </w:rPr>
                    <w:t>26</w:t>
                  </w:r>
                </w:p>
              </w:tc>
              <w:tc>
                <w:tcPr>
                  <w:tcW w:w="1630" w:type="pct"/>
                </w:tcPr>
                <w:p>
                  <w:pPr>
                    <w:spacing w:before="60" w:after="60"/>
                    <w:rPr>
                      <w:rFonts w:eastAsia="Arial Unicode MS"/>
                      <w:noProof/>
                      <w:szCs w:val="24"/>
                    </w:rPr>
                  </w:pPr>
                  <w:r>
                    <w:rPr>
                      <w:noProof/>
                      <w:sz w:val="22"/>
                    </w:rPr>
                    <w:t>pour la Slovénie;</w:t>
                  </w:r>
                </w:p>
              </w:tc>
            </w:tr>
            <w:tr>
              <w:trPr>
                <w:tblCellSpacing w:w="0" w:type="dxa"/>
              </w:trPr>
              <w:tc>
                <w:tcPr>
                  <w:tcW w:w="412" w:type="pct"/>
                  <w:hideMark/>
                </w:tcPr>
                <w:p>
                  <w:pPr>
                    <w:spacing w:before="60" w:after="60"/>
                    <w:jc w:val="left"/>
                    <w:rPr>
                      <w:rFonts w:eastAsia="Arial Unicode MS"/>
                      <w:noProof/>
                      <w:szCs w:val="24"/>
                    </w:rPr>
                  </w:pPr>
                  <w:r>
                    <w:rPr>
                      <w:noProof/>
                      <w:sz w:val="22"/>
                    </w:rPr>
                    <w:t>8</w:t>
                  </w:r>
                </w:p>
              </w:tc>
              <w:tc>
                <w:tcPr>
                  <w:tcW w:w="2447" w:type="pct"/>
                  <w:hideMark/>
                </w:tcPr>
                <w:p>
                  <w:pPr>
                    <w:spacing w:before="60" w:after="60"/>
                    <w:rPr>
                      <w:rFonts w:eastAsia="Arial Unicode MS"/>
                      <w:noProof/>
                      <w:szCs w:val="24"/>
                    </w:rPr>
                  </w:pPr>
                  <w:r>
                    <w:rPr>
                      <w:noProof/>
                      <w:sz w:val="22"/>
                    </w:rPr>
                    <w:t>pour la République tchèque;</w:t>
                  </w:r>
                </w:p>
              </w:tc>
              <w:tc>
                <w:tcPr>
                  <w:tcW w:w="511" w:type="pct"/>
                </w:tcPr>
                <w:p>
                  <w:pPr>
                    <w:spacing w:before="60" w:after="60"/>
                    <w:jc w:val="left"/>
                    <w:rPr>
                      <w:rFonts w:eastAsia="Arial Unicode MS"/>
                      <w:noProof/>
                      <w:szCs w:val="24"/>
                    </w:rPr>
                  </w:pPr>
                  <w:r>
                    <w:rPr>
                      <w:noProof/>
                      <w:sz w:val="22"/>
                    </w:rPr>
                    <w:t>27</w:t>
                  </w:r>
                </w:p>
              </w:tc>
              <w:tc>
                <w:tcPr>
                  <w:tcW w:w="1630" w:type="pct"/>
                </w:tcPr>
                <w:p>
                  <w:pPr>
                    <w:spacing w:before="60" w:after="60"/>
                    <w:rPr>
                      <w:rFonts w:eastAsia="Arial Unicode MS"/>
                      <w:noProof/>
                      <w:szCs w:val="24"/>
                    </w:rPr>
                  </w:pPr>
                  <w:r>
                    <w:rPr>
                      <w:noProof/>
                      <w:sz w:val="22"/>
                    </w:rPr>
                    <w:t>pour la Slovaquie;</w:t>
                  </w:r>
                </w:p>
              </w:tc>
            </w:tr>
            <w:tr>
              <w:trPr>
                <w:tblCellSpacing w:w="0" w:type="dxa"/>
              </w:trPr>
              <w:tc>
                <w:tcPr>
                  <w:tcW w:w="412" w:type="pct"/>
                  <w:hideMark/>
                </w:tcPr>
                <w:p>
                  <w:pPr>
                    <w:spacing w:before="60" w:after="60"/>
                    <w:jc w:val="left"/>
                    <w:rPr>
                      <w:rFonts w:eastAsia="Arial Unicode MS"/>
                      <w:noProof/>
                      <w:szCs w:val="24"/>
                    </w:rPr>
                  </w:pPr>
                  <w:r>
                    <w:rPr>
                      <w:noProof/>
                      <w:sz w:val="22"/>
                    </w:rPr>
                    <w:t>9</w:t>
                  </w:r>
                </w:p>
              </w:tc>
              <w:tc>
                <w:tcPr>
                  <w:tcW w:w="2447" w:type="pct"/>
                  <w:hideMark/>
                </w:tcPr>
                <w:p>
                  <w:pPr>
                    <w:spacing w:before="60" w:after="60"/>
                    <w:rPr>
                      <w:rFonts w:eastAsia="Arial Unicode MS"/>
                      <w:noProof/>
                      <w:szCs w:val="24"/>
                    </w:rPr>
                  </w:pPr>
                  <w:r>
                    <w:rPr>
                      <w:noProof/>
                      <w:sz w:val="22"/>
                    </w:rPr>
                    <w:t>pour l’Espagne;</w:t>
                  </w:r>
                </w:p>
              </w:tc>
              <w:tc>
                <w:tcPr>
                  <w:tcW w:w="511" w:type="pct"/>
                </w:tcPr>
                <w:p>
                  <w:pPr>
                    <w:spacing w:before="60" w:after="60"/>
                    <w:jc w:val="left"/>
                    <w:rPr>
                      <w:rFonts w:eastAsia="Arial Unicode MS"/>
                      <w:noProof/>
                      <w:szCs w:val="24"/>
                    </w:rPr>
                  </w:pPr>
                  <w:r>
                    <w:rPr>
                      <w:noProof/>
                      <w:sz w:val="22"/>
                    </w:rPr>
                    <w:t>29</w:t>
                  </w:r>
                </w:p>
              </w:tc>
              <w:tc>
                <w:tcPr>
                  <w:tcW w:w="1630" w:type="pct"/>
                </w:tcPr>
                <w:p>
                  <w:pPr>
                    <w:spacing w:before="60" w:after="60"/>
                    <w:rPr>
                      <w:rFonts w:eastAsia="Arial Unicode MS"/>
                      <w:noProof/>
                      <w:szCs w:val="24"/>
                    </w:rPr>
                  </w:pPr>
                  <w:r>
                    <w:rPr>
                      <w:noProof/>
                      <w:sz w:val="22"/>
                    </w:rPr>
                    <w:t>pour l’Estonie;</w:t>
                  </w:r>
                </w:p>
              </w:tc>
            </w:tr>
            <w:tr>
              <w:trPr>
                <w:tblCellSpacing w:w="0" w:type="dxa"/>
              </w:trPr>
              <w:tc>
                <w:tcPr>
                  <w:tcW w:w="412" w:type="pct"/>
                  <w:hideMark/>
                </w:tcPr>
                <w:p>
                  <w:pPr>
                    <w:spacing w:before="60" w:after="60"/>
                    <w:jc w:val="left"/>
                    <w:rPr>
                      <w:rFonts w:eastAsia="Arial Unicode MS"/>
                      <w:noProof/>
                      <w:szCs w:val="24"/>
                    </w:rPr>
                  </w:pPr>
                  <w:r>
                    <w:rPr>
                      <w:noProof/>
                      <w:sz w:val="22"/>
                    </w:rPr>
                    <w:t>11</w:t>
                  </w:r>
                </w:p>
              </w:tc>
              <w:tc>
                <w:tcPr>
                  <w:tcW w:w="2447" w:type="pct"/>
                  <w:hideMark/>
                </w:tcPr>
                <w:p>
                  <w:pPr>
                    <w:spacing w:before="60" w:after="60"/>
                    <w:rPr>
                      <w:rFonts w:eastAsia="Arial Unicode MS"/>
                      <w:noProof/>
                      <w:szCs w:val="24"/>
                    </w:rPr>
                  </w:pPr>
                  <w:r>
                    <w:rPr>
                      <w:noProof/>
                      <w:sz w:val="22"/>
                    </w:rPr>
                    <w:t>pour le Royaume-Uni;</w:t>
                  </w:r>
                </w:p>
              </w:tc>
              <w:tc>
                <w:tcPr>
                  <w:tcW w:w="511" w:type="pct"/>
                </w:tcPr>
                <w:p>
                  <w:pPr>
                    <w:spacing w:before="60" w:after="60"/>
                    <w:jc w:val="left"/>
                    <w:rPr>
                      <w:rFonts w:eastAsia="Arial Unicode MS"/>
                      <w:noProof/>
                      <w:szCs w:val="24"/>
                    </w:rPr>
                  </w:pPr>
                  <w:r>
                    <w:rPr>
                      <w:noProof/>
                      <w:sz w:val="22"/>
                    </w:rPr>
                    <w:t>32</w:t>
                  </w:r>
                </w:p>
              </w:tc>
              <w:tc>
                <w:tcPr>
                  <w:tcW w:w="1630" w:type="pct"/>
                </w:tcPr>
                <w:p>
                  <w:pPr>
                    <w:spacing w:before="60" w:after="60"/>
                    <w:rPr>
                      <w:rFonts w:eastAsia="Arial Unicode MS"/>
                      <w:noProof/>
                      <w:szCs w:val="24"/>
                    </w:rPr>
                  </w:pPr>
                  <w:r>
                    <w:rPr>
                      <w:noProof/>
                      <w:sz w:val="22"/>
                    </w:rPr>
                    <w:t>pour la Lettonie;</w:t>
                  </w:r>
                </w:p>
              </w:tc>
            </w:tr>
            <w:tr>
              <w:trPr>
                <w:tblCellSpacing w:w="0" w:type="dxa"/>
              </w:trPr>
              <w:tc>
                <w:tcPr>
                  <w:tcW w:w="412" w:type="pct"/>
                  <w:hideMark/>
                </w:tcPr>
                <w:p>
                  <w:pPr>
                    <w:spacing w:before="60" w:after="60"/>
                    <w:jc w:val="left"/>
                    <w:rPr>
                      <w:rFonts w:eastAsia="Arial Unicode MS"/>
                      <w:noProof/>
                      <w:szCs w:val="24"/>
                    </w:rPr>
                  </w:pPr>
                  <w:r>
                    <w:rPr>
                      <w:noProof/>
                      <w:sz w:val="22"/>
                    </w:rPr>
                    <w:t>12</w:t>
                  </w:r>
                </w:p>
              </w:tc>
              <w:tc>
                <w:tcPr>
                  <w:tcW w:w="2447" w:type="pct"/>
                  <w:hideMark/>
                </w:tcPr>
                <w:p>
                  <w:pPr>
                    <w:spacing w:before="60" w:after="60"/>
                    <w:rPr>
                      <w:rFonts w:eastAsia="Arial Unicode MS"/>
                      <w:noProof/>
                      <w:szCs w:val="24"/>
                    </w:rPr>
                  </w:pPr>
                  <w:r>
                    <w:rPr>
                      <w:noProof/>
                      <w:sz w:val="22"/>
                    </w:rPr>
                    <w:t>pour l’Autriche;</w:t>
                  </w:r>
                </w:p>
              </w:tc>
              <w:tc>
                <w:tcPr>
                  <w:tcW w:w="511" w:type="pct"/>
                </w:tcPr>
                <w:p>
                  <w:pPr>
                    <w:spacing w:before="60" w:after="60"/>
                    <w:jc w:val="left"/>
                    <w:rPr>
                      <w:rFonts w:eastAsia="Arial Unicode MS"/>
                      <w:noProof/>
                      <w:szCs w:val="24"/>
                    </w:rPr>
                  </w:pPr>
                  <w:r>
                    <w:rPr>
                      <w:noProof/>
                      <w:sz w:val="22"/>
                    </w:rPr>
                    <w:t>34</w:t>
                  </w:r>
                </w:p>
              </w:tc>
              <w:tc>
                <w:tcPr>
                  <w:tcW w:w="1630" w:type="pct"/>
                </w:tcPr>
                <w:p>
                  <w:pPr>
                    <w:spacing w:before="60" w:after="60"/>
                    <w:rPr>
                      <w:rFonts w:eastAsia="Arial Unicode MS"/>
                      <w:noProof/>
                      <w:szCs w:val="24"/>
                    </w:rPr>
                  </w:pPr>
                  <w:r>
                    <w:rPr>
                      <w:noProof/>
                      <w:sz w:val="22"/>
                    </w:rPr>
                    <w:t>pour la Bulgarie;</w:t>
                  </w:r>
                </w:p>
              </w:tc>
            </w:tr>
            <w:tr>
              <w:trPr>
                <w:tblCellSpacing w:w="0" w:type="dxa"/>
              </w:trPr>
              <w:tc>
                <w:tcPr>
                  <w:tcW w:w="412" w:type="pct"/>
                  <w:hideMark/>
                </w:tcPr>
                <w:p>
                  <w:pPr>
                    <w:spacing w:before="60" w:after="60"/>
                    <w:jc w:val="left"/>
                    <w:rPr>
                      <w:rFonts w:eastAsia="Arial Unicode MS"/>
                      <w:noProof/>
                      <w:szCs w:val="24"/>
                    </w:rPr>
                  </w:pPr>
                  <w:r>
                    <w:rPr>
                      <w:noProof/>
                      <w:sz w:val="22"/>
                    </w:rPr>
                    <w:t>13</w:t>
                  </w:r>
                </w:p>
              </w:tc>
              <w:tc>
                <w:tcPr>
                  <w:tcW w:w="2447" w:type="pct"/>
                  <w:hideMark/>
                </w:tcPr>
                <w:p>
                  <w:pPr>
                    <w:spacing w:before="60" w:after="60"/>
                    <w:rPr>
                      <w:rFonts w:eastAsia="Arial Unicode MS"/>
                      <w:noProof/>
                      <w:szCs w:val="24"/>
                    </w:rPr>
                  </w:pPr>
                  <w:r>
                    <w:rPr>
                      <w:noProof/>
                      <w:sz w:val="22"/>
                    </w:rPr>
                    <w:t>pour le Luxembourg;</w:t>
                  </w:r>
                </w:p>
              </w:tc>
              <w:tc>
                <w:tcPr>
                  <w:tcW w:w="511" w:type="pct"/>
                </w:tcPr>
                <w:p>
                  <w:pPr>
                    <w:spacing w:before="60" w:after="60"/>
                    <w:jc w:val="left"/>
                    <w:rPr>
                      <w:rFonts w:eastAsia="Arial Unicode MS"/>
                      <w:noProof/>
                      <w:szCs w:val="24"/>
                    </w:rPr>
                  </w:pPr>
                  <w:r>
                    <w:rPr>
                      <w:noProof/>
                      <w:sz w:val="22"/>
                    </w:rPr>
                    <w:t>36</w:t>
                  </w:r>
                </w:p>
              </w:tc>
              <w:tc>
                <w:tcPr>
                  <w:tcW w:w="1630" w:type="pct"/>
                </w:tcPr>
                <w:p>
                  <w:pPr>
                    <w:spacing w:before="60" w:after="60"/>
                    <w:rPr>
                      <w:rFonts w:eastAsia="Arial Unicode MS"/>
                      <w:noProof/>
                      <w:szCs w:val="24"/>
                    </w:rPr>
                  </w:pPr>
                  <w:r>
                    <w:rPr>
                      <w:noProof/>
                      <w:sz w:val="22"/>
                    </w:rPr>
                    <w:t>pour la Lituanie;</w:t>
                  </w:r>
                </w:p>
              </w:tc>
            </w:tr>
            <w:tr>
              <w:trPr>
                <w:tblCellSpacing w:w="0" w:type="dxa"/>
              </w:trPr>
              <w:tc>
                <w:tcPr>
                  <w:tcW w:w="412" w:type="pct"/>
                  <w:hideMark/>
                </w:tcPr>
                <w:p>
                  <w:pPr>
                    <w:spacing w:before="60" w:after="60"/>
                    <w:jc w:val="left"/>
                    <w:rPr>
                      <w:rFonts w:eastAsia="Arial Unicode MS"/>
                      <w:noProof/>
                      <w:szCs w:val="24"/>
                    </w:rPr>
                  </w:pPr>
                  <w:r>
                    <w:rPr>
                      <w:noProof/>
                      <w:sz w:val="22"/>
                    </w:rPr>
                    <w:t>17</w:t>
                  </w:r>
                </w:p>
              </w:tc>
              <w:tc>
                <w:tcPr>
                  <w:tcW w:w="2447" w:type="pct"/>
                  <w:hideMark/>
                </w:tcPr>
                <w:p>
                  <w:pPr>
                    <w:spacing w:before="60" w:after="60"/>
                    <w:rPr>
                      <w:rFonts w:eastAsia="Arial Unicode MS"/>
                      <w:noProof/>
                      <w:szCs w:val="24"/>
                    </w:rPr>
                  </w:pPr>
                  <w:r>
                    <w:rPr>
                      <w:noProof/>
                      <w:sz w:val="22"/>
                    </w:rPr>
                    <w:t>pour la Finlande;</w:t>
                  </w:r>
                </w:p>
              </w:tc>
              <w:tc>
                <w:tcPr>
                  <w:tcW w:w="511" w:type="pct"/>
                </w:tcPr>
                <w:p>
                  <w:pPr>
                    <w:spacing w:before="60" w:after="60"/>
                    <w:jc w:val="left"/>
                    <w:rPr>
                      <w:rFonts w:eastAsia="Arial Unicode MS"/>
                      <w:noProof/>
                      <w:szCs w:val="24"/>
                    </w:rPr>
                  </w:pPr>
                  <w:r>
                    <w:rPr>
                      <w:noProof/>
                      <w:sz w:val="22"/>
                    </w:rPr>
                    <w:t>49</w:t>
                  </w:r>
                </w:p>
              </w:tc>
              <w:tc>
                <w:tcPr>
                  <w:tcW w:w="1630" w:type="pct"/>
                </w:tcPr>
                <w:p>
                  <w:pPr>
                    <w:spacing w:before="60" w:after="60"/>
                    <w:rPr>
                      <w:rFonts w:eastAsia="Arial Unicode MS"/>
                      <w:noProof/>
                      <w:szCs w:val="24"/>
                    </w:rPr>
                  </w:pPr>
                  <w:r>
                    <w:rPr>
                      <w:noProof/>
                      <w:sz w:val="22"/>
                    </w:rPr>
                    <w:t>pour Chypre;</w:t>
                  </w:r>
                </w:p>
              </w:tc>
            </w:tr>
            <w:tr>
              <w:trPr>
                <w:tblCellSpacing w:w="0" w:type="dxa"/>
              </w:trPr>
              <w:tc>
                <w:tcPr>
                  <w:tcW w:w="412" w:type="pct"/>
                  <w:hideMark/>
                </w:tcPr>
                <w:p>
                  <w:pPr>
                    <w:spacing w:before="60" w:after="60"/>
                    <w:jc w:val="left"/>
                    <w:rPr>
                      <w:rFonts w:eastAsia="Arial Unicode MS"/>
                      <w:noProof/>
                      <w:szCs w:val="24"/>
                    </w:rPr>
                  </w:pPr>
                  <w:r>
                    <w:rPr>
                      <w:noProof/>
                      <w:sz w:val="22"/>
                    </w:rPr>
                    <w:t>18</w:t>
                  </w:r>
                </w:p>
              </w:tc>
              <w:tc>
                <w:tcPr>
                  <w:tcW w:w="2447" w:type="pct"/>
                  <w:hideMark/>
                </w:tcPr>
                <w:p>
                  <w:pPr>
                    <w:spacing w:before="60" w:after="60"/>
                    <w:rPr>
                      <w:rFonts w:eastAsia="Arial Unicode MS"/>
                      <w:noProof/>
                      <w:szCs w:val="24"/>
                    </w:rPr>
                  </w:pPr>
                  <w:r>
                    <w:rPr>
                      <w:noProof/>
                      <w:sz w:val="22"/>
                    </w:rPr>
                    <w:t>pour le Danemark;</w:t>
                  </w:r>
                </w:p>
              </w:tc>
              <w:tc>
                <w:tcPr>
                  <w:tcW w:w="511" w:type="pct"/>
                </w:tcPr>
                <w:p>
                  <w:pPr>
                    <w:spacing w:before="60" w:after="60"/>
                    <w:jc w:val="left"/>
                    <w:rPr>
                      <w:rFonts w:eastAsia="Arial Unicode MS"/>
                      <w:noProof/>
                      <w:szCs w:val="24"/>
                    </w:rPr>
                  </w:pPr>
                  <w:r>
                    <w:rPr>
                      <w:noProof/>
                      <w:sz w:val="22"/>
                    </w:rPr>
                    <w:t>50</w:t>
                  </w:r>
                </w:p>
              </w:tc>
              <w:tc>
                <w:tcPr>
                  <w:tcW w:w="1630" w:type="pct"/>
                </w:tcPr>
                <w:p>
                  <w:pPr>
                    <w:spacing w:before="60" w:after="60"/>
                    <w:rPr>
                      <w:rFonts w:eastAsia="Arial Unicode MS"/>
                      <w:noProof/>
                      <w:szCs w:val="24"/>
                    </w:rPr>
                  </w:pPr>
                  <w:r>
                    <w:rPr>
                      <w:noProof/>
                      <w:sz w:val="22"/>
                    </w:rPr>
                    <w:t>pour Malte.</w:t>
                  </w:r>
                </w:p>
              </w:tc>
            </w:tr>
          </w:tbl>
          <w:p>
            <w:pPr>
              <w:spacing w:before="60" w:after="60"/>
              <w:jc w:val="left"/>
              <w:rPr>
                <w:rFonts w:eastAsia="Arial Unicode MS"/>
                <w:noProof/>
                <w:szCs w:val="24"/>
              </w:rPr>
            </w:pPr>
          </w:p>
        </w:tc>
      </w:tr>
    </w:tbl>
    <w:p>
      <w:pPr>
        <w:ind w:left="1843" w:hanging="1134"/>
        <w:jc w:val="left"/>
        <w:rPr>
          <w:rFonts w:eastAsia="Arial Unicode MS"/>
          <w:noProof/>
          <w:szCs w:val="24"/>
        </w:rPr>
      </w:pPr>
      <w:r>
        <w:rPr>
          <w:noProof/>
        </w:rPr>
        <w:t>Partie 2:</w:t>
      </w:r>
      <w:r>
        <w:rPr>
          <w:noProof/>
        </w:rPr>
        <w:tab/>
        <w:t xml:space="preserve">Le numéro de la directive ou du règlement de base </w:t>
      </w:r>
    </w:p>
    <w:p>
      <w:pPr>
        <w:ind w:left="1843"/>
        <w:rPr>
          <w:rFonts w:eastAsia="Arial Unicode MS"/>
          <w:noProof/>
          <w:szCs w:val="24"/>
        </w:rPr>
      </w:pPr>
      <w:r>
        <w:rPr>
          <w:noProof/>
        </w:rPr>
        <w:t>Dans le cas de la réception UE par type de systèmes, de composants ou d’entités techniques distinctes régis par les mesures d’exécution visées dans le règlement (CE) n</w:t>
      </w:r>
      <w:r>
        <w:rPr>
          <w:noProof/>
          <w:vertAlign w:val="superscript"/>
        </w:rPr>
        <w:t>o</w:t>
      </w:r>
      <w:r>
        <w:rPr>
          <w:noProof/>
        </w:rPr>
        <w:t> 661/2009, la référence du règlement de base est le numéro de règlement de l’acte d’exécution adopté conformément à l’article 14, paragraphe 1, points a) à e), du règlement (CE) n</w:t>
      </w:r>
      <w:r>
        <w:rPr>
          <w:noProof/>
          <w:vertAlign w:val="superscript"/>
        </w:rPr>
        <w:t>o</w:t>
      </w:r>
      <w:r>
        <w:rPr>
          <w:noProof/>
        </w:rPr>
        <w:t> 661/2009.</w:t>
      </w:r>
    </w:p>
    <w:p>
      <w:pPr>
        <w:spacing w:before="240"/>
        <w:ind w:left="1843" w:hanging="1134"/>
        <w:rPr>
          <w:rFonts w:eastAsia="Arial Unicode MS"/>
          <w:noProof/>
          <w:szCs w:val="24"/>
        </w:rPr>
      </w:pPr>
      <w:r>
        <w:rPr>
          <w:noProof/>
        </w:rPr>
        <w:t>Partie 3:</w:t>
      </w:r>
      <w:r>
        <w:rPr>
          <w:noProof/>
        </w:rPr>
        <w:tab/>
        <w:t>Le numéro de la dernière directive modificative ou du dernier règlement modificatif, y compris les actes d’exécution, applicable à la réception par type conformément aux tirets suivants. Toutefois, lorsqu’une telle directive modificative ou un tel règlement modificateur (ou l’acte d’exécution applicable) n’existe pas encore, le numéro visé dans la partie 2 est repris à la partie 3:</w:t>
      </w:r>
    </w:p>
    <w:p>
      <w:pPr>
        <w:spacing w:after="0"/>
        <w:ind w:left="2268" w:hanging="425"/>
        <w:rPr>
          <w:rFonts w:eastAsia="Arial Unicode MS"/>
          <w:noProof/>
          <w:szCs w:val="24"/>
        </w:rPr>
      </w:pPr>
      <w:r>
        <w:rPr>
          <w:noProof/>
        </w:rPr>
        <w:t>—</w:t>
      </w:r>
      <w:r>
        <w:rPr>
          <w:noProof/>
        </w:rPr>
        <w:tab/>
        <w:t>dans le cas des réceptions par type de véhicules entiers, il s’agit de la dernière directive ou du dernier règlement modifiant un article (ou des articles) du règlement (UE) n</w:t>
      </w:r>
      <w:r>
        <w:rPr>
          <w:noProof/>
          <w:vertAlign w:val="superscript"/>
        </w:rPr>
        <w:t>o</w:t>
      </w:r>
      <w:r>
        <w:rPr>
          <w:noProof/>
        </w:rPr>
        <w:t> XXX/201X;</w:t>
      </w:r>
    </w:p>
    <w:p>
      <w:pPr>
        <w:spacing w:before="240" w:after="0"/>
        <w:ind w:left="1134" w:hanging="425"/>
        <w:jc w:val="left"/>
        <w:rPr>
          <w:rFonts w:eastAsia="Arial Unicode MS"/>
          <w:noProof/>
          <w:szCs w:val="24"/>
        </w:rPr>
      </w:pPr>
      <w:r>
        <w:rPr>
          <w:noProof/>
        </w:rPr>
        <w:t>_______________</w:t>
      </w:r>
    </w:p>
    <w:p>
      <w:pPr>
        <w:spacing w:before="0" w:after="0"/>
        <w:ind w:left="1134" w:hanging="425"/>
        <w:rPr>
          <w:rFonts w:eastAsia="Arial Unicode MS"/>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 xml:space="preserve">Les composants et les entités techniques distinctes sont marqués conformément aux dispositions des actes réglementaires applicables. </w:t>
      </w:r>
    </w:p>
    <w:p>
      <w:pPr>
        <w:spacing w:after="0"/>
        <w:ind w:left="2268" w:hanging="425"/>
        <w:jc w:val="left"/>
        <w:rPr>
          <w:rFonts w:eastAsia="Arial Unicode MS"/>
          <w:noProof/>
          <w:szCs w:val="24"/>
        </w:rPr>
      </w:pPr>
    </w:p>
    <w:p>
      <w:pPr>
        <w:spacing w:after="0"/>
        <w:ind w:left="2268" w:hanging="425"/>
        <w:rPr>
          <w:rFonts w:eastAsia="Arial Unicode MS"/>
          <w:noProof/>
          <w:szCs w:val="24"/>
        </w:rPr>
      </w:pPr>
      <w:r>
        <w:rPr>
          <w:noProof/>
        </w:rPr>
        <w:t>—</w:t>
      </w:r>
      <w:r>
        <w:rPr>
          <w:noProof/>
        </w:rPr>
        <w:tab/>
        <w:t>dans le cas des réceptions par type de véhicules entiers délivrées selon la procédure décrite à l’article 39, il s’agit de la dernière directive ou du dernier règlement modifiant un ou des articles du règlement (UE) n</w:t>
      </w:r>
      <w:r>
        <w:rPr>
          <w:noProof/>
          <w:vertAlign w:val="superscript"/>
        </w:rPr>
        <w:t>o</w:t>
      </w:r>
      <w:r>
        <w:rPr>
          <w:noProof/>
        </w:rPr>
        <w:t> XXX/201X, à ceci près que les deux premiers chiffres (par exemple 20) sont remplacés par les lettres KS en majuscules;</w:t>
      </w:r>
    </w:p>
    <w:p>
      <w:pPr>
        <w:spacing w:after="0"/>
        <w:ind w:left="2268" w:hanging="425"/>
        <w:rPr>
          <w:rFonts w:eastAsia="Arial Unicode MS"/>
          <w:noProof/>
          <w:szCs w:val="24"/>
        </w:rPr>
      </w:pPr>
      <w:r>
        <w:rPr>
          <w:noProof/>
        </w:rPr>
        <w:t>—</w:t>
      </w:r>
      <w:r>
        <w:rPr>
          <w:noProof/>
        </w:rPr>
        <w:tab/>
        <w:t>il s’agit de la dernière directive ou du dernier règlement contenant les dispositions précises auxquelles le système, le composant ou l’entité technique est conforme;</w:t>
      </w:r>
    </w:p>
    <w:p>
      <w:pPr>
        <w:spacing w:after="0"/>
        <w:ind w:left="2268" w:hanging="425"/>
        <w:rPr>
          <w:rFonts w:eastAsia="Arial Unicode MS"/>
          <w:noProof/>
          <w:szCs w:val="24"/>
        </w:rPr>
      </w:pPr>
      <w:r>
        <w:rPr>
          <w:noProof/>
        </w:rPr>
        <w:t>—</w:t>
      </w:r>
      <w:r>
        <w:rPr>
          <w:noProof/>
        </w:rPr>
        <w:tab/>
        <w:t>il s’agit du dernier règlement, contenant des modifications aux mesures d’exécution du règlement (CE) n</w:t>
      </w:r>
      <w:r>
        <w:rPr>
          <w:noProof/>
          <w:vertAlign w:val="superscript"/>
        </w:rPr>
        <w:t>o</w:t>
      </w:r>
      <w:r>
        <w:rPr>
          <w:noProof/>
        </w:rPr>
        <w:t> 661/2009, auquel un système, un composant ou une entité technique est conforme;</w:t>
      </w:r>
    </w:p>
    <w:p>
      <w:pPr>
        <w:ind w:left="2268" w:hanging="425"/>
        <w:rPr>
          <w:rFonts w:eastAsia="Arial Unicode MS"/>
          <w:noProof/>
          <w:szCs w:val="24"/>
        </w:rPr>
      </w:pPr>
      <w:r>
        <w:rPr>
          <w:noProof/>
        </w:rPr>
        <w:t>—</w:t>
      </w:r>
      <w:r>
        <w:rPr>
          <w:noProof/>
        </w:rPr>
        <w:tab/>
        <w:t xml:space="preserve">lorsqu’une directive ou un règlement (y compris ses actes d’exécution) comporte des prescriptions techniques différentes applicables à partir de dates spécifiques, la partie 3 est suivie par une lettre de l’alphabet afin de préciser les prescriptions techniques sur la base desquelles la réception a été accordée. Lorsque différentes catégories de véhicules sont concernées, la lettre peut également renvoyer à une catégorie de véhicules spécifique. </w:t>
      </w:r>
    </w:p>
    <w:p>
      <w:pPr>
        <w:ind w:left="1843" w:hanging="1134"/>
        <w:rPr>
          <w:rFonts w:eastAsia="Arial Unicode MS"/>
          <w:noProof/>
          <w:szCs w:val="24"/>
        </w:rPr>
      </w:pPr>
      <w:r>
        <w:rPr>
          <w:noProof/>
        </w:rPr>
        <w:t>Partie 4:</w:t>
      </w:r>
      <w:r>
        <w:rPr>
          <w:noProof/>
        </w:rPr>
        <w:tab/>
        <w:t>Un numéro séquentiel de quatre chiffres (commençant par des zéros, le cas échéant) pour les réceptions UE par type de véhicules entiers, ou bien quatre ou cinq chiffres pour les réceptions par type en application d’une directive particulière ou d’un règlement particulier pour indiquer le numéro de la réception par type de base. La séquence commence à 0001 pour chaque directive ou règlement de base.</w:t>
      </w:r>
    </w:p>
    <w:p>
      <w:pPr>
        <w:ind w:left="1843" w:hanging="1134"/>
        <w:rPr>
          <w:rFonts w:eastAsia="Arial Unicode MS"/>
          <w:noProof/>
          <w:szCs w:val="24"/>
        </w:rPr>
      </w:pPr>
      <w:r>
        <w:rPr>
          <w:noProof/>
        </w:rPr>
        <w:t>Partie 5:</w:t>
      </w:r>
      <w:r>
        <w:rPr>
          <w:noProof/>
        </w:rPr>
        <w:tab/>
        <w:t xml:space="preserve">Un numéro séquentiel de deux chiffres (commençant par des zéros, le cas échéant) pour indiquer l’extension. La séquence commence à 00 pour chaque numéro de réception de base. </w:t>
      </w:r>
    </w:p>
    <w:p>
      <w:pPr>
        <w:ind w:left="709" w:hanging="709"/>
        <w:rPr>
          <w:noProof/>
        </w:rPr>
      </w:pPr>
      <w:r>
        <w:rPr>
          <w:noProof/>
        </w:rPr>
        <w:t>2.</w:t>
      </w:r>
      <w:r>
        <w:rPr>
          <w:noProof/>
        </w:rPr>
        <w:tab/>
        <w:t>Dans le cas de la réception UE par type d’un véhicule entier, la partie 2 est omise.</w:t>
      </w:r>
    </w:p>
    <w:p>
      <w:pPr>
        <w:pStyle w:val="Text1"/>
        <w:ind w:left="709"/>
        <w:rPr>
          <w:noProof/>
        </w:rPr>
      </w:pPr>
      <w:r>
        <w:rPr>
          <w:noProof/>
        </w:rPr>
        <w:t>Toutefois, dans le cas de la réception nationale par type délivrée pour des véhicules produits en petites séries conformément à l’article 40, la partie 2 est remplacée par les lettres NKS en majuscules.</w:t>
      </w:r>
    </w:p>
    <w:p>
      <w:pPr>
        <w:spacing w:after="0"/>
        <w:ind w:left="709" w:hanging="709"/>
        <w:rPr>
          <w:rFonts w:eastAsia="Arial Unicode MS"/>
          <w:noProof/>
          <w:szCs w:val="24"/>
        </w:rPr>
      </w:pPr>
      <w:r>
        <w:rPr>
          <w:noProof/>
        </w:rPr>
        <w:t>3.</w:t>
      </w:r>
      <w:r>
        <w:rPr>
          <w:noProof/>
        </w:rPr>
        <w:tab/>
        <w:t>La partie 5 est omise uniquement sur la ou les plaques réglementaires du véhicule.</w:t>
      </w:r>
    </w:p>
    <w:p>
      <w:pPr>
        <w:spacing w:after="0"/>
        <w:ind w:left="709" w:hanging="709"/>
        <w:rPr>
          <w:rFonts w:eastAsia="Arial Unicode MS"/>
          <w:noProof/>
          <w:szCs w:val="24"/>
        </w:rPr>
      </w:pPr>
      <w:r>
        <w:rPr>
          <w:noProof/>
        </w:rPr>
        <w:t>4.</w:t>
      </w:r>
      <w:r>
        <w:rPr>
          <w:noProof/>
        </w:rPr>
        <w:tab/>
        <w:t>Structure des numéros de réception par type</w:t>
      </w:r>
    </w:p>
    <w:p>
      <w:pPr>
        <w:spacing w:after="0"/>
        <w:ind w:left="709" w:hanging="709"/>
        <w:rPr>
          <w:rFonts w:eastAsia="Arial Unicode MS"/>
          <w:noProof/>
          <w:szCs w:val="24"/>
        </w:rPr>
      </w:pPr>
      <w:r>
        <w:rPr>
          <w:noProof/>
        </w:rPr>
        <w:t>4.1.</w:t>
      </w:r>
      <w:r>
        <w:rPr>
          <w:noProof/>
        </w:rPr>
        <w:tab/>
        <w:t>Exemple d’une troisième réception par type (pour laquelle aucune extension n’a encore été accordée) délivrée par la France</w:t>
      </w:r>
    </w:p>
    <w:p>
      <w:pPr>
        <w:spacing w:after="0"/>
        <w:ind w:left="1134" w:hanging="425"/>
        <w:rPr>
          <w:rFonts w:eastAsia="Arial Unicode MS"/>
          <w:noProof/>
          <w:szCs w:val="24"/>
        </w:rPr>
      </w:pPr>
      <w:r>
        <w:rPr>
          <w:noProof/>
        </w:rPr>
        <w:t>i)</w:t>
      </w:r>
      <w:r>
        <w:rPr>
          <w:noProof/>
        </w:rPr>
        <w:tab/>
        <w:t>conformément au règlement (UE) n</w:t>
      </w:r>
      <w:r>
        <w:rPr>
          <w:noProof/>
          <w:vertAlign w:val="superscript"/>
        </w:rPr>
        <w:t>o</w:t>
      </w:r>
      <w:r>
        <w:rPr>
          <w:noProof/>
        </w:rPr>
        <w:t> 1008/2010 de la Commission (</w:t>
      </w:r>
      <w:r>
        <w:rPr>
          <w:noProof/>
          <w:vertAlign w:val="superscript"/>
        </w:rPr>
        <w:t>2</w:t>
      </w:r>
      <w:r>
        <w:rPr>
          <w:noProof/>
        </w:rPr>
        <w:t>) (dispositifs d’essuie-glace et de lave-glace du pare-brise):</w:t>
      </w:r>
    </w:p>
    <w:p>
      <w:pPr>
        <w:spacing w:after="0"/>
        <w:ind w:left="1134"/>
        <w:rPr>
          <w:rFonts w:eastAsia="Arial Unicode MS"/>
          <w:noProof/>
          <w:szCs w:val="24"/>
        </w:rPr>
      </w:pPr>
      <w:r>
        <w:rPr>
          <w:noProof/>
        </w:rPr>
        <w:t>e2*1008/2010*1008/2010*00003*00</w:t>
      </w:r>
    </w:p>
    <w:p>
      <w:pPr>
        <w:spacing w:after="0"/>
        <w:ind w:left="1134" w:hanging="425"/>
        <w:rPr>
          <w:rFonts w:eastAsia="Arial Unicode MS"/>
          <w:noProof/>
          <w:szCs w:val="24"/>
        </w:rPr>
      </w:pPr>
      <w:r>
        <w:rPr>
          <w:noProof/>
        </w:rPr>
        <w:t>ii)</w:t>
      </w:r>
      <w:r>
        <w:rPr>
          <w:noProof/>
        </w:rPr>
        <w:tab/>
        <w:t>conformément au règlement (UE) n</w:t>
      </w:r>
      <w:r>
        <w:rPr>
          <w:noProof/>
          <w:vertAlign w:val="superscript"/>
        </w:rPr>
        <w:t>o</w:t>
      </w:r>
      <w:r>
        <w:rPr>
          <w:noProof/>
        </w:rPr>
        <w:t> 19/2011 de la Commission (</w:t>
      </w:r>
      <w:r>
        <w:rPr>
          <w:noProof/>
          <w:vertAlign w:val="superscript"/>
        </w:rPr>
        <w:t>3</w:t>
      </w:r>
      <w:r>
        <w:rPr>
          <w:noProof/>
        </w:rPr>
        <w:t>), tel que modifié par le règlement (UE) n</w:t>
      </w:r>
      <w:r>
        <w:rPr>
          <w:noProof/>
          <w:vertAlign w:val="superscript"/>
        </w:rPr>
        <w:t>o</w:t>
      </w:r>
      <w:r>
        <w:rPr>
          <w:noProof/>
        </w:rPr>
        <w:t> 249/2012 de la Commission (</w:t>
      </w:r>
      <w:r>
        <w:rPr>
          <w:noProof/>
          <w:vertAlign w:val="superscript"/>
        </w:rPr>
        <w:t>4</w:t>
      </w:r>
      <w:r>
        <w:rPr>
          <w:noProof/>
        </w:rPr>
        <w:t>) (marquages réglementaires):</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Exemple de deuxième extension de la quatrième réception par type d’un véhicule délivrée par le Royaume-Uni:</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t>4.3.</w:t>
      </w:r>
      <w:r>
        <w:rPr>
          <w:noProof/>
        </w:rPr>
        <w:tab/>
        <w:t>Exemple de réception UE par type d’un véhicule entier délivrée par le Luxembourg pour un véhicule produit en petite série, conformément à l’article 39:</w:t>
      </w:r>
    </w:p>
    <w:p>
      <w:pPr>
        <w:ind w:left="709"/>
        <w:rPr>
          <w:rFonts w:eastAsia="Arial Unicode MS"/>
          <w:noProof/>
          <w:szCs w:val="24"/>
        </w:rPr>
      </w:pPr>
      <w:r>
        <w:rPr>
          <w:noProof/>
        </w:rPr>
        <w:t>e13*KS07/46*0001*00.</w:t>
      </w:r>
    </w:p>
    <w:p>
      <w:pPr>
        <w:spacing w:after="0"/>
        <w:ind w:left="709" w:hanging="709"/>
        <w:rPr>
          <w:rFonts w:eastAsia="Arial Unicode MS"/>
          <w:noProof/>
          <w:szCs w:val="24"/>
        </w:rPr>
      </w:pPr>
      <w:r>
        <w:rPr>
          <w:noProof/>
        </w:rPr>
        <w:t>4.4.</w:t>
      </w:r>
      <w:r>
        <w:rPr>
          <w:noProof/>
        </w:rPr>
        <w:tab/>
        <w:t>Exemple de réception nationale par type accordée par les Pays-Bas pour un véhicule produit en petite série, conformément à l’article 40:</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Exemple de numéro de réception par type devant être estampé sur la ou les plaques réglementaires du véhicule:</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t>L’annexe VII ne s’applique pas aux réceptions par type délivrées conformément aux règlements de la CEE-ONU énumérés dans l’annexe IV, dans la mesure où le système de numérotation correspondant est prévu par ces règlements de la CEE-ONU. Cependant, l’annexe VII s’applique aux réceptions UE par type délivrées au titre du règlement (CE) n</w:t>
      </w:r>
      <w:r>
        <w:rPr>
          <w:noProof/>
          <w:vertAlign w:val="superscript"/>
        </w:rPr>
        <w:t>o</w:t>
      </w:r>
      <w:r>
        <w:rPr>
          <w:noProof/>
        </w:rPr>
        <w:t> 661/2009 qui sont fondées sur des règlements de la CEE-ONU (c’est-à-dire intégration de nouvelles technologies, composants et ETD ayant fait l’objet d’une réception UE par type, essais virtuels et essais en interne). Dans ce cas, le système de numérotation suivant est appliqué:</w:t>
      </w:r>
    </w:p>
    <w:p>
      <w:pPr>
        <w:ind w:left="709"/>
        <w:rPr>
          <w:rFonts w:eastAsia="Times New Roman"/>
          <w:noProof/>
          <w:szCs w:val="20"/>
        </w:rPr>
      </w:pPr>
      <w:r>
        <w:rPr>
          <w:noProof/>
        </w:rPr>
        <w:t>Partie 1: comme à la section 1 ci-dessus</w:t>
      </w:r>
    </w:p>
    <w:p>
      <w:pPr>
        <w:ind w:left="709"/>
        <w:rPr>
          <w:rFonts w:eastAsia="Times New Roman"/>
          <w:noProof/>
          <w:szCs w:val="20"/>
        </w:rPr>
      </w:pPr>
      <w:r>
        <w:rPr>
          <w:noProof/>
        </w:rPr>
        <w:t>Partie 2: «661/2009» (règlement (CE) n</w:t>
      </w:r>
      <w:r>
        <w:rPr>
          <w:noProof/>
          <w:vertAlign w:val="superscript"/>
        </w:rPr>
        <w:t>o</w:t>
      </w:r>
      <w:r>
        <w:rPr>
          <w:noProof/>
        </w:rPr>
        <w:t> 661/2009)</w:t>
      </w:r>
    </w:p>
    <w:p>
      <w:pPr>
        <w:ind w:left="709"/>
        <w:rPr>
          <w:rFonts w:eastAsia="Times New Roman"/>
          <w:noProof/>
          <w:szCs w:val="20"/>
        </w:rPr>
      </w:pPr>
      <w:r>
        <w:rPr>
          <w:noProof/>
        </w:rPr>
        <w:t>Partie 3: est indiqué tout d’abord le numéro du règlement de la CEE-ONU, suivi de «R-», puis la série d’amendements ou «00» s’il s’agit de la série initiale, suivie de «-», et enfin le niveau du complément (commençant par des zéros, le cas échéant) ou «00» lorsqu’il n’y a pas de complément à la série correspondante.</w:t>
      </w:r>
    </w:p>
    <w:p>
      <w:pPr>
        <w:ind w:left="709"/>
        <w:rPr>
          <w:rFonts w:eastAsia="Times New Roman"/>
          <w:noProof/>
          <w:szCs w:val="20"/>
        </w:rPr>
      </w:pPr>
      <w:r>
        <w:rPr>
          <w:noProof/>
        </w:rPr>
        <w:t>Partie 4: comme à la section 1 ci-dessus</w:t>
      </w:r>
    </w:p>
    <w:p>
      <w:pPr>
        <w:ind w:left="709"/>
        <w:rPr>
          <w:rFonts w:eastAsia="Times New Roman"/>
          <w:noProof/>
          <w:szCs w:val="20"/>
        </w:rPr>
      </w:pPr>
      <w:r>
        <w:rPr>
          <w:noProof/>
        </w:rPr>
        <w:t xml:space="preserve">Partie 5: comme à la section 1 ci-dessus </w:t>
      </w:r>
    </w:p>
    <w:p>
      <w:pPr>
        <w:ind w:left="709"/>
        <w:rPr>
          <w:rFonts w:eastAsia="Times New Roman"/>
          <w:noProof/>
          <w:szCs w:val="20"/>
        </w:rPr>
      </w:pPr>
      <w:r>
        <w:rPr>
          <w:noProof/>
        </w:rPr>
        <w:t>Exemples:</w:t>
      </w:r>
    </w:p>
    <w:p>
      <w:pPr>
        <w:ind w:left="709"/>
        <w:rPr>
          <w:rFonts w:eastAsia="Times New Roman"/>
          <w:noProof/>
          <w:szCs w:val="20"/>
        </w:rPr>
      </w:pPr>
      <w:r>
        <w:rPr>
          <w:noProof/>
        </w:rPr>
        <w:t>e1*661/2009*13-HR-10-05*00001*00</w:t>
      </w:r>
      <w:r>
        <w:rPr>
          <w:noProof/>
        </w:rPr>
        <w:br/>
        <w:t>(réception par type délivrée par l’Allemagne, conformément au règlement n</w:t>
      </w:r>
      <w:r>
        <w:rPr>
          <w:noProof/>
          <w:vertAlign w:val="superscript"/>
        </w:rPr>
        <w:t>o</w:t>
      </w:r>
      <w:r>
        <w:rPr>
          <w:noProof/>
        </w:rPr>
        <w:t> 13-H de la CEE-ONU, série 10 d’amendements, niveau du complément 5, première réception délivrée, aucune extension)</w:t>
      </w:r>
    </w:p>
    <w:p>
      <w:pPr>
        <w:spacing w:after="0"/>
        <w:ind w:left="709"/>
        <w:rPr>
          <w:rFonts w:eastAsia="Arial Unicode MS"/>
          <w:noProof/>
          <w:szCs w:val="24"/>
        </w:rPr>
      </w:pPr>
      <w:r>
        <w:rPr>
          <w:noProof/>
        </w:rPr>
        <w:t>e25*661/2009*28R-00-03*0123*05</w:t>
      </w:r>
      <w:r>
        <w:rPr>
          <w:noProof/>
        </w:rPr>
        <w:br/>
        <w:t>(réception par type délivrée par la Croatie, conformément au règlement n</w:t>
      </w:r>
      <w:r>
        <w:rPr>
          <w:noProof/>
          <w:vertAlign w:val="superscript"/>
        </w:rPr>
        <w:t>o</w:t>
      </w:r>
      <w:r>
        <w:rPr>
          <w:noProof/>
        </w:rPr>
        <w:t> 28 de la CEE-ONU, série initiale d’amendements, niveau du complément 3, 123</w:t>
      </w:r>
      <w:r>
        <w:rPr>
          <w:noProof/>
          <w:vertAlign w:val="superscript"/>
        </w:rPr>
        <w:t>e</w:t>
      </w:r>
      <w:r>
        <w:rPr>
          <w:noProof/>
        </w:rPr>
        <w:t xml:space="preserve"> réception délivrée, 5</w:t>
      </w:r>
      <w:r>
        <w:rPr>
          <w:noProof/>
          <w:vertAlign w:val="superscript"/>
        </w:rPr>
        <w:t>e</w:t>
      </w:r>
      <w:r>
        <w:rPr>
          <w:noProof/>
        </w:rPr>
        <w:t xml:space="preserve"> extension)</w:t>
      </w:r>
    </w:p>
    <w:p>
      <w:pPr>
        <w:spacing w:before="0" w:after="0"/>
        <w:jc w:val="left"/>
        <w:rPr>
          <w:rFonts w:eastAsia="Arial Unicode MS"/>
          <w:noProof/>
          <w:szCs w:val="24"/>
        </w:rPr>
      </w:pPr>
      <w:r>
        <w:rPr>
          <w:rFonts w:eastAsia="Arial Unicode MS"/>
          <w:noProof/>
          <w:szCs w:val="24"/>
        </w:rPr>
        <w:pict>
          <v:rect id="_x0000_i1046" style="width:45.35pt;height:.75pt" o:hrpct="100" o:hralign="center" o:hrstd="t" o:hrnoshade="t" o:hr="t" fillcolor="black" stroked="f"/>
        </w:pict>
      </w:r>
    </w:p>
    <w:p>
      <w:pPr>
        <w:spacing w:before="0" w:after="0"/>
        <w:ind w:left="426" w:hanging="426"/>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Règlement (UE) n</w:t>
      </w:r>
      <w:r>
        <w:rPr>
          <w:noProof/>
          <w:sz w:val="20"/>
          <w:szCs w:val="20"/>
          <w:vertAlign w:val="superscript"/>
        </w:rPr>
        <w:t>o</w:t>
      </w:r>
      <w:r>
        <w:rPr>
          <w:noProof/>
          <w:sz w:val="20"/>
          <w:szCs w:val="20"/>
        </w:rPr>
        <w:t> 1008/2010 de la Commission du 9 novembre 2010 concernant les prescriptions pour la réception des dispositifs d’essuie-glace et de lave-glace du pare-brise de certains véhicules à moteur et mettant en œuvre le règlement (CE) n</w:t>
      </w:r>
      <w:r>
        <w:rPr>
          <w:noProof/>
          <w:sz w:val="20"/>
          <w:szCs w:val="20"/>
          <w:vertAlign w:val="superscript"/>
        </w:rPr>
        <w:t>o</w:t>
      </w:r>
      <w:r>
        <w:rPr>
          <w:noProof/>
          <w:sz w:val="20"/>
          <w:szCs w:val="20"/>
        </w:rPr>
        <w:t> 661/2009 du Parlement européen et du Conseil concernant les prescriptions pour l’homologation relatives à la sécurité générale des véhicules à moteur, de leurs remorques et des systèmes, composants et entités techniques distinctes qui leur sont destinés (JO L 292 du 10.11.2010, p. 2).</w:t>
      </w:r>
    </w:p>
    <w:p>
      <w:pPr>
        <w:spacing w:before="0" w:after="0"/>
        <w:ind w:left="426" w:hanging="426"/>
        <w:rPr>
          <w:rFonts w:eastAsia="Arial Unicode MS"/>
          <w:noProof/>
          <w:sz w:val="20"/>
          <w:szCs w:val="20"/>
        </w:rPr>
      </w:pPr>
      <w:r>
        <w:rPr>
          <w:noProof/>
          <w:sz w:val="20"/>
          <w:szCs w:val="20"/>
        </w:rPr>
        <w:t>(</w:t>
      </w:r>
      <w:r>
        <w:rPr>
          <w:noProof/>
          <w:sz w:val="20"/>
          <w:szCs w:val="20"/>
          <w:vertAlign w:val="superscript"/>
        </w:rPr>
        <w:t>3</w:t>
      </w:r>
      <w:r>
        <w:rPr>
          <w:noProof/>
          <w:sz w:val="20"/>
          <w:szCs w:val="20"/>
        </w:rPr>
        <w:t>)</w:t>
      </w:r>
      <w:r>
        <w:rPr>
          <w:noProof/>
          <w:sz w:val="20"/>
          <w:szCs w:val="20"/>
        </w:rPr>
        <w:tab/>
        <w:t>Règlement (UE) n</w:t>
      </w:r>
      <w:r>
        <w:rPr>
          <w:noProof/>
          <w:sz w:val="20"/>
          <w:szCs w:val="20"/>
          <w:vertAlign w:val="superscript"/>
        </w:rPr>
        <w:t>o</w:t>
      </w:r>
      <w:r>
        <w:rPr>
          <w:noProof/>
          <w:sz w:val="20"/>
          <w:szCs w:val="20"/>
        </w:rPr>
        <w:t> 19/2011 de la Commission du 11 janvier 2011 concernant les exigences pour la réception de la plaque réglementaire du constructeur et du numéro d’identification des véhicules à moteur et de leurs remorques et mettant en œuvre le règlement (CE) n</w:t>
      </w:r>
      <w:r>
        <w:rPr>
          <w:noProof/>
          <w:sz w:val="20"/>
          <w:szCs w:val="20"/>
          <w:vertAlign w:val="superscript"/>
        </w:rPr>
        <w:t>o</w:t>
      </w:r>
      <w:r>
        <w:rPr>
          <w:noProof/>
          <w:sz w:val="20"/>
          <w:szCs w:val="20"/>
        </w:rPr>
        <w:t> 661/2009 du Parlement européen et du Conseil concernant les prescriptions pour l’homologation relatives à la sécurité générale des véhicules à moteur, de leurs remorques et des systèmes, composants et entités techniques distinctes qui leur sont destinés (JO L 8 du 12.1.2011, p. 1).</w:t>
      </w:r>
    </w:p>
    <w:p>
      <w:pPr>
        <w:spacing w:before="0" w:after="0"/>
        <w:ind w:left="426" w:hanging="426"/>
        <w:rPr>
          <w:rFonts w:eastAsia="Arial Unicode MS"/>
          <w:noProof/>
          <w:sz w:val="20"/>
          <w:szCs w:val="20"/>
        </w:rPr>
      </w:pPr>
      <w:r>
        <w:rPr>
          <w:noProof/>
          <w:sz w:val="20"/>
          <w:szCs w:val="20"/>
        </w:rPr>
        <w:t>(</w:t>
      </w:r>
      <w:r>
        <w:rPr>
          <w:noProof/>
          <w:sz w:val="20"/>
          <w:szCs w:val="20"/>
          <w:vertAlign w:val="superscript"/>
        </w:rPr>
        <w:t>4</w:t>
      </w:r>
      <w:r>
        <w:rPr>
          <w:noProof/>
          <w:sz w:val="20"/>
          <w:szCs w:val="20"/>
        </w:rPr>
        <w:t>)</w:t>
      </w:r>
      <w:r>
        <w:rPr>
          <w:noProof/>
          <w:sz w:val="20"/>
          <w:szCs w:val="20"/>
        </w:rPr>
        <w:tab/>
        <w:t>Règlement (UE) n</w:t>
      </w:r>
      <w:r>
        <w:rPr>
          <w:noProof/>
          <w:sz w:val="20"/>
          <w:szCs w:val="20"/>
          <w:vertAlign w:val="superscript"/>
        </w:rPr>
        <w:t>o</w:t>
      </w:r>
      <w:r>
        <w:rPr>
          <w:noProof/>
          <w:sz w:val="20"/>
          <w:szCs w:val="20"/>
        </w:rPr>
        <w:t> 249/2012 de la Commission du 21 mars 2012 modifiant le règlement (UE) n</w:t>
      </w:r>
      <w:r>
        <w:rPr>
          <w:noProof/>
          <w:sz w:val="20"/>
          <w:szCs w:val="20"/>
          <w:vertAlign w:val="superscript"/>
        </w:rPr>
        <w:t>o</w:t>
      </w:r>
      <w:r>
        <w:rPr>
          <w:noProof/>
          <w:sz w:val="20"/>
          <w:szCs w:val="20"/>
        </w:rPr>
        <w:t> 19/2011 en ce qui concerne les exigences pour la réception de la plaque réglementaire des véhicules à moteur et de leurs remorques (JO L 82 du 22.3.2012, p. 1).</w:t>
      </w:r>
    </w:p>
    <w:p>
      <w:pPr>
        <w:spacing w:before="0"/>
        <w:jc w:val="center"/>
        <w:rPr>
          <w:rFonts w:eastAsia="Arial Unicode MS"/>
          <w:i/>
          <w:iCs/>
          <w:noProof/>
          <w:szCs w:val="24"/>
        </w:rPr>
      </w:pPr>
      <w:r>
        <w:rPr>
          <w:noProof/>
        </w:rPr>
        <w:br w:type="page"/>
      </w:r>
      <w:r>
        <w:rPr>
          <w:i/>
          <w:noProof/>
        </w:rPr>
        <w:t>Appendice</w:t>
      </w:r>
    </w:p>
    <w:p>
      <w:pPr>
        <w:spacing w:before="240" w:after="240"/>
        <w:jc w:val="center"/>
        <w:rPr>
          <w:rFonts w:eastAsia="Arial Unicode MS"/>
          <w:b/>
          <w:bCs/>
          <w:noProof/>
          <w:szCs w:val="24"/>
        </w:rPr>
      </w:pPr>
      <w:r>
        <w:rPr>
          <w:b/>
          <w:noProof/>
        </w:rPr>
        <w:t>Marque de réception UE par type d’un composant ou d’une entité technique distincte</w:t>
      </w:r>
    </w:p>
    <w:p>
      <w:pPr>
        <w:spacing w:after="0"/>
        <w:ind w:left="709" w:hanging="709"/>
        <w:rPr>
          <w:rFonts w:eastAsia="Arial Unicode MS"/>
          <w:noProof/>
          <w:szCs w:val="24"/>
        </w:rPr>
      </w:pPr>
      <w:r>
        <w:rPr>
          <w:noProof/>
        </w:rPr>
        <w:t>1.</w:t>
      </w:r>
      <w:r>
        <w:rPr>
          <w:noProof/>
        </w:rPr>
        <w:tab/>
        <w:t>La marque de réception UE par type d’un composant ou d’une entité technique distincte comprend les éléments suivants:</w:t>
      </w:r>
    </w:p>
    <w:p>
      <w:pPr>
        <w:ind w:left="709" w:hanging="709"/>
        <w:rPr>
          <w:rFonts w:eastAsia="Arial Unicode MS"/>
          <w:noProof/>
          <w:szCs w:val="24"/>
        </w:rPr>
      </w:pPr>
      <w:r>
        <w:rPr>
          <w:noProof/>
        </w:rPr>
        <w:t>1.1.</w:t>
      </w:r>
      <w:r>
        <w:rPr>
          <w:noProof/>
        </w:rPr>
        <w:tab/>
        <w:t>un rectangle entourant la lettre minuscule «e», suivie de la ou des lettres distinctives ou du numéro distinctif de l’État membre qui a délivré la réception UE par type du composant ou de l’entité technique distincte:</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Cs w:val="24"/>
              </w:rPr>
            </w:pPr>
            <w:r>
              <w:rPr>
                <w:noProof/>
                <w:sz w:val="22"/>
              </w:rPr>
              <w:t>1</w:t>
            </w:r>
          </w:p>
        </w:tc>
        <w:tc>
          <w:tcPr>
            <w:tcW w:w="2447" w:type="pct"/>
            <w:hideMark/>
          </w:tcPr>
          <w:p>
            <w:pPr>
              <w:spacing w:before="60" w:after="60"/>
              <w:rPr>
                <w:rFonts w:eastAsia="Arial Unicode MS"/>
                <w:noProof/>
                <w:szCs w:val="24"/>
              </w:rPr>
            </w:pPr>
            <w:r>
              <w:rPr>
                <w:noProof/>
                <w:sz w:val="22"/>
              </w:rPr>
              <w:t>pour l’Allemagne;</w:t>
            </w:r>
          </w:p>
        </w:tc>
        <w:tc>
          <w:tcPr>
            <w:tcW w:w="511" w:type="pct"/>
          </w:tcPr>
          <w:p>
            <w:pPr>
              <w:spacing w:before="60" w:after="60"/>
              <w:jc w:val="left"/>
              <w:rPr>
                <w:rFonts w:eastAsia="Arial Unicode MS"/>
                <w:noProof/>
                <w:szCs w:val="24"/>
              </w:rPr>
            </w:pPr>
            <w:r>
              <w:rPr>
                <w:noProof/>
                <w:sz w:val="22"/>
              </w:rPr>
              <w:t>19</w:t>
            </w:r>
          </w:p>
        </w:tc>
        <w:tc>
          <w:tcPr>
            <w:tcW w:w="1630" w:type="pct"/>
          </w:tcPr>
          <w:p>
            <w:pPr>
              <w:spacing w:before="60" w:after="60"/>
              <w:rPr>
                <w:rFonts w:eastAsia="Arial Unicode MS"/>
                <w:noProof/>
                <w:szCs w:val="24"/>
              </w:rPr>
            </w:pPr>
            <w:r>
              <w:rPr>
                <w:noProof/>
                <w:sz w:val="22"/>
              </w:rPr>
              <w:t>pour la Roumanie;</w:t>
            </w:r>
          </w:p>
        </w:tc>
      </w:tr>
      <w:tr>
        <w:trPr>
          <w:tblCellSpacing w:w="0" w:type="dxa"/>
          <w:jc w:val="center"/>
        </w:trPr>
        <w:tc>
          <w:tcPr>
            <w:tcW w:w="412" w:type="pct"/>
            <w:hideMark/>
          </w:tcPr>
          <w:p>
            <w:pPr>
              <w:spacing w:before="60" w:after="60"/>
              <w:jc w:val="left"/>
              <w:rPr>
                <w:rFonts w:eastAsia="Arial Unicode MS"/>
                <w:noProof/>
                <w:szCs w:val="24"/>
              </w:rPr>
            </w:pPr>
            <w:r>
              <w:rPr>
                <w:noProof/>
                <w:sz w:val="22"/>
              </w:rPr>
              <w:t>2</w:t>
            </w:r>
          </w:p>
        </w:tc>
        <w:tc>
          <w:tcPr>
            <w:tcW w:w="2447" w:type="pct"/>
            <w:hideMark/>
          </w:tcPr>
          <w:p>
            <w:pPr>
              <w:spacing w:before="60" w:after="60"/>
              <w:rPr>
                <w:rFonts w:eastAsia="Arial Unicode MS"/>
                <w:noProof/>
                <w:szCs w:val="24"/>
              </w:rPr>
            </w:pPr>
            <w:r>
              <w:rPr>
                <w:noProof/>
                <w:sz w:val="22"/>
              </w:rPr>
              <w:t>pour la France;</w:t>
            </w:r>
          </w:p>
        </w:tc>
        <w:tc>
          <w:tcPr>
            <w:tcW w:w="511" w:type="pct"/>
          </w:tcPr>
          <w:p>
            <w:pPr>
              <w:spacing w:before="60" w:after="60"/>
              <w:jc w:val="left"/>
              <w:rPr>
                <w:rFonts w:eastAsia="Arial Unicode MS"/>
                <w:noProof/>
                <w:szCs w:val="24"/>
              </w:rPr>
            </w:pPr>
            <w:r>
              <w:rPr>
                <w:noProof/>
                <w:sz w:val="22"/>
              </w:rPr>
              <w:t>20</w:t>
            </w:r>
          </w:p>
        </w:tc>
        <w:tc>
          <w:tcPr>
            <w:tcW w:w="1630" w:type="pct"/>
          </w:tcPr>
          <w:p>
            <w:pPr>
              <w:spacing w:before="60" w:after="60"/>
              <w:rPr>
                <w:rFonts w:eastAsia="Arial Unicode MS"/>
                <w:noProof/>
                <w:szCs w:val="24"/>
              </w:rPr>
            </w:pPr>
            <w:r>
              <w:rPr>
                <w:noProof/>
                <w:sz w:val="22"/>
              </w:rPr>
              <w:t>pour la Pologne;</w:t>
            </w:r>
          </w:p>
        </w:tc>
      </w:tr>
      <w:tr>
        <w:trPr>
          <w:tblCellSpacing w:w="0" w:type="dxa"/>
          <w:jc w:val="center"/>
        </w:trPr>
        <w:tc>
          <w:tcPr>
            <w:tcW w:w="412" w:type="pct"/>
            <w:hideMark/>
          </w:tcPr>
          <w:p>
            <w:pPr>
              <w:spacing w:before="60" w:after="60"/>
              <w:jc w:val="left"/>
              <w:rPr>
                <w:rFonts w:eastAsia="Arial Unicode MS"/>
                <w:noProof/>
                <w:szCs w:val="24"/>
              </w:rPr>
            </w:pPr>
            <w:r>
              <w:rPr>
                <w:noProof/>
                <w:sz w:val="22"/>
              </w:rPr>
              <w:t>3</w:t>
            </w:r>
          </w:p>
        </w:tc>
        <w:tc>
          <w:tcPr>
            <w:tcW w:w="2447" w:type="pct"/>
            <w:hideMark/>
          </w:tcPr>
          <w:p>
            <w:pPr>
              <w:spacing w:before="60" w:after="60"/>
              <w:rPr>
                <w:rFonts w:eastAsia="Arial Unicode MS"/>
                <w:noProof/>
                <w:szCs w:val="24"/>
              </w:rPr>
            </w:pPr>
            <w:r>
              <w:rPr>
                <w:noProof/>
                <w:sz w:val="22"/>
              </w:rPr>
              <w:t>pour l’Italie;</w:t>
            </w:r>
          </w:p>
        </w:tc>
        <w:tc>
          <w:tcPr>
            <w:tcW w:w="511" w:type="pct"/>
          </w:tcPr>
          <w:p>
            <w:pPr>
              <w:spacing w:before="60" w:after="60"/>
              <w:jc w:val="left"/>
              <w:rPr>
                <w:rFonts w:eastAsia="Arial Unicode MS"/>
                <w:noProof/>
                <w:szCs w:val="24"/>
              </w:rPr>
            </w:pPr>
            <w:r>
              <w:rPr>
                <w:noProof/>
                <w:sz w:val="22"/>
              </w:rPr>
              <w:t>21</w:t>
            </w:r>
          </w:p>
        </w:tc>
        <w:tc>
          <w:tcPr>
            <w:tcW w:w="1630" w:type="pct"/>
          </w:tcPr>
          <w:p>
            <w:pPr>
              <w:spacing w:before="60" w:after="60"/>
              <w:rPr>
                <w:rFonts w:eastAsia="Arial Unicode MS"/>
                <w:noProof/>
                <w:szCs w:val="24"/>
              </w:rPr>
            </w:pPr>
            <w:r>
              <w:rPr>
                <w:noProof/>
                <w:sz w:val="22"/>
              </w:rPr>
              <w:t>pour le Portugal;</w:t>
            </w:r>
          </w:p>
        </w:tc>
      </w:tr>
      <w:tr>
        <w:trPr>
          <w:tblCellSpacing w:w="0" w:type="dxa"/>
          <w:jc w:val="center"/>
        </w:trPr>
        <w:tc>
          <w:tcPr>
            <w:tcW w:w="412" w:type="pct"/>
            <w:hideMark/>
          </w:tcPr>
          <w:p>
            <w:pPr>
              <w:spacing w:before="60" w:after="60"/>
              <w:jc w:val="left"/>
              <w:rPr>
                <w:rFonts w:eastAsia="Arial Unicode MS"/>
                <w:noProof/>
                <w:szCs w:val="24"/>
              </w:rPr>
            </w:pPr>
            <w:r>
              <w:rPr>
                <w:noProof/>
                <w:sz w:val="22"/>
              </w:rPr>
              <w:t>4</w:t>
            </w:r>
          </w:p>
        </w:tc>
        <w:tc>
          <w:tcPr>
            <w:tcW w:w="2447" w:type="pct"/>
            <w:hideMark/>
          </w:tcPr>
          <w:p>
            <w:pPr>
              <w:spacing w:before="60" w:after="60"/>
              <w:rPr>
                <w:rFonts w:eastAsia="Arial Unicode MS"/>
                <w:noProof/>
                <w:szCs w:val="24"/>
              </w:rPr>
            </w:pPr>
            <w:r>
              <w:rPr>
                <w:noProof/>
                <w:sz w:val="22"/>
              </w:rPr>
              <w:t>pour les Pays-Bas;</w:t>
            </w:r>
          </w:p>
        </w:tc>
        <w:tc>
          <w:tcPr>
            <w:tcW w:w="511" w:type="pct"/>
          </w:tcPr>
          <w:p>
            <w:pPr>
              <w:spacing w:before="60" w:after="60"/>
              <w:jc w:val="left"/>
              <w:rPr>
                <w:rFonts w:eastAsia="Arial Unicode MS"/>
                <w:noProof/>
                <w:szCs w:val="24"/>
              </w:rPr>
            </w:pPr>
            <w:r>
              <w:rPr>
                <w:noProof/>
                <w:sz w:val="22"/>
              </w:rPr>
              <w:t>23</w:t>
            </w:r>
          </w:p>
        </w:tc>
        <w:tc>
          <w:tcPr>
            <w:tcW w:w="1630" w:type="pct"/>
          </w:tcPr>
          <w:p>
            <w:pPr>
              <w:spacing w:before="60" w:after="60"/>
              <w:rPr>
                <w:rFonts w:eastAsia="Arial Unicode MS"/>
                <w:noProof/>
                <w:szCs w:val="24"/>
              </w:rPr>
            </w:pPr>
            <w:r>
              <w:rPr>
                <w:noProof/>
                <w:sz w:val="22"/>
              </w:rPr>
              <w:t>pour la Grèce;</w:t>
            </w:r>
          </w:p>
        </w:tc>
      </w:tr>
      <w:tr>
        <w:trPr>
          <w:tblCellSpacing w:w="0" w:type="dxa"/>
          <w:jc w:val="center"/>
        </w:trPr>
        <w:tc>
          <w:tcPr>
            <w:tcW w:w="412" w:type="pct"/>
            <w:hideMark/>
          </w:tcPr>
          <w:p>
            <w:pPr>
              <w:spacing w:before="60" w:after="60"/>
              <w:jc w:val="left"/>
              <w:rPr>
                <w:rFonts w:eastAsia="Arial Unicode MS"/>
                <w:noProof/>
                <w:szCs w:val="24"/>
              </w:rPr>
            </w:pPr>
            <w:r>
              <w:rPr>
                <w:noProof/>
                <w:sz w:val="22"/>
              </w:rPr>
              <w:t>5</w:t>
            </w:r>
          </w:p>
        </w:tc>
        <w:tc>
          <w:tcPr>
            <w:tcW w:w="2447" w:type="pct"/>
            <w:hideMark/>
          </w:tcPr>
          <w:p>
            <w:pPr>
              <w:spacing w:before="60" w:after="60"/>
              <w:rPr>
                <w:rFonts w:eastAsia="Arial Unicode MS"/>
                <w:noProof/>
                <w:szCs w:val="24"/>
              </w:rPr>
            </w:pPr>
            <w:r>
              <w:rPr>
                <w:noProof/>
                <w:sz w:val="22"/>
              </w:rPr>
              <w:t>pour la Suède;</w:t>
            </w:r>
          </w:p>
        </w:tc>
        <w:tc>
          <w:tcPr>
            <w:tcW w:w="511" w:type="pct"/>
          </w:tcPr>
          <w:p>
            <w:pPr>
              <w:spacing w:before="60" w:after="60"/>
              <w:jc w:val="left"/>
              <w:rPr>
                <w:rFonts w:eastAsia="Arial Unicode MS"/>
                <w:noProof/>
                <w:szCs w:val="24"/>
              </w:rPr>
            </w:pPr>
            <w:r>
              <w:rPr>
                <w:noProof/>
                <w:sz w:val="22"/>
              </w:rPr>
              <w:t>24</w:t>
            </w:r>
          </w:p>
        </w:tc>
        <w:tc>
          <w:tcPr>
            <w:tcW w:w="1630" w:type="pct"/>
          </w:tcPr>
          <w:p>
            <w:pPr>
              <w:spacing w:before="60" w:after="60"/>
              <w:rPr>
                <w:rFonts w:eastAsia="Arial Unicode MS"/>
                <w:noProof/>
                <w:szCs w:val="24"/>
              </w:rPr>
            </w:pPr>
            <w:r>
              <w:rPr>
                <w:noProof/>
                <w:sz w:val="22"/>
              </w:rPr>
              <w:t>pour l’Irlande;</w:t>
            </w:r>
          </w:p>
        </w:tc>
      </w:tr>
      <w:tr>
        <w:trPr>
          <w:tblCellSpacing w:w="0" w:type="dxa"/>
          <w:jc w:val="center"/>
        </w:trPr>
        <w:tc>
          <w:tcPr>
            <w:tcW w:w="412" w:type="pct"/>
            <w:hideMark/>
          </w:tcPr>
          <w:p>
            <w:pPr>
              <w:spacing w:before="60" w:after="60"/>
              <w:jc w:val="left"/>
              <w:rPr>
                <w:rFonts w:eastAsia="Arial Unicode MS"/>
                <w:noProof/>
                <w:szCs w:val="24"/>
              </w:rPr>
            </w:pPr>
            <w:r>
              <w:rPr>
                <w:noProof/>
                <w:sz w:val="22"/>
              </w:rPr>
              <w:t>6</w:t>
            </w:r>
          </w:p>
        </w:tc>
        <w:tc>
          <w:tcPr>
            <w:tcW w:w="2447" w:type="pct"/>
            <w:hideMark/>
          </w:tcPr>
          <w:p>
            <w:pPr>
              <w:spacing w:before="60" w:after="60"/>
              <w:rPr>
                <w:rFonts w:eastAsia="Arial Unicode MS"/>
                <w:noProof/>
                <w:szCs w:val="24"/>
              </w:rPr>
            </w:pPr>
            <w:r>
              <w:rPr>
                <w:noProof/>
                <w:sz w:val="22"/>
              </w:rPr>
              <w:t>pour la Belgique;</w:t>
            </w:r>
          </w:p>
        </w:tc>
        <w:tc>
          <w:tcPr>
            <w:tcW w:w="511" w:type="pct"/>
          </w:tcPr>
          <w:p>
            <w:pPr>
              <w:spacing w:before="60" w:after="60"/>
              <w:jc w:val="left"/>
              <w:rPr>
                <w:rFonts w:eastAsia="Arial Unicode MS"/>
                <w:noProof/>
                <w:szCs w:val="24"/>
              </w:rPr>
            </w:pPr>
            <w:r>
              <w:rPr>
                <w:noProof/>
                <w:sz w:val="22"/>
              </w:rPr>
              <w:t>25</w:t>
            </w:r>
          </w:p>
        </w:tc>
        <w:tc>
          <w:tcPr>
            <w:tcW w:w="1630" w:type="pct"/>
          </w:tcPr>
          <w:p>
            <w:pPr>
              <w:spacing w:before="60" w:after="60"/>
              <w:rPr>
                <w:rFonts w:eastAsia="Arial Unicode MS"/>
                <w:noProof/>
                <w:szCs w:val="24"/>
              </w:rPr>
            </w:pPr>
            <w:r>
              <w:rPr>
                <w:noProof/>
                <w:sz w:val="22"/>
              </w:rPr>
              <w:t>pour la Croatie;</w:t>
            </w:r>
          </w:p>
        </w:tc>
      </w:tr>
      <w:tr>
        <w:trPr>
          <w:tblCellSpacing w:w="0" w:type="dxa"/>
          <w:jc w:val="center"/>
        </w:trPr>
        <w:tc>
          <w:tcPr>
            <w:tcW w:w="412" w:type="pct"/>
            <w:hideMark/>
          </w:tcPr>
          <w:p>
            <w:pPr>
              <w:spacing w:before="60" w:after="60"/>
              <w:jc w:val="left"/>
              <w:rPr>
                <w:rFonts w:eastAsia="Arial Unicode MS"/>
                <w:noProof/>
                <w:szCs w:val="24"/>
              </w:rPr>
            </w:pPr>
            <w:r>
              <w:rPr>
                <w:noProof/>
                <w:sz w:val="22"/>
              </w:rPr>
              <w:t>7</w:t>
            </w:r>
          </w:p>
        </w:tc>
        <w:tc>
          <w:tcPr>
            <w:tcW w:w="2447" w:type="pct"/>
            <w:hideMark/>
          </w:tcPr>
          <w:p>
            <w:pPr>
              <w:spacing w:before="60" w:after="60"/>
              <w:rPr>
                <w:rFonts w:eastAsia="Arial Unicode MS"/>
                <w:noProof/>
                <w:szCs w:val="24"/>
              </w:rPr>
            </w:pPr>
            <w:r>
              <w:rPr>
                <w:noProof/>
                <w:sz w:val="22"/>
              </w:rPr>
              <w:t>pour la Hongrie;</w:t>
            </w:r>
          </w:p>
        </w:tc>
        <w:tc>
          <w:tcPr>
            <w:tcW w:w="511" w:type="pct"/>
          </w:tcPr>
          <w:p>
            <w:pPr>
              <w:spacing w:before="60" w:after="60"/>
              <w:jc w:val="left"/>
              <w:rPr>
                <w:rFonts w:eastAsia="Arial Unicode MS"/>
                <w:noProof/>
                <w:szCs w:val="24"/>
              </w:rPr>
            </w:pPr>
            <w:r>
              <w:rPr>
                <w:noProof/>
                <w:sz w:val="22"/>
              </w:rPr>
              <w:t>26</w:t>
            </w:r>
          </w:p>
        </w:tc>
        <w:tc>
          <w:tcPr>
            <w:tcW w:w="1630" w:type="pct"/>
          </w:tcPr>
          <w:p>
            <w:pPr>
              <w:spacing w:before="60" w:after="60"/>
              <w:rPr>
                <w:rFonts w:eastAsia="Arial Unicode MS"/>
                <w:noProof/>
                <w:szCs w:val="24"/>
              </w:rPr>
            </w:pPr>
            <w:r>
              <w:rPr>
                <w:noProof/>
                <w:sz w:val="22"/>
              </w:rPr>
              <w:t>pour la Slovénie;</w:t>
            </w:r>
          </w:p>
        </w:tc>
      </w:tr>
      <w:tr>
        <w:trPr>
          <w:tblCellSpacing w:w="0" w:type="dxa"/>
          <w:jc w:val="center"/>
        </w:trPr>
        <w:tc>
          <w:tcPr>
            <w:tcW w:w="412" w:type="pct"/>
            <w:hideMark/>
          </w:tcPr>
          <w:p>
            <w:pPr>
              <w:spacing w:before="60" w:after="60"/>
              <w:jc w:val="left"/>
              <w:rPr>
                <w:rFonts w:eastAsia="Arial Unicode MS"/>
                <w:noProof/>
                <w:szCs w:val="24"/>
              </w:rPr>
            </w:pPr>
            <w:r>
              <w:rPr>
                <w:noProof/>
                <w:sz w:val="22"/>
              </w:rPr>
              <w:t>8</w:t>
            </w:r>
          </w:p>
        </w:tc>
        <w:tc>
          <w:tcPr>
            <w:tcW w:w="2447" w:type="pct"/>
            <w:hideMark/>
          </w:tcPr>
          <w:p>
            <w:pPr>
              <w:spacing w:before="60" w:after="60"/>
              <w:rPr>
                <w:rFonts w:eastAsia="Arial Unicode MS"/>
                <w:noProof/>
                <w:szCs w:val="24"/>
              </w:rPr>
            </w:pPr>
            <w:r>
              <w:rPr>
                <w:noProof/>
                <w:sz w:val="22"/>
              </w:rPr>
              <w:t>pour la République tchèque;</w:t>
            </w:r>
          </w:p>
        </w:tc>
        <w:tc>
          <w:tcPr>
            <w:tcW w:w="511" w:type="pct"/>
          </w:tcPr>
          <w:p>
            <w:pPr>
              <w:spacing w:before="60" w:after="60"/>
              <w:jc w:val="left"/>
              <w:rPr>
                <w:rFonts w:eastAsia="Arial Unicode MS"/>
                <w:noProof/>
                <w:szCs w:val="24"/>
              </w:rPr>
            </w:pPr>
            <w:r>
              <w:rPr>
                <w:noProof/>
                <w:sz w:val="22"/>
              </w:rPr>
              <w:t>27</w:t>
            </w:r>
          </w:p>
        </w:tc>
        <w:tc>
          <w:tcPr>
            <w:tcW w:w="1630" w:type="pct"/>
          </w:tcPr>
          <w:p>
            <w:pPr>
              <w:spacing w:before="60" w:after="60"/>
              <w:rPr>
                <w:rFonts w:eastAsia="Arial Unicode MS"/>
                <w:noProof/>
                <w:szCs w:val="24"/>
              </w:rPr>
            </w:pPr>
            <w:r>
              <w:rPr>
                <w:noProof/>
                <w:sz w:val="22"/>
              </w:rPr>
              <w:t>pour la Slovaquie;</w:t>
            </w:r>
          </w:p>
        </w:tc>
      </w:tr>
      <w:tr>
        <w:trPr>
          <w:tblCellSpacing w:w="0" w:type="dxa"/>
          <w:jc w:val="center"/>
        </w:trPr>
        <w:tc>
          <w:tcPr>
            <w:tcW w:w="412" w:type="pct"/>
            <w:hideMark/>
          </w:tcPr>
          <w:p>
            <w:pPr>
              <w:spacing w:before="60" w:after="60"/>
              <w:jc w:val="left"/>
              <w:rPr>
                <w:rFonts w:eastAsia="Arial Unicode MS"/>
                <w:noProof/>
                <w:szCs w:val="24"/>
              </w:rPr>
            </w:pPr>
            <w:r>
              <w:rPr>
                <w:noProof/>
                <w:sz w:val="22"/>
              </w:rPr>
              <w:t>9</w:t>
            </w:r>
          </w:p>
        </w:tc>
        <w:tc>
          <w:tcPr>
            <w:tcW w:w="2447" w:type="pct"/>
            <w:hideMark/>
          </w:tcPr>
          <w:p>
            <w:pPr>
              <w:spacing w:before="60" w:after="60"/>
              <w:rPr>
                <w:rFonts w:eastAsia="Arial Unicode MS"/>
                <w:noProof/>
                <w:szCs w:val="24"/>
              </w:rPr>
            </w:pPr>
            <w:r>
              <w:rPr>
                <w:noProof/>
                <w:sz w:val="22"/>
              </w:rPr>
              <w:t>pour l’Espagne;</w:t>
            </w:r>
          </w:p>
        </w:tc>
        <w:tc>
          <w:tcPr>
            <w:tcW w:w="511" w:type="pct"/>
          </w:tcPr>
          <w:p>
            <w:pPr>
              <w:spacing w:before="60" w:after="60"/>
              <w:jc w:val="left"/>
              <w:rPr>
                <w:rFonts w:eastAsia="Arial Unicode MS"/>
                <w:noProof/>
                <w:szCs w:val="24"/>
              </w:rPr>
            </w:pPr>
            <w:r>
              <w:rPr>
                <w:noProof/>
                <w:sz w:val="22"/>
              </w:rPr>
              <w:t>29</w:t>
            </w:r>
          </w:p>
        </w:tc>
        <w:tc>
          <w:tcPr>
            <w:tcW w:w="1630" w:type="pct"/>
          </w:tcPr>
          <w:p>
            <w:pPr>
              <w:spacing w:before="60" w:after="60"/>
              <w:rPr>
                <w:rFonts w:eastAsia="Arial Unicode MS"/>
                <w:noProof/>
                <w:szCs w:val="24"/>
              </w:rPr>
            </w:pPr>
            <w:r>
              <w:rPr>
                <w:noProof/>
                <w:sz w:val="22"/>
              </w:rPr>
              <w:t>pour l’Estonie;</w:t>
            </w:r>
          </w:p>
        </w:tc>
      </w:tr>
      <w:tr>
        <w:trPr>
          <w:tblCellSpacing w:w="0" w:type="dxa"/>
          <w:jc w:val="center"/>
        </w:trPr>
        <w:tc>
          <w:tcPr>
            <w:tcW w:w="412" w:type="pct"/>
            <w:hideMark/>
          </w:tcPr>
          <w:p>
            <w:pPr>
              <w:spacing w:before="60" w:after="60"/>
              <w:jc w:val="left"/>
              <w:rPr>
                <w:rFonts w:eastAsia="Arial Unicode MS"/>
                <w:noProof/>
                <w:szCs w:val="24"/>
              </w:rPr>
            </w:pPr>
            <w:r>
              <w:rPr>
                <w:noProof/>
                <w:sz w:val="22"/>
              </w:rPr>
              <w:t>11</w:t>
            </w:r>
          </w:p>
        </w:tc>
        <w:tc>
          <w:tcPr>
            <w:tcW w:w="2447" w:type="pct"/>
            <w:hideMark/>
          </w:tcPr>
          <w:p>
            <w:pPr>
              <w:spacing w:before="60" w:after="60"/>
              <w:rPr>
                <w:rFonts w:eastAsia="Arial Unicode MS"/>
                <w:noProof/>
                <w:szCs w:val="24"/>
              </w:rPr>
            </w:pPr>
            <w:r>
              <w:rPr>
                <w:noProof/>
                <w:sz w:val="22"/>
              </w:rPr>
              <w:t>pour le Royaume-Uni;</w:t>
            </w:r>
          </w:p>
        </w:tc>
        <w:tc>
          <w:tcPr>
            <w:tcW w:w="511" w:type="pct"/>
          </w:tcPr>
          <w:p>
            <w:pPr>
              <w:spacing w:before="60" w:after="60"/>
              <w:jc w:val="left"/>
              <w:rPr>
                <w:rFonts w:eastAsia="Arial Unicode MS"/>
                <w:noProof/>
                <w:szCs w:val="24"/>
              </w:rPr>
            </w:pPr>
            <w:r>
              <w:rPr>
                <w:noProof/>
                <w:sz w:val="22"/>
              </w:rPr>
              <w:t>32</w:t>
            </w:r>
          </w:p>
        </w:tc>
        <w:tc>
          <w:tcPr>
            <w:tcW w:w="1630" w:type="pct"/>
          </w:tcPr>
          <w:p>
            <w:pPr>
              <w:spacing w:before="60" w:after="60"/>
              <w:rPr>
                <w:rFonts w:eastAsia="Arial Unicode MS"/>
                <w:noProof/>
                <w:szCs w:val="24"/>
              </w:rPr>
            </w:pPr>
            <w:r>
              <w:rPr>
                <w:noProof/>
                <w:sz w:val="22"/>
              </w:rPr>
              <w:t>pour la Lettonie;</w:t>
            </w:r>
          </w:p>
        </w:tc>
      </w:tr>
      <w:tr>
        <w:trPr>
          <w:tblCellSpacing w:w="0" w:type="dxa"/>
          <w:jc w:val="center"/>
        </w:trPr>
        <w:tc>
          <w:tcPr>
            <w:tcW w:w="412" w:type="pct"/>
            <w:hideMark/>
          </w:tcPr>
          <w:p>
            <w:pPr>
              <w:spacing w:before="60" w:after="60"/>
              <w:jc w:val="left"/>
              <w:rPr>
                <w:rFonts w:eastAsia="Arial Unicode MS"/>
                <w:noProof/>
                <w:szCs w:val="24"/>
              </w:rPr>
            </w:pPr>
            <w:r>
              <w:rPr>
                <w:noProof/>
                <w:sz w:val="22"/>
              </w:rPr>
              <w:t>12</w:t>
            </w:r>
          </w:p>
        </w:tc>
        <w:tc>
          <w:tcPr>
            <w:tcW w:w="2447" w:type="pct"/>
            <w:hideMark/>
          </w:tcPr>
          <w:p>
            <w:pPr>
              <w:spacing w:before="60" w:after="60"/>
              <w:rPr>
                <w:rFonts w:eastAsia="Arial Unicode MS"/>
                <w:noProof/>
                <w:szCs w:val="24"/>
              </w:rPr>
            </w:pPr>
            <w:r>
              <w:rPr>
                <w:noProof/>
                <w:sz w:val="22"/>
              </w:rPr>
              <w:t>pour l’Autriche;</w:t>
            </w:r>
          </w:p>
        </w:tc>
        <w:tc>
          <w:tcPr>
            <w:tcW w:w="511" w:type="pct"/>
          </w:tcPr>
          <w:p>
            <w:pPr>
              <w:spacing w:before="60" w:after="60"/>
              <w:jc w:val="left"/>
              <w:rPr>
                <w:rFonts w:eastAsia="Arial Unicode MS"/>
                <w:noProof/>
                <w:szCs w:val="24"/>
              </w:rPr>
            </w:pPr>
            <w:r>
              <w:rPr>
                <w:noProof/>
                <w:sz w:val="22"/>
              </w:rPr>
              <w:t>34</w:t>
            </w:r>
          </w:p>
        </w:tc>
        <w:tc>
          <w:tcPr>
            <w:tcW w:w="1630" w:type="pct"/>
          </w:tcPr>
          <w:p>
            <w:pPr>
              <w:spacing w:before="60" w:after="60"/>
              <w:rPr>
                <w:rFonts w:eastAsia="Arial Unicode MS"/>
                <w:noProof/>
                <w:szCs w:val="24"/>
              </w:rPr>
            </w:pPr>
            <w:r>
              <w:rPr>
                <w:noProof/>
                <w:sz w:val="22"/>
              </w:rPr>
              <w:t>pour la Bulgarie;</w:t>
            </w:r>
          </w:p>
        </w:tc>
      </w:tr>
      <w:tr>
        <w:trPr>
          <w:tblCellSpacing w:w="0" w:type="dxa"/>
          <w:jc w:val="center"/>
        </w:trPr>
        <w:tc>
          <w:tcPr>
            <w:tcW w:w="412" w:type="pct"/>
            <w:hideMark/>
          </w:tcPr>
          <w:p>
            <w:pPr>
              <w:spacing w:before="60" w:after="60"/>
              <w:jc w:val="left"/>
              <w:rPr>
                <w:rFonts w:eastAsia="Arial Unicode MS"/>
                <w:noProof/>
                <w:szCs w:val="24"/>
              </w:rPr>
            </w:pPr>
            <w:r>
              <w:rPr>
                <w:noProof/>
                <w:sz w:val="22"/>
              </w:rPr>
              <w:t>13</w:t>
            </w:r>
          </w:p>
        </w:tc>
        <w:tc>
          <w:tcPr>
            <w:tcW w:w="2447" w:type="pct"/>
            <w:hideMark/>
          </w:tcPr>
          <w:p>
            <w:pPr>
              <w:spacing w:before="60" w:after="60"/>
              <w:rPr>
                <w:rFonts w:eastAsia="Arial Unicode MS"/>
                <w:noProof/>
                <w:szCs w:val="24"/>
              </w:rPr>
            </w:pPr>
            <w:r>
              <w:rPr>
                <w:noProof/>
                <w:sz w:val="22"/>
              </w:rPr>
              <w:t>pour le Luxembourg;</w:t>
            </w:r>
          </w:p>
        </w:tc>
        <w:tc>
          <w:tcPr>
            <w:tcW w:w="511" w:type="pct"/>
          </w:tcPr>
          <w:p>
            <w:pPr>
              <w:spacing w:before="60" w:after="60"/>
              <w:jc w:val="left"/>
              <w:rPr>
                <w:rFonts w:eastAsia="Arial Unicode MS"/>
                <w:noProof/>
                <w:szCs w:val="24"/>
              </w:rPr>
            </w:pPr>
            <w:r>
              <w:rPr>
                <w:noProof/>
                <w:sz w:val="22"/>
              </w:rPr>
              <w:t>36</w:t>
            </w:r>
          </w:p>
        </w:tc>
        <w:tc>
          <w:tcPr>
            <w:tcW w:w="1630" w:type="pct"/>
          </w:tcPr>
          <w:p>
            <w:pPr>
              <w:spacing w:before="60" w:after="60"/>
              <w:rPr>
                <w:rFonts w:eastAsia="Arial Unicode MS"/>
                <w:noProof/>
                <w:szCs w:val="24"/>
              </w:rPr>
            </w:pPr>
            <w:r>
              <w:rPr>
                <w:noProof/>
                <w:sz w:val="22"/>
              </w:rPr>
              <w:t>pour la Lituanie;</w:t>
            </w:r>
          </w:p>
        </w:tc>
      </w:tr>
      <w:tr>
        <w:trPr>
          <w:tblCellSpacing w:w="0" w:type="dxa"/>
          <w:jc w:val="center"/>
        </w:trPr>
        <w:tc>
          <w:tcPr>
            <w:tcW w:w="412" w:type="pct"/>
            <w:hideMark/>
          </w:tcPr>
          <w:p>
            <w:pPr>
              <w:spacing w:before="60" w:after="60"/>
              <w:jc w:val="left"/>
              <w:rPr>
                <w:rFonts w:eastAsia="Arial Unicode MS"/>
                <w:noProof/>
                <w:szCs w:val="24"/>
              </w:rPr>
            </w:pPr>
            <w:r>
              <w:rPr>
                <w:noProof/>
                <w:sz w:val="22"/>
              </w:rPr>
              <w:t>17</w:t>
            </w:r>
          </w:p>
        </w:tc>
        <w:tc>
          <w:tcPr>
            <w:tcW w:w="2447" w:type="pct"/>
            <w:hideMark/>
          </w:tcPr>
          <w:p>
            <w:pPr>
              <w:spacing w:before="60" w:after="60"/>
              <w:rPr>
                <w:rFonts w:eastAsia="Arial Unicode MS"/>
                <w:noProof/>
                <w:szCs w:val="24"/>
              </w:rPr>
            </w:pPr>
            <w:r>
              <w:rPr>
                <w:noProof/>
                <w:sz w:val="22"/>
              </w:rPr>
              <w:t>pour la Finlande;</w:t>
            </w:r>
          </w:p>
        </w:tc>
        <w:tc>
          <w:tcPr>
            <w:tcW w:w="511" w:type="pct"/>
          </w:tcPr>
          <w:p>
            <w:pPr>
              <w:spacing w:before="60" w:after="60"/>
              <w:jc w:val="left"/>
              <w:rPr>
                <w:rFonts w:eastAsia="Arial Unicode MS"/>
                <w:noProof/>
                <w:szCs w:val="24"/>
              </w:rPr>
            </w:pPr>
            <w:r>
              <w:rPr>
                <w:noProof/>
                <w:sz w:val="22"/>
              </w:rPr>
              <w:t>49</w:t>
            </w:r>
          </w:p>
        </w:tc>
        <w:tc>
          <w:tcPr>
            <w:tcW w:w="1630" w:type="pct"/>
          </w:tcPr>
          <w:p>
            <w:pPr>
              <w:spacing w:before="60" w:after="60"/>
              <w:rPr>
                <w:rFonts w:eastAsia="Arial Unicode MS"/>
                <w:noProof/>
                <w:szCs w:val="24"/>
              </w:rPr>
            </w:pPr>
            <w:r>
              <w:rPr>
                <w:noProof/>
                <w:sz w:val="22"/>
              </w:rPr>
              <w:t>pour Chypre;</w:t>
            </w:r>
          </w:p>
        </w:tc>
      </w:tr>
      <w:tr>
        <w:trPr>
          <w:tblCellSpacing w:w="0" w:type="dxa"/>
          <w:jc w:val="center"/>
        </w:trPr>
        <w:tc>
          <w:tcPr>
            <w:tcW w:w="412" w:type="pct"/>
            <w:hideMark/>
          </w:tcPr>
          <w:p>
            <w:pPr>
              <w:spacing w:before="60" w:after="60"/>
              <w:jc w:val="left"/>
              <w:rPr>
                <w:rFonts w:eastAsia="Arial Unicode MS"/>
                <w:noProof/>
                <w:szCs w:val="24"/>
              </w:rPr>
            </w:pPr>
            <w:r>
              <w:rPr>
                <w:noProof/>
                <w:sz w:val="22"/>
              </w:rPr>
              <w:t>18</w:t>
            </w:r>
          </w:p>
        </w:tc>
        <w:tc>
          <w:tcPr>
            <w:tcW w:w="2447" w:type="pct"/>
            <w:hideMark/>
          </w:tcPr>
          <w:p>
            <w:pPr>
              <w:spacing w:before="60" w:after="60"/>
              <w:rPr>
                <w:rFonts w:eastAsia="Arial Unicode MS"/>
                <w:noProof/>
                <w:szCs w:val="24"/>
              </w:rPr>
            </w:pPr>
            <w:r>
              <w:rPr>
                <w:noProof/>
                <w:sz w:val="22"/>
              </w:rPr>
              <w:t>pour le Danemark;</w:t>
            </w:r>
          </w:p>
        </w:tc>
        <w:tc>
          <w:tcPr>
            <w:tcW w:w="511" w:type="pct"/>
          </w:tcPr>
          <w:p>
            <w:pPr>
              <w:spacing w:before="60" w:after="60"/>
              <w:jc w:val="left"/>
              <w:rPr>
                <w:rFonts w:eastAsia="Arial Unicode MS"/>
                <w:noProof/>
                <w:szCs w:val="24"/>
              </w:rPr>
            </w:pPr>
            <w:r>
              <w:rPr>
                <w:noProof/>
                <w:sz w:val="22"/>
              </w:rPr>
              <w:t>50</w:t>
            </w:r>
          </w:p>
        </w:tc>
        <w:tc>
          <w:tcPr>
            <w:tcW w:w="1630" w:type="pct"/>
          </w:tcPr>
          <w:p>
            <w:pPr>
              <w:spacing w:before="60" w:after="60"/>
              <w:rPr>
                <w:rFonts w:eastAsia="Arial Unicode MS"/>
                <w:noProof/>
                <w:szCs w:val="24"/>
              </w:rPr>
            </w:pPr>
            <w:r>
              <w:rPr>
                <w:noProof/>
                <w:sz w:val="22"/>
              </w:rPr>
              <w:t>pour Malte.</w:t>
            </w:r>
          </w:p>
        </w:tc>
      </w:tr>
    </w:tbl>
    <w:p>
      <w:pPr>
        <w:spacing w:before="240" w:after="0"/>
        <w:ind w:left="709" w:hanging="709"/>
        <w:rPr>
          <w:rFonts w:eastAsia="Arial Unicode MS"/>
          <w:noProof/>
          <w:szCs w:val="24"/>
        </w:rPr>
      </w:pPr>
      <w:r>
        <w:rPr>
          <w:noProof/>
        </w:rPr>
        <w:t>1.2.</w:t>
      </w:r>
      <w:r>
        <w:rPr>
          <w:noProof/>
        </w:rPr>
        <w:tab/>
        <w:t>à proximité du rectangle, le «numéro de la réception de base» figurant dans la quatrième partie du numéro de réception par type, précédé des deux chiffres indiquant le numéro séquentiel attribué à la modification la plus récente de la directive ou du règlement particuliers concernés;</w:t>
      </w:r>
    </w:p>
    <w:p>
      <w:pPr>
        <w:spacing w:after="0"/>
        <w:ind w:left="709" w:hanging="709"/>
        <w:rPr>
          <w:rFonts w:eastAsia="Arial Unicode MS"/>
          <w:noProof/>
          <w:szCs w:val="24"/>
        </w:rPr>
      </w:pPr>
      <w:r>
        <w:rPr>
          <w:noProof/>
        </w:rPr>
        <w:t>1.3.</w:t>
      </w:r>
      <w:r>
        <w:rPr>
          <w:noProof/>
        </w:rPr>
        <w:tab/>
        <w:t>un ou plusieurs symboles additionnels situés au-dessus du rectangle, permettant d’identifier certaines caractéristiques, lorsque cela est spécifié dans les directives particulières ou les règlements particuliers concernés.</w:t>
      </w:r>
    </w:p>
    <w:p>
      <w:pPr>
        <w:spacing w:after="0"/>
        <w:ind w:left="709" w:hanging="709"/>
        <w:rPr>
          <w:rFonts w:eastAsia="Arial Unicode MS"/>
          <w:noProof/>
          <w:szCs w:val="24"/>
        </w:rPr>
      </w:pPr>
      <w:r>
        <w:rPr>
          <w:noProof/>
        </w:rPr>
        <w:t>2.</w:t>
      </w:r>
      <w:r>
        <w:rPr>
          <w:noProof/>
        </w:rPr>
        <w:tab/>
        <w:t>La marque de réception du type de composant ou d’entité technique distincte est apposée sur le composant ou l’entité technique distincte de telle manière qu’elle soit indélébile et clairement lisible.</w:t>
      </w:r>
    </w:p>
    <w:p>
      <w:pPr>
        <w:spacing w:after="0"/>
        <w:ind w:left="709" w:hanging="709"/>
        <w:rPr>
          <w:rFonts w:eastAsia="Arial Unicode MS"/>
          <w:noProof/>
          <w:szCs w:val="24"/>
        </w:rPr>
      </w:pPr>
      <w:r>
        <w:rPr>
          <w:noProof/>
        </w:rPr>
        <w:t>3.</w:t>
      </w:r>
      <w:r>
        <w:rPr>
          <w:noProof/>
        </w:rPr>
        <w:tab/>
        <w:t>L’addendum présente un exemple de marque de réception d’un type de composant ou d’entité technique distincte.</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rPr>
              <w:t>Le présent appendice ne s’applique pas aux réceptions par type délivrées conformément aux règlements de la CEE-ONU énumérés dans l’annexe IV, dans la mesure où les systèmes appropriés de marques de réception sont prévus par les règlements respectifs de la CEE-ONU. Toutefois, le présent appendice s’applique aux réceptions UE par type de composants et d’entités techniques distinctes délivrées au titre du règlement (CE) n</w:t>
            </w:r>
            <w:r>
              <w:rPr>
                <w:noProof/>
                <w:vertAlign w:val="superscript"/>
              </w:rPr>
              <w:t>o</w:t>
            </w:r>
            <w:r>
              <w:rPr>
                <w:noProof/>
              </w:rPr>
              <w:t> 661/2009 qui sont fondées sur des règlements de la CEE-ONU (c’est-à-dire aux composants ou entités techniques distinctes intégrant de nouvelles technologies). Dans ce cas, le système de marquage ci-après est appliqué.</w:t>
            </w:r>
          </w:p>
          <w:p>
            <w:pPr>
              <w:spacing w:after="0"/>
              <w:ind w:left="81" w:right="233"/>
              <w:rPr>
                <w:rFonts w:eastAsia="Times New Roman"/>
                <w:noProof/>
                <w:szCs w:val="20"/>
              </w:rPr>
            </w:pPr>
            <w:r>
              <w:rPr>
                <w:noProof/>
              </w:rPr>
              <w:t>La marque distinctive de réception par type est celle prescrite dans le règlement correspondant de la CEE-ONU, en tenant compte de ce qui suit:</w:t>
            </w:r>
          </w:p>
          <w:p>
            <w:pPr>
              <w:spacing w:after="0"/>
              <w:ind w:left="81" w:right="233"/>
              <w:rPr>
                <w:rFonts w:eastAsia="Times New Roman"/>
                <w:noProof/>
                <w:szCs w:val="20"/>
              </w:rPr>
            </w:pPr>
            <w:r>
              <w:rPr>
                <w:noProof/>
              </w:rPr>
              <w:t xml:space="preserve">Lorsqu’un cercle entourant la lettre «E» est prescrit, il doit être remplacé par un rectangle. Sa hauteur (a) correspond au moins au diamètre prescrit et sa largeur dépasse cette valeur (c’est-à-dire &gt; a). En lieu et place de la lettre majuscule «E», la lettre minuscule «e» est utilisée, suivie du numéro distinctif de l’État membre qui a délivré la réception UE par type du composant ou de l’entité technique distincte. </w:t>
            </w:r>
          </w:p>
          <w:p>
            <w:pPr>
              <w:spacing w:after="0"/>
              <w:ind w:left="709" w:hanging="628"/>
              <w:rPr>
                <w:rFonts w:eastAsia="Times New Roman"/>
                <w:noProof/>
                <w:szCs w:val="20"/>
              </w:rPr>
            </w:pPr>
            <w:r>
              <w:rPr>
                <w:noProof/>
              </w:rPr>
              <w:t>Exemple:</w:t>
            </w:r>
          </w:p>
          <w:p>
            <w:pPr>
              <w:spacing w:after="0"/>
              <w:ind w:left="81" w:right="233"/>
              <w:rPr>
                <w:noProof/>
              </w:rPr>
            </w:pPr>
            <w:r>
              <w:rPr>
                <w:rFonts w:eastAsia="Times New Roman"/>
                <w:noProof/>
                <w:szCs w:val="20"/>
                <w:lang w:val="en-US" w:eastAsia="en-US"/>
              </w:rPr>
              <w:drawing>
                <wp:inline distT="0" distB="0" distL="0" distR="0">
                  <wp:extent cx="2472055" cy="905510"/>
                  <wp:effectExtent l="0" t="0" r="4445" b="8890"/>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72055" cy="905510"/>
                          </a:xfrm>
                          <a:prstGeom prst="rect">
                            <a:avLst/>
                          </a:prstGeom>
                          <a:noFill/>
                          <a:ln>
                            <a:noFill/>
                          </a:ln>
                        </pic:spPr>
                      </pic:pic>
                    </a:graphicData>
                  </a:graphic>
                </wp:inline>
              </w:drawing>
            </w:r>
          </w:p>
          <w:p>
            <w:pPr>
              <w:spacing w:after="0"/>
              <w:ind w:left="81" w:right="233"/>
              <w:rPr>
                <w:rFonts w:eastAsia="Times New Roman"/>
                <w:noProof/>
                <w:szCs w:val="20"/>
              </w:rPr>
            </w:pPr>
            <w:r>
              <w:rPr>
                <w:noProof/>
              </w:rPr>
              <w:t>(réception délivrée par l’Allemagne, fondée sur le règlement n</w:t>
            </w:r>
            <w:r>
              <w:rPr>
                <w:noProof/>
                <w:vertAlign w:val="superscript"/>
              </w:rPr>
              <w:t>o</w:t>
            </w:r>
            <w:r>
              <w:rPr>
                <w:noProof/>
              </w:rPr>
              <w:t xml:space="preserve"> 28 de la CEE-ONU, série initiale, première réception délivrée, pour un avertisseur sonore de classe II intégrant de </w:t>
            </w:r>
            <w:r>
              <w:rPr>
                <w:rFonts w:eastAsia="Times New Roman"/>
                <w:noProof/>
                <w:szCs w:val="20"/>
              </w:rPr>
              <w:t>nouvelles</w:t>
            </w:r>
            <w:r>
              <w:rPr>
                <w:noProof/>
              </w:rPr>
              <w:t xml:space="preserve"> technologies)</w:t>
            </w:r>
          </w:p>
        </w:tc>
      </w:tr>
    </w:tbl>
    <w:p>
      <w:pPr>
        <w:spacing w:after="0"/>
        <w:ind w:left="709" w:hanging="709"/>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47" style="width:45.35pt;height:.75pt" o:hrpct="100" o:hralign="center" o:hrstd="t" o:hrnoshade="t" o:hr="t" fillcolor="black" stroked="f"/>
        </w:pict>
      </w:r>
    </w:p>
    <w:p>
      <w:pPr>
        <w:spacing w:before="0"/>
        <w:jc w:val="center"/>
        <w:rPr>
          <w:i/>
          <w:noProof/>
        </w:rPr>
      </w:pPr>
      <w:r>
        <w:rPr>
          <w:noProof/>
        </w:rPr>
        <w:br w:type="page"/>
      </w:r>
      <w:r>
        <w:rPr>
          <w:i/>
          <w:noProof/>
        </w:rPr>
        <w:t>Addendum à l’appendice</w:t>
      </w:r>
    </w:p>
    <w:p>
      <w:pPr>
        <w:spacing w:before="240" w:after="360"/>
        <w:jc w:val="center"/>
        <w:rPr>
          <w:rFonts w:eastAsia="Arial Unicode MS"/>
          <w:b/>
          <w:bCs/>
          <w:noProof/>
          <w:szCs w:val="24"/>
        </w:rPr>
      </w:pPr>
      <w:r>
        <w:rPr>
          <w:b/>
          <w:noProof/>
        </w:rPr>
        <w:t xml:space="preserve">Exemple de marque de réception UE par type d’un composant ou d’une entité technique distincte </w:t>
      </w:r>
    </w:p>
    <w:p>
      <w:pPr>
        <w:spacing w:before="240" w:after="360"/>
        <w:jc w:val="center"/>
        <w:rPr>
          <w:b/>
          <w:noProof/>
        </w:rPr>
      </w:pPr>
      <w:r>
        <w:rPr>
          <w:rFonts w:eastAsia="Arial Unicode MS"/>
          <w:noProof/>
          <w:szCs w:val="24"/>
          <w:lang w:val="en-US" w:eastAsia="en-US"/>
        </w:rPr>
        <w:drawing>
          <wp:inline distT="0" distB="0" distL="0" distR="0">
            <wp:extent cx="3515360" cy="1971040"/>
            <wp:effectExtent l="0" t="0" r="8890" b="0"/>
            <wp:docPr id="49"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15360" cy="1971040"/>
                    </a:xfrm>
                    <a:prstGeom prst="rect">
                      <a:avLst/>
                    </a:prstGeom>
                    <a:noFill/>
                    <a:ln>
                      <a:noFill/>
                    </a:ln>
                  </pic:spPr>
                </pic:pic>
              </a:graphicData>
            </a:graphic>
          </wp:inline>
        </w:drawing>
      </w:r>
    </w:p>
    <w:p>
      <w:pPr>
        <w:spacing w:after="0"/>
        <w:rPr>
          <w:rFonts w:eastAsia="Arial Unicode MS"/>
          <w:noProof/>
          <w:szCs w:val="24"/>
        </w:rPr>
      </w:pPr>
      <w:r>
        <w:rPr>
          <w:noProof/>
        </w:rPr>
        <w:t>Légende: la marque de réception UE par type ci-dessus est celle d’un composant qui a fait l’objet d’une réception UE par type délivrée par la Belgique sous le numéro 0004. Le numéro 01 est un numéro séquentiel désignant le niveau des prescriptions techniques auxquelles ce composant est conforme. Le numéro séquentiel est attribué conformément aux directives particulières ou aux règlements particuliers concernés.</w:t>
      </w:r>
    </w:p>
    <w:p>
      <w:pPr>
        <w:spacing w:after="0"/>
        <w:rPr>
          <w:rFonts w:eastAsia="Arial Unicode MS"/>
          <w:noProof/>
          <w:szCs w:val="24"/>
        </w:rPr>
      </w:pPr>
      <w:r>
        <w:rPr>
          <w:i/>
          <w:noProof/>
        </w:rPr>
        <w:t>NB:</w:t>
      </w:r>
      <w:r>
        <w:rPr>
          <w:noProof/>
        </w:rPr>
        <w:t xml:space="preserve"> L’exemple ne présente pas de symboles additionnels.</w:t>
      </w:r>
    </w:p>
    <w:p>
      <w:pPr>
        <w:spacing w:before="0" w:after="0"/>
        <w:jc w:val="left"/>
        <w:rPr>
          <w:rFonts w:eastAsia="Arial Unicode MS"/>
          <w:noProof/>
          <w:szCs w:val="24"/>
        </w:rPr>
      </w:pPr>
      <w:r>
        <w:rPr>
          <w:rFonts w:eastAsia="Arial Unicode MS"/>
          <w:noProof/>
          <w:szCs w:val="24"/>
        </w:rPr>
        <w:pict>
          <v:rect id="_x0000_i1048" style="width:45.35pt;height:.75pt" o:hrpct="100" o:hralign="center" o:hrstd="t" o:hrnoshade="t" o:hr="t" fillcolor="black" stroked="f"/>
        </w:pict>
      </w:r>
    </w:p>
    <w:p>
      <w:pPr>
        <w:rPr>
          <w:noProof/>
        </w:rPr>
      </w:pPr>
      <w:r>
        <w:rPr>
          <w:noProof/>
        </w:rPr>
        <w:br w:type="page"/>
      </w:r>
    </w:p>
    <w:p>
      <w:pPr>
        <w:pStyle w:val="Annexetitre"/>
        <w:rPr>
          <w:noProof/>
        </w:rPr>
      </w:pPr>
      <w:r>
        <w:rPr>
          <w:noProof/>
        </w:rPr>
        <w:t>ANNEXE VIII</w:t>
      </w:r>
    </w:p>
    <w:p>
      <w:pPr>
        <w:spacing w:before="360" w:after="240"/>
        <w:jc w:val="center"/>
        <w:rPr>
          <w:rFonts w:eastAsia="Arial Unicode MS"/>
          <w:b/>
          <w:bCs/>
          <w:noProof/>
          <w:szCs w:val="24"/>
        </w:rPr>
      </w:pPr>
      <w:r>
        <w:rPr>
          <w:b/>
          <w:noProof/>
        </w:rPr>
        <w:t>RÉSULTATS D’ESSAIS</w:t>
      </w:r>
    </w:p>
    <w:p>
      <w:pPr>
        <w:spacing w:after="0"/>
        <w:rPr>
          <w:rFonts w:eastAsia="Arial Unicode MS"/>
          <w:noProof/>
          <w:szCs w:val="24"/>
        </w:rPr>
      </w:pPr>
      <w:r>
        <w:rPr>
          <w:noProof/>
        </w:rPr>
        <w:t>(à remplir par l’autorité compétente en matière de réception et à annexer à la fiche de réception UE par type du véhicule)</w:t>
      </w:r>
    </w:p>
    <w:p>
      <w:pPr>
        <w:spacing w:after="0"/>
        <w:rPr>
          <w:rFonts w:eastAsia="Arial Unicode MS"/>
          <w:noProof/>
          <w:szCs w:val="24"/>
        </w:rPr>
      </w:pPr>
      <w:r>
        <w:rPr>
          <w:noProof/>
        </w:rPr>
        <w:t>Dans chaque cas, les informations doivent indiquer clairement à quelles variante et version elles s’appliquent. Une même version ne peut avoir plus d’un résultat. Cependant, une combinaison de plusieurs résultats par version indiquant le cas le plus défavorable, est admissible. Dans ce cas, une note doit préciser que, pour les éléments marqués (*), seuls les résultats les plus défavorables sont mentionnés.</w:t>
      </w:r>
    </w:p>
    <w:p>
      <w:pPr>
        <w:spacing w:before="240"/>
        <w:ind w:left="567" w:hanging="567"/>
        <w:jc w:val="left"/>
        <w:rPr>
          <w:rFonts w:eastAsia="Arial Unicode MS"/>
          <w:bCs/>
          <w:noProof/>
          <w:szCs w:val="24"/>
        </w:rPr>
      </w:pPr>
      <w:r>
        <w:rPr>
          <w:noProof/>
        </w:rPr>
        <w:t>1.</w:t>
      </w:r>
      <w:r>
        <w:rPr>
          <w:noProof/>
        </w:rPr>
        <w:tab/>
        <w:t xml:space="preserve">Résultats des essais de niveau sonore </w:t>
      </w:r>
    </w:p>
    <w:p>
      <w:pPr>
        <w:ind w:left="567"/>
        <w:rPr>
          <w:rFonts w:eastAsia="Arial Unicode MS"/>
          <w:noProof/>
          <w:szCs w:val="24"/>
        </w:rPr>
      </w:pPr>
      <w:r>
        <w:rPr>
          <w:noProof/>
        </w:rPr>
        <w:t>Numéro de l’acte réglementaire de base et du dernier acte réglementaire modificatif applicables à la réception. Lorsqu’un acte réglementaire prévoit deux étapes de mise en œuvre ou plus, préciser également l’étape de mise en œuvre:</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En mouvement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À l’arrêt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à (min</w:t>
            </w:r>
            <w:r>
              <w:rPr>
                <w:noProof/>
                <w:sz w:val="20"/>
                <w:vertAlign w:val="superscript"/>
              </w:rPr>
              <w:t>-1</w:t>
            </w:r>
            <w:r>
              <w:rPr>
                <w:noProof/>
                <w:sz w:val="20"/>
              </w:rPr>
              <w:t>):</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w:t>
      </w:r>
      <w:r>
        <w:rPr>
          <w:noProof/>
        </w:rPr>
        <w:tab/>
        <w:t xml:space="preserve">Résultats des essais d’émissions de gaz d’échappement </w:t>
      </w:r>
    </w:p>
    <w:p>
      <w:pPr>
        <w:ind w:left="567" w:hanging="567"/>
        <w:jc w:val="left"/>
        <w:rPr>
          <w:rFonts w:eastAsia="Arial Unicode MS"/>
          <w:bCs/>
          <w:noProof/>
          <w:szCs w:val="24"/>
        </w:rPr>
      </w:pPr>
      <w:r>
        <w:rPr>
          <w:noProof/>
        </w:rPr>
        <w:t>2.1.</w:t>
      </w:r>
      <w:r>
        <w:rPr>
          <w:noProof/>
        </w:rPr>
        <w:tab/>
        <w:t xml:space="preserve">Émissions des véhicules à moteur testés selon la procédure d’essai pour véhicules légers </w:t>
      </w:r>
    </w:p>
    <w:p>
      <w:pPr>
        <w:spacing w:after="0"/>
        <w:ind w:left="567"/>
        <w:rPr>
          <w:rFonts w:eastAsia="Arial Unicode MS"/>
          <w:noProof/>
          <w:szCs w:val="24"/>
        </w:rPr>
      </w:pPr>
      <w:r>
        <w:rPr>
          <w:noProof/>
        </w:rPr>
        <w:t>Indiquer le dernier acte réglementaire modificatif applicable à la réception. Lorsque l’acte réglementaire prévoit deux étapes de mise en œuvre ou plus, préciser également l’étape de mise en œuvre:</w:t>
      </w:r>
    </w:p>
    <w:p>
      <w:pPr>
        <w:spacing w:after="0"/>
        <w:ind w:left="567"/>
        <w:rPr>
          <w:rFonts w:eastAsia="Arial Unicode MS"/>
          <w:noProof/>
          <w:szCs w:val="24"/>
        </w:rPr>
      </w:pPr>
      <w:r>
        <w:rPr>
          <w:noProof/>
        </w:rPr>
        <w:t>Carburant(s) (</w:t>
      </w:r>
      <w:r>
        <w:rPr>
          <w:noProof/>
          <w:vertAlign w:val="superscript"/>
        </w:rPr>
        <w:t>a</w:t>
      </w:r>
      <w:r>
        <w:rPr>
          <w:noProof/>
        </w:rPr>
        <w:t>) … (gazole, essence, GPL, GN, bicarburant: essence/GN, GPL, polycarburant: essence/éthanol, GN, H2GN…)</w:t>
      </w:r>
    </w:p>
    <w:p>
      <w:pPr>
        <w:ind w:left="567" w:hanging="567"/>
        <w:rPr>
          <w:rFonts w:eastAsia="Arial Unicode MS"/>
          <w:bCs/>
          <w:noProof/>
          <w:szCs w:val="24"/>
        </w:rPr>
      </w:pPr>
      <w:r>
        <w:rPr>
          <w:noProof/>
        </w:rPr>
        <w:t>2.1.1.</w:t>
      </w:r>
      <w:r>
        <w:rPr>
          <w:noProof/>
        </w:rPr>
        <w:tab/>
        <w:t>Essai de type 1 (</w:t>
      </w:r>
      <w:r>
        <w:rPr>
          <w:noProof/>
          <w:vertAlign w:val="superscript"/>
        </w:rPr>
        <w:t>b</w:t>
      </w:r>
      <w:r>
        <w:rPr>
          <w:noProof/>
        </w:rPr>
        <w:t>) (</w:t>
      </w:r>
      <w:r>
        <w:rPr>
          <w:noProof/>
          <w:vertAlign w:val="superscript"/>
        </w:rPr>
        <w:t>c</w:t>
      </w:r>
      <w:r>
        <w:rPr>
          <w:noProof/>
        </w:rPr>
        <w:t xml:space="preserve">) (émissions du véhicule au cours du cycle d’essai après un démarrage à froid)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Masse de particules (PM)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Nombre de particules (P) (#/km) (</w:t>
            </w:r>
            <w:r>
              <w:rPr>
                <w:noProof/>
                <w:sz w:val="20"/>
                <w:vertAlign w:val="superscript"/>
              </w:rPr>
              <w:t>1</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2.1.2.</w:t>
      </w:r>
      <w:r>
        <w:rPr>
          <w:noProof/>
        </w:rPr>
        <w:tab/>
        <w:t>Essai de type 2 (</w:t>
      </w:r>
      <w:r>
        <w:rPr>
          <w:noProof/>
          <w:vertAlign w:val="superscript"/>
        </w:rPr>
        <w:t>b</w:t>
      </w:r>
      <w:r>
        <w:rPr>
          <w:noProof/>
        </w:rPr>
        <w:t>) (</w:t>
      </w:r>
      <w:r>
        <w:rPr>
          <w:noProof/>
          <w:vertAlign w:val="superscript"/>
        </w:rPr>
        <w:t>c</w:t>
      </w:r>
      <w:r>
        <w:rPr>
          <w:noProof/>
        </w:rPr>
        <w:t xml:space="preserve">) (données d’émissions requises à la réception par type pour les besoins du contrôle technique) </w:t>
      </w:r>
    </w:p>
    <w:p>
      <w:pPr>
        <w:spacing w:before="360" w:after="240"/>
        <w:ind w:left="567"/>
        <w:jc w:val="left"/>
        <w:rPr>
          <w:rFonts w:eastAsia="Arial Unicode MS"/>
          <w:bCs/>
          <w:noProof/>
          <w:szCs w:val="24"/>
        </w:rPr>
      </w:pPr>
      <w:r>
        <w:rPr>
          <w:noProof/>
        </w:rPr>
        <w:t>Type 2, essai en régime inférieur de ralenti:</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Régime moteur (min</w:t>
            </w:r>
            <w:r>
              <w:rPr>
                <w:noProof/>
                <w:sz w:val="20"/>
                <w:vertAlign w:val="superscript"/>
              </w:rPr>
              <w:t>-1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Température de l’huile moteur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jc w:val="left"/>
        <w:rPr>
          <w:rFonts w:eastAsia="Arial Unicode MS"/>
          <w:bCs/>
          <w:noProof/>
          <w:szCs w:val="24"/>
        </w:rPr>
      </w:pPr>
      <w:r>
        <w:rPr>
          <w:noProof/>
        </w:rPr>
        <w:t>Type 2, essai en régime supérieur de ralenti:</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Valeur lambda</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Régime moteur (min</w:t>
            </w:r>
            <w:r>
              <w:rPr>
                <w:noProof/>
                <w:sz w:val="20"/>
                <w:vertAlign w:val="superscript"/>
              </w:rPr>
              <w:t>-1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Température de l’huile moteur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noProof/>
          <w:szCs w:val="24"/>
        </w:rPr>
      </w:pPr>
      <w:r>
        <w:rPr>
          <w:noProof/>
        </w:rPr>
        <w:t>2.1.3.</w:t>
      </w:r>
      <w:r>
        <w:rPr>
          <w:noProof/>
        </w:rPr>
        <w:tab/>
        <w:t>Essai de type 3 (émissions de gaz de carter): …</w:t>
      </w:r>
    </w:p>
    <w:p>
      <w:pPr>
        <w:spacing w:before="360"/>
        <w:ind w:left="567" w:hanging="567"/>
        <w:jc w:val="left"/>
        <w:rPr>
          <w:rFonts w:eastAsia="Arial Unicode MS"/>
          <w:noProof/>
          <w:szCs w:val="24"/>
        </w:rPr>
      </w:pPr>
      <w:r>
        <w:rPr>
          <w:noProof/>
        </w:rPr>
        <w:t>2.1.4.</w:t>
      </w:r>
      <w:r>
        <w:rPr>
          <w:noProof/>
        </w:rPr>
        <w:tab/>
        <w:t>Essai de type 4 (émissions par évaporation): …g/essai</w:t>
      </w:r>
    </w:p>
    <w:p>
      <w:pPr>
        <w:spacing w:before="360"/>
        <w:ind w:left="567" w:hanging="567"/>
        <w:jc w:val="left"/>
        <w:rPr>
          <w:rFonts w:eastAsia="Arial Unicode MS"/>
          <w:noProof/>
          <w:szCs w:val="24"/>
        </w:rPr>
      </w:pPr>
      <w:r>
        <w:rPr>
          <w:noProof/>
        </w:rPr>
        <w:t>2.1.5.</w:t>
      </w:r>
      <w:r>
        <w:rPr>
          <w:noProof/>
        </w:rPr>
        <w:tab/>
        <w:t>Essai de type 5 (durabilité des dispositifs antipollution):</w:t>
      </w:r>
    </w:p>
    <w:p>
      <w:pPr>
        <w:spacing w:before="240"/>
        <w:ind w:left="1134" w:hanging="567"/>
        <w:jc w:val="left"/>
        <w:rPr>
          <w:rFonts w:eastAsia="Arial Unicode MS"/>
          <w:noProof/>
          <w:szCs w:val="24"/>
        </w:rPr>
      </w:pPr>
      <w:r>
        <w:rPr>
          <w:noProof/>
        </w:rPr>
        <w:t>—</w:t>
      </w:r>
      <w:r>
        <w:rPr>
          <w:noProof/>
        </w:rPr>
        <w:tab/>
        <w:t>Distance parcourue (km) (par exemple: 160 000 km): …</w:t>
      </w:r>
    </w:p>
    <w:p>
      <w:pPr>
        <w:spacing w:before="240"/>
        <w:ind w:left="1134" w:hanging="567"/>
        <w:jc w:val="left"/>
        <w:rPr>
          <w:rFonts w:eastAsia="Arial Unicode MS"/>
          <w:noProof/>
          <w:szCs w:val="24"/>
        </w:rPr>
      </w:pPr>
      <w:r>
        <w:rPr>
          <w:noProof/>
        </w:rPr>
        <w:t>—</w:t>
      </w:r>
      <w:r>
        <w:rPr>
          <w:noProof/>
        </w:rPr>
        <w:tab/>
        <w:t>Facteur de détérioration DF: calculé/fixe (</w:t>
      </w:r>
      <w:r>
        <w:rPr>
          <w:noProof/>
          <w:vertAlign w:val="superscript"/>
        </w:rPr>
        <w:t>2</w:t>
      </w:r>
      <w:r>
        <w:rPr>
          <w:noProof/>
        </w:rPr>
        <w:t xml:space="preserve">) </w:t>
      </w:r>
    </w:p>
    <w:p>
      <w:pPr>
        <w:spacing w:before="240" w:after="240"/>
        <w:ind w:left="1134" w:hanging="567"/>
        <w:jc w:val="left"/>
        <w:rPr>
          <w:rFonts w:eastAsia="Arial Unicode MS"/>
          <w:noProof/>
          <w:szCs w:val="24"/>
        </w:rPr>
      </w:pPr>
      <w:r>
        <w:rPr>
          <w:noProof/>
        </w:rPr>
        <w:t>—</w:t>
      </w:r>
      <w:r>
        <w:rPr>
          <w:noProof/>
        </w:rPr>
        <w:tab/>
        <w:t>Valeurs:</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Masse de particules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Nombre de particules (P) (</w:t>
            </w:r>
            <w:r>
              <w:rPr>
                <w:noProof/>
                <w:sz w:val="20"/>
                <w:vertAlign w:val="superscript"/>
              </w:rPr>
              <w:t>1</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480" w:after="240"/>
        <w:ind w:left="567" w:hanging="567"/>
        <w:jc w:val="left"/>
        <w:rPr>
          <w:rFonts w:eastAsia="Arial Unicode MS"/>
          <w:noProof/>
          <w:szCs w:val="24"/>
        </w:rPr>
      </w:pPr>
      <w:r>
        <w:rPr>
          <w:noProof/>
        </w:rPr>
        <w:t>2.1.6.</w:t>
      </w:r>
      <w:r>
        <w:rPr>
          <w:noProof/>
        </w:rPr>
        <w:tab/>
        <w:t>Essai de type 6 (émissions moyennes à températures ambiantes basses):</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2.1.7.</w:t>
      </w:r>
      <w:r>
        <w:rPr>
          <w:noProof/>
        </w:rPr>
        <w:tab/>
        <w:t>OBD: oui/non (</w:t>
      </w:r>
      <w:r>
        <w:rPr>
          <w:noProof/>
          <w:vertAlign w:val="superscript"/>
        </w:rPr>
        <w:t>2</w:t>
      </w:r>
      <w:r>
        <w:rPr>
          <w:noProof/>
        </w:rPr>
        <w:t>)</w:t>
      </w:r>
    </w:p>
    <w:p>
      <w:pPr>
        <w:spacing w:before="240"/>
        <w:ind w:left="567" w:hanging="567"/>
        <w:rPr>
          <w:rFonts w:eastAsia="Arial Unicode MS"/>
          <w:noProof/>
          <w:szCs w:val="24"/>
        </w:rPr>
      </w:pPr>
      <w:r>
        <w:rPr>
          <w:noProof/>
        </w:rPr>
        <w:t>2.2.</w:t>
      </w:r>
      <w:r>
        <w:rPr>
          <w:noProof/>
        </w:rPr>
        <w:tab/>
        <w:t>Émissions des moteurs testés selon la procédure d’essai pour véhicules lourds</w:t>
      </w:r>
    </w:p>
    <w:p>
      <w:pPr>
        <w:ind w:left="567"/>
        <w:rPr>
          <w:rFonts w:eastAsia="Arial Unicode MS"/>
          <w:noProof/>
          <w:szCs w:val="24"/>
        </w:rPr>
      </w:pPr>
      <w:r>
        <w:rPr>
          <w:noProof/>
        </w:rPr>
        <w:t>Indiquer le dernier acte réglementaire modificatif applicable à la réception. Lorsque l’acte réglementaire prévoit deux étapes de mise en œuvre ou plus, préciser également l’étape de mise en œuvre: …</w:t>
      </w:r>
    </w:p>
    <w:p>
      <w:pPr>
        <w:ind w:left="567"/>
        <w:rPr>
          <w:rFonts w:eastAsia="Arial Unicode MS"/>
          <w:noProof/>
          <w:szCs w:val="24"/>
        </w:rPr>
      </w:pPr>
      <w:r>
        <w:rPr>
          <w:noProof/>
        </w:rPr>
        <w:t>Carburant(s) (</w:t>
      </w:r>
      <w:r>
        <w:rPr>
          <w:noProof/>
          <w:vertAlign w:val="superscript"/>
        </w:rPr>
        <w:t>a</w:t>
      </w:r>
      <w:r>
        <w:rPr>
          <w:noProof/>
        </w:rPr>
        <w:t>) … (gazole, essence, GPL, GN, éthanol…)</w:t>
      </w:r>
    </w:p>
    <w:p>
      <w:pPr>
        <w:spacing w:before="240"/>
        <w:ind w:left="567" w:hanging="567"/>
        <w:jc w:val="left"/>
        <w:rPr>
          <w:rFonts w:eastAsia="Arial Unicode MS"/>
          <w:bCs/>
          <w:noProof/>
          <w:szCs w:val="24"/>
        </w:rPr>
      </w:pPr>
      <w:r>
        <w:rPr>
          <w:noProof/>
        </w:rPr>
        <w:t>2.2.1.</w:t>
      </w:r>
      <w:r>
        <w:rPr>
          <w:noProof/>
        </w:rPr>
        <w:tab/>
        <w:t>Résultats de l’essai ESC (</w:t>
      </w:r>
      <w:r>
        <w:rPr>
          <w:noProof/>
          <w:vertAlign w:val="superscript"/>
        </w:rPr>
        <w:t>1</w:t>
      </w:r>
      <w:r>
        <w:rPr>
          <w:noProof/>
        </w:rPr>
        <w:t>)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Masse PM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Nombre PM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right="-141" w:hanging="567"/>
        <w:jc w:val="left"/>
        <w:rPr>
          <w:rFonts w:eastAsia="Arial Unicode MS"/>
          <w:bCs/>
          <w:noProof/>
          <w:szCs w:val="24"/>
        </w:rPr>
      </w:pPr>
      <w:r>
        <w:rPr>
          <w:noProof/>
        </w:rPr>
        <w:t>2.2.2.</w:t>
      </w:r>
      <w:r>
        <w:rPr>
          <w:noProof/>
        </w:rPr>
        <w:tab/>
        <w:t>Résultat de l’essai ELR (</w:t>
      </w:r>
      <w:r>
        <w:rPr>
          <w:noProof/>
          <w:vertAlign w:val="superscript"/>
        </w:rPr>
        <w:t>1</w:t>
      </w:r>
      <w:r>
        <w:rPr>
          <w:noProof/>
        </w:rPr>
        <w:t>)</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Variante/version:</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Valeur des fumées :…m</w:t>
            </w:r>
            <w:r>
              <w:rPr>
                <w:noProof/>
                <w:sz w:val="20"/>
                <w:vertAlign w:val="superscript"/>
              </w:rPr>
              <w:t>– 1</w:t>
            </w:r>
            <w:r>
              <w:rPr>
                <w:noProof/>
                <w:sz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2.2.3.</w:t>
      </w:r>
      <w:r>
        <w:rPr>
          <w:noProof/>
        </w:rPr>
        <w:tab/>
        <w:t>Résultat de l’essai ETC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Variante/version:</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NMHC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CH</w:t>
            </w:r>
            <w:r>
              <w:rPr>
                <w:noProof/>
                <w:sz w:val="20"/>
                <w:vertAlign w:val="subscript"/>
              </w:rPr>
              <w:t>4</w:t>
            </w:r>
            <w:r>
              <w:rPr>
                <w:noProof/>
                <w:sz w:val="20"/>
              </w:rPr>
              <w:t xml:space="preserve">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Masse PM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Nombre PM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2.2.4.</w:t>
      </w:r>
      <w:r>
        <w:rPr>
          <w:noProof/>
        </w:rPr>
        <w:tab/>
        <w:t>Essai au ralenti (</w:t>
      </w:r>
      <w:r>
        <w:rPr>
          <w:noProof/>
          <w:vertAlign w:val="superscript"/>
        </w:rPr>
        <w:t>1</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Valeur lambda (</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Régime moteur (min</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Température de l’huile moteur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2.3.</w:t>
      </w:r>
      <w:r>
        <w:rPr>
          <w:noProof/>
        </w:rPr>
        <w:tab/>
        <w:t xml:space="preserve">Fumées des moteurs diesel </w:t>
      </w:r>
    </w:p>
    <w:p>
      <w:pPr>
        <w:ind w:left="567"/>
        <w:rPr>
          <w:rFonts w:eastAsia="Arial Unicode MS"/>
          <w:bCs/>
          <w:noProof/>
          <w:szCs w:val="24"/>
        </w:rPr>
      </w:pPr>
      <w:r>
        <w:rPr>
          <w:noProof/>
        </w:rPr>
        <w:t xml:space="preserve">Indiquer le dernier acte réglementaire modificatif applicable à la réception. Lorsque l’acte réglementaire prévoit deux étapes de mise en œuvre ou plus, préciser également l’étape de mise en œuvre: </w:t>
      </w:r>
    </w:p>
    <w:p>
      <w:pPr>
        <w:ind w:left="567" w:hanging="567"/>
        <w:rPr>
          <w:noProof/>
        </w:rPr>
      </w:pPr>
      <w:r>
        <w:rPr>
          <w:noProof/>
        </w:rPr>
        <w:t>2.3.1.</w:t>
      </w:r>
      <w:r>
        <w:rPr>
          <w:noProof/>
        </w:rPr>
        <w:tab/>
        <w:t>Résultats de l’essai en accélération libre</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Variante/version:</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Valeur corrigée du coefficient d’absorption (m</w:t>
            </w:r>
            <w:r>
              <w:rPr>
                <w:noProof/>
                <w:sz w:val="20"/>
                <w:vertAlign w:val="superscript"/>
              </w:rPr>
              <w:t>– 1</w:t>
            </w: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Régime de ralenti normal</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Régime de ralenti maximal</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Température de l’huile (min./max.)</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3.</w:t>
      </w:r>
      <w:r>
        <w:rPr>
          <w:noProof/>
        </w:rPr>
        <w:tab/>
        <w:t>Résultats des essais d’émissions de CO</w:t>
      </w:r>
      <w:r>
        <w:rPr>
          <w:noProof/>
          <w:vertAlign w:val="subscript"/>
        </w:rPr>
        <w:t>2</w:t>
      </w:r>
      <w:r>
        <w:rPr>
          <w:noProof/>
        </w:rPr>
        <w:t xml:space="preserve">, de consommation de carburant/d’énergie électrique et d’autonomie en mode électrique </w:t>
      </w:r>
    </w:p>
    <w:p>
      <w:pPr>
        <w:spacing w:after="0"/>
        <w:ind w:left="567"/>
        <w:rPr>
          <w:rFonts w:eastAsia="Arial Unicode MS"/>
          <w:noProof/>
          <w:szCs w:val="24"/>
        </w:rPr>
      </w:pPr>
      <w:r>
        <w:rPr>
          <w:noProof/>
        </w:rPr>
        <w:t>Numéro de l’acte réglementaire de base et du dernier acte réglementaire modificatif applicable à la réception:</w:t>
      </w:r>
    </w:p>
    <w:p>
      <w:pPr>
        <w:spacing w:before="240"/>
        <w:ind w:left="567" w:hanging="567"/>
        <w:jc w:val="left"/>
        <w:rPr>
          <w:rFonts w:eastAsia="Arial Unicode MS"/>
          <w:bCs/>
          <w:noProof/>
          <w:szCs w:val="24"/>
        </w:rPr>
      </w:pPr>
      <w:r>
        <w:rPr>
          <w:noProof/>
        </w:rPr>
        <w:t>3.1.</w:t>
      </w:r>
      <w:r>
        <w:rPr>
          <w:noProof/>
        </w:rPr>
        <w:tab/>
        <w:t>Moteurs à combustion interne, y compris les véhicules électriques hybrides non rechargeables de l’extérieur (NOVC) (</w:t>
      </w:r>
      <w:r>
        <w:rPr>
          <w:noProof/>
          <w:vertAlign w:val="superscript"/>
        </w:rPr>
        <w:t>1</w:t>
      </w:r>
      <w:r>
        <w:rPr>
          <w:noProof/>
        </w:rPr>
        <w:t>) (</w:t>
      </w:r>
      <w:r>
        <w:rPr>
          <w:noProof/>
          <w:vertAlign w:val="superscript"/>
        </w:rPr>
        <w:t>d</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Émissions massiques de CO</w:t>
            </w:r>
            <w:r>
              <w:rPr>
                <w:noProof/>
                <w:sz w:val="20"/>
                <w:vertAlign w:val="subscript"/>
              </w:rPr>
              <w:t>2</w:t>
            </w:r>
            <w:r>
              <w:rPr>
                <w:noProof/>
                <w:sz w:val="20"/>
              </w:rPr>
              <w:t xml:space="preserve"> (conditions urbaines)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Émissions massiques de CO</w:t>
            </w:r>
            <w:r>
              <w:rPr>
                <w:noProof/>
                <w:sz w:val="20"/>
                <w:vertAlign w:val="subscript"/>
              </w:rPr>
              <w:t>2</w:t>
            </w:r>
            <w:r>
              <w:rPr>
                <w:noProof/>
                <w:sz w:val="20"/>
              </w:rPr>
              <w:t xml:space="preserve"> (conditions extra-urbaines)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Émissions massiques de CO</w:t>
            </w:r>
            <w:r>
              <w:rPr>
                <w:noProof/>
                <w:sz w:val="20"/>
                <w:vertAlign w:val="subscript"/>
              </w:rPr>
              <w:t>2</w:t>
            </w:r>
            <w:r>
              <w:rPr>
                <w:noProof/>
                <w:sz w:val="20"/>
              </w:rPr>
              <w:t xml:space="preserve"> (conditions mixtes)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Consommation de carburant (conditions urbaines)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Consommation de carburant (conditions extra-urbaines)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Consommation de carburant (conditions mixtes)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rPr>
          <w:noProof/>
        </w:rPr>
      </w:pPr>
      <w:r>
        <w:rPr>
          <w:noProof/>
        </w:rPr>
        <w:t>3.2.</w:t>
      </w:r>
      <w:r>
        <w:rPr>
          <w:noProof/>
        </w:rPr>
        <w:tab/>
        <w:t>Véhicules électriques hybrides rechargeables de l’extérieur (OVC) (</w:t>
      </w:r>
      <w:r>
        <w:rPr>
          <w:noProof/>
          <w:vertAlign w:val="superscript"/>
        </w:rPr>
        <w:t>1</w:t>
      </w:r>
      <w:r>
        <w:rPr>
          <w:rFonts w:eastAsia="Arial Unicode MS"/>
          <w:bCs/>
          <w:noProof/>
          <w:szCs w:val="24"/>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Émissions massiques de CO</w:t>
            </w:r>
            <w:r>
              <w:rPr>
                <w:noProof/>
                <w:sz w:val="20"/>
                <w:vertAlign w:val="subscript"/>
              </w:rPr>
              <w:t>2</w:t>
            </w:r>
            <w:r>
              <w:rPr>
                <w:noProof/>
                <w:sz w:val="20"/>
              </w:rPr>
              <w:t xml:space="preserve"> (condition A, conditions mixtes)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Émissions massiques de CO</w:t>
            </w:r>
            <w:r>
              <w:rPr>
                <w:noProof/>
                <w:sz w:val="20"/>
                <w:vertAlign w:val="subscript"/>
              </w:rPr>
              <w:t>2</w:t>
            </w:r>
            <w:r>
              <w:rPr>
                <w:noProof/>
                <w:sz w:val="20"/>
              </w:rPr>
              <w:t xml:space="preserve"> (condition B, conditions mixtes)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Émissions massiques de CO</w:t>
            </w:r>
            <w:r>
              <w:rPr>
                <w:noProof/>
                <w:sz w:val="20"/>
                <w:vertAlign w:val="subscript"/>
              </w:rPr>
              <w:t>2</w:t>
            </w:r>
            <w:r>
              <w:rPr>
                <w:noProof/>
                <w:sz w:val="20"/>
              </w:rPr>
              <w:t xml:space="preserve"> (pondérées, conditions mixtes)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Consommation de carburant (condition A, conditions mixtes)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Consommation de carburant (condition B, conditions mixtes)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Consommation de carburant (pondérée, conditions mixtes)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Consommation d’énergie électrique (condition A, conditions mixtes)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Consommation d’énergie électrique (condition B, conditions mixtes)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Consommation d’énergie électrique (pondérée et conditions mixtes)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Autonomie en mode électrique pur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3.3.</w:t>
      </w:r>
      <w:r>
        <w:rPr>
          <w:noProof/>
        </w:rPr>
        <w:tab/>
        <w:t>Véhicules électriques purs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Consommation d’énergie électrique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Autonomie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3.4.</w:t>
      </w:r>
      <w:r>
        <w:rPr>
          <w:noProof/>
        </w:rPr>
        <w:tab/>
        <w:t>Véhicules à pile à combustible à l’hydrogène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Consommation de carburant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4.</w:t>
      </w:r>
      <w:r>
        <w:rPr>
          <w:noProof/>
        </w:rPr>
        <w:tab/>
        <w:t>Résultats des essais pour les véhicules pourvus d’éco-innovations (</w:t>
      </w:r>
      <w:r>
        <w:rPr>
          <w:noProof/>
          <w:vertAlign w:val="superscript"/>
        </w:rPr>
        <w:t>h1</w:t>
      </w:r>
      <w:r>
        <w:rPr>
          <w:noProof/>
        </w:rPr>
        <w:t>) (</w:t>
      </w:r>
      <w:r>
        <w:rPr>
          <w:noProof/>
          <w:vertAlign w:val="superscript"/>
        </w:rPr>
        <w:t>h2</w:t>
      </w:r>
      <w:r>
        <w:rPr>
          <w:noProof/>
        </w:rPr>
        <w:t>) (</w:t>
      </w:r>
      <w:r>
        <w:rPr>
          <w:noProof/>
          <w:vertAlign w:val="superscript"/>
        </w:rPr>
        <w:t>h3</w:t>
      </w:r>
      <w:r>
        <w:rPr>
          <w:noProof/>
        </w:rPr>
        <w:t>)</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00"/>
        <w:gridCol w:w="1312"/>
        <w:gridCol w:w="1050"/>
        <w:gridCol w:w="1070"/>
        <w:gridCol w:w="1148"/>
        <w:gridCol w:w="1156"/>
        <w:gridCol w:w="1783"/>
        <w:gridCol w:w="981"/>
      </w:tblGrid>
      <w:tr>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Décision approuvant l’éco-innovation (</w:t>
            </w:r>
            <w:r>
              <w:rPr>
                <w:noProof/>
                <w:sz w:val="20"/>
                <w:vertAlign w:val="superscript"/>
              </w:rPr>
              <w:t>h4</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Code de l’éco-innovation (</w:t>
            </w:r>
            <w:r>
              <w:rPr>
                <w:noProof/>
                <w:sz w:val="20"/>
                <w:vertAlign w:val="superscript"/>
              </w:rPr>
              <w:t>h5</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 Émissions de CO</w:t>
            </w:r>
            <w:r>
              <w:rPr>
                <w:noProof/>
                <w:sz w:val="20"/>
                <w:vertAlign w:val="subscript"/>
              </w:rPr>
              <w:t>2</w:t>
            </w:r>
            <w:r>
              <w:rPr>
                <w:noProof/>
                <w:sz w:val="20"/>
              </w:rPr>
              <w:t xml:space="preserve"> du véhicule de base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 Émissions de CO</w:t>
            </w:r>
            <w:r>
              <w:rPr>
                <w:noProof/>
                <w:sz w:val="20"/>
                <w:vertAlign w:val="subscript"/>
              </w:rPr>
              <w:t>2</w:t>
            </w:r>
            <w:r>
              <w:rPr>
                <w:noProof/>
                <w:sz w:val="20"/>
              </w:rPr>
              <w:t xml:space="preserve"> du véhicule éco-innovant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Émissions de CO</w:t>
            </w:r>
            <w:r>
              <w:rPr>
                <w:noProof/>
                <w:sz w:val="20"/>
                <w:vertAlign w:val="subscript"/>
              </w:rPr>
              <w:t>2</w:t>
            </w:r>
            <w:r>
              <w:rPr>
                <w:noProof/>
                <w:sz w:val="20"/>
              </w:rPr>
              <w:t xml:space="preserve"> du véhicule de base lors du cycle d’essai de type 1 (</w:t>
            </w:r>
            <w:r>
              <w:rPr>
                <w:noProof/>
                <w:sz w:val="20"/>
                <w:vertAlign w:val="superscript"/>
              </w:rPr>
              <w:t>h6</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Émissions de CO</w:t>
            </w:r>
            <w:r>
              <w:rPr>
                <w:noProof/>
                <w:sz w:val="20"/>
                <w:vertAlign w:val="subscript"/>
              </w:rPr>
              <w:t>2</w:t>
            </w:r>
            <w:r>
              <w:rPr>
                <w:noProof/>
                <w:sz w:val="20"/>
              </w:rPr>
              <w:t xml:space="preserve"> du véhicule éco-innovant lors du cycle d’essai de type 1 </w:t>
            </w:r>
            <w:r>
              <w:rPr>
                <w:rFonts w:eastAsia="Arial Unicode MS"/>
                <w:noProof/>
                <w:sz w:val="20"/>
                <w:szCs w:val="20"/>
              </w:rPr>
              <w:br/>
            </w:r>
            <w:r>
              <w:rPr>
                <w:noProof/>
                <w:sz w:val="20"/>
              </w:rPr>
              <w:t>(= 3.5.1.3)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 Facteur d’utilisation (UF), c’est-à-dire la part du temps d’utilisation de la technologie dans des conditions de fonctionnement normales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Émissions de CO2 épargnées</w:t>
            </w:r>
          </w:p>
          <w:p>
            <w:pPr>
              <w:spacing w:before="0" w:after="0"/>
              <w:jc w:val="left"/>
              <w:rPr>
                <w:rFonts w:eastAsia="Arial Unicode MS"/>
                <w:noProof/>
                <w:sz w:val="20"/>
                <w:szCs w:val="20"/>
              </w:rPr>
            </w:pPr>
            <w:r>
              <w:rPr>
                <w:noProof/>
                <w:sz w:val="20"/>
              </w:rPr>
              <w:t>((1 – 2) – (3 – 4))*5</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Total des émissions de CO</w:t>
            </w:r>
            <w:r>
              <w:rPr>
                <w:noProof/>
                <w:sz w:val="20"/>
                <w:vertAlign w:val="subscript"/>
              </w:rPr>
              <w:t>2</w:t>
            </w:r>
            <w:r>
              <w:rPr>
                <w:noProof/>
                <w:sz w:val="20"/>
              </w:rPr>
              <w:t xml:space="preserve"> épargnées (g/km) (</w:t>
            </w:r>
            <w:r>
              <w:rPr>
                <w:noProof/>
                <w:sz w:val="20"/>
                <w:vertAlign w:val="superscript"/>
              </w:rPr>
              <w:t>h7</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4.1.</w:t>
      </w:r>
      <w:r>
        <w:rPr>
          <w:noProof/>
        </w:rPr>
        <w:tab/>
        <w:t>Code général de la ou des éco-innovations (</w:t>
      </w:r>
      <w:r>
        <w:rPr>
          <w:noProof/>
          <w:vertAlign w:val="superscript"/>
        </w:rPr>
        <w:t>h8</w:t>
      </w:r>
      <w:r>
        <w:rPr>
          <w:noProof/>
        </w:rPr>
        <w:t>):</w:t>
      </w:r>
    </w:p>
    <w:p>
      <w:pPr>
        <w:spacing w:before="240"/>
        <w:jc w:val="left"/>
        <w:rPr>
          <w:rFonts w:eastAsia="Arial Unicode MS"/>
          <w:b/>
          <w:iCs/>
          <w:noProof/>
          <w:sz w:val="20"/>
          <w:szCs w:val="20"/>
        </w:rPr>
      </w:pPr>
      <w:r>
        <w:rPr>
          <w:b/>
          <w:noProof/>
          <w:sz w:val="20"/>
        </w:rPr>
        <w:t>Notes explicatives</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 xml:space="preserve">Le cas échéant. </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Supprimer les mentions inutiles.</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a</w:t>
      </w:r>
      <w:r>
        <w:rPr>
          <w:noProof/>
          <w:sz w:val="20"/>
          <w:szCs w:val="20"/>
        </w:rPr>
        <w:t>)</w:t>
      </w:r>
      <w:r>
        <w:rPr>
          <w:noProof/>
          <w:sz w:val="20"/>
          <w:szCs w:val="20"/>
        </w:rPr>
        <w:tab/>
        <w:t>Lorsque des restrictions concernant le carburant sont applicables, elles doivent être indiquées (par exemple, dans le cas du gaz naturel, la gamme des gaz L ou celle des gaz H).</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b</w:t>
      </w:r>
      <w:r>
        <w:rPr>
          <w:noProof/>
          <w:sz w:val="20"/>
          <w:szCs w:val="20"/>
        </w:rPr>
        <w:t>)</w:t>
      </w:r>
      <w:r>
        <w:rPr>
          <w:noProof/>
          <w:sz w:val="20"/>
          <w:szCs w:val="20"/>
        </w:rPr>
        <w:tab/>
        <w:t>Dans le cas des véhicules bicarburant, le tableau doit être répété pour les deux carburants.</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c</w:t>
      </w:r>
      <w:r>
        <w:rPr>
          <w:noProof/>
          <w:sz w:val="20"/>
          <w:szCs w:val="20"/>
        </w:rPr>
        <w:t>)</w:t>
      </w:r>
      <w:r>
        <w:rPr>
          <w:noProof/>
          <w:sz w:val="20"/>
          <w:szCs w:val="20"/>
        </w:rPr>
        <w:tab/>
        <w:t>Pour les véhicules polycarburants, lorsque l’essai doit être réalisé avec les deux carburants, selon la figure I.2.4 de l’annexe I du règlement (CE) n</w:t>
      </w:r>
      <w:r>
        <w:rPr>
          <w:noProof/>
          <w:sz w:val="20"/>
          <w:szCs w:val="20"/>
          <w:vertAlign w:val="superscript"/>
        </w:rPr>
        <w:t>o</w:t>
      </w:r>
      <w:r>
        <w:rPr>
          <w:noProof/>
          <w:sz w:val="20"/>
          <w:szCs w:val="20"/>
        </w:rPr>
        <w:t> 692/2008, et pour les véhicules fonctionnant au GPL ou au GN/biométhane, que ce soit en bicarburant ou en monocarburant, le tableau doit être répété pour les différents gaz de référence utilisés dans l’essai et un tableau supplémentaire doit présenter les résultats les plus défavorables obtenus. Le cas échéant, conformément aux points 1.1.2.4 et 1.1.2.5 de l’annexe I du règlement (CE) n</w:t>
      </w:r>
      <w:r>
        <w:rPr>
          <w:noProof/>
          <w:sz w:val="20"/>
          <w:szCs w:val="20"/>
          <w:vertAlign w:val="superscript"/>
        </w:rPr>
        <w:t>o</w:t>
      </w:r>
      <w:r>
        <w:rPr>
          <w:noProof/>
          <w:sz w:val="20"/>
          <w:szCs w:val="20"/>
        </w:rPr>
        <w:t> 692/2008, il convient d’indiquer si les résultats sont mesurés ou calculés.</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d</w:t>
      </w:r>
      <w:r>
        <w:rPr>
          <w:noProof/>
          <w:sz w:val="20"/>
          <w:szCs w:val="20"/>
        </w:rPr>
        <w:t>)</w:t>
      </w:r>
      <w:r>
        <w:rPr>
          <w:noProof/>
          <w:sz w:val="20"/>
          <w:szCs w:val="20"/>
        </w:rPr>
        <w:tab/>
        <w:t>Répéter le tableau pour chaque carburant de référence utilisé dans l’essai.</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e</w:t>
      </w:r>
      <w:r>
        <w:rPr>
          <w:noProof/>
          <w:sz w:val="20"/>
          <w:szCs w:val="20"/>
        </w:rPr>
        <w:t>)</w:t>
      </w:r>
      <w:r>
        <w:rPr>
          <w:noProof/>
          <w:sz w:val="20"/>
          <w:szCs w:val="20"/>
        </w:rPr>
        <w:tab/>
        <w:t>Pour Euro VI, ESC s’entend comme WHSC et ETC comme WHTC.</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f</w:t>
      </w:r>
      <w:r>
        <w:rPr>
          <w:noProof/>
          <w:sz w:val="20"/>
          <w:szCs w:val="20"/>
        </w:rPr>
        <w:t>)</w:t>
      </w:r>
      <w:r>
        <w:rPr>
          <w:noProof/>
          <w:sz w:val="20"/>
          <w:szCs w:val="20"/>
        </w:rPr>
        <w:tab/>
        <w:t>Pour Euro VI, si des moteurs fonctionnant au GNC ou au GPL sont testés avec différents carburants de référence, le tableau doit être reproduit pour chaque carburant de référence utilisé dans l’essai.</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g</w:t>
      </w:r>
      <w:r>
        <w:rPr>
          <w:noProof/>
          <w:sz w:val="20"/>
          <w:szCs w:val="20"/>
        </w:rPr>
        <w:t>)</w:t>
      </w:r>
      <w:r>
        <w:rPr>
          <w:noProof/>
          <w:sz w:val="20"/>
          <w:szCs w:val="20"/>
        </w:rPr>
        <w:tab/>
        <w:t>L’unité «l/100 km» est remplacée par «m</w:t>
      </w:r>
      <w:r>
        <w:rPr>
          <w:noProof/>
          <w:sz w:val="20"/>
          <w:szCs w:val="20"/>
          <w:vertAlign w:val="superscript"/>
        </w:rPr>
        <w:t>3</w:t>
      </w:r>
      <w:r>
        <w:rPr>
          <w:noProof/>
          <w:sz w:val="20"/>
          <w:szCs w:val="20"/>
        </w:rPr>
        <w:t>/100 km» pour les véhicules fonctionnant au GN et au H2GN, et par «kg/100 km» pour les véhicules fonctionnant à l’hydrogène.</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h</w:t>
      </w:r>
      <w:r>
        <w:rPr>
          <w:noProof/>
          <w:sz w:val="20"/>
          <w:szCs w:val="20"/>
        </w:rPr>
        <w:t>)</w:t>
      </w:r>
      <w:r>
        <w:rPr>
          <w:noProof/>
          <w:sz w:val="20"/>
          <w:szCs w:val="20"/>
        </w:rPr>
        <w:tab/>
        <w:t>Éco-innovations.</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h1</w:t>
      </w:r>
      <w:r>
        <w:rPr>
          <w:noProof/>
          <w:sz w:val="20"/>
          <w:szCs w:val="20"/>
        </w:rPr>
        <w:t>)</w:t>
      </w:r>
      <w:r>
        <w:rPr>
          <w:noProof/>
          <w:sz w:val="20"/>
          <w:szCs w:val="20"/>
        </w:rPr>
        <w:tab/>
        <w:t>Répéter le tableau pour chaque variante/version.</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h2</w:t>
      </w:r>
      <w:r>
        <w:rPr>
          <w:noProof/>
          <w:sz w:val="20"/>
          <w:szCs w:val="20"/>
        </w:rPr>
        <w:t>)</w:t>
      </w:r>
      <w:r>
        <w:rPr>
          <w:noProof/>
          <w:sz w:val="20"/>
          <w:szCs w:val="20"/>
        </w:rPr>
        <w:tab/>
        <w:t>Répéter le tableau pour chaque carburant de référence utilisé dans l’essai.</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h3</w:t>
      </w:r>
      <w:r>
        <w:rPr>
          <w:noProof/>
          <w:sz w:val="20"/>
          <w:szCs w:val="20"/>
        </w:rPr>
        <w:t>)</w:t>
      </w:r>
      <w:r>
        <w:rPr>
          <w:noProof/>
          <w:sz w:val="20"/>
          <w:szCs w:val="20"/>
        </w:rPr>
        <w:tab/>
        <w:t>Allonger le tableau si nécessaire, en utilisant une ligne supplémentaire par éco-innovation.</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h4</w:t>
      </w:r>
      <w:r>
        <w:rPr>
          <w:noProof/>
          <w:sz w:val="20"/>
          <w:szCs w:val="20"/>
        </w:rPr>
        <w:t>)</w:t>
      </w:r>
      <w:r>
        <w:rPr>
          <w:noProof/>
          <w:sz w:val="20"/>
          <w:szCs w:val="20"/>
        </w:rPr>
        <w:tab/>
        <w:t>Numéro de la décision de la Commission approuvant l’éco-innovation.</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h5</w:t>
      </w:r>
      <w:r>
        <w:rPr>
          <w:noProof/>
          <w:sz w:val="20"/>
          <w:szCs w:val="20"/>
        </w:rPr>
        <w:t>)</w:t>
      </w:r>
      <w:r>
        <w:rPr>
          <w:noProof/>
          <w:sz w:val="20"/>
          <w:szCs w:val="20"/>
        </w:rPr>
        <w:tab/>
        <w:t>Assigné dans la décision de la Commission approuvant l’éco-innovation.</w:t>
      </w:r>
    </w:p>
    <w:p>
      <w:pPr>
        <w:spacing w:before="0" w:after="0"/>
        <w:ind w:left="426" w:hanging="426"/>
        <w:rPr>
          <w:rFonts w:eastAsia="Arial Unicode MS"/>
          <w:iCs/>
          <w:noProof/>
          <w:sz w:val="20"/>
          <w:szCs w:val="20"/>
        </w:rPr>
      </w:pPr>
      <w:r>
        <w:rPr>
          <w:noProof/>
          <w:sz w:val="20"/>
          <w:szCs w:val="20"/>
        </w:rPr>
        <w:t>(</w:t>
      </w:r>
      <w:r>
        <w:rPr>
          <w:noProof/>
          <w:sz w:val="20"/>
          <w:szCs w:val="20"/>
          <w:vertAlign w:val="superscript"/>
        </w:rPr>
        <w:t>h6</w:t>
      </w:r>
      <w:r>
        <w:rPr>
          <w:noProof/>
          <w:sz w:val="20"/>
          <w:szCs w:val="20"/>
        </w:rPr>
        <w:t>)</w:t>
      </w:r>
      <w:r>
        <w:rPr>
          <w:noProof/>
          <w:sz w:val="20"/>
          <w:szCs w:val="20"/>
        </w:rPr>
        <w:tab/>
        <w:t>Si une méthode de modélisation est appliquée au lieu du cycle d’essai de type 1, cette valeur doit être celle fournie par la méthodologie de modélisation.</w:t>
      </w:r>
    </w:p>
    <w:p>
      <w:pPr>
        <w:spacing w:before="0" w:after="0"/>
        <w:ind w:left="567" w:hanging="567"/>
        <w:rPr>
          <w:rFonts w:eastAsia="Arial Unicode MS"/>
          <w:iCs/>
          <w:noProof/>
          <w:sz w:val="20"/>
          <w:szCs w:val="20"/>
        </w:rPr>
      </w:pPr>
      <w:r>
        <w:rPr>
          <w:noProof/>
          <w:sz w:val="20"/>
          <w:szCs w:val="20"/>
        </w:rPr>
        <w:t>(</w:t>
      </w:r>
      <w:r>
        <w:rPr>
          <w:noProof/>
          <w:sz w:val="20"/>
          <w:szCs w:val="20"/>
          <w:vertAlign w:val="superscript"/>
        </w:rPr>
        <w:t>h7</w:t>
      </w:r>
      <w:r>
        <w:rPr>
          <w:noProof/>
          <w:sz w:val="20"/>
          <w:szCs w:val="20"/>
        </w:rPr>
        <w:t>)</w:t>
      </w:r>
      <w:r>
        <w:rPr>
          <w:noProof/>
          <w:sz w:val="20"/>
          <w:szCs w:val="20"/>
        </w:rPr>
        <w:tab/>
        <w:t>Somme des émissions de CO</w:t>
      </w:r>
      <w:r>
        <w:rPr>
          <w:noProof/>
          <w:sz w:val="20"/>
          <w:szCs w:val="20"/>
          <w:vertAlign w:val="subscript"/>
        </w:rPr>
        <w:t>2</w:t>
      </w:r>
      <w:r>
        <w:rPr>
          <w:noProof/>
          <w:sz w:val="20"/>
          <w:szCs w:val="20"/>
        </w:rPr>
        <w:t xml:space="preserve"> épargnées pour chaque éco-innovation individuelle.</w:t>
      </w:r>
    </w:p>
    <w:p>
      <w:pPr>
        <w:spacing w:before="0" w:after="0"/>
        <w:ind w:left="567" w:hanging="567"/>
        <w:rPr>
          <w:rFonts w:eastAsia="Arial Unicode MS"/>
          <w:iCs/>
          <w:noProof/>
          <w:sz w:val="20"/>
          <w:szCs w:val="20"/>
        </w:rPr>
      </w:pPr>
      <w:r>
        <w:rPr>
          <w:noProof/>
          <w:sz w:val="20"/>
          <w:szCs w:val="20"/>
        </w:rPr>
        <w:t>(</w:t>
      </w:r>
      <w:r>
        <w:rPr>
          <w:noProof/>
          <w:sz w:val="20"/>
          <w:szCs w:val="20"/>
          <w:vertAlign w:val="superscript"/>
        </w:rPr>
        <w:t>h8</w:t>
      </w:r>
      <w:r>
        <w:rPr>
          <w:noProof/>
          <w:sz w:val="20"/>
          <w:szCs w:val="20"/>
        </w:rPr>
        <w:t>)</w:t>
      </w:r>
      <w:r>
        <w:rPr>
          <w:noProof/>
          <w:sz w:val="20"/>
          <w:szCs w:val="20"/>
        </w:rPr>
        <w:tab/>
        <w:t xml:space="preserve">Le code général des éco-innovations se compose des éléments suivants, séparés par un espace: </w:t>
      </w:r>
    </w:p>
    <w:p>
      <w:pPr>
        <w:spacing w:before="0" w:after="0"/>
        <w:ind w:left="851" w:hanging="284"/>
        <w:rPr>
          <w:rFonts w:eastAsia="Arial Unicode MS"/>
          <w:iCs/>
          <w:noProof/>
          <w:sz w:val="20"/>
          <w:szCs w:val="20"/>
        </w:rPr>
      </w:pPr>
      <w:r>
        <w:rPr>
          <w:noProof/>
          <w:sz w:val="20"/>
          <w:szCs w:val="20"/>
        </w:rPr>
        <w:t xml:space="preserve">— code de l’autorité compétente en matière de réception tel qu’indiqué dans l’annexe VII; </w:t>
      </w:r>
    </w:p>
    <w:p>
      <w:pPr>
        <w:spacing w:before="0" w:after="0"/>
        <w:ind w:left="851" w:hanging="284"/>
        <w:rPr>
          <w:rFonts w:eastAsia="Arial Unicode MS"/>
          <w:iCs/>
          <w:noProof/>
          <w:sz w:val="20"/>
          <w:szCs w:val="20"/>
        </w:rPr>
      </w:pPr>
      <w:r>
        <w:rPr>
          <w:noProof/>
          <w:sz w:val="20"/>
          <w:szCs w:val="20"/>
        </w:rPr>
        <w:t xml:space="preserve">— code individuel de chacune des éco-innovations dont le véhicule est pourvu, indiquées dans l’ordre chronologique des décisions de la Commission les approuvant. </w:t>
      </w:r>
    </w:p>
    <w:p>
      <w:pPr>
        <w:spacing w:before="0" w:after="0"/>
        <w:ind w:left="851"/>
        <w:rPr>
          <w:rFonts w:eastAsia="Arial Unicode MS"/>
          <w:iCs/>
          <w:noProof/>
          <w:sz w:val="20"/>
          <w:szCs w:val="20"/>
        </w:rPr>
      </w:pPr>
      <w:r>
        <w:rPr>
          <w:noProof/>
          <w:sz w:val="20"/>
        </w:rPr>
        <w:t>Par exemple, le code général de trois éco-innovations approuvées chronologiquement comme 10, 15 et 16 et montées sur un véhicule certifié par l’autorité allemande compétente en matière de réception serait: «e1 10 15 16».</w:t>
      </w:r>
      <w:r>
        <w:rPr>
          <w:rFonts w:eastAsia="Arial Unicode MS"/>
          <w:noProof/>
          <w:szCs w:val="24"/>
        </w:rPr>
        <w:pict>
          <v:rect id="_x0000_i1049" style="width:45.35pt;height:.75pt" o:hrpct="100" o:hralign="center" o:hrstd="t" o:hrnoshade="t" o:hr="t" fillcolor="black" stroked="f"/>
        </w:pict>
      </w:r>
    </w:p>
    <w:p>
      <w:pPr>
        <w:rPr>
          <w:noProof/>
        </w:rPr>
      </w:pPr>
      <w:r>
        <w:rPr>
          <w:noProof/>
        </w:rPr>
        <w:br w:type="page"/>
      </w:r>
    </w:p>
    <w:p>
      <w:pPr>
        <w:pStyle w:val="Annexetitre"/>
        <w:rPr>
          <w:noProof/>
        </w:rPr>
      </w:pPr>
      <w:r>
        <w:rPr>
          <w:noProof/>
        </w:rPr>
        <w:t>ANNEXE IX</w:t>
      </w:r>
    </w:p>
    <w:p>
      <w:pPr>
        <w:spacing w:before="240" w:after="240"/>
        <w:jc w:val="center"/>
        <w:rPr>
          <w:rFonts w:eastAsia="Arial Unicode MS"/>
          <w:b/>
          <w:bCs/>
          <w:noProof/>
          <w:szCs w:val="24"/>
        </w:rPr>
      </w:pPr>
      <w:r>
        <w:rPr>
          <w:b/>
          <w:noProof/>
        </w:rPr>
        <w:t>CERTIFICAT DE CONFORMITÉ</w:t>
      </w:r>
    </w:p>
    <w:p>
      <w:pPr>
        <w:ind w:left="851" w:hanging="851"/>
        <w:jc w:val="left"/>
        <w:rPr>
          <w:rFonts w:eastAsia="Arial Unicode MS"/>
          <w:bCs/>
          <w:noProof/>
          <w:szCs w:val="24"/>
        </w:rPr>
      </w:pPr>
      <w:r>
        <w:rPr>
          <w:noProof/>
        </w:rPr>
        <w:t>1.</w:t>
      </w:r>
      <w:r>
        <w:rPr>
          <w:noProof/>
        </w:rPr>
        <w:tab/>
        <w:t>OBJECTIFS</w:t>
      </w:r>
    </w:p>
    <w:p>
      <w:pPr>
        <w:spacing w:after="0"/>
        <w:ind w:left="851"/>
        <w:rPr>
          <w:rFonts w:eastAsia="Arial Unicode MS"/>
          <w:noProof/>
          <w:szCs w:val="24"/>
        </w:rPr>
      </w:pPr>
      <w:r>
        <w:rPr>
          <w:noProof/>
        </w:rPr>
        <w:t xml:space="preserve">Le certificat de conformité est une déclaration délivrée par le constructeur du véhicule à l’acheteur en vue de garantir à celui-ci que le véhicule acquis est conforme à la législation en vigueur dans l’Union au moment de sa production. </w:t>
      </w:r>
    </w:p>
    <w:p>
      <w:pPr>
        <w:spacing w:after="0"/>
        <w:ind w:left="851"/>
        <w:rPr>
          <w:rFonts w:eastAsia="Arial Unicode MS"/>
          <w:noProof/>
          <w:szCs w:val="24"/>
        </w:rPr>
      </w:pPr>
      <w:r>
        <w:rPr>
          <w:noProof/>
        </w:rPr>
        <w:t xml:space="preserve">Le certificat de conformité permet également aux autorités compétentes des États membres d’immatriculer des véhicules sans exiger du demandeur qu’il fournisse des documents techniques supplémentaires. </w:t>
      </w:r>
    </w:p>
    <w:p>
      <w:pPr>
        <w:spacing w:before="240" w:after="240"/>
        <w:ind w:left="851" w:hanging="851"/>
        <w:jc w:val="left"/>
        <w:rPr>
          <w:rFonts w:eastAsia="Arial Unicode MS"/>
          <w:bCs/>
          <w:noProof/>
          <w:szCs w:val="24"/>
        </w:rPr>
      </w:pPr>
      <w:r>
        <w:rPr>
          <w:noProof/>
        </w:rPr>
        <w:t>2.</w:t>
      </w:r>
      <w:r>
        <w:rPr>
          <w:noProof/>
        </w:rPr>
        <w:tab/>
        <w:t>DESCRIPTION GÉNÉRALE</w:t>
      </w:r>
    </w:p>
    <w:p>
      <w:pPr>
        <w:spacing w:after="0"/>
        <w:ind w:left="851" w:hanging="851"/>
        <w:rPr>
          <w:rFonts w:eastAsia="Arial Unicode MS"/>
          <w:noProof/>
          <w:szCs w:val="24"/>
        </w:rPr>
      </w:pPr>
      <w:r>
        <w:rPr>
          <w:noProof/>
        </w:rPr>
        <w:t>2.1.</w:t>
      </w:r>
      <w:r>
        <w:rPr>
          <w:noProof/>
        </w:rPr>
        <w:tab/>
        <w:t>Le certificat de conformité comprend les informations suivantes:</w:t>
      </w:r>
    </w:p>
    <w:p>
      <w:pPr>
        <w:spacing w:before="0" w:after="0"/>
        <w:ind w:left="1276" w:hanging="425"/>
        <w:rPr>
          <w:rFonts w:eastAsia="Arial Unicode MS"/>
          <w:noProof/>
          <w:szCs w:val="24"/>
        </w:rPr>
      </w:pPr>
      <w:r>
        <w:rPr>
          <w:noProof/>
        </w:rPr>
        <w:t>a)</w:t>
      </w:r>
      <w:r>
        <w:rPr>
          <w:noProof/>
        </w:rPr>
        <w:tab/>
        <w:t>le numéro d’identification du véhicule;</w:t>
      </w:r>
    </w:p>
    <w:p>
      <w:pPr>
        <w:spacing w:before="0" w:after="0"/>
        <w:ind w:left="1276" w:hanging="425"/>
        <w:rPr>
          <w:rFonts w:eastAsia="Arial Unicode MS"/>
          <w:noProof/>
          <w:szCs w:val="24"/>
        </w:rPr>
      </w:pPr>
      <w:r>
        <w:rPr>
          <w:noProof/>
        </w:rPr>
        <w:t>b)</w:t>
      </w:r>
      <w:r>
        <w:rPr>
          <w:noProof/>
        </w:rPr>
        <w:tab/>
        <w:t>la date de construction du véhicule;</w:t>
      </w:r>
    </w:p>
    <w:p>
      <w:pPr>
        <w:spacing w:before="0" w:after="0"/>
        <w:ind w:left="1276" w:hanging="425"/>
        <w:rPr>
          <w:rFonts w:eastAsia="Arial Unicode MS"/>
          <w:noProof/>
          <w:szCs w:val="24"/>
        </w:rPr>
      </w:pPr>
      <w:r>
        <w:rPr>
          <w:noProof/>
        </w:rPr>
        <w:t>c)</w:t>
      </w:r>
      <w:r>
        <w:rPr>
          <w:noProof/>
        </w:rPr>
        <w:tab/>
        <w:t>les caractéristiques techniques exactes du véhicule (il n’est donc pas permis de mentionner une fourchette de valeurs dans les différentes entrées).</w:t>
      </w:r>
    </w:p>
    <w:p>
      <w:pPr>
        <w:spacing w:after="0"/>
        <w:ind w:left="851" w:hanging="851"/>
        <w:rPr>
          <w:rFonts w:eastAsia="Arial Unicode MS"/>
          <w:noProof/>
          <w:szCs w:val="24"/>
        </w:rPr>
      </w:pPr>
      <w:r>
        <w:rPr>
          <w:noProof/>
        </w:rPr>
        <w:t>2.2.</w:t>
      </w:r>
      <w:r>
        <w:rPr>
          <w:noProof/>
        </w:rPr>
        <w:tab/>
        <w:t>Le certificat de conformité comprend deux parties:</w:t>
      </w:r>
    </w:p>
    <w:p>
      <w:pPr>
        <w:spacing w:after="0"/>
        <w:ind w:left="1418" w:hanging="568"/>
        <w:rPr>
          <w:rFonts w:eastAsia="Arial Unicode MS"/>
          <w:noProof/>
          <w:szCs w:val="24"/>
        </w:rPr>
      </w:pPr>
      <w:r>
        <w:rPr>
          <w:noProof/>
        </w:rPr>
        <w:t>a)</w:t>
      </w:r>
      <w:r>
        <w:rPr>
          <w:noProof/>
        </w:rPr>
        <w:tab/>
        <w:t>PAGE 1: déclaration de conformité par le constructeur. Le modèle de cette déclaration est identique pour toutes les catégories de véhicules.</w:t>
      </w:r>
    </w:p>
    <w:p>
      <w:pPr>
        <w:spacing w:after="0"/>
        <w:ind w:left="1418" w:hanging="568"/>
        <w:rPr>
          <w:rFonts w:eastAsia="Arial Unicode MS"/>
          <w:noProof/>
          <w:szCs w:val="24"/>
        </w:rPr>
      </w:pPr>
      <w:r>
        <w:rPr>
          <w:noProof/>
        </w:rPr>
        <w:t>b)</w:t>
      </w:r>
      <w:r>
        <w:rPr>
          <w:noProof/>
        </w:rPr>
        <w:tab/>
        <w:t>PAGE 2: description technique des caractéristiques techniques exactes du véhicule. La page 2 est adaptée à chaque catégorie spécifique de véhicules.</w:t>
      </w:r>
    </w:p>
    <w:p>
      <w:pPr>
        <w:spacing w:after="0"/>
        <w:ind w:left="851" w:hanging="851"/>
        <w:rPr>
          <w:rFonts w:eastAsia="Arial Unicode MS"/>
          <w:noProof/>
          <w:szCs w:val="24"/>
        </w:rPr>
      </w:pPr>
      <w:r>
        <w:rPr>
          <w:noProof/>
        </w:rPr>
        <w:t>2.3.</w:t>
      </w:r>
      <w:r>
        <w:rPr>
          <w:noProof/>
        </w:rPr>
        <w:tab/>
        <w:t>Les dimensions du certificat de conformité ne doivent pas dépasser celles d’un format A4 (210 × 297 mm) ou d’un dépliant de format A4.</w:t>
      </w:r>
    </w:p>
    <w:p>
      <w:pPr>
        <w:spacing w:after="0"/>
        <w:ind w:left="851" w:hanging="851"/>
        <w:rPr>
          <w:rFonts w:eastAsia="Arial Unicode MS"/>
          <w:noProof/>
          <w:szCs w:val="24"/>
        </w:rPr>
      </w:pPr>
      <w:r>
        <w:rPr>
          <w:noProof/>
        </w:rPr>
        <w:t>2.4.</w:t>
      </w:r>
      <w:r>
        <w:rPr>
          <w:noProof/>
        </w:rPr>
        <w:tab/>
        <w:t>Sans préjudice des dispositions du point 2.2 b), les valeurs et unités indiquées à la page 2 du certificat de conformité doivent être identiques à celles mentionnées dans les documents de réception par type requis par les actes réglementaires applicables. Dans le cas de contrôles de la conformité de la production, les valeurs sont vérifiées selon les méthodes fixées par les actes réglementaires applicables. Il est tenu compte des tolérances prévues dans ces actes réglementaires.</w:t>
      </w:r>
    </w:p>
    <w:p>
      <w:pPr>
        <w:spacing w:before="240" w:after="240"/>
        <w:ind w:left="851" w:hanging="851"/>
        <w:jc w:val="left"/>
        <w:rPr>
          <w:rFonts w:eastAsia="Arial Unicode MS"/>
          <w:bCs/>
          <w:noProof/>
          <w:szCs w:val="24"/>
        </w:rPr>
      </w:pPr>
      <w:r>
        <w:rPr>
          <w:noProof/>
        </w:rPr>
        <w:t>3.</w:t>
      </w:r>
      <w:r>
        <w:rPr>
          <w:noProof/>
        </w:rPr>
        <w:tab/>
        <w:t>DISPOSITIONS PARTICULIÈRES</w:t>
      </w:r>
    </w:p>
    <w:p>
      <w:pPr>
        <w:spacing w:after="0"/>
        <w:ind w:left="851" w:hanging="851"/>
        <w:rPr>
          <w:rFonts w:eastAsia="Arial Unicode MS"/>
          <w:noProof/>
          <w:szCs w:val="24"/>
        </w:rPr>
      </w:pPr>
      <w:r>
        <w:rPr>
          <w:noProof/>
        </w:rPr>
        <w:t>3.1.</w:t>
      </w:r>
      <w:r>
        <w:rPr>
          <w:noProof/>
        </w:rPr>
        <w:tab/>
        <w:t>Le modèle A du certificat de conformité (véhicules complets) couvre les véhicules pouvant être utilisés sur la route sans qu’une étape d’achèvement supplémentaire ne soit nécessaire pour leur réception par type.</w:t>
      </w:r>
    </w:p>
    <w:p>
      <w:pPr>
        <w:spacing w:after="0"/>
        <w:ind w:left="851" w:hanging="851"/>
        <w:rPr>
          <w:rFonts w:eastAsia="Arial Unicode MS"/>
          <w:noProof/>
          <w:szCs w:val="24"/>
        </w:rPr>
      </w:pPr>
      <w:r>
        <w:rPr>
          <w:noProof/>
        </w:rPr>
        <w:t>3.2.</w:t>
      </w:r>
      <w:r>
        <w:rPr>
          <w:noProof/>
        </w:rPr>
        <w:tab/>
        <w:t>Le modèle B du certificat de conformité (véhicules complétés) couvre les véhicules qui ont fait l’objet d’une étape d’achèvement supplémentaire pour leur réception par type.</w:t>
      </w:r>
    </w:p>
    <w:p>
      <w:pPr>
        <w:ind w:left="851"/>
        <w:rPr>
          <w:rFonts w:eastAsia="Arial Unicode MS"/>
          <w:noProof/>
          <w:szCs w:val="24"/>
        </w:rPr>
      </w:pPr>
      <w:r>
        <w:rPr>
          <w:noProof/>
        </w:rPr>
        <w:t>Il s’agit du résultat normal du processus de réception multi-étapes (par exemple, un autobus construit par un constructeur de deuxième étape sur un châssis construit par un autre constructeur de véhicules).</w:t>
      </w:r>
    </w:p>
    <w:p>
      <w:pPr>
        <w:ind w:left="851"/>
        <w:rPr>
          <w:rFonts w:eastAsia="Arial Unicode MS"/>
          <w:noProof/>
          <w:szCs w:val="24"/>
        </w:rPr>
      </w:pPr>
      <w:r>
        <w:rPr>
          <w:noProof/>
        </w:rPr>
        <w:t>Les caractéristiques supplémentaires qui ont été ajoutées au cours du processus multi-étapes sont décrites succinctement.</w:t>
      </w:r>
    </w:p>
    <w:p>
      <w:pPr>
        <w:spacing w:after="0"/>
        <w:ind w:left="851" w:hanging="851"/>
        <w:rPr>
          <w:rFonts w:eastAsia="Arial Unicode MS"/>
          <w:noProof/>
          <w:szCs w:val="24"/>
        </w:rPr>
      </w:pPr>
      <w:r>
        <w:rPr>
          <w:noProof/>
        </w:rPr>
        <w:t>3.3.</w:t>
      </w:r>
      <w:r>
        <w:rPr>
          <w:noProof/>
        </w:rPr>
        <w:tab/>
        <w:t>Le modèle C du certificat de conformité (véhicules incomplets) couvre les véhicules dont la réception nécessite une étape d’achèvement supplémentaire (par exemple les châssis de camion).</w:t>
      </w:r>
    </w:p>
    <w:p>
      <w:pPr>
        <w:ind w:left="851"/>
        <w:rPr>
          <w:rFonts w:eastAsia="Arial Unicode MS"/>
          <w:noProof/>
          <w:szCs w:val="24"/>
        </w:rPr>
      </w:pPr>
      <w:r>
        <w:rPr>
          <w:noProof/>
        </w:rPr>
        <w:t>Sauf en ce qui concerne les tracteurs pour semi-remorques, les certificats de conformité couvrant les véhicules châssis-cabine relevant de la catégorie N sont établis selon le modèle C.</w:t>
      </w:r>
    </w:p>
    <w:p>
      <w:pPr>
        <w:jc w:val="center"/>
        <w:rPr>
          <w:rFonts w:eastAsia="Arial Unicode MS"/>
          <w:i/>
          <w:iCs/>
          <w:noProof/>
          <w:szCs w:val="24"/>
        </w:rPr>
      </w:pPr>
      <w:r>
        <w:rPr>
          <w:noProof/>
        </w:rPr>
        <w:br w:type="page"/>
      </w:r>
      <w:r>
        <w:rPr>
          <w:i/>
          <w:noProof/>
        </w:rPr>
        <w:t xml:space="preserve">PARTIE I </w:t>
      </w:r>
    </w:p>
    <w:p>
      <w:pPr>
        <w:spacing w:before="240" w:after="240"/>
        <w:jc w:val="center"/>
        <w:rPr>
          <w:rFonts w:eastAsia="Arial Unicode MS"/>
          <w:iCs/>
          <w:noProof/>
          <w:szCs w:val="24"/>
        </w:rPr>
      </w:pPr>
      <w:r>
        <w:rPr>
          <w:b/>
          <w:noProof/>
        </w:rPr>
        <w:t>VÉHICULES COMPLETS ET COMPLÉTÉS</w:t>
      </w:r>
      <w:r>
        <w:rPr>
          <w:noProof/>
        </w:rPr>
        <w:t xml:space="preserve"> </w:t>
      </w:r>
    </w:p>
    <w:p>
      <w:pPr>
        <w:spacing w:before="240" w:after="240"/>
        <w:jc w:val="center"/>
        <w:rPr>
          <w:rFonts w:eastAsia="Arial Unicode MS"/>
          <w:bCs/>
          <w:noProof/>
          <w:szCs w:val="24"/>
        </w:rPr>
      </w:pPr>
      <w:r>
        <w:rPr>
          <w:noProof/>
        </w:rPr>
        <w:t>MODÈLE A1 – PAGE 1</w:t>
      </w:r>
    </w:p>
    <w:p>
      <w:pPr>
        <w:jc w:val="center"/>
        <w:rPr>
          <w:rFonts w:eastAsia="Arial Unicode MS"/>
          <w:bCs/>
          <w:noProof/>
          <w:szCs w:val="24"/>
        </w:rPr>
      </w:pPr>
      <w:r>
        <w:rPr>
          <w:noProof/>
        </w:rPr>
        <w:t>VÉHICULES COMPLETS</w:t>
      </w:r>
    </w:p>
    <w:p>
      <w:pPr>
        <w:jc w:val="center"/>
        <w:rPr>
          <w:rFonts w:eastAsia="Arial Unicode MS"/>
          <w:bCs/>
          <w:noProof/>
          <w:szCs w:val="24"/>
        </w:rPr>
      </w:pPr>
      <w:r>
        <w:rPr>
          <w:noProof/>
        </w:rPr>
        <w:t xml:space="preserve">CERTIFICAT DE CONFORMITÉ </w:t>
      </w:r>
    </w:p>
    <w:p>
      <w:pPr>
        <w:jc w:val="left"/>
        <w:rPr>
          <w:rFonts w:eastAsia="Arial Unicode MS"/>
          <w:noProof/>
          <w:szCs w:val="24"/>
        </w:rPr>
      </w:pPr>
      <w:r>
        <w:rPr>
          <w:b/>
          <w:i/>
          <w:noProof/>
        </w:rPr>
        <w:t>Page 1</w:t>
      </w:r>
    </w:p>
    <w:p>
      <w:pPr>
        <w:spacing w:after="0"/>
        <w:rPr>
          <w:rFonts w:eastAsia="Arial Unicode MS"/>
          <w:noProof/>
          <w:szCs w:val="24"/>
        </w:rPr>
      </w:pPr>
      <w:r>
        <w:rPr>
          <w:noProof/>
        </w:rPr>
        <w:t>Le soussigné [… (</w:t>
      </w:r>
      <w:r>
        <w:rPr>
          <w:i/>
          <w:noProof/>
        </w:rPr>
        <w:t>nom complet et fonctions</w:t>
      </w:r>
      <w:r>
        <w:rPr>
          <w:noProof/>
        </w:rPr>
        <w:t>)] certifie par la présente que le véhicule:</w:t>
      </w:r>
    </w:p>
    <w:p>
      <w:pPr>
        <w:spacing w:after="0"/>
        <w:ind w:left="851" w:hanging="851"/>
        <w:rPr>
          <w:rFonts w:eastAsia="Arial Unicode MS"/>
          <w:noProof/>
          <w:szCs w:val="24"/>
        </w:rPr>
      </w:pPr>
      <w:r>
        <w:rPr>
          <w:noProof/>
        </w:rPr>
        <w:t>0.1.</w:t>
      </w:r>
      <w:r>
        <w:rPr>
          <w:noProof/>
        </w:rPr>
        <w:tab/>
        <w:t>Marque (dénomination commerciale du constructeur): …</w:t>
      </w:r>
    </w:p>
    <w:p>
      <w:pPr>
        <w:spacing w:after="0"/>
        <w:ind w:left="851" w:hanging="851"/>
        <w:rPr>
          <w:rFonts w:eastAsia="Arial Unicode MS"/>
          <w:noProof/>
          <w:szCs w:val="24"/>
          <w:lang w:val="it-IT"/>
        </w:rPr>
      </w:pPr>
      <w:r>
        <w:rPr>
          <w:noProof/>
          <w:lang w:val="it-IT"/>
        </w:rPr>
        <w:t>0.2.</w:t>
      </w:r>
      <w:r>
        <w:rPr>
          <w:noProof/>
          <w:lang w:val="it-IT"/>
        </w:rPr>
        <w:tab/>
        <w:t>Type: …</w:t>
      </w:r>
    </w:p>
    <w:p>
      <w:pPr>
        <w:ind w:left="851"/>
        <w:rPr>
          <w:rFonts w:eastAsia="Arial Unicode MS"/>
          <w:noProof/>
          <w:szCs w:val="24"/>
          <w:lang w:val="it-IT"/>
        </w:rPr>
      </w:pPr>
      <w:r>
        <w:rPr>
          <w:noProof/>
          <w:lang w:val="it-IT"/>
        </w:rPr>
        <w:t>Variante (</w:t>
      </w:r>
      <w:r>
        <w:rPr>
          <w:noProof/>
          <w:vertAlign w:val="superscript"/>
          <w:lang w:val="it-IT"/>
        </w:rPr>
        <w:t>a</w:t>
      </w:r>
      <w:r>
        <w:rPr>
          <w:noProof/>
          <w:lang w:val="it-IT"/>
        </w:rPr>
        <w:t>): …</w:t>
      </w:r>
    </w:p>
    <w:p>
      <w:pPr>
        <w:ind w:left="851"/>
        <w:rPr>
          <w:rFonts w:eastAsia="Arial Unicode MS"/>
          <w:noProof/>
          <w:szCs w:val="24"/>
          <w:lang w:val="it-IT"/>
        </w:rPr>
      </w:pPr>
      <w:r>
        <w:rPr>
          <w:noProof/>
          <w:lang w:val="it-IT"/>
        </w:rPr>
        <w:t>Version (</w:t>
      </w:r>
      <w:r>
        <w:rPr>
          <w:noProof/>
          <w:vertAlign w:val="superscript"/>
          <w:lang w:val="it-IT"/>
        </w:rPr>
        <w:t>a</w:t>
      </w:r>
      <w:r>
        <w:rPr>
          <w:noProof/>
          <w:lang w:val="it-IT"/>
        </w:rPr>
        <w:t>): …</w:t>
      </w:r>
    </w:p>
    <w:p>
      <w:pPr>
        <w:spacing w:after="0"/>
        <w:ind w:left="851" w:hanging="851"/>
        <w:rPr>
          <w:rFonts w:eastAsia="Arial Unicode MS"/>
          <w:noProof/>
          <w:szCs w:val="24"/>
        </w:rPr>
      </w:pPr>
      <w:r>
        <w:rPr>
          <w:noProof/>
        </w:rPr>
        <w:t>0.2.1.</w:t>
      </w:r>
      <w:r>
        <w:rPr>
          <w:noProof/>
        </w:rPr>
        <w:tab/>
        <w:t>Appellation commerciale: …</w:t>
      </w:r>
    </w:p>
    <w:p>
      <w:pPr>
        <w:spacing w:after="0"/>
        <w:ind w:left="851" w:hanging="851"/>
        <w:rPr>
          <w:rFonts w:eastAsia="Arial Unicode MS"/>
          <w:noProof/>
          <w:szCs w:val="24"/>
        </w:rPr>
      </w:pPr>
      <w:r>
        <w:rPr>
          <w:noProof/>
        </w:rPr>
        <w:t>0.4.</w:t>
      </w:r>
      <w:r>
        <w:rPr>
          <w:noProof/>
        </w:rPr>
        <w:tab/>
        <w:t>Catégorie de véhicules: …</w:t>
      </w:r>
    </w:p>
    <w:p>
      <w:pPr>
        <w:spacing w:after="0"/>
        <w:ind w:left="851" w:hanging="851"/>
        <w:rPr>
          <w:rFonts w:eastAsia="Arial Unicode MS"/>
          <w:noProof/>
          <w:szCs w:val="24"/>
        </w:rPr>
      </w:pPr>
      <w:r>
        <w:rPr>
          <w:noProof/>
        </w:rPr>
        <w:t>0.5.</w:t>
      </w:r>
      <w:r>
        <w:rPr>
          <w:noProof/>
        </w:rPr>
        <w:tab/>
        <w:t>Raison sociale et adresse du constructeur: …</w:t>
      </w:r>
    </w:p>
    <w:p>
      <w:pPr>
        <w:spacing w:after="0"/>
        <w:ind w:left="851" w:hanging="851"/>
        <w:rPr>
          <w:rFonts w:eastAsia="Arial Unicode MS"/>
          <w:noProof/>
          <w:szCs w:val="24"/>
        </w:rPr>
      </w:pPr>
      <w:r>
        <w:rPr>
          <w:noProof/>
        </w:rPr>
        <w:t>0.6.</w:t>
      </w:r>
      <w:r>
        <w:rPr>
          <w:noProof/>
        </w:rPr>
        <w:tab/>
        <w:t>Emplacement et méthode de fixation des plaques réglementaires: …</w:t>
      </w:r>
    </w:p>
    <w:p>
      <w:pPr>
        <w:ind w:left="851"/>
        <w:rPr>
          <w:rFonts w:eastAsia="Arial Unicode MS"/>
          <w:noProof/>
          <w:szCs w:val="24"/>
        </w:rPr>
      </w:pPr>
      <w:r>
        <w:rPr>
          <w:noProof/>
        </w:rPr>
        <w:t>Emplacement du numéro d’identification du véhicule: …</w:t>
      </w:r>
    </w:p>
    <w:p>
      <w:pPr>
        <w:spacing w:after="0"/>
        <w:ind w:left="851" w:hanging="851"/>
        <w:rPr>
          <w:rFonts w:eastAsia="Arial Unicode MS"/>
          <w:noProof/>
          <w:szCs w:val="24"/>
        </w:rPr>
      </w:pPr>
      <w:r>
        <w:rPr>
          <w:noProof/>
        </w:rPr>
        <w:t>0.9.</w:t>
      </w:r>
      <w:r>
        <w:rPr>
          <w:noProof/>
        </w:rPr>
        <w:tab/>
        <w:t>Nom et adresse du mandataire du constructeur (le cas échéant): …</w:t>
      </w:r>
    </w:p>
    <w:p>
      <w:pPr>
        <w:spacing w:after="0"/>
        <w:ind w:left="851" w:hanging="851"/>
        <w:rPr>
          <w:rFonts w:eastAsia="Arial Unicode MS"/>
          <w:noProof/>
          <w:szCs w:val="24"/>
        </w:rPr>
      </w:pPr>
      <w:r>
        <w:rPr>
          <w:noProof/>
        </w:rPr>
        <w:t>0.10.</w:t>
      </w:r>
      <w:r>
        <w:rPr>
          <w:noProof/>
        </w:rPr>
        <w:tab/>
        <w:t>Numéro d’identification du véhicule: …</w:t>
      </w:r>
    </w:p>
    <w:p>
      <w:pPr>
        <w:spacing w:after="0"/>
        <w:ind w:left="851" w:hanging="851"/>
        <w:rPr>
          <w:rFonts w:eastAsia="Arial Unicode MS"/>
          <w:noProof/>
          <w:szCs w:val="24"/>
        </w:rPr>
      </w:pPr>
      <w:r>
        <w:rPr>
          <w:noProof/>
        </w:rPr>
        <w:t>0.11.</w:t>
      </w:r>
      <w:r>
        <w:rPr>
          <w:noProof/>
        </w:rPr>
        <w:tab/>
        <w:t>Date de construction: ……</w:t>
      </w:r>
    </w:p>
    <w:p>
      <w:pPr>
        <w:spacing w:after="0"/>
        <w:rPr>
          <w:rFonts w:eastAsia="Arial Unicode MS"/>
          <w:noProof/>
          <w:szCs w:val="24"/>
        </w:rPr>
      </w:pPr>
      <w:r>
        <w:rPr>
          <w:noProof/>
        </w:rPr>
        <w:t>est conforme à tous égards au type décrit dans la réception (…</w:t>
      </w:r>
      <w:r>
        <w:rPr>
          <w:i/>
          <w:noProof/>
        </w:rPr>
        <w:t xml:space="preserve"> numéro de réception par type, y compris le numéro d’extension</w:t>
      </w:r>
      <w:r>
        <w:rPr>
          <w:noProof/>
        </w:rPr>
        <w:t xml:space="preserve">) délivrée le (… </w:t>
      </w:r>
      <w:r>
        <w:rPr>
          <w:i/>
          <w:noProof/>
        </w:rPr>
        <w:t>date de délivrance</w:t>
      </w:r>
      <w:r>
        <w:rPr>
          <w:noProof/>
        </w:rPr>
        <w:t>) et</w:t>
      </w:r>
    </w:p>
    <w:p>
      <w:pPr>
        <w:spacing w:after="240"/>
        <w:rPr>
          <w:rFonts w:eastAsia="Arial Unicode MS"/>
          <w:noProof/>
          <w:szCs w:val="24"/>
        </w:rPr>
      </w:pPr>
      <w:r>
        <w:rPr>
          <w:noProof/>
        </w:rPr>
        <w:t>peut être immatriculé à titre permanent dans les États membres dans lesquels la conduite est à droite/à gauche (</w:t>
      </w:r>
      <w:r>
        <w:rPr>
          <w:noProof/>
          <w:vertAlign w:val="superscript"/>
        </w:rPr>
        <w:t>b</w:t>
      </w:r>
      <w:r>
        <w:rPr>
          <w:noProof/>
        </w:rPr>
        <w:t>) et qui utilisent les unités métriques/impériales (</w:t>
      </w:r>
      <w:r>
        <w:rPr>
          <w:noProof/>
          <w:vertAlign w:val="superscript"/>
        </w:rPr>
        <w:t>c</w:t>
      </w:r>
      <w:r>
        <w:rPr>
          <w:noProof/>
        </w:rPr>
        <w:t>) pour le compteur de vitesse (</w:t>
      </w:r>
      <w:r>
        <w:rPr>
          <w:noProof/>
          <w:vertAlign w:val="superscript"/>
        </w:rPr>
        <w:t>d</w:t>
      </w:r>
      <w:r>
        <w:rPr>
          <w:noProof/>
        </w:rPr>
        <w:t xml:space="preserve">).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(Lieu) (Date):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(Signature): …</w:t>
            </w:r>
          </w:p>
        </w:tc>
      </w:tr>
    </w:tbl>
    <w:p>
      <w:pPr>
        <w:rPr>
          <w:rFonts w:eastAsia="Arial Unicode MS"/>
          <w:noProof/>
          <w:szCs w:val="24"/>
        </w:rPr>
      </w:pPr>
      <w:r>
        <w:rPr>
          <w:noProof/>
        </w:rPr>
        <w:t>NB:</w:t>
      </w:r>
    </w:p>
    <w:p>
      <w:pPr>
        <w:spacing w:after="480"/>
        <w:ind w:left="284" w:hanging="284"/>
        <w:rPr>
          <w:rFonts w:eastAsia="Arial Unicode MS"/>
          <w:noProof/>
          <w:szCs w:val="24"/>
        </w:rPr>
      </w:pPr>
      <w:r>
        <w:rPr>
          <w:noProof/>
        </w:rPr>
        <w:t>–</w:t>
      </w:r>
      <w:r>
        <w:rPr>
          <w:noProof/>
        </w:rPr>
        <w:tab/>
        <w:t>Si le présent modèle est utilisé pour la réception par type d’un véhicule dans le cadre d’une dérogation pour nouvelle technologie ou nouveau concept, conformément à l’article 37 du règlement (UE) n</w:t>
      </w:r>
      <w:r>
        <w:rPr>
          <w:noProof/>
          <w:vertAlign w:val="superscript"/>
        </w:rPr>
        <w:t>o</w:t>
      </w:r>
      <w:r>
        <w:rPr>
          <w:noProof/>
        </w:rPr>
        <w:t xml:space="preserve"> XXX/201X, l’intitulé du certificat de conformité est le suivant: «CERTIFICAT DE CONFORMITÉ PROVISOIRE, VALABLE UNIQUEMENT SUR LE TERRITOIRE DE LA/DU …(EM)». </w:t>
      </w:r>
    </w:p>
    <w:p>
      <w:pPr>
        <w:spacing w:after="480"/>
        <w:ind w:left="284"/>
        <w:rPr>
          <w:rFonts w:eastAsia="Arial Unicode MS"/>
          <w:noProof/>
          <w:szCs w:val="24"/>
        </w:rPr>
      </w:pPr>
      <w:r>
        <w:rPr>
          <w:noProof/>
        </w:rPr>
        <w:t>Le certificat de conformité provisoire doit également indiquer dans son intitulé, au lieu de «VÉHICULES COMPLETS», la mention: «POUR LES VÉHICULES COMPLETS, RÉCEPTIONNÉS PAR TYPE CONFORMÉMENT À L’ARTICLE 37 DU RÈGLEMENT (UE) N</w:t>
      </w:r>
      <w:r>
        <w:rPr>
          <w:noProof/>
          <w:vertAlign w:val="superscript"/>
        </w:rPr>
        <w:t>o</w:t>
      </w:r>
      <w:r>
        <w:rPr>
          <w:noProof/>
        </w:rPr>
        <w:t> XXX/201X DU PARLEMENT EUROPÉEN ET DU CONSEIL DU [JJ MOIS ANNÉE] RELATIF À LA RÉCEPTION ET À LA SURVEILLANCE DU MARCHÉ DES VÉHICULES À MOTEUR ET DE LEURS REMORQUES, AINSI QUE DES SYSTÈMES, COMPOSANTS ET ENTITÉS TECHNIQUES DISTINCTES DESTINÉS À CES VÉHICULES (RÉCEPTION PROVISOIRE)», conformément à l’article 37 du règlement (UE) n</w:t>
      </w:r>
      <w:r>
        <w:rPr>
          <w:noProof/>
          <w:vertAlign w:val="superscript"/>
        </w:rPr>
        <w:t>o</w:t>
      </w:r>
      <w:r>
        <w:rPr>
          <w:noProof/>
        </w:rPr>
        <w:t> XXX/201X.</w:t>
      </w:r>
    </w:p>
    <w:p>
      <w:pPr>
        <w:spacing w:before="0" w:after="0"/>
        <w:jc w:val="left"/>
        <w:rPr>
          <w:rFonts w:eastAsia="Arial Unicode MS"/>
          <w:bCs/>
          <w:noProof/>
          <w:szCs w:val="24"/>
        </w:rPr>
      </w:pPr>
      <w:r>
        <w:rPr>
          <w:noProof/>
        </w:rPr>
        <w:br w:type="page"/>
      </w:r>
    </w:p>
    <w:p>
      <w:pPr>
        <w:spacing w:after="360"/>
        <w:jc w:val="center"/>
        <w:rPr>
          <w:rFonts w:eastAsia="Arial Unicode MS"/>
          <w:bCs/>
          <w:noProof/>
          <w:szCs w:val="24"/>
        </w:rPr>
      </w:pPr>
      <w:r>
        <w:rPr>
          <w:noProof/>
        </w:rPr>
        <w:t>MODÈLE A2 – PAGE 1</w:t>
      </w:r>
    </w:p>
    <w:p>
      <w:pPr>
        <w:spacing w:after="480"/>
        <w:jc w:val="center"/>
        <w:rPr>
          <w:rFonts w:eastAsia="Arial Unicode MS"/>
          <w:bCs/>
          <w:noProof/>
          <w:szCs w:val="24"/>
        </w:rPr>
      </w:pPr>
      <w:r>
        <w:rPr>
          <w:noProof/>
        </w:rPr>
        <w:t>VÉHICULES COMPLETS RÉCEPTIONNÉS PAR TYPE EN PETITES SÉRIES</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75"/>
        <w:gridCol w:w="252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[Année]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[Numéro séquentiel]</w:t>
            </w:r>
          </w:p>
        </w:tc>
      </w:tr>
    </w:tbl>
    <w:p>
      <w:pPr>
        <w:spacing w:before="360"/>
        <w:jc w:val="center"/>
        <w:rPr>
          <w:rFonts w:eastAsia="Arial Unicode MS"/>
          <w:bCs/>
          <w:noProof/>
          <w:szCs w:val="24"/>
        </w:rPr>
      </w:pPr>
      <w:r>
        <w:rPr>
          <w:noProof/>
        </w:rPr>
        <w:t xml:space="preserve">CERTIFICAT DE CONFORMITÉ </w:t>
      </w:r>
    </w:p>
    <w:p>
      <w:pPr>
        <w:jc w:val="left"/>
        <w:rPr>
          <w:rFonts w:eastAsia="Arial Unicode MS"/>
          <w:noProof/>
          <w:szCs w:val="24"/>
        </w:rPr>
      </w:pPr>
      <w:r>
        <w:rPr>
          <w:b/>
          <w:i/>
          <w:noProof/>
        </w:rPr>
        <w:t>Page 1</w:t>
      </w:r>
    </w:p>
    <w:p>
      <w:pPr>
        <w:spacing w:after="0"/>
        <w:rPr>
          <w:rFonts w:eastAsia="Arial Unicode MS"/>
          <w:noProof/>
          <w:szCs w:val="24"/>
        </w:rPr>
      </w:pPr>
      <w:r>
        <w:rPr>
          <w:noProof/>
        </w:rPr>
        <w:t>Le soussigné [… (</w:t>
      </w:r>
      <w:r>
        <w:rPr>
          <w:i/>
          <w:noProof/>
        </w:rPr>
        <w:t>nom complet et fonctions</w:t>
      </w:r>
      <w:r>
        <w:rPr>
          <w:noProof/>
        </w:rPr>
        <w:t>)] certifie par la présente que le véhicule:</w:t>
      </w:r>
    </w:p>
    <w:p>
      <w:pPr>
        <w:spacing w:after="0"/>
        <w:ind w:left="851" w:hanging="851"/>
        <w:rPr>
          <w:rFonts w:eastAsia="Arial Unicode MS"/>
          <w:noProof/>
          <w:szCs w:val="24"/>
        </w:rPr>
      </w:pPr>
      <w:r>
        <w:rPr>
          <w:noProof/>
        </w:rPr>
        <w:t>0.1.</w:t>
      </w:r>
      <w:r>
        <w:rPr>
          <w:noProof/>
        </w:rPr>
        <w:tab/>
        <w:t>Marque (dénomination commerciale du constructeur): …</w:t>
      </w:r>
    </w:p>
    <w:p>
      <w:pPr>
        <w:spacing w:after="0"/>
        <w:ind w:left="851" w:hanging="851"/>
        <w:rPr>
          <w:rFonts w:eastAsia="Arial Unicode MS"/>
          <w:noProof/>
          <w:szCs w:val="24"/>
          <w:lang w:val="it-IT"/>
        </w:rPr>
      </w:pPr>
      <w:r>
        <w:rPr>
          <w:noProof/>
          <w:lang w:val="it-IT"/>
        </w:rPr>
        <w:t>0.2.</w:t>
      </w:r>
      <w:r>
        <w:rPr>
          <w:noProof/>
          <w:lang w:val="it-IT"/>
        </w:rPr>
        <w:tab/>
        <w:t>Type: …</w:t>
      </w:r>
    </w:p>
    <w:p>
      <w:pPr>
        <w:spacing w:before="100" w:beforeAutospacing="1" w:after="100" w:afterAutospacing="1"/>
        <w:ind w:left="851"/>
        <w:rPr>
          <w:rFonts w:eastAsia="Arial Unicode MS"/>
          <w:noProof/>
          <w:szCs w:val="24"/>
          <w:lang w:val="it-IT"/>
        </w:rPr>
      </w:pPr>
      <w:r>
        <w:rPr>
          <w:noProof/>
          <w:lang w:val="it-IT"/>
        </w:rPr>
        <w:t>Variante (</w:t>
      </w:r>
      <w:r>
        <w:rPr>
          <w:noProof/>
          <w:vertAlign w:val="superscript"/>
          <w:lang w:val="it-IT"/>
        </w:rPr>
        <w:t>a</w:t>
      </w:r>
      <w:r>
        <w:rPr>
          <w:noProof/>
          <w:lang w:val="it-IT"/>
        </w:rPr>
        <w:t>): …</w:t>
      </w:r>
    </w:p>
    <w:p>
      <w:pPr>
        <w:spacing w:before="100" w:beforeAutospacing="1" w:after="100" w:afterAutospacing="1"/>
        <w:ind w:left="851"/>
        <w:rPr>
          <w:rFonts w:eastAsia="Arial Unicode MS"/>
          <w:noProof/>
          <w:szCs w:val="24"/>
          <w:lang w:val="it-IT"/>
        </w:rPr>
      </w:pPr>
      <w:r>
        <w:rPr>
          <w:noProof/>
          <w:lang w:val="it-IT"/>
        </w:rPr>
        <w:t>Version (</w:t>
      </w:r>
      <w:r>
        <w:rPr>
          <w:noProof/>
          <w:vertAlign w:val="superscript"/>
          <w:lang w:val="it-IT"/>
        </w:rPr>
        <w:t>a</w:t>
      </w:r>
      <w:r>
        <w:rPr>
          <w:noProof/>
          <w:lang w:val="it-IT"/>
        </w:rPr>
        <w:t>): …</w:t>
      </w:r>
    </w:p>
    <w:p>
      <w:pPr>
        <w:spacing w:after="0"/>
        <w:ind w:left="851" w:hanging="851"/>
        <w:rPr>
          <w:rFonts w:eastAsia="Arial Unicode MS"/>
          <w:noProof/>
          <w:szCs w:val="24"/>
        </w:rPr>
      </w:pPr>
      <w:r>
        <w:rPr>
          <w:noProof/>
        </w:rPr>
        <w:t>0.2.1.</w:t>
      </w:r>
      <w:r>
        <w:rPr>
          <w:noProof/>
        </w:rPr>
        <w:tab/>
        <w:t>Appellation commerciale: …</w:t>
      </w:r>
    </w:p>
    <w:p>
      <w:pPr>
        <w:spacing w:after="0"/>
        <w:ind w:left="851" w:hanging="851"/>
        <w:rPr>
          <w:rFonts w:eastAsia="Arial Unicode MS"/>
          <w:noProof/>
          <w:szCs w:val="24"/>
        </w:rPr>
      </w:pPr>
      <w:r>
        <w:rPr>
          <w:noProof/>
        </w:rPr>
        <w:t>0.4.</w:t>
      </w:r>
      <w:r>
        <w:rPr>
          <w:noProof/>
        </w:rPr>
        <w:tab/>
        <w:t>Catégorie de véhicules: …</w:t>
      </w:r>
    </w:p>
    <w:p>
      <w:pPr>
        <w:spacing w:after="0"/>
        <w:ind w:left="851" w:hanging="851"/>
        <w:rPr>
          <w:rFonts w:eastAsia="Arial Unicode MS"/>
          <w:noProof/>
          <w:szCs w:val="24"/>
        </w:rPr>
      </w:pPr>
      <w:r>
        <w:rPr>
          <w:noProof/>
        </w:rPr>
        <w:t>0.5.</w:t>
      </w:r>
      <w:r>
        <w:rPr>
          <w:noProof/>
        </w:rPr>
        <w:tab/>
        <w:t>Raison sociale et adresse du constructeur: …</w:t>
      </w:r>
    </w:p>
    <w:p>
      <w:pPr>
        <w:spacing w:after="0"/>
        <w:ind w:left="851" w:hanging="851"/>
        <w:rPr>
          <w:rFonts w:eastAsia="Arial Unicode MS"/>
          <w:noProof/>
          <w:szCs w:val="24"/>
        </w:rPr>
      </w:pPr>
      <w:r>
        <w:rPr>
          <w:noProof/>
        </w:rPr>
        <w:t>0.6.</w:t>
      </w:r>
      <w:r>
        <w:rPr>
          <w:noProof/>
        </w:rPr>
        <w:tab/>
        <w:t>Emplacement et méthode de fixation des plaques réglementaires: …</w:t>
      </w:r>
    </w:p>
    <w:p>
      <w:pPr>
        <w:spacing w:before="100" w:beforeAutospacing="1" w:after="100" w:afterAutospacing="1"/>
        <w:ind w:left="851"/>
        <w:rPr>
          <w:rFonts w:eastAsia="Arial Unicode MS"/>
          <w:noProof/>
          <w:szCs w:val="24"/>
        </w:rPr>
      </w:pPr>
      <w:r>
        <w:rPr>
          <w:noProof/>
        </w:rPr>
        <w:t>Emplacement du numéro d’identification du véhicule: …</w:t>
      </w:r>
    </w:p>
    <w:p>
      <w:pPr>
        <w:spacing w:after="0"/>
        <w:ind w:left="851" w:hanging="851"/>
        <w:rPr>
          <w:rFonts w:eastAsia="Arial Unicode MS"/>
          <w:noProof/>
          <w:szCs w:val="24"/>
        </w:rPr>
      </w:pPr>
      <w:r>
        <w:rPr>
          <w:noProof/>
        </w:rPr>
        <w:t>0.9.</w:t>
      </w:r>
      <w:r>
        <w:rPr>
          <w:noProof/>
        </w:rPr>
        <w:tab/>
        <w:t>Nom et adresse du mandataire du constructeur (le cas échéant): …</w:t>
      </w:r>
    </w:p>
    <w:p>
      <w:pPr>
        <w:spacing w:after="0"/>
        <w:ind w:left="851" w:hanging="851"/>
        <w:rPr>
          <w:rFonts w:eastAsia="Arial Unicode MS"/>
          <w:noProof/>
          <w:szCs w:val="24"/>
        </w:rPr>
      </w:pPr>
      <w:r>
        <w:rPr>
          <w:noProof/>
        </w:rPr>
        <w:t>0.10.</w:t>
      </w:r>
      <w:r>
        <w:rPr>
          <w:noProof/>
        </w:rPr>
        <w:tab/>
        <w:t>Numéro d’identification du véhicule: …</w:t>
      </w:r>
    </w:p>
    <w:p>
      <w:pPr>
        <w:spacing w:after="0"/>
        <w:ind w:left="851" w:hanging="851"/>
        <w:rPr>
          <w:rFonts w:eastAsia="Arial Unicode MS"/>
          <w:noProof/>
          <w:szCs w:val="24"/>
        </w:rPr>
      </w:pPr>
      <w:r>
        <w:rPr>
          <w:noProof/>
        </w:rPr>
        <w:t>0.11.</w:t>
      </w:r>
      <w:r>
        <w:rPr>
          <w:noProof/>
        </w:rPr>
        <w:tab/>
        <w:t>Date de construction: ……….</w:t>
      </w:r>
    </w:p>
    <w:p>
      <w:pPr>
        <w:spacing w:after="0"/>
        <w:rPr>
          <w:rFonts w:eastAsia="Arial Unicode MS"/>
          <w:noProof/>
          <w:szCs w:val="24"/>
        </w:rPr>
      </w:pPr>
      <w:r>
        <w:rPr>
          <w:noProof/>
        </w:rPr>
        <w:t>est conforme à tous égards au type décrit dans la réception (…</w:t>
      </w:r>
      <w:r>
        <w:rPr>
          <w:i/>
          <w:noProof/>
        </w:rPr>
        <w:t xml:space="preserve"> numéro de réception par type, y compris le numéro d’extension</w:t>
      </w:r>
      <w:r>
        <w:rPr>
          <w:noProof/>
        </w:rPr>
        <w:t xml:space="preserve">) délivrée le (… </w:t>
      </w:r>
      <w:r>
        <w:rPr>
          <w:i/>
          <w:noProof/>
        </w:rPr>
        <w:t>date de délivrance</w:t>
      </w:r>
      <w:r>
        <w:rPr>
          <w:noProof/>
        </w:rPr>
        <w:t>) et</w:t>
      </w:r>
    </w:p>
    <w:p>
      <w:pPr>
        <w:spacing w:after="240"/>
        <w:rPr>
          <w:rFonts w:eastAsia="Arial Unicode MS"/>
          <w:noProof/>
          <w:szCs w:val="24"/>
        </w:rPr>
      </w:pPr>
      <w:r>
        <w:rPr>
          <w:noProof/>
        </w:rPr>
        <w:t>peut être immatriculé à titre permanent dans les États membres dans lesquels la conduite est à droite/à gauche (</w:t>
      </w:r>
      <w:r>
        <w:rPr>
          <w:noProof/>
          <w:vertAlign w:val="superscript"/>
        </w:rPr>
        <w:t>b</w:t>
      </w:r>
      <w:r>
        <w:rPr>
          <w:noProof/>
        </w:rPr>
        <w:t>) et qui utilisent les unités métriques/impériales (</w:t>
      </w:r>
      <w:r>
        <w:rPr>
          <w:noProof/>
          <w:vertAlign w:val="superscript"/>
        </w:rPr>
        <w:t>c</w:t>
      </w:r>
      <w:r>
        <w:rPr>
          <w:noProof/>
        </w:rPr>
        <w:t>) pour le compteur de vitesse (</w:t>
      </w:r>
      <w:r>
        <w:rPr>
          <w:noProof/>
          <w:vertAlign w:val="superscript"/>
        </w:rPr>
        <w:t>d</w:t>
      </w:r>
      <w:r>
        <w:rPr>
          <w:noProof/>
        </w:rPr>
        <w:t xml:space="preserve">).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(Lieu) (Date):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(Signature):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MODÈLE B – PAGE 1</w:t>
      </w:r>
    </w:p>
    <w:p>
      <w:pPr>
        <w:spacing w:before="360"/>
        <w:jc w:val="center"/>
        <w:rPr>
          <w:rFonts w:eastAsia="Arial Unicode MS"/>
          <w:bCs/>
          <w:noProof/>
          <w:szCs w:val="24"/>
        </w:rPr>
      </w:pPr>
      <w:r>
        <w:rPr>
          <w:noProof/>
        </w:rPr>
        <w:t>VÉHICULES COMPLÉTÉS</w:t>
      </w:r>
    </w:p>
    <w:p>
      <w:pPr>
        <w:jc w:val="center"/>
        <w:rPr>
          <w:rFonts w:eastAsia="Arial Unicode MS"/>
          <w:bCs/>
          <w:noProof/>
          <w:szCs w:val="24"/>
        </w:rPr>
      </w:pPr>
      <w:r>
        <w:rPr>
          <w:noProof/>
        </w:rPr>
        <w:t xml:space="preserve">CERTIFICAT DE CONFORMITÉ </w:t>
      </w:r>
    </w:p>
    <w:p>
      <w:pPr>
        <w:jc w:val="left"/>
        <w:rPr>
          <w:rFonts w:eastAsia="Arial Unicode MS"/>
          <w:noProof/>
          <w:szCs w:val="24"/>
        </w:rPr>
      </w:pPr>
      <w:r>
        <w:rPr>
          <w:b/>
          <w:i/>
          <w:noProof/>
        </w:rPr>
        <w:t>Page 1</w:t>
      </w:r>
      <w:r>
        <w:rPr>
          <w:b/>
          <w:noProof/>
        </w:rPr>
        <w:t xml:space="preserve"> </w:t>
      </w:r>
    </w:p>
    <w:p>
      <w:pPr>
        <w:spacing w:after="0"/>
        <w:rPr>
          <w:rFonts w:eastAsia="Arial Unicode MS"/>
          <w:noProof/>
          <w:szCs w:val="24"/>
        </w:rPr>
      </w:pPr>
      <w:r>
        <w:rPr>
          <w:noProof/>
        </w:rPr>
        <w:t>Le soussigné [… (</w:t>
      </w:r>
      <w:r>
        <w:rPr>
          <w:i/>
          <w:noProof/>
        </w:rPr>
        <w:t>nom complet et fonctions</w:t>
      </w:r>
      <w:r>
        <w:rPr>
          <w:noProof/>
        </w:rPr>
        <w:t>)] certifie par la présente que le véhicule:</w:t>
      </w:r>
    </w:p>
    <w:p>
      <w:pPr>
        <w:spacing w:after="0"/>
        <w:ind w:left="851" w:hanging="851"/>
        <w:rPr>
          <w:rFonts w:eastAsia="Arial Unicode MS"/>
          <w:noProof/>
          <w:szCs w:val="24"/>
        </w:rPr>
      </w:pPr>
      <w:r>
        <w:rPr>
          <w:noProof/>
        </w:rPr>
        <w:t>0.1.</w:t>
      </w:r>
      <w:r>
        <w:rPr>
          <w:noProof/>
        </w:rPr>
        <w:tab/>
        <w:t>Marque (dénomination commerciale du constructeur): …</w:t>
      </w:r>
    </w:p>
    <w:p>
      <w:pPr>
        <w:spacing w:after="0"/>
        <w:ind w:left="851" w:hanging="851"/>
        <w:rPr>
          <w:rFonts w:eastAsia="Arial Unicode MS"/>
          <w:noProof/>
          <w:szCs w:val="24"/>
          <w:lang w:val="it-IT"/>
        </w:rPr>
      </w:pPr>
      <w:r>
        <w:rPr>
          <w:noProof/>
          <w:lang w:val="it-IT"/>
        </w:rPr>
        <w:t>0.2.</w:t>
      </w:r>
      <w:r>
        <w:rPr>
          <w:noProof/>
          <w:lang w:val="it-IT"/>
        </w:rPr>
        <w:tab/>
        <w:t>Type: …</w:t>
      </w:r>
    </w:p>
    <w:p>
      <w:pPr>
        <w:ind w:left="851"/>
        <w:rPr>
          <w:rFonts w:eastAsia="Arial Unicode MS"/>
          <w:noProof/>
          <w:szCs w:val="24"/>
          <w:lang w:val="it-IT"/>
        </w:rPr>
      </w:pPr>
      <w:r>
        <w:rPr>
          <w:noProof/>
          <w:lang w:val="it-IT"/>
        </w:rPr>
        <w:t>Variante (</w:t>
      </w:r>
      <w:r>
        <w:rPr>
          <w:noProof/>
          <w:vertAlign w:val="superscript"/>
          <w:lang w:val="it-IT"/>
        </w:rPr>
        <w:t>a</w:t>
      </w:r>
      <w:r>
        <w:rPr>
          <w:noProof/>
          <w:lang w:val="it-IT"/>
        </w:rPr>
        <w:t>): …</w:t>
      </w:r>
    </w:p>
    <w:p>
      <w:pPr>
        <w:ind w:left="851"/>
        <w:rPr>
          <w:rFonts w:eastAsia="Arial Unicode MS"/>
          <w:noProof/>
          <w:szCs w:val="24"/>
          <w:lang w:val="it-IT"/>
        </w:rPr>
      </w:pPr>
      <w:r>
        <w:rPr>
          <w:noProof/>
          <w:lang w:val="it-IT"/>
        </w:rPr>
        <w:t>Version (</w:t>
      </w:r>
      <w:r>
        <w:rPr>
          <w:noProof/>
          <w:vertAlign w:val="superscript"/>
          <w:lang w:val="it-IT"/>
        </w:rPr>
        <w:t>a</w:t>
      </w:r>
      <w:r>
        <w:rPr>
          <w:noProof/>
          <w:lang w:val="it-IT"/>
        </w:rPr>
        <w:t>): …</w:t>
      </w:r>
    </w:p>
    <w:p>
      <w:pPr>
        <w:spacing w:after="0"/>
        <w:ind w:left="851" w:hanging="851"/>
        <w:rPr>
          <w:rFonts w:eastAsia="Arial Unicode MS"/>
          <w:noProof/>
          <w:szCs w:val="24"/>
        </w:rPr>
      </w:pPr>
      <w:r>
        <w:rPr>
          <w:noProof/>
        </w:rPr>
        <w:t>0.2.1.</w:t>
      </w:r>
      <w:r>
        <w:rPr>
          <w:noProof/>
        </w:rPr>
        <w:tab/>
        <w:t>Appellation commerciale: …</w:t>
      </w:r>
    </w:p>
    <w:p>
      <w:pPr>
        <w:spacing w:after="0"/>
        <w:ind w:left="851" w:hanging="851"/>
        <w:rPr>
          <w:rFonts w:eastAsia="Arial Unicode MS"/>
          <w:noProof/>
          <w:szCs w:val="24"/>
        </w:rPr>
      </w:pPr>
      <w:r>
        <w:rPr>
          <w:noProof/>
        </w:rPr>
        <w:t>0.2.2.</w:t>
      </w:r>
      <w:r>
        <w:rPr>
          <w:noProof/>
        </w:rPr>
        <w:tab/>
        <w:t>Pour les véhicules faisant l’objet d’une réception par type multi-étapes, informations relatives à la réception par type du véhicule de base/véhicule de la ou des étapes antérieures (énumérer les informations pour chaque étape).</w:t>
      </w:r>
    </w:p>
    <w:p>
      <w:pPr>
        <w:spacing w:after="0"/>
        <w:ind w:left="851"/>
        <w:rPr>
          <w:rFonts w:eastAsia="Arial Unicode MS"/>
          <w:noProof/>
          <w:szCs w:val="24"/>
          <w:lang w:val="it-IT"/>
        </w:rPr>
      </w:pPr>
      <w:r>
        <w:rPr>
          <w:noProof/>
          <w:lang w:val="it-IT"/>
        </w:rPr>
        <w:t>Type: …………………………………………………………………………</w:t>
      </w:r>
    </w:p>
    <w:p>
      <w:pPr>
        <w:spacing w:after="0"/>
        <w:ind w:left="851"/>
        <w:rPr>
          <w:rFonts w:eastAsia="Arial Unicode MS"/>
          <w:noProof/>
          <w:szCs w:val="24"/>
          <w:lang w:val="it-IT"/>
        </w:rPr>
      </w:pPr>
      <w:r>
        <w:rPr>
          <w:noProof/>
          <w:lang w:val="it-IT"/>
        </w:rPr>
        <w:t>Variante (</w:t>
      </w:r>
      <w:r>
        <w:rPr>
          <w:noProof/>
          <w:vertAlign w:val="superscript"/>
          <w:lang w:val="it-IT"/>
        </w:rPr>
        <w:t>a</w:t>
      </w:r>
      <w:r>
        <w:rPr>
          <w:noProof/>
          <w:lang w:val="it-IT"/>
        </w:rPr>
        <w:t>): …………………………………………………………………..</w:t>
      </w:r>
    </w:p>
    <w:p>
      <w:pPr>
        <w:spacing w:after="0"/>
        <w:ind w:left="851"/>
        <w:rPr>
          <w:rFonts w:eastAsia="Arial Unicode MS"/>
          <w:noProof/>
          <w:szCs w:val="24"/>
          <w:lang w:val="it-IT"/>
        </w:rPr>
      </w:pPr>
      <w:r>
        <w:rPr>
          <w:noProof/>
          <w:lang w:val="it-IT"/>
        </w:rPr>
        <w:t>Version (</w:t>
      </w:r>
      <w:r>
        <w:rPr>
          <w:noProof/>
          <w:vertAlign w:val="superscript"/>
          <w:lang w:val="it-IT"/>
        </w:rPr>
        <w:t>a</w:t>
      </w:r>
      <w:r>
        <w:rPr>
          <w:noProof/>
          <w:lang w:val="it-IT"/>
        </w:rPr>
        <w:t>): …………………………………………………………………...</w:t>
      </w:r>
    </w:p>
    <w:p>
      <w:pPr>
        <w:spacing w:after="0"/>
        <w:ind w:left="851"/>
        <w:rPr>
          <w:rFonts w:eastAsia="Arial Unicode MS"/>
          <w:noProof/>
          <w:szCs w:val="24"/>
        </w:rPr>
      </w:pPr>
      <w:r>
        <w:rPr>
          <w:noProof/>
        </w:rPr>
        <w:t>Numéro de réception par type, numéro d’extension: ……………………….</w:t>
      </w:r>
    </w:p>
    <w:p>
      <w:pPr>
        <w:spacing w:after="0"/>
        <w:ind w:left="851" w:hanging="851"/>
        <w:rPr>
          <w:rFonts w:eastAsia="Arial Unicode MS"/>
          <w:noProof/>
          <w:szCs w:val="24"/>
        </w:rPr>
      </w:pPr>
      <w:r>
        <w:rPr>
          <w:noProof/>
        </w:rPr>
        <w:t>0.4.</w:t>
      </w:r>
      <w:r>
        <w:rPr>
          <w:noProof/>
        </w:rPr>
        <w:tab/>
        <w:t>Catégorie de véhicules: …</w:t>
      </w:r>
    </w:p>
    <w:p>
      <w:pPr>
        <w:spacing w:after="0"/>
        <w:ind w:left="851" w:hanging="851"/>
        <w:rPr>
          <w:rFonts w:eastAsia="Arial Unicode MS"/>
          <w:noProof/>
          <w:szCs w:val="24"/>
        </w:rPr>
      </w:pPr>
      <w:r>
        <w:rPr>
          <w:noProof/>
        </w:rPr>
        <w:t>0.5.</w:t>
      </w:r>
      <w:r>
        <w:rPr>
          <w:noProof/>
        </w:rPr>
        <w:tab/>
        <w:t>Raison sociale et adresse du constructeur: …</w:t>
      </w:r>
    </w:p>
    <w:p>
      <w:pPr>
        <w:spacing w:after="0"/>
        <w:ind w:left="851" w:hanging="851"/>
        <w:rPr>
          <w:rFonts w:eastAsia="Arial Unicode MS"/>
          <w:noProof/>
          <w:szCs w:val="24"/>
        </w:rPr>
      </w:pPr>
      <w:r>
        <w:rPr>
          <w:noProof/>
        </w:rPr>
        <w:t>0.5.1.</w:t>
      </w:r>
      <w:r>
        <w:rPr>
          <w:noProof/>
        </w:rPr>
        <w:tab/>
        <w:t>Pour les véhicules faisant l’objet d’une réception par type multi-étapes, raison sociale et adresse du constructeur du véhicule de base/véhicule de la ou des étapes antérieures: ..........</w:t>
      </w:r>
    </w:p>
    <w:p>
      <w:pPr>
        <w:spacing w:after="0"/>
        <w:ind w:left="851" w:hanging="851"/>
        <w:rPr>
          <w:rFonts w:eastAsia="Arial Unicode MS"/>
          <w:noProof/>
          <w:szCs w:val="24"/>
        </w:rPr>
      </w:pPr>
      <w:r>
        <w:rPr>
          <w:noProof/>
        </w:rPr>
        <w:t>0.6.</w:t>
      </w:r>
      <w:r>
        <w:rPr>
          <w:noProof/>
        </w:rPr>
        <w:tab/>
        <w:t>Emplacement et méthode de fixation des plaques réglementaires: …</w:t>
      </w:r>
    </w:p>
    <w:p>
      <w:pPr>
        <w:ind w:left="851"/>
        <w:rPr>
          <w:rFonts w:eastAsia="Arial Unicode MS"/>
          <w:noProof/>
          <w:szCs w:val="24"/>
        </w:rPr>
      </w:pPr>
      <w:r>
        <w:rPr>
          <w:noProof/>
        </w:rPr>
        <w:t>Emplacement du numéro d’identification du véhicule: …</w:t>
      </w:r>
    </w:p>
    <w:p>
      <w:pPr>
        <w:spacing w:after="0"/>
        <w:ind w:left="851" w:hanging="851"/>
        <w:rPr>
          <w:rFonts w:eastAsia="Arial Unicode MS"/>
          <w:noProof/>
          <w:szCs w:val="24"/>
        </w:rPr>
      </w:pPr>
      <w:r>
        <w:rPr>
          <w:noProof/>
        </w:rPr>
        <w:t>0.9.</w:t>
      </w:r>
      <w:r>
        <w:rPr>
          <w:noProof/>
        </w:rPr>
        <w:tab/>
        <w:t>Nom et adresse du mandataire du constructeur (le cas échéant): …</w:t>
      </w:r>
    </w:p>
    <w:p>
      <w:pPr>
        <w:spacing w:after="0"/>
        <w:ind w:left="851" w:hanging="851"/>
        <w:rPr>
          <w:rFonts w:eastAsia="Arial Unicode MS"/>
          <w:noProof/>
          <w:szCs w:val="24"/>
        </w:rPr>
      </w:pPr>
      <w:r>
        <w:rPr>
          <w:noProof/>
        </w:rPr>
        <w:t>0.10.</w:t>
      </w:r>
      <w:r>
        <w:rPr>
          <w:noProof/>
        </w:rPr>
        <w:tab/>
        <w:t>Numéro d’identification du véhicule: …</w:t>
      </w:r>
    </w:p>
    <w:p>
      <w:pPr>
        <w:spacing w:after="0"/>
        <w:ind w:left="851" w:hanging="851"/>
        <w:rPr>
          <w:rFonts w:eastAsia="Arial Unicode MS"/>
          <w:noProof/>
          <w:szCs w:val="24"/>
        </w:rPr>
      </w:pPr>
      <w:r>
        <w:rPr>
          <w:noProof/>
        </w:rPr>
        <w:t>0.11.</w:t>
      </w:r>
      <w:r>
        <w:rPr>
          <w:noProof/>
        </w:rPr>
        <w:tab/>
        <w:t>Date de construction: …….</w:t>
      </w:r>
    </w:p>
    <w:p>
      <w:pPr>
        <w:spacing w:after="0"/>
        <w:ind w:left="600" w:hanging="600"/>
        <w:rPr>
          <w:rFonts w:eastAsia="Arial Unicode MS"/>
          <w:noProof/>
          <w:szCs w:val="24"/>
        </w:rPr>
      </w:pPr>
      <w:r>
        <w:rPr>
          <w:noProof/>
        </w:rPr>
        <w:t>a)</w:t>
      </w:r>
      <w:r>
        <w:rPr>
          <w:noProof/>
        </w:rPr>
        <w:tab/>
        <w:t>a été complété et modifié (</w:t>
      </w:r>
      <w:r>
        <w:rPr>
          <w:noProof/>
          <w:vertAlign w:val="superscript"/>
        </w:rPr>
        <w:t>1</w:t>
      </w:r>
      <w:r>
        <w:rPr>
          <w:noProof/>
        </w:rPr>
        <w:t>) comme suit: … et</w:t>
      </w:r>
    </w:p>
    <w:p>
      <w:pPr>
        <w:spacing w:after="0"/>
        <w:ind w:left="600" w:hanging="600"/>
        <w:rPr>
          <w:rFonts w:eastAsia="Arial Unicode MS"/>
          <w:noProof/>
          <w:szCs w:val="24"/>
        </w:rPr>
      </w:pPr>
      <w:r>
        <w:rPr>
          <w:rFonts w:eastAsia="Arial Unicode MS"/>
          <w:noProof/>
          <w:szCs w:val="24"/>
        </w:rPr>
        <w:t>b)</w:t>
      </w:r>
      <w:r>
        <w:rPr>
          <w:rFonts w:eastAsia="Arial Unicode MS"/>
          <w:noProof/>
          <w:szCs w:val="24"/>
        </w:rPr>
        <w:tab/>
        <w:t>est conforme à tous égards au type décrit dans la réception (…</w:t>
      </w:r>
      <w:r>
        <w:rPr>
          <w:i/>
          <w:noProof/>
        </w:rPr>
        <w:t xml:space="preserve"> numéro de réception par type, y compris le numéro d’extension</w:t>
      </w:r>
      <w:r>
        <w:rPr>
          <w:noProof/>
        </w:rPr>
        <w:t xml:space="preserve">) délivrée le (… </w:t>
      </w:r>
      <w:r>
        <w:rPr>
          <w:i/>
          <w:noProof/>
        </w:rPr>
        <w:t>date de délivrance</w:t>
      </w:r>
      <w:r>
        <w:rPr>
          <w:noProof/>
        </w:rPr>
        <w:t>) et</w:t>
      </w:r>
    </w:p>
    <w:p>
      <w:pPr>
        <w:spacing w:after="240"/>
        <w:ind w:left="600" w:hanging="600"/>
        <w:rPr>
          <w:rFonts w:eastAsia="Arial Unicode MS"/>
          <w:noProof/>
          <w:szCs w:val="24"/>
        </w:rPr>
      </w:pPr>
      <w:r>
        <w:rPr>
          <w:noProof/>
        </w:rPr>
        <w:t>c)</w:t>
      </w:r>
      <w:r>
        <w:rPr>
          <w:noProof/>
        </w:rPr>
        <w:tab/>
        <w:t>peut être immatriculé à titre permanent dans les États membres dans lesquels la conduite est à droite/à gauche (</w:t>
      </w:r>
      <w:r>
        <w:rPr>
          <w:noProof/>
          <w:vertAlign w:val="superscript"/>
        </w:rPr>
        <w:t>b</w:t>
      </w:r>
      <w:r>
        <w:rPr>
          <w:noProof/>
        </w:rPr>
        <w:t>) et qui utilisent les unités métriques/impériales (</w:t>
      </w:r>
      <w:r>
        <w:rPr>
          <w:noProof/>
          <w:vertAlign w:val="superscript"/>
        </w:rPr>
        <w:t>c</w:t>
      </w:r>
      <w:r>
        <w:rPr>
          <w:noProof/>
        </w:rPr>
        <w:t>) pour le compteur de vitesse (</w:t>
      </w:r>
      <w:r>
        <w:rPr>
          <w:noProof/>
          <w:vertAlign w:val="superscript"/>
        </w:rPr>
        <w:t>d</w:t>
      </w:r>
      <w:r>
        <w:rPr>
          <w:noProof/>
        </w:rPr>
        <w:t>).</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(Lieu) (Date):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(Signature): …</w:t>
            </w:r>
          </w:p>
        </w:tc>
      </w:tr>
    </w:tbl>
    <w:p>
      <w:pPr>
        <w:spacing w:before="840" w:after="0"/>
        <w:rPr>
          <w:rFonts w:eastAsia="Arial Unicode MS"/>
          <w:noProof/>
          <w:szCs w:val="24"/>
        </w:rPr>
      </w:pPr>
      <w:r>
        <w:rPr>
          <w:noProof/>
        </w:rPr>
        <w:t>Pièces jointes: certificat de conformité délivré lors de chaque étape précédente.</w:t>
      </w:r>
    </w:p>
    <w:p>
      <w:pPr>
        <w:spacing w:before="360"/>
        <w:rPr>
          <w:rFonts w:eastAsia="Arial Unicode MS"/>
          <w:noProof/>
          <w:szCs w:val="24"/>
        </w:rPr>
      </w:pPr>
      <w:r>
        <w:rPr>
          <w:noProof/>
        </w:rPr>
        <w:t>NB:</w:t>
      </w:r>
    </w:p>
    <w:p>
      <w:pPr>
        <w:spacing w:before="360" w:after="0"/>
        <w:rPr>
          <w:rFonts w:eastAsia="Arial Unicode MS"/>
          <w:noProof/>
          <w:szCs w:val="24"/>
        </w:rPr>
      </w:pPr>
      <w:r>
        <w:rPr>
          <w:noProof/>
        </w:rPr>
        <w:t>– Si le présent modèle est utilisé pour la réception par type d’un véhicule dans le cadre d’une dérogation pour nouvelle technologie ou nouveau concept, conformément à l’article 37 du règlement (UE) n</w:t>
      </w:r>
      <w:r>
        <w:rPr>
          <w:noProof/>
          <w:vertAlign w:val="superscript"/>
        </w:rPr>
        <w:t>o</w:t>
      </w:r>
      <w:r>
        <w:rPr>
          <w:noProof/>
        </w:rPr>
        <w:t xml:space="preserve"> XXX/2014, l’intitulé du certificat est le suivant: «CERTIFICAT DE CONFORMITÉ PROVISOIRE, VALABLE UNIQUEMENT SUR LE TERRITOIRE DE LA/DU …(EM)». </w:t>
      </w:r>
    </w:p>
    <w:p>
      <w:pPr>
        <w:spacing w:before="360" w:after="0"/>
        <w:rPr>
          <w:rFonts w:eastAsia="Arial Unicode MS"/>
          <w:noProof/>
          <w:szCs w:val="24"/>
        </w:rPr>
      </w:pPr>
      <w:r>
        <w:rPr>
          <w:noProof/>
        </w:rPr>
        <w:t>Le certificat de conformité provisoire doit également indiquer dans son intitulé, au lieu de «VÉHICULES COMPLETS», la mention: «POUR LES VÉHICULES COMPLETS, RÉCEPTIONNÉS PAR TYPE CONFORMÉMENT À L’ARTICLE 37 DU RÈGLEMENT (UE) N</w:t>
      </w:r>
      <w:r>
        <w:rPr>
          <w:noProof/>
          <w:vertAlign w:val="superscript"/>
        </w:rPr>
        <w:t>o</w:t>
      </w:r>
      <w:r>
        <w:rPr>
          <w:noProof/>
        </w:rPr>
        <w:t> XXX/201X DU PARLEMENT EUROPÉEN ET DU CONSEIL DU [JJ MOIS ANNÉE] RELATIF À LA RÉCEPTION ET À LA SURVEILLANCE DU MARCHÉ DES VÉHICULES À MOTEUR ET DE LEURS REMORQUES, AINSI QUE DES SYSTÈMES, COMPOSANTS ET ENTITÉS TECHNIQUES DISTINCTES DESTINÉS À CES VÉHICULES (RÉCEPTION PROVISOIRE)», conformément à l’article 37 du règlement (UE) n</w:t>
      </w:r>
      <w:r>
        <w:rPr>
          <w:noProof/>
          <w:vertAlign w:val="superscript"/>
        </w:rPr>
        <w:t>o</w:t>
      </w:r>
      <w:r>
        <w:rPr>
          <w:noProof/>
        </w:rPr>
        <w:t> XXX/201X.</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 DE VÉHICULES M</w:t>
      </w:r>
      <w:r>
        <w:rPr>
          <w:noProof/>
          <w:vertAlign w:val="subscript"/>
        </w:rPr>
        <w:t>1</w:t>
      </w:r>
    </w:p>
    <w:p>
      <w:pPr>
        <w:jc w:val="center"/>
        <w:rPr>
          <w:rFonts w:eastAsia="Arial Unicode MS"/>
          <w:bCs/>
          <w:noProof/>
          <w:szCs w:val="24"/>
        </w:rPr>
      </w:pPr>
      <w:r>
        <w:rPr>
          <w:noProof/>
        </w:rPr>
        <w:t>(véhicules complets et complétés)</w:t>
      </w:r>
    </w:p>
    <w:p>
      <w:pPr>
        <w:jc w:val="left"/>
        <w:rPr>
          <w:rFonts w:eastAsia="Arial Unicode MS"/>
          <w:b/>
          <w:bCs/>
          <w:noProof/>
          <w:szCs w:val="24"/>
        </w:rPr>
      </w:pPr>
      <w:r>
        <w:rPr>
          <w:b/>
          <w:i/>
          <w:noProof/>
        </w:rPr>
        <w:t>Page 2</w:t>
      </w:r>
    </w:p>
    <w:p>
      <w:pPr>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Longueur: … mm</w:t>
      </w:r>
    </w:p>
    <w:p>
      <w:pPr>
        <w:spacing w:after="0"/>
        <w:ind w:left="851" w:hanging="851"/>
        <w:rPr>
          <w:rFonts w:eastAsia="Arial Unicode MS"/>
          <w:noProof/>
          <w:szCs w:val="24"/>
        </w:rPr>
      </w:pPr>
      <w:r>
        <w:rPr>
          <w:noProof/>
        </w:rPr>
        <w:t>6.</w:t>
      </w:r>
      <w:r>
        <w:rPr>
          <w:noProof/>
        </w:rPr>
        <w:tab/>
        <w:t>Largeur: … mm</w:t>
      </w:r>
    </w:p>
    <w:p>
      <w:pPr>
        <w:spacing w:after="0"/>
        <w:ind w:left="851" w:hanging="851"/>
        <w:rPr>
          <w:rFonts w:eastAsia="Arial Unicode MS"/>
          <w:noProof/>
          <w:szCs w:val="24"/>
        </w:rPr>
      </w:pPr>
      <w:r>
        <w:rPr>
          <w:noProof/>
        </w:rPr>
        <w:t>7.</w:t>
      </w:r>
      <w:r>
        <w:rPr>
          <w:noProof/>
        </w:rPr>
        <w:tab/>
        <w:t>Hauteur: … mm</w:t>
      </w:r>
    </w:p>
    <w:p>
      <w:pPr>
        <w:spacing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13.</w:t>
      </w:r>
      <w:r>
        <w:rPr>
          <w:noProof/>
        </w:rPr>
        <w:tab/>
        <w:t>Masse en ordre de marche: … kg</w:t>
      </w:r>
    </w:p>
    <w:p>
      <w:pPr>
        <w:spacing w:after="0"/>
        <w:ind w:left="851" w:hanging="851"/>
        <w:rPr>
          <w:rFonts w:eastAsia="Arial Unicode MS"/>
          <w:noProof/>
          <w:szCs w:val="24"/>
        </w:rPr>
      </w:pPr>
      <w:r>
        <w:rPr>
          <w:noProof/>
        </w:rPr>
        <w:t>13.2.</w:t>
      </w:r>
      <w:r>
        <w:rPr>
          <w:noProof/>
        </w:rPr>
        <w:tab/>
        <w:t>Masse réelle du véhicule: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5387"/>
          <w:tab w:val="left" w:pos="6379"/>
          <w:tab w:val="left" w:pos="7513"/>
        </w:tabs>
        <w:spacing w:after="0"/>
        <w:ind w:left="851" w:hanging="851"/>
        <w:rPr>
          <w:rFonts w:eastAsia="Arial Unicode MS"/>
          <w:noProof/>
          <w:szCs w:val="24"/>
        </w:rPr>
      </w:pPr>
      <w:r>
        <w:rPr>
          <w:noProof/>
        </w:rPr>
        <w:t>16.2.</w:t>
      </w:r>
      <w:r>
        <w:rPr>
          <w:noProof/>
        </w:rPr>
        <w:tab/>
        <w:t>Masse maximale techniquement admissible sur chaque essieu:</w:t>
      </w:r>
      <w:r>
        <w:rPr>
          <w:noProof/>
        </w:rPr>
        <w:br/>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Masse maximale techniquement admissible de l’ensemble: … kg</w:t>
      </w:r>
    </w:p>
    <w:p>
      <w:pPr>
        <w:spacing w:after="0"/>
        <w:ind w:left="851" w:hanging="851"/>
        <w:rPr>
          <w:rFonts w:eastAsia="Arial Unicode MS"/>
          <w:noProof/>
          <w:szCs w:val="24"/>
        </w:rPr>
      </w:pPr>
      <w:r>
        <w:rPr>
          <w:noProof/>
        </w:rPr>
        <w:t>18.</w:t>
      </w:r>
      <w:r>
        <w:rPr>
          <w:noProof/>
        </w:rPr>
        <w:tab/>
        <w:t>Masse tractable maximale techniquement admissible dans le cas:</w:t>
      </w:r>
    </w:p>
    <w:p>
      <w:pPr>
        <w:spacing w:after="0"/>
        <w:ind w:left="851" w:hanging="851"/>
        <w:rPr>
          <w:rFonts w:eastAsia="Arial Unicode MS"/>
          <w:noProof/>
          <w:szCs w:val="24"/>
        </w:rPr>
      </w:pPr>
      <w:r>
        <w:rPr>
          <w:noProof/>
        </w:rPr>
        <w:t>18.1.</w:t>
      </w:r>
      <w:r>
        <w:rPr>
          <w:noProof/>
        </w:rPr>
        <w:tab/>
        <w:t>d’une remorque à timon: … kg</w:t>
      </w:r>
    </w:p>
    <w:p>
      <w:pPr>
        <w:spacing w:after="0"/>
        <w:ind w:left="851" w:hanging="851"/>
        <w:rPr>
          <w:rFonts w:eastAsia="Arial Unicode MS"/>
          <w:noProof/>
          <w:szCs w:val="24"/>
        </w:rPr>
      </w:pPr>
      <w:r>
        <w:rPr>
          <w:noProof/>
        </w:rPr>
        <w:t>18.3.</w:t>
      </w:r>
      <w:r>
        <w:rPr>
          <w:noProof/>
        </w:rPr>
        <w:tab/>
        <w:t>d’une remorque à essieu central: … kg</w:t>
      </w:r>
    </w:p>
    <w:p>
      <w:pPr>
        <w:spacing w:after="0"/>
        <w:ind w:left="851" w:hanging="851"/>
        <w:rPr>
          <w:rFonts w:eastAsia="Arial Unicode MS"/>
          <w:noProof/>
          <w:szCs w:val="24"/>
        </w:rPr>
      </w:pPr>
      <w:r>
        <w:rPr>
          <w:noProof/>
        </w:rPr>
        <w:t>18.4.</w:t>
      </w:r>
      <w:r>
        <w:rPr>
          <w:noProof/>
        </w:rPr>
        <w:tab/>
        <w:t>d’une remorque non freinée: … kg</w:t>
      </w:r>
    </w:p>
    <w:p>
      <w:pPr>
        <w:spacing w:after="0"/>
        <w:ind w:left="851" w:hanging="851"/>
        <w:rPr>
          <w:rFonts w:eastAsia="Arial Unicode MS"/>
          <w:noProof/>
          <w:szCs w:val="24"/>
        </w:rPr>
      </w:pPr>
      <w:r>
        <w:rPr>
          <w:noProof/>
        </w:rPr>
        <w:t>19.</w:t>
      </w:r>
      <w:r>
        <w:rPr>
          <w:noProof/>
        </w:rPr>
        <w:tab/>
        <w:t>Masse verticale statique maximale techniquement admissible au point d’attelage: … kg</w:t>
      </w:r>
    </w:p>
    <w:p>
      <w:pPr>
        <w:spacing w:after="0"/>
        <w:ind w:left="851" w:hanging="851"/>
        <w:rPr>
          <w:rFonts w:eastAsia="Arial Unicode MS"/>
          <w:noProof/>
          <w:szCs w:val="24"/>
        </w:rPr>
      </w:pPr>
      <w:r>
        <w:rPr>
          <w:b/>
          <w:noProof/>
        </w:rPr>
        <w:t>Groupe moteur</w:t>
      </w:r>
    </w:p>
    <w:p>
      <w:pPr>
        <w:spacing w:after="0"/>
        <w:ind w:left="851" w:hanging="851"/>
        <w:rPr>
          <w:rFonts w:eastAsia="Arial Unicode MS"/>
          <w:noProof/>
          <w:szCs w:val="24"/>
        </w:rPr>
      </w:pPr>
      <w:r>
        <w:rPr>
          <w:noProof/>
        </w:rPr>
        <w:t>20.</w:t>
      </w:r>
      <w:r>
        <w:rPr>
          <w:noProof/>
        </w:rPr>
        <w:tab/>
        <w:t>Constructeur du moteur: …</w:t>
      </w:r>
    </w:p>
    <w:p>
      <w:pPr>
        <w:spacing w:after="0"/>
        <w:ind w:left="851" w:hanging="851"/>
        <w:rPr>
          <w:rFonts w:eastAsia="Arial Unicode MS"/>
          <w:noProof/>
          <w:szCs w:val="24"/>
        </w:rPr>
      </w:pPr>
      <w:r>
        <w:rPr>
          <w:noProof/>
        </w:rPr>
        <w:t>21.</w:t>
      </w:r>
      <w:r>
        <w:rPr>
          <w:noProof/>
        </w:rPr>
        <w:tab/>
        <w:t>Code du moteur tel que marqué sur le moteur: …</w:t>
      </w:r>
    </w:p>
    <w:p>
      <w:pPr>
        <w:spacing w:after="0"/>
        <w:ind w:left="851" w:hanging="851"/>
        <w:rPr>
          <w:rFonts w:eastAsia="Arial Unicode MS"/>
          <w:noProof/>
          <w:szCs w:val="24"/>
        </w:rPr>
      </w:pPr>
      <w:r>
        <w:rPr>
          <w:noProof/>
        </w:rPr>
        <w:t>22.</w:t>
      </w:r>
      <w:r>
        <w:rPr>
          <w:noProof/>
        </w:rPr>
        <w:tab/>
        <w:t>Principe de fonctionnement: …</w:t>
      </w:r>
    </w:p>
    <w:p>
      <w:pPr>
        <w:spacing w:after="0"/>
        <w:ind w:left="851" w:hanging="851"/>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Nombre et disposition des cylindres: …</w:t>
      </w:r>
    </w:p>
    <w:p>
      <w:pPr>
        <w:spacing w:after="0"/>
        <w:ind w:left="851" w:hanging="851"/>
        <w:rPr>
          <w:rFonts w:eastAsia="Arial Unicode MS"/>
          <w:noProof/>
          <w:szCs w:val="24"/>
        </w:rPr>
      </w:pPr>
      <w:r>
        <w:rPr>
          <w:noProof/>
        </w:rPr>
        <w:t>25.</w:t>
      </w:r>
      <w:r>
        <w:rPr>
          <w:noProof/>
        </w:rPr>
        <w:tab/>
        <w:t>Cylindrée: … cm</w:t>
      </w:r>
      <w:r>
        <w:rPr>
          <w:noProof/>
          <w:vertAlign w:val="superscript"/>
        </w:rPr>
        <w:t>3</w:t>
      </w:r>
      <w:r>
        <w:rPr>
          <w:noProof/>
        </w:rPr>
        <w:t xml:space="preserve"> </w:t>
      </w:r>
    </w:p>
    <w:p>
      <w:pPr>
        <w:spacing w:after="0"/>
        <w:ind w:left="851" w:hanging="851"/>
        <w:jc w:val="left"/>
        <w:rPr>
          <w:rFonts w:eastAsia="Arial Unicode MS"/>
          <w:noProof/>
          <w:szCs w:val="24"/>
        </w:rPr>
      </w:pPr>
      <w:r>
        <w:rPr>
          <w:noProof/>
        </w:rPr>
        <w:t>26.</w:t>
      </w:r>
      <w:r>
        <w:rPr>
          <w:noProof/>
        </w:rPr>
        <w:tab/>
        <w:t>Carburant: gazole/essence/GPL/GNC-biométhane/GNL/éthanol/biogazole/hydrogène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Monocarburant/bicarburant/polycarburant/double carburant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before="240"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before="240" w:after="0"/>
        <w:ind w:left="851" w:hanging="851"/>
        <w:rPr>
          <w:rFonts w:eastAsia="Arial Unicode MS"/>
          <w:noProof/>
          <w:szCs w:val="24"/>
        </w:rPr>
      </w:pPr>
      <w:r>
        <w:rPr>
          <w:b/>
          <w:noProof/>
        </w:rPr>
        <w:t>Essieux et suspension</w:t>
      </w:r>
    </w:p>
    <w:p>
      <w:pPr>
        <w:spacing w:after="0"/>
        <w:ind w:left="851" w:hanging="851"/>
        <w:rPr>
          <w:rFonts w:eastAsia="Arial Unicode MS"/>
          <w:noProof/>
          <w:szCs w:val="24"/>
        </w:rPr>
      </w:pPr>
      <w:r>
        <w:rPr>
          <w:noProof/>
        </w:rPr>
        <w:t>30.</w:t>
      </w:r>
      <w:r>
        <w:rPr>
          <w:noProof/>
        </w:rPr>
        <w:tab/>
        <w:t>Voie des essieux:</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1" w:hanging="851"/>
        <w:rPr>
          <w:rFonts w:eastAsia="Arial Unicode MS"/>
          <w:noProof/>
          <w:szCs w:val="24"/>
        </w:rPr>
      </w:pPr>
      <w:r>
        <w:rPr>
          <w:b/>
          <w:noProof/>
        </w:rPr>
        <w:t>Freins</w:t>
      </w:r>
    </w:p>
    <w:p>
      <w:pPr>
        <w:spacing w:after="0"/>
        <w:ind w:left="851" w:hanging="851"/>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before="240" w:after="0"/>
        <w:ind w:left="851" w:hanging="851"/>
        <w:rPr>
          <w:rFonts w:eastAsia="Arial Unicode MS"/>
          <w:noProof/>
          <w:szCs w:val="24"/>
        </w:rPr>
      </w:pPr>
      <w:r>
        <w:rPr>
          <w:b/>
          <w:noProof/>
        </w:rPr>
        <w:t>Carrosserie</w:t>
      </w:r>
    </w:p>
    <w:p>
      <w:pPr>
        <w:spacing w:after="0"/>
        <w:ind w:left="851" w:hanging="851"/>
        <w:rPr>
          <w:rFonts w:eastAsia="Arial Unicode MS"/>
          <w:noProof/>
          <w:szCs w:val="24"/>
        </w:rPr>
      </w:pPr>
      <w:r>
        <w:rPr>
          <w:noProof/>
        </w:rPr>
        <w:t>38.</w:t>
      </w:r>
      <w:r>
        <w:rPr>
          <w:noProof/>
        </w:rPr>
        <w:tab/>
        <w:t>Code de la carrosserie (</w:t>
      </w:r>
      <w:r>
        <w:rPr>
          <w:noProof/>
          <w:vertAlign w:val="superscript"/>
        </w:rPr>
        <w:t>i</w:t>
      </w:r>
      <w:r>
        <w:rPr>
          <w:noProof/>
        </w:rPr>
        <w:t>): …</w:t>
      </w:r>
    </w:p>
    <w:p>
      <w:pPr>
        <w:spacing w:after="0"/>
        <w:ind w:left="851" w:hanging="851"/>
        <w:rPr>
          <w:rFonts w:eastAsia="Arial Unicode MS"/>
          <w:noProof/>
          <w:szCs w:val="24"/>
        </w:rPr>
      </w:pPr>
      <w:r>
        <w:rPr>
          <w:noProof/>
        </w:rPr>
        <w:t>40.</w:t>
      </w:r>
      <w:r>
        <w:rPr>
          <w:noProof/>
        </w:rPr>
        <w:tab/>
        <w:t>Couleur du véhicule (</w:t>
      </w:r>
      <w:r>
        <w:rPr>
          <w:noProof/>
          <w:vertAlign w:val="superscript"/>
        </w:rPr>
        <w:t>j</w:t>
      </w:r>
      <w:r>
        <w:rPr>
          <w:noProof/>
        </w:rPr>
        <w:t>): …</w:t>
      </w:r>
    </w:p>
    <w:p>
      <w:pPr>
        <w:spacing w:after="0"/>
        <w:ind w:left="851" w:hanging="851"/>
        <w:rPr>
          <w:rFonts w:eastAsia="Arial Unicode MS"/>
          <w:noProof/>
          <w:szCs w:val="24"/>
        </w:rPr>
      </w:pPr>
      <w:r>
        <w:rPr>
          <w:noProof/>
        </w:rPr>
        <w:t>41.</w:t>
      </w:r>
      <w:r>
        <w:rPr>
          <w:noProof/>
        </w:rPr>
        <w:tab/>
        <w:t>Nombre et configuration des portes: …</w:t>
      </w:r>
    </w:p>
    <w:p>
      <w:pPr>
        <w:spacing w:after="0"/>
        <w:ind w:left="851" w:hanging="851"/>
        <w:rPr>
          <w:rFonts w:eastAsia="Arial Unicode MS"/>
          <w:noProof/>
          <w:szCs w:val="24"/>
        </w:rPr>
      </w:pPr>
      <w:r>
        <w:rPr>
          <w:noProof/>
        </w:rPr>
        <w:t>42.</w:t>
      </w:r>
      <w:r>
        <w:rPr>
          <w:noProof/>
        </w:rPr>
        <w:tab/>
        <w:t>Nombre de places assises (y compris celle du conducteur)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Place(s) assise(s) conçue(s) pour être utilisée(s) uniquement lorsque le véhicule est à l’arrêt: …</w:t>
      </w:r>
    </w:p>
    <w:p>
      <w:pPr>
        <w:spacing w:after="0"/>
        <w:ind w:left="851" w:hanging="851"/>
        <w:rPr>
          <w:rFonts w:eastAsia="Arial Unicode MS"/>
          <w:noProof/>
          <w:szCs w:val="24"/>
        </w:rPr>
      </w:pPr>
      <w:r>
        <w:rPr>
          <w:noProof/>
        </w:rPr>
        <w:t>42.3.</w:t>
      </w:r>
      <w:r>
        <w:rPr>
          <w:noProof/>
        </w:rPr>
        <w:tab/>
        <w:t>Nombre de places accessibles à des utilisateurs en fauteuil roulant: …</w:t>
      </w:r>
    </w:p>
    <w:p>
      <w:pPr>
        <w:spacing w:before="240" w:after="0"/>
        <w:ind w:left="851" w:hanging="851"/>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spacing w:before="240"/>
        <w:ind w:left="851"/>
        <w:rPr>
          <w:rFonts w:eastAsia="Arial Unicode MS"/>
          <w:noProof/>
          <w:szCs w:val="24"/>
        </w:rPr>
      </w:pPr>
      <w:r>
        <w:rPr>
          <w:noProof/>
        </w:rPr>
        <w:t>À l’arrêt: … dB(A) au régime moteur: … min</w:t>
      </w:r>
      <w:r>
        <w:rPr>
          <w:noProof/>
          <w:vertAlign w:val="superscript"/>
        </w:rPr>
        <w:t>-1</w:t>
      </w:r>
      <w:r>
        <w:rPr>
          <w:noProof/>
        </w:rPr>
        <w:t xml:space="preserve"> </w:t>
      </w:r>
    </w:p>
    <w:p>
      <w:pPr>
        <w:spacing w:before="240"/>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ind w:left="851"/>
        <w:rPr>
          <w:rFonts w:eastAsia="Arial Unicode MS"/>
          <w:noProof/>
          <w:szCs w:val="24"/>
        </w:rPr>
      </w:pPr>
      <w:r>
        <w:rPr>
          <w:noProof/>
        </w:rPr>
        <w:t>Numéro de l’acte réglementaire de base et du dernier acte réglementaire modificatif: …</w:t>
      </w:r>
    </w:p>
    <w:p>
      <w:pPr>
        <w:spacing w:before="0" w:after="0"/>
        <w:ind w:left="1418" w:hanging="567"/>
        <w:rPr>
          <w:rFonts w:eastAsia="Arial Unicode MS"/>
          <w:noProof/>
          <w:szCs w:val="24"/>
        </w:rPr>
      </w:pPr>
      <w:r>
        <w:rPr>
          <w:noProof/>
        </w:rPr>
        <w:t>1.1.</w:t>
      </w:r>
      <w:r>
        <w:rPr>
          <w:noProof/>
        </w:rPr>
        <w:tab/>
        <w:t>Procédure d’essai: Type I ou ESC (</w:t>
      </w:r>
      <w:r>
        <w:rPr>
          <w:noProof/>
          <w:vertAlign w:val="superscript"/>
        </w:rPr>
        <w:t>1</w:t>
      </w:r>
      <w:r>
        <w:rPr>
          <w:noProof/>
        </w:rPr>
        <w:t>)</w:t>
      </w:r>
    </w:p>
    <w:p>
      <w:pPr>
        <w:ind w:left="1418"/>
        <w:rPr>
          <w:rFonts w:eastAsia="Arial Unicode MS"/>
          <w:noProof/>
          <w:szCs w:val="24"/>
        </w:rPr>
      </w:pPr>
      <w:r>
        <w:rPr>
          <w:noProof/>
          <w:lang w:val="pl-PL"/>
        </w:rPr>
        <w:t>CO: … HC: … NO</w:t>
      </w:r>
      <w:r>
        <w:rPr>
          <w:noProof/>
          <w:vertAlign w:val="subscript"/>
          <w:lang w:val="pl-PL"/>
        </w:rPr>
        <w:t>x</w:t>
      </w:r>
      <w:r>
        <w:rPr>
          <w:noProof/>
          <w:lang w:val="pl-PL"/>
        </w:rPr>
        <w:t>: … HC + NO</w:t>
      </w:r>
      <w:r>
        <w:rPr>
          <w:noProof/>
          <w:vertAlign w:val="subscript"/>
          <w:lang w:val="pl-PL"/>
        </w:rPr>
        <w:t>x</w:t>
      </w:r>
      <w:r>
        <w:rPr>
          <w:noProof/>
          <w:lang w:val="pl-PL"/>
        </w:rPr>
        <w:t xml:space="preserve">: … </w:t>
      </w:r>
      <w:r>
        <w:rPr>
          <w:noProof/>
        </w:rPr>
        <w:t>Particules: …</w:t>
      </w:r>
    </w:p>
    <w:p>
      <w:pPr>
        <w:spacing w:before="0" w:after="0"/>
        <w:ind w:left="1418"/>
        <w:rPr>
          <w:rFonts w:eastAsia="Arial Unicode MS"/>
          <w:noProof/>
          <w:szCs w:val="24"/>
        </w:rPr>
      </w:pPr>
      <w:r>
        <w:rPr>
          <w:noProof/>
        </w:rPr>
        <w:t>Opacité des fumées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Procédure d’essai: Type I [Euro 5 ou 6(</w:t>
      </w:r>
      <w:r>
        <w:rPr>
          <w:noProof/>
          <w:vertAlign w:val="superscript"/>
        </w:rPr>
        <w:t>1</w:t>
      </w:r>
      <w:r>
        <w:rPr>
          <w:noProof/>
        </w:rPr>
        <w:t>)] ou WHSC (EURO VI) (</w:t>
      </w:r>
      <w:r>
        <w:rPr>
          <w:noProof/>
          <w:vertAlign w:val="superscript"/>
        </w:rPr>
        <w:t>1</w:t>
      </w:r>
      <w:r>
        <w:rPr>
          <w:noProof/>
        </w:rPr>
        <w:t>)</w:t>
      </w:r>
    </w:p>
    <w:p>
      <w:pPr>
        <w:tabs>
          <w:tab w:val="left" w:pos="3261"/>
          <w:tab w:val="left" w:pos="4111"/>
        </w:tabs>
        <w:spacing w:after="0"/>
        <w:ind w:left="1418"/>
        <w:rPr>
          <w:rFonts w:eastAsia="Arial Unicode MS"/>
          <w:noProof/>
          <w:szCs w:val="24"/>
        </w:rPr>
      </w:pPr>
      <w:r>
        <w:rPr>
          <w:noProof/>
        </w:rPr>
        <w:t>CO: … THC: … NMHC: … NO</w:t>
      </w:r>
      <w:r>
        <w:rPr>
          <w:noProof/>
          <w:vertAlign w:val="subscript"/>
        </w:rPr>
        <w:t>x</w:t>
      </w:r>
      <w:r>
        <w:rPr>
          <w:noProof/>
        </w:rPr>
        <w:t>: … THC + NO</w:t>
      </w:r>
      <w:r>
        <w:rPr>
          <w:noProof/>
          <w:vertAlign w:val="subscript"/>
        </w:rPr>
        <w:t>x</w:t>
      </w:r>
      <w:r>
        <w:rPr>
          <w:noProof/>
        </w:rPr>
        <w:t>: … NH</w:t>
      </w:r>
      <w:r>
        <w:rPr>
          <w:noProof/>
          <w:vertAlign w:val="subscript"/>
        </w:rPr>
        <w:t>3</w:t>
      </w:r>
      <w:r>
        <w:rPr>
          <w:noProof/>
        </w:rPr>
        <w:t xml:space="preserve">: … </w:t>
      </w:r>
      <w:r>
        <w:rPr>
          <w:noProof/>
        </w:rPr>
        <w:br/>
        <w:t>Particules (masse): …</w:t>
      </w:r>
      <w:r>
        <w:rPr>
          <w:noProof/>
        </w:rPr>
        <w:tab/>
        <w:t>Particules (nombre): …</w:t>
      </w:r>
    </w:p>
    <w:p>
      <w:pPr>
        <w:spacing w:after="0"/>
        <w:ind w:left="1418" w:hanging="567"/>
        <w:rPr>
          <w:rFonts w:eastAsia="Arial Unicode MS"/>
          <w:noProof/>
          <w:szCs w:val="24"/>
        </w:rPr>
      </w:pPr>
      <w:r>
        <w:rPr>
          <w:noProof/>
        </w:rPr>
        <w:t>2.1.</w:t>
      </w:r>
      <w:r>
        <w:rPr>
          <w:noProof/>
        </w:rPr>
        <w:tab/>
        <w:t>Procédure d’essai: ETC (le cas échéant)</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Particules: …</w:t>
      </w:r>
    </w:p>
    <w:p>
      <w:pPr>
        <w:tabs>
          <w:tab w:val="left" w:pos="2268"/>
          <w:tab w:val="left" w:pos="3261"/>
          <w:tab w:val="left" w:pos="4536"/>
          <w:tab w:val="left" w:pos="5529"/>
          <w:tab w:val="left" w:pos="6521"/>
        </w:tabs>
        <w:spacing w:after="0"/>
        <w:ind w:left="1418" w:hanging="567"/>
        <w:rPr>
          <w:rFonts w:eastAsia="Arial Unicode MS"/>
          <w:noProof/>
          <w:szCs w:val="24"/>
          <w:lang w:val="it-IT"/>
        </w:rPr>
      </w:pPr>
      <w:r>
        <w:rPr>
          <w:noProof/>
          <w:lang w:val="it-IT"/>
        </w:rPr>
        <w:t>2.2.</w:t>
      </w:r>
      <w:r>
        <w:rPr>
          <w:noProof/>
          <w:lang w:val="it-IT"/>
        </w:rPr>
        <w:tab/>
        <w:t>Procédure d’essai: WHTC (EURO VI)</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rPr>
        <w:t>NH</w:t>
      </w:r>
      <w:r>
        <w:rPr>
          <w:noProof/>
          <w:vertAlign w:val="subscript"/>
        </w:rPr>
        <w:t>3</w:t>
      </w:r>
      <w:r>
        <w:rPr>
          <w:noProof/>
        </w:rPr>
        <w:t>: … Particules (masse): …Particules (nombre): …</w:t>
      </w:r>
    </w:p>
    <w:p>
      <w:pPr>
        <w:spacing w:after="0"/>
        <w:ind w:left="851" w:hanging="840"/>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Émissions de CO</w:t>
      </w:r>
      <w:r>
        <w:rPr>
          <w:noProof/>
          <w:vertAlign w:val="subscript"/>
        </w:rPr>
        <w:t>2</w:t>
      </w:r>
      <w:r>
        <w:rPr>
          <w:noProof/>
        </w:rPr>
        <w:t>/consommation de carburant/consommation d’énergie électrique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Tous systèmes de propulsion hors véhicules électriques purs</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Émissions de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Consommation de carburant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Conditions urbaines: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Conditions extra-urbaines: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Conditions mixtes: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Pondérée(s), conditions mixtes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Véhicules électriques purs et véhicules électriques hybrides chargeables de l’extérieur</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Cs w:val="24"/>
              </w:rPr>
            </w:pPr>
            <w:r>
              <w:rPr>
                <w:noProof/>
                <w:sz w:val="22"/>
              </w:rPr>
              <w:t>Consommation d’énergie électrique [pondérée, conditions mixtes (</w:t>
            </w:r>
            <w:r>
              <w:rPr>
                <w:noProof/>
                <w:sz w:val="22"/>
                <w:vertAlign w:val="superscript"/>
              </w:rPr>
              <w:t>1</w:t>
            </w:r>
            <w:r>
              <w:rPr>
                <w:noProof/>
                <w:sz w:val="22"/>
              </w:rPr>
              <w:t>)]</w:t>
            </w:r>
          </w:p>
        </w:tc>
        <w:tc>
          <w:tcPr>
            <w:tcW w:w="0" w:type="auto"/>
            <w:hideMark/>
          </w:tcPr>
          <w:p>
            <w:pPr>
              <w:spacing w:before="195" w:after="0"/>
              <w:jc w:val="left"/>
              <w:rPr>
                <w:rFonts w:eastAsia="Arial Unicode MS"/>
                <w:noProof/>
                <w:szCs w:val="24"/>
              </w:rPr>
            </w:pPr>
            <w:r>
              <w:rPr>
                <w:noProof/>
                <w:sz w:val="22"/>
              </w:rPr>
              <w:t>…Wh/km</w:t>
            </w:r>
          </w:p>
        </w:tc>
      </w:tr>
      <w:tr>
        <w:trPr>
          <w:tblCellSpacing w:w="0" w:type="dxa"/>
        </w:trPr>
        <w:tc>
          <w:tcPr>
            <w:tcW w:w="3852" w:type="pct"/>
            <w:hideMark/>
          </w:tcPr>
          <w:p>
            <w:pPr>
              <w:spacing w:before="195" w:after="0"/>
              <w:ind w:left="1418"/>
              <w:jc w:val="left"/>
              <w:rPr>
                <w:rFonts w:eastAsia="Arial Unicode MS"/>
                <w:noProof/>
                <w:szCs w:val="24"/>
              </w:rPr>
            </w:pPr>
            <w:r>
              <w:rPr>
                <w:noProof/>
                <w:sz w:val="22"/>
              </w:rPr>
              <w:t>Autonomie en mode électrique</w:t>
            </w:r>
          </w:p>
        </w:tc>
        <w:tc>
          <w:tcPr>
            <w:tcW w:w="0" w:type="auto"/>
            <w:hideMark/>
          </w:tcPr>
          <w:p>
            <w:pPr>
              <w:spacing w:before="195" w:after="0"/>
              <w:jc w:val="left"/>
              <w:rPr>
                <w:rFonts w:eastAsia="Arial Unicode MS"/>
                <w:noProof/>
                <w:szCs w:val="24"/>
              </w:rPr>
            </w:pPr>
            <w:r>
              <w:rPr>
                <w:noProof/>
                <w:sz w:val="22"/>
              </w:rPr>
              <w:t>… km</w:t>
            </w:r>
          </w:p>
        </w:tc>
      </w:tr>
    </w:tbl>
    <w:p>
      <w:pPr>
        <w:spacing w:after="0"/>
        <w:ind w:left="1418" w:hanging="567"/>
        <w:rPr>
          <w:rFonts w:eastAsia="Arial Unicode MS"/>
          <w:noProof/>
          <w:szCs w:val="24"/>
        </w:rPr>
      </w:pPr>
      <w:r>
        <w:rPr>
          <w:noProof/>
        </w:rPr>
        <w:t>3.</w:t>
      </w:r>
      <w:r>
        <w:rPr>
          <w:noProof/>
        </w:rPr>
        <w:tab/>
        <w:t>Véhicule intégrant des éco-innovations: oui/non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Code général de la ou des éco-innovations (</w:t>
      </w:r>
      <w:r>
        <w:rPr>
          <w:noProof/>
          <w:vertAlign w:val="superscript"/>
        </w:rPr>
        <w:t>p1</w:t>
      </w:r>
      <w:r>
        <w:rPr>
          <w:noProof/>
        </w:rPr>
        <w:t>): …</w:t>
      </w:r>
    </w:p>
    <w:p>
      <w:pPr>
        <w:spacing w:after="0"/>
        <w:ind w:left="1418" w:hanging="567"/>
        <w:rPr>
          <w:rFonts w:eastAsia="Arial Unicode MS"/>
          <w:noProof/>
          <w:szCs w:val="24"/>
        </w:rPr>
      </w:pPr>
      <w:r>
        <w:rPr>
          <w:noProof/>
        </w:rPr>
        <w:t>3.2.</w:t>
      </w:r>
      <w:r>
        <w:rPr>
          <w:noProof/>
        </w:rPr>
        <w:tab/>
        <w:t>Émissions de CO</w:t>
      </w:r>
      <w:r>
        <w:rPr>
          <w:noProof/>
          <w:vertAlign w:val="subscript"/>
        </w:rPr>
        <w:t>2</w:t>
      </w:r>
      <w:r>
        <w:rPr>
          <w:noProof/>
        </w:rPr>
        <w:t xml:space="preserve"> totales épargnées grâce à la ou aux éco-innovations (</w:t>
      </w:r>
      <w:r>
        <w:rPr>
          <w:noProof/>
          <w:vertAlign w:val="superscript"/>
        </w:rPr>
        <w:t>p2</w:t>
      </w:r>
      <w:r>
        <w:rPr>
          <w:noProof/>
        </w:rPr>
        <w:t>) (répéter pour chaque carburant de référence testé): …</w:t>
      </w:r>
    </w:p>
    <w:p>
      <w:pPr>
        <w:spacing w:before="240" w:after="0"/>
        <w:rPr>
          <w:rFonts w:eastAsia="Arial Unicode MS"/>
          <w:noProof/>
          <w:szCs w:val="24"/>
        </w:rPr>
      </w:pPr>
      <w:r>
        <w:rPr>
          <w:b/>
          <w:noProof/>
        </w:rPr>
        <w:t>Divers</w:t>
      </w:r>
    </w:p>
    <w:p>
      <w:pPr>
        <w:spacing w:after="0"/>
        <w:ind w:left="851" w:hanging="851"/>
        <w:rPr>
          <w:rFonts w:eastAsia="Arial Unicode MS"/>
          <w:noProof/>
          <w:szCs w:val="24"/>
        </w:rPr>
      </w:pPr>
      <w:r>
        <w:rPr>
          <w:noProof/>
        </w:rPr>
        <w:t>51.</w:t>
      </w:r>
      <w:r>
        <w:rPr>
          <w:noProof/>
        </w:rPr>
        <w:tab/>
        <w:t>Pour les véhicules à usage spécial: désignation conformément à la section 5 de l’annexe II: …</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 DE VÉHICULES M</w:t>
      </w:r>
      <w:r>
        <w:rPr>
          <w:noProof/>
          <w:vertAlign w:val="subscript"/>
        </w:rPr>
        <w:t>2</w:t>
      </w:r>
    </w:p>
    <w:p>
      <w:pPr>
        <w:jc w:val="center"/>
        <w:rPr>
          <w:rFonts w:eastAsia="Arial Unicode MS"/>
          <w:bCs/>
          <w:noProof/>
          <w:szCs w:val="24"/>
        </w:rPr>
      </w:pPr>
      <w:r>
        <w:rPr>
          <w:noProof/>
        </w:rPr>
        <w:t>(véhicules complets et complétés)</w:t>
      </w:r>
    </w:p>
    <w:p>
      <w:pPr>
        <w:jc w:val="left"/>
        <w:rPr>
          <w:rFonts w:eastAsia="Arial Unicode MS"/>
          <w:noProof/>
          <w:szCs w:val="24"/>
        </w:rPr>
      </w:pPr>
      <w:r>
        <w:rPr>
          <w:b/>
          <w:i/>
          <w:noProof/>
        </w:rPr>
        <w:t>Page 2</w:t>
      </w:r>
    </w:p>
    <w:p>
      <w:pPr>
        <w:spacing w:after="0"/>
        <w:ind w:left="851" w:hanging="851"/>
        <w:rPr>
          <w:rFonts w:eastAsia="Arial Unicode MS"/>
          <w:b/>
          <w:bC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2.</w:t>
      </w:r>
      <w:r>
        <w:rPr>
          <w:noProof/>
        </w:rPr>
        <w:tab/>
        <w:t>Essieux directeurs (nombre, emplacement):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Longueur: … mm</w:t>
      </w:r>
    </w:p>
    <w:p>
      <w:pPr>
        <w:spacing w:after="0"/>
        <w:ind w:left="851" w:hanging="851"/>
        <w:rPr>
          <w:rFonts w:eastAsia="Arial Unicode MS"/>
          <w:noProof/>
          <w:szCs w:val="24"/>
        </w:rPr>
      </w:pPr>
      <w:r>
        <w:rPr>
          <w:noProof/>
        </w:rPr>
        <w:t>6.</w:t>
      </w:r>
      <w:r>
        <w:rPr>
          <w:noProof/>
        </w:rPr>
        <w:tab/>
        <w:t>Largeur: … mm</w:t>
      </w:r>
    </w:p>
    <w:p>
      <w:pPr>
        <w:spacing w:after="0"/>
        <w:ind w:left="851" w:hanging="851"/>
        <w:rPr>
          <w:rFonts w:eastAsia="Arial Unicode MS"/>
          <w:noProof/>
          <w:szCs w:val="24"/>
        </w:rPr>
      </w:pPr>
      <w:r>
        <w:rPr>
          <w:noProof/>
        </w:rPr>
        <w:t>7.</w:t>
      </w:r>
      <w:r>
        <w:rPr>
          <w:noProof/>
        </w:rPr>
        <w:tab/>
        <w:t>Hauteur: … mm</w:t>
      </w:r>
    </w:p>
    <w:p>
      <w:pPr>
        <w:spacing w:after="0"/>
        <w:ind w:left="851" w:hanging="851"/>
        <w:rPr>
          <w:rFonts w:eastAsia="Arial Unicode MS"/>
          <w:noProof/>
          <w:szCs w:val="24"/>
        </w:rPr>
      </w:pPr>
      <w:r>
        <w:rPr>
          <w:noProof/>
        </w:rPr>
        <w:t>9.</w:t>
      </w:r>
      <w:r>
        <w:rPr>
          <w:noProof/>
        </w:rPr>
        <w:tab/>
        <w:t>Distance entre l’extrémité avant du véhicule et le centre du dispositif d’attelage: … mm</w:t>
      </w:r>
    </w:p>
    <w:p>
      <w:pPr>
        <w:spacing w:after="0"/>
        <w:ind w:left="851" w:hanging="851"/>
        <w:rPr>
          <w:rFonts w:eastAsia="Arial Unicode MS"/>
          <w:noProof/>
          <w:szCs w:val="24"/>
        </w:rPr>
      </w:pPr>
      <w:r>
        <w:rPr>
          <w:noProof/>
        </w:rPr>
        <w:t>12.</w:t>
      </w:r>
      <w:r>
        <w:rPr>
          <w:noProof/>
        </w:rPr>
        <w:tab/>
        <w:t>Porte-à-faux arrière: … mm</w:t>
      </w:r>
    </w:p>
    <w:p>
      <w:pPr>
        <w:spacing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13.</w:t>
      </w:r>
      <w:r>
        <w:rPr>
          <w:noProof/>
        </w:rPr>
        <w:tab/>
        <w:t>Masse en ordre de marche: … kg</w:t>
      </w:r>
    </w:p>
    <w:p>
      <w:pPr>
        <w:tabs>
          <w:tab w:val="left" w:pos="5387"/>
          <w:tab w:val="left" w:pos="6521"/>
          <w:tab w:val="left" w:pos="7655"/>
        </w:tabs>
        <w:spacing w:after="0"/>
        <w:ind w:left="851" w:hanging="851"/>
        <w:rPr>
          <w:rFonts w:eastAsia="Arial Unicode MS"/>
          <w:noProof/>
          <w:szCs w:val="24"/>
        </w:rPr>
      </w:pPr>
      <w:r>
        <w:rPr>
          <w:noProof/>
        </w:rPr>
        <w:t>13.1.</w:t>
      </w:r>
      <w:r>
        <w:rPr>
          <w:noProof/>
        </w:rPr>
        <w:tab/>
        <w:t>Répartition de cette masse entre les essieux:</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13.2.</w:t>
      </w:r>
      <w:r>
        <w:rPr>
          <w:noProof/>
        </w:rPr>
        <w:tab/>
        <w:t>Masse réelle du véhicule: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5529"/>
          <w:tab w:val="left" w:pos="6663"/>
          <w:tab w:val="left" w:pos="7797"/>
        </w:tabs>
        <w:spacing w:after="0"/>
        <w:ind w:left="851" w:hanging="851"/>
        <w:rPr>
          <w:rFonts w:eastAsia="Arial Unicode MS"/>
          <w:noProof/>
          <w:szCs w:val="24"/>
        </w:rPr>
      </w:pPr>
      <w:r>
        <w:rPr>
          <w:noProof/>
        </w:rPr>
        <w:t>16.2.</w:t>
      </w:r>
      <w:r>
        <w:rPr>
          <w:noProof/>
        </w:rPr>
        <w:tab/>
        <w:t>Masse maximale techniquement admissible sur chaque essieu:</w:t>
      </w:r>
      <w:r>
        <w:rPr>
          <w:noProof/>
        </w:rPr>
        <w:tab/>
        <w:t>1. … kg</w:t>
      </w:r>
      <w:r>
        <w:rPr>
          <w:noProof/>
        </w:rPr>
        <w:tab/>
        <w:t>2. … kg</w:t>
      </w:r>
      <w:r>
        <w:rPr>
          <w:noProof/>
        </w:rPr>
        <w:tab/>
        <w:t>3. … kg etc.</w:t>
      </w:r>
    </w:p>
    <w:p>
      <w:pPr>
        <w:tabs>
          <w:tab w:val="left" w:pos="5954"/>
          <w:tab w:val="left" w:pos="6946"/>
        </w:tabs>
        <w:spacing w:after="0"/>
        <w:ind w:left="851" w:hanging="851"/>
        <w:rPr>
          <w:rFonts w:eastAsia="Arial Unicode MS"/>
          <w:noProof/>
          <w:szCs w:val="24"/>
        </w:rPr>
      </w:pPr>
      <w:r>
        <w:rPr>
          <w:noProof/>
        </w:rPr>
        <w:t>16.3.</w:t>
      </w:r>
      <w:r>
        <w:rPr>
          <w:noProof/>
        </w:rPr>
        <w:tab/>
        <w:t>Masse techniquement admissible sur chaque groupe d’essieux:</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Masse maximale techniquement admissible de l’ensemble: … kg</w:t>
      </w:r>
    </w:p>
    <w:p>
      <w:pPr>
        <w:spacing w:after="0"/>
        <w:ind w:left="851" w:hanging="851"/>
        <w:rPr>
          <w:rFonts w:eastAsia="Arial Unicode MS"/>
          <w:noProof/>
          <w:szCs w:val="24"/>
        </w:rPr>
      </w:pPr>
      <w:r>
        <w:rPr>
          <w:noProof/>
        </w:rPr>
        <w:t>17.</w:t>
      </w:r>
      <w:r>
        <w:rPr>
          <w:noProof/>
        </w:rPr>
        <w:tab/>
        <w:t>Masses maximales admissibles à l’immatriculation/en service prévues pour le trafic national/international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Masse en charge maximale admissible à l’immatriculation/en service prévue: … kg</w:t>
      </w:r>
    </w:p>
    <w:p>
      <w:pPr>
        <w:spacing w:after="0"/>
        <w:ind w:left="850" w:hanging="839"/>
        <w:rPr>
          <w:rFonts w:eastAsia="Arial Unicode MS"/>
          <w:noProof/>
          <w:szCs w:val="24"/>
        </w:rPr>
      </w:pPr>
      <w:r>
        <w:rPr>
          <w:noProof/>
        </w:rPr>
        <w:t>17.2.</w:t>
      </w:r>
      <w:r>
        <w:rPr>
          <w:noProof/>
        </w:rPr>
        <w:tab/>
        <w:t>Masse en charge maximale admissible à l’immatriculation/en service prévue sur chaque essieu:</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Masse en charge maximale admissible à l’immatriculation/en service prévue sur chaque groupe d’essieux:</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Masse maximale admissible à l’immatriculation/en service prévue pour l’ensemble: … kg</w:t>
      </w:r>
    </w:p>
    <w:p>
      <w:pPr>
        <w:spacing w:after="0"/>
        <w:ind w:left="851" w:hanging="851"/>
        <w:rPr>
          <w:rFonts w:eastAsia="Arial Unicode MS"/>
          <w:noProof/>
          <w:szCs w:val="24"/>
        </w:rPr>
      </w:pPr>
      <w:r>
        <w:rPr>
          <w:noProof/>
        </w:rPr>
        <w:t>18.</w:t>
      </w:r>
      <w:r>
        <w:rPr>
          <w:noProof/>
        </w:rPr>
        <w:tab/>
        <w:t>Masse tractable maximale techniquement admissible en cas de:</w:t>
      </w:r>
    </w:p>
    <w:p>
      <w:pPr>
        <w:spacing w:after="0"/>
        <w:ind w:left="851" w:hanging="840"/>
        <w:rPr>
          <w:rFonts w:eastAsia="Arial Unicode MS"/>
          <w:noProof/>
          <w:szCs w:val="24"/>
          <w:lang w:val="pt-PT"/>
        </w:rPr>
      </w:pPr>
      <w:r>
        <w:rPr>
          <w:noProof/>
          <w:lang w:val="pt-PT"/>
        </w:rPr>
        <w:t>18.1.</w:t>
      </w:r>
      <w:r>
        <w:rPr>
          <w:noProof/>
          <w:lang w:val="pt-PT"/>
        </w:rPr>
        <w:tab/>
        <w:t>remorque à timon: … kg</w:t>
      </w:r>
    </w:p>
    <w:p>
      <w:pPr>
        <w:spacing w:after="0"/>
        <w:ind w:left="851" w:hanging="840"/>
        <w:rPr>
          <w:rFonts w:eastAsia="Arial Unicode MS"/>
          <w:noProof/>
          <w:szCs w:val="24"/>
          <w:lang w:val="pt-PT"/>
        </w:rPr>
      </w:pPr>
      <w:r>
        <w:rPr>
          <w:noProof/>
          <w:lang w:val="pt-PT"/>
        </w:rPr>
        <w:t>18.3.</w:t>
      </w:r>
      <w:r>
        <w:rPr>
          <w:noProof/>
          <w:lang w:val="pt-PT"/>
        </w:rPr>
        <w:tab/>
        <w:t>remorque à essieu central: … kg</w:t>
      </w:r>
    </w:p>
    <w:p>
      <w:pPr>
        <w:spacing w:after="0"/>
        <w:ind w:left="851" w:hanging="840"/>
        <w:rPr>
          <w:rFonts w:eastAsia="Arial Unicode MS"/>
          <w:noProof/>
          <w:szCs w:val="24"/>
        </w:rPr>
      </w:pPr>
      <w:r>
        <w:rPr>
          <w:noProof/>
        </w:rPr>
        <w:t>18.4.</w:t>
      </w:r>
      <w:r>
        <w:rPr>
          <w:noProof/>
        </w:rPr>
        <w:tab/>
        <w:t>remorque non freinée: … kg</w:t>
      </w:r>
    </w:p>
    <w:p>
      <w:pPr>
        <w:spacing w:after="0"/>
        <w:ind w:left="851" w:hanging="851"/>
        <w:rPr>
          <w:rFonts w:eastAsia="Arial Unicode MS"/>
          <w:noProof/>
          <w:szCs w:val="24"/>
        </w:rPr>
      </w:pPr>
      <w:r>
        <w:rPr>
          <w:noProof/>
        </w:rPr>
        <w:t>19.</w:t>
      </w:r>
      <w:r>
        <w:rPr>
          <w:noProof/>
        </w:rPr>
        <w:tab/>
        <w:t>Masse statique maximale techniquement admissible au point d’attelage: … kg</w:t>
      </w:r>
    </w:p>
    <w:p>
      <w:pPr>
        <w:spacing w:after="0"/>
        <w:ind w:left="851" w:hanging="851"/>
        <w:rPr>
          <w:rFonts w:eastAsia="Arial Unicode MS"/>
          <w:noProof/>
          <w:szCs w:val="24"/>
        </w:rPr>
      </w:pPr>
      <w:r>
        <w:rPr>
          <w:b/>
          <w:noProof/>
        </w:rPr>
        <w:t>Groupe moteur</w:t>
      </w:r>
    </w:p>
    <w:p>
      <w:pPr>
        <w:spacing w:after="0"/>
        <w:ind w:left="851" w:hanging="851"/>
        <w:rPr>
          <w:rFonts w:eastAsia="Arial Unicode MS"/>
          <w:noProof/>
          <w:szCs w:val="24"/>
        </w:rPr>
      </w:pPr>
      <w:r>
        <w:rPr>
          <w:noProof/>
        </w:rPr>
        <w:t>20.</w:t>
      </w:r>
      <w:r>
        <w:rPr>
          <w:noProof/>
        </w:rPr>
        <w:tab/>
        <w:t>Constructeur du moteur: …</w:t>
      </w:r>
    </w:p>
    <w:p>
      <w:pPr>
        <w:spacing w:after="0"/>
        <w:ind w:left="851" w:hanging="851"/>
        <w:rPr>
          <w:rFonts w:eastAsia="Arial Unicode MS"/>
          <w:noProof/>
          <w:szCs w:val="24"/>
        </w:rPr>
      </w:pPr>
      <w:r>
        <w:rPr>
          <w:noProof/>
        </w:rPr>
        <w:t>21.</w:t>
      </w:r>
      <w:r>
        <w:rPr>
          <w:noProof/>
        </w:rPr>
        <w:tab/>
        <w:t>Code du moteur tel que marqué sur le moteur: …</w:t>
      </w:r>
    </w:p>
    <w:p>
      <w:pPr>
        <w:spacing w:after="0"/>
        <w:ind w:left="851" w:hanging="851"/>
        <w:rPr>
          <w:rFonts w:eastAsia="Arial Unicode MS"/>
          <w:noProof/>
          <w:szCs w:val="24"/>
        </w:rPr>
      </w:pPr>
      <w:r>
        <w:rPr>
          <w:noProof/>
        </w:rPr>
        <w:t>22.</w:t>
      </w:r>
      <w:r>
        <w:rPr>
          <w:noProof/>
        </w:rPr>
        <w:tab/>
        <w:t>Principe de fonctionnement: …</w:t>
      </w:r>
    </w:p>
    <w:p>
      <w:pPr>
        <w:spacing w:after="0"/>
        <w:ind w:left="851" w:hanging="851"/>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Nombre et disposition des cylindres: …</w:t>
      </w:r>
    </w:p>
    <w:p>
      <w:pPr>
        <w:spacing w:after="0"/>
        <w:ind w:left="851" w:hanging="851"/>
        <w:rPr>
          <w:rFonts w:eastAsia="Arial Unicode MS"/>
          <w:noProof/>
          <w:szCs w:val="24"/>
        </w:rPr>
      </w:pPr>
      <w:r>
        <w:rPr>
          <w:noProof/>
        </w:rPr>
        <w:t>25.</w:t>
      </w:r>
      <w:r>
        <w:rPr>
          <w:noProof/>
        </w:rPr>
        <w:tab/>
        <w:t>Cylindrée: … cm</w:t>
      </w:r>
      <w:r>
        <w:rPr>
          <w:noProof/>
          <w:vertAlign w:val="superscript"/>
        </w:rPr>
        <w:t>3</w:t>
      </w:r>
      <w:r>
        <w:rPr>
          <w:noProof/>
        </w:rPr>
        <w:t xml:space="preserve"> </w:t>
      </w:r>
    </w:p>
    <w:p>
      <w:pPr>
        <w:spacing w:after="0"/>
        <w:ind w:left="851" w:hanging="851"/>
        <w:jc w:val="left"/>
        <w:rPr>
          <w:rFonts w:eastAsia="Arial Unicode MS"/>
          <w:noProof/>
          <w:szCs w:val="24"/>
        </w:rPr>
      </w:pPr>
      <w:r>
        <w:rPr>
          <w:noProof/>
        </w:rPr>
        <w:t>26.</w:t>
      </w:r>
      <w:r>
        <w:rPr>
          <w:noProof/>
        </w:rPr>
        <w:tab/>
        <w:t>Carburant: gazole/essence/GPL/GNC-biométhane/GNL/éthanol/biogazole/hydrogène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Monocarburant/bicarburant/polycarburant/double carburant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Boîte de vitesses (type): …</w:t>
      </w:r>
    </w:p>
    <w:p>
      <w:pPr>
        <w:spacing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after="0"/>
        <w:ind w:left="851" w:hanging="851"/>
        <w:rPr>
          <w:rFonts w:eastAsia="Arial Unicode MS"/>
          <w:noProof/>
          <w:szCs w:val="24"/>
        </w:rPr>
      </w:pPr>
      <w:r>
        <w:rPr>
          <w:b/>
          <w:noProof/>
        </w:rPr>
        <w:t>Essieux et suspension</w:t>
      </w:r>
    </w:p>
    <w:p>
      <w:pPr>
        <w:spacing w:after="0"/>
        <w:ind w:left="851" w:hanging="851"/>
        <w:rPr>
          <w:rFonts w:eastAsia="Arial Unicode MS"/>
          <w:noProof/>
          <w:szCs w:val="24"/>
        </w:rPr>
      </w:pPr>
      <w:r>
        <w:rPr>
          <w:noProof/>
        </w:rPr>
        <w:t>30.</w:t>
      </w:r>
      <w:r>
        <w:rPr>
          <w:noProof/>
        </w:rPr>
        <w:tab/>
        <w:t>Voie des essieux:</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Essieu(x) moteur(s) équipé(s) d’une suspension pneumatique ou équivalente: oui/non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Combinaison pneumatiques/roues (</w:t>
      </w:r>
      <w:r>
        <w:rPr>
          <w:noProof/>
          <w:vertAlign w:val="superscript"/>
        </w:rPr>
        <w:t>h</w:t>
      </w:r>
      <w:r>
        <w:rPr>
          <w:noProof/>
        </w:rPr>
        <w:t>): …</w:t>
      </w:r>
    </w:p>
    <w:p>
      <w:pPr>
        <w:spacing w:after="0"/>
        <w:ind w:left="851" w:hanging="851"/>
        <w:rPr>
          <w:rFonts w:eastAsia="Arial Unicode MS"/>
          <w:noProof/>
          <w:szCs w:val="24"/>
        </w:rPr>
      </w:pPr>
      <w:r>
        <w:rPr>
          <w:b/>
          <w:noProof/>
        </w:rPr>
        <w:t>Freins</w:t>
      </w:r>
    </w:p>
    <w:p>
      <w:pPr>
        <w:spacing w:after="0"/>
        <w:ind w:left="851" w:hanging="851"/>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 dans la conduite d’alimentation du système de freinage de la remorque: … bar</w:t>
      </w:r>
    </w:p>
    <w:p>
      <w:pPr>
        <w:spacing w:after="0"/>
        <w:ind w:left="851" w:hanging="851"/>
        <w:rPr>
          <w:rFonts w:eastAsia="Arial Unicode MS"/>
          <w:noProof/>
          <w:szCs w:val="24"/>
        </w:rPr>
      </w:pPr>
      <w:r>
        <w:rPr>
          <w:b/>
          <w:noProof/>
        </w:rPr>
        <w:t>Carrosserie</w:t>
      </w:r>
    </w:p>
    <w:p>
      <w:pPr>
        <w:spacing w:after="0"/>
        <w:ind w:left="851" w:hanging="851"/>
        <w:rPr>
          <w:rFonts w:eastAsia="Arial Unicode MS"/>
          <w:noProof/>
          <w:szCs w:val="24"/>
        </w:rPr>
      </w:pPr>
      <w:r>
        <w:rPr>
          <w:noProof/>
        </w:rPr>
        <w:t>38.</w:t>
      </w:r>
      <w:r>
        <w:rPr>
          <w:noProof/>
        </w:rPr>
        <w:tab/>
        <w:t>Code de la carrosserie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Classe de véhicule: classe I/classe II/classe III/classe A/classe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Nombre et configuration des portes: …</w:t>
      </w:r>
    </w:p>
    <w:p>
      <w:pPr>
        <w:spacing w:after="0"/>
        <w:ind w:left="851" w:hanging="851"/>
        <w:rPr>
          <w:rFonts w:eastAsia="Arial Unicode MS"/>
          <w:noProof/>
          <w:szCs w:val="24"/>
        </w:rPr>
      </w:pPr>
      <w:r>
        <w:rPr>
          <w:noProof/>
        </w:rPr>
        <w:t>42.</w:t>
      </w:r>
      <w:r>
        <w:rPr>
          <w:noProof/>
        </w:rPr>
        <w:tab/>
        <w:t>Nombre de places assises (y compris celle du conducteur)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Place(s) assise(s) conçue(s) pour être utilisée(s) uniquement lorsque le véhicule est à l’arrêt: …</w:t>
      </w:r>
    </w:p>
    <w:p>
      <w:pPr>
        <w:spacing w:after="0"/>
        <w:ind w:left="851" w:hanging="840"/>
        <w:rPr>
          <w:rFonts w:eastAsia="Arial Unicode MS"/>
          <w:noProof/>
          <w:szCs w:val="24"/>
        </w:rPr>
      </w:pPr>
      <w:r>
        <w:rPr>
          <w:noProof/>
        </w:rPr>
        <w:t>42.3.</w:t>
      </w:r>
      <w:r>
        <w:rPr>
          <w:noProof/>
        </w:rPr>
        <w:tab/>
        <w:t>Nombre de places accessibles à des utilisateurs en fauteuil roulant: …</w:t>
      </w:r>
    </w:p>
    <w:p>
      <w:pPr>
        <w:spacing w:after="0"/>
        <w:ind w:left="851" w:hanging="851"/>
        <w:rPr>
          <w:rFonts w:eastAsia="Arial Unicode MS"/>
          <w:noProof/>
          <w:szCs w:val="24"/>
        </w:rPr>
      </w:pPr>
      <w:r>
        <w:rPr>
          <w:noProof/>
        </w:rPr>
        <w:t>43.</w:t>
      </w:r>
      <w:r>
        <w:rPr>
          <w:noProof/>
        </w:rPr>
        <w:tab/>
        <w:t>Nombre de places debout: …</w:t>
      </w:r>
    </w:p>
    <w:p>
      <w:pPr>
        <w:spacing w:after="0"/>
        <w:rPr>
          <w:rFonts w:eastAsia="Arial Unicode MS"/>
          <w:noProof/>
          <w:szCs w:val="24"/>
        </w:rPr>
      </w:pPr>
      <w:r>
        <w:rPr>
          <w:b/>
          <w:noProof/>
        </w:rPr>
        <w:t>Dispositif d’attelage</w:t>
      </w:r>
    </w:p>
    <w:p>
      <w:pPr>
        <w:spacing w:after="0"/>
        <w:ind w:left="851" w:hanging="840"/>
        <w:rPr>
          <w:rFonts w:eastAsia="Arial Unicode MS"/>
          <w:noProof/>
          <w:szCs w:val="24"/>
        </w:rPr>
      </w:pPr>
      <w:r>
        <w:rPr>
          <w:noProof/>
        </w:rPr>
        <w:t>44.</w:t>
      </w:r>
      <w:r>
        <w:rPr>
          <w:noProof/>
        </w:rPr>
        <w:tab/>
        <w:t>Numéro de réception ou marque de réception du dispositif d’attelage (le cas échéant): …</w:t>
      </w:r>
    </w:p>
    <w:p>
      <w:pPr>
        <w:spacing w:after="0"/>
        <w:ind w:left="851" w:hanging="840"/>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after="0"/>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spacing w:before="100" w:beforeAutospacing="1" w:after="100" w:afterAutospacing="1"/>
        <w:ind w:left="851"/>
        <w:rPr>
          <w:rFonts w:eastAsia="Arial Unicode MS"/>
          <w:noProof/>
          <w:szCs w:val="24"/>
        </w:rPr>
      </w:pPr>
      <w:r>
        <w:rPr>
          <w:noProof/>
        </w:rPr>
        <w:t>À l’arrêt: … dB(A) au régime moteur: … min</w:t>
      </w:r>
      <w:r>
        <w:rPr>
          <w:noProof/>
          <w:vertAlign w:val="superscript"/>
        </w:rPr>
        <w:t>-1</w:t>
      </w:r>
      <w:r>
        <w:rPr>
          <w:noProof/>
        </w:rPr>
        <w:t xml:space="preserve"> </w:t>
      </w:r>
    </w:p>
    <w:p>
      <w:pPr>
        <w:spacing w:before="100" w:beforeAutospacing="1" w:after="100" w:afterAutospacing="1"/>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ind w:left="851"/>
        <w:rPr>
          <w:rFonts w:eastAsia="Arial Unicode MS"/>
          <w:noProof/>
          <w:szCs w:val="24"/>
        </w:rPr>
      </w:pPr>
      <w:r>
        <w:rPr>
          <w:noProof/>
        </w:rPr>
        <w:t>Numéro de l’acte réglementaire de base et du dernier acte réglementaire modificatif: …</w:t>
      </w:r>
    </w:p>
    <w:p>
      <w:pPr>
        <w:spacing w:after="0"/>
        <w:ind w:left="1560" w:hanging="720"/>
        <w:rPr>
          <w:rFonts w:eastAsia="Arial Unicode MS"/>
          <w:noProof/>
          <w:szCs w:val="24"/>
        </w:rPr>
      </w:pPr>
      <w:r>
        <w:rPr>
          <w:noProof/>
        </w:rPr>
        <w:t>1.1.</w:t>
      </w:r>
      <w:r>
        <w:rPr>
          <w:noProof/>
        </w:rPr>
        <w:tab/>
        <w:t>Procédure d’essai: Type I ou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Particules: …</w:t>
      </w:r>
    </w:p>
    <w:p>
      <w:pPr>
        <w:ind w:left="1950" w:hanging="391"/>
        <w:rPr>
          <w:rFonts w:eastAsia="Arial Unicode MS"/>
          <w:noProof/>
          <w:szCs w:val="24"/>
        </w:rPr>
      </w:pPr>
      <w:r>
        <w:rPr>
          <w:noProof/>
        </w:rPr>
        <w:t>Opacité des fumées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Procédure d’essai: Type I [Euro 5 ou 6(</w:t>
      </w:r>
      <w:r>
        <w:rPr>
          <w:noProof/>
          <w:vertAlign w:val="superscript"/>
        </w:rPr>
        <w:t>1</w:t>
      </w:r>
      <w:r>
        <w:rPr>
          <w:noProof/>
        </w:rPr>
        <w:t>)] ou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Particules(masse): …</w:t>
      </w:r>
      <w:r>
        <w:rPr>
          <w:noProof/>
        </w:rPr>
        <w:tab/>
        <w:t>Particules (nombre): …</w:t>
      </w:r>
    </w:p>
    <w:p>
      <w:pPr>
        <w:spacing w:after="0"/>
        <w:ind w:left="1560" w:hanging="709"/>
        <w:rPr>
          <w:rFonts w:eastAsia="Arial Unicode MS"/>
          <w:noProof/>
          <w:szCs w:val="24"/>
        </w:rPr>
      </w:pPr>
      <w:r>
        <w:rPr>
          <w:noProof/>
        </w:rPr>
        <w:t>2.1.</w:t>
      </w:r>
      <w:r>
        <w:rPr>
          <w:noProof/>
        </w:rPr>
        <w:tab/>
        <w:t>Procédure d’essai: ETC (le cas échéant)</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Particules: …</w:t>
      </w:r>
    </w:p>
    <w:p>
      <w:pPr>
        <w:tabs>
          <w:tab w:val="left" w:pos="2552"/>
          <w:tab w:val="left" w:pos="3686"/>
          <w:tab w:val="left" w:pos="5103"/>
          <w:tab w:val="left" w:pos="6237"/>
          <w:tab w:val="left" w:pos="7371"/>
        </w:tabs>
        <w:spacing w:after="0"/>
        <w:ind w:left="1560" w:hanging="709"/>
        <w:rPr>
          <w:rFonts w:eastAsia="Arial Unicode MS"/>
          <w:noProof/>
          <w:szCs w:val="24"/>
          <w:lang w:val="it-IT"/>
        </w:rPr>
      </w:pPr>
      <w:r>
        <w:rPr>
          <w:noProof/>
          <w:lang w:val="it-IT"/>
        </w:rPr>
        <w:t>2.2.</w:t>
      </w:r>
      <w:r>
        <w:rPr>
          <w:noProof/>
          <w:lang w:val="it-IT"/>
        </w:rPr>
        <w:tab/>
        <w:t>Procédure d’essai: WHTC (EURO VI)</w:t>
      </w:r>
    </w:p>
    <w:p>
      <w:pPr>
        <w:tabs>
          <w:tab w:val="left" w:pos="2552"/>
          <w:tab w:val="left" w:pos="3686"/>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 Particules (masse): …Particules (nombre): …</w:t>
      </w:r>
    </w:p>
    <w:p>
      <w:pPr>
        <w:spacing w:after="0"/>
        <w:ind w:left="851" w:hanging="840"/>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after="0"/>
        <w:ind w:left="851" w:hanging="840"/>
        <w:rPr>
          <w:rFonts w:eastAsia="Arial Unicode MS"/>
          <w:noProof/>
          <w:szCs w:val="24"/>
        </w:rPr>
      </w:pPr>
      <w:r>
        <w:rPr>
          <w:b/>
          <w:noProof/>
        </w:rPr>
        <w:t>Divers</w:t>
      </w:r>
    </w:p>
    <w:p>
      <w:pPr>
        <w:spacing w:after="0"/>
        <w:ind w:left="851" w:hanging="851"/>
        <w:rPr>
          <w:rFonts w:eastAsia="Arial Unicode MS"/>
          <w:noProof/>
          <w:szCs w:val="24"/>
        </w:rPr>
      </w:pPr>
      <w:r>
        <w:rPr>
          <w:noProof/>
        </w:rPr>
        <w:t>51.</w:t>
      </w:r>
      <w:r>
        <w:rPr>
          <w:noProof/>
        </w:rPr>
        <w:tab/>
        <w:t>Pour les véhicules à usage spécial: désignation conformément à la section 5 de l’annexe II: …</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 DE VÉHICULES M</w:t>
      </w:r>
      <w:r>
        <w:rPr>
          <w:noProof/>
          <w:vertAlign w:val="subscript"/>
        </w:rPr>
        <w:t>3</w:t>
      </w:r>
    </w:p>
    <w:p>
      <w:pPr>
        <w:jc w:val="center"/>
        <w:rPr>
          <w:rFonts w:eastAsia="Arial Unicode MS"/>
          <w:bCs/>
          <w:noProof/>
          <w:szCs w:val="24"/>
        </w:rPr>
      </w:pPr>
      <w:r>
        <w:rPr>
          <w:noProof/>
        </w:rPr>
        <w:t>(véhicules complets et complétés)</w:t>
      </w:r>
    </w:p>
    <w:p>
      <w:pPr>
        <w:jc w:val="left"/>
        <w:rPr>
          <w:rFonts w:eastAsia="Arial Unicode MS"/>
          <w:b/>
          <w:bCs/>
          <w:noProof/>
          <w:szCs w:val="24"/>
        </w:rPr>
      </w:pPr>
      <w:r>
        <w:rPr>
          <w:b/>
          <w:i/>
          <w:noProof/>
        </w:rPr>
        <w:t>Page 2</w:t>
      </w:r>
    </w:p>
    <w:p>
      <w:pPr>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2.</w:t>
      </w:r>
      <w:r>
        <w:rPr>
          <w:noProof/>
        </w:rPr>
        <w:tab/>
        <w:t>Essieux directeurs (nombre, emplacement):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Longueur: … mm</w:t>
      </w:r>
    </w:p>
    <w:p>
      <w:pPr>
        <w:spacing w:after="0"/>
        <w:ind w:left="851" w:hanging="851"/>
        <w:rPr>
          <w:rFonts w:eastAsia="Arial Unicode MS"/>
          <w:noProof/>
          <w:szCs w:val="24"/>
        </w:rPr>
      </w:pPr>
      <w:r>
        <w:rPr>
          <w:noProof/>
        </w:rPr>
        <w:t>6.</w:t>
      </w:r>
      <w:r>
        <w:rPr>
          <w:noProof/>
        </w:rPr>
        <w:tab/>
        <w:t>Largeur: … mm</w:t>
      </w:r>
    </w:p>
    <w:p>
      <w:pPr>
        <w:spacing w:after="0"/>
        <w:ind w:left="851" w:hanging="851"/>
        <w:rPr>
          <w:rFonts w:eastAsia="Arial Unicode MS"/>
          <w:noProof/>
          <w:szCs w:val="24"/>
        </w:rPr>
      </w:pPr>
      <w:r>
        <w:rPr>
          <w:noProof/>
        </w:rPr>
        <w:t>7.</w:t>
      </w:r>
      <w:r>
        <w:rPr>
          <w:noProof/>
        </w:rPr>
        <w:tab/>
        <w:t>Hauteur: … mm</w:t>
      </w:r>
    </w:p>
    <w:p>
      <w:pPr>
        <w:spacing w:after="0"/>
        <w:ind w:left="851" w:hanging="851"/>
        <w:rPr>
          <w:rFonts w:eastAsia="Arial Unicode MS"/>
          <w:noProof/>
          <w:szCs w:val="24"/>
        </w:rPr>
      </w:pPr>
      <w:r>
        <w:rPr>
          <w:noProof/>
        </w:rPr>
        <w:t>9.</w:t>
      </w:r>
      <w:r>
        <w:rPr>
          <w:noProof/>
        </w:rPr>
        <w:tab/>
        <w:t>Distance entre l’extrémité avant du véhicule et le centre du dispositif d’attelage: … mm</w:t>
      </w:r>
    </w:p>
    <w:p>
      <w:pPr>
        <w:spacing w:after="0"/>
        <w:ind w:left="851" w:hanging="851"/>
        <w:rPr>
          <w:rFonts w:eastAsia="Arial Unicode MS"/>
          <w:noProof/>
          <w:szCs w:val="24"/>
        </w:rPr>
      </w:pPr>
      <w:r>
        <w:rPr>
          <w:noProof/>
        </w:rPr>
        <w:t>12.</w:t>
      </w:r>
      <w:r>
        <w:rPr>
          <w:noProof/>
        </w:rPr>
        <w:tab/>
        <w:t>Porte-à-faux arrière: … mm</w:t>
      </w:r>
    </w:p>
    <w:p>
      <w:pPr>
        <w:spacing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13.</w:t>
      </w:r>
      <w:r>
        <w:rPr>
          <w:noProof/>
        </w:rPr>
        <w:tab/>
        <w:t>Masse en ordre de marche: … kg</w:t>
      </w:r>
    </w:p>
    <w:p>
      <w:pPr>
        <w:tabs>
          <w:tab w:val="left" w:pos="2127"/>
          <w:tab w:val="left" w:pos="3402"/>
          <w:tab w:val="left" w:pos="7655"/>
        </w:tabs>
        <w:spacing w:after="0"/>
        <w:ind w:left="851" w:hanging="851"/>
        <w:rPr>
          <w:rFonts w:eastAsia="Arial Unicode MS"/>
          <w:noProof/>
          <w:szCs w:val="24"/>
        </w:rPr>
      </w:pPr>
      <w:r>
        <w:rPr>
          <w:noProof/>
        </w:rPr>
        <w:t>13.1.</w:t>
      </w:r>
      <w:r>
        <w:rPr>
          <w:noProof/>
        </w:rPr>
        <w:tab/>
        <w:t>Répartition de cette masse entre les essieux:</w:t>
      </w:r>
      <w:r>
        <w:rPr>
          <w:noProof/>
        </w:rPr>
        <w:tab/>
      </w:r>
      <w:r>
        <w:rPr>
          <w:noProof/>
        </w:rPr>
        <w:br/>
        <w:t>1. … kg</w:t>
      </w:r>
      <w:r>
        <w:rPr>
          <w:noProof/>
        </w:rPr>
        <w:tab/>
        <w:t>2. … kg</w:t>
      </w:r>
      <w:r>
        <w:rPr>
          <w:noProof/>
        </w:rPr>
        <w:tab/>
        <w:t>3. … kg etc.</w:t>
      </w:r>
    </w:p>
    <w:p>
      <w:pPr>
        <w:spacing w:after="0"/>
        <w:ind w:left="851" w:hanging="851"/>
        <w:rPr>
          <w:rFonts w:eastAsia="Arial Unicode MS"/>
          <w:noProof/>
          <w:szCs w:val="24"/>
        </w:rPr>
      </w:pPr>
      <w:r>
        <w:rPr>
          <w:noProof/>
        </w:rPr>
        <w:t>13.2.</w:t>
      </w:r>
      <w:r>
        <w:rPr>
          <w:noProof/>
        </w:rPr>
        <w:tab/>
        <w:t>Masse réelle du véhicule: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2127"/>
        </w:tabs>
        <w:spacing w:after="0"/>
        <w:ind w:left="851" w:hanging="851"/>
        <w:rPr>
          <w:rFonts w:eastAsia="Arial Unicode MS"/>
          <w:noProof/>
          <w:szCs w:val="24"/>
        </w:rPr>
      </w:pPr>
      <w:r>
        <w:rPr>
          <w:noProof/>
        </w:rPr>
        <w:t>16.2.</w:t>
      </w:r>
      <w:r>
        <w:rPr>
          <w:noProof/>
        </w:rPr>
        <w:tab/>
        <w:t>Masse maximale techniquement admissible sur chaque essieu:</w:t>
      </w:r>
      <w:r>
        <w:rPr>
          <w:noProof/>
        </w:rPr>
        <w:tab/>
      </w:r>
      <w:r>
        <w:rPr>
          <w:noProof/>
        </w:rPr>
        <w:br/>
        <w:t>1. … kg</w:t>
      </w:r>
      <w:r>
        <w:rPr>
          <w:noProof/>
        </w:rPr>
        <w:tab/>
        <w:t>2. … kg</w:t>
      </w:r>
      <w:r>
        <w:rPr>
          <w:noProof/>
        </w:rPr>
        <w:tab/>
        <w:t>3. … kg etc.</w:t>
      </w:r>
    </w:p>
    <w:p>
      <w:pPr>
        <w:tabs>
          <w:tab w:val="left" w:pos="2127"/>
        </w:tabs>
        <w:spacing w:after="0"/>
        <w:ind w:left="851" w:hanging="851"/>
        <w:rPr>
          <w:rFonts w:eastAsia="Arial Unicode MS"/>
          <w:noProof/>
          <w:szCs w:val="24"/>
        </w:rPr>
      </w:pPr>
      <w:r>
        <w:rPr>
          <w:noProof/>
        </w:rPr>
        <w:t>16.3.</w:t>
      </w:r>
      <w:r>
        <w:rPr>
          <w:noProof/>
        </w:rPr>
        <w:tab/>
        <w:t>Masse techniquement admissible sur chaque groupe d’essieux:</w:t>
      </w:r>
      <w:r>
        <w:rPr>
          <w:noProof/>
        </w:rPr>
        <w:tab/>
      </w:r>
      <w:r>
        <w:rPr>
          <w:noProof/>
        </w:rPr>
        <w:br/>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Masse maximale techniquement admissible de l’ensemble: … kg</w:t>
      </w:r>
    </w:p>
    <w:p>
      <w:pPr>
        <w:spacing w:after="0"/>
        <w:ind w:left="851" w:hanging="851"/>
        <w:rPr>
          <w:rFonts w:eastAsia="Arial Unicode MS"/>
          <w:noProof/>
          <w:szCs w:val="24"/>
        </w:rPr>
      </w:pPr>
      <w:r>
        <w:rPr>
          <w:noProof/>
        </w:rPr>
        <w:t>17.</w:t>
      </w:r>
      <w:r>
        <w:rPr>
          <w:noProof/>
        </w:rPr>
        <w:tab/>
        <w:t>Masses maximales admissibles à l’immatriculation/en service prévues pour le trafic national/international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Masse en charge maximale admissible à l’immatriculation/en service prévue: … kg</w:t>
      </w:r>
    </w:p>
    <w:p>
      <w:pPr>
        <w:spacing w:after="0"/>
        <w:ind w:left="851" w:hanging="851"/>
        <w:rPr>
          <w:rFonts w:eastAsia="Arial Unicode MS"/>
          <w:noProof/>
          <w:szCs w:val="24"/>
        </w:rPr>
      </w:pPr>
      <w:r>
        <w:rPr>
          <w:noProof/>
        </w:rPr>
        <w:t>17.2.</w:t>
      </w:r>
      <w:r>
        <w:rPr>
          <w:noProof/>
        </w:rPr>
        <w:tab/>
        <w:t>Masse en charge maximale admissible à l’immatriculation/en service prévue sur chaque essieu:</w:t>
      </w:r>
      <w:r>
        <w:rPr>
          <w:noProof/>
        </w:rPr>
        <w:tab/>
      </w:r>
      <w:r>
        <w:rPr>
          <w:noProof/>
        </w:rPr>
        <w:b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Masse en charge maximale admissible à l’immatriculation/en service prévue sur chaque groupe d’essieux:</w:t>
      </w:r>
      <w:r>
        <w:rPr>
          <w:noProof/>
        </w:rPr>
        <w:tab/>
      </w:r>
      <w:r>
        <w:rPr>
          <w:noProof/>
        </w:rPr>
        <w:b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Masse maximale admissible à l’immatriculation/en service prévue pour l’ensemble: … kg</w:t>
      </w:r>
    </w:p>
    <w:p>
      <w:pPr>
        <w:spacing w:after="0"/>
        <w:ind w:left="851" w:hanging="851"/>
        <w:rPr>
          <w:rFonts w:eastAsia="Arial Unicode MS"/>
          <w:noProof/>
          <w:szCs w:val="24"/>
        </w:rPr>
      </w:pPr>
      <w:r>
        <w:rPr>
          <w:noProof/>
        </w:rPr>
        <w:t>18.</w:t>
      </w:r>
      <w:r>
        <w:rPr>
          <w:noProof/>
        </w:rPr>
        <w:tab/>
        <w:t>Masse tractable maximale techniquement admissible en cas de:</w:t>
      </w:r>
    </w:p>
    <w:p>
      <w:pPr>
        <w:spacing w:after="0"/>
        <w:ind w:left="851" w:hanging="840"/>
        <w:rPr>
          <w:rFonts w:eastAsia="Arial Unicode MS"/>
          <w:noProof/>
          <w:szCs w:val="24"/>
          <w:lang w:val="pt-PT"/>
        </w:rPr>
      </w:pPr>
      <w:r>
        <w:rPr>
          <w:noProof/>
          <w:lang w:val="pt-PT"/>
        </w:rPr>
        <w:t>18.1.</w:t>
      </w:r>
      <w:r>
        <w:rPr>
          <w:noProof/>
          <w:lang w:val="pt-PT"/>
        </w:rPr>
        <w:tab/>
        <w:t>remorque à timon: … kg</w:t>
      </w:r>
    </w:p>
    <w:p>
      <w:pPr>
        <w:spacing w:after="0"/>
        <w:ind w:left="851" w:hanging="840"/>
        <w:rPr>
          <w:rFonts w:eastAsia="Arial Unicode MS"/>
          <w:noProof/>
          <w:szCs w:val="24"/>
          <w:lang w:val="pt-PT"/>
        </w:rPr>
      </w:pPr>
      <w:r>
        <w:rPr>
          <w:noProof/>
          <w:lang w:val="pt-PT"/>
        </w:rPr>
        <w:t>18.3.</w:t>
      </w:r>
      <w:r>
        <w:rPr>
          <w:noProof/>
          <w:lang w:val="pt-PT"/>
        </w:rPr>
        <w:tab/>
        <w:t>remorque à essieu central: … kg</w:t>
      </w:r>
    </w:p>
    <w:p>
      <w:pPr>
        <w:spacing w:after="0"/>
        <w:ind w:left="851" w:hanging="840"/>
        <w:rPr>
          <w:rFonts w:eastAsia="Arial Unicode MS"/>
          <w:noProof/>
          <w:szCs w:val="24"/>
        </w:rPr>
      </w:pPr>
      <w:r>
        <w:rPr>
          <w:noProof/>
        </w:rPr>
        <w:t>18.4.</w:t>
      </w:r>
      <w:r>
        <w:rPr>
          <w:noProof/>
        </w:rPr>
        <w:tab/>
        <w:t>remorque non freinée: … kg</w:t>
      </w:r>
    </w:p>
    <w:p>
      <w:pPr>
        <w:spacing w:after="0"/>
        <w:ind w:left="851" w:hanging="840"/>
        <w:rPr>
          <w:rFonts w:eastAsia="Arial Unicode MS"/>
          <w:noProof/>
          <w:szCs w:val="24"/>
        </w:rPr>
      </w:pPr>
      <w:r>
        <w:rPr>
          <w:noProof/>
        </w:rPr>
        <w:t>19.</w:t>
      </w:r>
      <w:r>
        <w:rPr>
          <w:noProof/>
        </w:rPr>
        <w:tab/>
        <w:t>Masse statique maximale techniquement admissible au point d’attelage: … kg</w:t>
      </w:r>
    </w:p>
    <w:p>
      <w:pPr>
        <w:spacing w:after="0"/>
        <w:ind w:left="851" w:hanging="840"/>
        <w:rPr>
          <w:rFonts w:eastAsia="Arial Unicode MS"/>
          <w:noProof/>
          <w:szCs w:val="24"/>
        </w:rPr>
      </w:pPr>
      <w:r>
        <w:rPr>
          <w:b/>
          <w:noProof/>
        </w:rPr>
        <w:t>Groupe moteur</w:t>
      </w:r>
    </w:p>
    <w:p>
      <w:pPr>
        <w:spacing w:after="0"/>
        <w:ind w:left="851" w:hanging="851"/>
        <w:rPr>
          <w:rFonts w:eastAsia="Arial Unicode MS"/>
          <w:noProof/>
          <w:szCs w:val="24"/>
        </w:rPr>
      </w:pPr>
      <w:r>
        <w:rPr>
          <w:noProof/>
        </w:rPr>
        <w:t>20.</w:t>
      </w:r>
      <w:r>
        <w:rPr>
          <w:noProof/>
        </w:rPr>
        <w:tab/>
        <w:t>Constructeur du moteur: …</w:t>
      </w:r>
    </w:p>
    <w:p>
      <w:pPr>
        <w:spacing w:after="0"/>
        <w:ind w:left="851" w:hanging="851"/>
        <w:rPr>
          <w:rFonts w:eastAsia="Arial Unicode MS"/>
          <w:noProof/>
          <w:szCs w:val="24"/>
        </w:rPr>
      </w:pPr>
      <w:r>
        <w:rPr>
          <w:noProof/>
        </w:rPr>
        <w:t>21.</w:t>
      </w:r>
      <w:r>
        <w:rPr>
          <w:noProof/>
        </w:rPr>
        <w:tab/>
        <w:t>Code du moteur tel que marqué sur le moteur: …</w:t>
      </w:r>
    </w:p>
    <w:p>
      <w:pPr>
        <w:spacing w:after="0"/>
        <w:ind w:left="851" w:hanging="851"/>
        <w:rPr>
          <w:rFonts w:eastAsia="Arial Unicode MS"/>
          <w:noProof/>
          <w:szCs w:val="24"/>
        </w:rPr>
      </w:pPr>
      <w:r>
        <w:rPr>
          <w:noProof/>
        </w:rPr>
        <w:t>22.</w:t>
      </w:r>
      <w:r>
        <w:rPr>
          <w:noProof/>
        </w:rPr>
        <w:tab/>
        <w:t>Principe de fonctionnement: …</w:t>
      </w:r>
    </w:p>
    <w:p>
      <w:pPr>
        <w:spacing w:after="0"/>
        <w:ind w:left="851" w:hanging="851"/>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Nombre et disposition des cylindres: …</w:t>
      </w:r>
    </w:p>
    <w:p>
      <w:pPr>
        <w:spacing w:after="0"/>
        <w:ind w:left="851" w:hanging="851"/>
        <w:rPr>
          <w:rFonts w:eastAsia="Arial Unicode MS"/>
          <w:noProof/>
          <w:szCs w:val="24"/>
        </w:rPr>
      </w:pPr>
      <w:r>
        <w:rPr>
          <w:noProof/>
        </w:rPr>
        <w:t>25.</w:t>
      </w:r>
      <w:r>
        <w:rPr>
          <w:noProof/>
        </w:rPr>
        <w:tab/>
        <w:t>Cylindrée: … cm</w:t>
      </w:r>
      <w:r>
        <w:rPr>
          <w:noProof/>
          <w:vertAlign w:val="superscript"/>
        </w:rPr>
        <w:t>3</w:t>
      </w:r>
    </w:p>
    <w:p>
      <w:pPr>
        <w:spacing w:after="0"/>
        <w:ind w:left="851" w:hanging="851"/>
        <w:jc w:val="left"/>
        <w:rPr>
          <w:rFonts w:eastAsia="Arial Unicode MS"/>
          <w:noProof/>
          <w:szCs w:val="24"/>
        </w:rPr>
      </w:pPr>
      <w:r>
        <w:rPr>
          <w:noProof/>
        </w:rPr>
        <w:t>26.</w:t>
      </w:r>
      <w:r>
        <w:rPr>
          <w:noProof/>
        </w:rPr>
        <w:tab/>
        <w:t>Carburant: gazole/essence/GPL/GNC-biométhane/GNL/éthanol/biogazole/hydrogène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Monocarburant/bicarburant/polycarburant/double carburant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Boîte de vitesses (type): …</w:t>
      </w:r>
    </w:p>
    <w:p>
      <w:pPr>
        <w:spacing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after="0"/>
        <w:ind w:left="851" w:hanging="851"/>
        <w:rPr>
          <w:rFonts w:eastAsia="Arial Unicode MS"/>
          <w:noProof/>
          <w:szCs w:val="24"/>
        </w:rPr>
      </w:pPr>
      <w:r>
        <w:rPr>
          <w:b/>
          <w:noProof/>
        </w:rPr>
        <w:t>Essieux et suspension</w:t>
      </w:r>
    </w:p>
    <w:p>
      <w:pPr>
        <w:spacing w:after="0"/>
        <w:ind w:left="851" w:hanging="851"/>
        <w:rPr>
          <w:rFonts w:eastAsia="Arial Unicode MS"/>
          <w:noProof/>
          <w:szCs w:val="24"/>
        </w:rPr>
      </w:pPr>
      <w:r>
        <w:rPr>
          <w:noProof/>
        </w:rPr>
        <w:t>30.1.</w:t>
      </w:r>
      <w:r>
        <w:rPr>
          <w:noProof/>
        </w:rPr>
        <w:tab/>
        <w:t>Voie de chaque essieu directeur: … mm</w:t>
      </w:r>
    </w:p>
    <w:p>
      <w:pPr>
        <w:spacing w:after="0"/>
        <w:ind w:left="851" w:hanging="851"/>
        <w:rPr>
          <w:rFonts w:eastAsia="Arial Unicode MS"/>
          <w:noProof/>
          <w:szCs w:val="24"/>
        </w:rPr>
      </w:pPr>
      <w:r>
        <w:rPr>
          <w:noProof/>
        </w:rPr>
        <w:t>30.2.</w:t>
      </w:r>
      <w:r>
        <w:rPr>
          <w:noProof/>
        </w:rPr>
        <w:tab/>
        <w:t>Voie de tous les autres essieux: … mm</w:t>
      </w:r>
    </w:p>
    <w:p>
      <w:pPr>
        <w:spacing w:after="0"/>
        <w:ind w:left="851" w:hanging="851"/>
        <w:rPr>
          <w:rFonts w:eastAsia="Arial Unicode MS"/>
          <w:noProof/>
          <w:szCs w:val="24"/>
        </w:rPr>
      </w:pPr>
      <w:r>
        <w:rPr>
          <w:noProof/>
        </w:rPr>
        <w:t>32.</w:t>
      </w:r>
      <w:r>
        <w:rPr>
          <w:noProof/>
        </w:rPr>
        <w:tab/>
        <w:t>Emplacement du ou des essieux chargeables: …</w:t>
      </w:r>
    </w:p>
    <w:p>
      <w:pPr>
        <w:spacing w:after="0"/>
        <w:ind w:left="851" w:hanging="851"/>
        <w:rPr>
          <w:rFonts w:eastAsia="Arial Unicode MS"/>
          <w:noProof/>
          <w:szCs w:val="24"/>
        </w:rPr>
      </w:pPr>
      <w:r>
        <w:rPr>
          <w:noProof/>
        </w:rPr>
        <w:t>33.</w:t>
      </w:r>
      <w:r>
        <w:rPr>
          <w:noProof/>
        </w:rPr>
        <w:tab/>
        <w:t>Essieu(x) moteur(s) équipé(s) d’une suspension pneumatique ou équivalente: oui/non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Combinaison pneumatiques/roues (</w:t>
      </w:r>
      <w:r>
        <w:rPr>
          <w:noProof/>
          <w:vertAlign w:val="superscript"/>
        </w:rPr>
        <w:t>h</w:t>
      </w:r>
      <w:r>
        <w:rPr>
          <w:noProof/>
        </w:rPr>
        <w:t>): …</w:t>
      </w:r>
    </w:p>
    <w:p>
      <w:pPr>
        <w:spacing w:after="0"/>
        <w:ind w:left="851" w:hanging="851"/>
        <w:rPr>
          <w:rFonts w:eastAsia="Arial Unicode MS"/>
          <w:noProof/>
          <w:szCs w:val="24"/>
        </w:rPr>
      </w:pPr>
      <w:r>
        <w:rPr>
          <w:b/>
          <w:noProof/>
        </w:rPr>
        <w:t>Freins</w:t>
      </w:r>
    </w:p>
    <w:p>
      <w:pPr>
        <w:spacing w:after="0"/>
        <w:ind w:left="851" w:hanging="851"/>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 dans la conduite d’alimentation du système de freinage de la remorque: … bar</w:t>
      </w:r>
    </w:p>
    <w:p>
      <w:pPr>
        <w:spacing w:after="0"/>
        <w:ind w:left="851" w:hanging="851"/>
        <w:rPr>
          <w:rFonts w:eastAsia="Arial Unicode MS"/>
          <w:noProof/>
          <w:szCs w:val="24"/>
        </w:rPr>
      </w:pPr>
      <w:r>
        <w:rPr>
          <w:b/>
          <w:noProof/>
        </w:rPr>
        <w:t>Carrosserie</w:t>
      </w:r>
    </w:p>
    <w:p>
      <w:pPr>
        <w:spacing w:after="0"/>
        <w:ind w:left="851" w:hanging="851"/>
        <w:rPr>
          <w:rFonts w:eastAsia="Arial Unicode MS"/>
          <w:noProof/>
          <w:szCs w:val="24"/>
        </w:rPr>
      </w:pPr>
      <w:r>
        <w:rPr>
          <w:noProof/>
        </w:rPr>
        <w:t>38.</w:t>
      </w:r>
      <w:r>
        <w:rPr>
          <w:noProof/>
        </w:rPr>
        <w:tab/>
        <w:t>Code de la carrosserie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Classe de véhicule: classe I/classe II/classe III/classe A/classe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Nombre et configuration des portes: …</w:t>
      </w:r>
    </w:p>
    <w:p>
      <w:pPr>
        <w:spacing w:after="0"/>
        <w:ind w:left="851" w:hanging="851"/>
        <w:rPr>
          <w:rFonts w:eastAsia="Arial Unicode MS"/>
          <w:noProof/>
          <w:szCs w:val="24"/>
        </w:rPr>
      </w:pPr>
      <w:r>
        <w:rPr>
          <w:noProof/>
        </w:rPr>
        <w:t>42.</w:t>
      </w:r>
      <w:r>
        <w:rPr>
          <w:noProof/>
        </w:rPr>
        <w:tab/>
        <w:t>Nombre de places assises (y compris celle du conducteur)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Place(s) assise(s) conçue(s) pour être utilisée(s) uniquement lorsque le véhicule est à l’arrêt: …</w:t>
      </w:r>
    </w:p>
    <w:p>
      <w:pPr>
        <w:spacing w:after="0"/>
        <w:ind w:left="851" w:hanging="851"/>
        <w:rPr>
          <w:rFonts w:eastAsia="Arial Unicode MS"/>
          <w:noProof/>
          <w:szCs w:val="24"/>
        </w:rPr>
      </w:pPr>
      <w:r>
        <w:rPr>
          <w:noProof/>
        </w:rPr>
        <w:t>42.2.</w:t>
      </w:r>
      <w:r>
        <w:rPr>
          <w:noProof/>
        </w:rPr>
        <w:tab/>
        <w:t>Nombre de places de passagers assis: … (étage inférieur) … (étage supérieur) (y compris le conducteur)</w:t>
      </w:r>
    </w:p>
    <w:p>
      <w:pPr>
        <w:spacing w:after="0"/>
        <w:ind w:left="851" w:hanging="851"/>
        <w:rPr>
          <w:rFonts w:eastAsia="Arial Unicode MS"/>
          <w:noProof/>
          <w:szCs w:val="24"/>
        </w:rPr>
      </w:pPr>
      <w:r>
        <w:rPr>
          <w:noProof/>
        </w:rPr>
        <w:t>42.3.</w:t>
      </w:r>
      <w:r>
        <w:rPr>
          <w:noProof/>
        </w:rPr>
        <w:tab/>
        <w:t>Nombre de places accessibles à des utilisateurs en fauteuil roulant: …</w:t>
      </w:r>
    </w:p>
    <w:p>
      <w:pPr>
        <w:spacing w:after="0"/>
        <w:ind w:left="851" w:hanging="851"/>
        <w:rPr>
          <w:rFonts w:eastAsia="Arial Unicode MS"/>
          <w:noProof/>
          <w:szCs w:val="24"/>
        </w:rPr>
      </w:pPr>
      <w:r>
        <w:rPr>
          <w:noProof/>
        </w:rPr>
        <w:t>43.</w:t>
      </w:r>
      <w:r>
        <w:rPr>
          <w:noProof/>
        </w:rPr>
        <w:tab/>
        <w:t>Nombre de places debout: …</w:t>
      </w:r>
    </w:p>
    <w:p>
      <w:pPr>
        <w:spacing w:after="0"/>
        <w:ind w:left="851" w:hanging="851"/>
        <w:rPr>
          <w:rFonts w:eastAsia="Arial Unicode MS"/>
          <w:noProof/>
          <w:szCs w:val="24"/>
        </w:rPr>
      </w:pPr>
      <w:r>
        <w:rPr>
          <w:b/>
          <w:noProof/>
        </w:rPr>
        <w:t>Dispositif d’attelage</w:t>
      </w:r>
    </w:p>
    <w:p>
      <w:pPr>
        <w:spacing w:after="0"/>
        <w:ind w:left="851" w:hanging="851"/>
        <w:rPr>
          <w:rFonts w:eastAsia="Arial Unicode MS"/>
          <w:noProof/>
          <w:szCs w:val="24"/>
        </w:rPr>
      </w:pPr>
      <w:r>
        <w:rPr>
          <w:noProof/>
        </w:rPr>
        <w:t>44.</w:t>
      </w:r>
      <w:r>
        <w:rPr>
          <w:noProof/>
        </w:rPr>
        <w:tab/>
        <w:t>Numéro de réception ou marque de réception du dispositif d’attelage (le cas échéant): …</w:t>
      </w:r>
    </w:p>
    <w:p>
      <w:pPr>
        <w:spacing w:after="0"/>
        <w:ind w:left="851" w:hanging="851"/>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after="0"/>
        <w:ind w:left="851" w:hanging="851"/>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spacing w:before="100" w:beforeAutospacing="1" w:after="100" w:afterAutospacing="1"/>
        <w:ind w:left="851"/>
        <w:rPr>
          <w:rFonts w:eastAsia="Arial Unicode MS"/>
          <w:noProof/>
          <w:szCs w:val="24"/>
        </w:rPr>
      </w:pPr>
      <w:r>
        <w:rPr>
          <w:noProof/>
        </w:rPr>
        <w:t>À l’arrêt: … dB(A) au régime moteur: … min</w:t>
      </w:r>
      <w:r>
        <w:rPr>
          <w:noProof/>
          <w:vertAlign w:val="superscript"/>
        </w:rPr>
        <w:t>-1</w:t>
      </w:r>
    </w:p>
    <w:p>
      <w:pPr>
        <w:spacing w:before="100" w:beforeAutospacing="1" w:after="100" w:afterAutospacing="1"/>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ind w:left="851"/>
        <w:rPr>
          <w:rFonts w:eastAsia="Arial Unicode MS"/>
          <w:noProof/>
          <w:szCs w:val="24"/>
        </w:rPr>
      </w:pPr>
      <w:r>
        <w:rPr>
          <w:noProof/>
        </w:rPr>
        <w:t>Numéro de l’acte réglementaire de base et du dernier acte réglementaire modificatif: …</w:t>
      </w:r>
    </w:p>
    <w:p>
      <w:pPr>
        <w:spacing w:after="0"/>
        <w:ind w:left="1276" w:hanging="426"/>
        <w:rPr>
          <w:rFonts w:eastAsia="Arial Unicode MS"/>
          <w:noProof/>
          <w:szCs w:val="24"/>
        </w:rPr>
      </w:pPr>
      <w:r>
        <w:rPr>
          <w:noProof/>
        </w:rPr>
        <w:t>1.1.</w:t>
      </w:r>
      <w:r>
        <w:rPr>
          <w:noProof/>
        </w:rPr>
        <w:tab/>
        <w:t xml:space="preserve">Procédure d’essai: ESC </w:t>
      </w:r>
    </w:p>
    <w:p>
      <w:pPr>
        <w:tabs>
          <w:tab w:val="left" w:pos="2268"/>
          <w:tab w:val="left" w:pos="3261"/>
          <w:tab w:val="left" w:pos="4395"/>
          <w:tab w:val="left" w:pos="5954"/>
        </w:tabs>
        <w:spacing w:after="0"/>
        <w:ind w:left="1276"/>
        <w:jc w:val="left"/>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Particules: ...</w:t>
      </w:r>
      <w:r>
        <w:rPr>
          <w:noProof/>
        </w:rPr>
        <w:br/>
        <w:t>Opacité des fumées (ELR):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Procédure d’essai: WHSC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Particules (masse): …</w:t>
      </w:r>
      <w:r>
        <w:rPr>
          <w:noProof/>
        </w:rPr>
        <w:tab/>
        <w:t>Particules (nombre):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2.1.</w:t>
      </w:r>
      <w:r>
        <w:rPr>
          <w:noProof/>
        </w:rPr>
        <w:tab/>
        <w:t>Procédure d’essai: ETC (le cas échéant)</w:t>
      </w:r>
    </w:p>
    <w:p>
      <w:pPr>
        <w:tabs>
          <w:tab w:val="left" w:pos="2268"/>
          <w:tab w:val="left" w:pos="3402"/>
          <w:tab w:val="left" w:pos="4820"/>
          <w:tab w:val="left" w:pos="5954"/>
          <w:tab w:val="left" w:pos="6946"/>
        </w:tabs>
        <w:spacing w:after="0"/>
        <w:ind w:left="1276"/>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rPr>
        <w:t>Particules: …</w:t>
      </w:r>
    </w:p>
    <w:p>
      <w:pPr>
        <w:tabs>
          <w:tab w:val="left" w:pos="2268"/>
          <w:tab w:val="left" w:pos="3402"/>
          <w:tab w:val="left" w:pos="4820"/>
          <w:tab w:val="left" w:pos="5954"/>
          <w:tab w:val="left" w:pos="6946"/>
        </w:tabs>
        <w:spacing w:after="0"/>
        <w:ind w:left="1276" w:hanging="425"/>
        <w:rPr>
          <w:rFonts w:eastAsia="Arial Unicode MS"/>
          <w:noProof/>
          <w:szCs w:val="24"/>
          <w:lang w:val="it-IT"/>
        </w:rPr>
      </w:pPr>
      <w:r>
        <w:rPr>
          <w:noProof/>
          <w:lang w:val="it-IT"/>
        </w:rPr>
        <w:t>2.2.</w:t>
      </w:r>
      <w:r>
        <w:rPr>
          <w:noProof/>
          <w:lang w:val="it-IT"/>
        </w:rPr>
        <w:tab/>
        <w:t>Procédure d’essai: WHTC (EURO VI)</w:t>
      </w:r>
    </w:p>
    <w:p>
      <w:pPr>
        <w:tabs>
          <w:tab w:val="left" w:pos="2268"/>
          <w:tab w:val="left" w:pos="3402"/>
          <w:tab w:val="left" w:pos="4820"/>
          <w:tab w:val="left" w:pos="5954"/>
          <w:tab w:val="left" w:pos="6946"/>
        </w:tabs>
        <w:spacing w:after="0"/>
        <w:ind w:left="1276"/>
        <w:jc w:val="left"/>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rPr>
        <w:t>NH</w:t>
      </w:r>
      <w:r>
        <w:rPr>
          <w:noProof/>
          <w:vertAlign w:val="subscript"/>
        </w:rPr>
        <w:t>3</w:t>
      </w:r>
      <w:r>
        <w:rPr>
          <w:noProof/>
        </w:rPr>
        <w:t xml:space="preserve">: … </w:t>
      </w:r>
      <w:r>
        <w:rPr>
          <w:noProof/>
        </w:rPr>
        <w:br/>
        <w:t>Particules (masse): …Particules (nombre): …</w:t>
      </w:r>
    </w:p>
    <w:p>
      <w:pPr>
        <w:spacing w:after="0"/>
        <w:ind w:left="851" w:hanging="851"/>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after="0"/>
        <w:ind w:left="851" w:hanging="851"/>
        <w:rPr>
          <w:rFonts w:eastAsia="Arial Unicode MS"/>
          <w:noProof/>
          <w:szCs w:val="24"/>
        </w:rPr>
      </w:pPr>
      <w:r>
        <w:rPr>
          <w:b/>
          <w:noProof/>
        </w:rPr>
        <w:t>Divers</w:t>
      </w:r>
    </w:p>
    <w:p>
      <w:pPr>
        <w:spacing w:after="0"/>
        <w:ind w:left="851" w:hanging="851"/>
        <w:rPr>
          <w:rFonts w:eastAsia="Arial Unicode MS"/>
          <w:noProof/>
          <w:szCs w:val="24"/>
        </w:rPr>
      </w:pPr>
      <w:r>
        <w:rPr>
          <w:noProof/>
        </w:rPr>
        <w:t>51.</w:t>
      </w:r>
      <w:r>
        <w:rPr>
          <w:noProof/>
        </w:rPr>
        <w:tab/>
        <w:t>Pour les véhicules à usage spécial: désignation conformément à la section 5 de l’annexe II: …</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 DE VÉHICULES N</w:t>
      </w:r>
      <w:r>
        <w:rPr>
          <w:noProof/>
          <w:vertAlign w:val="subscript"/>
        </w:rPr>
        <w:t>1</w:t>
      </w:r>
    </w:p>
    <w:p>
      <w:pPr>
        <w:jc w:val="center"/>
        <w:rPr>
          <w:rFonts w:eastAsia="Arial Unicode MS"/>
          <w:bCs/>
          <w:noProof/>
          <w:szCs w:val="24"/>
        </w:rPr>
      </w:pPr>
      <w:r>
        <w:rPr>
          <w:noProof/>
        </w:rPr>
        <w:t>(véhicules complets et complétés)</w:t>
      </w:r>
    </w:p>
    <w:p>
      <w:pPr>
        <w:jc w:val="left"/>
        <w:rPr>
          <w:rFonts w:eastAsia="Arial Unicode MS"/>
          <w:noProof/>
          <w:szCs w:val="24"/>
        </w:rPr>
      </w:pPr>
      <w:r>
        <w:rPr>
          <w:b/>
          <w:i/>
          <w:noProof/>
        </w:rPr>
        <w:t>Page 2</w:t>
      </w:r>
    </w:p>
    <w:p>
      <w:pPr>
        <w:spacing w:before="240" w:after="0"/>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Longueur: … mm</w:t>
      </w:r>
    </w:p>
    <w:p>
      <w:pPr>
        <w:spacing w:after="0"/>
        <w:ind w:left="851" w:hanging="851"/>
        <w:rPr>
          <w:rFonts w:eastAsia="Arial Unicode MS"/>
          <w:noProof/>
          <w:szCs w:val="24"/>
        </w:rPr>
      </w:pPr>
      <w:r>
        <w:rPr>
          <w:noProof/>
        </w:rPr>
        <w:t>6.</w:t>
      </w:r>
      <w:r>
        <w:rPr>
          <w:noProof/>
        </w:rPr>
        <w:tab/>
        <w:t>Largeur: … mm</w:t>
      </w:r>
    </w:p>
    <w:p>
      <w:pPr>
        <w:spacing w:after="0"/>
        <w:ind w:left="851" w:hanging="851"/>
        <w:rPr>
          <w:rFonts w:eastAsia="Arial Unicode MS"/>
          <w:noProof/>
          <w:szCs w:val="24"/>
        </w:rPr>
      </w:pPr>
      <w:r>
        <w:rPr>
          <w:noProof/>
        </w:rPr>
        <w:t>7.</w:t>
      </w:r>
      <w:r>
        <w:rPr>
          <w:noProof/>
        </w:rPr>
        <w:tab/>
        <w:t>Hauteur: … mm</w:t>
      </w:r>
    </w:p>
    <w:p>
      <w:pPr>
        <w:spacing w:after="0"/>
        <w:ind w:left="851" w:hanging="851"/>
        <w:rPr>
          <w:rFonts w:eastAsia="Arial Unicode MS"/>
          <w:noProof/>
          <w:szCs w:val="24"/>
        </w:rPr>
      </w:pPr>
      <w:r>
        <w:rPr>
          <w:noProof/>
        </w:rPr>
        <w:t>8.</w:t>
      </w:r>
      <w:r>
        <w:rPr>
          <w:noProof/>
        </w:rPr>
        <w:tab/>
        <w:t>Avancée de la sellette d’attelage pour véhicule tracteur de semi-remorque (maximum et minimum): … mm</w:t>
      </w:r>
    </w:p>
    <w:p>
      <w:pPr>
        <w:spacing w:after="0"/>
        <w:ind w:left="851" w:hanging="851"/>
        <w:rPr>
          <w:rFonts w:eastAsia="Arial Unicode MS"/>
          <w:noProof/>
          <w:szCs w:val="24"/>
        </w:rPr>
      </w:pPr>
      <w:r>
        <w:rPr>
          <w:noProof/>
        </w:rPr>
        <w:t>9.</w:t>
      </w:r>
      <w:r>
        <w:rPr>
          <w:noProof/>
        </w:rPr>
        <w:tab/>
        <w:t>Distance entre l’extrémité avant du véhicule et le centre du dispositif d’attelage: … mm</w:t>
      </w:r>
    </w:p>
    <w:p>
      <w:pPr>
        <w:spacing w:after="0"/>
        <w:ind w:left="851" w:hanging="851"/>
        <w:rPr>
          <w:rFonts w:eastAsia="Arial Unicode MS"/>
          <w:noProof/>
          <w:szCs w:val="24"/>
        </w:rPr>
      </w:pPr>
      <w:r>
        <w:rPr>
          <w:noProof/>
        </w:rPr>
        <w:t>11.</w:t>
      </w:r>
      <w:r>
        <w:rPr>
          <w:noProof/>
        </w:rPr>
        <w:tab/>
        <w:t>Longueur de la zone de chargement: … mm</w:t>
      </w:r>
    </w:p>
    <w:p>
      <w:pPr>
        <w:spacing w:before="240" w:after="0"/>
        <w:ind w:left="851" w:hanging="851"/>
        <w:rPr>
          <w:rFonts w:eastAsia="Arial Unicode MS"/>
          <w:b/>
          <w:bCs/>
          <w:noProof/>
          <w:szCs w:val="24"/>
        </w:rPr>
      </w:pPr>
      <w:r>
        <w:rPr>
          <w:b/>
          <w:noProof/>
        </w:rPr>
        <w:t>Masses</w:t>
      </w:r>
    </w:p>
    <w:p>
      <w:pPr>
        <w:spacing w:after="0"/>
        <w:ind w:left="851" w:hanging="851"/>
        <w:rPr>
          <w:rFonts w:eastAsia="Arial Unicode MS"/>
          <w:noProof/>
          <w:szCs w:val="24"/>
        </w:rPr>
      </w:pPr>
      <w:r>
        <w:rPr>
          <w:noProof/>
        </w:rPr>
        <w:t>13.</w:t>
      </w:r>
      <w:r>
        <w:rPr>
          <w:noProof/>
        </w:rPr>
        <w:tab/>
        <w:t>Masse en ordre de marche: … kg</w:t>
      </w:r>
    </w:p>
    <w:p>
      <w:pPr>
        <w:tabs>
          <w:tab w:val="left" w:pos="5387"/>
          <w:tab w:val="left" w:pos="6521"/>
          <w:tab w:val="left" w:pos="7655"/>
        </w:tabs>
        <w:spacing w:after="0"/>
        <w:ind w:left="851" w:hanging="851"/>
        <w:rPr>
          <w:rFonts w:eastAsia="Arial Unicode MS"/>
          <w:noProof/>
          <w:szCs w:val="24"/>
        </w:rPr>
      </w:pPr>
      <w:r>
        <w:rPr>
          <w:noProof/>
        </w:rPr>
        <w:t>13.1.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Masse réelle du véhicule: … kg</w:t>
      </w:r>
    </w:p>
    <w:p>
      <w:pPr>
        <w:spacing w:after="0"/>
        <w:ind w:left="851" w:hanging="851"/>
        <w:rPr>
          <w:rFonts w:eastAsia="Arial Unicode MS"/>
          <w:noProof/>
          <w:szCs w:val="24"/>
        </w:rPr>
      </w:pPr>
      <w:r>
        <w:rPr>
          <w:noProof/>
        </w:rPr>
        <w:t>14.</w:t>
      </w:r>
      <w:r>
        <w:rPr>
          <w:noProof/>
        </w:rPr>
        <w:tab/>
        <w:t>Masse en ordre de marche du véhicule de base: …kg (</w:t>
      </w:r>
      <w:r>
        <w:rPr>
          <w:noProof/>
          <w:vertAlign w:val="superscript"/>
        </w:rPr>
        <w:t>1</w:t>
      </w:r>
      <w:r>
        <w:rPr>
          <w:noProof/>
        </w:rPr>
        <w:t>)(</w:t>
      </w:r>
      <w:r>
        <w:rPr>
          <w:noProof/>
          <w:vertAlign w:val="superscript"/>
        </w:rPr>
        <w:t>q</w:t>
      </w:r>
      <w:r>
        <w:rPr>
          <w:noProof/>
        </w:rPr>
        <w:t>)</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2127"/>
          <w:tab w:val="left" w:pos="3544"/>
        </w:tabs>
        <w:spacing w:after="0"/>
        <w:ind w:left="851" w:hanging="851"/>
        <w:rPr>
          <w:rFonts w:eastAsia="Arial Unicode MS"/>
          <w:noProof/>
          <w:szCs w:val="24"/>
        </w:rPr>
      </w:pPr>
      <w:r>
        <w:rPr>
          <w:noProof/>
        </w:rPr>
        <w:t>16.2.</w:t>
      </w:r>
      <w:r>
        <w:rPr>
          <w:noProof/>
        </w:rPr>
        <w:tab/>
        <w:t>Masse techniquement admissible sur chaque essieu:</w:t>
      </w:r>
      <w:r>
        <w:rPr>
          <w:noProof/>
        </w:rPr>
        <w:tab/>
      </w:r>
      <w:r>
        <w:rPr>
          <w:noProof/>
        </w:rPr>
        <w:br/>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Masse maximale techniquement admissible de l’ensemble: … kg</w:t>
      </w:r>
    </w:p>
    <w:p>
      <w:pPr>
        <w:spacing w:after="0"/>
        <w:ind w:left="851" w:hanging="851"/>
        <w:rPr>
          <w:rFonts w:eastAsia="Arial Unicode MS"/>
          <w:noProof/>
          <w:szCs w:val="24"/>
        </w:rPr>
      </w:pPr>
      <w:r>
        <w:rPr>
          <w:noProof/>
        </w:rPr>
        <w:t>18.</w:t>
      </w:r>
      <w:r>
        <w:rPr>
          <w:noProof/>
        </w:rPr>
        <w:tab/>
        <w:t>Masse tractable maximale techniquement admissible dans le cas:</w:t>
      </w:r>
    </w:p>
    <w:p>
      <w:pPr>
        <w:spacing w:after="0"/>
        <w:ind w:left="851" w:hanging="851"/>
        <w:rPr>
          <w:rFonts w:eastAsia="Arial Unicode MS"/>
          <w:noProof/>
          <w:szCs w:val="24"/>
        </w:rPr>
      </w:pPr>
      <w:r>
        <w:rPr>
          <w:noProof/>
        </w:rPr>
        <w:t>18.1.</w:t>
      </w:r>
      <w:r>
        <w:rPr>
          <w:noProof/>
        </w:rPr>
        <w:tab/>
        <w:t>d’une remorque à timon: … kg</w:t>
      </w:r>
    </w:p>
    <w:p>
      <w:pPr>
        <w:spacing w:after="0"/>
        <w:ind w:left="851" w:hanging="851"/>
        <w:rPr>
          <w:rFonts w:eastAsia="Arial Unicode MS"/>
          <w:noProof/>
          <w:szCs w:val="24"/>
        </w:rPr>
      </w:pPr>
      <w:r>
        <w:rPr>
          <w:noProof/>
        </w:rPr>
        <w:t>18.2.</w:t>
      </w:r>
      <w:r>
        <w:rPr>
          <w:noProof/>
        </w:rPr>
        <w:tab/>
        <w:t>d’une semi-remorque: … kg</w:t>
      </w:r>
    </w:p>
    <w:p>
      <w:pPr>
        <w:spacing w:after="0"/>
        <w:ind w:left="851" w:hanging="840"/>
        <w:rPr>
          <w:rFonts w:eastAsia="Arial Unicode MS"/>
          <w:noProof/>
          <w:szCs w:val="24"/>
        </w:rPr>
      </w:pPr>
      <w:r>
        <w:rPr>
          <w:noProof/>
        </w:rPr>
        <w:t>18.3.</w:t>
      </w:r>
      <w:r>
        <w:rPr>
          <w:noProof/>
        </w:rPr>
        <w:tab/>
        <w:t>d’une remorque à essieu central: … kg</w:t>
      </w:r>
    </w:p>
    <w:p>
      <w:pPr>
        <w:spacing w:after="0"/>
        <w:ind w:left="851" w:hanging="840"/>
        <w:rPr>
          <w:rFonts w:eastAsia="Arial Unicode MS"/>
          <w:noProof/>
          <w:szCs w:val="24"/>
        </w:rPr>
      </w:pPr>
      <w:r>
        <w:rPr>
          <w:noProof/>
        </w:rPr>
        <w:t>18.4.</w:t>
      </w:r>
      <w:r>
        <w:rPr>
          <w:noProof/>
        </w:rPr>
        <w:tab/>
        <w:t>d’une remorque non freinée: … kg</w:t>
      </w:r>
    </w:p>
    <w:p>
      <w:pPr>
        <w:spacing w:after="0"/>
        <w:ind w:left="851" w:hanging="840"/>
        <w:rPr>
          <w:rFonts w:eastAsia="Arial Unicode MS"/>
          <w:noProof/>
          <w:szCs w:val="24"/>
        </w:rPr>
      </w:pPr>
      <w:r>
        <w:rPr>
          <w:noProof/>
        </w:rPr>
        <w:t>19.</w:t>
      </w:r>
      <w:r>
        <w:rPr>
          <w:noProof/>
        </w:rPr>
        <w:tab/>
        <w:t>Masse statique maximale techniquement admissible au point d’attelage: … kg</w:t>
      </w:r>
    </w:p>
    <w:p>
      <w:pPr>
        <w:spacing w:after="0"/>
        <w:ind w:left="851" w:hanging="840"/>
        <w:rPr>
          <w:rFonts w:eastAsia="Arial Unicode MS"/>
          <w:noProof/>
          <w:szCs w:val="24"/>
        </w:rPr>
      </w:pPr>
      <w:r>
        <w:rPr>
          <w:b/>
          <w:noProof/>
        </w:rPr>
        <w:t>Groupe moteur</w:t>
      </w:r>
    </w:p>
    <w:p>
      <w:pPr>
        <w:spacing w:after="0"/>
        <w:ind w:left="851" w:hanging="840"/>
        <w:rPr>
          <w:rFonts w:eastAsia="Arial Unicode MS"/>
          <w:noProof/>
          <w:szCs w:val="24"/>
        </w:rPr>
      </w:pPr>
      <w:r>
        <w:rPr>
          <w:noProof/>
        </w:rPr>
        <w:t>20.</w:t>
      </w:r>
      <w:r>
        <w:rPr>
          <w:noProof/>
        </w:rPr>
        <w:tab/>
        <w:t>Constructeur du moteur: …</w:t>
      </w:r>
    </w:p>
    <w:p>
      <w:pPr>
        <w:spacing w:after="0"/>
        <w:ind w:left="851" w:hanging="840"/>
        <w:rPr>
          <w:rFonts w:eastAsia="Arial Unicode MS"/>
          <w:noProof/>
          <w:szCs w:val="24"/>
        </w:rPr>
      </w:pPr>
      <w:r>
        <w:rPr>
          <w:noProof/>
        </w:rPr>
        <w:t>21.</w:t>
      </w:r>
      <w:r>
        <w:rPr>
          <w:noProof/>
        </w:rPr>
        <w:tab/>
        <w:t>Code du moteur tel que marqué sur le moteur: …</w:t>
      </w:r>
    </w:p>
    <w:p>
      <w:pPr>
        <w:spacing w:after="0"/>
        <w:ind w:left="851" w:hanging="840"/>
        <w:rPr>
          <w:rFonts w:eastAsia="Arial Unicode MS"/>
          <w:noProof/>
          <w:szCs w:val="24"/>
        </w:rPr>
      </w:pPr>
      <w:r>
        <w:rPr>
          <w:noProof/>
        </w:rPr>
        <w:t>22.</w:t>
      </w:r>
      <w:r>
        <w:rPr>
          <w:noProof/>
        </w:rPr>
        <w:tab/>
        <w:t>Principe de fonctionnement: …</w:t>
      </w:r>
    </w:p>
    <w:p>
      <w:pPr>
        <w:spacing w:after="0"/>
        <w:ind w:left="851" w:hanging="840"/>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Nombre et disposition des cylindres: …</w:t>
      </w:r>
    </w:p>
    <w:p>
      <w:pPr>
        <w:spacing w:after="0"/>
        <w:ind w:left="851" w:hanging="840"/>
        <w:rPr>
          <w:rFonts w:eastAsia="Arial Unicode MS"/>
          <w:noProof/>
          <w:szCs w:val="24"/>
        </w:rPr>
      </w:pPr>
      <w:r>
        <w:rPr>
          <w:noProof/>
        </w:rPr>
        <w:t>25.</w:t>
      </w:r>
      <w:r>
        <w:rPr>
          <w:noProof/>
        </w:rPr>
        <w:tab/>
        <w:t>Cylindrée: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Gazole/essence/GPL/GNC-biométhane/GNL/éthanol/biogazole/hydrogène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Monocarburant/bicarburant/polycarburant/double carburant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Boîte de vitesses (type): …</w:t>
      </w:r>
    </w:p>
    <w:p>
      <w:pPr>
        <w:spacing w:before="240" w:after="0"/>
        <w:ind w:left="850" w:hanging="839"/>
        <w:rPr>
          <w:rFonts w:eastAsia="Arial Unicode MS"/>
          <w:noProof/>
          <w:szCs w:val="24"/>
        </w:rPr>
      </w:pPr>
      <w:r>
        <w:rPr>
          <w:b/>
          <w:noProof/>
        </w:rPr>
        <w:t>Vitesse maximale</w:t>
      </w:r>
    </w:p>
    <w:p>
      <w:pPr>
        <w:spacing w:after="0"/>
        <w:ind w:left="851" w:hanging="840"/>
        <w:rPr>
          <w:rFonts w:eastAsia="Arial Unicode MS"/>
          <w:noProof/>
          <w:szCs w:val="24"/>
        </w:rPr>
      </w:pPr>
      <w:r>
        <w:rPr>
          <w:noProof/>
        </w:rPr>
        <w:t>29.</w:t>
      </w:r>
      <w:r>
        <w:rPr>
          <w:noProof/>
        </w:rPr>
        <w:tab/>
        <w:t>Vitesse maximale: … km/h</w:t>
      </w:r>
    </w:p>
    <w:p>
      <w:pPr>
        <w:spacing w:before="240" w:after="0"/>
        <w:ind w:left="850" w:hanging="839"/>
        <w:rPr>
          <w:rFonts w:eastAsia="Arial Unicode MS"/>
          <w:b/>
          <w:bCs/>
          <w:noProof/>
          <w:szCs w:val="24"/>
        </w:rPr>
      </w:pPr>
      <w:r>
        <w:rPr>
          <w:b/>
          <w:noProof/>
        </w:rPr>
        <w:t>Essieux et suspension</w:t>
      </w:r>
    </w:p>
    <w:p>
      <w:pPr>
        <w:spacing w:after="0"/>
        <w:ind w:left="851" w:hanging="840"/>
        <w:rPr>
          <w:rFonts w:eastAsia="Arial Unicode MS"/>
          <w:noProof/>
          <w:szCs w:val="24"/>
        </w:rPr>
      </w:pPr>
      <w:r>
        <w:rPr>
          <w:noProof/>
        </w:rPr>
        <w:t>30.</w:t>
      </w:r>
      <w:r>
        <w:rPr>
          <w:noProof/>
        </w:rPr>
        <w:tab/>
        <w:t>Voie des essieux:</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0" w:hanging="839"/>
        <w:rPr>
          <w:rFonts w:eastAsia="Arial Unicode MS"/>
          <w:b/>
          <w:bCs/>
          <w:noProof/>
          <w:szCs w:val="24"/>
        </w:rPr>
      </w:pPr>
      <w:r>
        <w:rPr>
          <w:b/>
          <w:noProof/>
        </w:rPr>
        <w:t>Freins</w:t>
      </w:r>
    </w:p>
    <w:p>
      <w:pPr>
        <w:spacing w:after="0"/>
        <w:ind w:left="851" w:hanging="840"/>
        <w:jc w:val="left"/>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Pression dans la conduite d’alimentation du système de freinage de la remorque: … bar</w:t>
      </w:r>
    </w:p>
    <w:p>
      <w:pPr>
        <w:spacing w:before="240" w:after="0"/>
        <w:ind w:left="850" w:hanging="839"/>
        <w:rPr>
          <w:rFonts w:eastAsia="Arial Unicode MS"/>
          <w:noProof/>
          <w:szCs w:val="24"/>
        </w:rPr>
      </w:pPr>
      <w:r>
        <w:rPr>
          <w:b/>
          <w:noProof/>
        </w:rPr>
        <w:t>Carrosserie</w:t>
      </w:r>
    </w:p>
    <w:p>
      <w:pPr>
        <w:spacing w:after="0"/>
        <w:ind w:left="851" w:hanging="840"/>
        <w:rPr>
          <w:rFonts w:eastAsia="Arial Unicode MS"/>
          <w:noProof/>
          <w:szCs w:val="24"/>
        </w:rPr>
      </w:pPr>
      <w:r>
        <w:rPr>
          <w:noProof/>
        </w:rPr>
        <w:t>38.</w:t>
      </w:r>
      <w:r>
        <w:rPr>
          <w:noProof/>
        </w:rPr>
        <w:tab/>
        <w:t>Code de la carrosserie (</w:t>
      </w:r>
      <w:r>
        <w:rPr>
          <w:noProof/>
          <w:vertAlign w:val="superscript"/>
        </w:rPr>
        <w:t>i</w:t>
      </w:r>
      <w:r>
        <w:rPr>
          <w:noProof/>
        </w:rPr>
        <w:t>): …</w:t>
      </w:r>
    </w:p>
    <w:p>
      <w:pPr>
        <w:spacing w:after="0"/>
        <w:ind w:left="851" w:hanging="840"/>
        <w:rPr>
          <w:rFonts w:eastAsia="Arial Unicode MS"/>
          <w:noProof/>
          <w:szCs w:val="24"/>
        </w:rPr>
      </w:pPr>
      <w:r>
        <w:rPr>
          <w:noProof/>
        </w:rPr>
        <w:t>40.</w:t>
      </w:r>
      <w:r>
        <w:rPr>
          <w:noProof/>
        </w:rPr>
        <w:tab/>
        <w:t>Couleur du véhicule (</w:t>
      </w:r>
      <w:r>
        <w:rPr>
          <w:noProof/>
          <w:vertAlign w:val="superscript"/>
        </w:rPr>
        <w:t>j</w:t>
      </w:r>
      <w:r>
        <w:rPr>
          <w:noProof/>
        </w:rPr>
        <w:t>): …</w:t>
      </w:r>
    </w:p>
    <w:p>
      <w:pPr>
        <w:spacing w:after="0"/>
        <w:ind w:left="851" w:hanging="840"/>
        <w:rPr>
          <w:rFonts w:eastAsia="Arial Unicode MS"/>
          <w:noProof/>
          <w:szCs w:val="24"/>
        </w:rPr>
      </w:pPr>
      <w:r>
        <w:rPr>
          <w:noProof/>
        </w:rPr>
        <w:t>41.</w:t>
      </w:r>
      <w:r>
        <w:rPr>
          <w:noProof/>
        </w:rPr>
        <w:tab/>
        <w:t>Nombre et configuration des portes: …</w:t>
      </w:r>
    </w:p>
    <w:p>
      <w:pPr>
        <w:spacing w:after="0"/>
        <w:ind w:left="851" w:hanging="840"/>
        <w:rPr>
          <w:rFonts w:eastAsia="Arial Unicode MS"/>
          <w:noProof/>
          <w:szCs w:val="24"/>
        </w:rPr>
      </w:pPr>
      <w:r>
        <w:rPr>
          <w:noProof/>
        </w:rPr>
        <w:t>42.</w:t>
      </w:r>
      <w:r>
        <w:rPr>
          <w:noProof/>
        </w:rPr>
        <w:tab/>
        <w:t>Nombre de places assises (y compris celle du conducteur) (</w:t>
      </w:r>
      <w:r>
        <w:rPr>
          <w:noProof/>
          <w:vertAlign w:val="superscript"/>
        </w:rPr>
        <w:t>k</w:t>
      </w:r>
      <w:r>
        <w:rPr>
          <w:noProof/>
        </w:rPr>
        <w:t>): …</w:t>
      </w:r>
    </w:p>
    <w:p>
      <w:pPr>
        <w:spacing w:before="240" w:after="0"/>
        <w:ind w:left="850" w:hanging="839"/>
        <w:rPr>
          <w:rFonts w:eastAsia="Arial Unicode MS"/>
          <w:noProof/>
          <w:szCs w:val="24"/>
        </w:rPr>
      </w:pPr>
      <w:r>
        <w:rPr>
          <w:b/>
          <w:noProof/>
        </w:rPr>
        <w:t>Dispositif d’attelage</w:t>
      </w:r>
    </w:p>
    <w:p>
      <w:pPr>
        <w:spacing w:after="0"/>
        <w:ind w:left="851" w:hanging="840"/>
        <w:rPr>
          <w:rFonts w:eastAsia="Arial Unicode MS"/>
          <w:noProof/>
          <w:szCs w:val="24"/>
        </w:rPr>
      </w:pPr>
      <w:r>
        <w:rPr>
          <w:noProof/>
        </w:rPr>
        <w:t>44.</w:t>
      </w:r>
      <w:r>
        <w:rPr>
          <w:noProof/>
        </w:rPr>
        <w:tab/>
        <w:t>Numéro de réception ou marque de réception du dispositif d’attelage (le cas échéant): …</w:t>
      </w:r>
    </w:p>
    <w:p>
      <w:pPr>
        <w:spacing w:after="0"/>
        <w:ind w:left="851" w:hanging="840"/>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0" w:hanging="839"/>
        <w:rPr>
          <w:rFonts w:eastAsia="Arial Unicode MS"/>
          <w:noProof/>
          <w:szCs w:val="24"/>
        </w:rPr>
      </w:pPr>
      <w:r>
        <w:rPr>
          <w:b/>
          <w:noProof/>
        </w:rPr>
        <w:t>Performances environnementales</w:t>
      </w:r>
    </w:p>
    <w:p>
      <w:pPr>
        <w:spacing w:after="0"/>
        <w:ind w:left="851" w:hanging="840"/>
        <w:rPr>
          <w:rFonts w:eastAsia="Arial Unicode MS"/>
          <w:noProof/>
          <w:szCs w:val="24"/>
        </w:rPr>
      </w:pPr>
      <w:r>
        <w:rPr>
          <w:noProof/>
        </w:rPr>
        <w:t>46.</w:t>
      </w:r>
      <w:r>
        <w:rPr>
          <w:noProof/>
        </w:rPr>
        <w:tab/>
        <w:t>Niveau sonore</w:t>
      </w:r>
    </w:p>
    <w:p>
      <w:pPr>
        <w:ind w:left="851"/>
        <w:rPr>
          <w:rFonts w:eastAsia="Arial Unicode MS"/>
          <w:noProof/>
          <w:szCs w:val="24"/>
        </w:rPr>
      </w:pPr>
      <w:r>
        <w:rPr>
          <w:noProof/>
        </w:rPr>
        <w:t>À l’arrêt: … dB(A) au régime moteur: … min</w:t>
      </w:r>
      <w:r>
        <w:rPr>
          <w:noProof/>
          <w:vertAlign w:val="superscript"/>
        </w:rPr>
        <w:t>-1</w:t>
      </w:r>
    </w:p>
    <w:p>
      <w:pPr>
        <w:ind w:left="851"/>
        <w:rPr>
          <w:rFonts w:eastAsia="Arial Unicode MS"/>
          <w:noProof/>
          <w:szCs w:val="24"/>
        </w:rPr>
      </w:pPr>
      <w:r>
        <w:rPr>
          <w:noProof/>
        </w:rPr>
        <w:t>En marche (passage): … dB(A)</w:t>
      </w:r>
    </w:p>
    <w:p>
      <w:pPr>
        <w:spacing w:after="0"/>
        <w:ind w:left="851" w:hanging="840"/>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40"/>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ind w:left="851"/>
        <w:rPr>
          <w:rFonts w:eastAsia="Arial Unicode MS"/>
          <w:noProof/>
          <w:szCs w:val="24"/>
        </w:rPr>
      </w:pPr>
      <w:r>
        <w:rPr>
          <w:noProof/>
        </w:rPr>
        <w:t>Numéro de l’acte réglementaire de base et du dernier acte réglementaire modificatif: …</w:t>
      </w:r>
    </w:p>
    <w:p>
      <w:pPr>
        <w:spacing w:after="0"/>
        <w:ind w:left="1418" w:hanging="568"/>
        <w:rPr>
          <w:rFonts w:eastAsia="Arial Unicode MS"/>
          <w:noProof/>
          <w:szCs w:val="24"/>
        </w:rPr>
      </w:pPr>
      <w:r>
        <w:rPr>
          <w:noProof/>
        </w:rPr>
        <w:t>1.1.</w:t>
      </w:r>
      <w:r>
        <w:rPr>
          <w:noProof/>
        </w:rPr>
        <w:tab/>
        <w:t>Procédure d’essai: Type I ou ESC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Particules: …</w:t>
      </w:r>
    </w:p>
    <w:p>
      <w:pPr>
        <w:ind w:left="1418"/>
        <w:rPr>
          <w:rFonts w:eastAsia="Arial Unicode MS"/>
          <w:noProof/>
          <w:szCs w:val="24"/>
        </w:rPr>
      </w:pPr>
      <w:r>
        <w:rPr>
          <w:noProof/>
        </w:rPr>
        <w:t>Opacité des fumées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Procédure d’essai: Type I [Euro 5 ou 6(</w:t>
      </w:r>
      <w:r>
        <w:rPr>
          <w:noProof/>
          <w:vertAlign w:val="superscript"/>
        </w:rPr>
        <w:t>1</w:t>
      </w:r>
      <w:r>
        <w:rPr>
          <w:noProof/>
        </w:rPr>
        <w:t>)] ou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Particules (masse): …Particules (nombre): …</w:t>
      </w:r>
    </w:p>
    <w:p>
      <w:pPr>
        <w:spacing w:after="0"/>
        <w:ind w:left="1418" w:hanging="567"/>
        <w:rPr>
          <w:rFonts w:eastAsia="Arial Unicode MS"/>
          <w:noProof/>
          <w:szCs w:val="24"/>
        </w:rPr>
      </w:pPr>
      <w:r>
        <w:rPr>
          <w:noProof/>
        </w:rPr>
        <w:t>2.1.</w:t>
      </w:r>
      <w:r>
        <w:rPr>
          <w:noProof/>
        </w:rPr>
        <w:tab/>
        <w:t>Procédure d’essai: ETC (le cas échéant)</w:t>
      </w:r>
    </w:p>
    <w:p>
      <w:pPr>
        <w:tabs>
          <w:tab w:val="left" w:pos="2552"/>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1418"/>
        <w:rPr>
          <w:rFonts w:eastAsia="Arial Unicode MS"/>
          <w:noProof/>
          <w:szCs w:val="24"/>
        </w:rPr>
      </w:pPr>
      <w:r>
        <w:rPr>
          <w:noProof/>
        </w:rPr>
        <w:t>Particules: …</w:t>
      </w:r>
    </w:p>
    <w:p>
      <w:pPr>
        <w:spacing w:after="0"/>
        <w:ind w:left="1418" w:hanging="567"/>
        <w:rPr>
          <w:rFonts w:eastAsia="Arial Unicode MS"/>
          <w:noProof/>
          <w:szCs w:val="24"/>
        </w:rPr>
      </w:pPr>
      <w:r>
        <w:rPr>
          <w:noProof/>
        </w:rPr>
        <w:t>2.2.</w:t>
      </w:r>
      <w:r>
        <w:rPr>
          <w:noProof/>
        </w:rPr>
        <w:tab/>
        <w:t>Procédure d’essai: WHTC (EURO VI)</w:t>
      </w:r>
    </w:p>
    <w:p>
      <w:pPr>
        <w:tabs>
          <w:tab w:val="left" w:pos="2410"/>
          <w:tab w:val="left" w:pos="3402"/>
          <w:tab w:val="left" w:pos="4678"/>
          <w:tab w:val="left" w:pos="5812"/>
          <w:tab w:val="left" w:pos="6804"/>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Particules (masse): …Particules (nombre): …</w:t>
      </w:r>
    </w:p>
    <w:p>
      <w:pPr>
        <w:spacing w:after="0"/>
        <w:ind w:left="851" w:hanging="851"/>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Émissions de CO</w:t>
      </w:r>
      <w:r>
        <w:rPr>
          <w:noProof/>
          <w:vertAlign w:val="subscript"/>
        </w:rPr>
        <w:t>2</w:t>
      </w:r>
      <w:r>
        <w:rPr>
          <w:noProof/>
        </w:rPr>
        <w:t>/consommation de carburant/consommation d’énergie électrique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Tous systèmes de propulsion hors véhicules électriques purs</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Émissions de CO</w:t>
            </w:r>
            <w:r>
              <w:rPr>
                <w:noProof/>
                <w:sz w:val="20"/>
                <w:vertAlign w:val="subscript"/>
              </w:rPr>
              <w:t>2</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Consommation de carburant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Conditions urbaines: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Conditions extra-urbaines: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Conditions mixtes: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Pondérée(s), conditions mixtes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Véhicules électriques purs et véhicules électriques hybrides chargeables de l’extérieur</w:t>
      </w:r>
    </w:p>
    <w:tbl>
      <w:tblPr>
        <w:tblW w:w="5000" w:type="pct"/>
        <w:tblCellSpacing w:w="0" w:type="dxa"/>
        <w:tblCellMar>
          <w:left w:w="0" w:type="dxa"/>
          <w:right w:w="0" w:type="dxa"/>
        </w:tblCellMar>
        <w:tblLook w:val="04A0" w:firstRow="1" w:lastRow="0" w:firstColumn="1" w:lastColumn="0" w:noHBand="0" w:noVBand="1"/>
      </w:tblPr>
      <w:tblGrid>
        <w:gridCol w:w="8120"/>
        <w:gridCol w:w="951"/>
      </w:tblGrid>
      <w:tr>
        <w:trPr>
          <w:tblCellSpacing w:w="0" w:type="dxa"/>
        </w:trPr>
        <w:tc>
          <w:tcPr>
            <w:tcW w:w="0" w:type="auto"/>
            <w:hideMark/>
          </w:tcPr>
          <w:p>
            <w:pPr>
              <w:spacing w:before="195" w:after="0"/>
              <w:ind w:left="1418"/>
              <w:jc w:val="left"/>
              <w:rPr>
                <w:rFonts w:eastAsia="Arial Unicode MS"/>
                <w:noProof/>
                <w:szCs w:val="24"/>
              </w:rPr>
            </w:pPr>
            <w:r>
              <w:rPr>
                <w:noProof/>
                <w:sz w:val="22"/>
              </w:rPr>
              <w:t>Consommation d’énergie électrique [pondérée, conditions mixtes (</w:t>
            </w:r>
            <w:r>
              <w:rPr>
                <w:noProof/>
                <w:sz w:val="22"/>
                <w:vertAlign w:val="superscript"/>
              </w:rPr>
              <w:t>1</w:t>
            </w:r>
            <w:r>
              <w:rPr>
                <w:noProof/>
                <w:sz w:val="22"/>
              </w:rPr>
              <w:t>)]</w:t>
            </w:r>
          </w:p>
        </w:tc>
        <w:tc>
          <w:tcPr>
            <w:tcW w:w="0" w:type="auto"/>
            <w:hideMark/>
          </w:tcPr>
          <w:p>
            <w:pPr>
              <w:spacing w:before="195" w:after="0"/>
              <w:rPr>
                <w:rFonts w:eastAsia="Arial Unicode MS"/>
                <w:noProof/>
                <w:szCs w:val="24"/>
              </w:rPr>
            </w:pPr>
            <w:r>
              <w:rPr>
                <w:noProof/>
                <w:sz w:val="22"/>
              </w:rPr>
              <w:t>…Wh/km</w:t>
            </w:r>
          </w:p>
        </w:tc>
      </w:tr>
      <w:tr>
        <w:trPr>
          <w:tblCellSpacing w:w="0" w:type="dxa"/>
        </w:trPr>
        <w:tc>
          <w:tcPr>
            <w:tcW w:w="0" w:type="auto"/>
            <w:hideMark/>
          </w:tcPr>
          <w:p>
            <w:pPr>
              <w:spacing w:before="195" w:after="0"/>
              <w:ind w:left="1418"/>
              <w:jc w:val="left"/>
              <w:rPr>
                <w:rFonts w:eastAsia="Arial Unicode MS"/>
                <w:noProof/>
                <w:szCs w:val="24"/>
              </w:rPr>
            </w:pPr>
            <w:r>
              <w:rPr>
                <w:noProof/>
                <w:sz w:val="22"/>
              </w:rPr>
              <w:t>Autonomie en mode électrique</w:t>
            </w:r>
          </w:p>
        </w:tc>
        <w:tc>
          <w:tcPr>
            <w:tcW w:w="0" w:type="auto"/>
            <w:hideMark/>
          </w:tcPr>
          <w:p>
            <w:pPr>
              <w:spacing w:before="195" w:after="0"/>
              <w:rPr>
                <w:rFonts w:eastAsia="Arial Unicode MS"/>
                <w:noProof/>
                <w:szCs w:val="24"/>
              </w:rPr>
            </w:pPr>
            <w:r>
              <w:rPr>
                <w:noProof/>
                <w:sz w:val="22"/>
              </w:rPr>
              <w:t>… km</w:t>
            </w:r>
          </w:p>
        </w:tc>
      </w:tr>
    </w:tbl>
    <w:p>
      <w:pPr>
        <w:spacing w:after="240"/>
        <w:ind w:left="1418" w:hanging="567"/>
        <w:rPr>
          <w:rFonts w:eastAsia="Arial Unicode MS"/>
          <w:noProof/>
          <w:szCs w:val="24"/>
        </w:rPr>
      </w:pPr>
      <w:r>
        <w:rPr>
          <w:noProof/>
        </w:rPr>
        <w:t>3.</w:t>
      </w:r>
      <w:r>
        <w:rPr>
          <w:noProof/>
        </w:rPr>
        <w:tab/>
        <w:t>Véhicule intégrant des éco-innovations: oui/non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Code général de la ou des éco-innovations (</w:t>
      </w:r>
      <w:r>
        <w:rPr>
          <w:noProof/>
          <w:vertAlign w:val="superscript"/>
        </w:rPr>
        <w:t>p1</w:t>
      </w:r>
      <w:r>
        <w:rPr>
          <w:noProof/>
        </w:rPr>
        <w:t>): …………………</w:t>
      </w:r>
    </w:p>
    <w:p>
      <w:pPr>
        <w:spacing w:after="240"/>
        <w:ind w:left="1418" w:hanging="567"/>
        <w:rPr>
          <w:rFonts w:eastAsia="Arial Unicode MS"/>
          <w:noProof/>
          <w:szCs w:val="24"/>
        </w:rPr>
      </w:pPr>
      <w:r>
        <w:rPr>
          <w:noProof/>
        </w:rPr>
        <w:t>3.2.</w:t>
      </w:r>
      <w:r>
        <w:rPr>
          <w:noProof/>
        </w:rPr>
        <w:tab/>
        <w:t>Émissions de CO</w:t>
      </w:r>
      <w:r>
        <w:rPr>
          <w:noProof/>
          <w:vertAlign w:val="subscript"/>
        </w:rPr>
        <w:t>2</w:t>
      </w:r>
      <w:r>
        <w:rPr>
          <w:noProof/>
        </w:rPr>
        <w:t xml:space="preserve"> totales épargnées grâce à la ou aux éco-innovations (</w:t>
      </w:r>
      <w:r>
        <w:rPr>
          <w:noProof/>
          <w:vertAlign w:val="superscript"/>
        </w:rPr>
        <w:t>p2</w:t>
      </w:r>
      <w:r>
        <w:rPr>
          <w:noProof/>
        </w:rPr>
        <w:t>) (répéter pour chaque carburant de référence testé):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noProof/>
        </w:rPr>
        <w:t>Divers</w:t>
      </w:r>
    </w:p>
    <w:p>
      <w:pPr>
        <w:spacing w:after="0"/>
        <w:ind w:left="851" w:hanging="851"/>
        <w:rPr>
          <w:rFonts w:eastAsia="Arial Unicode MS"/>
          <w:noProof/>
          <w:szCs w:val="24"/>
        </w:rPr>
      </w:pPr>
      <w:r>
        <w:rPr>
          <w:noProof/>
        </w:rPr>
        <w:t>50.</w:t>
      </w:r>
      <w:r>
        <w:rPr>
          <w:noProof/>
        </w:rPr>
        <w:tab/>
        <w:t>Réceptionné par type conformément aux prescriptions en matière de conception applicables pour le transport de matières dangereuses: oui/classe(s): …/non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Pour les véhicules à usage spécial: désignation conformément à la section 5 de l’annexe II: …</w:t>
      </w:r>
    </w:p>
    <w:p>
      <w:pPr>
        <w:spacing w:after="0"/>
        <w:ind w:left="851" w:hanging="851"/>
        <w:rPr>
          <w:noProof/>
        </w:rPr>
      </w:pPr>
      <w:r>
        <w:rPr>
          <w:noProof/>
        </w:rPr>
        <w:t>52.</w:t>
      </w:r>
      <w:r>
        <w:rPr>
          <w:noProof/>
        </w:rPr>
        <w:tab/>
        <w:t>Remarques (</w:t>
      </w:r>
      <w:r>
        <w:rPr>
          <w:noProof/>
          <w:vertAlign w:val="superscript"/>
        </w:rPr>
        <w:t>n</w:t>
      </w:r>
      <w:r>
        <w:rPr>
          <w:noProof/>
        </w:rPr>
        <w:t>): …</w:t>
      </w:r>
    </w:p>
    <w:p>
      <w:pPr>
        <w:spacing w:after="0"/>
        <w:ind w:left="851" w:hanging="851"/>
        <w:rPr>
          <w:noProof/>
        </w:rPr>
      </w:pPr>
      <w:r>
        <w:rPr>
          <w:noProof/>
        </w:rPr>
        <w:br w:type="page"/>
      </w:r>
    </w:p>
    <w:p>
      <w:pPr>
        <w:spacing w:after="0"/>
        <w:ind w:left="851" w:hanging="851"/>
        <w:rPr>
          <w:noProof/>
        </w:rPr>
      </w:pPr>
    </w:p>
    <w:p>
      <w:pPr>
        <w:jc w:val="center"/>
        <w:rPr>
          <w:rFonts w:eastAsia="Arial Unicode MS"/>
          <w:bCs/>
          <w:noProof/>
          <w:szCs w:val="24"/>
        </w:rPr>
      </w:pPr>
      <w:r>
        <w:rPr>
          <w:noProof/>
        </w:rPr>
        <w:t>PAGE 2</w:t>
      </w:r>
    </w:p>
    <w:p>
      <w:pPr>
        <w:spacing w:before="240" w:after="240"/>
        <w:jc w:val="center"/>
        <w:rPr>
          <w:rFonts w:eastAsia="Arial Unicode MS"/>
          <w:bCs/>
          <w:noProof/>
          <w:szCs w:val="24"/>
        </w:rPr>
      </w:pPr>
      <w:r>
        <w:rPr>
          <w:noProof/>
        </w:rPr>
        <w:t>CATÉGORIE DE VÉHICULES N</w:t>
      </w:r>
      <w:r>
        <w:rPr>
          <w:noProof/>
          <w:vertAlign w:val="subscript"/>
        </w:rPr>
        <w:t>2</w:t>
      </w:r>
    </w:p>
    <w:p>
      <w:pPr>
        <w:jc w:val="center"/>
        <w:rPr>
          <w:rFonts w:eastAsia="Arial Unicode MS"/>
          <w:bCs/>
          <w:noProof/>
          <w:szCs w:val="24"/>
        </w:rPr>
      </w:pPr>
      <w:r>
        <w:rPr>
          <w:noProof/>
        </w:rPr>
        <w:t>(véhicules complets et complétés)</w:t>
      </w:r>
    </w:p>
    <w:p>
      <w:pPr>
        <w:jc w:val="left"/>
        <w:rPr>
          <w:rFonts w:eastAsia="Arial Unicode MS"/>
          <w:b/>
          <w:bCs/>
          <w:noProof/>
          <w:szCs w:val="24"/>
        </w:rPr>
      </w:pPr>
      <w:r>
        <w:rPr>
          <w:b/>
          <w:i/>
          <w:noProof/>
        </w:rPr>
        <w:t>Page 2</w:t>
      </w:r>
    </w:p>
    <w:p>
      <w:pPr>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2.</w:t>
      </w:r>
      <w:r>
        <w:rPr>
          <w:noProof/>
        </w:rPr>
        <w:tab/>
        <w:t>Essieux directeurs (nombre, emplacement):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Longueur: … mm</w:t>
      </w:r>
    </w:p>
    <w:p>
      <w:pPr>
        <w:spacing w:after="0"/>
        <w:ind w:left="851" w:hanging="851"/>
        <w:rPr>
          <w:rFonts w:eastAsia="Arial Unicode MS"/>
          <w:noProof/>
          <w:szCs w:val="24"/>
        </w:rPr>
      </w:pPr>
      <w:r>
        <w:rPr>
          <w:noProof/>
        </w:rPr>
        <w:t>6.</w:t>
      </w:r>
      <w:r>
        <w:rPr>
          <w:noProof/>
        </w:rPr>
        <w:tab/>
        <w:t>Largeur: … mm</w:t>
      </w:r>
    </w:p>
    <w:p>
      <w:pPr>
        <w:spacing w:after="0"/>
        <w:ind w:left="851" w:hanging="851"/>
        <w:rPr>
          <w:rFonts w:eastAsia="Arial Unicode MS"/>
          <w:noProof/>
          <w:szCs w:val="24"/>
        </w:rPr>
      </w:pPr>
      <w:r>
        <w:rPr>
          <w:noProof/>
        </w:rPr>
        <w:t>8.</w:t>
      </w:r>
      <w:r>
        <w:rPr>
          <w:noProof/>
        </w:rPr>
        <w:tab/>
        <w:t>Avancée de la sellette d’attelage pour véhicule tracteur de semi-remorque (maximum et minimum): … mm</w:t>
      </w:r>
    </w:p>
    <w:p>
      <w:pPr>
        <w:spacing w:after="0"/>
        <w:ind w:left="851" w:hanging="851"/>
        <w:rPr>
          <w:rFonts w:eastAsia="Arial Unicode MS"/>
          <w:noProof/>
          <w:szCs w:val="24"/>
        </w:rPr>
      </w:pPr>
      <w:r>
        <w:rPr>
          <w:noProof/>
        </w:rPr>
        <w:t>9.</w:t>
      </w:r>
      <w:r>
        <w:rPr>
          <w:noProof/>
        </w:rPr>
        <w:tab/>
        <w:t>Distance entre l’extrémité avant du véhicule et le centre du dispositif d’attelage: … mm</w:t>
      </w:r>
    </w:p>
    <w:p>
      <w:pPr>
        <w:spacing w:after="0"/>
        <w:ind w:left="851" w:hanging="851"/>
        <w:rPr>
          <w:rFonts w:eastAsia="Arial Unicode MS"/>
          <w:noProof/>
          <w:szCs w:val="24"/>
        </w:rPr>
      </w:pPr>
      <w:r>
        <w:rPr>
          <w:noProof/>
        </w:rPr>
        <w:t>11.</w:t>
      </w:r>
      <w:r>
        <w:rPr>
          <w:noProof/>
        </w:rPr>
        <w:tab/>
        <w:t>Longueur de la zone de chargement: … mm</w:t>
      </w:r>
    </w:p>
    <w:p>
      <w:pPr>
        <w:spacing w:after="0"/>
        <w:ind w:left="851" w:hanging="851"/>
        <w:rPr>
          <w:rFonts w:eastAsia="Arial Unicode MS"/>
          <w:noProof/>
          <w:szCs w:val="24"/>
        </w:rPr>
      </w:pPr>
      <w:r>
        <w:rPr>
          <w:noProof/>
        </w:rPr>
        <w:t>12.</w:t>
      </w:r>
      <w:r>
        <w:rPr>
          <w:noProof/>
        </w:rPr>
        <w:tab/>
        <w:t>Porte-à-faux arrière: … mm</w:t>
      </w:r>
    </w:p>
    <w:p>
      <w:pPr>
        <w:spacing w:before="240"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13.</w:t>
      </w:r>
      <w:r>
        <w:rPr>
          <w:noProof/>
        </w:rPr>
        <w:tab/>
        <w:t>Masse en ordre de marche: … kg</w:t>
      </w:r>
    </w:p>
    <w:p>
      <w:pPr>
        <w:spacing w:after="0"/>
        <w:ind w:left="851" w:hanging="851"/>
        <w:jc w:val="left"/>
        <w:rPr>
          <w:rFonts w:eastAsia="Arial Unicode MS"/>
          <w:noProof/>
          <w:szCs w:val="24"/>
        </w:rPr>
      </w:pPr>
      <w:r>
        <w:rPr>
          <w:noProof/>
        </w:rPr>
        <w:t>13.1.</w:t>
      </w:r>
      <w:r>
        <w:rPr>
          <w:noProof/>
        </w:rPr>
        <w:tab/>
        <w:t>Répartition de cette masse entre les essieux:</w:t>
      </w:r>
      <w:r>
        <w:rPr>
          <w:noProof/>
        </w:rPr>
        <w:br/>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Masse réelle du véhicule: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2127"/>
          <w:tab w:val="left" w:pos="3402"/>
        </w:tabs>
        <w:spacing w:after="0"/>
        <w:ind w:left="851" w:hanging="851"/>
        <w:rPr>
          <w:rFonts w:eastAsia="Arial Unicode MS"/>
          <w:noProof/>
          <w:szCs w:val="24"/>
        </w:rPr>
      </w:pPr>
      <w:r>
        <w:rPr>
          <w:noProof/>
        </w:rPr>
        <w:t>16.2.</w:t>
      </w:r>
      <w:r>
        <w:rPr>
          <w:noProof/>
        </w:rPr>
        <w:tab/>
        <w:t>Masse techniquement admissible sur chaque essieu:</w:t>
      </w:r>
      <w:r>
        <w:rPr>
          <w:noProof/>
        </w:rPr>
        <w:tab/>
      </w:r>
      <w:r>
        <w:rPr>
          <w:noProof/>
        </w:rPr>
        <w:br/>
        <w:t>1. … kg</w:t>
      </w:r>
      <w:r>
        <w:rPr>
          <w:noProof/>
        </w:rPr>
        <w:tab/>
        <w:t>2. … kg</w:t>
      </w:r>
      <w:r>
        <w:rPr>
          <w:noProof/>
        </w:rPr>
        <w:tab/>
        <w:t>3. … kg etc.</w:t>
      </w:r>
    </w:p>
    <w:p>
      <w:pPr>
        <w:tabs>
          <w:tab w:val="left" w:pos="1985"/>
        </w:tabs>
        <w:spacing w:after="0"/>
        <w:ind w:left="851" w:hanging="851"/>
        <w:rPr>
          <w:rFonts w:eastAsia="Arial Unicode MS"/>
          <w:noProof/>
          <w:szCs w:val="24"/>
        </w:rPr>
      </w:pPr>
      <w:r>
        <w:rPr>
          <w:noProof/>
        </w:rPr>
        <w:t>16.3.</w:t>
      </w:r>
      <w:r>
        <w:rPr>
          <w:noProof/>
        </w:rPr>
        <w:tab/>
        <w:t>Masse techniquement admissible sur chaque groupe d’essieux:</w:t>
      </w:r>
      <w:r>
        <w:rPr>
          <w:noProof/>
        </w:rPr>
        <w:tab/>
      </w:r>
      <w:r>
        <w:rPr>
          <w:noProof/>
        </w:rPr>
        <w:br/>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Masse maximale techniquement admissible de l’ensemble: … kg</w:t>
      </w:r>
    </w:p>
    <w:p>
      <w:pPr>
        <w:spacing w:after="0"/>
        <w:ind w:left="851" w:hanging="840"/>
        <w:rPr>
          <w:rFonts w:eastAsia="Arial Unicode MS"/>
          <w:noProof/>
          <w:szCs w:val="24"/>
        </w:rPr>
      </w:pPr>
      <w:r>
        <w:rPr>
          <w:noProof/>
        </w:rPr>
        <w:t>17.</w:t>
      </w:r>
      <w:r>
        <w:rPr>
          <w:noProof/>
        </w:rPr>
        <w:tab/>
        <w:t>Masses maximales admissibles à l’immatriculation/en service prévues pour le trafic national/international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Masse en charge maximale admissible à l’immatriculation/en service prévue: … kg</w:t>
      </w:r>
    </w:p>
    <w:p>
      <w:pPr>
        <w:spacing w:after="0"/>
        <w:ind w:left="851" w:hanging="840"/>
        <w:rPr>
          <w:rFonts w:eastAsia="Arial Unicode MS"/>
          <w:noProof/>
          <w:szCs w:val="24"/>
        </w:rPr>
      </w:pPr>
      <w:r>
        <w:rPr>
          <w:noProof/>
        </w:rPr>
        <w:t>17.2.</w:t>
      </w:r>
      <w:r>
        <w:rPr>
          <w:noProof/>
        </w:rPr>
        <w:tab/>
        <w:t>Masse en charge maximale admissible à l’immatriculation/en service prévue sur chaque essieu:</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Masse en charge maximale admissible à l’immatriculation/en service prévue sur chaque groupe d’essieux:</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Masse maximale admissible à l’immatriculation/en service prévue pour l’ensemble: … kg</w:t>
      </w:r>
    </w:p>
    <w:p>
      <w:pPr>
        <w:spacing w:after="0"/>
        <w:ind w:left="851" w:hanging="840"/>
        <w:rPr>
          <w:rFonts w:eastAsia="Arial Unicode MS"/>
          <w:noProof/>
          <w:szCs w:val="24"/>
        </w:rPr>
      </w:pPr>
      <w:r>
        <w:rPr>
          <w:noProof/>
        </w:rPr>
        <w:t>18.</w:t>
      </w:r>
      <w:r>
        <w:rPr>
          <w:noProof/>
        </w:rPr>
        <w:tab/>
        <w:t>Masse tractable maximale techniquement admissible dans le cas:</w:t>
      </w:r>
    </w:p>
    <w:p>
      <w:pPr>
        <w:spacing w:after="0"/>
        <w:ind w:left="851" w:hanging="840"/>
        <w:rPr>
          <w:rFonts w:eastAsia="Arial Unicode MS"/>
          <w:noProof/>
          <w:szCs w:val="24"/>
        </w:rPr>
      </w:pPr>
      <w:r>
        <w:rPr>
          <w:noProof/>
        </w:rPr>
        <w:t>18.1.</w:t>
      </w:r>
      <w:r>
        <w:rPr>
          <w:noProof/>
        </w:rPr>
        <w:tab/>
        <w:t>d’une remorque à timon: … kg</w:t>
      </w:r>
    </w:p>
    <w:p>
      <w:pPr>
        <w:spacing w:after="0"/>
        <w:ind w:left="851" w:hanging="840"/>
        <w:rPr>
          <w:rFonts w:eastAsia="Arial Unicode MS"/>
          <w:noProof/>
          <w:szCs w:val="24"/>
        </w:rPr>
      </w:pPr>
      <w:r>
        <w:rPr>
          <w:noProof/>
        </w:rPr>
        <w:t>18.2.</w:t>
      </w:r>
      <w:r>
        <w:rPr>
          <w:noProof/>
        </w:rPr>
        <w:tab/>
        <w:t>d’une semi-remorque: … kg</w:t>
      </w:r>
    </w:p>
    <w:p>
      <w:pPr>
        <w:spacing w:after="0"/>
        <w:ind w:left="851" w:hanging="840"/>
        <w:rPr>
          <w:rFonts w:eastAsia="Arial Unicode MS"/>
          <w:noProof/>
          <w:szCs w:val="24"/>
        </w:rPr>
      </w:pPr>
      <w:r>
        <w:rPr>
          <w:noProof/>
        </w:rPr>
        <w:t>18.3.</w:t>
      </w:r>
      <w:r>
        <w:rPr>
          <w:noProof/>
        </w:rPr>
        <w:tab/>
        <w:t>d’une remorque à essieu central: … kg</w:t>
      </w:r>
    </w:p>
    <w:p>
      <w:pPr>
        <w:spacing w:after="0"/>
        <w:ind w:left="851" w:hanging="840"/>
        <w:rPr>
          <w:rFonts w:eastAsia="Arial Unicode MS"/>
          <w:noProof/>
          <w:szCs w:val="24"/>
        </w:rPr>
      </w:pPr>
      <w:r>
        <w:rPr>
          <w:noProof/>
        </w:rPr>
        <w:t>18.4.</w:t>
      </w:r>
      <w:r>
        <w:rPr>
          <w:noProof/>
        </w:rPr>
        <w:tab/>
        <w:t>d’une remorque non freinée: … kg</w:t>
      </w:r>
    </w:p>
    <w:p>
      <w:pPr>
        <w:spacing w:after="0"/>
        <w:ind w:left="851" w:hanging="840"/>
        <w:rPr>
          <w:rFonts w:eastAsia="Arial Unicode MS"/>
          <w:noProof/>
          <w:szCs w:val="24"/>
        </w:rPr>
      </w:pPr>
      <w:r>
        <w:rPr>
          <w:noProof/>
        </w:rPr>
        <w:t>19.</w:t>
      </w:r>
      <w:r>
        <w:rPr>
          <w:noProof/>
        </w:rPr>
        <w:tab/>
        <w:t>Masse statique maximale techniquement admissible au point d’attelage: … kg</w:t>
      </w:r>
    </w:p>
    <w:p>
      <w:pPr>
        <w:spacing w:before="240" w:after="0"/>
        <w:ind w:left="850" w:hanging="839"/>
        <w:rPr>
          <w:rFonts w:eastAsia="Arial Unicode MS"/>
          <w:noProof/>
          <w:szCs w:val="24"/>
        </w:rPr>
      </w:pPr>
      <w:r>
        <w:rPr>
          <w:b/>
          <w:noProof/>
        </w:rPr>
        <w:t>Groupe moteur</w:t>
      </w:r>
    </w:p>
    <w:p>
      <w:pPr>
        <w:spacing w:after="0"/>
        <w:ind w:left="851" w:hanging="840"/>
        <w:rPr>
          <w:rFonts w:eastAsia="Arial Unicode MS"/>
          <w:noProof/>
          <w:szCs w:val="24"/>
        </w:rPr>
      </w:pPr>
      <w:r>
        <w:rPr>
          <w:noProof/>
        </w:rPr>
        <w:t>20.</w:t>
      </w:r>
      <w:r>
        <w:rPr>
          <w:noProof/>
        </w:rPr>
        <w:tab/>
        <w:t>Constructeur du moteur: …</w:t>
      </w:r>
    </w:p>
    <w:p>
      <w:pPr>
        <w:spacing w:after="0"/>
        <w:ind w:left="851" w:hanging="840"/>
        <w:rPr>
          <w:rFonts w:eastAsia="Arial Unicode MS"/>
          <w:noProof/>
          <w:szCs w:val="24"/>
        </w:rPr>
      </w:pPr>
      <w:r>
        <w:rPr>
          <w:noProof/>
        </w:rPr>
        <w:t>21.</w:t>
      </w:r>
      <w:r>
        <w:rPr>
          <w:noProof/>
        </w:rPr>
        <w:tab/>
        <w:t>Code du moteur tel que marqué sur le moteur: …</w:t>
      </w:r>
    </w:p>
    <w:p>
      <w:pPr>
        <w:spacing w:after="0"/>
        <w:ind w:left="851" w:hanging="840"/>
        <w:rPr>
          <w:rFonts w:eastAsia="Arial Unicode MS"/>
          <w:noProof/>
          <w:szCs w:val="24"/>
        </w:rPr>
      </w:pPr>
      <w:r>
        <w:rPr>
          <w:noProof/>
        </w:rPr>
        <w:t>22.</w:t>
      </w:r>
      <w:r>
        <w:rPr>
          <w:noProof/>
        </w:rPr>
        <w:tab/>
        <w:t>Principe de fonctionnement: …</w:t>
      </w:r>
    </w:p>
    <w:p>
      <w:pPr>
        <w:spacing w:after="0"/>
        <w:ind w:left="851" w:hanging="840"/>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Nombre et disposition des cylindres: …</w:t>
      </w:r>
    </w:p>
    <w:p>
      <w:pPr>
        <w:spacing w:after="0"/>
        <w:ind w:left="851" w:hanging="840"/>
        <w:rPr>
          <w:rFonts w:eastAsia="Arial Unicode MS"/>
          <w:noProof/>
          <w:szCs w:val="24"/>
        </w:rPr>
      </w:pPr>
      <w:r>
        <w:rPr>
          <w:noProof/>
        </w:rPr>
        <w:t>25.</w:t>
      </w:r>
      <w:r>
        <w:rPr>
          <w:noProof/>
        </w:rPr>
        <w:tab/>
        <w:t>Cylindrée: … cm</w:t>
      </w:r>
      <w:r>
        <w:rPr>
          <w:noProof/>
          <w:vertAlign w:val="superscript"/>
        </w:rPr>
        <w:t>3</w:t>
      </w:r>
      <w:r>
        <w:rPr>
          <w:noProof/>
        </w:rPr>
        <w:t xml:space="preserve"> </w:t>
      </w:r>
    </w:p>
    <w:p>
      <w:pPr>
        <w:spacing w:after="0"/>
        <w:ind w:left="851" w:hanging="840"/>
        <w:jc w:val="left"/>
        <w:rPr>
          <w:rFonts w:eastAsia="Arial Unicode MS"/>
          <w:noProof/>
          <w:szCs w:val="24"/>
        </w:rPr>
      </w:pPr>
      <w:r>
        <w:rPr>
          <w:noProof/>
        </w:rPr>
        <w:t>26.</w:t>
      </w:r>
      <w:r>
        <w:rPr>
          <w:noProof/>
        </w:rPr>
        <w:tab/>
        <w:t>Carburant: gazole/essence/GPL/GNC-biométhane/GNL/éthanol/biogazole/hydrogène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Monocarburant/bicarburant/polycarburant/double carburant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Boîte de vitesses (type): …</w:t>
      </w:r>
    </w:p>
    <w:p>
      <w:pPr>
        <w:spacing w:before="240" w:after="0"/>
        <w:ind w:left="850" w:hanging="839"/>
        <w:rPr>
          <w:rFonts w:eastAsia="Arial Unicode MS"/>
          <w:noProof/>
          <w:szCs w:val="24"/>
        </w:rPr>
      </w:pPr>
      <w:r>
        <w:rPr>
          <w:b/>
          <w:noProof/>
        </w:rPr>
        <w:t>Vitesse maximale</w:t>
      </w:r>
    </w:p>
    <w:p>
      <w:pPr>
        <w:spacing w:after="0"/>
        <w:ind w:left="851" w:hanging="840"/>
        <w:rPr>
          <w:rFonts w:eastAsia="Arial Unicode MS"/>
          <w:noProof/>
          <w:szCs w:val="24"/>
        </w:rPr>
      </w:pPr>
      <w:r>
        <w:rPr>
          <w:noProof/>
        </w:rPr>
        <w:t>29.</w:t>
      </w:r>
      <w:r>
        <w:rPr>
          <w:noProof/>
        </w:rPr>
        <w:tab/>
        <w:t>Vitesse maximale: … km/h</w:t>
      </w:r>
    </w:p>
    <w:p>
      <w:pPr>
        <w:spacing w:before="240" w:after="0"/>
        <w:ind w:left="850" w:hanging="839"/>
        <w:rPr>
          <w:rFonts w:eastAsia="Arial Unicode MS"/>
          <w:noProof/>
          <w:szCs w:val="24"/>
        </w:rPr>
      </w:pPr>
      <w:r>
        <w:rPr>
          <w:b/>
          <w:noProof/>
        </w:rPr>
        <w:t>Essieux et suspension</w:t>
      </w:r>
    </w:p>
    <w:p>
      <w:pPr>
        <w:spacing w:after="0"/>
        <w:ind w:left="851" w:hanging="840"/>
        <w:rPr>
          <w:rFonts w:eastAsia="Arial Unicode MS"/>
          <w:noProof/>
          <w:szCs w:val="24"/>
        </w:rPr>
      </w:pPr>
      <w:r>
        <w:rPr>
          <w:noProof/>
        </w:rPr>
        <w:t>31.</w:t>
      </w:r>
      <w:r>
        <w:rPr>
          <w:noProof/>
        </w:rPr>
        <w:tab/>
        <w:t>Emplacement du ou des essieux relevables: …</w:t>
      </w:r>
    </w:p>
    <w:p>
      <w:pPr>
        <w:spacing w:after="0"/>
        <w:ind w:left="851" w:hanging="840"/>
        <w:rPr>
          <w:rFonts w:eastAsia="Arial Unicode MS"/>
          <w:noProof/>
          <w:szCs w:val="24"/>
        </w:rPr>
      </w:pPr>
      <w:r>
        <w:rPr>
          <w:noProof/>
        </w:rPr>
        <w:t>32.</w:t>
      </w:r>
      <w:r>
        <w:rPr>
          <w:noProof/>
        </w:rPr>
        <w:tab/>
        <w:t>Emplacement du ou des essieux chargeables: …</w:t>
      </w:r>
    </w:p>
    <w:p>
      <w:pPr>
        <w:spacing w:after="0"/>
        <w:ind w:left="851" w:hanging="840"/>
        <w:rPr>
          <w:rFonts w:eastAsia="Arial Unicode MS"/>
          <w:noProof/>
          <w:szCs w:val="24"/>
        </w:rPr>
      </w:pPr>
      <w:r>
        <w:rPr>
          <w:noProof/>
        </w:rPr>
        <w:t>33.</w:t>
      </w:r>
      <w:r>
        <w:rPr>
          <w:noProof/>
        </w:rPr>
        <w:tab/>
        <w:t>Essieu(x) moteur(s) équipé(s) d’une suspension pneumatique ou équivalente: oui/non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0" w:hanging="839"/>
        <w:rPr>
          <w:rFonts w:eastAsia="Arial Unicode MS"/>
          <w:noProof/>
          <w:szCs w:val="24"/>
        </w:rPr>
      </w:pPr>
      <w:r>
        <w:rPr>
          <w:b/>
          <w:noProof/>
        </w:rPr>
        <w:t>Freins</w:t>
      </w:r>
    </w:p>
    <w:p>
      <w:pPr>
        <w:spacing w:after="0"/>
        <w:ind w:left="851" w:hanging="851"/>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 dans la conduite d’alimentation du système de freinage de la remorque: … bar</w:t>
      </w:r>
    </w:p>
    <w:p>
      <w:pPr>
        <w:spacing w:after="0"/>
        <w:ind w:left="851" w:hanging="851"/>
        <w:rPr>
          <w:rFonts w:eastAsia="Arial Unicode MS"/>
          <w:noProof/>
          <w:szCs w:val="24"/>
        </w:rPr>
      </w:pPr>
      <w:r>
        <w:rPr>
          <w:b/>
          <w:noProof/>
        </w:rPr>
        <w:t>Carrosserie</w:t>
      </w:r>
    </w:p>
    <w:p>
      <w:pPr>
        <w:spacing w:after="0"/>
        <w:ind w:left="851" w:hanging="851"/>
        <w:rPr>
          <w:rFonts w:eastAsia="Arial Unicode MS"/>
          <w:noProof/>
          <w:szCs w:val="24"/>
        </w:rPr>
      </w:pPr>
      <w:r>
        <w:rPr>
          <w:noProof/>
        </w:rPr>
        <w:t>38.</w:t>
      </w:r>
      <w:r>
        <w:rPr>
          <w:noProof/>
        </w:rPr>
        <w:tab/>
        <w:t>Code de la carrosserie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Nombre et configuration des portes: …</w:t>
      </w:r>
    </w:p>
    <w:p>
      <w:pPr>
        <w:spacing w:after="0"/>
        <w:ind w:left="851" w:hanging="851"/>
        <w:rPr>
          <w:rFonts w:eastAsia="Arial Unicode MS"/>
          <w:noProof/>
          <w:szCs w:val="24"/>
        </w:rPr>
      </w:pPr>
      <w:r>
        <w:rPr>
          <w:noProof/>
        </w:rPr>
        <w:t>42.</w:t>
      </w:r>
      <w:r>
        <w:rPr>
          <w:noProof/>
        </w:rPr>
        <w:tab/>
        <w:t>Nombre de places assises (y compris celle du conducteur) (</w:t>
      </w:r>
      <w:r>
        <w:rPr>
          <w:noProof/>
          <w:vertAlign w:val="superscript"/>
        </w:rPr>
        <w:t>k</w:t>
      </w:r>
      <w:r>
        <w:rPr>
          <w:noProof/>
        </w:rPr>
        <w:t>): …</w:t>
      </w:r>
    </w:p>
    <w:p>
      <w:pPr>
        <w:spacing w:before="240" w:after="0"/>
        <w:ind w:left="851" w:hanging="851"/>
        <w:rPr>
          <w:rFonts w:eastAsia="Arial Unicode MS"/>
          <w:noProof/>
          <w:szCs w:val="24"/>
        </w:rPr>
      </w:pPr>
      <w:r>
        <w:rPr>
          <w:b/>
          <w:noProof/>
        </w:rPr>
        <w:t>Dispositif d’attelage</w:t>
      </w:r>
    </w:p>
    <w:p>
      <w:pPr>
        <w:spacing w:after="0"/>
        <w:ind w:left="851" w:hanging="851"/>
        <w:rPr>
          <w:rFonts w:eastAsia="Arial Unicode MS"/>
          <w:noProof/>
          <w:szCs w:val="24"/>
        </w:rPr>
      </w:pPr>
      <w:r>
        <w:rPr>
          <w:noProof/>
        </w:rPr>
        <w:t>44.</w:t>
      </w:r>
      <w:r>
        <w:rPr>
          <w:noProof/>
        </w:rPr>
        <w:tab/>
        <w:t>Numéro de réception ou marque de réception du dispositif d’attelage (le cas échéant): …</w:t>
      </w:r>
    </w:p>
    <w:p>
      <w:pPr>
        <w:spacing w:after="0"/>
        <w:ind w:left="851" w:hanging="851"/>
        <w:rPr>
          <w:rFonts w:eastAsia="Arial Unicode MS"/>
          <w:noProof/>
          <w:szCs w:val="24"/>
        </w:rPr>
      </w:pPr>
      <w:r>
        <w:rPr>
          <w:noProof/>
        </w:rPr>
        <w:t xml:space="preserve">45.1. </w:t>
      </w:r>
      <w:r>
        <w:rPr>
          <w:noProof/>
        </w:rPr>
        <w:tab/>
        <w:t>Valeurs caractéristiques (</w:t>
      </w:r>
      <w:r>
        <w:rPr>
          <w:noProof/>
          <w:vertAlign w:val="superscript"/>
        </w:rPr>
        <w:t>1</w:t>
      </w:r>
      <w:r>
        <w:rPr>
          <w:noProof/>
        </w:rPr>
        <w:t>) D: …/ V: …/ S: …/ U: …</w:t>
      </w:r>
    </w:p>
    <w:p>
      <w:pPr>
        <w:spacing w:before="240" w:after="0"/>
        <w:ind w:left="851" w:hanging="851"/>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ind w:left="851"/>
        <w:rPr>
          <w:rFonts w:eastAsia="Arial Unicode MS"/>
          <w:noProof/>
          <w:szCs w:val="24"/>
        </w:rPr>
      </w:pPr>
      <w:r>
        <w:rPr>
          <w:noProof/>
        </w:rPr>
        <w:t>À l’arrêt: … dB(A) au régime moteur: … min</w:t>
      </w:r>
      <w:r>
        <w:rPr>
          <w:noProof/>
          <w:vertAlign w:val="superscript"/>
        </w:rPr>
        <w:t>-1</w:t>
      </w:r>
      <w:r>
        <w:rPr>
          <w:noProof/>
        </w:rPr>
        <w:t xml:space="preserve"> </w:t>
      </w:r>
    </w:p>
    <w:p>
      <w:pPr>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ind w:left="851"/>
        <w:rPr>
          <w:rFonts w:eastAsia="Arial Unicode MS"/>
          <w:noProof/>
          <w:szCs w:val="24"/>
        </w:rPr>
      </w:pPr>
      <w:r>
        <w:rPr>
          <w:noProof/>
        </w:rPr>
        <w:t>Numéro de l’acte réglementaire de base et du dernier acte réglementaire modificatif: …</w:t>
      </w:r>
    </w:p>
    <w:p>
      <w:pPr>
        <w:spacing w:after="0"/>
        <w:ind w:left="1418" w:hanging="567"/>
        <w:rPr>
          <w:rFonts w:eastAsia="Arial Unicode MS"/>
          <w:noProof/>
          <w:szCs w:val="24"/>
        </w:rPr>
      </w:pPr>
      <w:r>
        <w:rPr>
          <w:noProof/>
        </w:rPr>
        <w:t>1.1.</w:t>
      </w:r>
      <w:r>
        <w:rPr>
          <w:noProof/>
        </w:rPr>
        <w:tab/>
        <w:t>Procédure d’essai: Type I ou ESC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Particules: …</w:t>
      </w:r>
    </w:p>
    <w:p>
      <w:pPr>
        <w:spacing w:before="0"/>
        <w:ind w:left="1418"/>
        <w:rPr>
          <w:rFonts w:eastAsia="Arial Unicode MS"/>
          <w:noProof/>
          <w:szCs w:val="24"/>
        </w:rPr>
      </w:pPr>
      <w:r>
        <w:rPr>
          <w:noProof/>
        </w:rPr>
        <w:t>Opacité des fumées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Procédure d’essai: Type I [Euro 5 ou 6(</w:t>
      </w:r>
      <w:r>
        <w:rPr>
          <w:noProof/>
          <w:vertAlign w:val="superscript"/>
        </w:rPr>
        <w:t>1</w:t>
      </w:r>
      <w:r>
        <w:rPr>
          <w:noProof/>
        </w:rPr>
        <w:t>)] ou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Particules (masse): …Particules (nombre): …</w:t>
      </w:r>
    </w:p>
    <w:p>
      <w:pPr>
        <w:spacing w:after="0"/>
        <w:ind w:left="1418" w:hanging="567"/>
        <w:rPr>
          <w:rFonts w:eastAsia="Arial Unicode MS"/>
          <w:noProof/>
          <w:szCs w:val="24"/>
        </w:rPr>
      </w:pPr>
      <w:r>
        <w:rPr>
          <w:noProof/>
        </w:rPr>
        <w:t>2.1.</w:t>
      </w:r>
      <w:r>
        <w:rPr>
          <w:noProof/>
        </w:rPr>
        <w:tab/>
        <w:t>Procédure d’essai: ETC (le cas échéant)</w:t>
      </w:r>
    </w:p>
    <w:p>
      <w:pPr>
        <w:tabs>
          <w:tab w:val="left" w:pos="2410"/>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1418"/>
        <w:rPr>
          <w:rFonts w:eastAsia="Arial Unicode MS"/>
          <w:noProof/>
          <w:szCs w:val="24"/>
        </w:rPr>
      </w:pPr>
      <w:r>
        <w:rPr>
          <w:noProof/>
        </w:rPr>
        <w:t>Particules: …</w:t>
      </w:r>
    </w:p>
    <w:p>
      <w:pPr>
        <w:spacing w:after="0"/>
        <w:ind w:left="1418" w:hanging="567"/>
        <w:rPr>
          <w:rFonts w:eastAsia="Arial Unicode MS"/>
          <w:noProof/>
          <w:szCs w:val="24"/>
        </w:rPr>
      </w:pPr>
      <w:r>
        <w:rPr>
          <w:noProof/>
        </w:rPr>
        <w:t>2.2.</w:t>
      </w:r>
      <w:r>
        <w:rPr>
          <w:noProof/>
        </w:rPr>
        <w:tab/>
        <w:t>Procédure d’essai: WHTC (EURO VI)</w:t>
      </w:r>
    </w:p>
    <w:p>
      <w:pPr>
        <w:tabs>
          <w:tab w:val="left" w:pos="2268"/>
          <w:tab w:val="left" w:pos="3261"/>
          <w:tab w:val="left" w:pos="4536"/>
          <w:tab w:val="left" w:pos="5670"/>
          <w:tab w:val="left" w:pos="6663"/>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Particules (masse): …Particules (nombre): …</w:t>
      </w:r>
    </w:p>
    <w:p>
      <w:pPr>
        <w:spacing w:after="0"/>
        <w:ind w:left="851" w:hanging="851"/>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before="240" w:after="0"/>
        <w:ind w:left="851" w:hanging="851"/>
        <w:rPr>
          <w:rFonts w:eastAsia="Arial Unicode MS"/>
          <w:noProof/>
          <w:szCs w:val="24"/>
        </w:rPr>
      </w:pPr>
      <w:r>
        <w:rPr>
          <w:b/>
          <w:noProof/>
        </w:rPr>
        <w:t>Divers</w:t>
      </w:r>
    </w:p>
    <w:p>
      <w:pPr>
        <w:spacing w:after="0"/>
        <w:ind w:left="851" w:hanging="851"/>
        <w:rPr>
          <w:rFonts w:eastAsia="Arial Unicode MS"/>
          <w:noProof/>
          <w:szCs w:val="24"/>
        </w:rPr>
      </w:pPr>
      <w:r>
        <w:rPr>
          <w:noProof/>
        </w:rPr>
        <w:t>50.</w:t>
      </w:r>
      <w:r>
        <w:rPr>
          <w:noProof/>
        </w:rPr>
        <w:tab/>
        <w:t>Réceptionné par type conformément aux prescriptions en matière de conception applicables pour le transport de matières dangereuses: oui/classe(s): …/non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Pour les véhicules à usage spécial: désignation conformément à la section 5 de l’annexe II: …</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 DE VÉHICULES N</w:t>
      </w:r>
      <w:r>
        <w:rPr>
          <w:noProof/>
          <w:vertAlign w:val="subscript"/>
        </w:rPr>
        <w:t>3</w:t>
      </w:r>
    </w:p>
    <w:p>
      <w:pPr>
        <w:jc w:val="center"/>
        <w:rPr>
          <w:rFonts w:eastAsia="Arial Unicode MS"/>
          <w:bCs/>
          <w:noProof/>
          <w:szCs w:val="24"/>
        </w:rPr>
      </w:pPr>
      <w:r>
        <w:rPr>
          <w:noProof/>
        </w:rPr>
        <w:t>(véhicules complets et complétés)</w:t>
      </w:r>
    </w:p>
    <w:p>
      <w:pPr>
        <w:jc w:val="left"/>
        <w:rPr>
          <w:rFonts w:eastAsia="Arial Unicode MS"/>
          <w:b/>
          <w:bC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2.</w:t>
      </w:r>
      <w:r>
        <w:rPr>
          <w:noProof/>
        </w:rPr>
        <w:tab/>
        <w:t>Essieux directeurs (nombre, emplacement):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Longueur: … mm</w:t>
      </w:r>
    </w:p>
    <w:p>
      <w:pPr>
        <w:spacing w:after="0"/>
        <w:ind w:left="851" w:hanging="851"/>
        <w:rPr>
          <w:rFonts w:eastAsia="Arial Unicode MS"/>
          <w:noProof/>
          <w:szCs w:val="24"/>
        </w:rPr>
      </w:pPr>
      <w:r>
        <w:rPr>
          <w:noProof/>
        </w:rPr>
        <w:t>6.</w:t>
      </w:r>
      <w:r>
        <w:rPr>
          <w:noProof/>
        </w:rPr>
        <w:tab/>
        <w:t>Largeur: … mm</w:t>
      </w:r>
    </w:p>
    <w:p>
      <w:pPr>
        <w:spacing w:after="0"/>
        <w:ind w:left="851" w:hanging="851"/>
        <w:rPr>
          <w:rFonts w:eastAsia="Arial Unicode MS"/>
          <w:noProof/>
          <w:szCs w:val="24"/>
        </w:rPr>
      </w:pPr>
      <w:r>
        <w:rPr>
          <w:noProof/>
        </w:rPr>
        <w:t>8.</w:t>
      </w:r>
      <w:r>
        <w:rPr>
          <w:noProof/>
        </w:rPr>
        <w:tab/>
        <w:t>Avancée de la sellette d’attelage pour véhicule tracteur semi-remorque (maximum et minimum): … mm</w:t>
      </w:r>
    </w:p>
    <w:p>
      <w:pPr>
        <w:spacing w:after="0"/>
        <w:ind w:left="851" w:hanging="851"/>
        <w:rPr>
          <w:rFonts w:eastAsia="Arial Unicode MS"/>
          <w:noProof/>
          <w:szCs w:val="24"/>
        </w:rPr>
      </w:pPr>
      <w:r>
        <w:rPr>
          <w:noProof/>
        </w:rPr>
        <w:t>9.</w:t>
      </w:r>
      <w:r>
        <w:rPr>
          <w:noProof/>
        </w:rPr>
        <w:tab/>
        <w:t>Distance entre l’extrémité avant du véhicule et le centre du dispositif d’attelage: … mm</w:t>
      </w:r>
    </w:p>
    <w:p>
      <w:pPr>
        <w:spacing w:after="0"/>
        <w:ind w:left="851" w:hanging="851"/>
        <w:rPr>
          <w:rFonts w:eastAsia="Arial Unicode MS"/>
          <w:noProof/>
          <w:szCs w:val="24"/>
        </w:rPr>
      </w:pPr>
      <w:r>
        <w:rPr>
          <w:noProof/>
        </w:rPr>
        <w:t>11.</w:t>
      </w:r>
      <w:r>
        <w:rPr>
          <w:noProof/>
        </w:rPr>
        <w:tab/>
        <w:t>Longueur de la zone de chargement: … mm</w:t>
      </w:r>
    </w:p>
    <w:p>
      <w:pPr>
        <w:spacing w:after="0"/>
        <w:ind w:left="851" w:hanging="851"/>
        <w:rPr>
          <w:rFonts w:eastAsia="Arial Unicode MS"/>
          <w:noProof/>
          <w:szCs w:val="24"/>
        </w:rPr>
      </w:pPr>
      <w:r>
        <w:rPr>
          <w:noProof/>
        </w:rPr>
        <w:t>12.</w:t>
      </w:r>
      <w:r>
        <w:rPr>
          <w:noProof/>
        </w:rPr>
        <w:tab/>
        <w:t>Porte-à-faux arrière: … mm</w:t>
      </w:r>
    </w:p>
    <w:p>
      <w:pPr>
        <w:spacing w:before="240"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13.</w:t>
      </w:r>
      <w:r>
        <w:rPr>
          <w:noProof/>
        </w:rPr>
        <w:tab/>
        <w:t>Masse en ordre de marche: … kg</w:t>
      </w:r>
    </w:p>
    <w:p>
      <w:pPr>
        <w:tabs>
          <w:tab w:val="left" w:pos="5387"/>
        </w:tabs>
        <w:spacing w:after="0"/>
        <w:ind w:left="851" w:hanging="851"/>
        <w:rPr>
          <w:rFonts w:eastAsia="Arial Unicode MS"/>
          <w:noProof/>
          <w:szCs w:val="24"/>
        </w:rPr>
      </w:pPr>
      <w:r>
        <w:rPr>
          <w:noProof/>
        </w:rPr>
        <w:t>13.1.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Masse réelle du véhicule: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1985"/>
          <w:tab w:val="left" w:pos="3402"/>
        </w:tabs>
        <w:spacing w:after="0"/>
        <w:ind w:left="851" w:hanging="851"/>
        <w:rPr>
          <w:rFonts w:eastAsia="Arial Unicode MS"/>
          <w:noProof/>
          <w:szCs w:val="24"/>
        </w:rPr>
      </w:pPr>
      <w:r>
        <w:rPr>
          <w:noProof/>
        </w:rPr>
        <w:t>16.2.</w:t>
      </w:r>
      <w:r>
        <w:rPr>
          <w:noProof/>
        </w:rPr>
        <w:tab/>
        <w:t>Masse techniquement admissible sur chaque essieu:</w:t>
      </w:r>
      <w:r>
        <w:rPr>
          <w:noProof/>
        </w:rPr>
        <w:tab/>
      </w:r>
      <w:r>
        <w:rPr>
          <w:noProof/>
        </w:rPr>
        <w:br/>
        <w:t>1. … kg</w:t>
      </w:r>
      <w:r>
        <w:rPr>
          <w:noProof/>
        </w:rPr>
        <w:tab/>
        <w:t>2. … kg</w:t>
      </w:r>
      <w:r>
        <w:rPr>
          <w:noProof/>
        </w:rPr>
        <w:tab/>
        <w:t>3. … kg etc.</w:t>
      </w:r>
    </w:p>
    <w:p>
      <w:pPr>
        <w:tabs>
          <w:tab w:val="left" w:pos="1985"/>
          <w:tab w:val="left" w:pos="3402"/>
        </w:tabs>
        <w:spacing w:after="0"/>
        <w:ind w:left="851" w:hanging="851"/>
        <w:rPr>
          <w:rFonts w:eastAsia="Arial Unicode MS"/>
          <w:noProof/>
          <w:szCs w:val="24"/>
        </w:rPr>
      </w:pPr>
      <w:r>
        <w:rPr>
          <w:noProof/>
        </w:rPr>
        <w:t>16.3.</w:t>
      </w:r>
      <w:r>
        <w:rPr>
          <w:noProof/>
        </w:rPr>
        <w:tab/>
        <w:t xml:space="preserve">Masse techniquement admissible sur chaque groupe d’essieux: </w:t>
      </w:r>
      <w:r>
        <w:rPr>
          <w:noProof/>
        </w:rPr>
        <w:tab/>
      </w:r>
      <w:r>
        <w:rPr>
          <w:noProof/>
        </w:rPr>
        <w:br/>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Masse maximale techniquement admissible de l’ensemble: … kg</w:t>
      </w:r>
    </w:p>
    <w:p>
      <w:pPr>
        <w:spacing w:after="0"/>
        <w:ind w:left="851" w:hanging="840"/>
        <w:rPr>
          <w:rFonts w:eastAsia="Arial Unicode MS"/>
          <w:noProof/>
          <w:szCs w:val="24"/>
        </w:rPr>
      </w:pPr>
      <w:r>
        <w:rPr>
          <w:noProof/>
        </w:rPr>
        <w:t>17.</w:t>
      </w:r>
      <w:r>
        <w:rPr>
          <w:noProof/>
        </w:rPr>
        <w:tab/>
        <w:t>Masses maximales admissibles à l’immatriculation/en service prévues pour le trafic national/international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Masse en charge maximale admissible à l’immatriculation/en service prévue: … kg</w:t>
      </w:r>
    </w:p>
    <w:p>
      <w:pPr>
        <w:spacing w:after="0"/>
        <w:ind w:left="851" w:hanging="840"/>
        <w:rPr>
          <w:rFonts w:eastAsia="Arial Unicode MS"/>
          <w:noProof/>
          <w:szCs w:val="24"/>
        </w:rPr>
      </w:pPr>
      <w:r>
        <w:rPr>
          <w:noProof/>
        </w:rPr>
        <w:t>17.2.</w:t>
      </w:r>
      <w:r>
        <w:rPr>
          <w:noProof/>
        </w:rPr>
        <w:tab/>
        <w:t>Masse en charge maximale admissible à l’immatriculation/en service prévue sur chaque essieu:</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Masse en charge maximale admissible à l’immatriculation/en service prévue sur chaque groupe d’essieux:</w:t>
      </w:r>
    </w:p>
    <w:p>
      <w:pPr>
        <w:spacing w:after="0"/>
        <w:ind w:left="851" w:hanging="840"/>
        <w:rPr>
          <w:rFonts w:eastAsia="Arial Unicode MS"/>
          <w:noProof/>
          <w:szCs w:val="24"/>
        </w:rPr>
      </w:pPr>
      <w:r>
        <w:rPr>
          <w:noProof/>
        </w:rPr>
        <w:tab/>
        <w:t>1. … kg</w:t>
      </w:r>
      <w:r>
        <w:rPr>
          <w:noProof/>
        </w:rPr>
        <w:tab/>
        <w:t>2. … kg</w:t>
      </w:r>
      <w:r>
        <w:rPr>
          <w:noProof/>
        </w:rPr>
        <w:tab/>
        <w:t>3. … kg etc.</w:t>
      </w:r>
    </w:p>
    <w:p>
      <w:pPr>
        <w:spacing w:after="0"/>
        <w:ind w:left="851" w:hanging="840"/>
        <w:rPr>
          <w:rFonts w:eastAsia="Arial Unicode MS"/>
          <w:noProof/>
          <w:szCs w:val="24"/>
        </w:rPr>
      </w:pPr>
      <w:r>
        <w:rPr>
          <w:noProof/>
        </w:rPr>
        <w:t>17.4.</w:t>
      </w:r>
      <w:r>
        <w:rPr>
          <w:noProof/>
        </w:rPr>
        <w:tab/>
        <w:t>Masse maximale admissible à l’immatriculation/en service prévue pour l’ensemble: … kg</w:t>
      </w:r>
    </w:p>
    <w:p>
      <w:pPr>
        <w:spacing w:after="0"/>
        <w:ind w:left="851" w:hanging="840"/>
        <w:rPr>
          <w:rFonts w:eastAsia="Arial Unicode MS"/>
          <w:noProof/>
          <w:szCs w:val="24"/>
        </w:rPr>
      </w:pPr>
      <w:r>
        <w:rPr>
          <w:noProof/>
        </w:rPr>
        <w:t>18.</w:t>
      </w:r>
      <w:r>
        <w:rPr>
          <w:noProof/>
        </w:rPr>
        <w:tab/>
        <w:t>Masse tractable maximale techniquement admissible dans le cas:</w:t>
      </w:r>
    </w:p>
    <w:p>
      <w:pPr>
        <w:spacing w:after="0"/>
        <w:ind w:left="851" w:hanging="840"/>
        <w:rPr>
          <w:rFonts w:eastAsia="Arial Unicode MS"/>
          <w:noProof/>
          <w:szCs w:val="24"/>
        </w:rPr>
      </w:pPr>
      <w:r>
        <w:rPr>
          <w:noProof/>
        </w:rPr>
        <w:t>18.1.</w:t>
      </w:r>
      <w:r>
        <w:rPr>
          <w:noProof/>
        </w:rPr>
        <w:tab/>
        <w:t>d’une remorque à timon: … kg</w:t>
      </w:r>
    </w:p>
    <w:p>
      <w:pPr>
        <w:spacing w:after="0"/>
        <w:ind w:left="851" w:hanging="840"/>
        <w:rPr>
          <w:rFonts w:eastAsia="Arial Unicode MS"/>
          <w:noProof/>
          <w:szCs w:val="24"/>
        </w:rPr>
      </w:pPr>
      <w:r>
        <w:rPr>
          <w:noProof/>
        </w:rPr>
        <w:t>18.2.</w:t>
      </w:r>
      <w:r>
        <w:rPr>
          <w:noProof/>
        </w:rPr>
        <w:tab/>
        <w:t>d’une semi-remorque: … kg</w:t>
      </w:r>
    </w:p>
    <w:p>
      <w:pPr>
        <w:spacing w:after="0"/>
        <w:ind w:left="851" w:hanging="840"/>
        <w:rPr>
          <w:rFonts w:eastAsia="Arial Unicode MS"/>
          <w:noProof/>
          <w:szCs w:val="24"/>
        </w:rPr>
      </w:pPr>
      <w:r>
        <w:rPr>
          <w:noProof/>
        </w:rPr>
        <w:t>18.3.</w:t>
      </w:r>
      <w:r>
        <w:rPr>
          <w:noProof/>
        </w:rPr>
        <w:tab/>
        <w:t>d’une remorque à essieu central: … kg</w:t>
      </w:r>
    </w:p>
    <w:p>
      <w:pPr>
        <w:spacing w:after="0"/>
        <w:ind w:left="851" w:hanging="840"/>
        <w:rPr>
          <w:rFonts w:eastAsia="Arial Unicode MS"/>
          <w:noProof/>
          <w:szCs w:val="24"/>
        </w:rPr>
      </w:pPr>
      <w:r>
        <w:rPr>
          <w:noProof/>
        </w:rPr>
        <w:t>18.4.</w:t>
      </w:r>
      <w:r>
        <w:rPr>
          <w:noProof/>
        </w:rPr>
        <w:tab/>
        <w:t>d’une remorque non freinée: … kg</w:t>
      </w:r>
    </w:p>
    <w:p>
      <w:pPr>
        <w:spacing w:after="0"/>
        <w:ind w:left="851" w:hanging="840"/>
        <w:rPr>
          <w:rFonts w:eastAsia="Arial Unicode MS"/>
          <w:noProof/>
          <w:szCs w:val="24"/>
        </w:rPr>
      </w:pPr>
      <w:r>
        <w:rPr>
          <w:noProof/>
        </w:rPr>
        <w:t>19.</w:t>
      </w:r>
      <w:r>
        <w:rPr>
          <w:noProof/>
        </w:rPr>
        <w:tab/>
        <w:t>Masse statique maximale techniquement admissible au point d’attelage: … kg</w:t>
      </w:r>
    </w:p>
    <w:p>
      <w:pPr>
        <w:spacing w:before="240" w:after="0"/>
        <w:ind w:left="850" w:hanging="839"/>
        <w:rPr>
          <w:rFonts w:eastAsia="Arial Unicode MS"/>
          <w:noProof/>
          <w:szCs w:val="24"/>
        </w:rPr>
      </w:pPr>
      <w:r>
        <w:rPr>
          <w:b/>
          <w:noProof/>
        </w:rPr>
        <w:t>Groupe moteur</w:t>
      </w:r>
    </w:p>
    <w:p>
      <w:pPr>
        <w:spacing w:after="0"/>
        <w:ind w:left="851" w:hanging="840"/>
        <w:rPr>
          <w:rFonts w:eastAsia="Arial Unicode MS"/>
          <w:noProof/>
          <w:szCs w:val="24"/>
        </w:rPr>
      </w:pPr>
      <w:r>
        <w:rPr>
          <w:noProof/>
        </w:rPr>
        <w:t>20.</w:t>
      </w:r>
      <w:r>
        <w:rPr>
          <w:noProof/>
        </w:rPr>
        <w:tab/>
        <w:t>Constructeur du moteur: …</w:t>
      </w:r>
    </w:p>
    <w:p>
      <w:pPr>
        <w:spacing w:after="0"/>
        <w:ind w:left="851" w:hanging="840"/>
        <w:rPr>
          <w:rFonts w:eastAsia="Arial Unicode MS"/>
          <w:noProof/>
          <w:szCs w:val="24"/>
        </w:rPr>
      </w:pPr>
      <w:r>
        <w:rPr>
          <w:noProof/>
        </w:rPr>
        <w:t>21.</w:t>
      </w:r>
      <w:r>
        <w:rPr>
          <w:noProof/>
        </w:rPr>
        <w:tab/>
        <w:t>Code du moteur tel que marqué sur le moteur: …</w:t>
      </w:r>
    </w:p>
    <w:p>
      <w:pPr>
        <w:spacing w:after="0"/>
        <w:ind w:left="851" w:hanging="840"/>
        <w:rPr>
          <w:rFonts w:eastAsia="Arial Unicode MS"/>
          <w:noProof/>
          <w:szCs w:val="24"/>
        </w:rPr>
      </w:pPr>
      <w:r>
        <w:rPr>
          <w:noProof/>
        </w:rPr>
        <w:t>22.</w:t>
      </w:r>
      <w:r>
        <w:rPr>
          <w:noProof/>
        </w:rPr>
        <w:tab/>
        <w:t>Principe de fonctionnement: …</w:t>
      </w:r>
    </w:p>
    <w:p>
      <w:pPr>
        <w:spacing w:after="0"/>
        <w:ind w:left="851" w:hanging="840"/>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Nombre et disposition des cylindres: …</w:t>
      </w:r>
    </w:p>
    <w:p>
      <w:pPr>
        <w:spacing w:after="0"/>
        <w:ind w:left="851" w:hanging="840"/>
        <w:rPr>
          <w:rFonts w:eastAsia="Arial Unicode MS"/>
          <w:noProof/>
          <w:szCs w:val="24"/>
        </w:rPr>
      </w:pPr>
      <w:r>
        <w:rPr>
          <w:noProof/>
        </w:rPr>
        <w:t>25.</w:t>
      </w:r>
      <w:r>
        <w:rPr>
          <w:noProof/>
        </w:rPr>
        <w:tab/>
        <w:t>Cylindrée: … cm</w:t>
      </w:r>
      <w:r>
        <w:rPr>
          <w:noProof/>
          <w:vertAlign w:val="superscript"/>
        </w:rPr>
        <w:t>3</w:t>
      </w:r>
    </w:p>
    <w:p>
      <w:pPr>
        <w:spacing w:after="0"/>
        <w:ind w:left="851" w:hanging="840"/>
        <w:jc w:val="left"/>
        <w:rPr>
          <w:rFonts w:eastAsia="Arial Unicode MS"/>
          <w:noProof/>
          <w:szCs w:val="24"/>
        </w:rPr>
      </w:pPr>
      <w:r>
        <w:rPr>
          <w:noProof/>
        </w:rPr>
        <w:t>26.</w:t>
      </w:r>
      <w:r>
        <w:rPr>
          <w:noProof/>
        </w:rPr>
        <w:tab/>
        <w:t>Carburant: gazole/essence/GPL/GNC-biométhane/GNL/éthanol/biogazole/hydrogène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Monocarburant/bicarburant/polycarburant/double carburant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Boîte de vitesses (type): …</w:t>
      </w:r>
    </w:p>
    <w:p>
      <w:pPr>
        <w:spacing w:before="240" w:after="0"/>
        <w:ind w:left="850" w:hanging="839"/>
        <w:rPr>
          <w:rFonts w:eastAsia="Arial Unicode MS"/>
          <w:noProof/>
          <w:szCs w:val="24"/>
        </w:rPr>
      </w:pPr>
      <w:r>
        <w:rPr>
          <w:b/>
          <w:noProof/>
        </w:rPr>
        <w:t>Vitesse maximale</w:t>
      </w:r>
    </w:p>
    <w:p>
      <w:pPr>
        <w:spacing w:after="0"/>
        <w:ind w:left="851" w:hanging="840"/>
        <w:rPr>
          <w:rFonts w:eastAsia="Arial Unicode MS"/>
          <w:noProof/>
          <w:szCs w:val="24"/>
        </w:rPr>
      </w:pPr>
      <w:r>
        <w:rPr>
          <w:noProof/>
        </w:rPr>
        <w:t>29.</w:t>
      </w:r>
      <w:r>
        <w:rPr>
          <w:noProof/>
        </w:rPr>
        <w:tab/>
        <w:t>Vitesse maximale: … km/h</w:t>
      </w:r>
    </w:p>
    <w:p>
      <w:pPr>
        <w:spacing w:before="240" w:after="0"/>
        <w:ind w:left="850" w:hanging="839"/>
        <w:rPr>
          <w:rFonts w:eastAsia="Arial Unicode MS"/>
          <w:noProof/>
          <w:szCs w:val="24"/>
        </w:rPr>
      </w:pPr>
      <w:r>
        <w:rPr>
          <w:b/>
          <w:noProof/>
        </w:rPr>
        <w:t>Essieux et suspension</w:t>
      </w:r>
    </w:p>
    <w:p>
      <w:pPr>
        <w:spacing w:after="0"/>
        <w:ind w:left="851" w:hanging="840"/>
        <w:rPr>
          <w:rFonts w:eastAsia="Arial Unicode MS"/>
          <w:noProof/>
          <w:szCs w:val="24"/>
        </w:rPr>
      </w:pPr>
      <w:r>
        <w:rPr>
          <w:noProof/>
        </w:rPr>
        <w:t>31.</w:t>
      </w:r>
      <w:r>
        <w:rPr>
          <w:noProof/>
        </w:rPr>
        <w:tab/>
        <w:t>Emplacement du ou des essieux relevables: …</w:t>
      </w:r>
    </w:p>
    <w:p>
      <w:pPr>
        <w:spacing w:after="0"/>
        <w:ind w:left="851" w:hanging="840"/>
        <w:rPr>
          <w:rFonts w:eastAsia="Arial Unicode MS"/>
          <w:noProof/>
          <w:szCs w:val="24"/>
        </w:rPr>
      </w:pPr>
      <w:r>
        <w:rPr>
          <w:noProof/>
        </w:rPr>
        <w:t>32.</w:t>
      </w:r>
      <w:r>
        <w:rPr>
          <w:noProof/>
        </w:rPr>
        <w:tab/>
        <w:t>Emplacement du ou des essieux chargeables: …</w:t>
      </w:r>
    </w:p>
    <w:p>
      <w:pPr>
        <w:spacing w:after="0"/>
        <w:ind w:left="851" w:hanging="840"/>
        <w:rPr>
          <w:rFonts w:eastAsia="Arial Unicode MS"/>
          <w:noProof/>
          <w:szCs w:val="24"/>
        </w:rPr>
      </w:pPr>
      <w:r>
        <w:rPr>
          <w:noProof/>
        </w:rPr>
        <w:t>33.</w:t>
      </w:r>
      <w:r>
        <w:rPr>
          <w:noProof/>
        </w:rPr>
        <w:tab/>
        <w:t>Essieu(x) moteur(s) équipé(s) d’une suspension pneumatique ou équivalente: oui/non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0" w:hanging="839"/>
        <w:rPr>
          <w:rFonts w:eastAsia="Arial Unicode MS"/>
          <w:noProof/>
          <w:szCs w:val="24"/>
        </w:rPr>
      </w:pPr>
      <w:r>
        <w:rPr>
          <w:b/>
          <w:noProof/>
        </w:rPr>
        <w:t>Freins</w:t>
      </w:r>
    </w:p>
    <w:p>
      <w:pPr>
        <w:spacing w:after="0"/>
        <w:ind w:left="851" w:hanging="840"/>
        <w:jc w:val="left"/>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Pression dans la conduite d’alimentation du système de freinage de la remorque: … bar</w:t>
      </w:r>
    </w:p>
    <w:p>
      <w:pPr>
        <w:spacing w:before="240" w:after="0"/>
        <w:ind w:left="850" w:hanging="839"/>
        <w:rPr>
          <w:rFonts w:eastAsia="Arial Unicode MS"/>
          <w:noProof/>
          <w:szCs w:val="24"/>
        </w:rPr>
      </w:pPr>
      <w:r>
        <w:rPr>
          <w:b/>
          <w:noProof/>
        </w:rPr>
        <w:t>Carrosserie</w:t>
      </w:r>
    </w:p>
    <w:p>
      <w:pPr>
        <w:spacing w:after="0"/>
        <w:ind w:left="851" w:hanging="851"/>
        <w:rPr>
          <w:rFonts w:eastAsia="Arial Unicode MS"/>
          <w:noProof/>
          <w:szCs w:val="24"/>
        </w:rPr>
      </w:pPr>
      <w:r>
        <w:rPr>
          <w:noProof/>
        </w:rPr>
        <w:t>38.</w:t>
      </w:r>
      <w:r>
        <w:rPr>
          <w:noProof/>
        </w:rPr>
        <w:tab/>
        <w:t>Code de la carrosserie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Nombre et configuration des portes: …</w:t>
      </w:r>
    </w:p>
    <w:p>
      <w:pPr>
        <w:spacing w:after="0"/>
        <w:ind w:left="851" w:hanging="851"/>
        <w:rPr>
          <w:rFonts w:eastAsia="Arial Unicode MS"/>
          <w:noProof/>
          <w:szCs w:val="24"/>
        </w:rPr>
      </w:pPr>
      <w:r>
        <w:rPr>
          <w:noProof/>
        </w:rPr>
        <w:t>42.</w:t>
      </w:r>
      <w:r>
        <w:rPr>
          <w:noProof/>
        </w:rPr>
        <w:tab/>
        <w:t>Nombre de places assises (y compris celle du conducteur) (</w:t>
      </w:r>
      <w:r>
        <w:rPr>
          <w:noProof/>
          <w:vertAlign w:val="superscript"/>
        </w:rPr>
        <w:t>k</w:t>
      </w:r>
      <w:r>
        <w:rPr>
          <w:noProof/>
        </w:rPr>
        <w:t>): …</w:t>
      </w:r>
    </w:p>
    <w:p>
      <w:pPr>
        <w:spacing w:before="240" w:after="0"/>
        <w:ind w:left="851" w:hanging="851"/>
        <w:rPr>
          <w:rFonts w:eastAsia="Arial Unicode MS"/>
          <w:noProof/>
          <w:szCs w:val="24"/>
        </w:rPr>
      </w:pPr>
      <w:r>
        <w:rPr>
          <w:b/>
          <w:noProof/>
        </w:rPr>
        <w:t>Dispositif d’attelage</w:t>
      </w:r>
    </w:p>
    <w:p>
      <w:pPr>
        <w:spacing w:after="0"/>
        <w:ind w:left="851" w:hanging="851"/>
        <w:rPr>
          <w:rFonts w:eastAsia="Arial Unicode MS"/>
          <w:noProof/>
          <w:szCs w:val="24"/>
        </w:rPr>
      </w:pPr>
      <w:r>
        <w:rPr>
          <w:noProof/>
        </w:rPr>
        <w:t>44.</w:t>
      </w:r>
      <w:r>
        <w:rPr>
          <w:noProof/>
        </w:rPr>
        <w:tab/>
        <w:t>Numéro de réception ou marque de réception du dispositif d’attelage (le cas échéant): …</w:t>
      </w:r>
    </w:p>
    <w:p>
      <w:pPr>
        <w:spacing w:after="0"/>
        <w:ind w:left="851" w:hanging="851"/>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1" w:hanging="851"/>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ind w:left="851"/>
        <w:rPr>
          <w:rFonts w:eastAsia="Arial Unicode MS"/>
          <w:noProof/>
          <w:szCs w:val="24"/>
        </w:rPr>
      </w:pPr>
      <w:r>
        <w:rPr>
          <w:noProof/>
        </w:rPr>
        <w:t>À l’arrêt: … dB(A) au régime moteur: … min</w:t>
      </w:r>
      <w:r>
        <w:rPr>
          <w:noProof/>
          <w:vertAlign w:val="superscript"/>
        </w:rPr>
        <w:t>-1</w:t>
      </w:r>
    </w:p>
    <w:p>
      <w:pPr>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ind w:left="851"/>
        <w:rPr>
          <w:rFonts w:eastAsia="Arial Unicode MS"/>
          <w:noProof/>
          <w:szCs w:val="24"/>
        </w:rPr>
      </w:pPr>
      <w:r>
        <w:rPr>
          <w:noProof/>
        </w:rPr>
        <w:t>Numéro de l’acte réglementaire de base et du dernier acte réglementaire modificatif: …</w:t>
      </w:r>
    </w:p>
    <w:p>
      <w:pPr>
        <w:spacing w:after="0"/>
        <w:ind w:left="1418" w:hanging="567"/>
        <w:rPr>
          <w:rFonts w:eastAsia="Arial Unicode MS"/>
          <w:noProof/>
          <w:szCs w:val="24"/>
        </w:rPr>
      </w:pPr>
      <w:r>
        <w:rPr>
          <w:noProof/>
        </w:rPr>
        <w:t>1.1.</w:t>
      </w:r>
      <w:r>
        <w:rPr>
          <w:noProof/>
        </w:rPr>
        <w:tab/>
        <w:t>Procédure d’essai: ESC</w:t>
      </w:r>
    </w:p>
    <w:p>
      <w:pPr>
        <w:tabs>
          <w:tab w:val="left" w:pos="2410"/>
          <w:tab w:val="left" w:pos="3544"/>
          <w:tab w:val="left" w:pos="4820"/>
          <w:tab w:val="left" w:pos="652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Particules: …</w:t>
      </w:r>
    </w:p>
    <w:p>
      <w:pPr>
        <w:ind w:left="851" w:firstLine="567"/>
        <w:rPr>
          <w:rFonts w:eastAsia="Arial Unicode MS"/>
          <w:noProof/>
          <w:szCs w:val="24"/>
          <w:lang w:val="it-IT"/>
        </w:rPr>
      </w:pPr>
      <w:r>
        <w:rPr>
          <w:noProof/>
        </w:rPr>
        <w:t xml:space="preserve">Opacité des fumées (ELR): … </w:t>
      </w:r>
      <w:r>
        <w:rPr>
          <w:noProof/>
          <w:lang w:val="it-IT"/>
        </w:rPr>
        <w:t>(m</w:t>
      </w:r>
      <w:r>
        <w:rPr>
          <w:noProof/>
          <w:vertAlign w:val="superscript"/>
          <w:lang w:val="it-IT"/>
        </w:rPr>
        <w:t>–1</w:t>
      </w:r>
      <w:r>
        <w:rPr>
          <w:noProof/>
          <w:lang w:val="it-IT"/>
        </w:rPr>
        <w:t>)</w:t>
      </w:r>
    </w:p>
    <w:p>
      <w:pPr>
        <w:ind w:left="1418" w:hanging="567"/>
        <w:rPr>
          <w:rFonts w:eastAsia="Arial Unicode MS"/>
          <w:noProof/>
          <w:szCs w:val="24"/>
          <w:lang w:val="it-IT"/>
        </w:rPr>
      </w:pPr>
      <w:r>
        <w:rPr>
          <w:noProof/>
          <w:lang w:val="it-IT"/>
        </w:rPr>
        <w:t>1.2.</w:t>
      </w:r>
      <w:r>
        <w:rPr>
          <w:noProof/>
          <w:lang w:val="it-IT"/>
        </w:rPr>
        <w:tab/>
        <w:t>Procédure d’essai: WHSC (EURO VI)</w:t>
      </w:r>
    </w:p>
    <w:p>
      <w:pPr>
        <w:tabs>
          <w:tab w:val="left" w:pos="2268"/>
          <w:tab w:val="left" w:pos="3261"/>
          <w:tab w:val="left" w:pos="4536"/>
          <w:tab w:val="left" w:pos="5529"/>
        </w:tabs>
        <w:ind w:left="1418"/>
        <w:jc w:val="left"/>
        <w:rPr>
          <w:rFonts w:eastAsia="Arial Unicode MS"/>
          <w:noProof/>
          <w:szCs w:val="24"/>
        </w:rPr>
      </w:pPr>
      <w:r>
        <w:rPr>
          <w:noProof/>
          <w:lang w:val="it-IT"/>
        </w:rPr>
        <w:t xml:space="preserve">CO: … </w:t>
      </w:r>
      <w:r>
        <w:rPr>
          <w:noProof/>
          <w:lang w:val="it-IT"/>
        </w:rPr>
        <w:tab/>
        <w:t xml:space="preserve">THC: … </w:t>
      </w:r>
      <w:r>
        <w:rPr>
          <w:noProof/>
          <w:lang w:val="it-IT"/>
        </w:rPr>
        <w:tab/>
        <w:t xml:space="preserve">NMHC: … </w:t>
      </w:r>
      <w:r>
        <w:rPr>
          <w:noProof/>
          <w:lang w:val="it-IT"/>
        </w:rPr>
        <w:tab/>
        <w:t>NO</w:t>
      </w:r>
      <w:r>
        <w:rPr>
          <w:noProof/>
          <w:vertAlign w:val="subscript"/>
          <w:lang w:val="it-IT"/>
        </w:rPr>
        <w:t>x</w:t>
      </w:r>
      <w:r>
        <w:rPr>
          <w:noProof/>
          <w:lang w:val="it-IT"/>
        </w:rPr>
        <w:t xml:space="preserve">: … </w:t>
      </w:r>
      <w:r>
        <w:rPr>
          <w:noProof/>
          <w:lang w:val="it-IT"/>
        </w:rPr>
        <w:tab/>
        <w:t>THC + NO</w:t>
      </w:r>
      <w:r>
        <w:rPr>
          <w:noProof/>
          <w:vertAlign w:val="subscript"/>
          <w:lang w:val="it-IT"/>
        </w:rPr>
        <w:t>x</w:t>
      </w:r>
      <w:r>
        <w:rPr>
          <w:noProof/>
          <w:lang w:val="it-IT"/>
        </w:rPr>
        <w:t xml:space="preserve">: … </w:t>
      </w:r>
      <w:r>
        <w:rPr>
          <w:noProof/>
          <w:lang w:val="it-IT"/>
        </w:rPr>
        <w:tab/>
      </w:r>
      <w:r>
        <w:rPr>
          <w:noProof/>
        </w:rPr>
        <w:t>NH</w:t>
      </w:r>
      <w:r>
        <w:rPr>
          <w:noProof/>
          <w:vertAlign w:val="subscript"/>
        </w:rPr>
        <w:t>3</w:t>
      </w:r>
      <w:r>
        <w:rPr>
          <w:noProof/>
        </w:rPr>
        <w:t xml:space="preserve">: … </w:t>
      </w:r>
      <w:r>
        <w:rPr>
          <w:noProof/>
        </w:rPr>
        <w:br/>
        <w:t>Particules (masse): …Particules (nombre): …</w:t>
      </w:r>
    </w:p>
    <w:p>
      <w:pPr>
        <w:spacing w:after="0"/>
        <w:ind w:left="1418" w:hanging="567"/>
        <w:rPr>
          <w:rFonts w:eastAsia="Arial Unicode MS"/>
          <w:noProof/>
          <w:szCs w:val="24"/>
        </w:rPr>
      </w:pPr>
      <w:r>
        <w:rPr>
          <w:noProof/>
        </w:rPr>
        <w:t>2.1.</w:t>
      </w:r>
      <w:r>
        <w:rPr>
          <w:noProof/>
        </w:rPr>
        <w:tab/>
        <w:t>Procédure d’essai: ETC (le cas échéant)</w:t>
      </w:r>
    </w:p>
    <w:p>
      <w:pPr>
        <w:tabs>
          <w:tab w:val="left" w:pos="2410"/>
          <w:tab w:val="left" w:pos="3686"/>
          <w:tab w:val="left" w:pos="5103"/>
          <w:tab w:val="left" w:pos="6379"/>
          <w:tab w:val="left" w:pos="7513"/>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Particules: …</w:t>
      </w:r>
    </w:p>
    <w:p>
      <w:pPr>
        <w:tabs>
          <w:tab w:val="left" w:pos="2410"/>
          <w:tab w:val="left" w:pos="3686"/>
          <w:tab w:val="left" w:pos="5103"/>
          <w:tab w:val="left" w:pos="6379"/>
          <w:tab w:val="left" w:pos="7513"/>
        </w:tabs>
        <w:spacing w:after="0"/>
        <w:ind w:left="1418" w:hanging="567"/>
        <w:rPr>
          <w:rFonts w:eastAsia="Arial Unicode MS"/>
          <w:noProof/>
          <w:szCs w:val="24"/>
          <w:lang w:val="it-IT"/>
        </w:rPr>
      </w:pPr>
      <w:r>
        <w:rPr>
          <w:noProof/>
          <w:lang w:val="it-IT"/>
        </w:rPr>
        <w:t>2.2.</w:t>
      </w:r>
      <w:r>
        <w:rPr>
          <w:noProof/>
          <w:lang w:val="it-IT"/>
        </w:rPr>
        <w:tab/>
        <w:t>Procédure d’essai: WHTC (EURO VI)</w:t>
      </w:r>
    </w:p>
    <w:p>
      <w:pPr>
        <w:tabs>
          <w:tab w:val="left" w:pos="2410"/>
          <w:tab w:val="left" w:pos="3686"/>
          <w:tab w:val="left" w:pos="5103"/>
          <w:tab w:val="left" w:pos="6379"/>
          <w:tab w:val="left" w:pos="7513"/>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Particules (masse): …Particules (nombre): …</w:t>
      </w:r>
    </w:p>
    <w:p>
      <w:pPr>
        <w:spacing w:after="0"/>
        <w:ind w:left="851" w:hanging="851"/>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before="240" w:after="0"/>
        <w:ind w:left="851" w:hanging="851"/>
        <w:rPr>
          <w:rFonts w:eastAsia="Arial Unicode MS"/>
          <w:noProof/>
          <w:szCs w:val="24"/>
        </w:rPr>
      </w:pPr>
      <w:r>
        <w:rPr>
          <w:b/>
          <w:noProof/>
        </w:rPr>
        <w:t>Divers</w:t>
      </w:r>
    </w:p>
    <w:p>
      <w:pPr>
        <w:spacing w:after="0"/>
        <w:ind w:left="851" w:hanging="851"/>
        <w:rPr>
          <w:rFonts w:eastAsia="Arial Unicode MS"/>
          <w:noProof/>
          <w:szCs w:val="24"/>
        </w:rPr>
      </w:pPr>
      <w:r>
        <w:rPr>
          <w:noProof/>
        </w:rPr>
        <w:t>50.</w:t>
      </w:r>
      <w:r>
        <w:rPr>
          <w:noProof/>
        </w:rPr>
        <w:tab/>
        <w:t>Réceptionné par type conformément aux prescriptions en matière de conception applicables pour le transport de matières dangereuses: oui/classe(s): …/non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Pour les véhicules à usage spécial: désignation conformément à la section 5 de l’annexe II: …</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CATÉGORIES DE VÉHICULES O</w:t>
      </w:r>
      <w:r>
        <w:rPr>
          <w:noProof/>
          <w:vertAlign w:val="subscript"/>
        </w:rPr>
        <w:t>1</w:t>
      </w:r>
      <w:r>
        <w:rPr>
          <w:noProof/>
        </w:rPr>
        <w:t xml:space="preserve"> ET O</w:t>
      </w:r>
      <w:r>
        <w:rPr>
          <w:noProof/>
          <w:vertAlign w:val="subscript"/>
        </w:rPr>
        <w:t>2</w:t>
      </w:r>
    </w:p>
    <w:p>
      <w:pPr>
        <w:jc w:val="center"/>
        <w:rPr>
          <w:rFonts w:eastAsia="Arial Unicode MS"/>
          <w:bCs/>
          <w:noProof/>
          <w:szCs w:val="24"/>
        </w:rPr>
      </w:pPr>
      <w:r>
        <w:rPr>
          <w:noProof/>
        </w:rPr>
        <w:t>(véhicules complets et complétés)</w:t>
      </w:r>
    </w:p>
    <w:p>
      <w:pPr>
        <w:jc w:val="left"/>
        <w:rPr>
          <w:rFonts w:eastAsia="Arial Unicode MS"/>
          <w:b/>
          <w:bC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Longueur: … mm</w:t>
      </w:r>
    </w:p>
    <w:p>
      <w:pPr>
        <w:spacing w:after="0"/>
        <w:ind w:left="851" w:hanging="851"/>
        <w:rPr>
          <w:rFonts w:eastAsia="Arial Unicode MS"/>
          <w:noProof/>
          <w:szCs w:val="24"/>
        </w:rPr>
      </w:pPr>
      <w:r>
        <w:rPr>
          <w:noProof/>
        </w:rPr>
        <w:t>6.</w:t>
      </w:r>
      <w:r>
        <w:rPr>
          <w:noProof/>
        </w:rPr>
        <w:tab/>
        <w:t>Largeur: … mm</w:t>
      </w:r>
    </w:p>
    <w:p>
      <w:pPr>
        <w:spacing w:after="0"/>
        <w:ind w:left="851" w:hanging="851"/>
        <w:rPr>
          <w:rFonts w:eastAsia="Arial Unicode MS"/>
          <w:noProof/>
          <w:szCs w:val="24"/>
        </w:rPr>
      </w:pPr>
      <w:r>
        <w:rPr>
          <w:noProof/>
        </w:rPr>
        <w:t>7.</w:t>
      </w:r>
      <w:r>
        <w:rPr>
          <w:noProof/>
        </w:rPr>
        <w:tab/>
        <w:t>Hauteur: … mm</w:t>
      </w:r>
    </w:p>
    <w:p>
      <w:pPr>
        <w:spacing w:after="0"/>
        <w:ind w:left="851" w:hanging="851"/>
        <w:rPr>
          <w:rFonts w:eastAsia="Arial Unicode MS"/>
          <w:noProof/>
          <w:szCs w:val="24"/>
        </w:rPr>
      </w:pPr>
      <w:r>
        <w:rPr>
          <w:noProof/>
        </w:rPr>
        <w:t>10.</w:t>
      </w:r>
      <w:r>
        <w:rPr>
          <w:noProof/>
        </w:rPr>
        <w:tab/>
        <w:t>Distance entre le centre du dispositif d’attelage et l’extrémité arrière du véhicule: … mm</w:t>
      </w:r>
    </w:p>
    <w:p>
      <w:pPr>
        <w:spacing w:after="0"/>
        <w:ind w:left="851" w:hanging="851"/>
        <w:rPr>
          <w:rFonts w:eastAsia="Arial Unicode MS"/>
          <w:noProof/>
          <w:szCs w:val="24"/>
        </w:rPr>
      </w:pPr>
      <w:r>
        <w:rPr>
          <w:noProof/>
        </w:rPr>
        <w:t>11.</w:t>
      </w:r>
      <w:r>
        <w:rPr>
          <w:noProof/>
        </w:rPr>
        <w:tab/>
        <w:t>Longueur de la zone de chargement: … mm</w:t>
      </w:r>
    </w:p>
    <w:p>
      <w:pPr>
        <w:spacing w:after="0"/>
        <w:ind w:left="851" w:hanging="851"/>
        <w:rPr>
          <w:rFonts w:eastAsia="Arial Unicode MS"/>
          <w:noProof/>
          <w:szCs w:val="24"/>
        </w:rPr>
      </w:pPr>
      <w:r>
        <w:rPr>
          <w:noProof/>
        </w:rPr>
        <w:t>12.</w:t>
      </w:r>
      <w:r>
        <w:rPr>
          <w:noProof/>
        </w:rPr>
        <w:tab/>
        <w:t>Porte-à-faux arrière: … mm</w:t>
      </w:r>
    </w:p>
    <w:p>
      <w:pPr>
        <w:spacing w:before="240"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13.</w:t>
      </w:r>
      <w:r>
        <w:rPr>
          <w:noProof/>
        </w:rPr>
        <w:tab/>
        <w:t>Masse en ordre de marche: … kg</w:t>
      </w:r>
    </w:p>
    <w:p>
      <w:pPr>
        <w:tabs>
          <w:tab w:val="left" w:pos="5387"/>
          <w:tab w:val="left" w:pos="6663"/>
        </w:tabs>
        <w:spacing w:after="0"/>
        <w:ind w:left="851" w:hanging="851"/>
        <w:rPr>
          <w:rFonts w:eastAsia="Arial Unicode MS"/>
          <w:noProof/>
          <w:szCs w:val="24"/>
        </w:rPr>
      </w:pPr>
      <w:r>
        <w:rPr>
          <w:noProof/>
        </w:rPr>
        <w:t>13.1.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Masse réelle du véhicule: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5387"/>
        </w:tabs>
        <w:spacing w:after="0"/>
        <w:ind w:left="851" w:hanging="851"/>
        <w:rPr>
          <w:rFonts w:eastAsia="Arial Unicode MS"/>
          <w:noProof/>
          <w:szCs w:val="24"/>
        </w:rPr>
      </w:pPr>
      <w:r>
        <w:rPr>
          <w:noProof/>
        </w:rPr>
        <w:t>16.2.</w:t>
      </w:r>
      <w:r>
        <w:rPr>
          <w:noProof/>
        </w:rPr>
        <w:tab/>
        <w:t>Masse techniquement admissible sur chaque essieu:</w:t>
      </w:r>
      <w:r>
        <w:rPr>
          <w:noProof/>
        </w:rPr>
        <w:tab/>
        <w:t>1. … kg</w:t>
      </w:r>
      <w:r>
        <w:rPr>
          <w:noProof/>
        </w:rPr>
        <w:tab/>
        <w:t>2. … kg</w:t>
      </w:r>
      <w:r>
        <w:rPr>
          <w:noProof/>
        </w:rPr>
        <w:tab/>
        <w:t>3. … kg etc.</w:t>
      </w:r>
    </w:p>
    <w:p>
      <w:pPr>
        <w:tabs>
          <w:tab w:val="left" w:pos="5812"/>
          <w:tab w:val="left" w:pos="6946"/>
        </w:tabs>
        <w:spacing w:after="0"/>
        <w:ind w:left="851" w:hanging="851"/>
        <w:rPr>
          <w:rFonts w:eastAsia="Arial Unicode MS"/>
          <w:noProof/>
          <w:szCs w:val="24"/>
        </w:rPr>
      </w:pPr>
      <w:r>
        <w:rPr>
          <w:noProof/>
        </w:rPr>
        <w:t>16.3.</w:t>
      </w:r>
      <w:r>
        <w:rPr>
          <w:noProof/>
        </w:rPr>
        <w:tab/>
        <w:t xml:space="preserve">Masse techniquement admissible sur chaque groupe d’essieux: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19.</w:t>
      </w:r>
      <w:r>
        <w:rPr>
          <w:noProof/>
        </w:rPr>
        <w:tab/>
        <w:t>Masse statique maximale techniquement admissible au point d’attelage d’une semi-remorque ou d’une remorque à essieu central: … kg</w:t>
      </w:r>
    </w:p>
    <w:p>
      <w:pPr>
        <w:spacing w:before="240"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before="240" w:after="0"/>
        <w:ind w:left="851" w:hanging="851"/>
        <w:rPr>
          <w:rFonts w:eastAsia="Arial Unicode MS"/>
          <w:noProof/>
          <w:szCs w:val="24"/>
        </w:rPr>
      </w:pPr>
      <w:r>
        <w:rPr>
          <w:b/>
          <w:noProof/>
        </w:rPr>
        <w:t>Essieux et suspension</w:t>
      </w:r>
    </w:p>
    <w:p>
      <w:pPr>
        <w:spacing w:after="0"/>
        <w:ind w:left="851" w:hanging="851"/>
        <w:rPr>
          <w:rFonts w:eastAsia="Arial Unicode MS"/>
          <w:noProof/>
          <w:szCs w:val="24"/>
        </w:rPr>
      </w:pPr>
      <w:r>
        <w:rPr>
          <w:noProof/>
        </w:rPr>
        <w:t>30.1.</w:t>
      </w:r>
      <w:r>
        <w:rPr>
          <w:noProof/>
        </w:rPr>
        <w:tab/>
        <w:t>Voie de chaque essieu directeur: … mm</w:t>
      </w:r>
    </w:p>
    <w:p>
      <w:pPr>
        <w:spacing w:after="0"/>
        <w:ind w:left="851" w:hanging="851"/>
        <w:rPr>
          <w:rFonts w:eastAsia="Arial Unicode MS"/>
          <w:noProof/>
          <w:szCs w:val="24"/>
        </w:rPr>
      </w:pPr>
      <w:r>
        <w:rPr>
          <w:noProof/>
        </w:rPr>
        <w:t>30.2.</w:t>
      </w:r>
      <w:r>
        <w:rPr>
          <w:noProof/>
        </w:rPr>
        <w:tab/>
        <w:t>Voie de tous les autres essieux: … mm</w:t>
      </w:r>
    </w:p>
    <w:p>
      <w:pPr>
        <w:spacing w:after="0"/>
        <w:ind w:left="851" w:hanging="851"/>
        <w:rPr>
          <w:rFonts w:eastAsia="Arial Unicode MS"/>
          <w:noProof/>
          <w:szCs w:val="24"/>
        </w:rPr>
      </w:pPr>
      <w:r>
        <w:rPr>
          <w:noProof/>
        </w:rPr>
        <w:t>31.</w:t>
      </w:r>
      <w:r>
        <w:rPr>
          <w:noProof/>
        </w:rPr>
        <w:tab/>
        <w:t>Emplacement du ou des essieux relevables: …</w:t>
      </w:r>
    </w:p>
    <w:p>
      <w:pPr>
        <w:spacing w:after="0"/>
        <w:ind w:left="851" w:hanging="851"/>
        <w:rPr>
          <w:rFonts w:eastAsia="Arial Unicode MS"/>
          <w:noProof/>
          <w:szCs w:val="24"/>
        </w:rPr>
      </w:pPr>
      <w:r>
        <w:rPr>
          <w:noProof/>
        </w:rPr>
        <w:t>32.</w:t>
      </w:r>
      <w:r>
        <w:rPr>
          <w:noProof/>
        </w:rPr>
        <w:tab/>
        <w:t>Emplacement du ou des essieux chargeables: …</w:t>
      </w:r>
    </w:p>
    <w:p>
      <w:pPr>
        <w:spacing w:after="0"/>
        <w:ind w:left="851" w:hanging="851"/>
        <w:rPr>
          <w:rFonts w:eastAsia="Arial Unicode MS"/>
          <w:noProof/>
          <w:szCs w:val="24"/>
        </w:rPr>
      </w:pPr>
      <w:r>
        <w:rPr>
          <w:noProof/>
        </w:rPr>
        <w:t>34.</w:t>
      </w:r>
      <w:r>
        <w:rPr>
          <w:noProof/>
        </w:rPr>
        <w:tab/>
        <w:t>Essieu(x) équipé(s) d’une suspension pneumatique ou équivalente: oui/non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1" w:hanging="851"/>
        <w:rPr>
          <w:rFonts w:eastAsia="Arial Unicode MS"/>
          <w:noProof/>
          <w:szCs w:val="24"/>
        </w:rPr>
      </w:pPr>
      <w:r>
        <w:rPr>
          <w:b/>
          <w:noProof/>
        </w:rPr>
        <w:t>Freins</w:t>
      </w:r>
    </w:p>
    <w:p>
      <w:pPr>
        <w:spacing w:after="0"/>
        <w:ind w:left="851" w:hanging="851"/>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before="240" w:after="0"/>
        <w:ind w:left="851" w:hanging="851"/>
        <w:rPr>
          <w:rFonts w:eastAsia="Arial Unicode MS"/>
          <w:noProof/>
          <w:szCs w:val="24"/>
        </w:rPr>
      </w:pPr>
      <w:r>
        <w:rPr>
          <w:b/>
          <w:noProof/>
        </w:rPr>
        <w:t>Carrosserie</w:t>
      </w:r>
    </w:p>
    <w:p>
      <w:pPr>
        <w:spacing w:after="0"/>
        <w:ind w:left="851" w:hanging="851"/>
        <w:rPr>
          <w:rFonts w:eastAsia="Arial Unicode MS"/>
          <w:noProof/>
          <w:szCs w:val="24"/>
        </w:rPr>
      </w:pPr>
      <w:r>
        <w:rPr>
          <w:noProof/>
        </w:rPr>
        <w:t>38.</w:t>
      </w:r>
      <w:r>
        <w:rPr>
          <w:noProof/>
        </w:rPr>
        <w:tab/>
        <w:t>Code de la carrosserie (</w:t>
      </w:r>
      <w:r>
        <w:rPr>
          <w:noProof/>
          <w:vertAlign w:val="superscript"/>
        </w:rPr>
        <w:t>i</w:t>
      </w:r>
      <w:r>
        <w:rPr>
          <w:noProof/>
        </w:rPr>
        <w:t>): …</w:t>
      </w:r>
    </w:p>
    <w:p>
      <w:pPr>
        <w:spacing w:before="240" w:after="0"/>
        <w:ind w:left="851" w:hanging="851"/>
        <w:rPr>
          <w:rFonts w:eastAsia="Arial Unicode MS"/>
          <w:noProof/>
          <w:szCs w:val="24"/>
        </w:rPr>
      </w:pPr>
      <w:r>
        <w:rPr>
          <w:b/>
          <w:noProof/>
        </w:rPr>
        <w:t>Dispositif d’attelage</w:t>
      </w:r>
    </w:p>
    <w:p>
      <w:pPr>
        <w:spacing w:after="0"/>
        <w:ind w:left="851" w:hanging="851"/>
        <w:rPr>
          <w:rFonts w:eastAsia="Arial Unicode MS"/>
          <w:noProof/>
          <w:szCs w:val="24"/>
        </w:rPr>
      </w:pPr>
      <w:r>
        <w:rPr>
          <w:noProof/>
        </w:rPr>
        <w:t>44.</w:t>
      </w:r>
      <w:r>
        <w:rPr>
          <w:noProof/>
        </w:rPr>
        <w:tab/>
        <w:t>Numéro de réception ou marque de réception du dispositif d’attelage (le cas échéant): …</w:t>
      </w:r>
    </w:p>
    <w:p>
      <w:pPr>
        <w:spacing w:after="0"/>
        <w:ind w:left="851" w:hanging="851"/>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1" w:hanging="851"/>
        <w:rPr>
          <w:rFonts w:eastAsia="Arial Unicode MS"/>
          <w:noProof/>
          <w:szCs w:val="24"/>
        </w:rPr>
      </w:pPr>
      <w:r>
        <w:rPr>
          <w:b/>
          <w:noProof/>
        </w:rPr>
        <w:t>Divers</w:t>
      </w:r>
    </w:p>
    <w:p>
      <w:pPr>
        <w:spacing w:after="0"/>
        <w:ind w:left="851" w:hanging="851"/>
        <w:rPr>
          <w:rFonts w:eastAsia="Arial Unicode MS"/>
          <w:noProof/>
          <w:szCs w:val="24"/>
        </w:rPr>
      </w:pPr>
      <w:r>
        <w:rPr>
          <w:noProof/>
        </w:rPr>
        <w:t>50.</w:t>
      </w:r>
      <w:r>
        <w:rPr>
          <w:noProof/>
        </w:rPr>
        <w:tab/>
        <w:t>Réceptionné par type conformément aux prescriptions en matière de conception applicables pour le transport de matières dangereuses: oui/classe(s): …/non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Pour les véhicules à usage spécial: désignation conformément à la section 5 de l’annexe II: …</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CATÉGORIES DE VÉHICULES O</w:t>
      </w:r>
      <w:r>
        <w:rPr>
          <w:noProof/>
          <w:vertAlign w:val="subscript"/>
        </w:rPr>
        <w:t>3</w:t>
      </w:r>
      <w:r>
        <w:rPr>
          <w:noProof/>
        </w:rPr>
        <w:t xml:space="preserve"> ET O</w:t>
      </w:r>
      <w:r>
        <w:rPr>
          <w:noProof/>
          <w:vertAlign w:val="subscript"/>
        </w:rPr>
        <w:t>4</w:t>
      </w:r>
    </w:p>
    <w:p>
      <w:pPr>
        <w:jc w:val="center"/>
        <w:rPr>
          <w:rFonts w:eastAsia="Arial Unicode MS"/>
          <w:bCs/>
          <w:noProof/>
          <w:szCs w:val="24"/>
        </w:rPr>
      </w:pPr>
      <w:r>
        <w:rPr>
          <w:noProof/>
        </w:rPr>
        <w:t>(véhicules complets et complétés)</w:t>
      </w:r>
    </w:p>
    <w:p>
      <w:pPr>
        <w:jc w:val="left"/>
        <w:rPr>
          <w:rFonts w:eastAsia="Arial Unicode MS"/>
          <w:b/>
          <w:bC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2.</w:t>
      </w:r>
      <w:r>
        <w:rPr>
          <w:noProof/>
        </w:rPr>
        <w:tab/>
        <w:t>Essieux directeurs (nombre, emplacement):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Longueur: … mm</w:t>
      </w:r>
    </w:p>
    <w:p>
      <w:pPr>
        <w:spacing w:after="0"/>
        <w:ind w:left="851" w:hanging="851"/>
        <w:rPr>
          <w:rFonts w:eastAsia="Arial Unicode MS"/>
          <w:noProof/>
          <w:szCs w:val="24"/>
        </w:rPr>
      </w:pPr>
      <w:r>
        <w:rPr>
          <w:noProof/>
        </w:rPr>
        <w:t>6.</w:t>
      </w:r>
      <w:r>
        <w:rPr>
          <w:noProof/>
        </w:rPr>
        <w:tab/>
        <w:t>Largeur: … mm</w:t>
      </w:r>
    </w:p>
    <w:p>
      <w:pPr>
        <w:spacing w:after="0"/>
        <w:ind w:left="851" w:hanging="851"/>
        <w:rPr>
          <w:rFonts w:eastAsia="Arial Unicode MS"/>
          <w:noProof/>
          <w:szCs w:val="24"/>
        </w:rPr>
      </w:pPr>
      <w:r>
        <w:rPr>
          <w:noProof/>
        </w:rPr>
        <w:t>7.</w:t>
      </w:r>
      <w:r>
        <w:rPr>
          <w:noProof/>
        </w:rPr>
        <w:tab/>
        <w:t>Hauteur: … mm</w:t>
      </w:r>
    </w:p>
    <w:p>
      <w:pPr>
        <w:spacing w:after="0"/>
        <w:ind w:left="851" w:hanging="851"/>
        <w:rPr>
          <w:rFonts w:eastAsia="Arial Unicode MS"/>
          <w:noProof/>
          <w:szCs w:val="24"/>
        </w:rPr>
      </w:pPr>
      <w:r>
        <w:rPr>
          <w:noProof/>
        </w:rPr>
        <w:t>10.</w:t>
      </w:r>
      <w:r>
        <w:rPr>
          <w:noProof/>
        </w:rPr>
        <w:tab/>
        <w:t>Distance entre le centre du dispositif d’attelage et l’extrémité arrière du véhicule: … mm</w:t>
      </w:r>
    </w:p>
    <w:p>
      <w:pPr>
        <w:spacing w:after="0"/>
        <w:ind w:left="851" w:hanging="851"/>
        <w:rPr>
          <w:rFonts w:eastAsia="Arial Unicode MS"/>
          <w:noProof/>
          <w:szCs w:val="24"/>
        </w:rPr>
      </w:pPr>
      <w:r>
        <w:rPr>
          <w:noProof/>
        </w:rPr>
        <w:t>11.</w:t>
      </w:r>
      <w:r>
        <w:rPr>
          <w:noProof/>
        </w:rPr>
        <w:tab/>
        <w:t>Longueur de la zone de chargement: … mm</w:t>
      </w:r>
    </w:p>
    <w:p>
      <w:pPr>
        <w:spacing w:after="0"/>
        <w:ind w:left="851" w:hanging="851"/>
        <w:rPr>
          <w:rFonts w:eastAsia="Arial Unicode MS"/>
          <w:noProof/>
          <w:szCs w:val="24"/>
        </w:rPr>
      </w:pPr>
      <w:r>
        <w:rPr>
          <w:noProof/>
        </w:rPr>
        <w:t>12.</w:t>
      </w:r>
      <w:r>
        <w:rPr>
          <w:noProof/>
        </w:rPr>
        <w:tab/>
        <w:t>Porte-à-faux arrière: … mm</w:t>
      </w:r>
    </w:p>
    <w:p>
      <w:pPr>
        <w:spacing w:before="240" w:after="0"/>
        <w:ind w:left="851" w:hanging="851"/>
        <w:rPr>
          <w:rFonts w:eastAsia="Arial Unicode MS"/>
          <w:b/>
          <w:bCs/>
          <w:noProof/>
          <w:szCs w:val="24"/>
        </w:rPr>
      </w:pPr>
      <w:r>
        <w:rPr>
          <w:b/>
          <w:noProof/>
        </w:rPr>
        <w:t xml:space="preserve">Masses </w:t>
      </w:r>
    </w:p>
    <w:p>
      <w:pPr>
        <w:spacing w:after="0"/>
        <w:ind w:left="851" w:hanging="851"/>
        <w:rPr>
          <w:rFonts w:eastAsia="Arial Unicode MS"/>
          <w:noProof/>
          <w:szCs w:val="24"/>
        </w:rPr>
      </w:pPr>
      <w:r>
        <w:rPr>
          <w:noProof/>
        </w:rPr>
        <w:t>13.</w:t>
      </w:r>
      <w:r>
        <w:rPr>
          <w:noProof/>
        </w:rPr>
        <w:tab/>
        <w:t>Masse en ordre de marche: … kg</w:t>
      </w:r>
    </w:p>
    <w:p>
      <w:pPr>
        <w:spacing w:after="0"/>
        <w:ind w:left="851" w:hanging="851"/>
        <w:rPr>
          <w:rFonts w:eastAsia="Arial Unicode MS"/>
          <w:noProof/>
          <w:szCs w:val="24"/>
        </w:rPr>
      </w:pPr>
      <w:r>
        <w:rPr>
          <w:noProof/>
        </w:rPr>
        <w:t>13.1.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Masse réelle du véhicule: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spacing w:after="0"/>
        <w:ind w:left="851" w:hanging="851"/>
        <w:rPr>
          <w:rFonts w:eastAsia="Arial Unicode MS"/>
          <w:noProof/>
          <w:szCs w:val="24"/>
        </w:rPr>
      </w:pPr>
      <w:r>
        <w:rPr>
          <w:noProof/>
        </w:rPr>
        <w:t>16.2.</w:t>
      </w:r>
      <w:r>
        <w:rPr>
          <w:noProof/>
        </w:rPr>
        <w:tab/>
        <w:t>Masse techniquement admissible sur chaque essieu:</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16.3.</w:t>
      </w:r>
      <w:r>
        <w:rPr>
          <w:noProof/>
        </w:rPr>
        <w:tab/>
        <w:t xml:space="preserve">Masse techniquement admissible sur chaque groupe d’essieux: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17.</w:t>
      </w:r>
      <w:r>
        <w:rPr>
          <w:noProof/>
        </w:rPr>
        <w:tab/>
        <w:t>Masses maximales admissibles à l’immatriculation/en service prévues pour le trafic national/international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Masse en charge maximale admissible à l’immatriculation/en service prévue: … kg</w:t>
      </w:r>
    </w:p>
    <w:p>
      <w:pPr>
        <w:spacing w:after="0"/>
        <w:ind w:left="851" w:hanging="851"/>
        <w:rPr>
          <w:rFonts w:eastAsia="Arial Unicode MS"/>
          <w:noProof/>
          <w:szCs w:val="24"/>
        </w:rPr>
      </w:pPr>
      <w:r>
        <w:rPr>
          <w:noProof/>
        </w:rPr>
        <w:t>17.2.</w:t>
      </w:r>
      <w:r>
        <w:rPr>
          <w:noProof/>
        </w:rPr>
        <w:tab/>
        <w:t>Masse en charge maximale admissible à l’immatriculation/en service prévue sur chaque essieu:</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t>17.3.</w:t>
      </w:r>
      <w:r>
        <w:rPr>
          <w:noProof/>
        </w:rPr>
        <w:tab/>
        <w:t>Masse en charge maximale admissible à l’immatriculation/en service prévue sur chaque groupe d’essieux:</w:t>
      </w:r>
    </w:p>
    <w:p>
      <w:pPr>
        <w:spacing w:after="0"/>
        <w:ind w:left="851" w:hanging="851"/>
        <w:rPr>
          <w:rFonts w:eastAsia="Arial Unicode MS"/>
          <w:noProof/>
          <w:szCs w:val="24"/>
        </w:rPr>
      </w:pPr>
      <w:r>
        <w:rPr>
          <w:noProof/>
        </w:rPr>
        <w:tab/>
        <w:t>1. … kg</w:t>
      </w:r>
      <w:r>
        <w:rPr>
          <w:noProof/>
        </w:rPr>
        <w:tab/>
        <w:t>2. … kg</w:t>
      </w:r>
      <w:r>
        <w:rPr>
          <w:noProof/>
        </w:rPr>
        <w:tab/>
        <w:t>3. … kg etc.</w:t>
      </w:r>
    </w:p>
    <w:p>
      <w:pPr>
        <w:spacing w:after="0"/>
        <w:ind w:left="851" w:hanging="851"/>
        <w:rPr>
          <w:rFonts w:eastAsia="Arial Unicode MS"/>
          <w:noProof/>
          <w:szCs w:val="24"/>
        </w:rPr>
      </w:pPr>
      <w:r>
        <w:rPr>
          <w:noProof/>
        </w:rPr>
        <w:t>19.</w:t>
      </w:r>
      <w:r>
        <w:rPr>
          <w:noProof/>
        </w:rPr>
        <w:tab/>
        <w:t>Masse statique maximale techniquement admissible au point d’attelage d’une semi-remorque ou d’une remorque à essieu central: … kg</w:t>
      </w:r>
    </w:p>
    <w:p>
      <w:pPr>
        <w:spacing w:before="240"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before="240" w:after="0"/>
        <w:ind w:left="851" w:hanging="851"/>
        <w:rPr>
          <w:rFonts w:eastAsia="Arial Unicode MS"/>
          <w:noProof/>
          <w:szCs w:val="24"/>
        </w:rPr>
      </w:pPr>
      <w:r>
        <w:rPr>
          <w:b/>
          <w:noProof/>
        </w:rPr>
        <w:t>Essieux et suspension</w:t>
      </w:r>
    </w:p>
    <w:p>
      <w:pPr>
        <w:spacing w:after="0"/>
        <w:ind w:left="851" w:hanging="851"/>
        <w:rPr>
          <w:rFonts w:eastAsia="Arial Unicode MS"/>
          <w:noProof/>
          <w:szCs w:val="24"/>
        </w:rPr>
      </w:pPr>
      <w:r>
        <w:rPr>
          <w:noProof/>
        </w:rPr>
        <w:t>31.</w:t>
      </w:r>
      <w:r>
        <w:rPr>
          <w:noProof/>
        </w:rPr>
        <w:tab/>
        <w:t>Emplacement du ou des essieux relevables: …</w:t>
      </w:r>
    </w:p>
    <w:p>
      <w:pPr>
        <w:spacing w:after="0"/>
        <w:ind w:left="851" w:hanging="851"/>
        <w:rPr>
          <w:rFonts w:eastAsia="Arial Unicode MS"/>
          <w:noProof/>
          <w:szCs w:val="24"/>
        </w:rPr>
      </w:pPr>
      <w:r>
        <w:rPr>
          <w:noProof/>
        </w:rPr>
        <w:t>32.</w:t>
      </w:r>
      <w:r>
        <w:rPr>
          <w:noProof/>
        </w:rPr>
        <w:tab/>
        <w:t>Emplacement du ou des essieux chargeables: …</w:t>
      </w:r>
    </w:p>
    <w:p>
      <w:pPr>
        <w:spacing w:after="0"/>
        <w:ind w:left="851" w:hanging="851"/>
        <w:rPr>
          <w:rFonts w:eastAsia="Arial Unicode MS"/>
          <w:noProof/>
          <w:szCs w:val="24"/>
        </w:rPr>
      </w:pPr>
      <w:r>
        <w:rPr>
          <w:noProof/>
        </w:rPr>
        <w:t>34.</w:t>
      </w:r>
      <w:r>
        <w:rPr>
          <w:noProof/>
        </w:rPr>
        <w:tab/>
        <w:t>Essieu(x) équipé(s) d’une suspension pneumatique ou équivalente: oui/non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1" w:hanging="851"/>
        <w:rPr>
          <w:rFonts w:eastAsia="Arial Unicode MS"/>
          <w:noProof/>
          <w:szCs w:val="24"/>
        </w:rPr>
      </w:pPr>
      <w:r>
        <w:rPr>
          <w:b/>
          <w:noProof/>
        </w:rPr>
        <w:t>Freins</w:t>
      </w:r>
    </w:p>
    <w:p>
      <w:pPr>
        <w:spacing w:after="0"/>
        <w:ind w:left="851" w:hanging="851"/>
        <w:jc w:val="left"/>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before="240" w:after="0"/>
        <w:ind w:left="851" w:hanging="851"/>
        <w:rPr>
          <w:rFonts w:eastAsia="Arial Unicode MS"/>
          <w:noProof/>
          <w:szCs w:val="24"/>
        </w:rPr>
      </w:pPr>
      <w:r>
        <w:rPr>
          <w:b/>
          <w:noProof/>
        </w:rPr>
        <w:t>Carrosserie</w:t>
      </w:r>
    </w:p>
    <w:p>
      <w:pPr>
        <w:spacing w:after="0"/>
        <w:ind w:left="851" w:hanging="851"/>
        <w:rPr>
          <w:rFonts w:eastAsia="Arial Unicode MS"/>
          <w:noProof/>
          <w:szCs w:val="24"/>
        </w:rPr>
      </w:pPr>
      <w:r>
        <w:rPr>
          <w:noProof/>
        </w:rPr>
        <w:t>38.</w:t>
      </w:r>
      <w:r>
        <w:rPr>
          <w:noProof/>
        </w:rPr>
        <w:tab/>
        <w:t>Code de la carrosserie (</w:t>
      </w:r>
      <w:r>
        <w:rPr>
          <w:noProof/>
          <w:vertAlign w:val="superscript"/>
        </w:rPr>
        <w:t>i</w:t>
      </w:r>
      <w:r>
        <w:rPr>
          <w:noProof/>
        </w:rPr>
        <w:t>): …</w:t>
      </w:r>
    </w:p>
    <w:p>
      <w:pPr>
        <w:spacing w:before="240" w:after="0"/>
        <w:ind w:left="851" w:hanging="851"/>
        <w:rPr>
          <w:rFonts w:eastAsia="Arial Unicode MS"/>
          <w:noProof/>
          <w:szCs w:val="24"/>
        </w:rPr>
      </w:pPr>
      <w:r>
        <w:rPr>
          <w:b/>
          <w:noProof/>
        </w:rPr>
        <w:t>Dispositif d’attelage</w:t>
      </w:r>
    </w:p>
    <w:p>
      <w:pPr>
        <w:spacing w:after="0"/>
        <w:ind w:left="851" w:hanging="851"/>
        <w:rPr>
          <w:rFonts w:eastAsia="Arial Unicode MS"/>
          <w:noProof/>
          <w:szCs w:val="24"/>
        </w:rPr>
      </w:pPr>
      <w:r>
        <w:rPr>
          <w:noProof/>
        </w:rPr>
        <w:t>44.</w:t>
      </w:r>
      <w:r>
        <w:rPr>
          <w:noProof/>
        </w:rPr>
        <w:tab/>
        <w:t>Numéro de réception ou marque de réception du dispositif d’attelage (le cas échéant): …</w:t>
      </w:r>
    </w:p>
    <w:p>
      <w:pPr>
        <w:spacing w:after="0"/>
        <w:ind w:left="851" w:hanging="851"/>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1" w:hanging="851"/>
        <w:rPr>
          <w:rFonts w:eastAsia="Arial Unicode MS"/>
          <w:noProof/>
          <w:szCs w:val="24"/>
        </w:rPr>
      </w:pPr>
      <w:r>
        <w:rPr>
          <w:b/>
          <w:noProof/>
        </w:rPr>
        <w:t>Divers</w:t>
      </w:r>
    </w:p>
    <w:p>
      <w:pPr>
        <w:spacing w:after="0"/>
        <w:ind w:left="851" w:hanging="851"/>
        <w:rPr>
          <w:rFonts w:eastAsia="Arial Unicode MS"/>
          <w:noProof/>
          <w:szCs w:val="24"/>
        </w:rPr>
      </w:pPr>
      <w:r>
        <w:rPr>
          <w:noProof/>
        </w:rPr>
        <w:t>50.</w:t>
      </w:r>
      <w:r>
        <w:rPr>
          <w:noProof/>
        </w:rPr>
        <w:tab/>
        <w:t>Réceptionné par type conformément aux prescriptions en matière de conception applicables pour le transport de matières dangereuses: oui/classe(s): …/non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Pour les véhicules à usage spécial: désignation conformément à la section 5 de l’annexe II: …</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i/>
          <w:iCs/>
          <w:noProof/>
          <w:szCs w:val="24"/>
        </w:rPr>
      </w:pPr>
      <w:r>
        <w:rPr>
          <w:noProof/>
        </w:rPr>
        <w:br w:type="page"/>
      </w:r>
      <w:r>
        <w:rPr>
          <w:i/>
          <w:noProof/>
        </w:rPr>
        <w:t xml:space="preserve">PARTIE II </w:t>
      </w:r>
    </w:p>
    <w:p>
      <w:pPr>
        <w:spacing w:before="240" w:after="240"/>
        <w:jc w:val="center"/>
        <w:rPr>
          <w:rFonts w:eastAsia="Arial Unicode MS"/>
          <w:iCs/>
          <w:noProof/>
          <w:szCs w:val="24"/>
        </w:rPr>
      </w:pPr>
      <w:r>
        <w:rPr>
          <w:noProof/>
        </w:rPr>
        <w:t xml:space="preserve">VÉHICULES INCOMPLETS </w:t>
      </w:r>
    </w:p>
    <w:p>
      <w:pPr>
        <w:jc w:val="center"/>
        <w:rPr>
          <w:rFonts w:eastAsia="Arial Unicode MS"/>
          <w:bCs/>
          <w:noProof/>
          <w:szCs w:val="24"/>
        </w:rPr>
      </w:pPr>
      <w:r>
        <w:rPr>
          <w:noProof/>
        </w:rPr>
        <w:t>MODÈLE C1 – PAGE 1</w:t>
      </w:r>
    </w:p>
    <w:p>
      <w:pPr>
        <w:spacing w:before="240" w:after="240"/>
        <w:jc w:val="center"/>
        <w:rPr>
          <w:rFonts w:eastAsia="Arial Unicode MS"/>
          <w:bCs/>
          <w:noProof/>
          <w:szCs w:val="24"/>
        </w:rPr>
      </w:pPr>
      <w:r>
        <w:rPr>
          <w:noProof/>
        </w:rPr>
        <w:t>VÉHICULES INCOMPLETS</w:t>
      </w:r>
    </w:p>
    <w:p>
      <w:pPr>
        <w:jc w:val="center"/>
        <w:rPr>
          <w:rFonts w:eastAsia="Arial Unicode MS"/>
          <w:bCs/>
          <w:noProof/>
          <w:szCs w:val="24"/>
        </w:rPr>
      </w:pPr>
      <w:r>
        <w:rPr>
          <w:noProof/>
        </w:rPr>
        <w:t xml:space="preserve">CERTIFICAT DE CONFORMITÉ </w:t>
      </w:r>
    </w:p>
    <w:p>
      <w:pPr>
        <w:jc w:val="left"/>
        <w:rPr>
          <w:rFonts w:eastAsia="Arial Unicode MS"/>
          <w:noProof/>
          <w:szCs w:val="24"/>
        </w:rPr>
      </w:pPr>
      <w:r>
        <w:rPr>
          <w:b/>
          <w:i/>
          <w:noProof/>
        </w:rPr>
        <w:t>Page 1</w:t>
      </w:r>
      <w:r>
        <w:rPr>
          <w:b/>
          <w:noProof/>
        </w:rPr>
        <w:t xml:space="preserve"> </w:t>
      </w:r>
    </w:p>
    <w:p>
      <w:pPr>
        <w:spacing w:after="0"/>
        <w:rPr>
          <w:rFonts w:eastAsia="Arial Unicode MS"/>
          <w:noProof/>
          <w:szCs w:val="24"/>
        </w:rPr>
      </w:pPr>
      <w:r>
        <w:rPr>
          <w:noProof/>
        </w:rPr>
        <w:t>Le soussigné [… (</w:t>
      </w:r>
      <w:r>
        <w:rPr>
          <w:i/>
          <w:noProof/>
        </w:rPr>
        <w:t>nom complet et fonctions</w:t>
      </w:r>
      <w:r>
        <w:rPr>
          <w:noProof/>
        </w:rPr>
        <w:t>)] certifie par la présente que le véhicule:</w:t>
      </w:r>
    </w:p>
    <w:p>
      <w:pPr>
        <w:spacing w:after="0"/>
        <w:ind w:left="851" w:hanging="851"/>
        <w:rPr>
          <w:rFonts w:eastAsia="Arial Unicode MS"/>
          <w:noProof/>
          <w:szCs w:val="24"/>
        </w:rPr>
      </w:pPr>
      <w:r>
        <w:rPr>
          <w:noProof/>
        </w:rPr>
        <w:t>0.1.</w:t>
      </w:r>
      <w:r>
        <w:rPr>
          <w:noProof/>
        </w:rPr>
        <w:tab/>
        <w:t>Marque (dénomination commerciale du constructeur): …</w:t>
      </w:r>
    </w:p>
    <w:p>
      <w:pPr>
        <w:spacing w:after="0"/>
        <w:ind w:left="851" w:hanging="851"/>
        <w:rPr>
          <w:rFonts w:eastAsia="Arial Unicode MS"/>
          <w:noProof/>
          <w:szCs w:val="24"/>
          <w:lang w:val="it-IT"/>
        </w:rPr>
      </w:pPr>
      <w:r>
        <w:rPr>
          <w:noProof/>
          <w:lang w:val="it-IT"/>
        </w:rPr>
        <w:t>0.2.</w:t>
      </w:r>
      <w:r>
        <w:rPr>
          <w:noProof/>
          <w:lang w:val="it-IT"/>
        </w:rPr>
        <w:tab/>
        <w:t>Type: …</w:t>
      </w:r>
    </w:p>
    <w:p>
      <w:pPr>
        <w:ind w:left="851"/>
        <w:rPr>
          <w:rFonts w:eastAsia="Arial Unicode MS"/>
          <w:noProof/>
          <w:szCs w:val="24"/>
          <w:lang w:val="it-IT"/>
        </w:rPr>
      </w:pPr>
      <w:r>
        <w:rPr>
          <w:noProof/>
          <w:lang w:val="it-IT"/>
        </w:rPr>
        <w:t>Variante (</w:t>
      </w:r>
      <w:r>
        <w:rPr>
          <w:noProof/>
          <w:vertAlign w:val="superscript"/>
          <w:lang w:val="it-IT"/>
        </w:rPr>
        <w:t>a</w:t>
      </w:r>
      <w:r>
        <w:rPr>
          <w:noProof/>
          <w:lang w:val="it-IT"/>
        </w:rPr>
        <w:t>): …</w:t>
      </w:r>
    </w:p>
    <w:p>
      <w:pPr>
        <w:ind w:left="851"/>
        <w:rPr>
          <w:rFonts w:eastAsia="Arial Unicode MS"/>
          <w:noProof/>
          <w:szCs w:val="24"/>
          <w:lang w:val="it-IT"/>
        </w:rPr>
      </w:pPr>
      <w:r>
        <w:rPr>
          <w:noProof/>
          <w:lang w:val="it-IT"/>
        </w:rPr>
        <w:t>Version (</w:t>
      </w:r>
      <w:r>
        <w:rPr>
          <w:noProof/>
          <w:vertAlign w:val="superscript"/>
          <w:lang w:val="it-IT"/>
        </w:rPr>
        <w:t>a</w:t>
      </w:r>
      <w:r>
        <w:rPr>
          <w:noProof/>
          <w:lang w:val="it-IT"/>
        </w:rPr>
        <w:t>): …</w:t>
      </w:r>
    </w:p>
    <w:p>
      <w:pPr>
        <w:spacing w:after="0"/>
        <w:ind w:left="851" w:hanging="851"/>
        <w:rPr>
          <w:rFonts w:eastAsia="Arial Unicode MS"/>
          <w:noProof/>
          <w:szCs w:val="24"/>
        </w:rPr>
      </w:pPr>
      <w:r>
        <w:rPr>
          <w:noProof/>
        </w:rPr>
        <w:t>0.2.1.</w:t>
      </w:r>
      <w:r>
        <w:rPr>
          <w:noProof/>
        </w:rPr>
        <w:tab/>
        <w:t>Appellation commerciale: …</w:t>
      </w:r>
    </w:p>
    <w:p>
      <w:pPr>
        <w:spacing w:after="0"/>
        <w:ind w:left="851" w:hanging="851"/>
        <w:rPr>
          <w:rFonts w:eastAsia="Arial Unicode MS"/>
          <w:noProof/>
          <w:szCs w:val="24"/>
        </w:rPr>
      </w:pPr>
      <w:r>
        <w:rPr>
          <w:noProof/>
        </w:rPr>
        <w:t>0.2.2.</w:t>
      </w:r>
      <w:r>
        <w:rPr>
          <w:noProof/>
        </w:rPr>
        <w:tab/>
        <w:t>Pour les véhicules faisant l’objet d’une réception par type multi-étapes, informations relatives à la réception par type du véhicule de base/véhicule de la ou des étapes antérieures (énumérer les informations pour chaque étape).</w:t>
      </w:r>
    </w:p>
    <w:p>
      <w:pPr>
        <w:spacing w:after="0"/>
        <w:ind w:left="851"/>
        <w:rPr>
          <w:rFonts w:eastAsia="Arial Unicode MS"/>
          <w:noProof/>
          <w:szCs w:val="24"/>
          <w:lang w:val="it-IT"/>
        </w:rPr>
      </w:pPr>
      <w:r>
        <w:rPr>
          <w:noProof/>
          <w:lang w:val="it-IT"/>
        </w:rPr>
        <w:t>Type: …………………………………………………………………………</w:t>
      </w:r>
    </w:p>
    <w:p>
      <w:pPr>
        <w:spacing w:after="0"/>
        <w:ind w:left="851"/>
        <w:rPr>
          <w:rFonts w:eastAsia="Arial Unicode MS"/>
          <w:noProof/>
          <w:szCs w:val="24"/>
          <w:lang w:val="it-IT"/>
        </w:rPr>
      </w:pPr>
      <w:r>
        <w:rPr>
          <w:noProof/>
          <w:lang w:val="it-IT"/>
        </w:rPr>
        <w:t>Variante (</w:t>
      </w:r>
      <w:r>
        <w:rPr>
          <w:noProof/>
          <w:vertAlign w:val="superscript"/>
          <w:lang w:val="it-IT"/>
        </w:rPr>
        <w:t>a</w:t>
      </w:r>
      <w:r>
        <w:rPr>
          <w:noProof/>
          <w:lang w:val="it-IT"/>
        </w:rPr>
        <w:t>): …………………………………………………………………..</w:t>
      </w:r>
    </w:p>
    <w:p>
      <w:pPr>
        <w:spacing w:after="0"/>
        <w:ind w:left="851"/>
        <w:rPr>
          <w:rFonts w:eastAsia="Arial Unicode MS"/>
          <w:noProof/>
          <w:szCs w:val="24"/>
          <w:lang w:val="it-IT"/>
        </w:rPr>
      </w:pPr>
      <w:r>
        <w:rPr>
          <w:noProof/>
          <w:lang w:val="it-IT"/>
        </w:rPr>
        <w:t>Version (</w:t>
      </w:r>
      <w:r>
        <w:rPr>
          <w:noProof/>
          <w:vertAlign w:val="superscript"/>
          <w:lang w:val="it-IT"/>
        </w:rPr>
        <w:t>a</w:t>
      </w:r>
      <w:r>
        <w:rPr>
          <w:noProof/>
          <w:lang w:val="it-IT"/>
        </w:rPr>
        <w:t>): …………………………………………………………………...</w:t>
      </w:r>
    </w:p>
    <w:p>
      <w:pPr>
        <w:spacing w:after="0"/>
        <w:ind w:left="851"/>
        <w:rPr>
          <w:rFonts w:eastAsia="Arial Unicode MS"/>
          <w:noProof/>
          <w:szCs w:val="24"/>
        </w:rPr>
      </w:pPr>
      <w:r>
        <w:rPr>
          <w:noProof/>
        </w:rPr>
        <w:t>Numéro de réception par type, numéro d’extension: ……………………….</w:t>
      </w:r>
      <w:r>
        <w:rPr>
          <w:noProof/>
          <w:color w:val="0000FF"/>
        </w:rPr>
        <w:t xml:space="preserve"> </w:t>
      </w:r>
    </w:p>
    <w:p>
      <w:pPr>
        <w:spacing w:after="0"/>
        <w:ind w:left="851" w:hanging="851"/>
        <w:rPr>
          <w:rFonts w:eastAsia="Arial Unicode MS"/>
          <w:noProof/>
          <w:szCs w:val="24"/>
        </w:rPr>
      </w:pPr>
      <w:r>
        <w:rPr>
          <w:noProof/>
        </w:rPr>
        <w:t>0.4.</w:t>
      </w:r>
      <w:r>
        <w:rPr>
          <w:noProof/>
        </w:rPr>
        <w:tab/>
        <w:t>Catégorie de véhicules …</w:t>
      </w:r>
    </w:p>
    <w:p>
      <w:pPr>
        <w:spacing w:after="0"/>
        <w:ind w:left="851" w:hanging="851"/>
        <w:rPr>
          <w:rFonts w:eastAsia="Arial Unicode MS"/>
          <w:noProof/>
          <w:szCs w:val="24"/>
        </w:rPr>
      </w:pPr>
      <w:r>
        <w:rPr>
          <w:noProof/>
        </w:rPr>
        <w:t>0.5.</w:t>
      </w:r>
      <w:r>
        <w:rPr>
          <w:noProof/>
        </w:rPr>
        <w:tab/>
        <w:t>Raison sociale et adresse du constructeur: …</w:t>
      </w:r>
    </w:p>
    <w:p>
      <w:pPr>
        <w:spacing w:after="0"/>
        <w:ind w:left="851" w:hanging="851"/>
        <w:rPr>
          <w:rFonts w:eastAsia="Arial Unicode MS"/>
          <w:noProof/>
          <w:szCs w:val="24"/>
        </w:rPr>
      </w:pPr>
      <w:r>
        <w:rPr>
          <w:noProof/>
        </w:rPr>
        <w:t>0.5.1.</w:t>
      </w:r>
      <w:r>
        <w:rPr>
          <w:noProof/>
        </w:rPr>
        <w:tab/>
        <w:t>Pour les véhicules faisant l’objet d’une réception par type multi-étapes, raison sociale et adresse du constructeur du véhicule de base/véhicule de la ou des étapes antérieures: ..........</w:t>
      </w:r>
    </w:p>
    <w:p>
      <w:pPr>
        <w:spacing w:after="0"/>
        <w:ind w:left="851" w:hanging="851"/>
        <w:rPr>
          <w:rFonts w:eastAsia="Arial Unicode MS"/>
          <w:noProof/>
          <w:szCs w:val="24"/>
        </w:rPr>
      </w:pPr>
      <w:r>
        <w:rPr>
          <w:noProof/>
        </w:rPr>
        <w:t>0.6.</w:t>
      </w:r>
      <w:r>
        <w:rPr>
          <w:noProof/>
        </w:rPr>
        <w:tab/>
        <w:t>Emplacement et méthode de fixation des plaques réglementaires: …</w:t>
      </w:r>
    </w:p>
    <w:p>
      <w:pPr>
        <w:spacing w:before="100" w:beforeAutospacing="1" w:after="100" w:afterAutospacing="1"/>
        <w:ind w:left="851"/>
        <w:rPr>
          <w:rFonts w:eastAsia="Arial Unicode MS"/>
          <w:noProof/>
          <w:szCs w:val="24"/>
        </w:rPr>
      </w:pPr>
      <w:r>
        <w:rPr>
          <w:noProof/>
        </w:rPr>
        <w:t>Emplacement du numéro d’identification du véhicule: …</w:t>
      </w:r>
    </w:p>
    <w:p>
      <w:pPr>
        <w:spacing w:after="0"/>
        <w:ind w:left="851" w:hanging="851"/>
        <w:rPr>
          <w:rFonts w:eastAsia="Arial Unicode MS"/>
          <w:noProof/>
          <w:szCs w:val="24"/>
        </w:rPr>
      </w:pPr>
      <w:r>
        <w:rPr>
          <w:noProof/>
        </w:rPr>
        <w:t>0.9.</w:t>
      </w:r>
      <w:r>
        <w:rPr>
          <w:noProof/>
        </w:rPr>
        <w:tab/>
        <w:t>Nom et adresse du mandataire du constructeur (le cas échéant): …</w:t>
      </w:r>
    </w:p>
    <w:p>
      <w:pPr>
        <w:spacing w:after="0"/>
        <w:ind w:left="851" w:hanging="851"/>
        <w:rPr>
          <w:rFonts w:eastAsia="Arial Unicode MS"/>
          <w:noProof/>
          <w:szCs w:val="24"/>
        </w:rPr>
      </w:pPr>
      <w:r>
        <w:rPr>
          <w:noProof/>
        </w:rPr>
        <w:t>0.10.</w:t>
      </w:r>
      <w:r>
        <w:rPr>
          <w:noProof/>
        </w:rPr>
        <w:tab/>
        <w:t>Numéro d’identification du véhicule: …</w:t>
      </w:r>
    </w:p>
    <w:p>
      <w:pPr>
        <w:spacing w:after="0"/>
        <w:ind w:left="851" w:hanging="851"/>
        <w:rPr>
          <w:rFonts w:eastAsia="Arial Unicode MS"/>
          <w:noProof/>
          <w:szCs w:val="24"/>
        </w:rPr>
      </w:pPr>
      <w:r>
        <w:rPr>
          <w:noProof/>
        </w:rPr>
        <w:t>0.11.</w:t>
      </w:r>
      <w:r>
        <w:rPr>
          <w:noProof/>
        </w:rPr>
        <w:tab/>
        <w:t>Date de construction: ………</w:t>
      </w:r>
    </w:p>
    <w:p>
      <w:pPr>
        <w:spacing w:after="0"/>
        <w:rPr>
          <w:rFonts w:eastAsia="Arial Unicode MS"/>
          <w:noProof/>
          <w:szCs w:val="24"/>
        </w:rPr>
      </w:pPr>
      <w:r>
        <w:rPr>
          <w:noProof/>
        </w:rPr>
        <w:t>est conforme à tous égards au type décrit dans la réception (…</w:t>
      </w:r>
      <w:r>
        <w:rPr>
          <w:i/>
          <w:noProof/>
        </w:rPr>
        <w:t xml:space="preserve"> numéro de réception par type, y compris le numéro d’extension</w:t>
      </w:r>
      <w:r>
        <w:rPr>
          <w:noProof/>
        </w:rPr>
        <w:t xml:space="preserve">) délivrée le (… </w:t>
      </w:r>
      <w:r>
        <w:rPr>
          <w:i/>
          <w:noProof/>
        </w:rPr>
        <w:t>date de délivrance</w:t>
      </w:r>
      <w:r>
        <w:rPr>
          <w:noProof/>
        </w:rPr>
        <w:t>) et</w:t>
      </w:r>
    </w:p>
    <w:p>
      <w:pPr>
        <w:spacing w:after="480"/>
        <w:rPr>
          <w:rFonts w:eastAsia="Arial Unicode MS"/>
          <w:noProof/>
          <w:szCs w:val="24"/>
        </w:rPr>
      </w:pPr>
      <w:r>
        <w:rPr>
          <w:noProof/>
        </w:rPr>
        <w:t>ne peut être immatriculé à titre permanent sans réceptions supplémentaires.</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(Lieu) (Date):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(Signature): …</w:t>
            </w:r>
          </w:p>
        </w:tc>
      </w:tr>
    </w:tbl>
    <w:p>
      <w:pPr>
        <w:spacing w:before="0" w:after="0"/>
        <w:rPr>
          <w:rFonts w:eastAsia="Arial Unicode MS"/>
          <w:noProof/>
          <w:szCs w:val="24"/>
        </w:rPr>
      </w:pPr>
    </w:p>
    <w:p>
      <w:pPr>
        <w:jc w:val="center"/>
        <w:rPr>
          <w:rFonts w:eastAsia="Arial Unicode MS"/>
          <w:bCs/>
          <w:noProof/>
          <w:szCs w:val="24"/>
        </w:rPr>
      </w:pPr>
      <w:r>
        <w:rPr>
          <w:noProof/>
        </w:rPr>
        <w:br w:type="page"/>
        <w:t>MODÈLE C2 – PAGE 1</w:t>
      </w:r>
    </w:p>
    <w:p>
      <w:pPr>
        <w:spacing w:after="480"/>
        <w:jc w:val="center"/>
        <w:rPr>
          <w:rFonts w:eastAsia="Arial Unicode MS"/>
          <w:bCs/>
          <w:noProof/>
          <w:szCs w:val="24"/>
        </w:rPr>
      </w:pPr>
      <w:r>
        <w:rPr>
          <w:noProof/>
        </w:rPr>
        <w:t>VÉHICULES INCOMPLETS RÉCEPTIONNÉS PAR TYPE EN PETITES SÉRIES</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75"/>
        <w:gridCol w:w="252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[Année]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[Numéro séquentiel]</w:t>
            </w:r>
          </w:p>
        </w:tc>
      </w:tr>
    </w:tbl>
    <w:p>
      <w:pPr>
        <w:spacing w:before="360"/>
        <w:jc w:val="center"/>
        <w:rPr>
          <w:rFonts w:eastAsia="Arial Unicode MS"/>
          <w:bCs/>
          <w:noProof/>
          <w:szCs w:val="24"/>
        </w:rPr>
      </w:pPr>
      <w:r>
        <w:rPr>
          <w:noProof/>
        </w:rPr>
        <w:t xml:space="preserve">CERTIFICAT DE CONFORMITÉ </w:t>
      </w:r>
    </w:p>
    <w:p>
      <w:pPr>
        <w:jc w:val="left"/>
        <w:rPr>
          <w:rFonts w:eastAsia="Arial Unicode MS"/>
          <w:noProof/>
          <w:szCs w:val="24"/>
        </w:rPr>
      </w:pPr>
      <w:r>
        <w:rPr>
          <w:b/>
          <w:i/>
          <w:noProof/>
        </w:rPr>
        <w:t>Page 1</w:t>
      </w:r>
    </w:p>
    <w:p>
      <w:pPr>
        <w:spacing w:after="0"/>
        <w:rPr>
          <w:rFonts w:eastAsia="Arial Unicode MS"/>
          <w:noProof/>
          <w:szCs w:val="24"/>
        </w:rPr>
      </w:pPr>
      <w:r>
        <w:rPr>
          <w:noProof/>
        </w:rPr>
        <w:t>Le soussigné [… (</w:t>
      </w:r>
      <w:r>
        <w:rPr>
          <w:i/>
          <w:noProof/>
        </w:rPr>
        <w:t>nom complet et fonctions</w:t>
      </w:r>
      <w:r>
        <w:rPr>
          <w:noProof/>
        </w:rPr>
        <w:t>)] certifie par la présente que le véhicule:</w:t>
      </w:r>
    </w:p>
    <w:p>
      <w:pPr>
        <w:spacing w:after="0"/>
        <w:ind w:left="851" w:hanging="851"/>
        <w:rPr>
          <w:rFonts w:eastAsia="Arial Unicode MS"/>
          <w:noProof/>
          <w:szCs w:val="24"/>
        </w:rPr>
      </w:pPr>
      <w:r>
        <w:rPr>
          <w:noProof/>
        </w:rPr>
        <w:t>0.1.</w:t>
      </w:r>
      <w:r>
        <w:rPr>
          <w:noProof/>
        </w:rPr>
        <w:tab/>
        <w:t>Marque (dénomination commerciale du constructeur): …</w:t>
      </w:r>
    </w:p>
    <w:p>
      <w:pPr>
        <w:spacing w:after="0"/>
        <w:ind w:left="851" w:hanging="851"/>
        <w:rPr>
          <w:rFonts w:eastAsia="Arial Unicode MS"/>
          <w:noProof/>
          <w:szCs w:val="24"/>
          <w:lang w:val="it-IT"/>
        </w:rPr>
      </w:pPr>
      <w:r>
        <w:rPr>
          <w:noProof/>
          <w:lang w:val="it-IT"/>
        </w:rPr>
        <w:t>0.2.</w:t>
      </w:r>
      <w:r>
        <w:rPr>
          <w:noProof/>
          <w:lang w:val="it-IT"/>
        </w:rPr>
        <w:tab/>
        <w:t>Type: …</w:t>
      </w:r>
    </w:p>
    <w:p>
      <w:pPr>
        <w:ind w:left="851"/>
        <w:rPr>
          <w:rFonts w:eastAsia="Arial Unicode MS"/>
          <w:noProof/>
          <w:szCs w:val="24"/>
          <w:lang w:val="it-IT"/>
        </w:rPr>
      </w:pPr>
      <w:r>
        <w:rPr>
          <w:noProof/>
          <w:lang w:val="it-IT"/>
        </w:rPr>
        <w:t>Variante (</w:t>
      </w:r>
      <w:r>
        <w:rPr>
          <w:noProof/>
          <w:vertAlign w:val="superscript"/>
          <w:lang w:val="it-IT"/>
        </w:rPr>
        <w:t>a</w:t>
      </w:r>
      <w:r>
        <w:rPr>
          <w:noProof/>
          <w:lang w:val="it-IT"/>
        </w:rPr>
        <w:t>): …</w:t>
      </w:r>
    </w:p>
    <w:p>
      <w:pPr>
        <w:ind w:left="851"/>
        <w:rPr>
          <w:rFonts w:eastAsia="Arial Unicode MS"/>
          <w:noProof/>
          <w:szCs w:val="24"/>
          <w:lang w:val="it-IT"/>
        </w:rPr>
      </w:pPr>
      <w:r>
        <w:rPr>
          <w:noProof/>
          <w:lang w:val="it-IT"/>
        </w:rPr>
        <w:t>Version (</w:t>
      </w:r>
      <w:r>
        <w:rPr>
          <w:noProof/>
          <w:vertAlign w:val="superscript"/>
          <w:lang w:val="it-IT"/>
        </w:rPr>
        <w:t>a</w:t>
      </w:r>
      <w:r>
        <w:rPr>
          <w:noProof/>
          <w:lang w:val="it-IT"/>
        </w:rPr>
        <w:t>): …</w:t>
      </w:r>
    </w:p>
    <w:p>
      <w:pPr>
        <w:spacing w:after="0"/>
        <w:ind w:left="851" w:hanging="851"/>
        <w:rPr>
          <w:rFonts w:eastAsia="Arial Unicode MS"/>
          <w:noProof/>
          <w:szCs w:val="24"/>
        </w:rPr>
      </w:pPr>
      <w:r>
        <w:rPr>
          <w:noProof/>
        </w:rPr>
        <w:t>0.2.1.</w:t>
      </w:r>
      <w:r>
        <w:rPr>
          <w:noProof/>
        </w:rPr>
        <w:tab/>
        <w:t>Appellation commerciale: …</w:t>
      </w:r>
    </w:p>
    <w:p>
      <w:pPr>
        <w:spacing w:after="0"/>
        <w:ind w:left="851" w:hanging="851"/>
        <w:rPr>
          <w:rFonts w:eastAsia="Arial Unicode MS"/>
          <w:noProof/>
          <w:szCs w:val="24"/>
        </w:rPr>
      </w:pPr>
      <w:r>
        <w:rPr>
          <w:noProof/>
        </w:rPr>
        <w:t>0.4.</w:t>
      </w:r>
      <w:r>
        <w:rPr>
          <w:noProof/>
        </w:rPr>
        <w:tab/>
        <w:t>Catégorie de véhicules …</w:t>
      </w:r>
    </w:p>
    <w:p>
      <w:pPr>
        <w:spacing w:after="0"/>
        <w:ind w:left="851" w:hanging="851"/>
        <w:rPr>
          <w:rFonts w:eastAsia="Arial Unicode MS"/>
          <w:noProof/>
          <w:szCs w:val="24"/>
        </w:rPr>
      </w:pPr>
      <w:r>
        <w:rPr>
          <w:noProof/>
        </w:rPr>
        <w:t>0.5.</w:t>
      </w:r>
      <w:r>
        <w:rPr>
          <w:noProof/>
        </w:rPr>
        <w:tab/>
        <w:t>Raison sociale et adresse du constructeur: …</w:t>
      </w:r>
    </w:p>
    <w:p>
      <w:pPr>
        <w:spacing w:after="0"/>
        <w:ind w:left="851" w:hanging="851"/>
        <w:rPr>
          <w:rFonts w:eastAsia="Arial Unicode MS"/>
          <w:noProof/>
          <w:szCs w:val="24"/>
        </w:rPr>
      </w:pPr>
      <w:r>
        <w:rPr>
          <w:noProof/>
        </w:rPr>
        <w:t>0.6.</w:t>
      </w:r>
      <w:r>
        <w:rPr>
          <w:noProof/>
        </w:rPr>
        <w:tab/>
        <w:t>Emplacement et méthode de fixation des plaques réglementaires: …</w:t>
      </w:r>
    </w:p>
    <w:p>
      <w:pPr>
        <w:spacing w:before="100" w:beforeAutospacing="1" w:after="100" w:afterAutospacing="1"/>
        <w:ind w:left="851"/>
        <w:rPr>
          <w:rFonts w:eastAsia="Arial Unicode MS"/>
          <w:noProof/>
          <w:szCs w:val="24"/>
        </w:rPr>
      </w:pPr>
      <w:r>
        <w:rPr>
          <w:noProof/>
        </w:rPr>
        <w:t>Emplacement du numéro d’identification du véhicule: …</w:t>
      </w:r>
    </w:p>
    <w:p>
      <w:pPr>
        <w:spacing w:after="0"/>
        <w:ind w:left="851" w:hanging="851"/>
        <w:rPr>
          <w:rFonts w:eastAsia="Arial Unicode MS"/>
          <w:noProof/>
          <w:szCs w:val="24"/>
        </w:rPr>
      </w:pPr>
      <w:r>
        <w:rPr>
          <w:noProof/>
        </w:rPr>
        <w:t>0.9.</w:t>
      </w:r>
      <w:r>
        <w:rPr>
          <w:noProof/>
        </w:rPr>
        <w:tab/>
        <w:t>Nom et adresse du mandataire du constructeur (le cas échéant): …</w:t>
      </w:r>
    </w:p>
    <w:p>
      <w:pPr>
        <w:spacing w:after="0"/>
        <w:ind w:left="851" w:hanging="851"/>
        <w:rPr>
          <w:rFonts w:eastAsia="Arial Unicode MS"/>
          <w:noProof/>
          <w:szCs w:val="24"/>
        </w:rPr>
      </w:pPr>
      <w:r>
        <w:rPr>
          <w:noProof/>
        </w:rPr>
        <w:t>0.10.</w:t>
      </w:r>
      <w:r>
        <w:rPr>
          <w:noProof/>
        </w:rPr>
        <w:tab/>
        <w:t>Numéro d’identification du véhicule: …</w:t>
      </w:r>
    </w:p>
    <w:p>
      <w:pPr>
        <w:spacing w:after="0"/>
        <w:ind w:left="851" w:hanging="851"/>
        <w:rPr>
          <w:rFonts w:eastAsia="Arial Unicode MS"/>
          <w:noProof/>
          <w:szCs w:val="24"/>
        </w:rPr>
      </w:pPr>
      <w:r>
        <w:rPr>
          <w:noProof/>
        </w:rPr>
        <w:t>0.11.</w:t>
      </w:r>
      <w:r>
        <w:rPr>
          <w:noProof/>
        </w:rPr>
        <w:tab/>
        <w:t>Date de construction: ………</w:t>
      </w:r>
    </w:p>
    <w:p>
      <w:pPr>
        <w:spacing w:after="0"/>
        <w:rPr>
          <w:rFonts w:eastAsia="Arial Unicode MS"/>
          <w:noProof/>
          <w:szCs w:val="24"/>
        </w:rPr>
      </w:pPr>
      <w:r>
        <w:rPr>
          <w:noProof/>
        </w:rPr>
        <w:t>est conforme à tous égards au type décrit dans la réception (…</w:t>
      </w:r>
      <w:r>
        <w:rPr>
          <w:i/>
          <w:noProof/>
        </w:rPr>
        <w:t xml:space="preserve"> numéro de réception par type, y compris le numéro d’extension</w:t>
      </w:r>
      <w:r>
        <w:rPr>
          <w:noProof/>
        </w:rPr>
        <w:t xml:space="preserve">) délivrée le (… </w:t>
      </w:r>
      <w:r>
        <w:rPr>
          <w:i/>
          <w:noProof/>
        </w:rPr>
        <w:t>date de délivrance</w:t>
      </w:r>
      <w:r>
        <w:rPr>
          <w:noProof/>
        </w:rPr>
        <w:t>) et</w:t>
      </w:r>
    </w:p>
    <w:p>
      <w:pPr>
        <w:spacing w:after="0"/>
        <w:rPr>
          <w:rFonts w:eastAsia="Arial Unicode MS"/>
          <w:noProof/>
          <w:szCs w:val="24"/>
        </w:rPr>
      </w:pPr>
      <w:r>
        <w:rPr>
          <w:noProof/>
        </w:rPr>
        <w:t>ne peut être immatriculé à titre permanent sans réceptions supplémentaires.</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(Lieu) (Date):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(Signature):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PAGE 2</w:t>
      </w:r>
    </w:p>
    <w:p>
      <w:pPr>
        <w:jc w:val="center"/>
        <w:rPr>
          <w:rFonts w:eastAsia="Arial Unicode MS"/>
          <w:bCs/>
          <w:noProof/>
          <w:szCs w:val="24"/>
        </w:rPr>
      </w:pPr>
      <w:r>
        <w:rPr>
          <w:noProof/>
        </w:rPr>
        <w:t>CATÉGORIE DE VÉHICULES M</w:t>
      </w:r>
      <w:r>
        <w:rPr>
          <w:noProof/>
          <w:vertAlign w:val="subscript"/>
        </w:rPr>
        <w:t>1</w:t>
      </w:r>
    </w:p>
    <w:p>
      <w:pPr>
        <w:jc w:val="center"/>
        <w:rPr>
          <w:rFonts w:eastAsia="Arial Unicode MS"/>
          <w:bCs/>
          <w:noProof/>
          <w:szCs w:val="24"/>
        </w:rPr>
      </w:pPr>
      <w:r>
        <w:rPr>
          <w:noProof/>
        </w:rPr>
        <w:t>(véhicules incomplets)</w:t>
      </w:r>
    </w:p>
    <w:p>
      <w:pPr>
        <w:jc w:val="left"/>
        <w:rPr>
          <w:rFonts w:eastAsia="Arial Unicode MS"/>
          <w:b/>
          <w:bC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Longueur maximale admissible: … mm</w:t>
      </w:r>
    </w:p>
    <w:p>
      <w:pPr>
        <w:spacing w:after="0"/>
        <w:ind w:left="851" w:hanging="851"/>
        <w:rPr>
          <w:rFonts w:eastAsia="Arial Unicode MS"/>
          <w:noProof/>
          <w:szCs w:val="24"/>
        </w:rPr>
      </w:pPr>
      <w:r>
        <w:rPr>
          <w:noProof/>
        </w:rPr>
        <w:t>6.1.</w:t>
      </w:r>
      <w:r>
        <w:rPr>
          <w:noProof/>
        </w:rPr>
        <w:tab/>
        <w:t>Largeur maximale admissible: … mm</w:t>
      </w:r>
    </w:p>
    <w:p>
      <w:pPr>
        <w:spacing w:after="0"/>
        <w:ind w:left="851" w:hanging="851"/>
        <w:rPr>
          <w:rFonts w:eastAsia="Arial Unicode MS"/>
          <w:noProof/>
          <w:szCs w:val="24"/>
        </w:rPr>
      </w:pPr>
      <w:r>
        <w:rPr>
          <w:noProof/>
        </w:rPr>
        <w:t>7.1.</w:t>
      </w:r>
      <w:r>
        <w:rPr>
          <w:noProof/>
        </w:rPr>
        <w:tab/>
        <w:t>Hauteur maximale admissible: … mm</w:t>
      </w:r>
    </w:p>
    <w:p>
      <w:pPr>
        <w:spacing w:after="0"/>
        <w:ind w:left="851" w:hanging="851"/>
        <w:rPr>
          <w:rFonts w:eastAsia="Arial Unicode MS"/>
          <w:noProof/>
          <w:szCs w:val="24"/>
        </w:rPr>
      </w:pPr>
      <w:r>
        <w:rPr>
          <w:noProof/>
        </w:rPr>
        <w:t>12.1.</w:t>
      </w:r>
      <w:r>
        <w:rPr>
          <w:noProof/>
        </w:rPr>
        <w:tab/>
        <w:t>Porte-à-faux arrière maximal admissible: … mm</w:t>
      </w:r>
    </w:p>
    <w:p>
      <w:pPr>
        <w:spacing w:before="240"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14.</w:t>
      </w:r>
      <w:r>
        <w:rPr>
          <w:noProof/>
        </w:rPr>
        <w:tab/>
        <w:t>Masse en ordre de marche du véhicule incomplet: …kg</w:t>
      </w:r>
    </w:p>
    <w:p>
      <w:pPr>
        <w:tabs>
          <w:tab w:val="left" w:pos="5387"/>
        </w:tabs>
        <w:spacing w:after="0"/>
        <w:ind w:left="851" w:hanging="851"/>
        <w:rPr>
          <w:rFonts w:eastAsia="Arial Unicode MS"/>
          <w:noProof/>
          <w:szCs w:val="24"/>
        </w:rPr>
      </w:pPr>
      <w:r>
        <w:rPr>
          <w:noProof/>
        </w:rPr>
        <w:t>14.1.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Masse réelle du véhicule incomplet: …kg</w:t>
      </w:r>
    </w:p>
    <w:p>
      <w:pPr>
        <w:spacing w:after="0"/>
        <w:ind w:left="851" w:hanging="851"/>
        <w:rPr>
          <w:rFonts w:eastAsia="Arial Unicode MS"/>
          <w:noProof/>
          <w:szCs w:val="24"/>
        </w:rPr>
      </w:pPr>
      <w:r>
        <w:rPr>
          <w:noProof/>
        </w:rPr>
        <w:t>15.</w:t>
      </w:r>
      <w:r>
        <w:rPr>
          <w:noProof/>
        </w:rPr>
        <w:tab/>
        <w:t>Masse minimale du véhicule complété: … kg</w:t>
      </w:r>
    </w:p>
    <w:p>
      <w:pPr>
        <w:tabs>
          <w:tab w:val="left" w:pos="5529"/>
        </w:tabs>
        <w:spacing w:after="0"/>
        <w:ind w:left="851" w:hanging="851"/>
        <w:rPr>
          <w:rFonts w:eastAsia="Arial Unicode MS"/>
          <w:noProof/>
          <w:szCs w:val="24"/>
        </w:rPr>
      </w:pPr>
      <w:r>
        <w:rPr>
          <w:noProof/>
        </w:rPr>
        <w:t>15.1.</w:t>
      </w:r>
      <w:r>
        <w:rPr>
          <w:noProof/>
        </w:rPr>
        <w:tab/>
        <w:t xml:space="preserve">Répartition de cette masse entre les essieux: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1985"/>
          <w:tab w:val="left" w:pos="3119"/>
          <w:tab w:val="left" w:pos="7655"/>
        </w:tabs>
        <w:spacing w:after="0"/>
        <w:ind w:left="851" w:hanging="851"/>
        <w:rPr>
          <w:rFonts w:eastAsia="Arial Unicode MS"/>
          <w:noProof/>
          <w:szCs w:val="24"/>
        </w:rPr>
      </w:pPr>
      <w:r>
        <w:rPr>
          <w:noProof/>
        </w:rPr>
        <w:t>16.2.</w:t>
      </w:r>
      <w:r>
        <w:rPr>
          <w:noProof/>
        </w:rPr>
        <w:tab/>
        <w:t xml:space="preserve">Masse techniquement admissible sur chaque essieu: </w:t>
      </w:r>
      <w:r>
        <w:rPr>
          <w:noProof/>
        </w:rPr>
        <w:tab/>
      </w:r>
      <w:r>
        <w:rPr>
          <w:noProof/>
        </w:rPr>
        <w:br/>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Masse maximale techniquement admissible de l’ensemble: … kg</w:t>
      </w:r>
    </w:p>
    <w:p>
      <w:pPr>
        <w:spacing w:after="0"/>
        <w:ind w:left="851" w:hanging="851"/>
        <w:rPr>
          <w:rFonts w:eastAsia="Arial Unicode MS"/>
          <w:noProof/>
          <w:szCs w:val="24"/>
        </w:rPr>
      </w:pPr>
      <w:r>
        <w:rPr>
          <w:noProof/>
        </w:rPr>
        <w:t>18.</w:t>
      </w:r>
      <w:r>
        <w:rPr>
          <w:noProof/>
        </w:rPr>
        <w:tab/>
        <w:t>Masse tractable maximale techniquement admissible dans le cas:</w:t>
      </w:r>
    </w:p>
    <w:p>
      <w:pPr>
        <w:spacing w:after="0"/>
        <w:ind w:left="851" w:hanging="851"/>
        <w:rPr>
          <w:rFonts w:eastAsia="Arial Unicode MS"/>
          <w:noProof/>
          <w:szCs w:val="24"/>
        </w:rPr>
      </w:pPr>
      <w:r>
        <w:rPr>
          <w:noProof/>
        </w:rPr>
        <w:t>18.1.</w:t>
      </w:r>
      <w:r>
        <w:rPr>
          <w:noProof/>
        </w:rPr>
        <w:tab/>
        <w:t>d’une remorque à timon: … kg</w:t>
      </w:r>
    </w:p>
    <w:p>
      <w:pPr>
        <w:spacing w:after="0"/>
        <w:ind w:left="851" w:hanging="851"/>
        <w:rPr>
          <w:rFonts w:eastAsia="Arial Unicode MS"/>
          <w:noProof/>
          <w:szCs w:val="24"/>
        </w:rPr>
      </w:pPr>
      <w:r>
        <w:rPr>
          <w:noProof/>
        </w:rPr>
        <w:t>18.3.</w:t>
      </w:r>
      <w:r>
        <w:rPr>
          <w:noProof/>
        </w:rPr>
        <w:tab/>
        <w:t>d’une remorque à essieu central: … kg</w:t>
      </w:r>
    </w:p>
    <w:p>
      <w:pPr>
        <w:spacing w:after="0"/>
        <w:ind w:left="851" w:hanging="851"/>
        <w:rPr>
          <w:rFonts w:eastAsia="Arial Unicode MS"/>
          <w:noProof/>
          <w:szCs w:val="24"/>
        </w:rPr>
      </w:pPr>
      <w:r>
        <w:rPr>
          <w:noProof/>
        </w:rPr>
        <w:t>18.4.</w:t>
      </w:r>
      <w:r>
        <w:rPr>
          <w:noProof/>
        </w:rPr>
        <w:tab/>
        <w:t>d’une remorque non freinée: … kg</w:t>
      </w:r>
    </w:p>
    <w:p>
      <w:pPr>
        <w:spacing w:after="0"/>
        <w:ind w:left="851" w:hanging="851"/>
        <w:rPr>
          <w:rFonts w:eastAsia="Arial Unicode MS"/>
          <w:noProof/>
          <w:szCs w:val="24"/>
        </w:rPr>
      </w:pPr>
      <w:r>
        <w:rPr>
          <w:noProof/>
        </w:rPr>
        <w:t>19.</w:t>
      </w:r>
      <w:r>
        <w:rPr>
          <w:noProof/>
        </w:rPr>
        <w:tab/>
        <w:t>Masse verticale statique maximale techniquement admissible au point d’attelage: … kg</w:t>
      </w:r>
    </w:p>
    <w:p>
      <w:pPr>
        <w:spacing w:before="240" w:after="0"/>
        <w:ind w:left="851" w:hanging="851"/>
        <w:rPr>
          <w:rFonts w:eastAsia="Arial Unicode MS"/>
          <w:noProof/>
          <w:szCs w:val="24"/>
        </w:rPr>
      </w:pPr>
      <w:r>
        <w:rPr>
          <w:b/>
          <w:noProof/>
        </w:rPr>
        <w:t>Groupe moteur</w:t>
      </w:r>
    </w:p>
    <w:p>
      <w:pPr>
        <w:spacing w:after="0"/>
        <w:ind w:left="851" w:hanging="851"/>
        <w:rPr>
          <w:rFonts w:eastAsia="Arial Unicode MS"/>
          <w:noProof/>
          <w:szCs w:val="24"/>
        </w:rPr>
      </w:pPr>
      <w:r>
        <w:rPr>
          <w:noProof/>
        </w:rPr>
        <w:t>20.</w:t>
      </w:r>
      <w:r>
        <w:rPr>
          <w:noProof/>
        </w:rPr>
        <w:tab/>
        <w:t>Constructeur du moteur: …</w:t>
      </w:r>
    </w:p>
    <w:p>
      <w:pPr>
        <w:spacing w:after="0"/>
        <w:ind w:left="851" w:hanging="851"/>
        <w:rPr>
          <w:rFonts w:eastAsia="Arial Unicode MS"/>
          <w:noProof/>
          <w:szCs w:val="24"/>
        </w:rPr>
      </w:pPr>
      <w:r>
        <w:rPr>
          <w:noProof/>
        </w:rPr>
        <w:t>21.</w:t>
      </w:r>
      <w:r>
        <w:rPr>
          <w:noProof/>
        </w:rPr>
        <w:tab/>
        <w:t>Code du moteur tel que marqué sur le moteur: …</w:t>
      </w:r>
    </w:p>
    <w:p>
      <w:pPr>
        <w:spacing w:after="0"/>
        <w:ind w:left="851" w:hanging="851"/>
        <w:rPr>
          <w:rFonts w:eastAsia="Arial Unicode MS"/>
          <w:noProof/>
          <w:szCs w:val="24"/>
        </w:rPr>
      </w:pPr>
      <w:r>
        <w:rPr>
          <w:noProof/>
        </w:rPr>
        <w:t>22.</w:t>
      </w:r>
      <w:r>
        <w:rPr>
          <w:noProof/>
        </w:rPr>
        <w:tab/>
        <w:t>Principe de fonctionnement: …</w:t>
      </w:r>
    </w:p>
    <w:p>
      <w:pPr>
        <w:spacing w:after="0"/>
        <w:ind w:left="851" w:hanging="851"/>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Nombre et disposition des cylindres: …</w:t>
      </w:r>
    </w:p>
    <w:p>
      <w:pPr>
        <w:spacing w:after="0"/>
        <w:ind w:left="851" w:hanging="851"/>
        <w:rPr>
          <w:rFonts w:eastAsia="Arial Unicode MS"/>
          <w:noProof/>
          <w:szCs w:val="24"/>
        </w:rPr>
      </w:pPr>
      <w:r>
        <w:rPr>
          <w:noProof/>
        </w:rPr>
        <w:t>25.</w:t>
      </w:r>
      <w:r>
        <w:rPr>
          <w:noProof/>
        </w:rPr>
        <w:tab/>
        <w:t>Cylindrée: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Carburant: gazole/essence/GPL/GN – biométhane/éthanol/biogazole/hydrogène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Monocarburant/bicarburant/polycarburant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before="240"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before="240" w:after="0"/>
        <w:ind w:left="851" w:hanging="851"/>
        <w:rPr>
          <w:rFonts w:eastAsia="Arial Unicode MS"/>
          <w:noProof/>
          <w:szCs w:val="24"/>
        </w:rPr>
      </w:pPr>
      <w:r>
        <w:rPr>
          <w:b/>
          <w:noProof/>
        </w:rPr>
        <w:t>Essieux et suspension</w:t>
      </w:r>
    </w:p>
    <w:p>
      <w:pPr>
        <w:spacing w:after="0"/>
        <w:ind w:left="851" w:hanging="851"/>
        <w:rPr>
          <w:rFonts w:eastAsia="Arial Unicode MS"/>
          <w:noProof/>
          <w:szCs w:val="24"/>
        </w:rPr>
      </w:pPr>
      <w:r>
        <w:rPr>
          <w:noProof/>
        </w:rPr>
        <w:t>30.</w:t>
      </w:r>
      <w:r>
        <w:rPr>
          <w:noProof/>
        </w:rPr>
        <w:tab/>
        <w:t>Voie des essieux:</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1" w:hanging="851"/>
        <w:rPr>
          <w:rFonts w:eastAsia="Arial Unicode MS"/>
          <w:noProof/>
          <w:szCs w:val="24"/>
        </w:rPr>
      </w:pPr>
      <w:r>
        <w:rPr>
          <w:b/>
          <w:noProof/>
        </w:rPr>
        <w:t>Freins</w:t>
      </w:r>
    </w:p>
    <w:p>
      <w:pPr>
        <w:spacing w:after="0"/>
        <w:ind w:left="851" w:hanging="851"/>
        <w:jc w:val="left"/>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before="240" w:after="0"/>
        <w:ind w:left="851" w:hanging="851"/>
        <w:rPr>
          <w:rFonts w:eastAsia="Arial Unicode MS"/>
          <w:noProof/>
          <w:szCs w:val="24"/>
        </w:rPr>
      </w:pPr>
      <w:r>
        <w:rPr>
          <w:b/>
          <w:noProof/>
        </w:rPr>
        <w:t>Carrosserie</w:t>
      </w:r>
    </w:p>
    <w:p>
      <w:pPr>
        <w:spacing w:after="0"/>
        <w:ind w:left="851" w:hanging="851"/>
        <w:rPr>
          <w:rFonts w:eastAsia="Arial Unicode MS"/>
          <w:noProof/>
          <w:szCs w:val="24"/>
        </w:rPr>
      </w:pPr>
      <w:r>
        <w:rPr>
          <w:noProof/>
        </w:rPr>
        <w:t>41.</w:t>
      </w:r>
      <w:r>
        <w:rPr>
          <w:noProof/>
        </w:rPr>
        <w:tab/>
        <w:t>Nombre et configuration des portes: …</w:t>
      </w:r>
    </w:p>
    <w:p>
      <w:pPr>
        <w:spacing w:after="0"/>
        <w:ind w:left="851" w:hanging="851"/>
        <w:rPr>
          <w:rFonts w:eastAsia="Arial Unicode MS"/>
          <w:noProof/>
          <w:szCs w:val="24"/>
        </w:rPr>
      </w:pPr>
      <w:r>
        <w:rPr>
          <w:noProof/>
        </w:rPr>
        <w:t>42.</w:t>
      </w:r>
      <w:r>
        <w:rPr>
          <w:noProof/>
        </w:rPr>
        <w:tab/>
        <w:t>Nombre de places assises (y compris celle du conducteur) (</w:t>
      </w:r>
      <w:r>
        <w:rPr>
          <w:noProof/>
          <w:vertAlign w:val="superscript"/>
        </w:rPr>
        <w:t>k</w:t>
      </w:r>
      <w:r>
        <w:rPr>
          <w:noProof/>
        </w:rPr>
        <w:t>): …</w:t>
      </w:r>
    </w:p>
    <w:p>
      <w:pPr>
        <w:spacing w:before="240" w:after="0"/>
        <w:ind w:left="851" w:hanging="851"/>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ind w:left="851"/>
        <w:rPr>
          <w:rFonts w:eastAsia="Arial Unicode MS"/>
          <w:noProof/>
          <w:szCs w:val="24"/>
        </w:rPr>
      </w:pPr>
      <w:r>
        <w:rPr>
          <w:noProof/>
        </w:rPr>
        <w:t>À l’arrêt: … dB(A) au régime moteur: … min</w:t>
      </w:r>
      <w:r>
        <w:rPr>
          <w:noProof/>
          <w:vertAlign w:val="superscript"/>
        </w:rPr>
        <w:t>-1</w:t>
      </w:r>
    </w:p>
    <w:p>
      <w:pPr>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ind w:left="851"/>
        <w:rPr>
          <w:rFonts w:eastAsia="Arial Unicode MS"/>
          <w:noProof/>
          <w:szCs w:val="24"/>
        </w:rPr>
      </w:pPr>
      <w:r>
        <w:rPr>
          <w:noProof/>
        </w:rPr>
        <w:t>Numéro de l’acte réglementaire de base et du dernier acte réglementaire modificatif: …</w:t>
      </w:r>
    </w:p>
    <w:p>
      <w:pPr>
        <w:spacing w:after="0"/>
        <w:ind w:left="1418" w:hanging="567"/>
        <w:rPr>
          <w:rFonts w:eastAsia="Arial Unicode MS"/>
          <w:noProof/>
          <w:szCs w:val="24"/>
        </w:rPr>
      </w:pPr>
      <w:r>
        <w:rPr>
          <w:noProof/>
        </w:rPr>
        <w:t>1.1.</w:t>
      </w:r>
      <w:r>
        <w:rPr>
          <w:noProof/>
        </w:rPr>
        <w:tab/>
        <w:t>Procédure d’essai: Type I ou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lang w:val="pl-PL"/>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p>
    <w:p>
      <w:pPr>
        <w:ind w:left="1418"/>
        <w:rPr>
          <w:rFonts w:eastAsia="Arial Unicode MS"/>
          <w:noProof/>
          <w:szCs w:val="24"/>
        </w:rPr>
      </w:pPr>
      <w:r>
        <w:rPr>
          <w:noProof/>
        </w:rPr>
        <w:t>Particules: …</w:t>
      </w:r>
    </w:p>
    <w:p>
      <w:pPr>
        <w:ind w:left="1418"/>
        <w:rPr>
          <w:rFonts w:eastAsia="Arial Unicode MS"/>
          <w:noProof/>
          <w:szCs w:val="24"/>
        </w:rPr>
      </w:pPr>
      <w:r>
        <w:rPr>
          <w:noProof/>
        </w:rPr>
        <w:t>Opacité des fumées (ELR): …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Procédure d’essai: Type I [Euro 5 ou 6(</w:t>
      </w:r>
      <w:r>
        <w:rPr>
          <w:noProof/>
          <w:vertAlign w:val="superscript"/>
        </w:rPr>
        <w:t>1</w:t>
      </w:r>
      <w:r>
        <w:rPr>
          <w:noProof/>
        </w:rPr>
        <w:t>)] ou WHSC (EURO VI) (</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r>
        <w:rPr>
          <w:noProof/>
        </w:rPr>
        <w:tab/>
        <w:t>NH</w:t>
      </w:r>
      <w:r>
        <w:rPr>
          <w:noProof/>
          <w:vertAlign w:val="subscript"/>
        </w:rPr>
        <w:t>3</w:t>
      </w:r>
      <w:r>
        <w:rPr>
          <w:noProof/>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rPr>
      </w:pPr>
      <w:r>
        <w:rPr>
          <w:noProof/>
        </w:rPr>
        <w:t>Particules(masse): …</w:t>
      </w:r>
      <w:r>
        <w:rPr>
          <w:noProof/>
        </w:rPr>
        <w:tab/>
        <w:t>Particules (nombre): …</w:t>
      </w:r>
    </w:p>
    <w:p>
      <w:pPr>
        <w:spacing w:after="0"/>
        <w:ind w:left="1418" w:hanging="567"/>
        <w:rPr>
          <w:rFonts w:eastAsia="Arial Unicode MS"/>
          <w:noProof/>
          <w:szCs w:val="24"/>
        </w:rPr>
      </w:pPr>
      <w:r>
        <w:rPr>
          <w:noProof/>
        </w:rPr>
        <w:t>2.1.</w:t>
      </w:r>
      <w:r>
        <w:rPr>
          <w:noProof/>
        </w:rPr>
        <w:tab/>
        <w:t>Procédure d’essai: ETC (le cas échéant)</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Particules: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Procédure d’essai: WHTC (EURO VI)</w:t>
      </w:r>
    </w:p>
    <w:p>
      <w:pPr>
        <w:tabs>
          <w:tab w:val="left" w:pos="2268"/>
          <w:tab w:val="left" w:pos="3261"/>
          <w:tab w:val="left" w:pos="4536"/>
          <w:tab w:val="left" w:pos="5529"/>
          <w:tab w:val="left" w:pos="6521"/>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Particules (masse): …Particules (nombre): …</w:t>
      </w:r>
    </w:p>
    <w:p>
      <w:pPr>
        <w:spacing w:after="0"/>
        <w:ind w:left="851" w:hanging="840"/>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Émissions de CO</w:t>
      </w:r>
      <w:r>
        <w:rPr>
          <w:noProof/>
          <w:vertAlign w:val="subscript"/>
        </w:rPr>
        <w:t>2</w:t>
      </w:r>
      <w:r>
        <w:rPr>
          <w:noProof/>
        </w:rPr>
        <w:t>/consommation de carburant/consommation d’énergie électrique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Tous systèmes de propulsion hors véhicules électriques purs</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Émissions de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Consommation de carburant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Conditions urbaines: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Conditions extra-urbaines: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Conditions mixtes: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Pondérée(s), conditions mixtes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Véhicules électriques purs et véhicules électriques hybrides chargeables de l’extérieur</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Cs w:val="24"/>
              </w:rPr>
            </w:pPr>
            <w:r>
              <w:rPr>
                <w:noProof/>
                <w:sz w:val="22"/>
              </w:rPr>
              <w:t>Consommation d’énergie électrique [pondérée, conditions mixtes (</w:t>
            </w:r>
            <w:r>
              <w:rPr>
                <w:noProof/>
                <w:sz w:val="22"/>
                <w:vertAlign w:val="superscript"/>
              </w:rPr>
              <w:t>1</w:t>
            </w:r>
            <w:r>
              <w:rPr>
                <w:noProof/>
                <w:sz w:val="22"/>
              </w:rPr>
              <w:t>)]</w:t>
            </w:r>
          </w:p>
        </w:tc>
        <w:tc>
          <w:tcPr>
            <w:tcW w:w="0" w:type="auto"/>
            <w:hideMark/>
          </w:tcPr>
          <w:p>
            <w:pPr>
              <w:spacing w:before="195" w:after="0"/>
              <w:jc w:val="left"/>
              <w:rPr>
                <w:rFonts w:eastAsia="Arial Unicode MS"/>
                <w:noProof/>
                <w:szCs w:val="24"/>
              </w:rPr>
            </w:pPr>
            <w:r>
              <w:rPr>
                <w:noProof/>
                <w:sz w:val="22"/>
              </w:rPr>
              <w:t>…Wh/km</w:t>
            </w:r>
          </w:p>
        </w:tc>
      </w:tr>
      <w:tr>
        <w:trPr>
          <w:tblCellSpacing w:w="0" w:type="dxa"/>
        </w:trPr>
        <w:tc>
          <w:tcPr>
            <w:tcW w:w="3852" w:type="pct"/>
            <w:hideMark/>
          </w:tcPr>
          <w:p>
            <w:pPr>
              <w:spacing w:before="195" w:after="0"/>
              <w:ind w:left="1418"/>
              <w:jc w:val="left"/>
              <w:rPr>
                <w:rFonts w:eastAsia="Arial Unicode MS"/>
                <w:noProof/>
                <w:szCs w:val="24"/>
              </w:rPr>
            </w:pPr>
            <w:r>
              <w:rPr>
                <w:noProof/>
                <w:sz w:val="22"/>
              </w:rPr>
              <w:t>Autonomie en mode électrique</w:t>
            </w:r>
          </w:p>
        </w:tc>
        <w:tc>
          <w:tcPr>
            <w:tcW w:w="0" w:type="auto"/>
            <w:hideMark/>
          </w:tcPr>
          <w:p>
            <w:pPr>
              <w:spacing w:before="195" w:after="0"/>
              <w:jc w:val="left"/>
              <w:rPr>
                <w:rFonts w:eastAsia="Arial Unicode MS"/>
                <w:noProof/>
                <w:szCs w:val="24"/>
              </w:rPr>
            </w:pPr>
            <w:r>
              <w:rPr>
                <w:noProof/>
                <w:sz w:val="22"/>
              </w:rPr>
              <w:t>… km</w:t>
            </w:r>
          </w:p>
        </w:tc>
      </w:tr>
    </w:tbl>
    <w:p>
      <w:pPr>
        <w:spacing w:before="240" w:after="0"/>
        <w:ind w:left="851" w:hanging="851"/>
        <w:rPr>
          <w:rFonts w:eastAsia="Arial Unicode MS"/>
          <w:noProof/>
          <w:szCs w:val="24"/>
        </w:rPr>
      </w:pPr>
      <w:r>
        <w:rPr>
          <w:b/>
          <w:noProof/>
        </w:rPr>
        <w:t>Divers</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jc w:val="center"/>
        <w:rPr>
          <w:rFonts w:eastAsia="Arial Unicode MS"/>
          <w:bCs/>
          <w:noProof/>
          <w:szCs w:val="24"/>
        </w:rPr>
      </w:pPr>
      <w:r>
        <w:rPr>
          <w:noProof/>
        </w:rPr>
        <w:t>CATÉGORIE DE VÉHICULES M</w:t>
      </w:r>
      <w:r>
        <w:rPr>
          <w:noProof/>
          <w:vertAlign w:val="subscript"/>
        </w:rPr>
        <w:t>2</w:t>
      </w:r>
    </w:p>
    <w:p>
      <w:pPr>
        <w:jc w:val="center"/>
        <w:rPr>
          <w:rFonts w:eastAsia="Arial Unicode MS"/>
          <w:bCs/>
          <w:noProof/>
          <w:szCs w:val="24"/>
        </w:rPr>
      </w:pPr>
      <w:r>
        <w:rPr>
          <w:noProof/>
        </w:rPr>
        <w:t>(véhicules incomplets)</w:t>
      </w:r>
    </w:p>
    <w:p>
      <w:pPr>
        <w:spacing w:before="0"/>
        <w:jc w:val="left"/>
        <w:rPr>
          <w:rFonts w:eastAsia="Arial Unicode MS"/>
          <w:b/>
          <w:bC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2.</w:t>
      </w:r>
      <w:r>
        <w:rPr>
          <w:noProof/>
        </w:rPr>
        <w:tab/>
        <w:t>Essieux directeurs (nombre, emplacement):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Longueur maximale admissible: … mm</w:t>
      </w:r>
    </w:p>
    <w:p>
      <w:pPr>
        <w:spacing w:after="0"/>
        <w:ind w:left="851" w:hanging="851"/>
        <w:rPr>
          <w:rFonts w:eastAsia="Arial Unicode MS"/>
          <w:noProof/>
          <w:szCs w:val="24"/>
        </w:rPr>
      </w:pPr>
      <w:r>
        <w:rPr>
          <w:noProof/>
        </w:rPr>
        <w:t>6.1.</w:t>
      </w:r>
      <w:r>
        <w:rPr>
          <w:noProof/>
        </w:rPr>
        <w:tab/>
        <w:t>Largeur maximale admissible: … mm</w:t>
      </w:r>
    </w:p>
    <w:p>
      <w:pPr>
        <w:spacing w:after="0"/>
        <w:ind w:left="851" w:hanging="851"/>
        <w:rPr>
          <w:rFonts w:eastAsia="Arial Unicode MS"/>
          <w:noProof/>
          <w:szCs w:val="24"/>
        </w:rPr>
      </w:pPr>
      <w:r>
        <w:rPr>
          <w:noProof/>
        </w:rPr>
        <w:t>7.1.</w:t>
      </w:r>
      <w:r>
        <w:rPr>
          <w:noProof/>
        </w:rPr>
        <w:tab/>
        <w:t>Hauteur maximale admissible: … mm</w:t>
      </w:r>
    </w:p>
    <w:p>
      <w:pPr>
        <w:spacing w:after="0"/>
        <w:ind w:left="851" w:hanging="851"/>
        <w:rPr>
          <w:rFonts w:eastAsia="Arial Unicode MS"/>
          <w:noProof/>
          <w:szCs w:val="24"/>
        </w:rPr>
      </w:pPr>
      <w:r>
        <w:rPr>
          <w:noProof/>
        </w:rPr>
        <w:t>12.1.</w:t>
      </w:r>
      <w:r>
        <w:rPr>
          <w:noProof/>
        </w:rPr>
        <w:tab/>
        <w:t>Porte-à-faux arrière maximal admissible: … mm</w:t>
      </w:r>
    </w:p>
    <w:p>
      <w:pPr>
        <w:spacing w:before="240"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14.</w:t>
      </w:r>
      <w:r>
        <w:rPr>
          <w:noProof/>
        </w:rPr>
        <w:tab/>
        <w:t>Masse en ordre de marche du véhicule incomplet: …kg</w:t>
      </w:r>
    </w:p>
    <w:p>
      <w:pPr>
        <w:tabs>
          <w:tab w:val="left" w:pos="5387"/>
        </w:tabs>
        <w:spacing w:after="0"/>
        <w:ind w:left="851" w:hanging="851"/>
        <w:rPr>
          <w:rFonts w:eastAsia="Arial Unicode MS"/>
          <w:noProof/>
          <w:szCs w:val="24"/>
        </w:rPr>
      </w:pPr>
      <w:r>
        <w:rPr>
          <w:noProof/>
        </w:rPr>
        <w:t>14.1.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Masse réelle du véhicule incomplet: …kg</w:t>
      </w:r>
    </w:p>
    <w:p>
      <w:pPr>
        <w:spacing w:after="0"/>
        <w:ind w:left="851" w:hanging="851"/>
        <w:rPr>
          <w:rFonts w:eastAsia="Arial Unicode MS"/>
          <w:noProof/>
          <w:szCs w:val="24"/>
        </w:rPr>
      </w:pPr>
      <w:r>
        <w:rPr>
          <w:noProof/>
        </w:rPr>
        <w:t>15.</w:t>
      </w:r>
      <w:r>
        <w:rPr>
          <w:noProof/>
        </w:rPr>
        <w:tab/>
        <w:t>Masse minimale du véhicule complété: … kg</w:t>
      </w:r>
    </w:p>
    <w:p>
      <w:pPr>
        <w:tabs>
          <w:tab w:val="left" w:pos="5529"/>
        </w:tabs>
        <w:spacing w:after="0"/>
        <w:ind w:left="851" w:hanging="851"/>
        <w:rPr>
          <w:rFonts w:eastAsia="Arial Unicode MS"/>
          <w:noProof/>
          <w:szCs w:val="24"/>
        </w:rPr>
      </w:pPr>
      <w:r>
        <w:rPr>
          <w:noProof/>
        </w:rPr>
        <w:t>15.1.</w:t>
      </w:r>
      <w:r>
        <w:rPr>
          <w:noProof/>
        </w:rPr>
        <w:tab/>
        <w:t xml:space="preserve">Répartition de cette masse entre les essieux: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Masse techniquement admissible sur chaque essieu: </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 xml:space="preserve">Masse techniquement admissible sur chaque groupe d’essieux: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Masse maximale techniquement admissible de l’ensemble: … kg</w:t>
      </w:r>
    </w:p>
    <w:p>
      <w:pPr>
        <w:spacing w:after="0"/>
        <w:ind w:left="851" w:hanging="851"/>
        <w:rPr>
          <w:rFonts w:eastAsia="Arial Unicode MS"/>
          <w:noProof/>
          <w:szCs w:val="24"/>
        </w:rPr>
      </w:pPr>
      <w:r>
        <w:rPr>
          <w:noProof/>
        </w:rPr>
        <w:t>17.</w:t>
      </w:r>
      <w:r>
        <w:rPr>
          <w:noProof/>
        </w:rPr>
        <w:tab/>
        <w:t>Masses maximales admissibles à l’immatriculation/en service prévues pour le trafic national/international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Masse en charge maximale admissible à l’immatriculation/en service prévue: … kg</w:t>
      </w:r>
    </w:p>
    <w:p>
      <w:pPr>
        <w:spacing w:after="0"/>
        <w:ind w:left="850" w:hanging="839"/>
        <w:rPr>
          <w:rFonts w:eastAsia="Arial Unicode MS"/>
          <w:noProof/>
          <w:szCs w:val="24"/>
        </w:rPr>
      </w:pPr>
      <w:r>
        <w:rPr>
          <w:noProof/>
        </w:rPr>
        <w:t>17.2.</w:t>
      </w:r>
      <w:r>
        <w:rPr>
          <w:noProof/>
        </w:rPr>
        <w:tab/>
        <w:t>Masse en charge maximale admissible à l’immatriculation/en service prévue sur chaque essieu:</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Masse en charge maximale admissible à l’immatriculation/en service prévue sur chaque groupe d’essieux:</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Masse maximale admissible à l’immatriculation/en service prévue pour l’ensemble: … kg</w:t>
      </w:r>
    </w:p>
    <w:p>
      <w:pPr>
        <w:spacing w:after="0"/>
        <w:ind w:left="851" w:hanging="851"/>
        <w:rPr>
          <w:rFonts w:eastAsia="Arial Unicode MS"/>
          <w:noProof/>
          <w:szCs w:val="24"/>
        </w:rPr>
      </w:pPr>
      <w:r>
        <w:rPr>
          <w:noProof/>
        </w:rPr>
        <w:t>18.</w:t>
      </w:r>
      <w:r>
        <w:rPr>
          <w:noProof/>
        </w:rPr>
        <w:tab/>
        <w:t>Masse tractable maximale techniquement admissible dans le cas:</w:t>
      </w:r>
    </w:p>
    <w:p>
      <w:pPr>
        <w:spacing w:after="0"/>
        <w:ind w:left="851" w:hanging="840"/>
        <w:rPr>
          <w:rFonts w:eastAsia="Arial Unicode MS"/>
          <w:noProof/>
          <w:szCs w:val="24"/>
        </w:rPr>
      </w:pPr>
      <w:r>
        <w:rPr>
          <w:noProof/>
        </w:rPr>
        <w:t>18.1.</w:t>
      </w:r>
      <w:r>
        <w:rPr>
          <w:noProof/>
        </w:rPr>
        <w:tab/>
        <w:t>d’une remorque à timon: … kg</w:t>
      </w:r>
    </w:p>
    <w:p>
      <w:pPr>
        <w:spacing w:after="0"/>
        <w:ind w:left="851" w:hanging="840"/>
        <w:rPr>
          <w:rFonts w:eastAsia="Arial Unicode MS"/>
          <w:noProof/>
          <w:szCs w:val="24"/>
        </w:rPr>
      </w:pPr>
      <w:r>
        <w:rPr>
          <w:noProof/>
        </w:rPr>
        <w:t>18.3.</w:t>
      </w:r>
      <w:r>
        <w:rPr>
          <w:noProof/>
        </w:rPr>
        <w:tab/>
        <w:t>d’une remorque à essieu central: … kg</w:t>
      </w:r>
    </w:p>
    <w:p>
      <w:pPr>
        <w:spacing w:after="0"/>
        <w:ind w:left="851" w:hanging="840"/>
        <w:rPr>
          <w:rFonts w:eastAsia="Arial Unicode MS"/>
          <w:noProof/>
          <w:szCs w:val="24"/>
        </w:rPr>
      </w:pPr>
      <w:r>
        <w:rPr>
          <w:noProof/>
        </w:rPr>
        <w:t>18.4.</w:t>
      </w:r>
      <w:r>
        <w:rPr>
          <w:noProof/>
        </w:rPr>
        <w:tab/>
        <w:t>d’une remorque non freinée: … kg</w:t>
      </w:r>
    </w:p>
    <w:p>
      <w:pPr>
        <w:spacing w:after="0"/>
        <w:ind w:left="851" w:hanging="851"/>
        <w:rPr>
          <w:rFonts w:eastAsia="Arial Unicode MS"/>
          <w:noProof/>
          <w:szCs w:val="24"/>
        </w:rPr>
      </w:pPr>
      <w:r>
        <w:rPr>
          <w:noProof/>
        </w:rPr>
        <w:t>19.</w:t>
      </w:r>
      <w:r>
        <w:rPr>
          <w:noProof/>
        </w:rPr>
        <w:tab/>
        <w:t>Masse statique maximale techniquement admissible au point d’attelage: … kg</w:t>
      </w:r>
    </w:p>
    <w:p>
      <w:pPr>
        <w:spacing w:before="240" w:after="0"/>
        <w:ind w:left="851" w:hanging="851"/>
        <w:rPr>
          <w:rFonts w:eastAsia="Arial Unicode MS"/>
          <w:noProof/>
          <w:szCs w:val="24"/>
        </w:rPr>
      </w:pPr>
      <w:r>
        <w:rPr>
          <w:b/>
          <w:noProof/>
        </w:rPr>
        <w:t>Groupe moteur</w:t>
      </w:r>
    </w:p>
    <w:p>
      <w:pPr>
        <w:spacing w:after="0"/>
        <w:ind w:left="851" w:hanging="851"/>
        <w:rPr>
          <w:rFonts w:eastAsia="Arial Unicode MS"/>
          <w:noProof/>
          <w:szCs w:val="24"/>
        </w:rPr>
      </w:pPr>
      <w:r>
        <w:rPr>
          <w:noProof/>
        </w:rPr>
        <w:t>20.</w:t>
      </w:r>
      <w:r>
        <w:rPr>
          <w:noProof/>
        </w:rPr>
        <w:tab/>
        <w:t>Constructeur du moteur: …</w:t>
      </w:r>
    </w:p>
    <w:p>
      <w:pPr>
        <w:spacing w:after="0"/>
        <w:ind w:left="851" w:hanging="851"/>
        <w:rPr>
          <w:rFonts w:eastAsia="Arial Unicode MS"/>
          <w:noProof/>
          <w:szCs w:val="24"/>
        </w:rPr>
      </w:pPr>
      <w:r>
        <w:rPr>
          <w:noProof/>
        </w:rPr>
        <w:t>21.</w:t>
      </w:r>
      <w:r>
        <w:rPr>
          <w:noProof/>
        </w:rPr>
        <w:tab/>
        <w:t>Code du moteur tel que marqué sur le moteur: …</w:t>
      </w:r>
    </w:p>
    <w:p>
      <w:pPr>
        <w:spacing w:after="0"/>
        <w:ind w:left="851" w:hanging="851"/>
        <w:rPr>
          <w:rFonts w:eastAsia="Arial Unicode MS"/>
          <w:noProof/>
          <w:szCs w:val="24"/>
        </w:rPr>
      </w:pPr>
      <w:r>
        <w:rPr>
          <w:noProof/>
        </w:rPr>
        <w:t>22.</w:t>
      </w:r>
      <w:r>
        <w:rPr>
          <w:noProof/>
        </w:rPr>
        <w:tab/>
        <w:t>Principe de fonctionnement: …</w:t>
      </w:r>
    </w:p>
    <w:p>
      <w:pPr>
        <w:spacing w:after="0"/>
        <w:ind w:left="851" w:hanging="851"/>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Nombre et disposition des cylindres: …</w:t>
      </w:r>
    </w:p>
    <w:p>
      <w:pPr>
        <w:spacing w:after="0"/>
        <w:ind w:left="851" w:hanging="851"/>
        <w:rPr>
          <w:rFonts w:eastAsia="Arial Unicode MS"/>
          <w:noProof/>
          <w:szCs w:val="24"/>
        </w:rPr>
      </w:pPr>
      <w:r>
        <w:rPr>
          <w:noProof/>
        </w:rPr>
        <w:t>25.</w:t>
      </w:r>
      <w:r>
        <w:rPr>
          <w:noProof/>
        </w:rPr>
        <w:tab/>
        <w:t>Cylindrée: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Gazole/essence/GPL/GNC-biométhane/GNL/éthanol/biogazole/hydrogène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Monocarburant/bicarburant/polycarburant/double carburant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Boîte de vitesses (type): …</w:t>
      </w:r>
    </w:p>
    <w:p>
      <w:pPr>
        <w:spacing w:before="240"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before="240" w:after="0"/>
        <w:ind w:left="851" w:hanging="851"/>
        <w:rPr>
          <w:rFonts w:eastAsia="Arial Unicode MS"/>
          <w:noProof/>
          <w:szCs w:val="24"/>
        </w:rPr>
      </w:pPr>
      <w:r>
        <w:rPr>
          <w:b/>
          <w:noProof/>
        </w:rPr>
        <w:t>Essieux et suspension</w:t>
      </w:r>
    </w:p>
    <w:p>
      <w:pPr>
        <w:spacing w:after="0"/>
        <w:ind w:left="851" w:hanging="851"/>
        <w:rPr>
          <w:rFonts w:eastAsia="Arial Unicode MS"/>
          <w:noProof/>
          <w:szCs w:val="24"/>
        </w:rPr>
      </w:pPr>
      <w:r>
        <w:rPr>
          <w:noProof/>
        </w:rPr>
        <w:t>30.</w:t>
      </w:r>
      <w:r>
        <w:rPr>
          <w:noProof/>
        </w:rPr>
        <w:tab/>
        <w:t>Voie des essieux:</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Essieu(x) moteur(s) équipé(s) d’une suspension pneumatique ou équivalente: oui/non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1" w:hanging="851"/>
        <w:rPr>
          <w:rFonts w:eastAsia="Arial Unicode MS"/>
          <w:noProof/>
          <w:szCs w:val="24"/>
        </w:rPr>
      </w:pPr>
      <w:r>
        <w:rPr>
          <w:b/>
          <w:noProof/>
        </w:rPr>
        <w:t>Freins</w:t>
      </w:r>
    </w:p>
    <w:p>
      <w:pPr>
        <w:spacing w:after="0"/>
        <w:ind w:left="851" w:hanging="851"/>
        <w:jc w:val="left"/>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 dans la conduite d’alimentation du système de freinage de la remorque: … bar</w:t>
      </w:r>
    </w:p>
    <w:p>
      <w:pPr>
        <w:spacing w:before="240" w:after="0"/>
        <w:ind w:left="851" w:hanging="851"/>
        <w:rPr>
          <w:rFonts w:eastAsia="Arial Unicode MS"/>
          <w:noProof/>
          <w:szCs w:val="24"/>
        </w:rPr>
      </w:pPr>
      <w:r>
        <w:rPr>
          <w:b/>
          <w:noProof/>
        </w:rPr>
        <w:t>Dispositif d’attelage</w:t>
      </w:r>
    </w:p>
    <w:p>
      <w:pPr>
        <w:spacing w:after="0"/>
        <w:ind w:left="851" w:hanging="840"/>
        <w:rPr>
          <w:rFonts w:eastAsia="Arial Unicode MS"/>
          <w:noProof/>
          <w:szCs w:val="24"/>
        </w:rPr>
      </w:pPr>
      <w:r>
        <w:rPr>
          <w:noProof/>
        </w:rPr>
        <w:t>44.</w:t>
      </w:r>
      <w:r>
        <w:rPr>
          <w:noProof/>
        </w:rPr>
        <w:tab/>
        <w:t>Numéro de réception ou marque de réception du dispositif d’attelage (le cas échéant): …</w:t>
      </w:r>
    </w:p>
    <w:p>
      <w:pPr>
        <w:spacing w:after="0"/>
        <w:ind w:left="851" w:hanging="840"/>
        <w:rPr>
          <w:rFonts w:eastAsia="Arial Unicode MS"/>
          <w:noProof/>
          <w:szCs w:val="24"/>
        </w:rPr>
      </w:pPr>
      <w:r>
        <w:rPr>
          <w:noProof/>
        </w:rPr>
        <w:t>45.</w:t>
      </w:r>
      <w:r>
        <w:rPr>
          <w:noProof/>
        </w:rPr>
        <w:tab/>
        <w:t>Types ou classes de dispositifs d’attelage pouvant être montés: …</w:t>
      </w:r>
    </w:p>
    <w:p>
      <w:pPr>
        <w:spacing w:after="0"/>
        <w:ind w:left="851" w:hanging="840"/>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0" w:hanging="839"/>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ind w:left="851"/>
        <w:rPr>
          <w:rFonts w:eastAsia="Arial Unicode MS"/>
          <w:noProof/>
          <w:szCs w:val="24"/>
        </w:rPr>
      </w:pPr>
      <w:r>
        <w:rPr>
          <w:noProof/>
        </w:rPr>
        <w:t>À l’arrêt: … dB(A) au régime moteur: … min</w:t>
      </w:r>
      <w:r>
        <w:rPr>
          <w:noProof/>
          <w:vertAlign w:val="superscript"/>
        </w:rPr>
        <w:t>-1</w:t>
      </w:r>
    </w:p>
    <w:p>
      <w:pPr>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Numéro de l’acte réglementaire de base et du dernier acte réglementaire modificatif: …</w:t>
      </w:r>
    </w:p>
    <w:p>
      <w:pPr>
        <w:spacing w:after="0"/>
        <w:ind w:left="1560" w:hanging="720"/>
        <w:rPr>
          <w:rFonts w:eastAsia="Arial Unicode MS"/>
          <w:noProof/>
          <w:szCs w:val="24"/>
        </w:rPr>
      </w:pPr>
      <w:r>
        <w:rPr>
          <w:noProof/>
        </w:rPr>
        <w:t>1.1.</w:t>
      </w:r>
      <w:r>
        <w:rPr>
          <w:noProof/>
        </w:rPr>
        <w:tab/>
        <w:t>Procédure d’essai: Type I ou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Particules: …</w:t>
      </w:r>
    </w:p>
    <w:p>
      <w:pPr>
        <w:spacing w:after="100" w:afterAutospacing="1"/>
        <w:ind w:left="1950" w:hanging="391"/>
        <w:rPr>
          <w:rFonts w:eastAsia="Arial Unicode MS"/>
          <w:noProof/>
          <w:szCs w:val="24"/>
        </w:rPr>
      </w:pPr>
      <w:r>
        <w:rPr>
          <w:noProof/>
        </w:rPr>
        <w:t>Opacité des fumées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Procédure d’essai: Type I [Euro 5 ou 6(</w:t>
      </w:r>
      <w:r>
        <w:rPr>
          <w:noProof/>
          <w:vertAlign w:val="superscript"/>
        </w:rPr>
        <w:t>1</w:t>
      </w:r>
      <w:r>
        <w:rPr>
          <w:noProof/>
        </w:rPr>
        <w:t>)] ou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 xml:space="preserve">… </w:t>
      </w:r>
      <w:r>
        <w:rPr>
          <w:noProof/>
        </w:rPr>
        <w:tab/>
        <w:t>NH</w:t>
      </w:r>
      <w:r>
        <w:rPr>
          <w:noProof/>
          <w:vertAlign w:val="subscript"/>
        </w:rPr>
        <w:t>3</w:t>
      </w:r>
      <w:r>
        <w:rPr>
          <w:noProof/>
        </w:rPr>
        <w:t xml:space="preserve">: … </w:t>
      </w:r>
      <w:r>
        <w:rPr>
          <w:noProof/>
        </w:rPr>
        <w:tab/>
        <w:t>Particules (masse): …</w:t>
      </w:r>
      <w:r>
        <w:rPr>
          <w:noProof/>
        </w:rPr>
        <w:tab/>
        <w:t>Particules (nombre): …</w:t>
      </w:r>
    </w:p>
    <w:p>
      <w:pPr>
        <w:spacing w:after="0"/>
        <w:ind w:left="1560" w:hanging="709"/>
        <w:rPr>
          <w:rFonts w:eastAsia="Arial Unicode MS"/>
          <w:noProof/>
          <w:szCs w:val="24"/>
        </w:rPr>
      </w:pPr>
      <w:r>
        <w:rPr>
          <w:noProof/>
        </w:rPr>
        <w:t>2.1.</w:t>
      </w:r>
      <w:r>
        <w:rPr>
          <w:noProof/>
        </w:rPr>
        <w:tab/>
        <w:t>Procédure d’essai: ETC (le cas échéant)</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Particules: …</w:t>
      </w:r>
    </w:p>
    <w:p>
      <w:pPr>
        <w:tabs>
          <w:tab w:val="left" w:pos="2552"/>
          <w:tab w:val="left" w:pos="3686"/>
          <w:tab w:val="left" w:pos="5103"/>
          <w:tab w:val="left" w:pos="6237"/>
          <w:tab w:val="left" w:pos="7371"/>
        </w:tabs>
        <w:spacing w:after="0"/>
        <w:ind w:left="1560" w:hanging="709"/>
        <w:rPr>
          <w:rFonts w:eastAsia="Arial Unicode MS"/>
          <w:noProof/>
          <w:szCs w:val="24"/>
          <w:lang w:val="it-IT"/>
        </w:rPr>
      </w:pPr>
      <w:r>
        <w:rPr>
          <w:noProof/>
          <w:lang w:val="it-IT"/>
        </w:rPr>
        <w:t>2.2.</w:t>
      </w:r>
      <w:r>
        <w:rPr>
          <w:noProof/>
          <w:lang w:val="it-IT"/>
        </w:rPr>
        <w:tab/>
        <w:t>Procédure d’essai: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Particules (masse): …</w:t>
      </w:r>
      <w:r>
        <w:rPr>
          <w:noProof/>
        </w:rPr>
        <w:tab/>
        <w:t>Particules (nombre): …</w:t>
      </w:r>
    </w:p>
    <w:p>
      <w:pPr>
        <w:spacing w:after="0"/>
        <w:ind w:left="851" w:hanging="840"/>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before="240" w:after="0"/>
        <w:ind w:left="850" w:hanging="839"/>
        <w:rPr>
          <w:rFonts w:eastAsia="Arial Unicode MS"/>
          <w:noProof/>
          <w:szCs w:val="24"/>
        </w:rPr>
      </w:pPr>
      <w:r>
        <w:rPr>
          <w:b/>
          <w:noProof/>
        </w:rPr>
        <w:t>Divers</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 DE VÉHICULES M</w:t>
      </w:r>
      <w:r>
        <w:rPr>
          <w:noProof/>
          <w:vertAlign w:val="subscript"/>
        </w:rPr>
        <w:t>3</w:t>
      </w:r>
    </w:p>
    <w:p>
      <w:pPr>
        <w:jc w:val="center"/>
        <w:rPr>
          <w:rFonts w:eastAsia="Arial Unicode MS"/>
          <w:bCs/>
          <w:noProof/>
          <w:szCs w:val="24"/>
        </w:rPr>
      </w:pPr>
      <w:r>
        <w:rPr>
          <w:noProof/>
        </w:rPr>
        <w:t>(véhicules incomplets)</w:t>
      </w:r>
    </w:p>
    <w:p>
      <w:pPr>
        <w:jc w:val="left"/>
        <w:rPr>
          <w:rFonts w:eastAsia="Arial Unicode MS"/>
          <w:b/>
          <w:bC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2.</w:t>
      </w:r>
      <w:r>
        <w:rPr>
          <w:noProof/>
        </w:rPr>
        <w:tab/>
        <w:t>Essieux directeurs (nombre, emplacement):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Longueur maximale admissible: … mm</w:t>
      </w:r>
    </w:p>
    <w:p>
      <w:pPr>
        <w:spacing w:after="0"/>
        <w:ind w:left="851" w:hanging="851"/>
        <w:rPr>
          <w:rFonts w:eastAsia="Arial Unicode MS"/>
          <w:noProof/>
          <w:szCs w:val="24"/>
        </w:rPr>
      </w:pPr>
      <w:r>
        <w:rPr>
          <w:noProof/>
        </w:rPr>
        <w:t>6.1.</w:t>
      </w:r>
      <w:r>
        <w:rPr>
          <w:noProof/>
        </w:rPr>
        <w:tab/>
        <w:t>Largeur maximale admissible: … mm</w:t>
      </w:r>
    </w:p>
    <w:p>
      <w:pPr>
        <w:spacing w:after="0"/>
        <w:ind w:left="851" w:hanging="851"/>
        <w:rPr>
          <w:rFonts w:eastAsia="Arial Unicode MS"/>
          <w:noProof/>
          <w:szCs w:val="24"/>
        </w:rPr>
      </w:pPr>
      <w:r>
        <w:rPr>
          <w:noProof/>
        </w:rPr>
        <w:t>7.1.</w:t>
      </w:r>
      <w:r>
        <w:rPr>
          <w:noProof/>
        </w:rPr>
        <w:tab/>
        <w:t>Hauteur maximale admissible: … mm</w:t>
      </w:r>
    </w:p>
    <w:p>
      <w:pPr>
        <w:spacing w:after="0"/>
        <w:ind w:left="851" w:hanging="851"/>
        <w:rPr>
          <w:rFonts w:eastAsia="Arial Unicode MS"/>
          <w:noProof/>
          <w:szCs w:val="24"/>
        </w:rPr>
      </w:pPr>
      <w:r>
        <w:rPr>
          <w:noProof/>
        </w:rPr>
        <w:t>12.1.</w:t>
      </w:r>
      <w:r>
        <w:rPr>
          <w:noProof/>
        </w:rPr>
        <w:tab/>
        <w:t>Porte-à-faux arrière maximal admissible: … mm</w:t>
      </w:r>
    </w:p>
    <w:p>
      <w:pPr>
        <w:spacing w:before="240"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14.</w:t>
      </w:r>
      <w:r>
        <w:rPr>
          <w:noProof/>
        </w:rPr>
        <w:tab/>
        <w:t>Masse en ordre de marche du véhicule incomplet: …kg</w:t>
      </w:r>
    </w:p>
    <w:p>
      <w:pPr>
        <w:tabs>
          <w:tab w:val="left" w:pos="5387"/>
        </w:tabs>
        <w:spacing w:after="0"/>
        <w:ind w:left="851" w:hanging="851"/>
        <w:rPr>
          <w:rFonts w:eastAsia="Arial Unicode MS"/>
          <w:noProof/>
          <w:szCs w:val="24"/>
        </w:rPr>
      </w:pPr>
      <w:r>
        <w:rPr>
          <w:noProof/>
        </w:rPr>
        <w:t>14.1.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Masse réelle du véhicule incomplet: …kg</w:t>
      </w:r>
    </w:p>
    <w:p>
      <w:pPr>
        <w:spacing w:after="0"/>
        <w:ind w:left="851" w:hanging="851"/>
        <w:rPr>
          <w:rFonts w:eastAsia="Arial Unicode MS"/>
          <w:noProof/>
          <w:szCs w:val="24"/>
        </w:rPr>
      </w:pPr>
      <w:r>
        <w:rPr>
          <w:noProof/>
        </w:rPr>
        <w:t>15.</w:t>
      </w:r>
      <w:r>
        <w:rPr>
          <w:noProof/>
        </w:rPr>
        <w:tab/>
        <w:t>Masse minimale du véhicule complété: … kg</w:t>
      </w:r>
    </w:p>
    <w:p>
      <w:pPr>
        <w:tabs>
          <w:tab w:val="left" w:pos="5529"/>
        </w:tabs>
        <w:spacing w:after="0"/>
        <w:ind w:left="851" w:hanging="851"/>
        <w:rPr>
          <w:rFonts w:eastAsia="Arial Unicode MS"/>
          <w:noProof/>
          <w:szCs w:val="24"/>
        </w:rPr>
      </w:pPr>
      <w:r>
        <w:rPr>
          <w:noProof/>
        </w:rPr>
        <w:t>15.1.</w:t>
      </w:r>
      <w:r>
        <w:rPr>
          <w:noProof/>
        </w:rPr>
        <w:tab/>
        <w:t xml:space="preserve">Répartition de cette masse entre les essieux: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Masse techniquement admissible sur chaque essieu: </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 xml:space="preserve">Masse techniquement admissible sur chaque groupe d’essieux: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Masse maximale techniquement admissible de l’ensemble: … kg</w:t>
      </w:r>
    </w:p>
    <w:p>
      <w:pPr>
        <w:spacing w:after="0"/>
        <w:ind w:left="851" w:hanging="851"/>
        <w:rPr>
          <w:rFonts w:eastAsia="Arial Unicode MS"/>
          <w:noProof/>
          <w:szCs w:val="24"/>
        </w:rPr>
      </w:pPr>
      <w:r>
        <w:rPr>
          <w:noProof/>
        </w:rPr>
        <w:t>17.</w:t>
      </w:r>
      <w:r>
        <w:rPr>
          <w:noProof/>
        </w:rPr>
        <w:tab/>
        <w:t>Masses maximales admissibles à l’immatriculation/en service prévues pour le trafic national/international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Masse en charge maximale admissible à l’immatriculation/en service prévue: … kg</w:t>
      </w:r>
    </w:p>
    <w:p>
      <w:pPr>
        <w:spacing w:after="0"/>
        <w:ind w:left="850" w:hanging="839"/>
        <w:rPr>
          <w:rFonts w:eastAsia="Arial Unicode MS"/>
          <w:noProof/>
          <w:szCs w:val="24"/>
        </w:rPr>
      </w:pPr>
      <w:r>
        <w:rPr>
          <w:noProof/>
        </w:rPr>
        <w:t>17.2.</w:t>
      </w:r>
      <w:r>
        <w:rPr>
          <w:noProof/>
        </w:rPr>
        <w:tab/>
        <w:t>Masse en charge maximale admissible à l’immatriculation/en service prévue sur chaque essieu:</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Masse en charge maximale admissible à l’immatriculation/en service prévue sur chaque groupe d’essieux:</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Masse maximale admissible à l’immatriculation/en service prévue pour l’ensemble: … kg</w:t>
      </w:r>
    </w:p>
    <w:p>
      <w:pPr>
        <w:spacing w:after="0"/>
        <w:ind w:left="851" w:hanging="851"/>
        <w:rPr>
          <w:rFonts w:eastAsia="Arial Unicode MS"/>
          <w:noProof/>
          <w:szCs w:val="24"/>
        </w:rPr>
      </w:pPr>
      <w:r>
        <w:rPr>
          <w:noProof/>
        </w:rPr>
        <w:t>18.</w:t>
      </w:r>
      <w:r>
        <w:rPr>
          <w:noProof/>
        </w:rPr>
        <w:tab/>
        <w:t>Masse tractable maximale techniquement admissible en cas de:</w:t>
      </w:r>
    </w:p>
    <w:p>
      <w:pPr>
        <w:spacing w:after="0"/>
        <w:ind w:left="851" w:hanging="840"/>
        <w:rPr>
          <w:rFonts w:eastAsia="Arial Unicode MS"/>
          <w:noProof/>
          <w:szCs w:val="24"/>
          <w:lang w:val="pt-PT"/>
        </w:rPr>
      </w:pPr>
      <w:r>
        <w:rPr>
          <w:noProof/>
          <w:lang w:val="pt-PT"/>
        </w:rPr>
        <w:t>18.1.</w:t>
      </w:r>
      <w:r>
        <w:rPr>
          <w:noProof/>
          <w:lang w:val="pt-PT"/>
        </w:rPr>
        <w:tab/>
        <w:t>remorque à timon: … kg</w:t>
      </w:r>
    </w:p>
    <w:p>
      <w:pPr>
        <w:spacing w:after="0"/>
        <w:ind w:left="851" w:hanging="840"/>
        <w:rPr>
          <w:rFonts w:eastAsia="Arial Unicode MS"/>
          <w:noProof/>
          <w:szCs w:val="24"/>
          <w:lang w:val="pt-PT"/>
        </w:rPr>
      </w:pPr>
      <w:r>
        <w:rPr>
          <w:noProof/>
          <w:lang w:val="pt-PT"/>
        </w:rPr>
        <w:t>18.3.</w:t>
      </w:r>
      <w:r>
        <w:rPr>
          <w:noProof/>
          <w:lang w:val="pt-PT"/>
        </w:rPr>
        <w:tab/>
        <w:t>remorque à essieu central: … kg</w:t>
      </w:r>
    </w:p>
    <w:p>
      <w:pPr>
        <w:spacing w:after="0"/>
        <w:ind w:left="851" w:hanging="840"/>
        <w:rPr>
          <w:rFonts w:eastAsia="Arial Unicode MS"/>
          <w:noProof/>
          <w:szCs w:val="24"/>
        </w:rPr>
      </w:pPr>
      <w:r>
        <w:rPr>
          <w:noProof/>
        </w:rPr>
        <w:t>18.4.</w:t>
      </w:r>
      <w:r>
        <w:rPr>
          <w:noProof/>
        </w:rPr>
        <w:tab/>
        <w:t>remorque non freinée: … kg</w:t>
      </w:r>
    </w:p>
    <w:p>
      <w:pPr>
        <w:spacing w:after="0"/>
        <w:ind w:left="851" w:hanging="851"/>
        <w:rPr>
          <w:rFonts w:eastAsia="Arial Unicode MS"/>
          <w:noProof/>
          <w:szCs w:val="24"/>
        </w:rPr>
      </w:pPr>
      <w:r>
        <w:rPr>
          <w:noProof/>
        </w:rPr>
        <w:t>19.</w:t>
      </w:r>
      <w:r>
        <w:rPr>
          <w:noProof/>
        </w:rPr>
        <w:tab/>
        <w:t>Masse statique maximale techniquement admissible au point d’attelage: … kg</w:t>
      </w:r>
    </w:p>
    <w:p>
      <w:pPr>
        <w:spacing w:before="240" w:after="0"/>
        <w:ind w:left="851" w:hanging="851"/>
        <w:rPr>
          <w:rFonts w:eastAsia="Arial Unicode MS"/>
          <w:noProof/>
          <w:szCs w:val="24"/>
        </w:rPr>
      </w:pPr>
      <w:r>
        <w:rPr>
          <w:b/>
          <w:noProof/>
        </w:rPr>
        <w:t>Groupe moteur</w:t>
      </w:r>
    </w:p>
    <w:p>
      <w:pPr>
        <w:spacing w:after="0"/>
        <w:ind w:left="851" w:hanging="851"/>
        <w:rPr>
          <w:rFonts w:eastAsia="Arial Unicode MS"/>
          <w:noProof/>
          <w:szCs w:val="24"/>
        </w:rPr>
      </w:pPr>
      <w:r>
        <w:rPr>
          <w:noProof/>
        </w:rPr>
        <w:t>20.</w:t>
      </w:r>
      <w:r>
        <w:rPr>
          <w:noProof/>
        </w:rPr>
        <w:tab/>
        <w:t>Constructeur du moteur: …</w:t>
      </w:r>
    </w:p>
    <w:p>
      <w:pPr>
        <w:spacing w:after="0"/>
        <w:ind w:left="851" w:hanging="851"/>
        <w:rPr>
          <w:rFonts w:eastAsia="Arial Unicode MS"/>
          <w:noProof/>
          <w:szCs w:val="24"/>
        </w:rPr>
      </w:pPr>
      <w:r>
        <w:rPr>
          <w:noProof/>
        </w:rPr>
        <w:t>21.</w:t>
      </w:r>
      <w:r>
        <w:rPr>
          <w:noProof/>
        </w:rPr>
        <w:tab/>
        <w:t>Code du moteur tel que marqué sur le moteur: …</w:t>
      </w:r>
    </w:p>
    <w:p>
      <w:pPr>
        <w:spacing w:after="0"/>
        <w:ind w:left="851" w:hanging="851"/>
        <w:rPr>
          <w:rFonts w:eastAsia="Arial Unicode MS"/>
          <w:noProof/>
          <w:szCs w:val="24"/>
        </w:rPr>
      </w:pPr>
      <w:r>
        <w:rPr>
          <w:noProof/>
        </w:rPr>
        <w:t>22.</w:t>
      </w:r>
      <w:r>
        <w:rPr>
          <w:noProof/>
        </w:rPr>
        <w:tab/>
        <w:t>Principe de fonctionnement: …</w:t>
      </w:r>
    </w:p>
    <w:p>
      <w:pPr>
        <w:spacing w:after="0"/>
        <w:ind w:left="851" w:hanging="851"/>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Nombre et disposition des cylindres: …</w:t>
      </w:r>
    </w:p>
    <w:p>
      <w:pPr>
        <w:spacing w:after="0"/>
        <w:ind w:left="851" w:hanging="851"/>
        <w:rPr>
          <w:rFonts w:eastAsia="Arial Unicode MS"/>
          <w:noProof/>
          <w:szCs w:val="24"/>
        </w:rPr>
      </w:pPr>
      <w:r>
        <w:rPr>
          <w:noProof/>
        </w:rPr>
        <w:t>25.</w:t>
      </w:r>
      <w:r>
        <w:rPr>
          <w:noProof/>
        </w:rPr>
        <w:tab/>
        <w:t>Cylindrée: … cm</w:t>
      </w:r>
      <w:r>
        <w:rPr>
          <w:noProof/>
          <w:vertAlign w:val="superscript"/>
        </w:rPr>
        <w:t>3</w:t>
      </w:r>
      <w:r>
        <w:rPr>
          <w:noProof/>
        </w:rPr>
        <w:t xml:space="preserve"> </w:t>
      </w:r>
    </w:p>
    <w:p>
      <w:pPr>
        <w:spacing w:after="0"/>
        <w:ind w:left="851" w:hanging="851"/>
        <w:jc w:val="left"/>
        <w:rPr>
          <w:rFonts w:eastAsia="Arial Unicode MS"/>
          <w:noProof/>
          <w:szCs w:val="24"/>
        </w:rPr>
      </w:pPr>
      <w:r>
        <w:rPr>
          <w:noProof/>
        </w:rPr>
        <w:t>26.</w:t>
      </w:r>
      <w:r>
        <w:rPr>
          <w:noProof/>
        </w:rPr>
        <w:tab/>
        <w:t>Carburant: gazole/essence/GPL/GNC-biométhane/GNL/éthanol/biogazole/hydrogène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Monocarburant/bicarburant/polycarburant/double carburant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Boîte de vitesses (type): …</w:t>
      </w:r>
    </w:p>
    <w:p>
      <w:pPr>
        <w:spacing w:before="240"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before="240" w:after="0"/>
        <w:ind w:left="851" w:hanging="851"/>
        <w:rPr>
          <w:rFonts w:eastAsia="Arial Unicode MS"/>
          <w:noProof/>
          <w:szCs w:val="24"/>
        </w:rPr>
      </w:pPr>
      <w:r>
        <w:rPr>
          <w:b/>
          <w:noProof/>
        </w:rPr>
        <w:t>Essieux et suspension</w:t>
      </w:r>
    </w:p>
    <w:p>
      <w:pPr>
        <w:ind w:left="851" w:hanging="851"/>
        <w:jc w:val="left"/>
        <w:rPr>
          <w:rFonts w:eastAsia="Arial Unicode MS"/>
          <w:noProof/>
          <w:szCs w:val="24"/>
        </w:rPr>
      </w:pPr>
      <w:r>
        <w:rPr>
          <w:noProof/>
        </w:rPr>
        <w:t>30.1.</w:t>
      </w:r>
      <w:r>
        <w:rPr>
          <w:noProof/>
        </w:rPr>
        <w:tab/>
        <w:t>Voie de chaque essieu directeur: … mm</w:t>
      </w:r>
    </w:p>
    <w:p>
      <w:pPr>
        <w:spacing w:after="0"/>
        <w:ind w:left="851" w:hanging="840"/>
        <w:rPr>
          <w:rFonts w:eastAsia="Arial Unicode MS"/>
          <w:noProof/>
          <w:szCs w:val="24"/>
        </w:rPr>
      </w:pPr>
      <w:r>
        <w:rPr>
          <w:noProof/>
        </w:rPr>
        <w:t>30.2.</w:t>
      </w:r>
      <w:r>
        <w:rPr>
          <w:noProof/>
        </w:rPr>
        <w:tab/>
        <w:t>Voie de tous les autres essieux: … mm</w:t>
      </w:r>
    </w:p>
    <w:p>
      <w:pPr>
        <w:spacing w:after="0"/>
        <w:ind w:left="851" w:hanging="840"/>
        <w:rPr>
          <w:rFonts w:eastAsia="Arial Unicode MS"/>
          <w:noProof/>
          <w:szCs w:val="24"/>
        </w:rPr>
      </w:pPr>
      <w:r>
        <w:rPr>
          <w:noProof/>
        </w:rPr>
        <w:t>32.</w:t>
      </w:r>
      <w:r>
        <w:rPr>
          <w:noProof/>
        </w:rPr>
        <w:tab/>
        <w:t>Emplacement du ou des essieux chargeables: …</w:t>
      </w:r>
    </w:p>
    <w:p>
      <w:pPr>
        <w:spacing w:after="0"/>
        <w:ind w:left="851" w:hanging="840"/>
        <w:rPr>
          <w:rFonts w:eastAsia="Arial Unicode MS"/>
          <w:noProof/>
          <w:szCs w:val="24"/>
        </w:rPr>
      </w:pPr>
      <w:r>
        <w:rPr>
          <w:noProof/>
        </w:rPr>
        <w:t>33.</w:t>
      </w:r>
      <w:r>
        <w:rPr>
          <w:noProof/>
        </w:rPr>
        <w:tab/>
        <w:t>Essieu(x) moteur(s) équipé(s) d’une suspension pneumatique ou équivalente: oui/non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1" w:hanging="851"/>
        <w:rPr>
          <w:rFonts w:eastAsia="Arial Unicode MS"/>
          <w:noProof/>
          <w:szCs w:val="24"/>
        </w:rPr>
      </w:pPr>
      <w:r>
        <w:rPr>
          <w:b/>
          <w:noProof/>
        </w:rPr>
        <w:t>Freins</w:t>
      </w:r>
    </w:p>
    <w:p>
      <w:pPr>
        <w:spacing w:after="0"/>
        <w:ind w:left="851" w:hanging="851"/>
        <w:jc w:val="left"/>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 dans la conduite d’alimentation du système de freinage de la remorque: … bar</w:t>
      </w:r>
    </w:p>
    <w:p>
      <w:pPr>
        <w:spacing w:before="240" w:after="0"/>
        <w:ind w:left="851" w:hanging="851"/>
        <w:rPr>
          <w:rFonts w:eastAsia="Arial Unicode MS"/>
          <w:noProof/>
          <w:szCs w:val="24"/>
        </w:rPr>
      </w:pPr>
      <w:r>
        <w:rPr>
          <w:b/>
          <w:noProof/>
        </w:rPr>
        <w:t>Dispositif d’attelage</w:t>
      </w:r>
    </w:p>
    <w:p>
      <w:pPr>
        <w:spacing w:after="0"/>
        <w:ind w:left="851" w:hanging="840"/>
        <w:rPr>
          <w:rFonts w:eastAsia="Arial Unicode MS"/>
          <w:noProof/>
          <w:szCs w:val="24"/>
        </w:rPr>
      </w:pPr>
      <w:r>
        <w:rPr>
          <w:noProof/>
        </w:rPr>
        <w:t>44.</w:t>
      </w:r>
      <w:r>
        <w:rPr>
          <w:noProof/>
        </w:rPr>
        <w:tab/>
        <w:t>Numéro de réception ou marque de réception du dispositif d’attelage (le cas échéant): …</w:t>
      </w:r>
    </w:p>
    <w:p>
      <w:pPr>
        <w:spacing w:after="0"/>
        <w:ind w:left="851" w:hanging="840"/>
        <w:rPr>
          <w:rFonts w:eastAsia="Arial Unicode MS"/>
          <w:noProof/>
          <w:szCs w:val="24"/>
        </w:rPr>
      </w:pPr>
      <w:r>
        <w:rPr>
          <w:noProof/>
        </w:rPr>
        <w:t>45.</w:t>
      </w:r>
      <w:r>
        <w:rPr>
          <w:noProof/>
        </w:rPr>
        <w:tab/>
        <w:t>Types ou classes de dispositifs d’attelage pouvant être montés: …</w:t>
      </w:r>
    </w:p>
    <w:p>
      <w:pPr>
        <w:spacing w:after="0"/>
        <w:ind w:left="851" w:hanging="840"/>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0" w:hanging="839"/>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ind w:left="851"/>
        <w:rPr>
          <w:rFonts w:eastAsia="Arial Unicode MS"/>
          <w:noProof/>
          <w:szCs w:val="24"/>
        </w:rPr>
      </w:pPr>
      <w:r>
        <w:rPr>
          <w:noProof/>
        </w:rPr>
        <w:t>À l’arrêt: … dB(A) au régime moteur: … min</w:t>
      </w:r>
      <w:r>
        <w:rPr>
          <w:noProof/>
          <w:vertAlign w:val="superscript"/>
        </w:rPr>
        <w:t>-1</w:t>
      </w:r>
    </w:p>
    <w:p>
      <w:pPr>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Numéro de l’acte réglementaire de base et du dernier acte réglementaire modificatif: …</w:t>
      </w:r>
    </w:p>
    <w:p>
      <w:pPr>
        <w:spacing w:after="0"/>
        <w:ind w:left="1560" w:hanging="720"/>
        <w:rPr>
          <w:rFonts w:eastAsia="Arial Unicode MS"/>
          <w:noProof/>
          <w:szCs w:val="24"/>
        </w:rPr>
      </w:pPr>
      <w:r>
        <w:rPr>
          <w:noProof/>
        </w:rPr>
        <w:t>1.1.</w:t>
      </w:r>
      <w:r>
        <w:rPr>
          <w:noProof/>
        </w:rPr>
        <w:tab/>
        <w:t>Procédure d’essai: ESC</w:t>
      </w:r>
    </w:p>
    <w:p>
      <w:pPr>
        <w:spacing w:after="0"/>
        <w:ind w:left="1560"/>
        <w:rPr>
          <w:rFonts w:eastAsia="Arial Unicode MS"/>
          <w:noProof/>
          <w:szCs w:val="24"/>
        </w:rPr>
      </w:pPr>
      <w:r>
        <w:rPr>
          <w:noProof/>
        </w:rPr>
        <w:t>CO: …</w:t>
      </w:r>
      <w:r>
        <w:rPr>
          <w:noProof/>
        </w:rPr>
        <w:tab/>
        <w:t>HC: …</w:t>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Particules: …</w:t>
      </w:r>
    </w:p>
    <w:p>
      <w:pPr>
        <w:spacing w:after="100" w:afterAutospacing="1"/>
        <w:ind w:left="1950" w:hanging="391"/>
        <w:rPr>
          <w:rFonts w:eastAsia="Arial Unicode MS"/>
          <w:noProof/>
          <w:szCs w:val="24"/>
          <w:lang w:val="it-IT"/>
        </w:rPr>
      </w:pPr>
      <w:r>
        <w:rPr>
          <w:noProof/>
        </w:rPr>
        <w:t xml:space="preserve">Opacité des fumées (ELR): … </w:t>
      </w:r>
      <w:r>
        <w:rPr>
          <w:noProof/>
          <w:lang w:val="it-IT"/>
        </w:rPr>
        <w:t>(m</w:t>
      </w:r>
      <w:r>
        <w:rPr>
          <w:noProof/>
          <w:vertAlign w:val="superscript"/>
          <w:lang w:val="it-IT"/>
        </w:rPr>
        <w:t>–1</w:t>
      </w:r>
      <w:r>
        <w:rPr>
          <w:noProof/>
          <w:lang w:val="it-IT"/>
        </w:rPr>
        <w:t>)</w:t>
      </w:r>
    </w:p>
    <w:p>
      <w:pPr>
        <w:spacing w:after="100" w:afterAutospacing="1"/>
        <w:ind w:left="1560" w:hanging="709"/>
        <w:rPr>
          <w:rFonts w:eastAsia="Arial Unicode MS"/>
          <w:noProof/>
          <w:szCs w:val="24"/>
          <w:lang w:val="it-IT"/>
        </w:rPr>
      </w:pPr>
      <w:r>
        <w:rPr>
          <w:noProof/>
          <w:lang w:val="it-IT"/>
        </w:rPr>
        <w:t>1.2.</w:t>
      </w:r>
      <w:r>
        <w:rPr>
          <w:noProof/>
          <w:lang w:val="it-IT"/>
        </w:rPr>
        <w:tab/>
        <w:t>Procédure d’essai: WHSC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rPr>
      </w:pPr>
      <w:r>
        <w:rPr>
          <w:noProof/>
          <w:lang w:val="it-IT"/>
        </w:rPr>
        <w:t xml:space="preserve">CO: … </w:t>
      </w:r>
      <w:r>
        <w:rPr>
          <w:noProof/>
          <w:lang w:val="it-IT"/>
        </w:rPr>
        <w:tab/>
        <w:t xml:space="preserve">THC: … </w:t>
      </w:r>
      <w:r>
        <w:rPr>
          <w:noProof/>
          <w:lang w:val="it-IT"/>
        </w:rPr>
        <w:tab/>
        <w:t xml:space="preserve">NMHC: … </w:t>
      </w:r>
      <w:r>
        <w:rPr>
          <w:noProof/>
          <w:lang w:val="it-IT"/>
        </w:rPr>
        <w:tab/>
        <w:t>NO</w:t>
      </w:r>
      <w:r>
        <w:rPr>
          <w:noProof/>
          <w:vertAlign w:val="subscript"/>
          <w:lang w:val="it-IT"/>
        </w:rPr>
        <w:t>x</w:t>
      </w:r>
      <w:r>
        <w:rPr>
          <w:noProof/>
          <w:lang w:val="it-IT"/>
        </w:rPr>
        <w:t xml:space="preserve">: … </w:t>
      </w:r>
      <w:r>
        <w:rPr>
          <w:noProof/>
          <w:lang w:val="it-IT"/>
        </w:rPr>
        <w:tab/>
        <w:t>THC + NO</w:t>
      </w:r>
      <w:r>
        <w:rPr>
          <w:noProof/>
          <w:vertAlign w:val="subscript"/>
          <w:lang w:val="it-IT"/>
        </w:rPr>
        <w:t>x</w:t>
      </w:r>
      <w:r>
        <w:rPr>
          <w:noProof/>
          <w:lang w:val="it-IT"/>
        </w:rPr>
        <w:t xml:space="preserve">: … </w:t>
      </w:r>
      <w:r>
        <w:rPr>
          <w:noProof/>
          <w:lang w:val="it-IT"/>
        </w:rPr>
        <w:tab/>
      </w:r>
      <w:r>
        <w:rPr>
          <w:noProof/>
        </w:rPr>
        <w:t>NH</w:t>
      </w:r>
      <w:r>
        <w:rPr>
          <w:noProof/>
          <w:vertAlign w:val="subscript"/>
        </w:rPr>
        <w:t>3</w:t>
      </w:r>
      <w:r>
        <w:rPr>
          <w:noProof/>
        </w:rPr>
        <w:t xml:space="preserve">: … </w:t>
      </w:r>
      <w:r>
        <w:rPr>
          <w:noProof/>
        </w:rPr>
        <w:br/>
        <w:t>Particules (masse): …</w:t>
      </w:r>
      <w:r>
        <w:rPr>
          <w:noProof/>
        </w:rPr>
        <w:tab/>
        <w:t>Particules (nombre): …</w:t>
      </w:r>
    </w:p>
    <w:p>
      <w:pPr>
        <w:spacing w:after="0"/>
        <w:ind w:left="1560" w:hanging="709"/>
        <w:rPr>
          <w:rFonts w:eastAsia="Arial Unicode MS"/>
          <w:noProof/>
          <w:szCs w:val="24"/>
        </w:rPr>
      </w:pPr>
      <w:r>
        <w:rPr>
          <w:noProof/>
        </w:rPr>
        <w:t>2.1.</w:t>
      </w:r>
      <w:r>
        <w:rPr>
          <w:noProof/>
        </w:rPr>
        <w:tab/>
        <w:t>Procédure d’essai: ETC (le cas échéant)</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Particules: …</w:t>
      </w:r>
    </w:p>
    <w:p>
      <w:pPr>
        <w:tabs>
          <w:tab w:val="left" w:pos="2552"/>
          <w:tab w:val="left" w:pos="3686"/>
          <w:tab w:val="left" w:pos="5103"/>
          <w:tab w:val="left" w:pos="6237"/>
          <w:tab w:val="left" w:pos="7371"/>
        </w:tabs>
        <w:spacing w:after="0"/>
        <w:ind w:left="1560" w:hanging="709"/>
        <w:rPr>
          <w:rFonts w:eastAsia="Arial Unicode MS"/>
          <w:noProof/>
          <w:szCs w:val="24"/>
          <w:lang w:val="it-IT"/>
        </w:rPr>
      </w:pPr>
      <w:r>
        <w:rPr>
          <w:noProof/>
          <w:lang w:val="it-IT"/>
        </w:rPr>
        <w:t>2.2.</w:t>
      </w:r>
      <w:r>
        <w:rPr>
          <w:noProof/>
          <w:lang w:val="it-IT"/>
        </w:rPr>
        <w:tab/>
        <w:t>Procédure d’essai: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Particules (masse): …</w:t>
      </w:r>
      <w:r>
        <w:rPr>
          <w:noProof/>
        </w:rPr>
        <w:tab/>
        <w:t>Particules (nombre): …</w:t>
      </w:r>
    </w:p>
    <w:p>
      <w:pPr>
        <w:spacing w:after="0"/>
        <w:ind w:left="851" w:hanging="840"/>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before="240" w:after="0"/>
        <w:ind w:left="850" w:hanging="839"/>
        <w:rPr>
          <w:rFonts w:eastAsia="Arial Unicode MS"/>
          <w:noProof/>
          <w:szCs w:val="24"/>
        </w:rPr>
      </w:pPr>
      <w:r>
        <w:rPr>
          <w:b/>
          <w:noProof/>
        </w:rPr>
        <w:t>Divers</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jc w:val="center"/>
        <w:rPr>
          <w:rFonts w:eastAsia="Arial Unicode MS"/>
          <w:bCs/>
          <w:noProof/>
          <w:szCs w:val="24"/>
        </w:rPr>
      </w:pPr>
      <w:r>
        <w:rPr>
          <w:noProof/>
        </w:rPr>
        <w:t>CATÉGORIE DE VÉHICULES N</w:t>
      </w:r>
      <w:r>
        <w:rPr>
          <w:noProof/>
          <w:vertAlign w:val="subscript"/>
        </w:rPr>
        <w:t>1</w:t>
      </w:r>
    </w:p>
    <w:p>
      <w:pPr>
        <w:jc w:val="center"/>
        <w:rPr>
          <w:rFonts w:eastAsia="Arial Unicode MS"/>
          <w:bCs/>
          <w:noProof/>
          <w:szCs w:val="24"/>
        </w:rPr>
      </w:pPr>
      <w:r>
        <w:rPr>
          <w:noProof/>
        </w:rPr>
        <w:t>(véhicules incomplets)</w:t>
      </w:r>
    </w:p>
    <w:p>
      <w:pPr>
        <w:jc w:val="left"/>
        <w:rPr>
          <w:rFonts w:eastAsia="Arial Unicode MS"/>
          <w:b/>
          <w:bC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ind w:left="851" w:hanging="851"/>
        <w:jc w:val="left"/>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Longueur maximale admissible: … mm</w:t>
      </w:r>
    </w:p>
    <w:p>
      <w:pPr>
        <w:spacing w:after="0"/>
        <w:ind w:left="851" w:hanging="851"/>
        <w:rPr>
          <w:rFonts w:eastAsia="Arial Unicode MS"/>
          <w:noProof/>
          <w:szCs w:val="24"/>
        </w:rPr>
      </w:pPr>
      <w:r>
        <w:rPr>
          <w:noProof/>
        </w:rPr>
        <w:t>6.1.</w:t>
      </w:r>
      <w:r>
        <w:rPr>
          <w:noProof/>
        </w:rPr>
        <w:tab/>
        <w:t>Largeur maximale admissible: … mm</w:t>
      </w:r>
    </w:p>
    <w:p>
      <w:pPr>
        <w:spacing w:after="0"/>
        <w:ind w:left="851" w:hanging="851"/>
        <w:rPr>
          <w:rFonts w:eastAsia="Arial Unicode MS"/>
          <w:noProof/>
          <w:szCs w:val="24"/>
        </w:rPr>
      </w:pPr>
      <w:r>
        <w:rPr>
          <w:noProof/>
        </w:rPr>
        <w:t>7.1.</w:t>
      </w:r>
      <w:r>
        <w:rPr>
          <w:noProof/>
        </w:rPr>
        <w:tab/>
        <w:t>Hauteur maximale admissible: … mm</w:t>
      </w:r>
    </w:p>
    <w:p>
      <w:pPr>
        <w:spacing w:after="0"/>
        <w:ind w:left="851" w:hanging="840"/>
        <w:rPr>
          <w:rFonts w:eastAsia="Arial Unicode MS"/>
          <w:noProof/>
          <w:szCs w:val="24"/>
        </w:rPr>
      </w:pPr>
      <w:r>
        <w:rPr>
          <w:noProof/>
        </w:rPr>
        <w:t>8.</w:t>
      </w:r>
      <w:r>
        <w:rPr>
          <w:noProof/>
        </w:rPr>
        <w:tab/>
        <w:t>Avancée de la sellette d’attelage pour véhicule tracteur de semi-remorque (maximum et minimum): … mm</w:t>
      </w:r>
    </w:p>
    <w:p>
      <w:pPr>
        <w:spacing w:after="0"/>
        <w:ind w:left="851" w:hanging="840"/>
        <w:rPr>
          <w:rFonts w:eastAsia="Arial Unicode MS"/>
          <w:noProof/>
          <w:szCs w:val="24"/>
        </w:rPr>
      </w:pPr>
      <w:r>
        <w:rPr>
          <w:noProof/>
        </w:rPr>
        <w:t>12.1.</w:t>
      </w:r>
      <w:r>
        <w:rPr>
          <w:noProof/>
        </w:rPr>
        <w:tab/>
        <w:t>Porte-à-faux arrière maximal admissible: … mm</w:t>
      </w:r>
    </w:p>
    <w:p>
      <w:pPr>
        <w:spacing w:before="240" w:after="0"/>
        <w:ind w:left="850" w:hanging="839"/>
        <w:rPr>
          <w:rFonts w:eastAsia="Arial Unicode MS"/>
          <w:noProof/>
          <w:szCs w:val="24"/>
        </w:rPr>
      </w:pPr>
      <w:r>
        <w:rPr>
          <w:b/>
          <w:noProof/>
        </w:rPr>
        <w:t>Masses</w:t>
      </w:r>
    </w:p>
    <w:p>
      <w:pPr>
        <w:spacing w:after="0"/>
        <w:ind w:left="851" w:hanging="851"/>
        <w:rPr>
          <w:rFonts w:eastAsia="Arial Unicode MS"/>
          <w:noProof/>
          <w:szCs w:val="24"/>
        </w:rPr>
      </w:pPr>
      <w:r>
        <w:rPr>
          <w:noProof/>
        </w:rPr>
        <w:t>14.</w:t>
      </w:r>
      <w:r>
        <w:rPr>
          <w:noProof/>
        </w:rPr>
        <w:tab/>
        <w:t>Masse en ordre de marche du véhicule incomplet: …kg</w:t>
      </w:r>
    </w:p>
    <w:p>
      <w:pPr>
        <w:tabs>
          <w:tab w:val="left" w:pos="5387"/>
        </w:tabs>
        <w:spacing w:after="0"/>
        <w:ind w:left="851" w:hanging="851"/>
        <w:rPr>
          <w:rFonts w:eastAsia="Arial Unicode MS"/>
          <w:noProof/>
          <w:szCs w:val="24"/>
        </w:rPr>
      </w:pPr>
      <w:r>
        <w:rPr>
          <w:noProof/>
        </w:rPr>
        <w:t>14.1.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Masse réelle du véhicule incomplet: …kg</w:t>
      </w:r>
    </w:p>
    <w:p>
      <w:pPr>
        <w:spacing w:after="0"/>
        <w:ind w:left="851" w:hanging="851"/>
        <w:rPr>
          <w:rFonts w:eastAsia="Arial Unicode MS"/>
          <w:noProof/>
          <w:szCs w:val="24"/>
        </w:rPr>
      </w:pPr>
      <w:r>
        <w:rPr>
          <w:noProof/>
        </w:rPr>
        <w:t>15.</w:t>
      </w:r>
      <w:r>
        <w:rPr>
          <w:noProof/>
        </w:rPr>
        <w:tab/>
        <w:t>Masse minimale du véhicule complété: … kg</w:t>
      </w:r>
    </w:p>
    <w:p>
      <w:pPr>
        <w:tabs>
          <w:tab w:val="left" w:pos="5529"/>
        </w:tabs>
        <w:spacing w:after="0"/>
        <w:ind w:left="851" w:hanging="851"/>
        <w:rPr>
          <w:rFonts w:eastAsia="Arial Unicode MS"/>
          <w:noProof/>
          <w:szCs w:val="24"/>
        </w:rPr>
      </w:pPr>
      <w:r>
        <w:rPr>
          <w:noProof/>
        </w:rPr>
        <w:t>15.1.</w:t>
      </w:r>
      <w:r>
        <w:rPr>
          <w:noProof/>
        </w:rPr>
        <w:tab/>
        <w:t xml:space="preserve">Répartition de cette masse entre les essieux: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Masse techniquement admissible sur chaque essieu: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Masse maximale techniquement admissible de l’ensemble: … kg</w:t>
      </w:r>
    </w:p>
    <w:p>
      <w:pPr>
        <w:spacing w:after="0"/>
        <w:ind w:left="851" w:hanging="851"/>
        <w:rPr>
          <w:rFonts w:eastAsia="Arial Unicode MS"/>
          <w:noProof/>
          <w:szCs w:val="24"/>
        </w:rPr>
      </w:pPr>
      <w:r>
        <w:rPr>
          <w:noProof/>
        </w:rPr>
        <w:t>18.</w:t>
      </w:r>
      <w:r>
        <w:rPr>
          <w:noProof/>
        </w:rPr>
        <w:tab/>
        <w:t>Masse tractable maximale techniquement admissible dans le cas:</w:t>
      </w:r>
    </w:p>
    <w:p>
      <w:pPr>
        <w:spacing w:after="0"/>
        <w:ind w:left="851" w:hanging="851"/>
        <w:rPr>
          <w:rFonts w:eastAsia="Arial Unicode MS"/>
          <w:noProof/>
          <w:szCs w:val="24"/>
        </w:rPr>
      </w:pPr>
      <w:r>
        <w:rPr>
          <w:noProof/>
        </w:rPr>
        <w:t>18.1.</w:t>
      </w:r>
      <w:r>
        <w:rPr>
          <w:noProof/>
        </w:rPr>
        <w:tab/>
        <w:t>d’une remorque à timon: … kg</w:t>
      </w:r>
    </w:p>
    <w:p>
      <w:pPr>
        <w:spacing w:after="0"/>
        <w:ind w:left="851" w:hanging="851"/>
        <w:rPr>
          <w:rFonts w:eastAsia="Arial Unicode MS"/>
          <w:noProof/>
          <w:szCs w:val="24"/>
        </w:rPr>
      </w:pPr>
      <w:r>
        <w:rPr>
          <w:noProof/>
        </w:rPr>
        <w:t>18.3.</w:t>
      </w:r>
      <w:r>
        <w:rPr>
          <w:noProof/>
        </w:rPr>
        <w:tab/>
        <w:t>d’une remorque à essieu central: … kg</w:t>
      </w:r>
    </w:p>
    <w:p>
      <w:pPr>
        <w:spacing w:after="0"/>
        <w:ind w:left="851" w:hanging="851"/>
        <w:rPr>
          <w:rFonts w:eastAsia="Arial Unicode MS"/>
          <w:noProof/>
          <w:szCs w:val="24"/>
        </w:rPr>
      </w:pPr>
      <w:r>
        <w:rPr>
          <w:noProof/>
        </w:rPr>
        <w:t>18.4.</w:t>
      </w:r>
      <w:r>
        <w:rPr>
          <w:noProof/>
        </w:rPr>
        <w:tab/>
        <w:t>d’une remorque non freinée: … kg</w:t>
      </w:r>
    </w:p>
    <w:p>
      <w:pPr>
        <w:spacing w:after="0"/>
        <w:ind w:left="851" w:hanging="851"/>
        <w:rPr>
          <w:rFonts w:eastAsia="Arial Unicode MS"/>
          <w:noProof/>
          <w:szCs w:val="24"/>
        </w:rPr>
      </w:pPr>
      <w:r>
        <w:rPr>
          <w:noProof/>
        </w:rPr>
        <w:t>19.</w:t>
      </w:r>
      <w:r>
        <w:rPr>
          <w:noProof/>
        </w:rPr>
        <w:tab/>
        <w:t>Masse verticale statique maximale techniquement admissible au point d’attelage: … kg</w:t>
      </w:r>
    </w:p>
    <w:p>
      <w:pPr>
        <w:spacing w:before="240" w:after="0"/>
        <w:ind w:left="851" w:hanging="851"/>
        <w:rPr>
          <w:rFonts w:eastAsia="Arial Unicode MS"/>
          <w:noProof/>
          <w:szCs w:val="24"/>
        </w:rPr>
      </w:pPr>
      <w:r>
        <w:rPr>
          <w:b/>
          <w:noProof/>
        </w:rPr>
        <w:t>Groupe moteur</w:t>
      </w:r>
    </w:p>
    <w:p>
      <w:pPr>
        <w:spacing w:after="0"/>
        <w:ind w:left="851" w:hanging="851"/>
        <w:rPr>
          <w:rFonts w:eastAsia="Arial Unicode MS"/>
          <w:noProof/>
          <w:szCs w:val="24"/>
        </w:rPr>
      </w:pPr>
      <w:r>
        <w:rPr>
          <w:noProof/>
        </w:rPr>
        <w:t>20.</w:t>
      </w:r>
      <w:r>
        <w:rPr>
          <w:noProof/>
        </w:rPr>
        <w:tab/>
        <w:t>Constructeur du moteur: …</w:t>
      </w:r>
    </w:p>
    <w:p>
      <w:pPr>
        <w:spacing w:after="0"/>
        <w:ind w:left="851" w:hanging="851"/>
        <w:rPr>
          <w:rFonts w:eastAsia="Arial Unicode MS"/>
          <w:noProof/>
          <w:szCs w:val="24"/>
        </w:rPr>
      </w:pPr>
      <w:r>
        <w:rPr>
          <w:noProof/>
        </w:rPr>
        <w:t>21.</w:t>
      </w:r>
      <w:r>
        <w:rPr>
          <w:noProof/>
        </w:rPr>
        <w:tab/>
        <w:t>Code du moteur tel que marqué sur le moteur: …</w:t>
      </w:r>
    </w:p>
    <w:p>
      <w:pPr>
        <w:spacing w:after="0"/>
        <w:ind w:left="851" w:hanging="851"/>
        <w:rPr>
          <w:rFonts w:eastAsia="Arial Unicode MS"/>
          <w:noProof/>
          <w:szCs w:val="24"/>
        </w:rPr>
      </w:pPr>
      <w:r>
        <w:rPr>
          <w:noProof/>
        </w:rPr>
        <w:t>22.</w:t>
      </w:r>
      <w:r>
        <w:rPr>
          <w:noProof/>
        </w:rPr>
        <w:tab/>
        <w:t>Principe de fonctionnement: …</w:t>
      </w:r>
    </w:p>
    <w:p>
      <w:pPr>
        <w:spacing w:after="0"/>
        <w:ind w:left="851" w:hanging="851"/>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Nombre et disposition des cylindres: …</w:t>
      </w:r>
    </w:p>
    <w:p>
      <w:pPr>
        <w:spacing w:after="0"/>
        <w:ind w:left="851" w:hanging="851"/>
        <w:rPr>
          <w:rFonts w:eastAsia="Arial Unicode MS"/>
          <w:noProof/>
          <w:szCs w:val="24"/>
        </w:rPr>
      </w:pPr>
      <w:r>
        <w:rPr>
          <w:noProof/>
        </w:rPr>
        <w:t>25.</w:t>
      </w:r>
      <w:r>
        <w:rPr>
          <w:noProof/>
        </w:rPr>
        <w:tab/>
        <w:t>Cylindrée: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Carburant: gazole/essence/GPL/GNC-biométhane/GNL/éthanol/biogazole/hydrogène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Monocarburant/bicarburant/polycarburant/double carburant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Boîte de vitesses (type): …</w:t>
      </w:r>
    </w:p>
    <w:p>
      <w:pPr>
        <w:spacing w:before="240"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before="240" w:after="0"/>
        <w:ind w:left="851" w:hanging="851"/>
        <w:rPr>
          <w:rFonts w:eastAsia="Arial Unicode MS"/>
          <w:noProof/>
          <w:szCs w:val="24"/>
        </w:rPr>
      </w:pPr>
      <w:r>
        <w:rPr>
          <w:b/>
          <w:noProof/>
        </w:rPr>
        <w:t>Essieux et suspension</w:t>
      </w:r>
    </w:p>
    <w:p>
      <w:pPr>
        <w:spacing w:after="0"/>
        <w:ind w:left="851" w:hanging="851"/>
        <w:rPr>
          <w:rFonts w:eastAsia="Arial Unicode MS"/>
          <w:noProof/>
          <w:szCs w:val="24"/>
        </w:rPr>
      </w:pPr>
      <w:r>
        <w:rPr>
          <w:noProof/>
        </w:rPr>
        <w:t>30.</w:t>
      </w:r>
      <w:r>
        <w:rPr>
          <w:noProof/>
        </w:rPr>
        <w:tab/>
        <w:t>Voie des essieux:</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1" w:hanging="851"/>
        <w:rPr>
          <w:rFonts w:eastAsia="Arial Unicode MS"/>
          <w:noProof/>
          <w:szCs w:val="24"/>
        </w:rPr>
      </w:pPr>
      <w:r>
        <w:rPr>
          <w:b/>
          <w:noProof/>
        </w:rPr>
        <w:t>Freins</w:t>
      </w:r>
    </w:p>
    <w:p>
      <w:pPr>
        <w:spacing w:after="0"/>
        <w:ind w:left="851" w:hanging="851"/>
        <w:jc w:val="left"/>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 dans la conduite d’alimentation du système de freinage de la remorque: … bar</w:t>
      </w:r>
    </w:p>
    <w:p>
      <w:pPr>
        <w:spacing w:before="240" w:after="0"/>
        <w:ind w:left="851" w:hanging="851"/>
        <w:rPr>
          <w:rFonts w:eastAsia="Arial Unicode MS"/>
          <w:noProof/>
          <w:szCs w:val="24"/>
        </w:rPr>
      </w:pPr>
      <w:r>
        <w:rPr>
          <w:b/>
          <w:noProof/>
        </w:rPr>
        <w:t>Dispositif d’attelage</w:t>
      </w:r>
    </w:p>
    <w:p>
      <w:pPr>
        <w:spacing w:after="0"/>
        <w:ind w:left="851" w:hanging="851"/>
        <w:rPr>
          <w:rFonts w:eastAsia="Arial Unicode MS"/>
          <w:noProof/>
          <w:szCs w:val="24"/>
        </w:rPr>
      </w:pPr>
      <w:r>
        <w:rPr>
          <w:noProof/>
        </w:rPr>
        <w:t>44.</w:t>
      </w:r>
      <w:r>
        <w:rPr>
          <w:noProof/>
        </w:rPr>
        <w:tab/>
        <w:t>Numéro de réception ou marque de réception du dispositif d’attelage (le cas échéant): …</w:t>
      </w:r>
    </w:p>
    <w:p>
      <w:pPr>
        <w:spacing w:after="0"/>
        <w:ind w:left="851" w:hanging="851"/>
        <w:rPr>
          <w:rFonts w:eastAsia="Arial Unicode MS"/>
          <w:noProof/>
          <w:szCs w:val="24"/>
        </w:rPr>
      </w:pPr>
      <w:r>
        <w:rPr>
          <w:noProof/>
        </w:rPr>
        <w:t>45.</w:t>
      </w:r>
      <w:r>
        <w:rPr>
          <w:noProof/>
        </w:rPr>
        <w:tab/>
        <w:t>Types ou classes de dispositifs d’attelage pouvant être montés: …</w:t>
      </w:r>
    </w:p>
    <w:p>
      <w:pPr>
        <w:spacing w:after="0"/>
        <w:ind w:left="851" w:hanging="851"/>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1" w:hanging="851"/>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spacing w:before="240"/>
        <w:ind w:left="851"/>
        <w:rPr>
          <w:rFonts w:eastAsia="Arial Unicode MS"/>
          <w:noProof/>
          <w:szCs w:val="24"/>
        </w:rPr>
      </w:pPr>
      <w:r>
        <w:rPr>
          <w:noProof/>
        </w:rPr>
        <w:t>À l’arrêt: … dB(A) au régime moteur: … min</w:t>
      </w:r>
      <w:r>
        <w:rPr>
          <w:noProof/>
          <w:vertAlign w:val="superscript"/>
        </w:rPr>
        <w:t>-1</w:t>
      </w:r>
    </w:p>
    <w:p>
      <w:pPr>
        <w:spacing w:before="240"/>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ind w:left="851"/>
        <w:rPr>
          <w:rFonts w:eastAsia="Arial Unicode MS"/>
          <w:noProof/>
          <w:szCs w:val="24"/>
        </w:rPr>
      </w:pPr>
      <w:r>
        <w:rPr>
          <w:noProof/>
        </w:rPr>
        <w:t>Numéro de l’acte réglementaire de base et du dernier acte réglementaire modificatif: …</w:t>
      </w:r>
    </w:p>
    <w:p>
      <w:pPr>
        <w:spacing w:after="0"/>
        <w:ind w:left="1418" w:hanging="567"/>
        <w:rPr>
          <w:rFonts w:eastAsia="Arial Unicode MS"/>
          <w:noProof/>
          <w:szCs w:val="24"/>
        </w:rPr>
      </w:pPr>
      <w:r>
        <w:rPr>
          <w:noProof/>
        </w:rPr>
        <w:t>1.1.</w:t>
      </w:r>
      <w:r>
        <w:rPr>
          <w:noProof/>
        </w:rPr>
        <w:tab/>
        <w:t>Procédure d’essai: Type I ou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lang w:val="pl-PL"/>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p>
    <w:p>
      <w:pPr>
        <w:ind w:left="1418"/>
        <w:rPr>
          <w:rFonts w:eastAsia="Arial Unicode MS"/>
          <w:noProof/>
          <w:szCs w:val="24"/>
        </w:rPr>
      </w:pPr>
      <w:r>
        <w:rPr>
          <w:noProof/>
        </w:rPr>
        <w:t>Particules: …</w:t>
      </w:r>
    </w:p>
    <w:p>
      <w:pPr>
        <w:ind w:left="1418"/>
        <w:rPr>
          <w:rFonts w:eastAsia="Arial Unicode MS"/>
          <w:noProof/>
          <w:szCs w:val="24"/>
        </w:rPr>
      </w:pPr>
      <w:r>
        <w:rPr>
          <w:noProof/>
        </w:rPr>
        <w:t>Opacité des fumées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Procédure d’essai: Type I [Euro 5 ou 6(</w:t>
      </w:r>
      <w:r>
        <w:rPr>
          <w:noProof/>
          <w:vertAlign w:val="superscript"/>
        </w:rPr>
        <w:t>1</w:t>
      </w:r>
      <w:r>
        <w:rPr>
          <w:noProof/>
        </w:rPr>
        <w:t>)] ou WHSC (EURO VI) (</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rPr>
      </w:pPr>
      <w:r>
        <w:rPr>
          <w:noProof/>
        </w:rPr>
        <w:t>THC + NO</w:t>
      </w:r>
      <w:r>
        <w:rPr>
          <w:noProof/>
          <w:vertAlign w:val="subscript"/>
        </w:rPr>
        <w:t>x</w:t>
      </w:r>
      <w:r>
        <w:rPr>
          <w:noProof/>
        </w:rPr>
        <w:t>: …</w:t>
      </w:r>
      <w:r>
        <w:rPr>
          <w:noProof/>
        </w:rPr>
        <w:tab/>
        <w:t>NH</w:t>
      </w:r>
      <w:r>
        <w:rPr>
          <w:noProof/>
          <w:vertAlign w:val="subscript"/>
        </w:rPr>
        <w:t>3</w:t>
      </w:r>
      <w:r>
        <w:rPr>
          <w:noProof/>
        </w:rPr>
        <w:t>: … Particules (masse): …</w:t>
      </w:r>
      <w:r>
        <w:rPr>
          <w:noProof/>
        </w:rPr>
        <w:tab/>
        <w:t>Particules (nombre): …</w:t>
      </w:r>
    </w:p>
    <w:p>
      <w:pPr>
        <w:spacing w:after="0"/>
        <w:ind w:left="1418" w:hanging="567"/>
        <w:rPr>
          <w:rFonts w:eastAsia="Arial Unicode MS"/>
          <w:noProof/>
          <w:szCs w:val="24"/>
        </w:rPr>
      </w:pPr>
      <w:r>
        <w:rPr>
          <w:noProof/>
        </w:rPr>
        <w:t>2.1.</w:t>
      </w:r>
      <w:r>
        <w:rPr>
          <w:noProof/>
        </w:rPr>
        <w:tab/>
        <w:t>Procédure d’essai: ETC (le cas échéant)</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Particules: …</w:t>
      </w:r>
    </w:p>
    <w:p>
      <w:pPr>
        <w:tabs>
          <w:tab w:val="left" w:pos="2268"/>
          <w:tab w:val="left" w:pos="3261"/>
          <w:tab w:val="left" w:pos="4536"/>
          <w:tab w:val="left" w:pos="5529"/>
          <w:tab w:val="left" w:pos="6521"/>
        </w:tabs>
        <w:spacing w:after="0"/>
        <w:ind w:left="1418" w:hanging="567"/>
        <w:rPr>
          <w:rFonts w:eastAsia="Arial Unicode MS"/>
          <w:noProof/>
          <w:szCs w:val="24"/>
          <w:lang w:val="it-IT"/>
        </w:rPr>
      </w:pPr>
      <w:r>
        <w:rPr>
          <w:noProof/>
          <w:lang w:val="it-IT"/>
        </w:rPr>
        <w:t>2.2.</w:t>
      </w:r>
      <w:r>
        <w:rPr>
          <w:noProof/>
          <w:lang w:val="it-IT"/>
        </w:rPr>
        <w:tab/>
        <w:t>Procédure d’essai: WHTC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Particules (masse): …</w:t>
      </w:r>
      <w:r>
        <w:rPr>
          <w:noProof/>
        </w:rPr>
        <w:tab/>
        <w:t>Particules (nombre): ...</w:t>
      </w:r>
    </w:p>
    <w:p>
      <w:pPr>
        <w:spacing w:after="0"/>
        <w:ind w:left="851" w:hanging="840"/>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Émissions de CO</w:t>
      </w:r>
      <w:r>
        <w:rPr>
          <w:noProof/>
          <w:vertAlign w:val="subscript"/>
        </w:rPr>
        <w:t>2</w:t>
      </w:r>
      <w:r>
        <w:rPr>
          <w:noProof/>
        </w:rPr>
        <w:t>/consommation de carburant/consommation d’énergie électrique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Tous systèmes de propulsion hors véhicules électriques purs</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Émissions de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Consommation de carburant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Conditions urbaines: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Conditions extra-urbaines: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Conditions mixtes: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Pondérée(s), conditions mixtes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Véhicules électriques purs et véhicules électriques hybrides chargeables de l’extérieur</w:t>
      </w:r>
    </w:p>
    <w:tbl>
      <w:tblPr>
        <w:tblW w:w="5000" w:type="pct"/>
        <w:tblCellSpacing w:w="0" w:type="dxa"/>
        <w:tblCellMar>
          <w:left w:w="0" w:type="dxa"/>
          <w:right w:w="0" w:type="dxa"/>
        </w:tblCellMar>
        <w:tblLook w:val="04A0" w:firstRow="1" w:lastRow="0" w:firstColumn="1" w:lastColumn="0" w:noHBand="0" w:noVBand="1"/>
      </w:tblPr>
      <w:tblGrid>
        <w:gridCol w:w="7340"/>
        <w:gridCol w:w="1731"/>
      </w:tblGrid>
      <w:tr>
        <w:trPr>
          <w:tblCellSpacing w:w="0" w:type="dxa"/>
        </w:trPr>
        <w:tc>
          <w:tcPr>
            <w:tcW w:w="0" w:type="auto"/>
            <w:hideMark/>
          </w:tcPr>
          <w:p>
            <w:pPr>
              <w:spacing w:before="195" w:after="0"/>
              <w:ind w:left="1418"/>
              <w:jc w:val="left"/>
              <w:rPr>
                <w:rFonts w:eastAsia="Arial Unicode MS"/>
                <w:noProof/>
                <w:szCs w:val="24"/>
              </w:rPr>
            </w:pPr>
            <w:r>
              <w:rPr>
                <w:noProof/>
                <w:sz w:val="22"/>
              </w:rPr>
              <w:t>Consommation d’énergie électrique [pondérée, conditions mixtes (</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Cs w:val="24"/>
              </w:rPr>
            </w:pPr>
            <w:r>
              <w:rPr>
                <w:noProof/>
                <w:sz w:val="22"/>
              </w:rPr>
              <w:t>…Wh/km</w:t>
            </w:r>
          </w:p>
        </w:tc>
      </w:tr>
      <w:tr>
        <w:trPr>
          <w:tblCellSpacing w:w="0" w:type="dxa"/>
        </w:trPr>
        <w:tc>
          <w:tcPr>
            <w:tcW w:w="0" w:type="auto"/>
            <w:hideMark/>
          </w:tcPr>
          <w:p>
            <w:pPr>
              <w:spacing w:before="195" w:after="0"/>
              <w:ind w:left="1418"/>
              <w:jc w:val="left"/>
              <w:rPr>
                <w:rFonts w:eastAsia="Arial Unicode MS"/>
                <w:noProof/>
                <w:szCs w:val="24"/>
              </w:rPr>
            </w:pPr>
            <w:r>
              <w:rPr>
                <w:noProof/>
                <w:sz w:val="22"/>
              </w:rPr>
              <w:t>Autonomie en mode électrique</w:t>
            </w:r>
          </w:p>
        </w:tc>
        <w:tc>
          <w:tcPr>
            <w:tcW w:w="0" w:type="auto"/>
            <w:hideMark/>
          </w:tcPr>
          <w:p>
            <w:pPr>
              <w:spacing w:before="195" w:after="0"/>
              <w:jc w:val="right"/>
              <w:rPr>
                <w:rFonts w:eastAsia="Arial Unicode MS"/>
                <w:noProof/>
                <w:szCs w:val="24"/>
              </w:rPr>
            </w:pPr>
            <w:r>
              <w:rPr>
                <w:noProof/>
                <w:sz w:val="22"/>
              </w:rPr>
              <w:t>… km</w:t>
            </w:r>
          </w:p>
        </w:tc>
      </w:tr>
    </w:tbl>
    <w:p>
      <w:pPr>
        <w:spacing w:before="240" w:after="0"/>
        <w:ind w:left="851" w:hanging="851"/>
        <w:rPr>
          <w:rFonts w:eastAsia="Arial Unicode MS"/>
          <w:noProof/>
          <w:szCs w:val="24"/>
        </w:rPr>
      </w:pPr>
      <w:r>
        <w:rPr>
          <w:b/>
          <w:noProof/>
        </w:rPr>
        <w:t>Divers</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 DE VÉHICULES N</w:t>
      </w:r>
      <w:r>
        <w:rPr>
          <w:noProof/>
          <w:vertAlign w:val="subscript"/>
        </w:rPr>
        <w:t>2</w:t>
      </w:r>
    </w:p>
    <w:p>
      <w:pPr>
        <w:jc w:val="center"/>
        <w:rPr>
          <w:rFonts w:eastAsia="Arial Unicode MS"/>
          <w:bCs/>
          <w:noProof/>
          <w:szCs w:val="24"/>
        </w:rPr>
      </w:pPr>
      <w:r>
        <w:rPr>
          <w:noProof/>
        </w:rPr>
        <w:t>(véhicules incomplets)</w:t>
      </w:r>
    </w:p>
    <w:p>
      <w:pPr>
        <w:jc w:val="left"/>
        <w:rPr>
          <w:rFonts w:eastAsia="Arial Unicode MS"/>
          <w:b/>
          <w:bC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2.</w:t>
      </w:r>
      <w:r>
        <w:rPr>
          <w:noProof/>
        </w:rPr>
        <w:tab/>
        <w:t>Essieux directeurs (nombre, emplacement):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Longueur maximale admissible: … mm</w:t>
      </w:r>
    </w:p>
    <w:p>
      <w:pPr>
        <w:spacing w:after="0"/>
        <w:ind w:left="851" w:hanging="851"/>
        <w:rPr>
          <w:rFonts w:eastAsia="Arial Unicode MS"/>
          <w:noProof/>
          <w:szCs w:val="24"/>
        </w:rPr>
      </w:pPr>
      <w:r>
        <w:rPr>
          <w:noProof/>
        </w:rPr>
        <w:t>6.1.</w:t>
      </w:r>
      <w:r>
        <w:rPr>
          <w:noProof/>
        </w:rPr>
        <w:tab/>
        <w:t>Largeur maximale admissible: … mm</w:t>
      </w:r>
    </w:p>
    <w:p>
      <w:pPr>
        <w:spacing w:after="0"/>
        <w:ind w:left="851" w:hanging="851"/>
        <w:rPr>
          <w:rFonts w:eastAsia="Arial Unicode MS"/>
          <w:noProof/>
          <w:szCs w:val="24"/>
        </w:rPr>
      </w:pPr>
      <w:r>
        <w:rPr>
          <w:noProof/>
        </w:rPr>
        <w:t>7.1.</w:t>
      </w:r>
      <w:r>
        <w:rPr>
          <w:noProof/>
        </w:rPr>
        <w:tab/>
        <w:t>Hauteur maximale admissible: … mm</w:t>
      </w:r>
    </w:p>
    <w:p>
      <w:pPr>
        <w:ind w:left="851" w:hanging="851"/>
        <w:jc w:val="left"/>
        <w:rPr>
          <w:rFonts w:eastAsia="Arial Unicode MS"/>
          <w:noProof/>
          <w:szCs w:val="24"/>
        </w:rPr>
      </w:pPr>
      <w:r>
        <w:rPr>
          <w:noProof/>
        </w:rPr>
        <w:t>8.</w:t>
      </w:r>
      <w:r>
        <w:rPr>
          <w:noProof/>
        </w:rPr>
        <w:tab/>
        <w:t>Avancée de la sellette d’attelage pour véhicule tracteur de semi-remorque (maximum et minimum): … mm</w:t>
      </w:r>
    </w:p>
    <w:p>
      <w:pPr>
        <w:spacing w:after="0"/>
        <w:ind w:left="851" w:hanging="840"/>
        <w:rPr>
          <w:rFonts w:eastAsia="Arial Unicode MS"/>
          <w:noProof/>
          <w:szCs w:val="24"/>
        </w:rPr>
      </w:pPr>
      <w:r>
        <w:rPr>
          <w:noProof/>
        </w:rPr>
        <w:t>12.1.</w:t>
      </w:r>
      <w:r>
        <w:rPr>
          <w:noProof/>
        </w:rPr>
        <w:tab/>
        <w:t>Porte-à-faux arrière maximal admissible: … mm</w:t>
      </w:r>
    </w:p>
    <w:p>
      <w:pPr>
        <w:spacing w:before="240"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14.</w:t>
      </w:r>
      <w:r>
        <w:rPr>
          <w:noProof/>
        </w:rPr>
        <w:tab/>
        <w:t>Masse en ordre de marche du véhicule incomplet: …kg</w:t>
      </w:r>
    </w:p>
    <w:p>
      <w:pPr>
        <w:tabs>
          <w:tab w:val="left" w:pos="5387"/>
        </w:tabs>
        <w:spacing w:after="0"/>
        <w:ind w:left="851" w:hanging="851"/>
        <w:rPr>
          <w:rFonts w:eastAsia="Arial Unicode MS"/>
          <w:noProof/>
          <w:szCs w:val="24"/>
        </w:rPr>
      </w:pPr>
      <w:r>
        <w:rPr>
          <w:noProof/>
        </w:rPr>
        <w:t>14.1.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Masse réelle du véhicule incomplet: …kg</w:t>
      </w:r>
    </w:p>
    <w:p>
      <w:pPr>
        <w:spacing w:after="0"/>
        <w:ind w:left="851" w:hanging="851"/>
        <w:rPr>
          <w:rFonts w:eastAsia="Arial Unicode MS"/>
          <w:noProof/>
          <w:szCs w:val="24"/>
        </w:rPr>
      </w:pPr>
      <w:r>
        <w:rPr>
          <w:noProof/>
        </w:rPr>
        <w:t>15.</w:t>
      </w:r>
      <w:r>
        <w:rPr>
          <w:noProof/>
        </w:rPr>
        <w:tab/>
        <w:t>Masse minimale du véhicule complété: … kg</w:t>
      </w:r>
    </w:p>
    <w:p>
      <w:pPr>
        <w:tabs>
          <w:tab w:val="left" w:pos="5529"/>
        </w:tabs>
        <w:spacing w:after="0"/>
        <w:ind w:left="851" w:hanging="851"/>
        <w:rPr>
          <w:rFonts w:eastAsia="Arial Unicode MS"/>
          <w:noProof/>
          <w:szCs w:val="24"/>
        </w:rPr>
      </w:pPr>
      <w:r>
        <w:rPr>
          <w:noProof/>
        </w:rPr>
        <w:t>15.1.</w:t>
      </w:r>
      <w:r>
        <w:rPr>
          <w:noProof/>
        </w:rPr>
        <w:tab/>
        <w:t xml:space="preserve">Répartition de cette masse entre les essieux: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Masse techniquement admissible sur chaque essieu: </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 xml:space="preserve">Masse techniquement admissible sur chaque groupe d’essieux: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Masse maximale techniquement admissible de l’ensemble: … kg</w:t>
      </w:r>
    </w:p>
    <w:p>
      <w:pPr>
        <w:spacing w:after="0"/>
        <w:ind w:left="851" w:hanging="851"/>
        <w:rPr>
          <w:rFonts w:eastAsia="Arial Unicode MS"/>
          <w:noProof/>
          <w:szCs w:val="24"/>
        </w:rPr>
      </w:pPr>
      <w:r>
        <w:rPr>
          <w:noProof/>
        </w:rPr>
        <w:t>17.</w:t>
      </w:r>
      <w:r>
        <w:rPr>
          <w:noProof/>
        </w:rPr>
        <w:tab/>
        <w:t>Masses maximales admissibles à l’immatriculation/en service prévues pour le trafic national/international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Masse en charge maximale admissible à l’immatriculation/en service prévue: … kg</w:t>
      </w:r>
    </w:p>
    <w:p>
      <w:pPr>
        <w:spacing w:after="0"/>
        <w:ind w:left="850" w:hanging="839"/>
        <w:rPr>
          <w:rFonts w:eastAsia="Arial Unicode MS"/>
          <w:noProof/>
          <w:szCs w:val="24"/>
        </w:rPr>
      </w:pPr>
      <w:r>
        <w:rPr>
          <w:noProof/>
        </w:rPr>
        <w:t>17.2.</w:t>
      </w:r>
      <w:r>
        <w:rPr>
          <w:noProof/>
        </w:rPr>
        <w:tab/>
        <w:t>Masse en charge maximale admissible à l’immatriculation/en service prévue sur chaque essieu:</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Masse en charge maximale admissible à l’immatriculation/en service prévue sur chaque groupe d’essieux:</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Masse maximale admissible à l’immatriculation/en service prévue pour l’ensemble: … kg</w:t>
      </w:r>
    </w:p>
    <w:p>
      <w:pPr>
        <w:spacing w:after="0"/>
        <w:ind w:left="851" w:hanging="851"/>
        <w:rPr>
          <w:rFonts w:eastAsia="Arial Unicode MS"/>
          <w:noProof/>
          <w:szCs w:val="24"/>
        </w:rPr>
      </w:pPr>
      <w:r>
        <w:rPr>
          <w:noProof/>
        </w:rPr>
        <w:t>18.</w:t>
      </w:r>
      <w:r>
        <w:rPr>
          <w:noProof/>
        </w:rPr>
        <w:tab/>
        <w:t>Masse tractable maximale techniquement admissible en cas de:</w:t>
      </w:r>
    </w:p>
    <w:p>
      <w:pPr>
        <w:spacing w:after="0"/>
        <w:ind w:left="851" w:hanging="840"/>
        <w:rPr>
          <w:rFonts w:eastAsia="Arial Unicode MS"/>
          <w:noProof/>
          <w:szCs w:val="24"/>
          <w:lang w:val="pt-PT"/>
        </w:rPr>
      </w:pPr>
      <w:r>
        <w:rPr>
          <w:noProof/>
          <w:lang w:val="pt-PT"/>
        </w:rPr>
        <w:t>18.1.</w:t>
      </w:r>
      <w:r>
        <w:rPr>
          <w:noProof/>
          <w:lang w:val="pt-PT"/>
        </w:rPr>
        <w:tab/>
        <w:t>remorque à timon: … kg</w:t>
      </w:r>
    </w:p>
    <w:p>
      <w:pPr>
        <w:spacing w:after="0"/>
        <w:ind w:left="851" w:hanging="840"/>
        <w:rPr>
          <w:rFonts w:eastAsia="Arial Unicode MS"/>
          <w:noProof/>
          <w:szCs w:val="24"/>
          <w:lang w:val="pt-PT"/>
        </w:rPr>
      </w:pPr>
      <w:r>
        <w:rPr>
          <w:noProof/>
          <w:lang w:val="pt-PT"/>
        </w:rPr>
        <w:t>18.3.</w:t>
      </w:r>
      <w:r>
        <w:rPr>
          <w:noProof/>
          <w:lang w:val="pt-PT"/>
        </w:rPr>
        <w:tab/>
        <w:t>remorque à essieu central: … kg</w:t>
      </w:r>
    </w:p>
    <w:p>
      <w:pPr>
        <w:spacing w:after="0"/>
        <w:ind w:left="851" w:hanging="840"/>
        <w:rPr>
          <w:rFonts w:eastAsia="Arial Unicode MS"/>
          <w:noProof/>
          <w:szCs w:val="24"/>
        </w:rPr>
      </w:pPr>
      <w:r>
        <w:rPr>
          <w:noProof/>
        </w:rPr>
        <w:t>18.4.</w:t>
      </w:r>
      <w:r>
        <w:rPr>
          <w:noProof/>
        </w:rPr>
        <w:tab/>
        <w:t>remorque non freinée: … kg</w:t>
      </w:r>
    </w:p>
    <w:p>
      <w:pPr>
        <w:spacing w:after="0"/>
        <w:ind w:left="851" w:hanging="851"/>
        <w:rPr>
          <w:rFonts w:eastAsia="Arial Unicode MS"/>
          <w:noProof/>
          <w:szCs w:val="24"/>
        </w:rPr>
      </w:pPr>
      <w:r>
        <w:rPr>
          <w:noProof/>
        </w:rPr>
        <w:t>19.</w:t>
      </w:r>
      <w:r>
        <w:rPr>
          <w:noProof/>
        </w:rPr>
        <w:tab/>
        <w:t>Masse statique maximale techniquement admissible au point d’attelage: … kg</w:t>
      </w:r>
    </w:p>
    <w:p>
      <w:pPr>
        <w:spacing w:before="240" w:after="0"/>
        <w:ind w:left="851" w:hanging="851"/>
        <w:rPr>
          <w:rFonts w:eastAsia="Arial Unicode MS"/>
          <w:noProof/>
          <w:szCs w:val="24"/>
        </w:rPr>
      </w:pPr>
      <w:r>
        <w:rPr>
          <w:b/>
          <w:noProof/>
        </w:rPr>
        <w:t>Groupe moteur</w:t>
      </w:r>
    </w:p>
    <w:p>
      <w:pPr>
        <w:spacing w:after="0"/>
        <w:ind w:left="851" w:hanging="851"/>
        <w:rPr>
          <w:rFonts w:eastAsia="Arial Unicode MS"/>
          <w:noProof/>
          <w:szCs w:val="24"/>
        </w:rPr>
      </w:pPr>
      <w:r>
        <w:rPr>
          <w:noProof/>
        </w:rPr>
        <w:t>20.</w:t>
      </w:r>
      <w:r>
        <w:rPr>
          <w:noProof/>
        </w:rPr>
        <w:tab/>
        <w:t>Constructeur du moteur: …</w:t>
      </w:r>
    </w:p>
    <w:p>
      <w:pPr>
        <w:spacing w:after="0"/>
        <w:ind w:left="851" w:hanging="851"/>
        <w:rPr>
          <w:rFonts w:eastAsia="Arial Unicode MS"/>
          <w:noProof/>
          <w:szCs w:val="24"/>
        </w:rPr>
      </w:pPr>
      <w:r>
        <w:rPr>
          <w:noProof/>
        </w:rPr>
        <w:t>21.</w:t>
      </w:r>
      <w:r>
        <w:rPr>
          <w:noProof/>
        </w:rPr>
        <w:tab/>
        <w:t>Code du moteur tel que marqué sur le moteur: …</w:t>
      </w:r>
    </w:p>
    <w:p>
      <w:pPr>
        <w:spacing w:after="0"/>
        <w:ind w:left="851" w:hanging="851"/>
        <w:rPr>
          <w:rFonts w:eastAsia="Arial Unicode MS"/>
          <w:noProof/>
          <w:szCs w:val="24"/>
        </w:rPr>
      </w:pPr>
      <w:r>
        <w:rPr>
          <w:noProof/>
        </w:rPr>
        <w:t>22.</w:t>
      </w:r>
      <w:r>
        <w:rPr>
          <w:noProof/>
        </w:rPr>
        <w:tab/>
        <w:t>Principe de fonctionnement: …</w:t>
      </w:r>
    </w:p>
    <w:p>
      <w:pPr>
        <w:spacing w:after="0"/>
        <w:ind w:left="851" w:hanging="851"/>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Nombre et disposition des cylindres: …</w:t>
      </w:r>
    </w:p>
    <w:p>
      <w:pPr>
        <w:spacing w:after="0"/>
        <w:ind w:left="851" w:hanging="851"/>
        <w:rPr>
          <w:rFonts w:eastAsia="Arial Unicode MS"/>
          <w:noProof/>
          <w:szCs w:val="24"/>
        </w:rPr>
      </w:pPr>
      <w:r>
        <w:rPr>
          <w:noProof/>
        </w:rPr>
        <w:t>25.</w:t>
      </w:r>
      <w:r>
        <w:rPr>
          <w:noProof/>
        </w:rPr>
        <w:tab/>
        <w:t>Cylindrée: … cm</w:t>
      </w:r>
      <w:r>
        <w:rPr>
          <w:noProof/>
          <w:vertAlign w:val="superscript"/>
        </w:rPr>
        <w:t>3</w:t>
      </w:r>
      <w:r>
        <w:rPr>
          <w:noProof/>
        </w:rPr>
        <w:t xml:space="preserve"> </w:t>
      </w:r>
    </w:p>
    <w:p>
      <w:pPr>
        <w:spacing w:after="0"/>
        <w:ind w:left="851" w:hanging="851"/>
        <w:jc w:val="left"/>
        <w:rPr>
          <w:rFonts w:eastAsia="Arial Unicode MS"/>
          <w:noProof/>
          <w:szCs w:val="24"/>
        </w:rPr>
      </w:pPr>
      <w:r>
        <w:rPr>
          <w:noProof/>
        </w:rPr>
        <w:t>26.</w:t>
      </w:r>
      <w:r>
        <w:rPr>
          <w:noProof/>
        </w:rPr>
        <w:tab/>
        <w:t>Carburant: gazole/essence/GPL/GNC-biométhane/GNL/éthanol/biogazole/hydrogène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Monocarburant/bicarburant/polycarburant/double carburant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(Double carburant uniquement) Type 1A/Type 1B/Type 2A/Type 2B/Type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Boîte de vitesses (type): …</w:t>
      </w:r>
    </w:p>
    <w:p>
      <w:pPr>
        <w:spacing w:before="240"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before="240" w:after="0"/>
        <w:ind w:left="851" w:hanging="851"/>
        <w:rPr>
          <w:rFonts w:eastAsia="Arial Unicode MS"/>
          <w:noProof/>
          <w:szCs w:val="24"/>
        </w:rPr>
      </w:pPr>
      <w:r>
        <w:rPr>
          <w:b/>
          <w:noProof/>
        </w:rPr>
        <w:t>Essieux et suspension</w:t>
      </w:r>
    </w:p>
    <w:p>
      <w:pPr>
        <w:spacing w:after="0"/>
        <w:ind w:left="851" w:hanging="840"/>
        <w:rPr>
          <w:rFonts w:eastAsia="Arial Unicode MS"/>
          <w:noProof/>
          <w:szCs w:val="24"/>
        </w:rPr>
      </w:pPr>
      <w:r>
        <w:rPr>
          <w:noProof/>
        </w:rPr>
        <w:t>31.</w:t>
      </w:r>
      <w:r>
        <w:rPr>
          <w:noProof/>
        </w:rPr>
        <w:tab/>
        <w:t>Emplacement du ou des essieux relevables: …</w:t>
      </w:r>
    </w:p>
    <w:p>
      <w:pPr>
        <w:spacing w:after="0"/>
        <w:ind w:left="851" w:hanging="840"/>
        <w:rPr>
          <w:rFonts w:eastAsia="Arial Unicode MS"/>
          <w:noProof/>
          <w:szCs w:val="24"/>
        </w:rPr>
      </w:pPr>
      <w:r>
        <w:rPr>
          <w:noProof/>
        </w:rPr>
        <w:t>32.</w:t>
      </w:r>
      <w:r>
        <w:rPr>
          <w:noProof/>
        </w:rPr>
        <w:tab/>
        <w:t>Emplacement du ou des essieux chargeables: …</w:t>
      </w:r>
    </w:p>
    <w:p>
      <w:pPr>
        <w:spacing w:after="0"/>
        <w:ind w:left="851" w:hanging="840"/>
        <w:rPr>
          <w:rFonts w:eastAsia="Arial Unicode MS"/>
          <w:noProof/>
          <w:szCs w:val="24"/>
        </w:rPr>
      </w:pPr>
      <w:r>
        <w:rPr>
          <w:noProof/>
        </w:rPr>
        <w:t>33.</w:t>
      </w:r>
      <w:r>
        <w:rPr>
          <w:noProof/>
        </w:rPr>
        <w:tab/>
        <w:t>Essieu(x) moteur(s) équipé(s) d’une suspension pneumatique ou équivalente: oui/non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1" w:hanging="851"/>
        <w:rPr>
          <w:rFonts w:eastAsia="Arial Unicode MS"/>
          <w:noProof/>
          <w:szCs w:val="24"/>
        </w:rPr>
      </w:pPr>
      <w:r>
        <w:rPr>
          <w:b/>
          <w:noProof/>
        </w:rPr>
        <w:t>Freins</w:t>
      </w:r>
    </w:p>
    <w:p>
      <w:pPr>
        <w:spacing w:after="0"/>
        <w:ind w:left="851" w:hanging="851"/>
        <w:jc w:val="left"/>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 dans la conduite d’alimentation du système de freinage de la remorque: … bar</w:t>
      </w:r>
    </w:p>
    <w:p>
      <w:pPr>
        <w:spacing w:before="240" w:after="0"/>
        <w:ind w:left="851" w:hanging="851"/>
        <w:rPr>
          <w:rFonts w:eastAsia="Arial Unicode MS"/>
          <w:noProof/>
          <w:szCs w:val="24"/>
        </w:rPr>
      </w:pPr>
      <w:r>
        <w:rPr>
          <w:b/>
          <w:noProof/>
        </w:rPr>
        <w:t>Dispositif d’attelage</w:t>
      </w:r>
    </w:p>
    <w:p>
      <w:pPr>
        <w:spacing w:after="0"/>
        <w:ind w:left="851" w:hanging="840"/>
        <w:rPr>
          <w:rFonts w:eastAsia="Arial Unicode MS"/>
          <w:noProof/>
          <w:szCs w:val="24"/>
        </w:rPr>
      </w:pPr>
      <w:r>
        <w:rPr>
          <w:noProof/>
        </w:rPr>
        <w:t>44.</w:t>
      </w:r>
      <w:r>
        <w:rPr>
          <w:noProof/>
        </w:rPr>
        <w:tab/>
        <w:t>Numéro de réception ou marque de réception du dispositif d’attelage (le cas échéant): …</w:t>
      </w:r>
    </w:p>
    <w:p>
      <w:pPr>
        <w:spacing w:after="0"/>
        <w:ind w:left="851" w:hanging="840"/>
        <w:rPr>
          <w:rFonts w:eastAsia="Arial Unicode MS"/>
          <w:noProof/>
          <w:szCs w:val="24"/>
        </w:rPr>
      </w:pPr>
      <w:r>
        <w:rPr>
          <w:noProof/>
        </w:rPr>
        <w:t>45.</w:t>
      </w:r>
      <w:r>
        <w:rPr>
          <w:noProof/>
        </w:rPr>
        <w:tab/>
        <w:t>Types ou classes de dispositifs d’attelage pouvant être montés: …</w:t>
      </w:r>
    </w:p>
    <w:p>
      <w:pPr>
        <w:spacing w:after="0"/>
        <w:ind w:left="851" w:hanging="840"/>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0" w:hanging="839"/>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ind w:left="851"/>
        <w:rPr>
          <w:rFonts w:eastAsia="Arial Unicode MS"/>
          <w:noProof/>
          <w:szCs w:val="24"/>
        </w:rPr>
      </w:pPr>
      <w:r>
        <w:rPr>
          <w:noProof/>
        </w:rPr>
        <w:t>À l’arrêt: … dB(A) au régime moteur: … min</w:t>
      </w:r>
      <w:r>
        <w:rPr>
          <w:noProof/>
          <w:vertAlign w:val="superscript"/>
        </w:rPr>
        <w:t>-1</w:t>
      </w:r>
      <w:r>
        <w:rPr>
          <w:noProof/>
        </w:rPr>
        <w:t xml:space="preserve"> </w:t>
      </w:r>
    </w:p>
    <w:p>
      <w:pPr>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Numéro de l’acte réglementaire de base et du dernier acte réglementaire modificatif: …</w:t>
      </w:r>
    </w:p>
    <w:p>
      <w:pPr>
        <w:spacing w:after="0"/>
        <w:ind w:left="1560" w:hanging="720"/>
        <w:rPr>
          <w:rFonts w:eastAsia="Arial Unicode MS"/>
          <w:noProof/>
          <w:szCs w:val="24"/>
        </w:rPr>
      </w:pPr>
      <w:r>
        <w:rPr>
          <w:noProof/>
        </w:rPr>
        <w:t>1.1.</w:t>
      </w:r>
      <w:r>
        <w:rPr>
          <w:noProof/>
        </w:rPr>
        <w:tab/>
        <w:t>Procédure d’essai: Type I ou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Particules: …</w:t>
      </w:r>
    </w:p>
    <w:p>
      <w:pPr>
        <w:spacing w:after="100" w:afterAutospacing="1"/>
        <w:ind w:left="1950" w:hanging="391"/>
        <w:rPr>
          <w:rFonts w:eastAsia="Arial Unicode MS"/>
          <w:noProof/>
          <w:szCs w:val="24"/>
        </w:rPr>
      </w:pPr>
      <w:r>
        <w:rPr>
          <w:noProof/>
        </w:rPr>
        <w:t>Opacité des fumées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Procédure d’essai: Type I [Euro 5 ou 6(</w:t>
      </w:r>
      <w:r>
        <w:rPr>
          <w:noProof/>
          <w:vertAlign w:val="superscript"/>
        </w:rPr>
        <w:t>1</w:t>
      </w:r>
      <w:r>
        <w:rPr>
          <w:noProof/>
        </w:rPr>
        <w:t>)] ou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 xml:space="preserve">… </w:t>
      </w:r>
      <w:r>
        <w:rPr>
          <w:noProof/>
        </w:rPr>
        <w:tab/>
        <w:t>NH</w:t>
      </w:r>
      <w:r>
        <w:rPr>
          <w:noProof/>
          <w:vertAlign w:val="subscript"/>
        </w:rPr>
        <w:t>3</w:t>
      </w:r>
      <w:r>
        <w:rPr>
          <w:noProof/>
        </w:rPr>
        <w:t xml:space="preserve">: … </w:t>
      </w:r>
      <w:r>
        <w:rPr>
          <w:noProof/>
        </w:rPr>
        <w:tab/>
        <w:t>Particules (masse): …</w:t>
      </w:r>
      <w:r>
        <w:rPr>
          <w:noProof/>
        </w:rPr>
        <w:tab/>
        <w:t>Particules (nombre): …</w:t>
      </w:r>
    </w:p>
    <w:p>
      <w:pPr>
        <w:spacing w:after="0"/>
        <w:ind w:left="1560" w:hanging="709"/>
        <w:rPr>
          <w:rFonts w:eastAsia="Arial Unicode MS"/>
          <w:noProof/>
          <w:szCs w:val="24"/>
        </w:rPr>
      </w:pPr>
      <w:r>
        <w:rPr>
          <w:noProof/>
        </w:rPr>
        <w:t>2.1.</w:t>
      </w:r>
      <w:r>
        <w:rPr>
          <w:noProof/>
        </w:rPr>
        <w:tab/>
        <w:t>Procédure d’essai: ETC (le cas échéant)</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Particules: …</w:t>
      </w:r>
    </w:p>
    <w:p>
      <w:pPr>
        <w:tabs>
          <w:tab w:val="left" w:pos="2552"/>
          <w:tab w:val="left" w:pos="3686"/>
          <w:tab w:val="left" w:pos="5103"/>
          <w:tab w:val="left" w:pos="6237"/>
          <w:tab w:val="left" w:pos="7371"/>
        </w:tabs>
        <w:spacing w:after="0"/>
        <w:ind w:left="1560" w:hanging="709"/>
        <w:rPr>
          <w:rFonts w:eastAsia="Arial Unicode MS"/>
          <w:noProof/>
          <w:szCs w:val="24"/>
          <w:lang w:val="it-IT"/>
        </w:rPr>
      </w:pPr>
      <w:r>
        <w:rPr>
          <w:noProof/>
          <w:lang w:val="it-IT"/>
        </w:rPr>
        <w:t>2.2.</w:t>
      </w:r>
      <w:r>
        <w:rPr>
          <w:noProof/>
          <w:lang w:val="it-IT"/>
        </w:rPr>
        <w:tab/>
        <w:t>Procédure d’essai: WHTC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Particules (masse): …</w:t>
      </w:r>
      <w:r>
        <w:rPr>
          <w:noProof/>
        </w:rPr>
        <w:tab/>
        <w:t>Particules (nombre): …</w:t>
      </w:r>
    </w:p>
    <w:p>
      <w:pPr>
        <w:spacing w:after="0"/>
        <w:ind w:left="851" w:hanging="840"/>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before="240" w:after="0"/>
        <w:ind w:left="850" w:hanging="839"/>
        <w:rPr>
          <w:rFonts w:eastAsia="Arial Unicode MS"/>
          <w:noProof/>
          <w:szCs w:val="24"/>
        </w:rPr>
      </w:pPr>
      <w:r>
        <w:rPr>
          <w:b/>
          <w:noProof/>
        </w:rPr>
        <w:t>Divers</w:t>
      </w:r>
    </w:p>
    <w:p>
      <w:pPr>
        <w:spacing w:after="0"/>
        <w:ind w:left="851" w:hanging="840"/>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 DE VÉHICULES N</w:t>
      </w:r>
      <w:r>
        <w:rPr>
          <w:noProof/>
          <w:vertAlign w:val="subscript"/>
        </w:rPr>
        <w:t>3</w:t>
      </w:r>
    </w:p>
    <w:p>
      <w:pPr>
        <w:jc w:val="center"/>
        <w:rPr>
          <w:rFonts w:eastAsia="Arial Unicode MS"/>
          <w:bCs/>
          <w:noProof/>
          <w:szCs w:val="24"/>
        </w:rPr>
      </w:pPr>
      <w:r>
        <w:rPr>
          <w:noProof/>
        </w:rPr>
        <w:t>(véhicules incomplets)</w:t>
      </w:r>
    </w:p>
    <w:p>
      <w:pPr>
        <w:jc w:val="left"/>
        <w:rPr>
          <w:rFonts w:eastAsia="Arial Unicode MS"/>
          <w:b/>
          <w:bC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2.</w:t>
      </w:r>
      <w:r>
        <w:rPr>
          <w:noProof/>
        </w:rPr>
        <w:tab/>
        <w:t>Essieux directeurs (nombre, emplacement): …</w:t>
      </w:r>
    </w:p>
    <w:p>
      <w:pPr>
        <w:spacing w:after="0"/>
        <w:ind w:left="851" w:hanging="851"/>
        <w:rPr>
          <w:rFonts w:eastAsia="Arial Unicode MS"/>
          <w:noProof/>
          <w:szCs w:val="24"/>
        </w:rPr>
      </w:pPr>
      <w:r>
        <w:rPr>
          <w:noProof/>
        </w:rPr>
        <w:t>3.</w:t>
      </w:r>
      <w:r>
        <w:rPr>
          <w:noProof/>
        </w:rPr>
        <w:tab/>
        <w:t>Essieux moteurs (nombre, emplacement, crabotage d’un autre essieu): …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Longueur maximale admissible: … mm</w:t>
      </w:r>
    </w:p>
    <w:p>
      <w:pPr>
        <w:spacing w:after="0"/>
        <w:ind w:left="851" w:hanging="851"/>
        <w:rPr>
          <w:rFonts w:eastAsia="Arial Unicode MS"/>
          <w:noProof/>
          <w:szCs w:val="24"/>
        </w:rPr>
      </w:pPr>
      <w:r>
        <w:rPr>
          <w:noProof/>
        </w:rPr>
        <w:t>6.1.</w:t>
      </w:r>
      <w:r>
        <w:rPr>
          <w:noProof/>
        </w:rPr>
        <w:tab/>
        <w:t>Largeur maximale admissible: … mm</w:t>
      </w:r>
    </w:p>
    <w:p>
      <w:pPr>
        <w:ind w:left="851" w:hanging="851"/>
        <w:jc w:val="left"/>
        <w:rPr>
          <w:rFonts w:eastAsia="Arial Unicode MS"/>
          <w:noProof/>
          <w:szCs w:val="24"/>
        </w:rPr>
      </w:pPr>
      <w:r>
        <w:rPr>
          <w:noProof/>
        </w:rPr>
        <w:t>8.</w:t>
      </w:r>
      <w:r>
        <w:rPr>
          <w:noProof/>
        </w:rPr>
        <w:tab/>
        <w:t>Avancée de la sellette d’attelage pour véhicule tracteur de semi-remorque (maximum et minimum: … mm</w:t>
      </w:r>
    </w:p>
    <w:p>
      <w:pPr>
        <w:spacing w:after="0"/>
        <w:ind w:left="851" w:hanging="851"/>
        <w:rPr>
          <w:rFonts w:eastAsia="Arial Unicode MS"/>
          <w:noProof/>
          <w:szCs w:val="24"/>
        </w:rPr>
      </w:pPr>
      <w:r>
        <w:rPr>
          <w:noProof/>
        </w:rPr>
        <w:t>12.1.</w:t>
      </w:r>
      <w:r>
        <w:rPr>
          <w:noProof/>
        </w:rPr>
        <w:tab/>
        <w:t>Porte-à-faux arrière maximal admissible: … mm</w:t>
      </w:r>
    </w:p>
    <w:p>
      <w:pPr>
        <w:spacing w:before="240"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14.</w:t>
      </w:r>
      <w:r>
        <w:rPr>
          <w:noProof/>
        </w:rPr>
        <w:tab/>
        <w:t>Masse en ordre de marche du véhicule incomplet: …kg</w:t>
      </w:r>
    </w:p>
    <w:p>
      <w:pPr>
        <w:tabs>
          <w:tab w:val="left" w:pos="5387"/>
        </w:tabs>
        <w:spacing w:after="0"/>
        <w:ind w:left="851" w:hanging="851"/>
        <w:rPr>
          <w:rFonts w:eastAsia="Arial Unicode MS"/>
          <w:noProof/>
          <w:szCs w:val="24"/>
        </w:rPr>
      </w:pPr>
      <w:r>
        <w:rPr>
          <w:noProof/>
        </w:rPr>
        <w:t>14.1.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Masse réelle du véhicule incomplet: …kg</w:t>
      </w:r>
    </w:p>
    <w:p>
      <w:pPr>
        <w:spacing w:after="0"/>
        <w:ind w:left="851" w:hanging="851"/>
        <w:rPr>
          <w:rFonts w:eastAsia="Arial Unicode MS"/>
          <w:noProof/>
          <w:szCs w:val="24"/>
        </w:rPr>
      </w:pPr>
      <w:r>
        <w:rPr>
          <w:noProof/>
        </w:rPr>
        <w:t>15.</w:t>
      </w:r>
      <w:r>
        <w:rPr>
          <w:noProof/>
        </w:rPr>
        <w:tab/>
        <w:t>Masse minimale du véhicule complété: … kg</w:t>
      </w:r>
    </w:p>
    <w:p>
      <w:pPr>
        <w:tabs>
          <w:tab w:val="left" w:pos="5529"/>
        </w:tabs>
        <w:spacing w:after="0"/>
        <w:ind w:left="851" w:hanging="851"/>
        <w:rPr>
          <w:rFonts w:eastAsia="Arial Unicode MS"/>
          <w:noProof/>
          <w:szCs w:val="24"/>
        </w:rPr>
      </w:pPr>
      <w:r>
        <w:rPr>
          <w:noProof/>
        </w:rPr>
        <w:t>15.1.</w:t>
      </w:r>
      <w:r>
        <w:rPr>
          <w:noProof/>
        </w:rPr>
        <w:tab/>
        <w:t xml:space="preserve">Répartition de cette masse entre les essieux: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Masse techniquement admissible sur chaque essieu: </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 xml:space="preserve">Masse techniquement admissible sur chaque groupe d’essieux: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Masse maximale techniquement admissible de l’ensemble: … kg</w:t>
      </w:r>
    </w:p>
    <w:p>
      <w:pPr>
        <w:spacing w:after="0"/>
        <w:ind w:left="851" w:hanging="851"/>
        <w:rPr>
          <w:rFonts w:eastAsia="Arial Unicode MS"/>
          <w:noProof/>
          <w:szCs w:val="24"/>
        </w:rPr>
      </w:pPr>
      <w:r>
        <w:rPr>
          <w:noProof/>
        </w:rPr>
        <w:t>17.</w:t>
      </w:r>
      <w:r>
        <w:rPr>
          <w:noProof/>
        </w:rPr>
        <w:tab/>
        <w:t>Masses maximales admissibles à l’immatriculation/en service prévues pour le trafic national/international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Masse en charge maximale admissible à l’immatriculation/en service prévue: … kg</w:t>
      </w:r>
    </w:p>
    <w:p>
      <w:pPr>
        <w:spacing w:after="0"/>
        <w:ind w:left="850" w:hanging="839"/>
        <w:rPr>
          <w:rFonts w:eastAsia="Arial Unicode MS"/>
          <w:noProof/>
          <w:szCs w:val="24"/>
        </w:rPr>
      </w:pPr>
      <w:r>
        <w:rPr>
          <w:noProof/>
        </w:rPr>
        <w:t>17.2.</w:t>
      </w:r>
      <w:r>
        <w:rPr>
          <w:noProof/>
        </w:rPr>
        <w:tab/>
        <w:t>Masse en charge maximale admissible à l’immatriculation/en service prévue sur chaque essieu:</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Masse en charge maximale admissible à l’immatriculation/en service prévue sur chaque groupe d’essieux:</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Masse maximale admissible à l’immatriculation/en service prévue pour l’ensemble: … kg</w:t>
      </w:r>
    </w:p>
    <w:p>
      <w:pPr>
        <w:spacing w:after="0"/>
        <w:ind w:left="851" w:hanging="851"/>
        <w:rPr>
          <w:rFonts w:eastAsia="Arial Unicode MS"/>
          <w:noProof/>
          <w:szCs w:val="24"/>
        </w:rPr>
      </w:pPr>
      <w:r>
        <w:rPr>
          <w:noProof/>
        </w:rPr>
        <w:t>18.</w:t>
      </w:r>
      <w:r>
        <w:rPr>
          <w:noProof/>
        </w:rPr>
        <w:tab/>
        <w:t>Masse tractable maximale techniquement admissible dans le cas:</w:t>
      </w:r>
    </w:p>
    <w:p>
      <w:pPr>
        <w:spacing w:after="0"/>
        <w:ind w:left="851" w:hanging="840"/>
        <w:rPr>
          <w:rFonts w:eastAsia="Arial Unicode MS"/>
          <w:noProof/>
          <w:szCs w:val="24"/>
        </w:rPr>
      </w:pPr>
      <w:r>
        <w:rPr>
          <w:noProof/>
        </w:rPr>
        <w:t>18.1.</w:t>
      </w:r>
      <w:r>
        <w:rPr>
          <w:noProof/>
        </w:rPr>
        <w:tab/>
        <w:t>d’une remorque à timon: … kg</w:t>
      </w:r>
    </w:p>
    <w:p>
      <w:pPr>
        <w:spacing w:after="0"/>
        <w:ind w:left="851" w:hanging="840"/>
        <w:rPr>
          <w:rFonts w:eastAsia="Arial Unicode MS"/>
          <w:noProof/>
          <w:szCs w:val="24"/>
        </w:rPr>
      </w:pPr>
      <w:r>
        <w:rPr>
          <w:noProof/>
        </w:rPr>
        <w:t>18.3.</w:t>
      </w:r>
      <w:r>
        <w:rPr>
          <w:noProof/>
        </w:rPr>
        <w:tab/>
        <w:t>d’une remorque à essieu central: … kg</w:t>
      </w:r>
    </w:p>
    <w:p>
      <w:pPr>
        <w:spacing w:after="0"/>
        <w:ind w:left="851" w:hanging="840"/>
        <w:rPr>
          <w:rFonts w:eastAsia="Arial Unicode MS"/>
          <w:noProof/>
          <w:szCs w:val="24"/>
        </w:rPr>
      </w:pPr>
      <w:r>
        <w:rPr>
          <w:noProof/>
        </w:rPr>
        <w:t>18.4.</w:t>
      </w:r>
      <w:r>
        <w:rPr>
          <w:noProof/>
        </w:rPr>
        <w:tab/>
        <w:t>d’une remorque non freinée: … kg</w:t>
      </w:r>
    </w:p>
    <w:p>
      <w:pPr>
        <w:spacing w:after="0"/>
        <w:ind w:left="851" w:hanging="851"/>
        <w:rPr>
          <w:rFonts w:eastAsia="Arial Unicode MS"/>
          <w:noProof/>
          <w:szCs w:val="24"/>
        </w:rPr>
      </w:pPr>
      <w:r>
        <w:rPr>
          <w:noProof/>
        </w:rPr>
        <w:t>19.</w:t>
      </w:r>
      <w:r>
        <w:rPr>
          <w:noProof/>
        </w:rPr>
        <w:tab/>
        <w:t>Masse statique maximale techniquement admissible au point d’attelage: … kg</w:t>
      </w:r>
    </w:p>
    <w:p>
      <w:pPr>
        <w:spacing w:before="240" w:after="0"/>
        <w:ind w:left="851" w:hanging="851"/>
        <w:rPr>
          <w:rFonts w:eastAsia="Arial Unicode MS"/>
          <w:noProof/>
          <w:szCs w:val="24"/>
        </w:rPr>
      </w:pPr>
      <w:r>
        <w:rPr>
          <w:b/>
          <w:noProof/>
        </w:rPr>
        <w:t>Groupe moteur</w:t>
      </w:r>
    </w:p>
    <w:p>
      <w:pPr>
        <w:spacing w:after="0"/>
        <w:ind w:left="851" w:hanging="851"/>
        <w:rPr>
          <w:rFonts w:eastAsia="Arial Unicode MS"/>
          <w:noProof/>
          <w:szCs w:val="24"/>
        </w:rPr>
      </w:pPr>
      <w:r>
        <w:rPr>
          <w:noProof/>
        </w:rPr>
        <w:t>20.</w:t>
      </w:r>
      <w:r>
        <w:rPr>
          <w:noProof/>
        </w:rPr>
        <w:tab/>
        <w:t>Constructeur du moteur: …</w:t>
      </w:r>
    </w:p>
    <w:p>
      <w:pPr>
        <w:spacing w:after="0"/>
        <w:ind w:left="851" w:hanging="851"/>
        <w:rPr>
          <w:rFonts w:eastAsia="Arial Unicode MS"/>
          <w:noProof/>
          <w:szCs w:val="24"/>
        </w:rPr>
      </w:pPr>
      <w:r>
        <w:rPr>
          <w:noProof/>
        </w:rPr>
        <w:t>21.</w:t>
      </w:r>
      <w:r>
        <w:rPr>
          <w:noProof/>
        </w:rPr>
        <w:tab/>
        <w:t>Code du moteur tel que marqué sur le moteur: …</w:t>
      </w:r>
    </w:p>
    <w:p>
      <w:pPr>
        <w:spacing w:after="0"/>
        <w:ind w:left="851" w:hanging="851"/>
        <w:rPr>
          <w:rFonts w:eastAsia="Arial Unicode MS"/>
          <w:noProof/>
          <w:szCs w:val="24"/>
        </w:rPr>
      </w:pPr>
      <w:r>
        <w:rPr>
          <w:noProof/>
        </w:rPr>
        <w:t>22.</w:t>
      </w:r>
      <w:r>
        <w:rPr>
          <w:noProof/>
        </w:rPr>
        <w:tab/>
        <w:t>Principe de fonctionnement: …</w:t>
      </w:r>
    </w:p>
    <w:p>
      <w:pPr>
        <w:spacing w:after="0"/>
        <w:ind w:left="851" w:hanging="851"/>
        <w:rPr>
          <w:rFonts w:eastAsia="Arial Unicode MS"/>
          <w:noProof/>
          <w:szCs w:val="24"/>
        </w:rPr>
      </w:pPr>
      <w:r>
        <w:rPr>
          <w:noProof/>
        </w:rPr>
        <w:t>23.</w:t>
      </w:r>
      <w:r>
        <w:rPr>
          <w:noProof/>
        </w:rPr>
        <w:tab/>
        <w:t>Électrique pur: oui/non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Véhicule [électrique] hybride: oui/non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Nombre et disposition des cylindres: …</w:t>
      </w:r>
    </w:p>
    <w:p>
      <w:pPr>
        <w:spacing w:after="0"/>
        <w:ind w:left="851" w:hanging="851"/>
        <w:rPr>
          <w:rFonts w:eastAsia="Arial Unicode MS"/>
          <w:noProof/>
          <w:szCs w:val="24"/>
        </w:rPr>
      </w:pPr>
      <w:r>
        <w:rPr>
          <w:noProof/>
        </w:rPr>
        <w:t>25.</w:t>
      </w:r>
      <w:r>
        <w:rPr>
          <w:noProof/>
        </w:rPr>
        <w:tab/>
        <w:t>Cylindrée: … cm</w:t>
      </w:r>
      <w:r>
        <w:rPr>
          <w:noProof/>
          <w:vertAlign w:val="superscript"/>
        </w:rPr>
        <w:t>3</w:t>
      </w:r>
      <w:r>
        <w:rPr>
          <w:noProof/>
        </w:rPr>
        <w:t xml:space="preserve"> </w:t>
      </w:r>
    </w:p>
    <w:p>
      <w:pPr>
        <w:spacing w:after="0"/>
        <w:ind w:left="851" w:hanging="851"/>
        <w:jc w:val="left"/>
        <w:rPr>
          <w:rFonts w:eastAsia="Arial Unicode MS"/>
          <w:noProof/>
          <w:color w:val="000000"/>
          <w:szCs w:val="24"/>
        </w:rPr>
      </w:pPr>
      <w:r>
        <w:rPr>
          <w:noProof/>
          <w:color w:val="000000"/>
        </w:rPr>
        <w:t>26.</w:t>
      </w:r>
      <w:r>
        <w:rPr>
          <w:noProof/>
        </w:rPr>
        <w:tab/>
      </w:r>
      <w:r>
        <w:rPr>
          <w:noProof/>
          <w:color w:val="000000"/>
        </w:rPr>
        <w:t>Carburant: gazole/essence/GPL/GNC-biométhane/GNL/éthanol/biogazole/hydrogène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26.1.</w:t>
      </w:r>
      <w:r>
        <w:rPr>
          <w:noProof/>
        </w:rPr>
        <w:tab/>
      </w:r>
      <w:r>
        <w:rPr>
          <w:noProof/>
          <w:color w:val="000000"/>
        </w:rPr>
        <w:t>Monocarburant/bicarburant/polycarburant/double carburant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26.2.</w:t>
      </w:r>
      <w:r>
        <w:rPr>
          <w:noProof/>
        </w:rPr>
        <w:tab/>
      </w:r>
      <w:r>
        <w:rPr>
          <w:noProof/>
          <w:color w:val="000000"/>
        </w:rPr>
        <w:t>(Double carburant uniquement) Type 1A/Type 1B/Type 2A/Type 2B/Type 3B (</w:t>
      </w:r>
      <w:r>
        <w:rPr>
          <w:noProof/>
          <w:color w:val="000000"/>
          <w:vertAlign w:val="superscript"/>
        </w:rPr>
        <w:t>1</w:t>
      </w:r>
      <w:r>
        <w:rPr>
          <w:noProof/>
          <w:color w:val="000000"/>
        </w:rPr>
        <w:t>)</w:t>
      </w:r>
    </w:p>
    <w:p>
      <w:pPr>
        <w:spacing w:after="0"/>
        <w:ind w:left="851" w:hanging="851"/>
        <w:rPr>
          <w:rFonts w:eastAsia="Arial Unicode MS"/>
          <w:noProof/>
          <w:szCs w:val="24"/>
        </w:rPr>
      </w:pPr>
      <w:r>
        <w:rPr>
          <w:noProof/>
        </w:rPr>
        <w:t>27.</w:t>
      </w:r>
      <w:r>
        <w:rPr>
          <w:noProof/>
        </w:rPr>
        <w:tab/>
        <w:t>Puissance maximale</w:t>
      </w:r>
    </w:p>
    <w:p>
      <w:pPr>
        <w:spacing w:after="0"/>
        <w:ind w:left="851" w:hanging="851"/>
        <w:rPr>
          <w:rFonts w:eastAsia="Arial Unicode MS"/>
          <w:noProof/>
          <w:szCs w:val="24"/>
        </w:rPr>
      </w:pPr>
      <w:r>
        <w:rPr>
          <w:noProof/>
        </w:rPr>
        <w:t>27.1.</w:t>
      </w:r>
      <w:r>
        <w:rPr>
          <w:noProof/>
        </w:rPr>
        <w:tab/>
        <w:t>Puissance nette maximale (</w:t>
      </w:r>
      <w:r>
        <w:rPr>
          <w:noProof/>
          <w:vertAlign w:val="superscript"/>
        </w:rPr>
        <w:t>g</w:t>
      </w:r>
      <w:r>
        <w:rPr>
          <w:noProof/>
        </w:rPr>
        <w:t>): … kW à … min</w:t>
      </w:r>
      <w:r>
        <w:rPr>
          <w:noProof/>
          <w:vertAlign w:val="superscript"/>
        </w:rPr>
        <w:t>-1</w:t>
      </w:r>
      <w:r>
        <w:rPr>
          <w:noProof/>
        </w:rPr>
        <w:t xml:space="preserve"> (moteur à combustion interne)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Puissance horaire maximale: … kW (moteur électrique)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Puissance nette maximale: … kW (moteur électrique)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Puissance maximale sur 30 minutes: … kW (moteur électrique)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Boîte de vitesses (type): …</w:t>
      </w:r>
    </w:p>
    <w:p>
      <w:pPr>
        <w:spacing w:before="240"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before="240" w:after="0"/>
        <w:ind w:left="851" w:hanging="851"/>
        <w:rPr>
          <w:rFonts w:eastAsia="Arial Unicode MS"/>
          <w:noProof/>
          <w:szCs w:val="24"/>
        </w:rPr>
      </w:pPr>
      <w:r>
        <w:rPr>
          <w:b/>
          <w:noProof/>
        </w:rPr>
        <w:t>Essieux et suspension</w:t>
      </w:r>
    </w:p>
    <w:p>
      <w:pPr>
        <w:ind w:left="840" w:hanging="840"/>
        <w:jc w:val="left"/>
        <w:rPr>
          <w:rFonts w:eastAsia="Arial Unicode MS"/>
          <w:noProof/>
          <w:szCs w:val="24"/>
        </w:rPr>
      </w:pPr>
      <w:r>
        <w:rPr>
          <w:noProof/>
        </w:rPr>
        <w:t>30.1.</w:t>
      </w:r>
      <w:r>
        <w:rPr>
          <w:noProof/>
        </w:rPr>
        <w:tab/>
        <w:t>Voie de chaque essieu directeur: … mm</w:t>
      </w:r>
    </w:p>
    <w:p>
      <w:pPr>
        <w:spacing w:after="0"/>
        <w:ind w:left="851" w:hanging="840"/>
        <w:rPr>
          <w:rFonts w:eastAsia="Arial Unicode MS"/>
          <w:noProof/>
          <w:szCs w:val="24"/>
        </w:rPr>
      </w:pPr>
      <w:r>
        <w:rPr>
          <w:noProof/>
        </w:rPr>
        <w:t>30.2.</w:t>
      </w:r>
      <w:r>
        <w:rPr>
          <w:noProof/>
        </w:rPr>
        <w:tab/>
        <w:t>Voie de tous les autres essieux: … mm</w:t>
      </w:r>
    </w:p>
    <w:p>
      <w:pPr>
        <w:spacing w:after="0"/>
        <w:ind w:left="851" w:hanging="840"/>
        <w:rPr>
          <w:rFonts w:eastAsia="Arial Unicode MS"/>
          <w:noProof/>
          <w:szCs w:val="24"/>
        </w:rPr>
      </w:pPr>
      <w:r>
        <w:rPr>
          <w:noProof/>
        </w:rPr>
        <w:t>32.</w:t>
      </w:r>
      <w:r>
        <w:rPr>
          <w:noProof/>
        </w:rPr>
        <w:tab/>
        <w:t>Emplacement du ou des essieux chargeables: …</w:t>
      </w:r>
    </w:p>
    <w:p>
      <w:pPr>
        <w:spacing w:after="0"/>
        <w:ind w:left="851" w:hanging="840"/>
        <w:rPr>
          <w:rFonts w:eastAsia="Arial Unicode MS"/>
          <w:noProof/>
          <w:szCs w:val="24"/>
        </w:rPr>
      </w:pPr>
      <w:r>
        <w:rPr>
          <w:noProof/>
        </w:rPr>
        <w:t>33.</w:t>
      </w:r>
      <w:r>
        <w:rPr>
          <w:noProof/>
        </w:rPr>
        <w:tab/>
        <w:t>Essieu(x) moteur(s) équipé(s) d’une suspension pneumatique ou équivalente: oui/non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1" w:hanging="851"/>
        <w:rPr>
          <w:rFonts w:eastAsia="Arial Unicode MS"/>
          <w:noProof/>
          <w:szCs w:val="24"/>
        </w:rPr>
      </w:pPr>
      <w:r>
        <w:rPr>
          <w:b/>
          <w:noProof/>
        </w:rPr>
        <w:t>Freins</w:t>
      </w:r>
    </w:p>
    <w:p>
      <w:pPr>
        <w:spacing w:after="0"/>
        <w:ind w:left="851" w:hanging="851"/>
        <w:jc w:val="left"/>
        <w:rPr>
          <w:rFonts w:eastAsia="Arial Unicode MS"/>
          <w:noProof/>
          <w:szCs w:val="24"/>
        </w:rPr>
      </w:pPr>
      <w:r>
        <w:rPr>
          <w:noProof/>
        </w:rPr>
        <w:t>36.</w:t>
      </w:r>
      <w:r>
        <w:rPr>
          <w:noProof/>
        </w:rPr>
        <w:tab/>
        <w:t>Connexions pour le freinage de la remorque: mécaniques/électriques/pneumatiques/hydrauliques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 dans la conduite d’alimentation du système de freinage de la remorque: … bar</w:t>
      </w:r>
    </w:p>
    <w:p>
      <w:pPr>
        <w:spacing w:before="240" w:after="0"/>
        <w:ind w:left="851" w:hanging="851"/>
        <w:rPr>
          <w:rFonts w:eastAsia="Arial Unicode MS"/>
          <w:noProof/>
          <w:szCs w:val="24"/>
        </w:rPr>
      </w:pPr>
      <w:r>
        <w:rPr>
          <w:b/>
          <w:noProof/>
        </w:rPr>
        <w:t>Dispositif d’attelage</w:t>
      </w:r>
    </w:p>
    <w:p>
      <w:pPr>
        <w:spacing w:after="0"/>
        <w:ind w:left="851" w:hanging="840"/>
        <w:rPr>
          <w:rFonts w:eastAsia="Arial Unicode MS"/>
          <w:noProof/>
          <w:szCs w:val="24"/>
        </w:rPr>
      </w:pPr>
      <w:r>
        <w:rPr>
          <w:noProof/>
        </w:rPr>
        <w:t>44.</w:t>
      </w:r>
      <w:r>
        <w:rPr>
          <w:noProof/>
        </w:rPr>
        <w:tab/>
        <w:t>Numéro de réception ou marque de réception du dispositif d’attelage (le cas échéant): …</w:t>
      </w:r>
    </w:p>
    <w:p>
      <w:pPr>
        <w:spacing w:after="0"/>
        <w:ind w:left="851" w:hanging="840"/>
        <w:rPr>
          <w:rFonts w:eastAsia="Arial Unicode MS"/>
          <w:noProof/>
          <w:szCs w:val="24"/>
        </w:rPr>
      </w:pPr>
      <w:r>
        <w:rPr>
          <w:noProof/>
        </w:rPr>
        <w:t>45.</w:t>
      </w:r>
      <w:r>
        <w:rPr>
          <w:noProof/>
        </w:rPr>
        <w:tab/>
        <w:t>Types ou classes de dispositifs d’attelage pouvant être montés: …</w:t>
      </w:r>
    </w:p>
    <w:p>
      <w:pPr>
        <w:spacing w:after="0"/>
        <w:ind w:left="851" w:hanging="840"/>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0" w:hanging="839"/>
        <w:rPr>
          <w:rFonts w:eastAsia="Arial Unicode MS"/>
          <w:noProof/>
          <w:szCs w:val="24"/>
        </w:rPr>
      </w:pPr>
      <w:r>
        <w:rPr>
          <w:b/>
          <w:noProof/>
        </w:rPr>
        <w:t>Performances environnementales</w:t>
      </w:r>
    </w:p>
    <w:p>
      <w:pPr>
        <w:spacing w:after="0"/>
        <w:ind w:left="851" w:hanging="851"/>
        <w:rPr>
          <w:rFonts w:eastAsia="Arial Unicode MS"/>
          <w:noProof/>
          <w:szCs w:val="24"/>
        </w:rPr>
      </w:pPr>
      <w:r>
        <w:rPr>
          <w:noProof/>
        </w:rPr>
        <w:t>46.</w:t>
      </w:r>
      <w:r>
        <w:rPr>
          <w:noProof/>
        </w:rPr>
        <w:tab/>
        <w:t>Niveau sonore</w:t>
      </w:r>
    </w:p>
    <w:p>
      <w:pPr>
        <w:ind w:left="851"/>
        <w:rPr>
          <w:rFonts w:eastAsia="Arial Unicode MS"/>
          <w:noProof/>
          <w:szCs w:val="24"/>
        </w:rPr>
      </w:pPr>
      <w:r>
        <w:rPr>
          <w:noProof/>
        </w:rPr>
        <w:t>À l’arrêt: … dB(A) au régime moteur: … min</w:t>
      </w:r>
      <w:r>
        <w:rPr>
          <w:noProof/>
          <w:vertAlign w:val="superscript"/>
        </w:rPr>
        <w:t>-1</w:t>
      </w:r>
      <w:r>
        <w:rPr>
          <w:noProof/>
        </w:rPr>
        <w:t xml:space="preserve"> </w:t>
      </w:r>
    </w:p>
    <w:p>
      <w:pPr>
        <w:ind w:left="851"/>
        <w:rPr>
          <w:rFonts w:eastAsia="Arial Unicode MS"/>
          <w:noProof/>
          <w:szCs w:val="24"/>
        </w:rPr>
      </w:pPr>
      <w:r>
        <w:rPr>
          <w:noProof/>
        </w:rPr>
        <w:t>En marche (passage): … dB(A)</w:t>
      </w:r>
    </w:p>
    <w:p>
      <w:pPr>
        <w:spacing w:after="0"/>
        <w:ind w:left="851" w:hanging="851"/>
        <w:rPr>
          <w:rFonts w:eastAsia="Arial Unicode MS"/>
          <w:noProof/>
          <w:szCs w:val="24"/>
        </w:rPr>
      </w:pPr>
      <w:r>
        <w:rPr>
          <w:noProof/>
        </w:rPr>
        <w:t>47.</w:t>
      </w:r>
      <w:r>
        <w:rPr>
          <w:noProof/>
        </w:rPr>
        <w:tab/>
        <w:t>Niveau des émissions d’échappement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Émissions de gaz d’échappement (</w:t>
      </w:r>
      <w:r>
        <w:rPr>
          <w:noProof/>
          <w:vertAlign w:val="superscript"/>
        </w:rPr>
        <w:t>m</w:t>
      </w:r>
      <w:r>
        <w:rPr>
          <w:noProof/>
        </w:rPr>
        <w:t>) (</w:t>
      </w:r>
      <w:r>
        <w:rPr>
          <w:noProof/>
          <w:vertAlign w:val="superscript"/>
        </w:rPr>
        <w:t>m1</w:t>
      </w:r>
      <w:r>
        <w:rPr>
          <w:noProof/>
        </w:rPr>
        <w:t>) (</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Numéro de l’acte réglementaire de base et du dernier acte réglementaire modificatif: …</w:t>
      </w:r>
    </w:p>
    <w:p>
      <w:pPr>
        <w:spacing w:after="0"/>
        <w:ind w:left="1560" w:hanging="720"/>
        <w:rPr>
          <w:rFonts w:eastAsia="Arial Unicode MS"/>
          <w:noProof/>
          <w:szCs w:val="24"/>
        </w:rPr>
      </w:pPr>
      <w:r>
        <w:rPr>
          <w:noProof/>
        </w:rPr>
        <w:t>1.1.</w:t>
      </w:r>
      <w:r>
        <w:rPr>
          <w:noProof/>
        </w:rPr>
        <w:tab/>
        <w:t xml:space="preserve">Procédure d’essai: ESC </w:t>
      </w:r>
    </w:p>
    <w:p>
      <w:pPr>
        <w:spacing w:after="0"/>
        <w:ind w:left="1560"/>
        <w:rPr>
          <w:rFonts w:eastAsia="Arial Unicode MS"/>
          <w:noProof/>
          <w:szCs w:val="24"/>
        </w:rPr>
      </w:pPr>
      <w:r>
        <w:rPr>
          <w:noProof/>
        </w:rPr>
        <w:t>CO: …</w:t>
      </w:r>
      <w:r>
        <w:rPr>
          <w:noProof/>
        </w:rPr>
        <w:tab/>
        <w:t>HC: …</w:t>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Particules: …</w:t>
      </w:r>
    </w:p>
    <w:p>
      <w:pPr>
        <w:spacing w:after="100" w:afterAutospacing="1"/>
        <w:ind w:left="1950" w:hanging="391"/>
        <w:rPr>
          <w:rFonts w:eastAsia="Arial Unicode MS"/>
          <w:noProof/>
          <w:szCs w:val="24"/>
          <w:lang w:val="it-IT"/>
        </w:rPr>
      </w:pPr>
      <w:r>
        <w:rPr>
          <w:noProof/>
        </w:rPr>
        <w:t xml:space="preserve">Opacité des fumées (ELR): … </w:t>
      </w:r>
      <w:r>
        <w:rPr>
          <w:noProof/>
          <w:lang w:val="it-IT"/>
        </w:rPr>
        <w:t>(m</w:t>
      </w:r>
      <w:r>
        <w:rPr>
          <w:noProof/>
          <w:vertAlign w:val="superscript"/>
          <w:lang w:val="it-IT"/>
        </w:rPr>
        <w:t>–1</w:t>
      </w:r>
      <w:r>
        <w:rPr>
          <w:noProof/>
          <w:lang w:val="it-IT"/>
        </w:rPr>
        <w:t>)</w:t>
      </w:r>
    </w:p>
    <w:p>
      <w:pPr>
        <w:spacing w:after="0"/>
        <w:ind w:left="1560" w:hanging="709"/>
        <w:rPr>
          <w:rFonts w:eastAsia="Arial Unicode MS"/>
          <w:noProof/>
          <w:szCs w:val="24"/>
          <w:lang w:val="it-IT"/>
        </w:rPr>
      </w:pPr>
      <w:r>
        <w:rPr>
          <w:noProof/>
          <w:lang w:val="it-IT"/>
        </w:rPr>
        <w:t>1.2.</w:t>
      </w:r>
      <w:r>
        <w:rPr>
          <w:noProof/>
          <w:lang w:val="it-IT"/>
        </w:rPr>
        <w:tab/>
        <w:t>Procédure d’essai: WHSC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rPr>
      </w:pPr>
      <w:r>
        <w:rPr>
          <w:noProof/>
          <w:lang w:val="it-IT"/>
        </w:rPr>
        <w:t xml:space="preserve">CO: … </w:t>
      </w:r>
      <w:r>
        <w:rPr>
          <w:noProof/>
          <w:lang w:val="it-IT"/>
        </w:rPr>
        <w:tab/>
        <w:t xml:space="preserve">THC: … </w:t>
      </w:r>
      <w:r>
        <w:rPr>
          <w:noProof/>
          <w:lang w:val="it-IT"/>
        </w:rPr>
        <w:tab/>
        <w:t xml:space="preserve">NMHC: … </w:t>
      </w:r>
      <w:r>
        <w:rPr>
          <w:noProof/>
          <w:lang w:val="it-IT"/>
        </w:rPr>
        <w:tab/>
        <w:t>NO</w:t>
      </w:r>
      <w:r>
        <w:rPr>
          <w:noProof/>
          <w:vertAlign w:val="subscript"/>
          <w:lang w:val="it-IT"/>
        </w:rPr>
        <w:t>x</w:t>
      </w:r>
      <w:r>
        <w:rPr>
          <w:noProof/>
          <w:lang w:val="it-IT"/>
        </w:rPr>
        <w:t xml:space="preserve">: … </w:t>
      </w:r>
      <w:r>
        <w:rPr>
          <w:noProof/>
          <w:lang w:val="it-IT"/>
        </w:rPr>
        <w:tab/>
        <w:t>THC + NO</w:t>
      </w:r>
      <w:r>
        <w:rPr>
          <w:noProof/>
          <w:vertAlign w:val="subscript"/>
          <w:lang w:val="it-IT"/>
        </w:rPr>
        <w:t>x</w:t>
      </w:r>
      <w:r>
        <w:rPr>
          <w:noProof/>
          <w:lang w:val="it-IT"/>
        </w:rPr>
        <w:t xml:space="preserve">: … </w:t>
      </w:r>
      <w:r>
        <w:rPr>
          <w:noProof/>
          <w:lang w:val="it-IT"/>
        </w:rPr>
        <w:tab/>
      </w:r>
      <w:r>
        <w:rPr>
          <w:noProof/>
        </w:rPr>
        <w:t>NH</w:t>
      </w:r>
      <w:r>
        <w:rPr>
          <w:noProof/>
          <w:vertAlign w:val="subscript"/>
        </w:rPr>
        <w:t>3</w:t>
      </w:r>
      <w:r>
        <w:rPr>
          <w:noProof/>
        </w:rPr>
        <w:t xml:space="preserve">: … </w:t>
      </w:r>
      <w:r>
        <w:rPr>
          <w:noProof/>
        </w:rPr>
        <w:br/>
        <w:t>Particules (masse): …</w:t>
      </w:r>
      <w:r>
        <w:rPr>
          <w:noProof/>
        </w:rPr>
        <w:tab/>
        <w:t>Particules (nombre): …</w:t>
      </w:r>
    </w:p>
    <w:p>
      <w:pPr>
        <w:spacing w:after="0"/>
        <w:ind w:left="1560" w:hanging="709"/>
        <w:rPr>
          <w:rFonts w:eastAsia="Arial Unicode MS"/>
          <w:noProof/>
          <w:szCs w:val="24"/>
        </w:rPr>
      </w:pPr>
      <w:r>
        <w:rPr>
          <w:noProof/>
        </w:rPr>
        <w:t>2.1.</w:t>
      </w:r>
      <w:r>
        <w:rPr>
          <w:noProof/>
        </w:rPr>
        <w:tab/>
        <w:t>Procédure d’essai: ETC (le cas échéant)</w:t>
      </w:r>
    </w:p>
    <w:p>
      <w:pPr>
        <w:spacing w:after="0"/>
        <w:ind w:left="1560"/>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851" w:firstLine="709"/>
        <w:rPr>
          <w:rFonts w:eastAsia="Arial Unicode MS"/>
          <w:noProof/>
          <w:szCs w:val="24"/>
        </w:rPr>
      </w:pPr>
      <w:r>
        <w:rPr>
          <w:noProof/>
        </w:rPr>
        <w:t>Particules: …</w:t>
      </w:r>
    </w:p>
    <w:p>
      <w:pPr>
        <w:spacing w:after="0"/>
        <w:ind w:left="1560" w:hanging="709"/>
        <w:rPr>
          <w:rFonts w:eastAsia="Arial Unicode MS"/>
          <w:noProof/>
          <w:szCs w:val="24"/>
        </w:rPr>
      </w:pPr>
      <w:r>
        <w:rPr>
          <w:noProof/>
        </w:rPr>
        <w:t>2.2.</w:t>
      </w:r>
      <w:r>
        <w:rPr>
          <w:noProof/>
        </w:rPr>
        <w:tab/>
        <w:t>Procédure d’essai: WHTC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Particules (masse): …</w:t>
      </w:r>
      <w:r>
        <w:rPr>
          <w:noProof/>
        </w:rPr>
        <w:tab/>
        <w:t>Particules (nombre): …</w:t>
      </w:r>
    </w:p>
    <w:p>
      <w:pPr>
        <w:spacing w:after="0"/>
        <w:ind w:left="851" w:hanging="851"/>
        <w:rPr>
          <w:rFonts w:eastAsia="Arial Unicode MS"/>
          <w:noProof/>
          <w:szCs w:val="24"/>
        </w:rPr>
      </w:pPr>
      <w:r>
        <w:rPr>
          <w:noProof/>
        </w:rPr>
        <w:t>48.1.</w:t>
      </w:r>
      <w:r>
        <w:rPr>
          <w:noProof/>
        </w:rPr>
        <w:tab/>
        <w:t>Fumées, valeur corrigée du coefficient d’absorption: … (m</w:t>
      </w:r>
      <w:r>
        <w:rPr>
          <w:noProof/>
          <w:vertAlign w:val="superscript"/>
        </w:rPr>
        <w:t>–1</w:t>
      </w:r>
      <w:r>
        <w:rPr>
          <w:noProof/>
        </w:rPr>
        <w:t>)</w:t>
      </w:r>
    </w:p>
    <w:p>
      <w:pPr>
        <w:spacing w:before="240" w:after="0"/>
        <w:ind w:left="851" w:hanging="851"/>
        <w:rPr>
          <w:rFonts w:eastAsia="Arial Unicode MS"/>
          <w:b/>
          <w:bCs/>
          <w:noProof/>
          <w:szCs w:val="24"/>
        </w:rPr>
      </w:pPr>
      <w:r>
        <w:rPr>
          <w:b/>
          <w:noProof/>
        </w:rPr>
        <w:t xml:space="preserve">Divers </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CATÉGORIES DE VÉHICULES O</w:t>
      </w:r>
      <w:r>
        <w:rPr>
          <w:noProof/>
          <w:vertAlign w:val="subscript"/>
        </w:rPr>
        <w:t>1</w:t>
      </w:r>
      <w:r>
        <w:rPr>
          <w:noProof/>
        </w:rPr>
        <w:t xml:space="preserve"> ET O</w:t>
      </w:r>
      <w:r>
        <w:rPr>
          <w:noProof/>
          <w:vertAlign w:val="subscript"/>
        </w:rPr>
        <w:t>2</w:t>
      </w:r>
    </w:p>
    <w:p>
      <w:pPr>
        <w:jc w:val="center"/>
        <w:rPr>
          <w:rFonts w:eastAsia="Arial Unicode MS"/>
          <w:bCs/>
          <w:noProof/>
          <w:szCs w:val="24"/>
        </w:rPr>
      </w:pPr>
      <w:r>
        <w:rPr>
          <w:noProof/>
        </w:rPr>
        <w:t>(véhicules incomplets)</w:t>
      </w:r>
    </w:p>
    <w:p>
      <w:pPr>
        <w:jc w:val="left"/>
        <w:rPr>
          <w:rFonts w:eastAsia="Arial Unicode MS"/>
          <w:b/>
          <w:bC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before="240" w:after="0"/>
        <w:ind w:left="851" w:hanging="851"/>
        <w:rPr>
          <w:rFonts w:eastAsia="Arial Unicode MS"/>
          <w:noProof/>
          <w:szCs w:val="24"/>
        </w:rPr>
      </w:pPr>
      <w:r>
        <w:rPr>
          <w:b/>
          <w:noProof/>
        </w:rPr>
        <w:t>Dimensions principales</w:t>
      </w:r>
    </w:p>
    <w:p>
      <w:pPr>
        <w:spacing w:after="0"/>
        <w:ind w:left="851" w:hanging="851"/>
        <w:rPr>
          <w:rFonts w:eastAsia="Arial Unicode MS"/>
          <w:noProof/>
          <w:szCs w:val="24"/>
        </w:rPr>
      </w:pPr>
      <w:r>
        <w:rPr>
          <w:noProof/>
        </w:rPr>
        <w:t>4.</w:t>
      </w:r>
      <w:r>
        <w:rPr>
          <w:noProof/>
        </w:rPr>
        <w:tab/>
        <w:t>Empattement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Écartement des essieux:</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Longueur maximale admissible: … mm</w:t>
      </w:r>
    </w:p>
    <w:p>
      <w:pPr>
        <w:spacing w:after="0"/>
        <w:ind w:left="851" w:hanging="851"/>
        <w:rPr>
          <w:rFonts w:eastAsia="Arial Unicode MS"/>
          <w:noProof/>
          <w:szCs w:val="24"/>
        </w:rPr>
      </w:pPr>
      <w:r>
        <w:rPr>
          <w:noProof/>
        </w:rPr>
        <w:t>6.1.</w:t>
      </w:r>
      <w:r>
        <w:rPr>
          <w:noProof/>
        </w:rPr>
        <w:tab/>
        <w:t>Largeur maximale admissible: … mm</w:t>
      </w:r>
    </w:p>
    <w:p>
      <w:pPr>
        <w:spacing w:after="0"/>
        <w:ind w:left="851" w:hanging="851"/>
        <w:rPr>
          <w:rFonts w:eastAsia="Arial Unicode MS"/>
          <w:noProof/>
          <w:szCs w:val="24"/>
        </w:rPr>
      </w:pPr>
      <w:r>
        <w:rPr>
          <w:noProof/>
        </w:rPr>
        <w:t>7.1.</w:t>
      </w:r>
      <w:r>
        <w:rPr>
          <w:noProof/>
        </w:rPr>
        <w:tab/>
        <w:t>Hauteur maximale admissible: … mm</w:t>
      </w:r>
    </w:p>
    <w:p>
      <w:pPr>
        <w:spacing w:after="0"/>
        <w:ind w:left="851" w:hanging="851"/>
        <w:rPr>
          <w:rFonts w:eastAsia="Arial Unicode MS"/>
          <w:noProof/>
          <w:szCs w:val="24"/>
        </w:rPr>
      </w:pPr>
      <w:r>
        <w:rPr>
          <w:noProof/>
        </w:rPr>
        <w:t>10.</w:t>
      </w:r>
      <w:r>
        <w:rPr>
          <w:noProof/>
        </w:rPr>
        <w:tab/>
        <w:t>Distance entre le centre du dispositif d’attelage et l’extrémité arrière du véhicule: … mm</w:t>
      </w:r>
    </w:p>
    <w:p>
      <w:pPr>
        <w:spacing w:after="0"/>
        <w:ind w:left="851" w:hanging="851"/>
        <w:rPr>
          <w:rFonts w:eastAsia="Arial Unicode MS"/>
          <w:noProof/>
          <w:szCs w:val="24"/>
        </w:rPr>
      </w:pPr>
      <w:r>
        <w:rPr>
          <w:noProof/>
        </w:rPr>
        <w:t>12.1.</w:t>
      </w:r>
      <w:r>
        <w:rPr>
          <w:noProof/>
        </w:rPr>
        <w:tab/>
        <w:t>Porte-à-faux arrière maximal admissible: … mm</w:t>
      </w:r>
    </w:p>
    <w:p>
      <w:pPr>
        <w:spacing w:before="240"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14.</w:t>
      </w:r>
      <w:r>
        <w:rPr>
          <w:noProof/>
        </w:rPr>
        <w:tab/>
        <w:t>Masse en ordre de marche du véhicule incomplet: …kg</w:t>
      </w:r>
    </w:p>
    <w:p>
      <w:pPr>
        <w:tabs>
          <w:tab w:val="left" w:pos="5387"/>
        </w:tabs>
        <w:spacing w:after="0"/>
        <w:ind w:left="851" w:hanging="851"/>
        <w:rPr>
          <w:rFonts w:eastAsia="Arial Unicode MS"/>
          <w:noProof/>
          <w:szCs w:val="24"/>
        </w:rPr>
      </w:pPr>
      <w:r>
        <w:rPr>
          <w:noProof/>
        </w:rPr>
        <w:t>14.1.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Masse réelle du véhicule incomplet: …kg</w:t>
      </w:r>
    </w:p>
    <w:p>
      <w:pPr>
        <w:spacing w:after="0"/>
        <w:ind w:left="851" w:hanging="851"/>
        <w:rPr>
          <w:rFonts w:eastAsia="Arial Unicode MS"/>
          <w:noProof/>
          <w:szCs w:val="24"/>
        </w:rPr>
      </w:pPr>
      <w:r>
        <w:rPr>
          <w:noProof/>
        </w:rPr>
        <w:t>15.</w:t>
      </w:r>
      <w:r>
        <w:rPr>
          <w:noProof/>
        </w:rPr>
        <w:tab/>
        <w:t>Masse minimale du véhicule complété: … kg</w:t>
      </w:r>
    </w:p>
    <w:p>
      <w:pPr>
        <w:tabs>
          <w:tab w:val="left" w:pos="5529"/>
        </w:tabs>
        <w:spacing w:after="0"/>
        <w:ind w:left="851" w:hanging="851"/>
        <w:rPr>
          <w:rFonts w:eastAsia="Arial Unicode MS"/>
          <w:noProof/>
          <w:szCs w:val="24"/>
        </w:rPr>
      </w:pPr>
      <w:r>
        <w:rPr>
          <w:noProof/>
        </w:rPr>
        <w:t>15.1.</w:t>
      </w:r>
      <w:r>
        <w:rPr>
          <w:noProof/>
        </w:rPr>
        <w:tab/>
        <w:t xml:space="preserve">Répartition de cette masse entre les essieux: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Masse techniquement admissible sur chaque essieu: </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 xml:space="preserve">Masse techniquement admissible sur chaque groupe d’essieux: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19.1.</w:t>
      </w:r>
      <w:r>
        <w:rPr>
          <w:noProof/>
        </w:rPr>
        <w:tab/>
        <w:t>Masse statique maximale techniquement admissible au point d’attelage d’une semi-remorque ou d’une remorque à essieu central: … kg</w:t>
      </w:r>
    </w:p>
    <w:p>
      <w:pPr>
        <w:spacing w:before="240" w:after="0"/>
        <w:ind w:left="851" w:hanging="851"/>
        <w:rPr>
          <w:rFonts w:eastAsia="Arial Unicode MS"/>
          <w:noProof/>
          <w:szCs w:val="24"/>
        </w:rPr>
      </w:pPr>
      <w:r>
        <w:rPr>
          <w:b/>
          <w:noProof/>
        </w:rPr>
        <w:t>Vitesse maximale</w:t>
      </w:r>
    </w:p>
    <w:p>
      <w:pPr>
        <w:spacing w:after="0"/>
        <w:ind w:left="851" w:hanging="851"/>
        <w:rPr>
          <w:rFonts w:eastAsia="Arial Unicode MS"/>
          <w:noProof/>
          <w:szCs w:val="24"/>
        </w:rPr>
      </w:pPr>
      <w:r>
        <w:rPr>
          <w:noProof/>
        </w:rPr>
        <w:t>29.</w:t>
      </w:r>
      <w:r>
        <w:rPr>
          <w:noProof/>
        </w:rPr>
        <w:tab/>
        <w:t>Vitesse maximale: … km/h</w:t>
      </w:r>
    </w:p>
    <w:p>
      <w:pPr>
        <w:spacing w:before="240" w:after="0"/>
        <w:ind w:left="851" w:hanging="851"/>
        <w:rPr>
          <w:rFonts w:eastAsia="Arial Unicode MS"/>
          <w:noProof/>
          <w:szCs w:val="24"/>
        </w:rPr>
      </w:pPr>
      <w:r>
        <w:rPr>
          <w:b/>
          <w:noProof/>
        </w:rPr>
        <w:t>Essieux et suspension</w:t>
      </w:r>
    </w:p>
    <w:p>
      <w:pPr>
        <w:spacing w:after="0"/>
        <w:ind w:left="851" w:hanging="851"/>
        <w:rPr>
          <w:rFonts w:eastAsia="Arial Unicode MS"/>
          <w:noProof/>
          <w:szCs w:val="24"/>
        </w:rPr>
      </w:pPr>
      <w:r>
        <w:rPr>
          <w:noProof/>
        </w:rPr>
        <w:t>30.1.</w:t>
      </w:r>
      <w:r>
        <w:rPr>
          <w:noProof/>
        </w:rPr>
        <w:tab/>
        <w:t>Voie de chaque essieu directeur: … mm</w:t>
      </w:r>
    </w:p>
    <w:p>
      <w:pPr>
        <w:spacing w:after="0"/>
        <w:ind w:left="851" w:hanging="851"/>
        <w:rPr>
          <w:rFonts w:eastAsia="Arial Unicode MS"/>
          <w:noProof/>
          <w:szCs w:val="24"/>
        </w:rPr>
      </w:pPr>
      <w:r>
        <w:rPr>
          <w:noProof/>
        </w:rPr>
        <w:t>30.2.</w:t>
      </w:r>
      <w:r>
        <w:rPr>
          <w:noProof/>
        </w:rPr>
        <w:tab/>
        <w:t>Voie de tous les autres essieux: … mm</w:t>
      </w:r>
    </w:p>
    <w:p>
      <w:pPr>
        <w:spacing w:after="0"/>
        <w:ind w:left="851" w:hanging="851"/>
        <w:rPr>
          <w:rFonts w:eastAsia="Arial Unicode MS"/>
          <w:noProof/>
          <w:szCs w:val="24"/>
        </w:rPr>
      </w:pPr>
      <w:r>
        <w:rPr>
          <w:noProof/>
        </w:rPr>
        <w:t>31.</w:t>
      </w:r>
      <w:r>
        <w:rPr>
          <w:noProof/>
        </w:rPr>
        <w:tab/>
        <w:t>Emplacement du ou des essieux relevables: …</w:t>
      </w:r>
    </w:p>
    <w:p>
      <w:pPr>
        <w:spacing w:after="0"/>
        <w:ind w:left="851" w:hanging="851"/>
        <w:rPr>
          <w:rFonts w:eastAsia="Arial Unicode MS"/>
          <w:noProof/>
          <w:szCs w:val="24"/>
        </w:rPr>
      </w:pPr>
      <w:r>
        <w:rPr>
          <w:noProof/>
        </w:rPr>
        <w:t>32.</w:t>
      </w:r>
      <w:r>
        <w:rPr>
          <w:noProof/>
        </w:rPr>
        <w:tab/>
        <w:t>Emplacement du ou des essieux chargeables: …</w:t>
      </w:r>
    </w:p>
    <w:p>
      <w:pPr>
        <w:spacing w:after="0"/>
        <w:ind w:left="851" w:hanging="851"/>
        <w:rPr>
          <w:rFonts w:eastAsia="Arial Unicode MS"/>
          <w:noProof/>
          <w:szCs w:val="24"/>
        </w:rPr>
      </w:pPr>
      <w:r>
        <w:rPr>
          <w:noProof/>
        </w:rPr>
        <w:t>34.</w:t>
      </w:r>
      <w:r>
        <w:rPr>
          <w:noProof/>
        </w:rPr>
        <w:tab/>
        <w:t>Essieu(x) équipé(s) d’une suspension pneumatique ou équivalente: oui/non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1" w:hanging="851"/>
        <w:rPr>
          <w:rFonts w:eastAsia="Arial Unicode MS"/>
          <w:noProof/>
          <w:szCs w:val="24"/>
        </w:rPr>
      </w:pPr>
      <w:r>
        <w:rPr>
          <w:b/>
          <w:noProof/>
        </w:rPr>
        <w:t>Dispositif d’attelage</w:t>
      </w:r>
    </w:p>
    <w:p>
      <w:pPr>
        <w:spacing w:after="0"/>
        <w:ind w:left="851" w:hanging="851"/>
        <w:rPr>
          <w:rFonts w:eastAsia="Arial Unicode MS"/>
          <w:noProof/>
          <w:szCs w:val="24"/>
        </w:rPr>
      </w:pPr>
      <w:r>
        <w:rPr>
          <w:noProof/>
        </w:rPr>
        <w:t>44.</w:t>
      </w:r>
      <w:r>
        <w:rPr>
          <w:noProof/>
        </w:rPr>
        <w:tab/>
        <w:t>Numéro de réception ou marque de réception du dispositif d’attelage (le cas échéant): …</w:t>
      </w:r>
    </w:p>
    <w:p>
      <w:pPr>
        <w:spacing w:after="0"/>
        <w:ind w:left="851" w:hanging="851"/>
        <w:rPr>
          <w:rFonts w:eastAsia="Arial Unicode MS"/>
          <w:noProof/>
          <w:szCs w:val="24"/>
        </w:rPr>
      </w:pPr>
      <w:r>
        <w:rPr>
          <w:noProof/>
        </w:rPr>
        <w:t>45.</w:t>
      </w:r>
      <w:r>
        <w:rPr>
          <w:noProof/>
        </w:rPr>
        <w:tab/>
        <w:t>Types ou classes de dispositifs d’attelage pouvant être montés: …</w:t>
      </w:r>
    </w:p>
    <w:p>
      <w:pPr>
        <w:spacing w:after="0"/>
        <w:ind w:left="851" w:hanging="851"/>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1" w:hanging="851"/>
        <w:rPr>
          <w:rFonts w:eastAsia="Arial Unicode MS"/>
          <w:noProof/>
          <w:szCs w:val="24"/>
        </w:rPr>
      </w:pPr>
      <w:r>
        <w:rPr>
          <w:b/>
          <w:noProof/>
        </w:rPr>
        <w:t>Divers</w:t>
      </w:r>
    </w:p>
    <w:p>
      <w:pPr>
        <w:spacing w:after="0"/>
        <w:ind w:left="851" w:hanging="851"/>
        <w:rPr>
          <w:rFonts w:eastAsia="Arial Unicode MS"/>
          <w:noProof/>
          <w:szCs w:val="24"/>
        </w:rPr>
      </w:pPr>
      <w:r>
        <w:rPr>
          <w:noProof/>
        </w:rPr>
        <w:t>52.</w:t>
      </w:r>
      <w:r>
        <w:rPr>
          <w:noProof/>
        </w:rPr>
        <w:tab/>
        <w:t>Remarques (</w:t>
      </w:r>
      <w:r>
        <w:rPr>
          <w:noProof/>
          <w:vertAlign w:val="superscript"/>
        </w:rPr>
        <w:t>n</w:t>
      </w:r>
      <w:r>
        <w:rPr>
          <w:noProof/>
        </w:rPr>
        <w:t>): …</w:t>
      </w:r>
    </w:p>
    <w:p>
      <w:pPr>
        <w:jc w:val="center"/>
        <w:rPr>
          <w:rFonts w:eastAsia="Arial Unicode MS"/>
          <w:bCs/>
          <w:noProof/>
          <w:szCs w:val="24"/>
        </w:rPr>
      </w:pPr>
      <w:r>
        <w:rPr>
          <w:noProof/>
        </w:rPr>
        <w:br w:type="page"/>
        <w:t>PAGE 2</w:t>
      </w:r>
    </w:p>
    <w:p>
      <w:pPr>
        <w:spacing w:before="240" w:after="240"/>
        <w:jc w:val="center"/>
        <w:rPr>
          <w:rFonts w:eastAsia="Arial Unicode MS"/>
          <w:bCs/>
          <w:noProof/>
          <w:szCs w:val="24"/>
        </w:rPr>
      </w:pPr>
      <w:r>
        <w:rPr>
          <w:noProof/>
        </w:rPr>
        <w:t>CATÉGORIES DE VÉHICULES O</w:t>
      </w:r>
      <w:r>
        <w:rPr>
          <w:noProof/>
          <w:vertAlign w:val="subscript"/>
        </w:rPr>
        <w:t>3</w:t>
      </w:r>
      <w:r>
        <w:rPr>
          <w:noProof/>
        </w:rPr>
        <w:t xml:space="preserve"> ET O</w:t>
      </w:r>
      <w:r>
        <w:rPr>
          <w:noProof/>
          <w:vertAlign w:val="subscript"/>
        </w:rPr>
        <w:t>4</w:t>
      </w:r>
    </w:p>
    <w:p>
      <w:pPr>
        <w:jc w:val="center"/>
        <w:rPr>
          <w:rFonts w:eastAsia="Arial Unicode MS"/>
          <w:bCs/>
          <w:noProof/>
          <w:szCs w:val="24"/>
        </w:rPr>
      </w:pPr>
      <w:r>
        <w:rPr>
          <w:noProof/>
        </w:rPr>
        <w:t>(véhicules incomplets)</w:t>
      </w:r>
    </w:p>
    <w:p>
      <w:pPr>
        <w:jc w:val="left"/>
        <w:rPr>
          <w:rFonts w:eastAsia="Arial Unicode MS"/>
          <w:noProof/>
          <w:szCs w:val="24"/>
        </w:rPr>
      </w:pPr>
      <w:r>
        <w:rPr>
          <w:b/>
          <w:i/>
          <w:noProof/>
        </w:rPr>
        <w:t>Page 2</w:t>
      </w:r>
    </w:p>
    <w:p>
      <w:pPr>
        <w:spacing w:before="240"/>
        <w:jc w:val="left"/>
        <w:rPr>
          <w:rFonts w:eastAsia="Arial Unicode MS"/>
          <w:noProof/>
          <w:szCs w:val="24"/>
        </w:rPr>
      </w:pPr>
      <w:r>
        <w:rPr>
          <w:b/>
          <w:noProof/>
        </w:rPr>
        <w:t>Caractéristiques générales de construction</w:t>
      </w:r>
    </w:p>
    <w:p>
      <w:pPr>
        <w:spacing w:after="0"/>
        <w:ind w:left="851" w:hanging="851"/>
        <w:rPr>
          <w:rFonts w:eastAsia="Arial Unicode MS"/>
          <w:noProof/>
          <w:szCs w:val="24"/>
        </w:rPr>
      </w:pPr>
      <w:r>
        <w:rPr>
          <w:noProof/>
        </w:rPr>
        <w:t>1.</w:t>
      </w:r>
      <w:r>
        <w:rPr>
          <w:noProof/>
        </w:rPr>
        <w:tab/>
        <w:t>Nombre d’essieux: … et de roues: …</w:t>
      </w:r>
    </w:p>
    <w:p>
      <w:pPr>
        <w:spacing w:after="0"/>
        <w:ind w:left="851" w:hanging="851"/>
        <w:rPr>
          <w:rFonts w:eastAsia="Arial Unicode MS"/>
          <w:noProof/>
          <w:szCs w:val="24"/>
        </w:rPr>
      </w:pPr>
      <w:r>
        <w:rPr>
          <w:noProof/>
        </w:rPr>
        <w:t>1.1.</w:t>
      </w:r>
      <w:r>
        <w:rPr>
          <w:noProof/>
        </w:rPr>
        <w:tab/>
        <w:t>Nombre et emplacement des essieux à roues jumelées: …</w:t>
      </w:r>
    </w:p>
    <w:p>
      <w:pPr>
        <w:spacing w:after="0"/>
        <w:ind w:left="851" w:hanging="851"/>
        <w:rPr>
          <w:rFonts w:eastAsia="Arial Unicode MS"/>
          <w:noProof/>
          <w:szCs w:val="24"/>
        </w:rPr>
      </w:pPr>
      <w:r>
        <w:rPr>
          <w:noProof/>
        </w:rPr>
        <w:t>2.</w:t>
      </w:r>
      <w:r>
        <w:rPr>
          <w:noProof/>
        </w:rPr>
        <w:tab/>
        <w:t>Essieux directeurs (nombre, emplacement): …</w:t>
      </w:r>
    </w:p>
    <w:p>
      <w:pPr>
        <w:spacing w:before="240" w:after="0"/>
        <w:ind w:left="851" w:hanging="851"/>
        <w:rPr>
          <w:rFonts w:eastAsia="Arial Unicode MS"/>
          <w:noProof/>
          <w:szCs w:val="24"/>
        </w:rPr>
      </w:pPr>
      <w:r>
        <w:rPr>
          <w:b/>
          <w:noProof/>
        </w:rPr>
        <w:t>Masses</w:t>
      </w:r>
    </w:p>
    <w:p>
      <w:pPr>
        <w:spacing w:after="0"/>
        <w:ind w:left="851" w:hanging="851"/>
        <w:rPr>
          <w:rFonts w:eastAsia="Arial Unicode MS"/>
          <w:noProof/>
          <w:szCs w:val="24"/>
        </w:rPr>
      </w:pPr>
      <w:r>
        <w:rPr>
          <w:noProof/>
        </w:rPr>
        <w:t>14.</w:t>
      </w:r>
      <w:r>
        <w:rPr>
          <w:noProof/>
        </w:rPr>
        <w:tab/>
        <w:t>Masse en ordre de marche du véhicule incomplet: …kg</w:t>
      </w:r>
    </w:p>
    <w:p>
      <w:pPr>
        <w:tabs>
          <w:tab w:val="left" w:pos="5387"/>
        </w:tabs>
        <w:spacing w:after="0"/>
        <w:ind w:left="851" w:hanging="851"/>
        <w:rPr>
          <w:rFonts w:eastAsia="Arial Unicode MS"/>
          <w:noProof/>
          <w:szCs w:val="24"/>
        </w:rPr>
      </w:pPr>
      <w:r>
        <w:rPr>
          <w:noProof/>
        </w:rPr>
        <w:t>14.1.</w:t>
      </w:r>
      <w:r>
        <w:rPr>
          <w:noProof/>
        </w:rPr>
        <w:tab/>
        <w:t>Répartition de cette masse entre les essieux:</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Masse réelle du véhicule incomplet: …kg</w:t>
      </w:r>
    </w:p>
    <w:p>
      <w:pPr>
        <w:spacing w:after="0"/>
        <w:ind w:left="851" w:hanging="851"/>
        <w:rPr>
          <w:rFonts w:eastAsia="Arial Unicode MS"/>
          <w:noProof/>
          <w:szCs w:val="24"/>
        </w:rPr>
      </w:pPr>
      <w:r>
        <w:rPr>
          <w:noProof/>
        </w:rPr>
        <w:t>15.</w:t>
      </w:r>
      <w:r>
        <w:rPr>
          <w:noProof/>
        </w:rPr>
        <w:tab/>
        <w:t>Masse minimale du véhicule complété: … kg</w:t>
      </w:r>
    </w:p>
    <w:p>
      <w:pPr>
        <w:tabs>
          <w:tab w:val="left" w:pos="5529"/>
        </w:tabs>
        <w:spacing w:after="0"/>
        <w:ind w:left="851" w:hanging="851"/>
        <w:rPr>
          <w:rFonts w:eastAsia="Arial Unicode MS"/>
          <w:noProof/>
          <w:szCs w:val="24"/>
        </w:rPr>
      </w:pPr>
      <w:r>
        <w:rPr>
          <w:noProof/>
        </w:rPr>
        <w:t>15.1.</w:t>
      </w:r>
      <w:r>
        <w:rPr>
          <w:noProof/>
        </w:rPr>
        <w:tab/>
        <w:t xml:space="preserve">Répartition de cette masse entre les essieux: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Masses maximales techniquement admissibles</w:t>
      </w:r>
    </w:p>
    <w:p>
      <w:pPr>
        <w:spacing w:after="0"/>
        <w:ind w:left="851" w:hanging="851"/>
        <w:rPr>
          <w:rFonts w:eastAsia="Arial Unicode MS"/>
          <w:noProof/>
          <w:szCs w:val="24"/>
        </w:rPr>
      </w:pPr>
      <w:r>
        <w:rPr>
          <w:noProof/>
        </w:rPr>
        <w:t>16.1.</w:t>
      </w:r>
      <w:r>
        <w:rPr>
          <w:noProof/>
        </w:rPr>
        <w:tab/>
        <w:t>Masse en charge maximale techniquement admissible: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Masse techniquement admissible sur chaque essieu: </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16.3.</w:t>
      </w:r>
      <w:r>
        <w:rPr>
          <w:noProof/>
        </w:rPr>
        <w:tab/>
        <w:t xml:space="preserve">Masse techniquement admissible sur chaque groupe d’essieux: </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17.</w:t>
      </w:r>
      <w:r>
        <w:rPr>
          <w:noProof/>
        </w:rPr>
        <w:tab/>
        <w:t>Masses maximales admissibles à l’immatriculation/en service prévues pour le trafic national/international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Masse en charge maximale admissible à l’immatriculation/en service prévue: … kg</w:t>
      </w:r>
    </w:p>
    <w:p>
      <w:pPr>
        <w:spacing w:after="0"/>
        <w:ind w:left="851" w:hanging="840"/>
        <w:rPr>
          <w:rFonts w:eastAsia="Arial Unicode MS"/>
          <w:noProof/>
          <w:szCs w:val="24"/>
        </w:rPr>
      </w:pPr>
      <w:r>
        <w:rPr>
          <w:noProof/>
        </w:rPr>
        <w:t>17.2.</w:t>
      </w:r>
      <w:r>
        <w:rPr>
          <w:noProof/>
        </w:rPr>
        <w:tab/>
        <w:t>Masse en charge maximale admissible à l’immatriculation/en service prévue sur chaque essieu:</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Masse en charge maximale admissible à l’immatriculation/en service prévue sur chaque groupe d’essieux:</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Masse statique maximale techniquement admissible au point d’attelage d’une semi-remorque ou d’une remorque à essieu central: … kg</w:t>
      </w:r>
    </w:p>
    <w:p>
      <w:pPr>
        <w:spacing w:before="240" w:after="0"/>
        <w:ind w:left="850" w:hanging="839"/>
        <w:rPr>
          <w:rFonts w:eastAsia="Arial Unicode MS"/>
          <w:noProof/>
          <w:szCs w:val="24"/>
        </w:rPr>
      </w:pPr>
      <w:r>
        <w:rPr>
          <w:b/>
          <w:noProof/>
        </w:rPr>
        <w:t>Vitesse maximale</w:t>
      </w:r>
    </w:p>
    <w:p>
      <w:pPr>
        <w:spacing w:after="0"/>
        <w:ind w:left="851" w:hanging="840"/>
        <w:rPr>
          <w:rFonts w:eastAsia="Arial Unicode MS"/>
          <w:noProof/>
          <w:szCs w:val="24"/>
        </w:rPr>
      </w:pPr>
      <w:r>
        <w:rPr>
          <w:noProof/>
        </w:rPr>
        <w:t>29.</w:t>
      </w:r>
      <w:r>
        <w:rPr>
          <w:noProof/>
        </w:rPr>
        <w:tab/>
        <w:t>Vitesse maximale: … km/h</w:t>
      </w:r>
    </w:p>
    <w:p>
      <w:pPr>
        <w:spacing w:before="240" w:after="0"/>
        <w:ind w:left="850" w:hanging="839"/>
        <w:rPr>
          <w:rFonts w:eastAsia="Arial Unicode MS"/>
          <w:noProof/>
          <w:szCs w:val="24"/>
        </w:rPr>
      </w:pPr>
      <w:r>
        <w:rPr>
          <w:b/>
          <w:noProof/>
        </w:rPr>
        <w:t>Essieux et suspension</w:t>
      </w:r>
    </w:p>
    <w:p>
      <w:pPr>
        <w:spacing w:after="0"/>
        <w:ind w:left="851" w:hanging="840"/>
        <w:rPr>
          <w:rFonts w:eastAsia="Arial Unicode MS"/>
          <w:noProof/>
          <w:szCs w:val="24"/>
        </w:rPr>
      </w:pPr>
      <w:r>
        <w:rPr>
          <w:noProof/>
        </w:rPr>
        <w:t>31.</w:t>
      </w:r>
      <w:r>
        <w:rPr>
          <w:noProof/>
        </w:rPr>
        <w:tab/>
        <w:t>Emplacement du ou des essieux relevables: …</w:t>
      </w:r>
    </w:p>
    <w:p>
      <w:pPr>
        <w:spacing w:after="0"/>
        <w:ind w:left="851" w:hanging="840"/>
        <w:rPr>
          <w:rFonts w:eastAsia="Arial Unicode MS"/>
          <w:noProof/>
          <w:szCs w:val="24"/>
        </w:rPr>
      </w:pPr>
      <w:r>
        <w:rPr>
          <w:noProof/>
        </w:rPr>
        <w:t>32.</w:t>
      </w:r>
      <w:r>
        <w:rPr>
          <w:noProof/>
        </w:rPr>
        <w:tab/>
        <w:t>Emplacement du ou des essieux chargeables: …</w:t>
      </w:r>
    </w:p>
    <w:p>
      <w:pPr>
        <w:spacing w:after="0"/>
        <w:ind w:left="851" w:hanging="840"/>
        <w:rPr>
          <w:rFonts w:eastAsia="Arial Unicode MS"/>
          <w:noProof/>
          <w:szCs w:val="24"/>
        </w:rPr>
      </w:pPr>
      <w:r>
        <w:rPr>
          <w:noProof/>
        </w:rPr>
        <w:t>34.</w:t>
      </w:r>
      <w:r>
        <w:rPr>
          <w:noProof/>
        </w:rPr>
        <w:tab/>
        <w:t>Essieu(x) équipé(s) d’une suspension pneumatique ou équivalente: oui/non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Combinaison pneumatiques/roues (</w:t>
      </w:r>
      <w:r>
        <w:rPr>
          <w:noProof/>
          <w:vertAlign w:val="superscript"/>
        </w:rPr>
        <w:t>h</w:t>
      </w:r>
      <w:r>
        <w:rPr>
          <w:noProof/>
        </w:rPr>
        <w:t>): …</w:t>
      </w:r>
    </w:p>
    <w:p>
      <w:pPr>
        <w:spacing w:before="240" w:after="0"/>
        <w:ind w:left="850" w:hanging="839"/>
        <w:rPr>
          <w:rFonts w:eastAsia="Arial Unicode MS"/>
          <w:noProof/>
          <w:szCs w:val="24"/>
        </w:rPr>
      </w:pPr>
      <w:r>
        <w:rPr>
          <w:b/>
          <w:noProof/>
        </w:rPr>
        <w:t>Dispositif d’attelage</w:t>
      </w:r>
    </w:p>
    <w:p>
      <w:pPr>
        <w:spacing w:after="0"/>
        <w:ind w:left="851" w:hanging="840"/>
        <w:rPr>
          <w:rFonts w:eastAsia="Arial Unicode MS"/>
          <w:noProof/>
          <w:szCs w:val="24"/>
        </w:rPr>
      </w:pPr>
      <w:r>
        <w:rPr>
          <w:noProof/>
        </w:rPr>
        <w:t>44.</w:t>
      </w:r>
      <w:r>
        <w:rPr>
          <w:noProof/>
        </w:rPr>
        <w:tab/>
        <w:t>Numéro de réception ou marque de réception du dispositif d’attelage (le cas échéant): …</w:t>
      </w:r>
    </w:p>
    <w:p>
      <w:pPr>
        <w:spacing w:after="0"/>
        <w:ind w:left="851" w:hanging="840"/>
        <w:rPr>
          <w:rFonts w:eastAsia="Arial Unicode MS"/>
          <w:noProof/>
          <w:szCs w:val="24"/>
        </w:rPr>
      </w:pPr>
      <w:r>
        <w:rPr>
          <w:noProof/>
        </w:rPr>
        <w:t>45.</w:t>
      </w:r>
      <w:r>
        <w:rPr>
          <w:noProof/>
        </w:rPr>
        <w:tab/>
        <w:t>Types ou classes de dispositifs d’attelage pouvant être montés: …</w:t>
      </w:r>
    </w:p>
    <w:p>
      <w:pPr>
        <w:spacing w:after="0"/>
        <w:ind w:left="851" w:hanging="840"/>
        <w:rPr>
          <w:rFonts w:eastAsia="Arial Unicode MS"/>
          <w:noProof/>
          <w:szCs w:val="24"/>
        </w:rPr>
      </w:pPr>
      <w:r>
        <w:rPr>
          <w:noProof/>
        </w:rPr>
        <w:t>45.1.</w:t>
      </w:r>
      <w:r>
        <w:rPr>
          <w:noProof/>
        </w:rPr>
        <w:tab/>
        <w:t>Valeurs caractéristiques (</w:t>
      </w:r>
      <w:r>
        <w:rPr>
          <w:noProof/>
          <w:vertAlign w:val="superscript"/>
        </w:rPr>
        <w:t>1</w:t>
      </w:r>
      <w:r>
        <w:rPr>
          <w:noProof/>
        </w:rPr>
        <w:t>): D: …/ V: …/ S: …/ U: …</w:t>
      </w:r>
    </w:p>
    <w:p>
      <w:pPr>
        <w:spacing w:before="240" w:after="0"/>
        <w:ind w:left="850" w:hanging="839"/>
        <w:rPr>
          <w:rFonts w:eastAsia="Arial Unicode MS"/>
          <w:noProof/>
          <w:szCs w:val="24"/>
        </w:rPr>
      </w:pPr>
      <w:r>
        <w:rPr>
          <w:b/>
          <w:noProof/>
        </w:rPr>
        <w:t>Divers</w:t>
      </w:r>
    </w:p>
    <w:p>
      <w:pPr>
        <w:spacing w:after="0"/>
        <w:ind w:left="851" w:hanging="840"/>
        <w:rPr>
          <w:rFonts w:eastAsia="Arial Unicode MS"/>
          <w:noProof/>
          <w:szCs w:val="24"/>
        </w:rPr>
      </w:pPr>
      <w:r>
        <w:rPr>
          <w:noProof/>
        </w:rPr>
        <w:t>52.</w:t>
      </w:r>
      <w:r>
        <w:rPr>
          <w:noProof/>
        </w:rPr>
        <w:tab/>
        <w:t>Remarques (</w:t>
      </w:r>
      <w:r>
        <w:rPr>
          <w:noProof/>
          <w:vertAlign w:val="superscript"/>
        </w:rPr>
        <w:t>n</w:t>
      </w:r>
      <w:r>
        <w:rPr>
          <w:noProof/>
        </w:rPr>
        <w:t>): …</w:t>
      </w:r>
    </w:p>
    <w:p>
      <w:pPr>
        <w:jc w:val="left"/>
        <w:rPr>
          <w:rFonts w:eastAsia="Arial Unicode MS"/>
          <w:bCs/>
          <w:noProof/>
          <w:szCs w:val="24"/>
        </w:rPr>
      </w:pPr>
      <w:r>
        <w:rPr>
          <w:noProof/>
        </w:rPr>
        <w:br w:type="page"/>
      </w:r>
      <w:r>
        <w:rPr>
          <w:b/>
          <w:noProof/>
        </w:rPr>
        <w:t>Notes explicatives</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Cs w:val="24"/>
              </w:rPr>
            </w:pPr>
            <w:r>
              <w:rPr>
                <w:noProof/>
                <w:sz w:val="22"/>
              </w:rPr>
              <w:t>Supprimer les mentions inutiles.</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a</w:t>
            </w:r>
            <w:r>
              <w:rPr>
                <w:noProof/>
                <w:sz w:val="22"/>
              </w:rPr>
              <w:t>)</w:t>
            </w:r>
          </w:p>
        </w:tc>
        <w:tc>
          <w:tcPr>
            <w:tcW w:w="4697" w:type="pct"/>
            <w:hideMark/>
          </w:tcPr>
          <w:p>
            <w:pPr>
              <w:spacing w:before="60" w:after="0"/>
              <w:rPr>
                <w:rFonts w:eastAsia="Arial Unicode MS"/>
                <w:noProof/>
                <w:szCs w:val="24"/>
              </w:rPr>
            </w:pPr>
            <w:r>
              <w:rPr>
                <w:noProof/>
                <w:sz w:val="22"/>
              </w:rPr>
              <w:t>Préciser le code d’identification.</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b</w:t>
            </w:r>
            <w:r>
              <w:rPr>
                <w:noProof/>
                <w:sz w:val="22"/>
              </w:rPr>
              <w:t>)</w:t>
            </w:r>
          </w:p>
        </w:tc>
        <w:tc>
          <w:tcPr>
            <w:tcW w:w="4697" w:type="pct"/>
            <w:hideMark/>
          </w:tcPr>
          <w:p>
            <w:pPr>
              <w:spacing w:before="60" w:after="0"/>
              <w:rPr>
                <w:rFonts w:eastAsia="Arial Unicode MS"/>
                <w:noProof/>
                <w:szCs w:val="24"/>
              </w:rPr>
            </w:pPr>
            <w:r>
              <w:rPr>
                <w:noProof/>
                <w:sz w:val="22"/>
              </w:rPr>
              <w:t>Indiquer si le véhicule est adapté à la circulation à droite et/ou à la circulation à gauche, ou aux deux.</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c</w:t>
            </w:r>
            <w:r>
              <w:rPr>
                <w:noProof/>
                <w:sz w:val="22"/>
              </w:rPr>
              <w:t>)</w:t>
            </w:r>
          </w:p>
        </w:tc>
        <w:tc>
          <w:tcPr>
            <w:tcW w:w="4697" w:type="pct"/>
            <w:hideMark/>
          </w:tcPr>
          <w:p>
            <w:pPr>
              <w:spacing w:before="60" w:after="0"/>
              <w:rPr>
                <w:rFonts w:eastAsia="Arial Unicode MS"/>
                <w:noProof/>
                <w:szCs w:val="24"/>
              </w:rPr>
            </w:pPr>
            <w:r>
              <w:rPr>
                <w:noProof/>
                <w:sz w:val="22"/>
              </w:rPr>
              <w:t>Indiquer si l’indicateur de vitesse exprime des kilomètres/heure et/ou des miles/heure.</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d</w:t>
            </w:r>
            <w:r>
              <w:rPr>
                <w:noProof/>
                <w:sz w:val="22"/>
              </w:rPr>
              <w:t>)</w:t>
            </w:r>
          </w:p>
        </w:tc>
        <w:tc>
          <w:tcPr>
            <w:tcW w:w="4697" w:type="pct"/>
            <w:hideMark/>
          </w:tcPr>
          <w:p>
            <w:pPr>
              <w:spacing w:before="60" w:after="0"/>
              <w:rPr>
                <w:rFonts w:eastAsia="Arial Unicode MS"/>
                <w:noProof/>
                <w:szCs w:val="24"/>
              </w:rPr>
            </w:pPr>
            <w:r>
              <w:rPr>
                <w:noProof/>
                <w:sz w:val="22"/>
              </w:rPr>
              <w:t>Cette déclaration ne limite pas le droit d’un État membre d’exiger des adaptations techniques pour l’immatriculation d’un véhicule dans un État membre autre que celui auquel il était destiné et où les véhicules roulent de l’autre côté de la chaussée.</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e</w:t>
            </w:r>
            <w:r>
              <w:rPr>
                <w:noProof/>
                <w:sz w:val="22"/>
              </w:rPr>
              <w:t>)</w:t>
            </w:r>
          </w:p>
        </w:tc>
        <w:tc>
          <w:tcPr>
            <w:tcW w:w="4697" w:type="pct"/>
            <w:hideMark/>
          </w:tcPr>
          <w:p>
            <w:pPr>
              <w:spacing w:before="60" w:after="0"/>
              <w:rPr>
                <w:rFonts w:eastAsia="Arial Unicode MS"/>
                <w:noProof/>
                <w:szCs w:val="24"/>
              </w:rPr>
            </w:pPr>
            <w:r>
              <w:rPr>
                <w:noProof/>
                <w:sz w:val="22"/>
              </w:rPr>
              <w:t>Les entrées 4 et 4.1 sont à compléter conformément aux définitions de l’empattement et de l’écartement des essieux figurant respectivement aux points 25 et 26 de l’article 2 du règlement (UE) n</w:t>
            </w:r>
            <w:r>
              <w:rPr>
                <w:noProof/>
                <w:sz w:val="22"/>
                <w:vertAlign w:val="superscript"/>
              </w:rPr>
              <w:t>o</w:t>
            </w:r>
            <w:r>
              <w:rPr>
                <w:noProof/>
                <w:sz w:val="22"/>
              </w:rPr>
              <w:t> 1230/2012.</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g</w:t>
            </w:r>
            <w:r>
              <w:rPr>
                <w:noProof/>
                <w:sz w:val="22"/>
              </w:rPr>
              <w:t>)</w:t>
            </w:r>
          </w:p>
        </w:tc>
        <w:tc>
          <w:tcPr>
            <w:tcW w:w="4697" w:type="pct"/>
            <w:hideMark/>
          </w:tcPr>
          <w:p>
            <w:pPr>
              <w:spacing w:before="60" w:after="0"/>
              <w:rPr>
                <w:rFonts w:eastAsia="Arial Unicode MS"/>
                <w:noProof/>
                <w:szCs w:val="24"/>
              </w:rPr>
            </w:pPr>
            <w:r>
              <w:rPr>
                <w:noProof/>
                <w:sz w:val="22"/>
              </w:rPr>
              <w:t>Pour les véhicules électriques hybrides, indiquer les deux puissances délivrées.</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h</w:t>
            </w:r>
            <w:r>
              <w:rPr>
                <w:noProof/>
                <w:sz w:val="22"/>
              </w:rPr>
              <w:t>)</w:t>
            </w:r>
          </w:p>
        </w:tc>
        <w:tc>
          <w:tcPr>
            <w:tcW w:w="4697" w:type="pct"/>
            <w:hideMark/>
          </w:tcPr>
          <w:p>
            <w:pPr>
              <w:spacing w:before="60" w:after="0"/>
              <w:rPr>
                <w:rFonts w:eastAsia="Arial Unicode MS"/>
                <w:noProof/>
                <w:szCs w:val="24"/>
              </w:rPr>
            </w:pPr>
            <w:r>
              <w:rPr>
                <w:noProof/>
                <w:sz w:val="22"/>
              </w:rPr>
              <w:t>Les équipements en option peuvent être ajoutés sous le point 52 «Remarques».</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i</w:t>
            </w:r>
            <w:r>
              <w:rPr>
                <w:noProof/>
                <w:sz w:val="22"/>
              </w:rPr>
              <w:t>)</w:t>
            </w:r>
          </w:p>
        </w:tc>
        <w:tc>
          <w:tcPr>
            <w:tcW w:w="4697" w:type="pct"/>
            <w:hideMark/>
          </w:tcPr>
          <w:p>
            <w:pPr>
              <w:spacing w:before="60" w:after="0"/>
              <w:rPr>
                <w:rFonts w:eastAsia="Arial Unicode MS"/>
                <w:noProof/>
                <w:szCs w:val="24"/>
              </w:rPr>
            </w:pPr>
            <w:r>
              <w:rPr>
                <w:noProof/>
                <w:sz w:val="22"/>
              </w:rPr>
              <w:t>Il convient d’utiliser les codes définis dans la partie C de l’annexe II.</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j</w:t>
            </w:r>
            <w:r>
              <w:rPr>
                <w:noProof/>
                <w:sz w:val="22"/>
              </w:rPr>
              <w:t>)</w:t>
            </w:r>
          </w:p>
        </w:tc>
        <w:tc>
          <w:tcPr>
            <w:tcW w:w="4697" w:type="pct"/>
            <w:hideMark/>
          </w:tcPr>
          <w:p>
            <w:pPr>
              <w:spacing w:before="60" w:after="0"/>
              <w:rPr>
                <w:rFonts w:eastAsia="Arial Unicode MS"/>
                <w:noProof/>
                <w:szCs w:val="24"/>
              </w:rPr>
            </w:pPr>
            <w:r>
              <w:rPr>
                <w:noProof/>
                <w:sz w:val="22"/>
              </w:rPr>
              <w:t>N’indiquer que la ou les couleurs de base, comme suit: blanc, jaune, orange, rouge, violet, bleu, vert, gris, brun ou noir.</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k</w:t>
            </w:r>
            <w:r>
              <w:rPr>
                <w:noProof/>
                <w:sz w:val="22"/>
              </w:rPr>
              <w:t>)</w:t>
            </w:r>
          </w:p>
        </w:tc>
        <w:tc>
          <w:tcPr>
            <w:tcW w:w="4697" w:type="pct"/>
            <w:hideMark/>
          </w:tcPr>
          <w:p>
            <w:pPr>
              <w:spacing w:before="60" w:after="0"/>
              <w:rPr>
                <w:rFonts w:eastAsia="Arial Unicode MS"/>
                <w:noProof/>
                <w:szCs w:val="24"/>
              </w:rPr>
            </w:pPr>
            <w:r>
              <w:rPr>
                <w:noProof/>
                <w:sz w:val="22"/>
              </w:rPr>
              <w:t>À l’exclusion des sièges destinés à n’être utilisés que lorsque le véhicule est à l’arrêt et à l’exclusion du nombre de places pour fauteuil roulant.</w:t>
            </w:r>
          </w:p>
          <w:p>
            <w:pPr>
              <w:spacing w:before="60" w:after="0"/>
              <w:rPr>
                <w:rFonts w:eastAsia="Arial Unicode MS"/>
                <w:noProof/>
                <w:szCs w:val="24"/>
              </w:rPr>
            </w:pPr>
            <w:r>
              <w:rPr>
                <w:noProof/>
                <w:sz w:val="22"/>
              </w:rPr>
              <w:t>Pour les autocars relevant de la catégorie de véhicules M</w:t>
            </w:r>
            <w:r>
              <w:rPr>
                <w:noProof/>
                <w:sz w:val="22"/>
                <w:vertAlign w:val="subscript"/>
              </w:rPr>
              <w:t>3</w:t>
            </w:r>
            <w:r>
              <w:rPr>
                <w:noProof/>
                <w:sz w:val="22"/>
              </w:rPr>
              <w:t>, le nombre de convoyeurs est inclus dans le nombre de passagers.</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l</w:t>
            </w:r>
            <w:r>
              <w:rPr>
                <w:noProof/>
                <w:sz w:val="22"/>
              </w:rPr>
              <w:t>)</w:t>
            </w:r>
          </w:p>
        </w:tc>
        <w:tc>
          <w:tcPr>
            <w:tcW w:w="4697" w:type="pct"/>
            <w:hideMark/>
          </w:tcPr>
          <w:p>
            <w:pPr>
              <w:spacing w:before="60" w:after="0"/>
              <w:rPr>
                <w:rFonts w:eastAsia="Arial Unicode MS"/>
                <w:noProof/>
                <w:szCs w:val="24"/>
              </w:rPr>
            </w:pPr>
            <w:r>
              <w:rPr>
                <w:noProof/>
                <w:sz w:val="22"/>
              </w:rPr>
              <w:t>Ajouter le numéro du niveau Euro et le caractère correspondant aux dispositions utilisées pour la réception par type.</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m</w:t>
            </w:r>
            <w:r>
              <w:rPr>
                <w:noProof/>
                <w:sz w:val="22"/>
              </w:rPr>
              <w:t>)</w:t>
            </w:r>
          </w:p>
        </w:tc>
        <w:tc>
          <w:tcPr>
            <w:tcW w:w="4697" w:type="pct"/>
            <w:hideMark/>
          </w:tcPr>
          <w:p>
            <w:pPr>
              <w:spacing w:before="60" w:after="0"/>
              <w:rPr>
                <w:rFonts w:eastAsia="Arial Unicode MS"/>
                <w:noProof/>
                <w:szCs w:val="24"/>
              </w:rPr>
            </w:pPr>
            <w:r>
              <w:rPr>
                <w:noProof/>
                <w:sz w:val="22"/>
              </w:rPr>
              <w:t>Répéter pour les différents carburants qui peuvent être utilisés. Les véhicules qui peuvent utiliser à la fois de l’essence et un carburant gazeux, mais pour lesquels le système à essence sert pour les cas d’urgence ou pour le démarrage uniquement et dont le réservoir d’essence ne peut pas contenir plus de 15 litres d’essence seront considérés comme des véhicules qui peuvent utiliser seulement un carburant gazeux.</w:t>
            </w:r>
          </w:p>
        </w:tc>
      </w:tr>
      <w:tr>
        <w:trPr>
          <w:tblCellSpacing w:w="0" w:type="dxa"/>
        </w:trPr>
        <w:tc>
          <w:tcPr>
            <w:tcW w:w="303" w:type="pct"/>
          </w:tcPr>
          <w:p>
            <w:pPr>
              <w:spacing w:after="0"/>
              <w:rPr>
                <w:rFonts w:eastAsia="Times New Roman"/>
                <w:noProof/>
                <w:szCs w:val="24"/>
              </w:rPr>
            </w:pPr>
            <w:r>
              <w:rPr>
                <w:noProof/>
              </w:rPr>
              <w:t>(</w:t>
            </w:r>
            <w:r>
              <w:rPr>
                <w:noProof/>
                <w:vertAlign w:val="superscript"/>
              </w:rPr>
              <w:t>m1</w:t>
            </w:r>
            <w:r>
              <w:rPr>
                <w:noProof/>
              </w:rPr>
              <w:t>)</w:t>
            </w:r>
          </w:p>
        </w:tc>
        <w:tc>
          <w:tcPr>
            <w:tcW w:w="4697" w:type="pct"/>
          </w:tcPr>
          <w:p>
            <w:pPr>
              <w:spacing w:after="0"/>
              <w:rPr>
                <w:rFonts w:eastAsia="Times New Roman"/>
                <w:noProof/>
              </w:rPr>
            </w:pPr>
            <w:r>
              <w:rPr>
                <w:noProof/>
                <w:sz w:val="22"/>
              </w:rPr>
              <w:t>Dans le cas des moteurs et véhicules à double carburant EURO VI, répéter si nécessaire.</w:t>
            </w:r>
          </w:p>
        </w:tc>
      </w:tr>
      <w:tr>
        <w:trPr>
          <w:tblCellSpacing w:w="0" w:type="dxa"/>
        </w:trPr>
        <w:tc>
          <w:tcPr>
            <w:tcW w:w="303" w:type="pct"/>
          </w:tcPr>
          <w:p>
            <w:pPr>
              <w:spacing w:after="0"/>
              <w:rPr>
                <w:rFonts w:eastAsia="Times New Roman"/>
                <w:noProof/>
                <w:szCs w:val="24"/>
              </w:rPr>
            </w:pPr>
            <w:r>
              <w:rPr>
                <w:noProof/>
              </w:rPr>
              <w:t>(</w:t>
            </w:r>
            <w:r>
              <w:rPr>
                <w:noProof/>
                <w:vertAlign w:val="superscript"/>
              </w:rPr>
              <w:t>m2</w:t>
            </w:r>
            <w:r>
              <w:rPr>
                <w:noProof/>
              </w:rPr>
              <w:t>)</w:t>
            </w:r>
          </w:p>
        </w:tc>
        <w:tc>
          <w:tcPr>
            <w:tcW w:w="4697" w:type="pct"/>
          </w:tcPr>
          <w:p>
            <w:pPr>
              <w:spacing w:after="0"/>
              <w:rPr>
                <w:rFonts w:eastAsia="Times New Roman"/>
                <w:noProof/>
              </w:rPr>
            </w:pPr>
            <w:r>
              <w:rPr>
                <w:noProof/>
                <w:sz w:val="22"/>
              </w:rPr>
              <w:t>Seules les émissions qui ont été évaluées conformément aux actes réglementaires applicables seront indiquées.</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n</w:t>
            </w:r>
            <w:r>
              <w:rPr>
                <w:noProof/>
                <w:sz w:val="22"/>
              </w:rPr>
              <w:t>)</w:t>
            </w:r>
          </w:p>
        </w:tc>
        <w:tc>
          <w:tcPr>
            <w:tcW w:w="4697" w:type="pct"/>
            <w:hideMark/>
          </w:tcPr>
          <w:p>
            <w:pPr>
              <w:spacing w:before="60" w:after="0"/>
              <w:rPr>
                <w:rFonts w:eastAsia="Arial Unicode MS"/>
                <w:noProof/>
                <w:szCs w:val="24"/>
              </w:rPr>
            </w:pPr>
            <w:r>
              <w:rPr>
                <w:noProof/>
                <w:sz w:val="22"/>
              </w:rPr>
              <w:t>Lorsque le véhicule est équipé d’un système radar à courte portée de 24 GHz conformément à la décision 2005/50/CE de la Commission</w:t>
            </w:r>
            <w:r>
              <w:rPr>
                <w:rStyle w:val="FootnoteReference"/>
                <w:noProof/>
                <w:sz w:val="22"/>
              </w:rPr>
              <w:footnoteReference w:id="31"/>
            </w:r>
            <w:r>
              <w:rPr>
                <w:noProof/>
                <w:sz w:val="22"/>
              </w:rPr>
              <w:t>, le constructeur doit indiquer ici: «Véhicule équipé d’un système radar à courte portée de 24 GHz».</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o</w:t>
            </w:r>
            <w:r>
              <w:rPr>
                <w:noProof/>
                <w:sz w:val="22"/>
              </w:rPr>
              <w:t>)</w:t>
            </w:r>
          </w:p>
        </w:tc>
        <w:tc>
          <w:tcPr>
            <w:tcW w:w="4697" w:type="pct"/>
            <w:hideMark/>
          </w:tcPr>
          <w:p>
            <w:pPr>
              <w:spacing w:before="60" w:after="0"/>
              <w:rPr>
                <w:rFonts w:eastAsia="Arial Unicode MS"/>
                <w:noProof/>
                <w:szCs w:val="24"/>
              </w:rPr>
            </w:pPr>
            <w:r>
              <w:rPr>
                <w:noProof/>
                <w:sz w:val="22"/>
              </w:rPr>
              <w:t>Le constructeur peut compléter ces entrées soit pour le trafic international, soit pour le trafic national, ou encore pour les deux.</w:t>
            </w:r>
          </w:p>
          <w:p>
            <w:pPr>
              <w:spacing w:before="60" w:after="0"/>
              <w:rPr>
                <w:rFonts w:eastAsia="Arial Unicode MS"/>
                <w:noProof/>
                <w:szCs w:val="24"/>
              </w:rPr>
            </w:pPr>
            <w:r>
              <w:rPr>
                <w:noProof/>
                <w:sz w:val="22"/>
              </w:rPr>
              <w:t>Pour le trafic national, l’entrée mentionne le code du pays où l’immatriculation du véhicule est prévue. Le code se conforme à la norme ISO 3166-1: 2006.</w:t>
            </w:r>
          </w:p>
          <w:p>
            <w:pPr>
              <w:spacing w:before="60" w:after="0"/>
              <w:rPr>
                <w:rFonts w:eastAsia="Arial Unicode MS"/>
                <w:noProof/>
                <w:szCs w:val="24"/>
              </w:rPr>
            </w:pPr>
            <w:r>
              <w:rPr>
                <w:noProof/>
                <w:sz w:val="22"/>
              </w:rPr>
              <w:t>Pour le trafic international, l’entrée mentionne le numéro de directive (par exemple: «96/53/CE» pour la directive 96/53/CE du Conseil).</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p</w:t>
            </w:r>
            <w:r>
              <w:rPr>
                <w:noProof/>
                <w:sz w:val="22"/>
              </w:rPr>
              <w:t>)</w:t>
            </w:r>
          </w:p>
        </w:tc>
        <w:tc>
          <w:tcPr>
            <w:tcW w:w="0" w:type="auto"/>
            <w:hideMark/>
          </w:tcPr>
          <w:p>
            <w:pPr>
              <w:spacing w:before="60" w:after="0"/>
              <w:rPr>
                <w:rFonts w:eastAsia="Arial Unicode MS"/>
                <w:noProof/>
                <w:szCs w:val="24"/>
              </w:rPr>
            </w:pPr>
            <w:r>
              <w:rPr>
                <w:noProof/>
                <w:sz w:val="22"/>
              </w:rPr>
              <w:t>Eco-innovations.</w:t>
            </w:r>
          </w:p>
        </w:tc>
      </w:tr>
      <w:tr>
        <w:trPr>
          <w:tblCellSpacing w:w="0" w:type="dxa"/>
        </w:trPr>
        <w:tc>
          <w:tcPr>
            <w:tcW w:w="303" w:type="pct"/>
            <w:hideMark/>
          </w:tcPr>
          <w:p>
            <w:pPr>
              <w:spacing w:before="60" w:after="0"/>
              <w:jc w:val="left"/>
              <w:rPr>
                <w:rFonts w:eastAsia="Arial Unicode MS"/>
                <w:noProof/>
                <w:sz w:val="20"/>
                <w:szCs w:val="20"/>
              </w:rPr>
            </w:pPr>
            <w:r>
              <w:rPr>
                <w:noProof/>
                <w:sz w:val="20"/>
                <w:szCs w:val="20"/>
              </w:rPr>
              <w:t>(</w:t>
            </w:r>
            <w:r>
              <w:rPr>
                <w:noProof/>
                <w:sz w:val="20"/>
                <w:szCs w:val="20"/>
                <w:vertAlign w:val="superscript"/>
              </w:rPr>
              <w:t>p1</w:t>
            </w:r>
            <w:r>
              <w:rPr>
                <w:noProof/>
                <w:sz w:val="20"/>
                <w:szCs w:val="20"/>
              </w:rPr>
              <w:t>)</w:t>
            </w:r>
          </w:p>
        </w:tc>
        <w:tc>
          <w:tcPr>
            <w:tcW w:w="0" w:type="auto"/>
            <w:hideMark/>
          </w:tcPr>
          <w:p>
            <w:pPr>
              <w:spacing w:before="60" w:after="0"/>
              <w:rPr>
                <w:rFonts w:eastAsia="Arial Unicode MS"/>
                <w:noProof/>
                <w:sz w:val="22"/>
              </w:rPr>
            </w:pPr>
            <w:r>
              <w:rPr>
                <w:noProof/>
                <w:sz w:val="22"/>
              </w:rPr>
              <w:t>Le code général des éco-innovations se compose des éléments suivants, séparés par un espace:</w:t>
            </w:r>
          </w:p>
          <w:p>
            <w:pPr>
              <w:spacing w:before="60" w:after="0"/>
              <w:ind w:left="425" w:hanging="380"/>
              <w:rPr>
                <w:rFonts w:eastAsia="Arial Unicode MS"/>
                <w:noProof/>
                <w:sz w:val="22"/>
              </w:rPr>
            </w:pPr>
            <w:r>
              <w:rPr>
                <w:noProof/>
                <w:sz w:val="22"/>
              </w:rPr>
              <w:t>–</w:t>
            </w:r>
            <w:r>
              <w:rPr>
                <w:noProof/>
                <w:sz w:val="22"/>
              </w:rPr>
              <w:tab/>
              <w:t>code de l’autorité compétente en matière de réception tel qu’indiqué dans l’annexe VII;</w:t>
            </w:r>
          </w:p>
          <w:p>
            <w:pPr>
              <w:spacing w:before="60" w:after="0"/>
              <w:ind w:left="425" w:hanging="380"/>
              <w:rPr>
                <w:rFonts w:eastAsia="Arial Unicode MS"/>
                <w:noProof/>
                <w:sz w:val="22"/>
              </w:rPr>
            </w:pPr>
            <w:r>
              <w:rPr>
                <w:noProof/>
                <w:sz w:val="22"/>
              </w:rPr>
              <w:t>–</w:t>
            </w:r>
            <w:r>
              <w:rPr>
                <w:noProof/>
                <w:sz w:val="22"/>
              </w:rPr>
              <w:tab/>
              <w:t>code individuel de chacune des éco-innovations dont le véhicule est pourvu, indiquées dans l’ordre chronologique des décisions de la Commission les approuvant.</w:t>
            </w:r>
          </w:p>
          <w:p>
            <w:pPr>
              <w:spacing w:before="60" w:after="0"/>
              <w:ind w:left="425" w:hanging="380"/>
              <w:rPr>
                <w:rFonts w:eastAsia="Arial Unicode MS"/>
                <w:noProof/>
                <w:sz w:val="20"/>
                <w:szCs w:val="20"/>
              </w:rPr>
            </w:pPr>
            <w:r>
              <w:rPr>
                <w:noProof/>
                <w:sz w:val="22"/>
              </w:rPr>
              <w:t>–</w:t>
            </w:r>
            <w:r>
              <w:rPr>
                <w:noProof/>
                <w:sz w:val="22"/>
              </w:rPr>
              <w:tab/>
              <w:t>(Par exemple, le code général de trois éco-innovations approuvées chronologiquement comme 10, 15 et 16 et montées sur un véhicule certifié par l’autorité allemande compétente en matière de réception serait: «e1 10 15 16».)</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p2</w:t>
            </w:r>
            <w:r>
              <w:rPr>
                <w:noProof/>
                <w:sz w:val="22"/>
              </w:rPr>
              <w:t>)</w:t>
            </w:r>
          </w:p>
        </w:tc>
        <w:tc>
          <w:tcPr>
            <w:tcW w:w="0" w:type="auto"/>
            <w:hideMark/>
          </w:tcPr>
          <w:p>
            <w:pPr>
              <w:spacing w:before="60" w:after="0"/>
              <w:rPr>
                <w:rFonts w:eastAsia="Arial Unicode MS"/>
                <w:noProof/>
                <w:szCs w:val="24"/>
              </w:rPr>
            </w:pPr>
            <w:r>
              <w:rPr>
                <w:noProof/>
                <w:sz w:val="22"/>
              </w:rPr>
              <w:t>Somme des émissions de CO</w:t>
            </w:r>
            <w:r>
              <w:rPr>
                <w:noProof/>
                <w:sz w:val="22"/>
                <w:vertAlign w:val="subscript"/>
              </w:rPr>
              <w:t>2</w:t>
            </w:r>
            <w:r>
              <w:rPr>
                <w:noProof/>
                <w:sz w:val="22"/>
              </w:rPr>
              <w:t xml:space="preserve"> épargnées pour chaque éco-innovation individuelle.</w:t>
            </w:r>
          </w:p>
        </w:tc>
      </w:tr>
      <w:tr>
        <w:trPr>
          <w:tblCellSpacing w:w="0" w:type="dxa"/>
        </w:trPr>
        <w:tc>
          <w:tcPr>
            <w:tcW w:w="303" w:type="pct"/>
            <w:hideMark/>
          </w:tcPr>
          <w:p>
            <w:pPr>
              <w:spacing w:before="60" w:after="0"/>
              <w:jc w:val="left"/>
              <w:rPr>
                <w:rFonts w:eastAsia="Arial Unicode MS"/>
                <w:noProof/>
                <w:szCs w:val="24"/>
              </w:rPr>
            </w:pPr>
            <w:r>
              <w:rPr>
                <w:noProof/>
                <w:sz w:val="22"/>
              </w:rPr>
              <w:t>(</w:t>
            </w:r>
            <w:r>
              <w:rPr>
                <w:noProof/>
                <w:sz w:val="22"/>
                <w:vertAlign w:val="superscript"/>
              </w:rPr>
              <w:t>q</w:t>
            </w:r>
            <w:r>
              <w:rPr>
                <w:noProof/>
                <w:sz w:val="22"/>
              </w:rPr>
              <w:t>)</w:t>
            </w:r>
          </w:p>
        </w:tc>
        <w:tc>
          <w:tcPr>
            <w:tcW w:w="4697" w:type="pct"/>
            <w:hideMark/>
          </w:tcPr>
          <w:p>
            <w:pPr>
              <w:spacing w:before="60" w:after="0"/>
              <w:rPr>
                <w:rFonts w:eastAsia="Arial Unicode MS"/>
                <w:noProof/>
                <w:szCs w:val="24"/>
              </w:rPr>
            </w:pPr>
            <w:r>
              <w:rPr>
                <w:noProof/>
                <w:sz w:val="22"/>
              </w:rPr>
              <w:t>Dans le cas des véhicules complétés de catégorie N</w:t>
            </w:r>
            <w:r>
              <w:rPr>
                <w:noProof/>
                <w:sz w:val="22"/>
                <w:vertAlign w:val="subscript"/>
              </w:rPr>
              <w:t>1</w:t>
            </w:r>
            <w:r>
              <w:rPr>
                <w:noProof/>
                <w:sz w:val="22"/>
              </w:rPr>
              <w:t xml:space="preserve"> relevant du règlement (CE) n</w:t>
            </w:r>
            <w:r>
              <w:rPr>
                <w:noProof/>
                <w:sz w:val="22"/>
                <w:vertAlign w:val="superscript"/>
              </w:rPr>
              <w:t>o</w:t>
            </w:r>
            <w:r>
              <w:rPr>
                <w:noProof/>
                <w:sz w:val="22"/>
              </w:rPr>
              <w:t> 715/2007.</w:t>
            </w:r>
          </w:p>
        </w:tc>
      </w:tr>
    </w:tbl>
    <w:p>
      <w:pPr>
        <w:spacing w:before="0" w:after="0"/>
        <w:jc w:val="left"/>
        <w:rPr>
          <w:rFonts w:eastAsia="Arial Unicode MS"/>
          <w:noProof/>
          <w:szCs w:val="24"/>
        </w:rPr>
      </w:pPr>
      <w:r>
        <w:rPr>
          <w:rFonts w:eastAsia="Arial Unicode MS"/>
          <w:noProof/>
          <w:szCs w:val="24"/>
        </w:rPr>
        <w:pict>
          <v:rect id="_x0000_i1050" style="width:45.35pt;height:.75pt" o:hrpct="100" o:hralign="center" o:hrstd="t" o:hrnoshade="t" o:hr="t" fillcolor="black" stroked="f"/>
        </w:pict>
      </w:r>
    </w:p>
    <w:p>
      <w:pPr>
        <w:rPr>
          <w:noProof/>
        </w:rPr>
      </w:pPr>
      <w:r>
        <w:rPr>
          <w:noProof/>
        </w:rPr>
        <w:br w:type="page"/>
      </w:r>
    </w:p>
    <w:p>
      <w:pPr>
        <w:pStyle w:val="Annexetitre"/>
        <w:rPr>
          <w:noProof/>
        </w:rPr>
      </w:pPr>
      <w:r>
        <w:rPr>
          <w:noProof/>
        </w:rPr>
        <w:t>ANNEXE X</w:t>
      </w:r>
    </w:p>
    <w:p>
      <w:pPr>
        <w:spacing w:before="360" w:after="360"/>
        <w:jc w:val="center"/>
        <w:rPr>
          <w:rFonts w:eastAsia="Arial Unicode MS"/>
          <w:b/>
          <w:bCs/>
          <w:noProof/>
          <w:szCs w:val="24"/>
        </w:rPr>
      </w:pPr>
      <w:r>
        <w:rPr>
          <w:b/>
          <w:noProof/>
        </w:rPr>
        <w:t>PROCÉDURES DE CONTRÔLE DE LA CONFORMITÉ DE LA PRODUCTION</w:t>
      </w:r>
    </w:p>
    <w:p>
      <w:pPr>
        <w:ind w:left="1134" w:hanging="1134"/>
        <w:jc w:val="left"/>
        <w:rPr>
          <w:rFonts w:eastAsia="Arial Unicode MS"/>
          <w:b/>
          <w:bCs/>
          <w:noProof/>
          <w:szCs w:val="24"/>
        </w:rPr>
      </w:pPr>
      <w:r>
        <w:rPr>
          <w:noProof/>
        </w:rPr>
        <w:t>1.</w:t>
      </w:r>
      <w:r>
        <w:rPr>
          <w:noProof/>
        </w:rPr>
        <w:tab/>
      </w:r>
      <w:r>
        <w:rPr>
          <w:b/>
          <w:noProof/>
        </w:rPr>
        <w:t>Objectifs</w:t>
      </w:r>
    </w:p>
    <w:p>
      <w:pPr>
        <w:spacing w:after="0"/>
        <w:ind w:left="1134" w:hanging="1134"/>
        <w:rPr>
          <w:rFonts w:eastAsia="Arial Unicode MS"/>
          <w:noProof/>
          <w:szCs w:val="24"/>
        </w:rPr>
      </w:pPr>
      <w:r>
        <w:rPr>
          <w:noProof/>
        </w:rPr>
        <w:t>1.1.</w:t>
      </w:r>
      <w:r>
        <w:rPr>
          <w:noProof/>
        </w:rPr>
        <w:tab/>
        <w:t>La procédure de contrôle de la conformité de la production vise à garantir que chaque véhicule, système, composant, entité technique distincte, pièce ou équipement produit est conforme au type réceptionné.</w:t>
      </w:r>
    </w:p>
    <w:p>
      <w:pPr>
        <w:spacing w:after="0"/>
        <w:ind w:left="1134" w:hanging="1134"/>
        <w:rPr>
          <w:rFonts w:eastAsia="Arial Unicode MS"/>
          <w:noProof/>
          <w:szCs w:val="24"/>
        </w:rPr>
      </w:pPr>
      <w:r>
        <w:rPr>
          <w:noProof/>
        </w:rPr>
        <w:t>1.2.</w:t>
      </w:r>
      <w:r>
        <w:rPr>
          <w:noProof/>
        </w:rPr>
        <w:tab/>
        <w:t>La procédure de contrôle de la conformité de la production doit toujours inclure l’évaluation des systèmes de gestion de l’assurance qualité, visée à la section 2 sous «Évaluation initiale», et la vérification de l’objet de la réception par type et des contrôles relatifs aux produits, visée à la section 3 sous «Dispositions relatives à la conformité des produits».</w:t>
      </w:r>
    </w:p>
    <w:p>
      <w:pPr>
        <w:ind w:left="1134" w:hanging="1134"/>
        <w:jc w:val="left"/>
        <w:rPr>
          <w:rFonts w:eastAsia="Arial Unicode MS"/>
          <w:b/>
          <w:bCs/>
          <w:noProof/>
          <w:szCs w:val="24"/>
        </w:rPr>
      </w:pPr>
      <w:r>
        <w:rPr>
          <w:noProof/>
        </w:rPr>
        <w:t>2.</w:t>
      </w:r>
      <w:r>
        <w:rPr>
          <w:noProof/>
        </w:rPr>
        <w:tab/>
      </w:r>
      <w:r>
        <w:rPr>
          <w:b/>
          <w:noProof/>
        </w:rPr>
        <w:t>Évaluation initiale</w:t>
      </w:r>
    </w:p>
    <w:p>
      <w:pPr>
        <w:spacing w:after="0"/>
        <w:ind w:left="1134" w:hanging="1134"/>
        <w:rPr>
          <w:rFonts w:eastAsia="Arial Unicode MS"/>
          <w:noProof/>
          <w:szCs w:val="24"/>
        </w:rPr>
      </w:pPr>
      <w:r>
        <w:rPr>
          <w:noProof/>
        </w:rPr>
        <w:t>2.1.</w:t>
      </w:r>
      <w:r>
        <w:rPr>
          <w:noProof/>
        </w:rPr>
        <w:tab/>
        <w:t>Avant d’accorder la réception par type, l’autorité compétente en matière de réception vérifie que le constructeur a mis en place des mesures et procédures satisfaisantes pour garantir que les véhicules, systèmes, composants, entités techniques distinctes, pièces ou équipements sont produits en conformité avec le type réceptionné.</w:t>
      </w:r>
    </w:p>
    <w:p>
      <w:pPr>
        <w:spacing w:after="0"/>
        <w:ind w:left="1134" w:hanging="1134"/>
        <w:rPr>
          <w:rFonts w:eastAsia="Arial Unicode MS"/>
          <w:noProof/>
          <w:szCs w:val="24"/>
        </w:rPr>
      </w:pPr>
      <w:r>
        <w:rPr>
          <w:noProof/>
        </w:rPr>
        <w:t>2.2.</w:t>
      </w:r>
      <w:r>
        <w:rPr>
          <w:noProof/>
        </w:rPr>
        <w:tab/>
        <w:t>Des éléments d’orientation pour la réalisation de ces évaluations figurent dans la norme EN ISO 19011:2011 – Lignes directrices pour l’audit des systèmes de management de la qualité et/ou de management environnemental.</w:t>
      </w:r>
    </w:p>
    <w:p>
      <w:pPr>
        <w:spacing w:after="0"/>
        <w:ind w:left="1134" w:hanging="1134"/>
        <w:rPr>
          <w:noProof/>
        </w:rPr>
      </w:pPr>
      <w:r>
        <w:rPr>
          <w:noProof/>
        </w:rPr>
        <w:t>2.3.</w:t>
      </w:r>
      <w:r>
        <w:rPr>
          <w:noProof/>
        </w:rPr>
        <w:tab/>
        <w:t xml:space="preserve">La conformité aux prescriptions du point 2.1 est vérifiée à la satisfaction de l’autorité compétente en matière de réception de la manière suivante: </w:t>
      </w:r>
    </w:p>
    <w:p>
      <w:pPr>
        <w:spacing w:before="100" w:beforeAutospacing="1" w:after="100" w:afterAutospacing="1"/>
        <w:ind w:left="1134"/>
        <w:rPr>
          <w:rFonts w:eastAsia="Arial Unicode MS"/>
          <w:noProof/>
          <w:szCs w:val="24"/>
        </w:rPr>
      </w:pPr>
      <w:r>
        <w:rPr>
          <w:noProof/>
        </w:rPr>
        <w:t xml:space="preserve">Ladite autorité doit être satisfaite de l’évaluation initiale et des dispositions relatives à la conformité des produits visées à la section 3, compte tenu, le cas échéant, de l’une des dispositions visées aux points 2.3.1 à 2.3.3 ou, s’il y a lieu, d’une combinaison de tout ou partie de ces dispositions. </w:t>
      </w:r>
    </w:p>
    <w:p>
      <w:pPr>
        <w:spacing w:after="0"/>
        <w:ind w:left="1134" w:hanging="1134"/>
        <w:rPr>
          <w:rFonts w:eastAsia="Arial Unicode MS"/>
          <w:noProof/>
          <w:szCs w:val="24"/>
        </w:rPr>
      </w:pPr>
      <w:r>
        <w:rPr>
          <w:noProof/>
        </w:rPr>
        <w:t>2.3.1.</w:t>
      </w:r>
      <w:r>
        <w:rPr>
          <w:noProof/>
        </w:rPr>
        <w:tab/>
        <w:t>L’évaluation initiale et la vérification des dispositions relatives à la conformité des produits doivent être effectuées par l’autorité compétente en matière de réception ou par un organisme désigné à cet effet par ladite autorité.</w:t>
      </w:r>
    </w:p>
    <w:p>
      <w:pPr>
        <w:spacing w:after="0"/>
        <w:ind w:left="1134" w:hanging="1134"/>
        <w:rPr>
          <w:rFonts w:eastAsia="Arial Unicode MS"/>
          <w:noProof/>
          <w:szCs w:val="24"/>
        </w:rPr>
      </w:pPr>
      <w:r>
        <w:rPr>
          <w:noProof/>
        </w:rPr>
        <w:t>2.3.1.1.</w:t>
      </w:r>
      <w:r>
        <w:rPr>
          <w:noProof/>
        </w:rPr>
        <w:tab/>
        <w:t>Afin d’apprécier l’ampleur de la tâche d’évaluation initiale à effectuer, l’autorité compétente en matière de réception peut tenir compte des informations suivantes:</w:t>
      </w:r>
    </w:p>
    <w:p>
      <w:pPr>
        <w:spacing w:after="0"/>
        <w:ind w:left="1701" w:hanging="567"/>
        <w:rPr>
          <w:rFonts w:eastAsia="Arial Unicode MS"/>
          <w:noProof/>
          <w:szCs w:val="24"/>
        </w:rPr>
      </w:pPr>
      <w:r>
        <w:rPr>
          <w:noProof/>
        </w:rPr>
        <w:t>a)</w:t>
      </w:r>
      <w:r>
        <w:rPr>
          <w:noProof/>
        </w:rPr>
        <w:tab/>
        <w:t>le fait que le constructeur est titulaire d’une certification similaire à celle visée au point 2.3.3, mais qui n’a pas été retenue ou reconnue au titre dudit point;</w:t>
      </w:r>
    </w:p>
    <w:p>
      <w:pPr>
        <w:spacing w:after="0"/>
        <w:ind w:left="1701" w:hanging="567"/>
        <w:rPr>
          <w:rFonts w:eastAsia="Arial Unicode MS"/>
          <w:noProof/>
          <w:szCs w:val="24"/>
        </w:rPr>
      </w:pPr>
      <w:r>
        <w:rPr>
          <w:noProof/>
        </w:rPr>
        <w:t>b)</w:t>
      </w:r>
      <w:r>
        <w:rPr>
          <w:noProof/>
        </w:rPr>
        <w:tab/>
        <w:t>dans le cas de la réception par type d’un système, d’un composant ou d’une entité technique distincte, les évaluations du système d’assurance qualité effectuées par le ou les constructeurs du véhicule dans les locaux du ou des fabricants du système, du composant ou de l’entité technique distincte, conformément à une ou plusieurs spécifications de l’industrie satisfaisant aux exigences de la norme EN ISO 9001:2008 ou ISO/TS16949:2009;</w:t>
      </w:r>
    </w:p>
    <w:p>
      <w:pPr>
        <w:spacing w:after="0"/>
        <w:ind w:left="1701" w:hanging="567"/>
        <w:rPr>
          <w:rFonts w:eastAsia="Arial Unicode MS"/>
          <w:noProof/>
          <w:szCs w:val="24"/>
        </w:rPr>
      </w:pPr>
      <w:r>
        <w:rPr>
          <w:noProof/>
        </w:rPr>
        <w:t>c)</w:t>
      </w:r>
      <w:r>
        <w:rPr>
          <w:noProof/>
        </w:rPr>
        <w:tab/>
        <w:t xml:space="preserve">le fait que, dans un des États membres, une ou plusieurs des réceptions par type du constructeur ont été récemment retirées en raison d’un contrôle insatisfaisant de la conformité de la production. Dans ce cas, l’évaluation initiale par l’autorité compétente en matière de réception ne se limite pas à accepter la certification du système d’assurance qualité du constructeur, mais doit inclure une vérification de la mise en œuvre de toutes les améliorations nécessaires pour assurer un contrôle efficace, de sorte que les véhicules, les composants, les systèmes ou les entités techniques distinctes soient produits en conformité avec le type réceptionné. </w:t>
      </w:r>
    </w:p>
    <w:p>
      <w:pPr>
        <w:spacing w:after="0"/>
        <w:ind w:left="1134" w:hanging="1134"/>
        <w:rPr>
          <w:rFonts w:eastAsia="Arial Unicode MS"/>
          <w:noProof/>
          <w:szCs w:val="24"/>
        </w:rPr>
      </w:pPr>
      <w:r>
        <w:rPr>
          <w:noProof/>
        </w:rPr>
        <w:t>2.3.2.</w:t>
      </w:r>
      <w:r>
        <w:rPr>
          <w:noProof/>
        </w:rPr>
        <w:tab/>
        <w:t>L’évaluation initiale et la vérification des dispositions relatives à la conformité des produits peuvent également être effectuées par l’autorité compétente en matière de réception d’un autre État membre ou par l’organisme désigné à cet effet par l’autorité compétente en matière de réception.</w:t>
      </w:r>
    </w:p>
    <w:p>
      <w:pPr>
        <w:spacing w:after="0"/>
        <w:ind w:left="1134" w:hanging="1134"/>
        <w:rPr>
          <w:rFonts w:eastAsia="Arial Unicode MS"/>
          <w:noProof/>
          <w:szCs w:val="24"/>
        </w:rPr>
      </w:pPr>
      <w:r>
        <w:rPr>
          <w:noProof/>
        </w:rPr>
        <w:t>2.3.2.1.</w:t>
      </w:r>
      <w:r>
        <w:rPr>
          <w:noProof/>
        </w:rPr>
        <w:tab/>
        <w:t>Dans ce cas, l’autorité compétente en matière de réception de cet autre État membre doit préparer une déclaration de conformité qui décrit les zones et sites de production que cette autorité a couverts en fonction du ou des produits à réceptionner par type et des actes réglementaires conformément auxquels ces produits doivent être réceptionnés par type.</w:t>
      </w:r>
    </w:p>
    <w:p>
      <w:pPr>
        <w:spacing w:after="0"/>
        <w:ind w:left="1134" w:hanging="1134"/>
        <w:rPr>
          <w:rFonts w:eastAsia="Arial Unicode MS"/>
          <w:noProof/>
          <w:szCs w:val="24"/>
        </w:rPr>
      </w:pPr>
      <w:r>
        <w:rPr>
          <w:noProof/>
        </w:rPr>
        <w:t>2.3.2.2.</w:t>
      </w:r>
      <w:r>
        <w:rPr>
          <w:noProof/>
        </w:rPr>
        <w:tab/>
        <w:t>Dès qu’elle reçoit une demande de déclaration de conformité de l’autorité compétente d’un État membre délivrant une réception par type, l’autorité compétente en matière de réception d’un autre État membre envoie immédiatement cette déclaration de conformité ou fait savoir qu’elle n’est pas en situation d’établir une telle déclaration.</w:t>
      </w:r>
    </w:p>
    <w:p>
      <w:pPr>
        <w:spacing w:after="0"/>
        <w:ind w:left="1134" w:hanging="1134"/>
        <w:rPr>
          <w:rFonts w:eastAsia="Arial Unicode MS"/>
          <w:noProof/>
          <w:szCs w:val="24"/>
        </w:rPr>
      </w:pPr>
      <w:r>
        <w:rPr>
          <w:noProof/>
        </w:rPr>
        <w:t>2.3.2.3.</w:t>
      </w:r>
      <w:r>
        <w:rPr>
          <w:noProof/>
        </w:rPr>
        <w:tab/>
        <w:t>La déclaration de conformité doit comporter au moins les éléments d’information suivants:</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rPr>
                <w:noProof/>
              </w:rPr>
            </w:pPr>
            <w:r>
              <w:rPr>
                <w:noProof/>
                <w:sz w:val="22"/>
              </w:rPr>
              <w:t>a)</w:t>
            </w:r>
            <w:r>
              <w:rPr>
                <w:noProof/>
                <w:sz w:val="22"/>
              </w:rPr>
              <w:tab/>
              <w:t>groupe ou société</w:t>
            </w:r>
          </w:p>
        </w:tc>
        <w:tc>
          <w:tcPr>
            <w:tcW w:w="2595" w:type="pct"/>
            <w:hideMark/>
          </w:tcPr>
          <w:p>
            <w:pPr>
              <w:spacing w:before="195" w:after="0"/>
              <w:rPr>
                <w:rFonts w:eastAsia="Arial Unicode MS"/>
                <w:noProof/>
                <w:szCs w:val="24"/>
              </w:rPr>
            </w:pPr>
            <w:r>
              <w:rPr>
                <w:noProof/>
                <w:sz w:val="22"/>
              </w:rPr>
              <w:t>(par exemple, XYZ Automobile);</w:t>
            </w:r>
          </w:p>
        </w:tc>
      </w:tr>
      <w:tr>
        <w:trPr>
          <w:tblCellSpacing w:w="0" w:type="dxa"/>
        </w:trPr>
        <w:tc>
          <w:tcPr>
            <w:tcW w:w="2405" w:type="pct"/>
            <w:hideMark/>
          </w:tcPr>
          <w:p>
            <w:pPr>
              <w:spacing w:before="195" w:after="0"/>
              <w:rPr>
                <w:noProof/>
              </w:rPr>
            </w:pPr>
            <w:r>
              <w:rPr>
                <w:noProof/>
                <w:sz w:val="22"/>
              </w:rPr>
              <w:t>b)</w:t>
            </w:r>
            <w:r>
              <w:rPr>
                <w:noProof/>
                <w:sz w:val="22"/>
              </w:rPr>
              <w:tab/>
              <w:t>organisation particulière</w:t>
            </w:r>
          </w:p>
        </w:tc>
        <w:tc>
          <w:tcPr>
            <w:tcW w:w="2595" w:type="pct"/>
            <w:hideMark/>
          </w:tcPr>
          <w:p>
            <w:pPr>
              <w:spacing w:before="195" w:after="0"/>
              <w:rPr>
                <w:rFonts w:eastAsia="Arial Unicode MS"/>
                <w:noProof/>
                <w:szCs w:val="24"/>
              </w:rPr>
            </w:pPr>
            <w:r>
              <w:rPr>
                <w:noProof/>
                <w:sz w:val="22"/>
              </w:rPr>
              <w:t>(par exemple, division régionale);</w:t>
            </w:r>
          </w:p>
        </w:tc>
      </w:tr>
      <w:tr>
        <w:trPr>
          <w:tblCellSpacing w:w="0" w:type="dxa"/>
        </w:trPr>
        <w:tc>
          <w:tcPr>
            <w:tcW w:w="2405" w:type="pct"/>
            <w:hideMark/>
          </w:tcPr>
          <w:p>
            <w:pPr>
              <w:spacing w:before="195" w:after="0"/>
              <w:rPr>
                <w:noProof/>
              </w:rPr>
            </w:pPr>
            <w:r>
              <w:rPr>
                <w:noProof/>
                <w:sz w:val="22"/>
              </w:rPr>
              <w:t>c)</w:t>
            </w:r>
            <w:r>
              <w:rPr>
                <w:noProof/>
                <w:sz w:val="22"/>
              </w:rPr>
              <w:tab/>
              <w:t>usines/sites de production</w:t>
            </w:r>
          </w:p>
        </w:tc>
        <w:tc>
          <w:tcPr>
            <w:tcW w:w="2595" w:type="pct"/>
            <w:hideMark/>
          </w:tcPr>
          <w:p>
            <w:pPr>
              <w:spacing w:before="195" w:after="0"/>
              <w:rPr>
                <w:rFonts w:eastAsia="Arial Unicode MS"/>
                <w:noProof/>
                <w:szCs w:val="24"/>
              </w:rPr>
            </w:pPr>
            <w:r>
              <w:rPr>
                <w:noProof/>
                <w:sz w:val="22"/>
              </w:rPr>
              <w:t>(par exemple, usine de fabrication de moteurs 1 (dans le pays A) ou usine d’assemblage de véhicules 2 (dans le pays B));</w:t>
            </w:r>
          </w:p>
        </w:tc>
      </w:tr>
      <w:tr>
        <w:trPr>
          <w:tblCellSpacing w:w="0" w:type="dxa"/>
        </w:trPr>
        <w:tc>
          <w:tcPr>
            <w:tcW w:w="2405" w:type="pct"/>
            <w:hideMark/>
          </w:tcPr>
          <w:p>
            <w:pPr>
              <w:spacing w:before="195" w:after="0"/>
              <w:ind w:left="720" w:hanging="720"/>
              <w:jc w:val="left"/>
              <w:rPr>
                <w:noProof/>
              </w:rPr>
            </w:pPr>
            <w:r>
              <w:rPr>
                <w:noProof/>
                <w:sz w:val="22"/>
              </w:rPr>
              <w:t>d)</w:t>
            </w:r>
            <w:r>
              <w:rPr>
                <w:noProof/>
                <w:sz w:val="22"/>
              </w:rPr>
              <w:tab/>
              <w:t>gamme de véhicules/composants:</w:t>
            </w:r>
          </w:p>
        </w:tc>
        <w:tc>
          <w:tcPr>
            <w:tcW w:w="2595" w:type="pct"/>
            <w:hideMark/>
          </w:tcPr>
          <w:p>
            <w:pPr>
              <w:spacing w:before="195" w:after="0"/>
              <w:rPr>
                <w:rFonts w:eastAsia="Arial Unicode MS"/>
                <w:noProof/>
                <w:szCs w:val="24"/>
              </w:rPr>
            </w:pPr>
            <w:r>
              <w:rPr>
                <w:noProof/>
                <w:sz w:val="22"/>
              </w:rPr>
              <w:t>(par exemple, tous les modèles de catégorie M</w:t>
            </w:r>
            <w:r>
              <w:rPr>
                <w:noProof/>
                <w:sz w:val="22"/>
                <w:vertAlign w:val="subscript"/>
              </w:rPr>
              <w:t>1</w:t>
            </w:r>
            <w:r>
              <w:rPr>
                <w:noProof/>
                <w:sz w:val="22"/>
              </w:rPr>
              <w:t>)</w:t>
            </w:r>
          </w:p>
        </w:tc>
      </w:tr>
      <w:tr>
        <w:trPr>
          <w:tblCellSpacing w:w="0" w:type="dxa"/>
        </w:trPr>
        <w:tc>
          <w:tcPr>
            <w:tcW w:w="2405" w:type="pct"/>
            <w:hideMark/>
          </w:tcPr>
          <w:p>
            <w:pPr>
              <w:spacing w:before="195" w:after="0"/>
              <w:rPr>
                <w:noProof/>
              </w:rPr>
            </w:pPr>
            <w:r>
              <w:rPr>
                <w:noProof/>
                <w:sz w:val="22"/>
              </w:rPr>
              <w:t xml:space="preserve">e) </w:t>
            </w:r>
            <w:r>
              <w:rPr>
                <w:noProof/>
                <w:sz w:val="22"/>
              </w:rPr>
              <w:tab/>
              <w:t>zones évaluées</w:t>
            </w:r>
          </w:p>
        </w:tc>
        <w:tc>
          <w:tcPr>
            <w:tcW w:w="2595" w:type="pct"/>
            <w:hideMark/>
          </w:tcPr>
          <w:p>
            <w:pPr>
              <w:spacing w:before="195" w:after="0"/>
              <w:rPr>
                <w:rFonts w:eastAsia="Arial Unicode MS"/>
                <w:noProof/>
                <w:szCs w:val="24"/>
              </w:rPr>
            </w:pPr>
            <w:r>
              <w:rPr>
                <w:noProof/>
                <w:sz w:val="22"/>
              </w:rPr>
              <w:t>par exemple, la zone d’assemblage des moteurs, la zone d’emboutissage et d’assemblage des pièces de carrosserie et la zone d’assemblage des véhicules);</w:t>
            </w:r>
          </w:p>
        </w:tc>
      </w:tr>
      <w:tr>
        <w:trPr>
          <w:tblCellSpacing w:w="0" w:type="dxa"/>
        </w:trPr>
        <w:tc>
          <w:tcPr>
            <w:tcW w:w="2405" w:type="pct"/>
            <w:hideMark/>
          </w:tcPr>
          <w:p>
            <w:pPr>
              <w:spacing w:before="195" w:after="0"/>
              <w:rPr>
                <w:noProof/>
              </w:rPr>
            </w:pPr>
            <w:r>
              <w:rPr>
                <w:noProof/>
                <w:sz w:val="22"/>
              </w:rPr>
              <w:t>f)</w:t>
            </w:r>
            <w:r>
              <w:rPr>
                <w:noProof/>
                <w:sz w:val="22"/>
              </w:rPr>
              <w:tab/>
              <w:t>documents examinés</w:t>
            </w:r>
          </w:p>
        </w:tc>
        <w:tc>
          <w:tcPr>
            <w:tcW w:w="2595" w:type="pct"/>
            <w:hideMark/>
          </w:tcPr>
          <w:p>
            <w:pPr>
              <w:spacing w:before="195" w:after="0"/>
              <w:rPr>
                <w:rFonts w:eastAsia="Arial Unicode MS"/>
                <w:noProof/>
                <w:szCs w:val="24"/>
              </w:rPr>
            </w:pPr>
            <w:r>
              <w:rPr>
                <w:noProof/>
                <w:sz w:val="22"/>
              </w:rPr>
              <w:t>(par exemple, manuel et procédures d’assurance qualité de la société et du site)</w:t>
            </w:r>
          </w:p>
        </w:tc>
      </w:tr>
      <w:tr>
        <w:trPr>
          <w:tblCellSpacing w:w="0" w:type="dxa"/>
        </w:trPr>
        <w:tc>
          <w:tcPr>
            <w:tcW w:w="2405" w:type="pct"/>
            <w:hideMark/>
          </w:tcPr>
          <w:p>
            <w:pPr>
              <w:spacing w:before="195" w:after="0"/>
              <w:rPr>
                <w:noProof/>
              </w:rPr>
            </w:pPr>
            <w:r>
              <w:rPr>
                <w:noProof/>
                <w:sz w:val="22"/>
              </w:rPr>
              <w:t>g)</w:t>
            </w:r>
            <w:r>
              <w:rPr>
                <w:noProof/>
                <w:sz w:val="22"/>
              </w:rPr>
              <w:tab/>
              <w:t>date de l’évaluation</w:t>
            </w:r>
          </w:p>
        </w:tc>
        <w:tc>
          <w:tcPr>
            <w:tcW w:w="2595" w:type="pct"/>
            <w:hideMark/>
          </w:tcPr>
          <w:p>
            <w:pPr>
              <w:spacing w:before="195" w:after="0"/>
              <w:rPr>
                <w:rFonts w:eastAsia="Arial Unicode MS"/>
                <w:noProof/>
                <w:szCs w:val="24"/>
              </w:rPr>
            </w:pPr>
            <w:r>
              <w:rPr>
                <w:noProof/>
                <w:sz w:val="22"/>
              </w:rPr>
              <w:t>(par exemple, audit mené du jj/mm/aaaa au jj/mm/aaaa);</w:t>
            </w:r>
          </w:p>
        </w:tc>
      </w:tr>
      <w:tr>
        <w:trPr>
          <w:tblCellSpacing w:w="0" w:type="dxa"/>
        </w:trPr>
        <w:tc>
          <w:tcPr>
            <w:tcW w:w="2405" w:type="pct"/>
            <w:hideMark/>
          </w:tcPr>
          <w:p>
            <w:pPr>
              <w:spacing w:before="195" w:after="0"/>
              <w:rPr>
                <w:noProof/>
              </w:rPr>
            </w:pPr>
            <w:r>
              <w:rPr>
                <w:noProof/>
                <w:sz w:val="22"/>
              </w:rPr>
              <w:t>h)</w:t>
            </w:r>
            <w:r>
              <w:rPr>
                <w:noProof/>
                <w:sz w:val="22"/>
              </w:rPr>
              <w:tab/>
              <w:t>visite d’inspection prévue</w:t>
            </w:r>
          </w:p>
        </w:tc>
        <w:tc>
          <w:tcPr>
            <w:tcW w:w="2595" w:type="pct"/>
            <w:hideMark/>
          </w:tcPr>
          <w:p>
            <w:pPr>
              <w:spacing w:before="195" w:after="0"/>
              <w:rPr>
                <w:rFonts w:eastAsia="Arial Unicode MS"/>
                <w:noProof/>
                <w:szCs w:val="24"/>
              </w:rPr>
            </w:pPr>
            <w:r>
              <w:rPr>
                <w:noProof/>
                <w:sz w:val="22"/>
              </w:rPr>
              <w:t>(par exemple, mm/aaaa)</w:t>
            </w:r>
          </w:p>
        </w:tc>
      </w:tr>
    </w:tbl>
    <w:p>
      <w:pPr>
        <w:spacing w:after="0"/>
        <w:ind w:left="1134" w:hanging="1134"/>
        <w:rPr>
          <w:rFonts w:eastAsia="Arial Unicode MS"/>
          <w:noProof/>
          <w:szCs w:val="24"/>
        </w:rPr>
      </w:pPr>
      <w:r>
        <w:rPr>
          <w:noProof/>
        </w:rPr>
        <w:t>2.3.3.</w:t>
      </w:r>
      <w:r>
        <w:rPr>
          <w:noProof/>
        </w:rPr>
        <w:tab/>
        <w:t>L’autorité compétente en matière de réception peut accepter également la certification du constructeur selon la norme EN ISO 9001:2008 ou ISO/TS16949:2009 (dans ce cas, le champ de la certification doit couvrir le ou les produits à réceptionner) ou selon une norme de certification équivalente comme satisfaisant aux prescriptions relatives à l’évaluation initiale visées au point 2.3, pour autant que la conformité de la production soit effectivement couverte par le système de gestion de la qualité et que la réception par type du constructeur n’ait pas fait l’objet d’un retrait comme indiqué au point 2.3.1.1 c). Le constructeur fournit toutes les informations nécessaires sur la certification et s’engage à informer l’autorité compétente en matière de réception de toute modification de la validité ou du champ de cette certification.</w:t>
      </w:r>
    </w:p>
    <w:p>
      <w:pPr>
        <w:spacing w:after="0"/>
        <w:ind w:left="1134" w:hanging="1134"/>
        <w:rPr>
          <w:rFonts w:eastAsia="Arial Unicode MS"/>
          <w:noProof/>
          <w:szCs w:val="24"/>
        </w:rPr>
      </w:pPr>
      <w:r>
        <w:rPr>
          <w:noProof/>
        </w:rPr>
        <w:t>2.4.</w:t>
      </w:r>
      <w:r>
        <w:rPr>
          <w:noProof/>
        </w:rPr>
        <w:tab/>
        <w:t>Aux fins de la réception par type d’un véhicule, les évaluations initiales effectuées pour la réception par type de systèmes, de composants et d’entités techniques distinctes du véhicule ne doivent pas être répétées, mais sont complétées par une évaluation couvrant les sites de production et les activités liés à l’assemblage du véhicule entier et non pris en compte par les évaluations antérieures.</w:t>
      </w:r>
    </w:p>
    <w:p>
      <w:pPr>
        <w:spacing w:before="360" w:after="240"/>
        <w:ind w:left="1134" w:hanging="1134"/>
        <w:jc w:val="left"/>
        <w:rPr>
          <w:rFonts w:eastAsia="Arial Unicode MS"/>
          <w:b/>
          <w:bCs/>
          <w:noProof/>
          <w:szCs w:val="24"/>
        </w:rPr>
      </w:pPr>
      <w:r>
        <w:rPr>
          <w:noProof/>
        </w:rPr>
        <w:t>3.</w:t>
      </w:r>
      <w:r>
        <w:rPr>
          <w:noProof/>
        </w:rPr>
        <w:tab/>
      </w:r>
      <w:r>
        <w:rPr>
          <w:b/>
          <w:noProof/>
        </w:rPr>
        <w:t>Dispositions relatives à la conformité des produits</w:t>
      </w:r>
    </w:p>
    <w:p>
      <w:pPr>
        <w:spacing w:after="0"/>
        <w:ind w:left="1134" w:hanging="1134"/>
        <w:rPr>
          <w:rFonts w:eastAsia="Arial Unicode MS"/>
          <w:noProof/>
          <w:szCs w:val="24"/>
        </w:rPr>
      </w:pPr>
      <w:r>
        <w:rPr>
          <w:noProof/>
        </w:rPr>
        <w:t>3.1.</w:t>
      </w:r>
      <w:r>
        <w:rPr>
          <w:noProof/>
        </w:rPr>
        <w:tab/>
        <w:t>Tout véhicule, système, composant, entité technique distincte, pièce ou équipement réceptionné(e) en vertu d’un règlement de la CEE-ONU annexé à l’accord de 1958 révisé et du présent règlement est construit de façon à être conforme au type réceptionné, c’est-à-dire qu’il doit satisfaire aux prescriptions énoncées dans la présente annexe, dans ledit règlement de la CEE-ONU et dans le présent règlement.</w:t>
      </w:r>
    </w:p>
    <w:p>
      <w:pPr>
        <w:spacing w:after="0"/>
        <w:ind w:left="1134" w:hanging="1134"/>
        <w:rPr>
          <w:rFonts w:eastAsia="Arial Unicode MS"/>
          <w:noProof/>
          <w:szCs w:val="24"/>
        </w:rPr>
      </w:pPr>
      <w:r>
        <w:rPr>
          <w:noProof/>
        </w:rPr>
        <w:t>3.2.</w:t>
      </w:r>
      <w:r>
        <w:rPr>
          <w:noProof/>
        </w:rPr>
        <w:tab/>
        <w:t>Avant de délivrer une réception par type au titre du présent règlement et d’un règlement de la CEE-ONU annexé à l’accord de 1958 révisé, l’autorité compétente en matière de réception s’assure de l’existence de dispositions adéquates et de plans de contrôle documentés, à convenir avec le constructeur pour chaque réception, en vue de l’exécution, à intervalles spécifiés, des essais ou des contrôles connexes permettant de vérifier la continuité de la conformité au type réceptionné, y compris, le cas échéant, les essais prévus dans le présent règlement et le règlement de la CEE-ONU concerné.</w:t>
      </w:r>
    </w:p>
    <w:p>
      <w:pPr>
        <w:spacing w:after="0"/>
        <w:ind w:left="1134" w:hanging="1134"/>
        <w:rPr>
          <w:rFonts w:eastAsia="Arial Unicode MS"/>
          <w:noProof/>
          <w:szCs w:val="24"/>
        </w:rPr>
      </w:pPr>
      <w:r>
        <w:rPr>
          <w:noProof/>
        </w:rPr>
        <w:t>3.3.</w:t>
      </w:r>
      <w:r>
        <w:rPr>
          <w:noProof/>
        </w:rPr>
        <w:tab/>
        <w:t>En particulier, le détenteur de la réception par type:</w:t>
      </w:r>
    </w:p>
    <w:p>
      <w:pPr>
        <w:spacing w:after="0"/>
        <w:ind w:left="1134" w:hanging="1134"/>
        <w:rPr>
          <w:rFonts w:eastAsia="Arial Unicode MS"/>
          <w:noProof/>
          <w:szCs w:val="24"/>
        </w:rPr>
      </w:pPr>
      <w:r>
        <w:rPr>
          <w:noProof/>
        </w:rPr>
        <w:t>3.3.1</w:t>
      </w:r>
      <w:r>
        <w:rPr>
          <w:noProof/>
        </w:rPr>
        <w:tab/>
        <w:t>s’assure de l’existence et de l’application de procédures permettant un contrôle effectif de la conformité des produits (véhicules, systèmes, composants, entités techniques, pièces ou équipements) au type réceptionné;</w:t>
      </w:r>
    </w:p>
    <w:p>
      <w:pPr>
        <w:spacing w:after="0"/>
        <w:ind w:left="1134" w:hanging="1134"/>
        <w:rPr>
          <w:rFonts w:eastAsia="Arial Unicode MS"/>
          <w:noProof/>
          <w:szCs w:val="24"/>
        </w:rPr>
      </w:pPr>
      <w:r>
        <w:rPr>
          <w:noProof/>
        </w:rPr>
        <w:t>3.3.2</w:t>
      </w:r>
      <w:r>
        <w:rPr>
          <w:noProof/>
        </w:rPr>
        <w:tab/>
        <w:t>a accès à l’équipement d’essai ou à tout autre équipement approprié nécessaire au contrôle de la conformité à chaque type réceptionné;</w:t>
      </w:r>
    </w:p>
    <w:p>
      <w:pPr>
        <w:spacing w:after="0"/>
        <w:ind w:left="1134" w:hanging="1134"/>
        <w:rPr>
          <w:rFonts w:eastAsia="Arial Unicode MS"/>
          <w:noProof/>
          <w:szCs w:val="24"/>
        </w:rPr>
      </w:pPr>
      <w:r>
        <w:rPr>
          <w:noProof/>
        </w:rPr>
        <w:t>3.3.3.</w:t>
      </w:r>
      <w:r>
        <w:rPr>
          <w:noProof/>
        </w:rPr>
        <w:tab/>
        <w:t>s’assure que les résultats des essais ou des contrôles sont consignés et que les documents annexés restent disponibles pendant un délai d’au moins 10 ans, à fixer d’un commun accord avec l’autorité compétente en matière de réception;</w:t>
      </w:r>
    </w:p>
    <w:p>
      <w:pPr>
        <w:spacing w:after="0"/>
        <w:ind w:left="1134" w:hanging="1134"/>
        <w:rPr>
          <w:rFonts w:eastAsia="Arial Unicode MS"/>
          <w:noProof/>
          <w:szCs w:val="24"/>
        </w:rPr>
      </w:pPr>
      <w:r>
        <w:rPr>
          <w:noProof/>
        </w:rPr>
        <w:t>3.3.4</w:t>
      </w:r>
      <w:r>
        <w:rPr>
          <w:noProof/>
        </w:rPr>
        <w:tab/>
        <w:t>analyse les résultats de chaque type d’essai ou de contrôle, afin de vérifier et d’assurer la stabilité des caractéristiques du produit, eu égard aux variations inhérentes à une production industrielle;</w:t>
      </w:r>
    </w:p>
    <w:p>
      <w:pPr>
        <w:spacing w:after="0"/>
        <w:ind w:left="1134" w:hanging="1134"/>
        <w:rPr>
          <w:rFonts w:eastAsia="Arial Unicode MS"/>
          <w:noProof/>
          <w:szCs w:val="24"/>
        </w:rPr>
      </w:pPr>
      <w:r>
        <w:rPr>
          <w:noProof/>
        </w:rPr>
        <w:t>3.3.5.</w:t>
      </w:r>
      <w:r>
        <w:rPr>
          <w:noProof/>
        </w:rPr>
        <w:tab/>
        <w:t>veille à ce que, pour chaque type de produit, soient effectués au moins les contrôles prescrits dans le présent règlement et les essais prévus dans les actes réglementaires applicables énumérés dans l’annexe IV;</w:t>
      </w:r>
    </w:p>
    <w:p>
      <w:pPr>
        <w:spacing w:after="0"/>
        <w:ind w:left="1134" w:hanging="1134"/>
        <w:rPr>
          <w:rFonts w:eastAsia="Arial Unicode MS"/>
          <w:noProof/>
          <w:szCs w:val="24"/>
        </w:rPr>
      </w:pPr>
      <w:r>
        <w:rPr>
          <w:noProof/>
        </w:rPr>
        <w:t>3.3.6.</w:t>
      </w:r>
      <w:r>
        <w:rPr>
          <w:noProof/>
        </w:rPr>
        <w:tab/>
        <w:t>s’assure que tout lot d’échantillons ou de spécimens mettant en évidence la non-conformité pour le type d’essai considéré donne lieu à un nouvel échantillonnage et un nouvel essai. Toutes les mesures nécessaires doivent être prises pour rétablir le processus de production de manière à garantir la conformité au type réceptionné.</w:t>
      </w:r>
    </w:p>
    <w:p>
      <w:pPr>
        <w:spacing w:after="0"/>
        <w:ind w:left="1134" w:hanging="1134"/>
        <w:rPr>
          <w:rFonts w:eastAsia="Arial Unicode MS"/>
          <w:noProof/>
          <w:szCs w:val="24"/>
        </w:rPr>
      </w:pPr>
      <w:r>
        <w:rPr>
          <w:noProof/>
        </w:rPr>
        <w:t>3.4.</w:t>
      </w:r>
      <w:r>
        <w:rPr>
          <w:noProof/>
        </w:rPr>
        <w:tab/>
        <w:t xml:space="preserve">Dans le cas de réceptions par type par étapes, mixtes ou multi-étapes, l’autorité compétente qui délivre une réception par type pour un véhicule entier peut demander des précisions concernant le respect des prescriptions relatives à la conformité de la production énoncées dans la présente annexe auprès de toute autorité compétente en matière de réception ayant délivré la réception par type de tout système, composant ou entité technique distincte concerné(e). </w:t>
      </w:r>
      <w:r>
        <w:rPr>
          <w:noProof/>
        </w:rPr>
        <w:br/>
      </w:r>
    </w:p>
    <w:p>
      <w:pPr>
        <w:spacing w:after="0"/>
        <w:ind w:left="1134" w:hanging="1134"/>
        <w:rPr>
          <w:rFonts w:eastAsia="Arial Unicode MS"/>
          <w:noProof/>
          <w:szCs w:val="24"/>
        </w:rPr>
      </w:pPr>
      <w:r>
        <w:rPr>
          <w:noProof/>
        </w:rPr>
        <w:t>3.5.</w:t>
      </w:r>
      <w:r>
        <w:rPr>
          <w:noProof/>
        </w:rPr>
        <w:tab/>
        <w:t>Lorsque l’autorité compétente en matière de réception qui délivre une réception par type pour un véhicule entier n’est pas satisfaite des informations transmises en application du point 3.4 et en a fait part par écrit au fabricant concerné ainsi qu’à l’autorité délivrant la réception par type pour le système, le composant ou l’entité technique distincte en cause, elle demande que des évaluations ou des contrôles supplémentaires de la conformité de la production soient réalisés sur le site du ou des fabricants des systèmes, composants ou entités techniques distinctes concernés. Les résultats de ces évaluations ou contrôles supplémentaires de la conformité de la production sont immédiatement communiqués à l’autorité compétente en matière de réception.</w:t>
      </w:r>
    </w:p>
    <w:p>
      <w:pPr>
        <w:spacing w:after="0"/>
        <w:ind w:left="1134" w:hanging="1134"/>
        <w:rPr>
          <w:rFonts w:eastAsia="Arial Unicode MS"/>
          <w:noProof/>
          <w:szCs w:val="24"/>
        </w:rPr>
      </w:pPr>
      <w:r>
        <w:rPr>
          <w:noProof/>
        </w:rPr>
        <w:t>3.6.</w:t>
      </w:r>
      <w:r>
        <w:rPr>
          <w:noProof/>
        </w:rPr>
        <w:tab/>
        <w:t>Lorsque les points 3.4 et 3.5 s’appliquent et que l’autorité compétente en matière de réception qui délivre la réception par type pour un véhicule entier n’a pas été satisfaite des résultats des évaluations et contrôles supplémentaires, le fabricant fait en sorte que la conformité de la production soit rétablie dès que possible à la satisfaction de cette autorité compétente en matière de réception et de l’autorité compétente en matière de réception qui délivre la réception par type pour le système, le composant ou l’entité technique distincte.</w:t>
      </w:r>
    </w:p>
    <w:p>
      <w:pPr>
        <w:spacing w:before="360"/>
        <w:ind w:left="1134" w:hanging="1134"/>
        <w:jc w:val="left"/>
        <w:rPr>
          <w:rFonts w:eastAsia="Arial Unicode MS"/>
          <w:b/>
          <w:bCs/>
          <w:noProof/>
          <w:szCs w:val="24"/>
        </w:rPr>
      </w:pPr>
      <w:r>
        <w:rPr>
          <w:noProof/>
        </w:rPr>
        <w:t>4.</w:t>
      </w:r>
      <w:r>
        <w:rPr>
          <w:noProof/>
        </w:rPr>
        <w:tab/>
      </w:r>
      <w:r>
        <w:rPr>
          <w:b/>
          <w:noProof/>
        </w:rPr>
        <w:t>Dispositions relatives aux vérifications périodiques</w:t>
      </w:r>
    </w:p>
    <w:p>
      <w:pPr>
        <w:spacing w:after="0"/>
        <w:ind w:left="1134" w:hanging="1134"/>
        <w:rPr>
          <w:rFonts w:eastAsia="Arial Unicode MS"/>
          <w:noProof/>
          <w:szCs w:val="24"/>
        </w:rPr>
      </w:pPr>
      <w:r>
        <w:rPr>
          <w:noProof/>
        </w:rPr>
        <w:t>4.1.</w:t>
      </w:r>
      <w:r>
        <w:rPr>
          <w:noProof/>
        </w:rPr>
        <w:tab/>
        <w:t>L’autorité qui a délivré la réception par type peut, à tout moment, vérifier les méthodes de contrôle de la conformité appliquées dans chaque établissement de production par des audits périodiques. À cet effet, le constructeur autorise l’accès de cette autorité aux sites de fabrication, d’inspection, d’essai, de stockage et de distribution et fournit toutes les informations requises en ce qui concerne la documentation et les archives relatives au système de gestion de la qualité.</w:t>
      </w:r>
    </w:p>
    <w:p>
      <w:pPr>
        <w:spacing w:after="0"/>
        <w:ind w:left="1134" w:hanging="1134"/>
        <w:rPr>
          <w:rFonts w:eastAsia="Arial Unicode MS"/>
          <w:noProof/>
          <w:szCs w:val="24"/>
        </w:rPr>
      </w:pPr>
      <w:r>
        <w:rPr>
          <w:noProof/>
        </w:rPr>
        <w:t>4.1.1.</w:t>
      </w:r>
      <w:r>
        <w:rPr>
          <w:noProof/>
        </w:rPr>
        <w:tab/>
        <w:t>Les dispositions normales applicables à ces audits périodiques visent à vérifier l’efficacité permanente des procédures établies aux sections 2 et 3 (évaluation initiale et dispositions relatives à la conformité des produits).</w:t>
      </w:r>
    </w:p>
    <w:p>
      <w:pPr>
        <w:spacing w:after="0"/>
        <w:ind w:left="1134" w:hanging="1134"/>
        <w:rPr>
          <w:rFonts w:eastAsia="Arial Unicode MS"/>
          <w:noProof/>
          <w:szCs w:val="24"/>
        </w:rPr>
      </w:pPr>
      <w:r>
        <w:rPr>
          <w:noProof/>
        </w:rPr>
        <w:t>4.1.1.1.</w:t>
      </w:r>
      <w:r>
        <w:rPr>
          <w:noProof/>
        </w:rPr>
        <w:tab/>
        <w:t>Les activités de surveillance menées par les services techniques (désignés ou reconnus suivant les modalités visées au point 2.3.3) sont considérées comme satisfaisant aux prescriptions du point 4.1.1 en ce qui concerne les procédures établies lors de l’évaluation initiale.</w:t>
      </w:r>
    </w:p>
    <w:p>
      <w:pPr>
        <w:spacing w:after="0"/>
        <w:ind w:left="1134" w:hanging="1134"/>
        <w:rPr>
          <w:rFonts w:eastAsia="Arial Unicode MS"/>
          <w:noProof/>
          <w:szCs w:val="24"/>
        </w:rPr>
      </w:pPr>
      <w:r>
        <w:rPr>
          <w:noProof/>
        </w:rPr>
        <w:t>4.1.1.2.</w:t>
      </w:r>
      <w:r>
        <w:rPr>
          <w:noProof/>
        </w:rPr>
        <w:tab/>
        <w:t>La fréquence normale des vérifications (autres que celles visées au point 4.1.1.1) par l’autorité compétente en matière de réception doit être telle que les contrôles pertinents appliqués conformément aux sections 2 et 3 sont passés en revue selon une périodicité fondée sur une méthode d’évaluation des risques conforme à la norme internationale ISO 31000:2009 − Management du risque − Principes et lignes directrices, et au moins une fois tous les trois ans. Cette méthode tient compte, en particulier, de tout problème de non-conformité soulevé par d’autres États membres dans le contexte de l’article 54, paragraphe 1.</w:t>
      </w:r>
    </w:p>
    <w:p>
      <w:pPr>
        <w:spacing w:after="0"/>
        <w:ind w:left="1134" w:hanging="1134"/>
        <w:rPr>
          <w:rFonts w:eastAsia="Arial Unicode MS"/>
          <w:noProof/>
          <w:szCs w:val="24"/>
        </w:rPr>
      </w:pPr>
      <w:r>
        <w:rPr>
          <w:noProof/>
        </w:rPr>
        <w:t>4.2.</w:t>
      </w:r>
      <w:r>
        <w:rPr>
          <w:noProof/>
        </w:rPr>
        <w:tab/>
        <w:t>Lors de toute inspection, les registres d’essais et de contrôles et les registres de production, notamment ceux enregistrant les essais ou contrôles documentés comme prescrit au point 2.2, sont mis à la disposition de l’inspecteur.</w:t>
      </w:r>
    </w:p>
    <w:p>
      <w:pPr>
        <w:spacing w:after="0"/>
        <w:ind w:left="1134" w:hanging="1134"/>
        <w:rPr>
          <w:rFonts w:eastAsia="Arial Unicode MS"/>
          <w:noProof/>
          <w:szCs w:val="24"/>
        </w:rPr>
      </w:pPr>
      <w:r>
        <w:rPr>
          <w:noProof/>
        </w:rPr>
        <w:t>4.3.</w:t>
      </w:r>
      <w:r>
        <w:rPr>
          <w:noProof/>
        </w:rPr>
        <w:tab/>
        <w:t>L’inspecteur peut prélever au hasard des échantillons qui seront soumis à essai dans le laboratoire du constructeur ou dans les locaux du service technique. Dans ce cas, seuls les essais physiques sont admis. Le nombre minimal d’échantillons peut être déterminé en fonction des résultats des contrôles effectués par le constructeur lui-même.</w:t>
      </w:r>
    </w:p>
    <w:p>
      <w:pPr>
        <w:spacing w:after="0"/>
        <w:ind w:left="1134" w:hanging="1134"/>
        <w:rPr>
          <w:rFonts w:eastAsia="Arial Unicode MS"/>
          <w:noProof/>
          <w:szCs w:val="24"/>
        </w:rPr>
      </w:pPr>
      <w:r>
        <w:rPr>
          <w:noProof/>
        </w:rPr>
        <w:t>4.4.</w:t>
      </w:r>
      <w:r>
        <w:rPr>
          <w:noProof/>
        </w:rPr>
        <w:tab/>
        <w:t>L’inspecteur qui est d’avis que le niveau de contrôle est insatisfaisant ou juge nécessaire de vérifier la validité des essais effectués conformément au point 4.2 sélectionne des échantillons à envoyer à un service technique afin d’effectuer des essais physiques conformément aux prescriptions relatives à la conformité de la production énoncées dans les actes réglementaires indiqués dans l’annexe IV.</w:t>
      </w:r>
    </w:p>
    <w:p>
      <w:pPr>
        <w:spacing w:after="0"/>
        <w:ind w:left="1134" w:hanging="1134"/>
        <w:rPr>
          <w:rFonts w:eastAsia="Arial Unicode MS"/>
          <w:noProof/>
          <w:szCs w:val="24"/>
        </w:rPr>
      </w:pPr>
      <w:r>
        <w:rPr>
          <w:noProof/>
        </w:rPr>
        <w:t>4.5.</w:t>
      </w:r>
      <w:r>
        <w:rPr>
          <w:noProof/>
        </w:rPr>
        <w:tab/>
        <w:t>Quand une visite d’inspection ou de surveillance ne donne pas satisfaction, l’autorité compétente en matière de réception veille à ce que toutes les dispositions nécessaires soient prises par le constructeur pour rétablir aussi rapidement que possible la conformité de la production.</w:t>
      </w:r>
    </w:p>
    <w:p>
      <w:pPr>
        <w:spacing w:after="0"/>
        <w:ind w:left="1134" w:hanging="1134"/>
        <w:rPr>
          <w:rFonts w:eastAsia="Arial Unicode MS"/>
          <w:noProof/>
          <w:szCs w:val="24"/>
        </w:rPr>
      </w:pPr>
      <w:r>
        <w:rPr>
          <w:noProof/>
        </w:rPr>
        <w:t>4.6.</w:t>
      </w:r>
      <w:r>
        <w:rPr>
          <w:noProof/>
        </w:rPr>
        <w:tab/>
        <w:t>Lorsque le présent règlement requiert la conformité aux dispositions de règlements de la CEE-ONU, le constructeur peut opter pour l’application des dispositions de la présente annexe à titre de solution alternative équivalente aux prescriptions en matière de conformité de la production énoncées dans les règlements de la CEE-ONU. Toutefois, lorsque le point 4.4 ou 4.5 s’applique, toute prescription distincte relative à la conformité de la production énoncée dans les règlements de la CEE-ONU doit être respectée à la satisfaction de l’autorité compétente en matière de réception jusqu’à ce que celle-ci décide que la conformité de la production a été rétablie.</w:t>
      </w:r>
    </w:p>
    <w:p>
      <w:pPr>
        <w:spacing w:before="0" w:after="0"/>
        <w:jc w:val="left"/>
        <w:rPr>
          <w:rFonts w:eastAsia="Arial Unicode MS"/>
          <w:noProof/>
          <w:szCs w:val="24"/>
        </w:rPr>
      </w:pPr>
      <w:r>
        <w:rPr>
          <w:rFonts w:eastAsia="Arial Unicode MS"/>
          <w:noProof/>
          <w:szCs w:val="24"/>
        </w:rPr>
        <w:pict>
          <v:rect id="_x0000_i1051" style="width:45.35pt;height:.75pt" o:hrpct="100" o:hralign="center" o:hrstd="t" o:hrnoshade="t" o:hr="t" fillcolor="black" stroked="f"/>
        </w:pict>
      </w:r>
    </w:p>
    <w:p>
      <w:pPr>
        <w:pStyle w:val="Annexetitre"/>
        <w:rPr>
          <w:noProof/>
        </w:rPr>
      </w:pPr>
      <w:r>
        <w:rPr>
          <w:noProof/>
        </w:rPr>
        <w:br w:type="page"/>
        <w:t>ANNEXE XI</w:t>
      </w:r>
    </w:p>
    <w:p>
      <w:pPr>
        <w:spacing w:before="240" w:after="240"/>
        <w:jc w:val="center"/>
        <w:rPr>
          <w:rFonts w:eastAsia="Arial Unicode MS"/>
          <w:b/>
          <w:bCs/>
          <w:noProof/>
          <w:szCs w:val="24"/>
        </w:rPr>
      </w:pPr>
      <w:r>
        <w:rPr>
          <w:b/>
          <w:noProof/>
        </w:rPr>
        <w:t>MODÈLE ET SYSTÈME DE NUMÉROTATION POUR LE CERTIFICAT AUTORISANT LA MISE SUR LE MARCHÉ ET LA MISE EN SERVICE DE PIÈCES ET D’ÉQUIPEMENTS SUSCEPTIBLES DE PRÉSENTER UN RISQUE GRAVE POUR LE BON FONCTIONNEMENT DE SYSTÈMES ESSENTIELS</w:t>
      </w:r>
    </w:p>
    <w:p>
      <w:pPr>
        <w:autoSpaceDE w:val="0"/>
        <w:autoSpaceDN w:val="0"/>
        <w:adjustRightInd w:val="0"/>
        <w:ind w:left="851" w:hanging="851"/>
        <w:jc w:val="left"/>
        <w:rPr>
          <w:b/>
          <w:bCs/>
          <w:noProof/>
          <w:szCs w:val="24"/>
        </w:rPr>
      </w:pPr>
      <w:r>
        <w:rPr>
          <w:noProof/>
        </w:rPr>
        <w:t>1.</w:t>
      </w:r>
      <w:r>
        <w:rPr>
          <w:noProof/>
        </w:rPr>
        <w:tab/>
      </w:r>
      <w:r>
        <w:rPr>
          <w:b/>
          <w:noProof/>
        </w:rPr>
        <w:t>Prescriptions générales</w:t>
      </w:r>
    </w:p>
    <w:p>
      <w:pPr>
        <w:autoSpaceDE w:val="0"/>
        <w:autoSpaceDN w:val="0"/>
        <w:adjustRightInd w:val="0"/>
        <w:ind w:left="851" w:hanging="851"/>
        <w:rPr>
          <w:noProof/>
          <w:szCs w:val="24"/>
        </w:rPr>
      </w:pPr>
      <w:r>
        <w:rPr>
          <w:noProof/>
        </w:rPr>
        <w:t>1.1.</w:t>
      </w:r>
      <w:r>
        <w:rPr>
          <w:noProof/>
        </w:rPr>
        <w:tab/>
        <w:t>La mise sur le marché de pièces ou d’équipements susceptibles de présenter un risque grave pour le bon fonctionnement de systèmes essentiels à la sécurité du véhicule ou à sa performance environnementale est soumise à autorisation conformément à l’article 55, paragraphe 1, du règlement (UE) n</w:t>
      </w:r>
      <w:r>
        <w:rPr>
          <w:noProof/>
          <w:vertAlign w:val="superscript"/>
        </w:rPr>
        <w:t>o</w:t>
      </w:r>
      <w:r>
        <w:rPr>
          <w:noProof/>
        </w:rPr>
        <w:t> xxx/201X.</w:t>
      </w:r>
    </w:p>
    <w:p>
      <w:pPr>
        <w:autoSpaceDE w:val="0"/>
        <w:autoSpaceDN w:val="0"/>
        <w:adjustRightInd w:val="0"/>
        <w:ind w:left="851" w:hanging="851"/>
        <w:rPr>
          <w:noProof/>
          <w:szCs w:val="24"/>
        </w:rPr>
      </w:pPr>
      <w:r>
        <w:rPr>
          <w:noProof/>
        </w:rPr>
        <w:t>1.2.</w:t>
      </w:r>
      <w:r>
        <w:rPr>
          <w:noProof/>
        </w:rPr>
        <w:tab/>
        <w:t>Cette autorisation est donnée sous la forme d’un certificat, dont un modèle est présenté dans l’appendice de la présente annexe et dont le système de numérotation est décrit à la section 2.</w:t>
      </w:r>
    </w:p>
    <w:p>
      <w:pPr>
        <w:autoSpaceDE w:val="0"/>
        <w:autoSpaceDN w:val="0"/>
        <w:adjustRightInd w:val="0"/>
        <w:ind w:left="851" w:hanging="851"/>
        <w:rPr>
          <w:noProof/>
          <w:szCs w:val="24"/>
        </w:rPr>
      </w:pPr>
      <w:r>
        <w:rPr>
          <w:noProof/>
        </w:rPr>
        <w:t>1.3.</w:t>
      </w:r>
      <w:r>
        <w:rPr>
          <w:noProof/>
        </w:rPr>
        <w:tab/>
        <w:t>Le certificat visé au point 1.2 comprend des prescriptions concernant la sécurité de la construction et la sécurité fonctionnelle, ainsi que la protection de l’environnement et, si nécessaire, les normes applicables aux essais. Ces prescriptions peuvent être basées sur les actes réglementaires énumérés dans l’annexe IV du règlement (UE) XXX/201X, peuvent être élaborées en fonction des progrès technologiques accomplis en matière de sécurité, de protection de l’environnement et d’essais ou, s’il s’agit là d’un moyen approprié d’atteindre les objectifs fixés concernant la sécurité ou la protection de l’environnement, peuvent consister en une comparaison de la pièce ou de l’équipement concerné avec les performances en matière de sécurité ou de protection de l’environnement du véhicule d’origine ou de l’un de ses éléments, selon le cas.</w:t>
      </w:r>
    </w:p>
    <w:p>
      <w:pPr>
        <w:autoSpaceDE w:val="0"/>
        <w:autoSpaceDN w:val="0"/>
        <w:adjustRightInd w:val="0"/>
        <w:ind w:left="851" w:hanging="851"/>
        <w:rPr>
          <w:noProof/>
          <w:szCs w:val="24"/>
        </w:rPr>
      </w:pPr>
      <w:r>
        <w:rPr>
          <w:noProof/>
        </w:rPr>
        <w:t>1.4.</w:t>
      </w:r>
      <w:r>
        <w:rPr>
          <w:noProof/>
        </w:rPr>
        <w:tab/>
        <w:t>La présente annexe ne s’applique pas aux pièces ou équipements qui ne figurent pas sur la liste de l’annexe XIII. Pour chaque entrée ou groupe d’entrées de l’annexe XIII, une période de transition d’une durée raisonnable est fixée afin de permettre au fabricant de la pièce ou de l’équipement concerné de demander et d’obtenir une autorisation. S’il y a lieu, une date peut également être fixée en vue d’exclure de l’application de la présente annexe les pièces et équipements qui ont été conçus pour des véhicules réceptionnés par type avant cette date.</w:t>
      </w:r>
    </w:p>
    <w:p>
      <w:pPr>
        <w:autoSpaceDE w:val="0"/>
        <w:autoSpaceDN w:val="0"/>
        <w:adjustRightInd w:val="0"/>
        <w:spacing w:before="240"/>
        <w:ind w:left="851" w:hanging="851"/>
        <w:rPr>
          <w:b/>
          <w:bCs/>
          <w:noProof/>
          <w:szCs w:val="24"/>
        </w:rPr>
      </w:pPr>
      <w:r>
        <w:rPr>
          <w:noProof/>
        </w:rPr>
        <w:t>2.</w:t>
      </w:r>
      <w:r>
        <w:rPr>
          <w:noProof/>
        </w:rPr>
        <w:tab/>
      </w:r>
      <w:r>
        <w:rPr>
          <w:b/>
          <w:noProof/>
        </w:rPr>
        <w:t>Système de numérotation</w:t>
      </w:r>
    </w:p>
    <w:p>
      <w:pPr>
        <w:autoSpaceDE w:val="0"/>
        <w:autoSpaceDN w:val="0"/>
        <w:adjustRightInd w:val="0"/>
        <w:ind w:left="851" w:hanging="851"/>
        <w:rPr>
          <w:noProof/>
          <w:szCs w:val="24"/>
        </w:rPr>
      </w:pPr>
      <w:r>
        <w:rPr>
          <w:noProof/>
        </w:rPr>
        <w:t>2.1.</w:t>
      </w:r>
      <w:r>
        <w:rPr>
          <w:noProof/>
        </w:rPr>
        <w:tab/>
        <w:t>Le numéro du certificat pour la mise sur le marché et la mise en service de pièces ou d’équipements susceptibles de présenter un risque grave pour le bon fonctionnement de systèmes essentiels est constitué de cinq parties, comme spécifié aux points 2.1.1 à 2.1.5. Les parties doivent être séparées par un astérisque («*»).</w:t>
      </w:r>
    </w:p>
    <w:p>
      <w:pPr>
        <w:autoSpaceDE w:val="0"/>
        <w:autoSpaceDN w:val="0"/>
        <w:adjustRightInd w:val="0"/>
        <w:ind w:left="851" w:hanging="851"/>
        <w:rPr>
          <w:noProof/>
          <w:szCs w:val="24"/>
        </w:rPr>
      </w:pPr>
      <w:r>
        <w:rPr>
          <w:noProof/>
        </w:rPr>
        <w:t>2.1.1.</w:t>
      </w:r>
      <w:r>
        <w:rPr>
          <w:noProof/>
        </w:rPr>
        <w:tab/>
        <w:t>Partie 1: un «e» minuscule suivi du numéro distinctif de l’État membre (indiqué dans l’appendice de l’annexe VII) qui délivre le certificat.</w:t>
      </w:r>
    </w:p>
    <w:p>
      <w:pPr>
        <w:autoSpaceDE w:val="0"/>
        <w:autoSpaceDN w:val="0"/>
        <w:adjustRightInd w:val="0"/>
        <w:ind w:left="851" w:hanging="851"/>
        <w:rPr>
          <w:noProof/>
          <w:szCs w:val="24"/>
        </w:rPr>
      </w:pPr>
      <w:r>
        <w:rPr>
          <w:noProof/>
        </w:rPr>
        <w:t>2.1.2.</w:t>
      </w:r>
      <w:r>
        <w:rPr>
          <w:noProof/>
        </w:rPr>
        <w:tab/>
        <w:t>Partie 2: le numéro du règlement (UE) XXX/201X: «XXX/201X» doit être indiqué.</w:t>
      </w:r>
    </w:p>
    <w:p>
      <w:pPr>
        <w:autoSpaceDE w:val="0"/>
        <w:autoSpaceDN w:val="0"/>
        <w:adjustRightInd w:val="0"/>
        <w:ind w:left="851" w:hanging="851"/>
        <w:rPr>
          <w:noProof/>
          <w:szCs w:val="24"/>
        </w:rPr>
      </w:pPr>
      <w:r>
        <w:rPr>
          <w:noProof/>
        </w:rPr>
        <w:t>2.1.3.</w:t>
      </w:r>
      <w:r>
        <w:rPr>
          <w:noProof/>
        </w:rPr>
        <w:tab/>
        <w:t>Partie 3: l’identification de la pièce ou de l’équipement, selon la liste de l’annexe XIII.</w:t>
      </w:r>
    </w:p>
    <w:p>
      <w:pPr>
        <w:autoSpaceDE w:val="0"/>
        <w:autoSpaceDN w:val="0"/>
        <w:adjustRightInd w:val="0"/>
        <w:ind w:left="1701" w:hanging="851"/>
        <w:rPr>
          <w:noProof/>
          <w:szCs w:val="24"/>
        </w:rPr>
      </w:pPr>
      <w:r>
        <w:rPr>
          <w:noProof/>
        </w:rPr>
        <w:t>–</w:t>
      </w:r>
      <w:r>
        <w:rPr>
          <w:noProof/>
        </w:rPr>
        <w:tab/>
        <w:t>Pour les pièces ou équipements qui ont une incidence significative sur la sécurité de la construction et/ou la sécurité fonctionnelle du véhicule, il s’agit du symbole «I», suivi du caractère «/» et du numéro d’élément correspondant de la liste du point I de l’annexe XIII. Le numéro d’élément se compose de trois chiffres et commence à «001».</w:t>
      </w:r>
    </w:p>
    <w:p>
      <w:pPr>
        <w:autoSpaceDE w:val="0"/>
        <w:autoSpaceDN w:val="0"/>
        <w:adjustRightInd w:val="0"/>
        <w:ind w:left="1701" w:hanging="851"/>
        <w:rPr>
          <w:noProof/>
          <w:szCs w:val="24"/>
        </w:rPr>
      </w:pPr>
      <w:r>
        <w:rPr>
          <w:noProof/>
        </w:rPr>
        <w:t>–</w:t>
      </w:r>
      <w:r>
        <w:rPr>
          <w:noProof/>
        </w:rPr>
        <w:tab/>
        <w:t>Pour les pièces ou équipements qui ont une incidence significative sur la performance environnementale du véhicule, il s’agit du symbole «II», suivi du caractère «/» et du numéro d’élément correspondant de la liste du point II de l’annexe XIII. Le numéro d’élément se compose de trois chiffres et commence à «001».</w:t>
      </w:r>
    </w:p>
    <w:p>
      <w:pPr>
        <w:autoSpaceDE w:val="0"/>
        <w:autoSpaceDN w:val="0"/>
        <w:adjustRightInd w:val="0"/>
        <w:ind w:left="851" w:hanging="851"/>
        <w:rPr>
          <w:noProof/>
          <w:szCs w:val="24"/>
        </w:rPr>
      </w:pPr>
      <w:r>
        <w:rPr>
          <w:noProof/>
        </w:rPr>
        <w:t>2.1.4.</w:t>
      </w:r>
      <w:r>
        <w:rPr>
          <w:noProof/>
        </w:rPr>
        <w:tab/>
        <w:t>Partie 4: numéro séquentiel du certificat:</w:t>
      </w:r>
    </w:p>
    <w:p>
      <w:pPr>
        <w:autoSpaceDE w:val="0"/>
        <w:autoSpaceDN w:val="0"/>
        <w:adjustRightInd w:val="0"/>
        <w:ind w:left="1701" w:hanging="851"/>
        <w:rPr>
          <w:noProof/>
          <w:szCs w:val="24"/>
        </w:rPr>
      </w:pPr>
      <w:r>
        <w:rPr>
          <w:noProof/>
        </w:rPr>
        <w:t>–</w:t>
      </w:r>
      <w:r>
        <w:rPr>
          <w:noProof/>
        </w:rPr>
        <w:tab/>
        <w:t>un numéro d’ordre commençant par des zéros (le cas échéant), indiquant le numéro du certificat. Le numéro séquentiel se compose de trois chiffres et commence à «001».</w:t>
      </w:r>
    </w:p>
    <w:p>
      <w:pPr>
        <w:autoSpaceDE w:val="0"/>
        <w:autoSpaceDN w:val="0"/>
        <w:adjustRightInd w:val="0"/>
        <w:ind w:left="851" w:hanging="851"/>
        <w:rPr>
          <w:noProof/>
          <w:szCs w:val="24"/>
        </w:rPr>
      </w:pPr>
      <w:r>
        <w:rPr>
          <w:noProof/>
        </w:rPr>
        <w:t>2.1.5.</w:t>
      </w:r>
      <w:r>
        <w:rPr>
          <w:noProof/>
        </w:rPr>
        <w:tab/>
        <w:t>Partie 5: numéro séquentiel indiquant l’extension du certificat:</w:t>
      </w:r>
    </w:p>
    <w:p>
      <w:pPr>
        <w:autoSpaceDE w:val="0"/>
        <w:autoSpaceDN w:val="0"/>
        <w:adjustRightInd w:val="0"/>
        <w:ind w:left="1701" w:hanging="851"/>
        <w:rPr>
          <w:noProof/>
          <w:szCs w:val="24"/>
        </w:rPr>
      </w:pPr>
      <w:r>
        <w:rPr>
          <w:noProof/>
        </w:rPr>
        <w:t>–</w:t>
      </w:r>
      <w:r>
        <w:rPr>
          <w:noProof/>
        </w:rPr>
        <w:tab/>
        <w:t>un numéro séquentiel à deux chiffres, le cas échéant avec un zéro initial, et commençant à «00», pour chaque numéro de certificat délivré.</w:t>
      </w:r>
    </w:p>
    <w:p>
      <w:pPr>
        <w:autoSpaceDE w:val="0"/>
        <w:autoSpaceDN w:val="0"/>
        <w:adjustRightInd w:val="0"/>
        <w:ind w:left="851" w:hanging="851"/>
        <w:rPr>
          <w:noProof/>
          <w:szCs w:val="24"/>
        </w:rPr>
      </w:pPr>
      <w:r>
        <w:rPr>
          <w:noProof/>
        </w:rPr>
        <w:t>2.2.</w:t>
      </w:r>
      <w:r>
        <w:rPr>
          <w:noProof/>
        </w:rPr>
        <w:tab/>
        <w:t>Format de la numérotation d’un certificat (avec des numéros séquentiels fictifs à titre d’illustration)</w:t>
      </w:r>
    </w:p>
    <w:p>
      <w:pPr>
        <w:autoSpaceDE w:val="0"/>
        <w:autoSpaceDN w:val="0"/>
        <w:adjustRightInd w:val="0"/>
        <w:ind w:left="851"/>
        <w:rPr>
          <w:noProof/>
          <w:szCs w:val="24"/>
        </w:rPr>
      </w:pPr>
      <w:r>
        <w:rPr>
          <w:noProof/>
        </w:rPr>
        <w:t>Exemple de numéro d’un certificat délivré par la Bulgarie pour des pièces ou équipements intégrés dans un véhicule ayant fait l’objet d’une réception par type au titre du règlement (UE) n</w:t>
      </w:r>
      <w:r>
        <w:rPr>
          <w:noProof/>
          <w:vertAlign w:val="superscript"/>
        </w:rPr>
        <w:t>o</w:t>
      </w:r>
      <w:r>
        <w:rPr>
          <w:noProof/>
        </w:rPr>
        <w:t> XXX/201X:</w:t>
      </w:r>
    </w:p>
    <w:p>
      <w:pPr>
        <w:autoSpaceDE w:val="0"/>
        <w:autoSpaceDN w:val="0"/>
        <w:adjustRightInd w:val="0"/>
        <w:ind w:left="1701" w:hanging="851"/>
        <w:rPr>
          <w:noProof/>
          <w:szCs w:val="24"/>
          <w:lang w:val="it-IT"/>
        </w:rPr>
      </w:pPr>
      <w:r>
        <w:rPr>
          <w:noProof/>
          <w:lang w:val="it-IT"/>
        </w:rPr>
        <w:t>–</w:t>
      </w:r>
      <w:r>
        <w:rPr>
          <w:noProof/>
          <w:lang w:val="it-IT"/>
        </w:rPr>
        <w:tab/>
        <w:t>e34*XXX/201X*II/002*148*00</w:t>
      </w:r>
    </w:p>
    <w:p>
      <w:pPr>
        <w:autoSpaceDE w:val="0"/>
        <w:autoSpaceDN w:val="0"/>
        <w:adjustRightInd w:val="0"/>
        <w:ind w:left="2552" w:hanging="851"/>
        <w:rPr>
          <w:noProof/>
          <w:szCs w:val="24"/>
          <w:lang w:val="it-IT"/>
        </w:rPr>
      </w:pPr>
      <w:r>
        <w:rPr>
          <w:noProof/>
          <w:lang w:val="it-IT"/>
        </w:rPr>
        <w:t>–</w:t>
      </w:r>
      <w:r>
        <w:rPr>
          <w:noProof/>
          <w:lang w:val="it-IT"/>
        </w:rPr>
        <w:tab/>
        <w:t>e34= Bulgarie (partie 1)</w:t>
      </w:r>
    </w:p>
    <w:p>
      <w:pPr>
        <w:autoSpaceDE w:val="0"/>
        <w:autoSpaceDN w:val="0"/>
        <w:adjustRightInd w:val="0"/>
        <w:ind w:left="2552" w:hanging="851"/>
        <w:rPr>
          <w:noProof/>
          <w:szCs w:val="24"/>
        </w:rPr>
      </w:pPr>
      <w:r>
        <w:rPr>
          <w:noProof/>
        </w:rPr>
        <w:t>–</w:t>
      </w:r>
      <w:r>
        <w:rPr>
          <w:noProof/>
        </w:rPr>
        <w:tab/>
        <w:t>XXX/201X = règlement (UE) XXX/201X (partie 2)</w:t>
      </w:r>
    </w:p>
    <w:p>
      <w:pPr>
        <w:autoSpaceDE w:val="0"/>
        <w:autoSpaceDN w:val="0"/>
        <w:adjustRightInd w:val="0"/>
        <w:ind w:left="2552" w:hanging="851"/>
        <w:rPr>
          <w:noProof/>
          <w:szCs w:val="24"/>
        </w:rPr>
      </w:pPr>
      <w:r>
        <w:rPr>
          <w:noProof/>
        </w:rPr>
        <w:t>–</w:t>
      </w:r>
      <w:r>
        <w:rPr>
          <w:noProof/>
        </w:rPr>
        <w:tab/>
        <w:t>II/002 = élément «002» de la liste de pièces ou d’équipements ayant une incidence significative sur la performance environnementale du véhicule (partie 3)</w:t>
      </w:r>
    </w:p>
    <w:p>
      <w:pPr>
        <w:autoSpaceDE w:val="0"/>
        <w:autoSpaceDN w:val="0"/>
        <w:adjustRightInd w:val="0"/>
        <w:ind w:left="2552" w:hanging="851"/>
        <w:rPr>
          <w:noProof/>
          <w:szCs w:val="24"/>
        </w:rPr>
      </w:pPr>
      <w:r>
        <w:rPr>
          <w:noProof/>
        </w:rPr>
        <w:t>–</w:t>
      </w:r>
      <w:r>
        <w:rPr>
          <w:noProof/>
        </w:rPr>
        <w:tab/>
        <w:t>148 = numéro séquentiel du certificat (partie 4)</w:t>
      </w:r>
    </w:p>
    <w:p>
      <w:pPr>
        <w:autoSpaceDE w:val="0"/>
        <w:autoSpaceDN w:val="0"/>
        <w:adjustRightInd w:val="0"/>
        <w:ind w:left="2552" w:hanging="851"/>
        <w:rPr>
          <w:noProof/>
          <w:szCs w:val="24"/>
        </w:rPr>
      </w:pPr>
      <w:r>
        <w:rPr>
          <w:noProof/>
        </w:rPr>
        <w:t>–</w:t>
      </w:r>
      <w:r>
        <w:rPr>
          <w:noProof/>
        </w:rPr>
        <w:tab/>
        <w:t>00 = numéro d’extension (partie 5)</w:t>
      </w:r>
    </w:p>
    <w:p>
      <w:pPr>
        <w:autoSpaceDE w:val="0"/>
        <w:autoSpaceDN w:val="0"/>
        <w:adjustRightInd w:val="0"/>
        <w:ind w:left="851" w:hanging="1"/>
        <w:rPr>
          <w:noProof/>
          <w:szCs w:val="24"/>
        </w:rPr>
      </w:pPr>
      <w:r>
        <w:rPr>
          <w:noProof/>
        </w:rPr>
        <w:t>Exemple de numéro d’un certificat délivré par l’Autriche pour des pièces ou équipements intégrés dans un véhicule réceptionné par type au titre du règlement (UE) n</w:t>
      </w:r>
      <w:r>
        <w:rPr>
          <w:noProof/>
          <w:vertAlign w:val="superscript"/>
        </w:rPr>
        <w:t>o</w:t>
      </w:r>
      <w:r>
        <w:rPr>
          <w:noProof/>
        </w:rPr>
        <w:t> XXX/201X, qui a fait l’objet d’une extension:</w:t>
      </w:r>
    </w:p>
    <w:p>
      <w:pPr>
        <w:autoSpaceDE w:val="0"/>
        <w:autoSpaceDN w:val="0"/>
        <w:adjustRightInd w:val="0"/>
        <w:ind w:left="2552" w:hanging="851"/>
        <w:rPr>
          <w:noProof/>
          <w:szCs w:val="24"/>
          <w:lang w:val="it-IT"/>
        </w:rPr>
      </w:pPr>
      <w:r>
        <w:rPr>
          <w:noProof/>
          <w:lang w:val="it-IT"/>
        </w:rPr>
        <w:t>–</w:t>
      </w:r>
      <w:r>
        <w:rPr>
          <w:noProof/>
          <w:lang w:val="it-IT"/>
        </w:rPr>
        <w:tab/>
        <w:t>e12*168/2013*I/034*225*01</w:t>
      </w:r>
    </w:p>
    <w:p>
      <w:pPr>
        <w:autoSpaceDE w:val="0"/>
        <w:autoSpaceDN w:val="0"/>
        <w:adjustRightInd w:val="0"/>
        <w:ind w:left="3402" w:hanging="851"/>
        <w:rPr>
          <w:noProof/>
          <w:szCs w:val="24"/>
          <w:lang w:val="it-IT"/>
        </w:rPr>
      </w:pPr>
      <w:r>
        <w:rPr>
          <w:noProof/>
          <w:lang w:val="it-IT"/>
        </w:rPr>
        <w:t>–</w:t>
      </w:r>
      <w:r>
        <w:rPr>
          <w:noProof/>
          <w:lang w:val="it-IT"/>
        </w:rPr>
        <w:tab/>
        <w:t>e12 = Autriche (partie 1)</w:t>
      </w:r>
    </w:p>
    <w:p>
      <w:pPr>
        <w:autoSpaceDE w:val="0"/>
        <w:autoSpaceDN w:val="0"/>
        <w:adjustRightInd w:val="0"/>
        <w:ind w:left="3402" w:hanging="851"/>
        <w:rPr>
          <w:noProof/>
          <w:szCs w:val="24"/>
        </w:rPr>
      </w:pPr>
      <w:r>
        <w:rPr>
          <w:noProof/>
        </w:rPr>
        <w:t>–</w:t>
      </w:r>
      <w:r>
        <w:rPr>
          <w:noProof/>
        </w:rPr>
        <w:tab/>
        <w:t>XXX/201X = règlement (UE) XXX/201X (partie 2)</w:t>
      </w:r>
    </w:p>
    <w:p>
      <w:pPr>
        <w:autoSpaceDE w:val="0"/>
        <w:autoSpaceDN w:val="0"/>
        <w:adjustRightInd w:val="0"/>
        <w:ind w:left="3402" w:hanging="851"/>
        <w:rPr>
          <w:noProof/>
          <w:szCs w:val="24"/>
        </w:rPr>
      </w:pPr>
      <w:r>
        <w:rPr>
          <w:noProof/>
        </w:rPr>
        <w:t>–</w:t>
      </w:r>
      <w:r>
        <w:rPr>
          <w:noProof/>
        </w:rPr>
        <w:tab/>
        <w:t>I/034 = élément «034» de la liste de pièces ou d’équipements ayant une incidence significative sur la sécurité de la construction et/ou la sécurité fonctionnelle du véhicule (partie 3)</w:t>
      </w:r>
    </w:p>
    <w:p>
      <w:pPr>
        <w:autoSpaceDE w:val="0"/>
        <w:autoSpaceDN w:val="0"/>
        <w:adjustRightInd w:val="0"/>
        <w:ind w:left="3402" w:hanging="851"/>
        <w:rPr>
          <w:noProof/>
          <w:szCs w:val="24"/>
        </w:rPr>
      </w:pPr>
      <w:r>
        <w:rPr>
          <w:noProof/>
        </w:rPr>
        <w:t>–</w:t>
      </w:r>
      <w:r>
        <w:rPr>
          <w:noProof/>
        </w:rPr>
        <w:tab/>
        <w:t>225 = numéro séquentiel du certificat (partie 4)</w:t>
      </w:r>
    </w:p>
    <w:p>
      <w:pPr>
        <w:autoSpaceDE w:val="0"/>
        <w:autoSpaceDN w:val="0"/>
        <w:adjustRightInd w:val="0"/>
        <w:ind w:left="3402" w:hanging="851"/>
        <w:rPr>
          <w:noProof/>
          <w:szCs w:val="24"/>
        </w:rPr>
      </w:pPr>
      <w:r>
        <w:rPr>
          <w:noProof/>
        </w:rPr>
        <w:t>–</w:t>
      </w:r>
      <w:r>
        <w:rPr>
          <w:noProof/>
        </w:rPr>
        <w:tab/>
        <w:t>01 = numéro d’extension (partie 5)</w:t>
      </w:r>
    </w:p>
    <w:p>
      <w:pPr>
        <w:autoSpaceDE w:val="0"/>
        <w:autoSpaceDN w:val="0"/>
        <w:adjustRightInd w:val="0"/>
        <w:ind w:left="851" w:hanging="851"/>
        <w:jc w:val="center"/>
        <w:rPr>
          <w:rFonts w:eastAsia="Arial Unicode MS"/>
          <w:i/>
          <w:iCs/>
          <w:noProof/>
          <w:szCs w:val="24"/>
        </w:rPr>
      </w:pPr>
      <w:r>
        <w:rPr>
          <w:noProof/>
        </w:rPr>
        <w:br w:type="page"/>
      </w:r>
      <w:r>
        <w:rPr>
          <w:i/>
          <w:noProof/>
        </w:rPr>
        <w:t>Appendice</w:t>
      </w:r>
    </w:p>
    <w:p>
      <w:pPr>
        <w:spacing w:before="0"/>
        <w:jc w:val="center"/>
        <w:rPr>
          <w:rFonts w:eastAsia="Arial Unicode MS"/>
          <w:b/>
          <w:bCs/>
          <w:noProof/>
          <w:szCs w:val="24"/>
        </w:rPr>
      </w:pPr>
      <w:r>
        <w:rPr>
          <w:b/>
          <w:noProof/>
        </w:rPr>
        <w:t>MODÈLE DU CERTIFICAT D’AUTORISATION UE</w:t>
      </w:r>
    </w:p>
    <w:p>
      <w:pPr>
        <w:spacing w:before="480" w:after="240"/>
        <w:jc w:val="center"/>
        <w:rPr>
          <w:rFonts w:eastAsia="Arial Unicode MS"/>
          <w:bCs/>
          <w:noProof/>
          <w:szCs w:val="24"/>
        </w:rPr>
      </w:pPr>
      <w:r>
        <w:rPr>
          <w:noProof/>
        </w:rPr>
        <w:t>MODÈLE</w:t>
      </w:r>
    </w:p>
    <w:p>
      <w:pPr>
        <w:jc w:val="center"/>
        <w:rPr>
          <w:rFonts w:eastAsia="Arial Unicode MS"/>
          <w:b/>
          <w:bCs/>
          <w:noProof/>
          <w:szCs w:val="24"/>
        </w:rPr>
      </w:pPr>
      <w:r>
        <w:rPr>
          <w:noProof/>
        </w:rPr>
        <w:t>Format maximal: A4 (210 × 297 mm)</w:t>
      </w:r>
    </w:p>
    <w:p>
      <w:pPr>
        <w:spacing w:before="360" w:after="360"/>
        <w:jc w:val="center"/>
        <w:rPr>
          <w:rFonts w:eastAsia="Arial Unicode MS"/>
          <w:b/>
          <w:iCs/>
          <w:noProof/>
          <w:szCs w:val="24"/>
        </w:rPr>
      </w:pPr>
      <w:r>
        <w:rPr>
          <w:b/>
          <w:noProof/>
        </w:rPr>
        <w:t>CERTIFICAT D’AUTORISATION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Tampon de l’autorité compétente en matière de réception</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Cs w:val="24"/>
              </w:rPr>
            </w:pPr>
            <w:r>
              <w:rPr>
                <w:noProof/>
                <w:sz w:val="22"/>
              </w:rPr>
              <w:t>Communication concernant:</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Cs w:val="24"/>
              </w:rPr>
            </w:pPr>
            <w:r>
              <w:rPr>
                <w:rFonts w:eastAsia="Arial Unicode MS"/>
                <w:noProof/>
                <w:szCs w:val="24"/>
                <w:lang w:val="en-US" w:eastAsia="en-US"/>
              </w:rPr>
              <w:drawing>
                <wp:inline distT="0" distB="0" distL="0" distR="0">
                  <wp:extent cx="133350" cy="1097915"/>
                  <wp:effectExtent l="0" t="0" r="0" b="6985"/>
                  <wp:docPr id="5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3350" cy="109791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Cs w:val="24"/>
              </w:rPr>
            </w:pPr>
            <w:r>
              <w:rPr>
                <w:noProof/>
                <w:sz w:val="22"/>
              </w:rPr>
              <w:t>pour la mise sur le marché de pièces ou d’équipements susceptibles de présenter un risque grave pour le bon fonctionnement de systèmes essentiels à la sécurité du véhicule ou à sa performance environnementale</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sz w:val="22"/>
              </w:rPr>
              <w:t>– le certificat d’autorisation (</w:t>
            </w:r>
            <w:r>
              <w:rPr>
                <w:noProof/>
                <w:sz w:val="22"/>
                <w:vertAlign w:val="superscript"/>
              </w:rPr>
              <w:t>1</w:t>
            </w:r>
            <w:r>
              <w:rPr>
                <w:noProof/>
                <w:sz w:val="22"/>
              </w:rPr>
              <w:t>)</w:t>
            </w:r>
          </w:p>
          <w:p>
            <w:pPr>
              <w:spacing w:before="60" w:after="60"/>
              <w:rPr>
                <w:rFonts w:eastAsia="Arial Unicode MS"/>
                <w:noProof/>
                <w:szCs w:val="24"/>
              </w:rPr>
            </w:pPr>
            <w:r>
              <w:rPr>
                <w:noProof/>
                <w:sz w:val="22"/>
              </w:rPr>
              <w:t>– l’extension du certificat d’autorisation (</w:t>
            </w:r>
            <w:r>
              <w:rPr>
                <w:noProof/>
                <w:sz w:val="22"/>
                <w:vertAlign w:val="superscript"/>
              </w:rPr>
              <w:t>1</w:t>
            </w:r>
            <w:r>
              <w:rPr>
                <w:noProof/>
                <w:sz w:val="22"/>
              </w:rPr>
              <w:t>)</w:t>
            </w:r>
          </w:p>
          <w:p>
            <w:pPr>
              <w:spacing w:before="60" w:after="60"/>
              <w:rPr>
                <w:rFonts w:eastAsia="Arial Unicode MS"/>
                <w:noProof/>
                <w:szCs w:val="24"/>
              </w:rPr>
            </w:pPr>
            <w:r>
              <w:rPr>
                <w:noProof/>
                <w:sz w:val="22"/>
              </w:rPr>
              <w:t>– le refus du certificat d’autorisation (</w:t>
            </w:r>
            <w:r>
              <w:rPr>
                <w:noProof/>
                <w:sz w:val="22"/>
                <w:vertAlign w:val="superscript"/>
              </w:rPr>
              <w:t>1</w:t>
            </w:r>
            <w:r>
              <w:rPr>
                <w:noProof/>
                <w:sz w:val="22"/>
              </w:rPr>
              <w:t>)</w:t>
            </w:r>
          </w:p>
          <w:p>
            <w:pPr>
              <w:spacing w:before="60" w:after="60"/>
              <w:rPr>
                <w:rFonts w:eastAsia="Arial Unicode MS"/>
                <w:noProof/>
                <w:szCs w:val="24"/>
              </w:rPr>
            </w:pPr>
            <w:r>
              <w:rPr>
                <w:noProof/>
                <w:sz w:val="22"/>
              </w:rPr>
              <w:t>– le retrait du certificat d’autorisation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Cs w:val="24"/>
              </w:rPr>
            </w:pPr>
          </w:p>
        </w:tc>
      </w:tr>
    </w:tbl>
    <w:p>
      <w:pPr>
        <w:autoSpaceDE w:val="0"/>
        <w:autoSpaceDN w:val="0"/>
        <w:adjustRightInd w:val="0"/>
        <w:spacing w:before="360" w:after="360"/>
        <w:ind w:left="851" w:hanging="851"/>
        <w:jc w:val="center"/>
        <w:rPr>
          <w:rFonts w:eastAsia="Arial Unicode MS"/>
          <w:bCs/>
          <w:noProof/>
          <w:szCs w:val="24"/>
        </w:rPr>
      </w:pPr>
      <w:r>
        <w:rPr>
          <w:noProof/>
        </w:rPr>
        <w:t>SECTION I</w:t>
      </w:r>
    </w:p>
    <w:p>
      <w:pPr>
        <w:autoSpaceDE w:val="0"/>
        <w:autoSpaceDN w:val="0"/>
        <w:adjustRightInd w:val="0"/>
        <w:spacing w:before="240" w:after="240"/>
        <w:ind w:left="851" w:hanging="851"/>
        <w:jc w:val="left"/>
        <w:rPr>
          <w:rFonts w:eastAsia="Arial Unicode MS"/>
          <w:bCs/>
          <w:noProof/>
          <w:szCs w:val="24"/>
        </w:rPr>
      </w:pPr>
      <w:r>
        <w:rPr>
          <w:noProof/>
        </w:rPr>
        <w:t>Genre de pièce/d’équipement: ………………………………………………………….</w:t>
      </w:r>
    </w:p>
    <w:p>
      <w:pPr>
        <w:autoSpaceDE w:val="0"/>
        <w:autoSpaceDN w:val="0"/>
        <w:adjustRightInd w:val="0"/>
        <w:spacing w:before="240" w:after="240"/>
        <w:ind w:left="851" w:hanging="851"/>
        <w:jc w:val="left"/>
        <w:rPr>
          <w:rFonts w:eastAsia="Arial Unicode MS"/>
          <w:bCs/>
          <w:noProof/>
          <w:szCs w:val="24"/>
        </w:rPr>
      </w:pPr>
      <w:r>
        <w:rPr>
          <w:noProof/>
        </w:rPr>
        <w:t>Numéros de pièce/d’équipement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Numéro de certificat d’autorisation UE: ………………………………………………….</w:t>
      </w:r>
    </w:p>
    <w:p>
      <w:pPr>
        <w:autoSpaceDE w:val="0"/>
        <w:autoSpaceDN w:val="0"/>
        <w:adjustRightInd w:val="0"/>
        <w:spacing w:before="240" w:after="240"/>
        <w:ind w:left="851" w:hanging="851"/>
        <w:jc w:val="left"/>
        <w:rPr>
          <w:rFonts w:eastAsia="Arial Unicode MS"/>
          <w:bCs/>
          <w:noProof/>
          <w:szCs w:val="24"/>
        </w:rPr>
      </w:pPr>
      <w:r>
        <w:rPr>
          <w:noProof/>
        </w:rPr>
        <w:t>Raison de l’extension: ………………………………………………………….</w:t>
      </w:r>
    </w:p>
    <w:p>
      <w:pPr>
        <w:autoSpaceDE w:val="0"/>
        <w:autoSpaceDN w:val="0"/>
        <w:adjustRightInd w:val="0"/>
        <w:spacing w:before="240" w:after="240"/>
        <w:ind w:left="851" w:hanging="851"/>
        <w:jc w:val="left"/>
        <w:rPr>
          <w:rFonts w:eastAsia="Arial Unicode MS"/>
          <w:bCs/>
          <w:noProof/>
          <w:szCs w:val="24"/>
        </w:rPr>
      </w:pPr>
      <w:r>
        <w:rPr>
          <w:noProof/>
        </w:rPr>
        <w:t>Nom et adresse du fabricant: ………………………………………………………….</w:t>
      </w:r>
    </w:p>
    <w:p>
      <w:pPr>
        <w:autoSpaceDE w:val="0"/>
        <w:autoSpaceDN w:val="0"/>
        <w:adjustRightInd w:val="0"/>
        <w:spacing w:before="240" w:after="240"/>
        <w:ind w:left="851" w:hanging="851"/>
        <w:jc w:val="left"/>
        <w:rPr>
          <w:rFonts w:eastAsia="Arial Unicode MS"/>
          <w:bCs/>
          <w:noProof/>
          <w:szCs w:val="24"/>
        </w:rPr>
      </w:pPr>
      <w:r>
        <w:rPr>
          <w:noProof/>
        </w:rPr>
        <w:t>Nom(s) et adresse(s) de la (des) usine(s) de fabrication: ……………………………………….</w:t>
      </w:r>
    </w:p>
    <w:p>
      <w:pPr>
        <w:autoSpaceDE w:val="0"/>
        <w:autoSpaceDN w:val="0"/>
        <w:adjustRightInd w:val="0"/>
        <w:spacing w:before="240" w:after="240"/>
        <w:ind w:left="851" w:hanging="851"/>
        <w:jc w:val="left"/>
        <w:rPr>
          <w:rFonts w:eastAsia="Arial Unicode MS"/>
          <w:bCs/>
          <w:noProof/>
          <w:szCs w:val="24"/>
        </w:rPr>
      </w:pPr>
      <w:r>
        <w:rPr>
          <w:noProof/>
        </w:rPr>
        <w:t>Nom et adresse du mandataire du fabricant (le cas échéant): ……………………………..</w:t>
      </w:r>
    </w:p>
    <w:p>
      <w:pPr>
        <w:autoSpaceDE w:val="0"/>
        <w:autoSpaceDN w:val="0"/>
        <w:adjustRightInd w:val="0"/>
        <w:spacing w:before="360" w:after="360"/>
        <w:ind w:left="851" w:hanging="851"/>
        <w:jc w:val="center"/>
        <w:rPr>
          <w:rFonts w:eastAsia="Arial Unicode MS"/>
          <w:bCs/>
          <w:noProof/>
          <w:szCs w:val="24"/>
        </w:rPr>
      </w:pPr>
      <w:r>
        <w:rPr>
          <w:noProof/>
        </w:rPr>
        <w:t>SECTION II</w:t>
      </w:r>
    </w:p>
    <w:p>
      <w:pPr>
        <w:autoSpaceDE w:val="0"/>
        <w:autoSpaceDN w:val="0"/>
        <w:adjustRightInd w:val="0"/>
        <w:spacing w:before="240" w:after="240"/>
        <w:ind w:left="851" w:hanging="851"/>
        <w:jc w:val="left"/>
        <w:rPr>
          <w:rFonts w:eastAsia="Arial Unicode MS"/>
          <w:bCs/>
          <w:noProof/>
          <w:szCs w:val="24"/>
        </w:rPr>
      </w:pPr>
      <w:r>
        <w:rPr>
          <w:noProof/>
        </w:rPr>
        <w:t>La pièce/l’équipement (</w:t>
      </w:r>
      <w:r>
        <w:rPr>
          <w:noProof/>
          <w:vertAlign w:val="superscript"/>
        </w:rPr>
        <w:t>1</w:t>
      </w:r>
      <w:r>
        <w:rPr>
          <w:noProof/>
        </w:rPr>
        <w:t>) est spécifiquement conçu(e) pour être installé(e) sur le ou les véhicules suivants:</w:t>
      </w:r>
    </w:p>
    <w:p>
      <w:pPr>
        <w:autoSpaceDE w:val="0"/>
        <w:autoSpaceDN w:val="0"/>
        <w:adjustRightInd w:val="0"/>
        <w:spacing w:before="240" w:after="240"/>
        <w:ind w:left="851" w:hanging="851"/>
        <w:jc w:val="left"/>
        <w:rPr>
          <w:rFonts w:eastAsia="Arial Unicode MS"/>
          <w:bCs/>
          <w:noProof/>
          <w:szCs w:val="24"/>
        </w:rPr>
      </w:pPr>
      <w:r>
        <w:rPr>
          <w:noProof/>
        </w:rPr>
        <w:t>Marque (dénomination commerciale du constructeur): …………………………………………….</w:t>
      </w:r>
    </w:p>
    <w:p>
      <w:pPr>
        <w:autoSpaceDE w:val="0"/>
        <w:autoSpaceDN w:val="0"/>
        <w:adjustRightInd w:val="0"/>
        <w:spacing w:before="240" w:after="240"/>
        <w:ind w:left="851" w:hanging="851"/>
        <w:jc w:val="left"/>
        <w:rPr>
          <w:rFonts w:eastAsia="Arial Unicode MS"/>
          <w:bCs/>
          <w:noProof/>
          <w:szCs w:val="24"/>
        </w:rPr>
      </w:pPr>
      <w:r>
        <w:rPr>
          <w:noProof/>
        </w:rPr>
        <w:t>Type(s)(</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Variante(s)(</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Version(s)(</w:t>
      </w:r>
      <w:r>
        <w:rPr>
          <w:noProof/>
          <w:vertAlign w:val="superscript"/>
        </w:rPr>
        <w:t>2</w:t>
      </w:r>
      <w:r>
        <w:rPr>
          <w:noProof/>
        </w:rPr>
        <w:t>): …………………………………………………………………………………….</w:t>
      </w:r>
    </w:p>
    <w:p>
      <w:pPr>
        <w:autoSpaceDE w:val="0"/>
        <w:autoSpaceDN w:val="0"/>
        <w:adjustRightInd w:val="0"/>
        <w:spacing w:before="360" w:after="240"/>
        <w:ind w:left="851" w:hanging="851"/>
        <w:jc w:val="center"/>
        <w:rPr>
          <w:rFonts w:eastAsia="Arial Unicode MS"/>
          <w:bCs/>
          <w:noProof/>
          <w:szCs w:val="24"/>
        </w:rPr>
      </w:pPr>
      <w:r>
        <w:rPr>
          <w:noProof/>
        </w:rPr>
        <w:t>SECTION III</w:t>
      </w:r>
    </w:p>
    <w:p>
      <w:pPr>
        <w:autoSpaceDE w:val="0"/>
        <w:autoSpaceDN w:val="0"/>
        <w:adjustRightInd w:val="0"/>
        <w:spacing w:before="240" w:after="240"/>
        <w:ind w:left="851" w:hanging="851"/>
        <w:jc w:val="left"/>
        <w:rPr>
          <w:rFonts w:eastAsia="Arial Unicode MS"/>
          <w:bCs/>
          <w:noProof/>
          <w:szCs w:val="24"/>
        </w:rPr>
      </w:pPr>
      <w:r>
        <w:rPr>
          <w:noProof/>
        </w:rPr>
        <w:t>Prescriptions concernant:</w:t>
      </w:r>
    </w:p>
    <w:p>
      <w:pPr>
        <w:autoSpaceDE w:val="0"/>
        <w:autoSpaceDN w:val="0"/>
        <w:adjustRightInd w:val="0"/>
        <w:spacing w:before="240" w:after="240"/>
        <w:ind w:left="851" w:hanging="851"/>
        <w:jc w:val="left"/>
        <w:rPr>
          <w:rFonts w:eastAsia="Arial Unicode MS"/>
          <w:bCs/>
          <w:noProof/>
          <w:szCs w:val="24"/>
        </w:rPr>
      </w:pPr>
      <w:r>
        <w:rPr>
          <w:noProof/>
        </w:rPr>
        <w:t>a) la sécurité de la construction du véhicule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b) la sécurité fonctionnelle du véhicule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c) la protection de l’environnement du véhicule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d) les normes d’essai (</w:t>
      </w:r>
      <w:r>
        <w:rPr>
          <w:noProof/>
          <w:vertAlign w:val="superscript"/>
        </w:rPr>
        <w:t>1</w:t>
      </w:r>
      <w:r>
        <w:rPr>
          <w:noProof/>
        </w:rPr>
        <w:t>): ……………………………………………………………………….</w:t>
      </w:r>
    </w:p>
    <w:p>
      <w:pPr>
        <w:autoSpaceDE w:val="0"/>
        <w:autoSpaceDN w:val="0"/>
        <w:adjustRightInd w:val="0"/>
        <w:spacing w:before="240" w:after="240"/>
        <w:ind w:left="851" w:hanging="851"/>
        <w:jc w:val="center"/>
        <w:rPr>
          <w:rFonts w:eastAsia="Arial Unicode MS"/>
          <w:bCs/>
          <w:noProof/>
          <w:szCs w:val="24"/>
        </w:rPr>
      </w:pPr>
      <w:r>
        <w:rPr>
          <w:noProof/>
        </w:rPr>
        <w:t>SECTION IV</w:t>
      </w:r>
    </w:p>
    <w:p>
      <w:pPr>
        <w:autoSpaceDE w:val="0"/>
        <w:autoSpaceDN w:val="0"/>
        <w:adjustRightInd w:val="0"/>
        <w:spacing w:before="240" w:after="240"/>
        <w:ind w:left="851" w:hanging="851"/>
        <w:jc w:val="left"/>
        <w:rPr>
          <w:rFonts w:eastAsia="Arial Unicode MS"/>
          <w:bCs/>
          <w:noProof/>
          <w:szCs w:val="24"/>
        </w:rPr>
      </w:pPr>
      <w:r>
        <w:rPr>
          <w:noProof/>
        </w:rPr>
        <w:t>Prescriptions basées sur:</w:t>
      </w:r>
    </w:p>
    <w:p>
      <w:pPr>
        <w:autoSpaceDE w:val="0"/>
        <w:autoSpaceDN w:val="0"/>
        <w:adjustRightInd w:val="0"/>
        <w:spacing w:before="240" w:after="240"/>
        <w:ind w:left="567" w:hanging="567"/>
        <w:rPr>
          <w:rFonts w:eastAsia="Arial Unicode MS"/>
          <w:bCs/>
          <w:noProof/>
          <w:szCs w:val="24"/>
        </w:rPr>
      </w:pPr>
      <w:r>
        <w:rPr>
          <w:noProof/>
        </w:rPr>
        <w:t>a)</w:t>
      </w:r>
      <w:r>
        <w:rPr>
          <w:noProof/>
        </w:rPr>
        <w:tab/>
        <w:t>la ou les annexes (</w:t>
      </w:r>
      <w:r>
        <w:rPr>
          <w:noProof/>
          <w:vertAlign w:val="superscript"/>
        </w:rPr>
        <w:t>3</w:t>
      </w:r>
      <w:r>
        <w:rPr>
          <w:noProof/>
        </w:rPr>
        <w:t>) … du règlement délégué (UE) n</w:t>
      </w:r>
      <w:r>
        <w:rPr>
          <w:noProof/>
          <w:vertAlign w:val="superscript"/>
        </w:rPr>
        <w:t>o</w:t>
      </w:r>
      <w:r>
        <w:rPr>
          <w:noProof/>
        </w:rPr>
        <w:t xml:space="preserve"> …/… de la Commission (et sur la ou les annexes (</w:t>
      </w:r>
      <w:r>
        <w:rPr>
          <w:noProof/>
          <w:vertAlign w:val="superscript"/>
        </w:rPr>
        <w:t>3</w:t>
      </w:r>
      <w:r>
        <w:rPr>
          <w:noProof/>
        </w:rPr>
        <w:t>) … du règlement délégué (UE) n</w:t>
      </w:r>
      <w:r>
        <w:rPr>
          <w:noProof/>
          <w:vertAlign w:val="superscript"/>
        </w:rPr>
        <w:t>o</w:t>
      </w:r>
      <w:r>
        <w:rPr>
          <w:noProof/>
        </w:rPr>
        <w:t xml:space="preserve"> …/… de la Commission)(</w:t>
      </w:r>
      <w:r>
        <w:rPr>
          <w:noProof/>
          <w:vertAlign w:val="superscript"/>
        </w:rPr>
        <w:t>1</w:t>
      </w:r>
      <w:r>
        <w:rPr>
          <w:noProof/>
        </w:rPr>
        <w:t>), modifié en dernier lieu par le règlement (délégué)(</w:t>
      </w:r>
      <w:r>
        <w:rPr>
          <w:noProof/>
          <w:vertAlign w:val="superscript"/>
        </w:rPr>
        <w:t>1</w:t>
      </w:r>
      <w:r>
        <w:rPr>
          <w:noProof/>
        </w:rPr>
        <w:t>) (UE) n</w:t>
      </w:r>
      <w:r>
        <w:rPr>
          <w:noProof/>
          <w:vertAlign w:val="superscript"/>
        </w:rPr>
        <w:t>o</w:t>
      </w:r>
      <w:r>
        <w:rPr>
          <w:noProof/>
        </w:rPr>
        <w:t xml:space="preserve"> …/… (de la Commission) (</w:t>
      </w:r>
      <w:r>
        <w:rPr>
          <w:noProof/>
          <w:vertAlign w:val="superscript"/>
        </w:rPr>
        <w:t>1</w:t>
      </w:r>
      <w:r>
        <w:rPr>
          <w:noProof/>
        </w:rPr>
        <w:t>)(</w:t>
      </w:r>
      <w:r>
        <w:rPr>
          <w:noProof/>
          <w:vertAlign w:val="superscript"/>
        </w:rPr>
        <w:t>4</w:t>
      </w:r>
      <w:r>
        <w:rPr>
          <w:noProof/>
        </w:rPr>
        <w:t>)</w:t>
      </w:r>
    </w:p>
    <w:p>
      <w:pPr>
        <w:autoSpaceDE w:val="0"/>
        <w:autoSpaceDN w:val="0"/>
        <w:adjustRightInd w:val="0"/>
        <w:spacing w:before="240" w:after="240"/>
        <w:ind w:left="567" w:hanging="567"/>
        <w:rPr>
          <w:rFonts w:eastAsia="Arial Unicode MS"/>
          <w:bCs/>
          <w:noProof/>
          <w:szCs w:val="24"/>
        </w:rPr>
      </w:pPr>
      <w:r>
        <w:rPr>
          <w:noProof/>
        </w:rPr>
        <w:t>b)</w:t>
      </w:r>
      <w:r>
        <w:rPr>
          <w:noProof/>
        </w:rPr>
        <w:tab/>
        <w:t>une comparaison de la pièce/de l’équipement (</w:t>
      </w:r>
      <w:r>
        <w:rPr>
          <w:noProof/>
          <w:vertAlign w:val="superscript"/>
        </w:rPr>
        <w:t>1</w:t>
      </w:r>
      <w:r>
        <w:rPr>
          <w:noProof/>
        </w:rPr>
        <w:t>) avec les performances en matière de sécurité/protection de l’environnement (</w:t>
      </w:r>
      <w:r>
        <w:rPr>
          <w:noProof/>
          <w:vertAlign w:val="superscript"/>
        </w:rPr>
        <w:t>1</w:t>
      </w:r>
      <w:r>
        <w:rPr>
          <w:noProof/>
        </w:rPr>
        <w:t>) du véhicule d’origine/des pièces du véhicule d’origine(</w:t>
      </w:r>
      <w:r>
        <w:rPr>
          <w:noProof/>
          <w:vertAlign w:val="superscript"/>
        </w:rPr>
        <w:t>1</w:t>
      </w:r>
      <w:r>
        <w:rPr>
          <w:noProof/>
        </w:rPr>
        <w:t>) (expliquer) (</w:t>
      </w:r>
      <w:r>
        <w:rPr>
          <w:noProof/>
          <w:vertAlign w:val="superscript"/>
        </w:rPr>
        <w:t>1</w:t>
      </w:r>
      <w:r>
        <w:rPr>
          <w:noProof/>
        </w:rPr>
        <w:t>) ……………………………………………………….………………………………………………………….………………………………………………………………………</w:t>
      </w:r>
    </w:p>
    <w:p>
      <w:pPr>
        <w:autoSpaceDE w:val="0"/>
        <w:autoSpaceDN w:val="0"/>
        <w:adjustRightInd w:val="0"/>
        <w:spacing w:before="360" w:after="240"/>
        <w:ind w:left="851" w:hanging="851"/>
        <w:jc w:val="center"/>
        <w:rPr>
          <w:rFonts w:eastAsia="Arial Unicode MS"/>
          <w:bCs/>
          <w:noProof/>
          <w:szCs w:val="24"/>
        </w:rPr>
      </w:pPr>
      <w:r>
        <w:rPr>
          <w:noProof/>
        </w:rPr>
        <w:t>SECTION V</w:t>
      </w:r>
    </w:p>
    <w:p>
      <w:pPr>
        <w:autoSpaceDE w:val="0"/>
        <w:autoSpaceDN w:val="0"/>
        <w:adjustRightInd w:val="0"/>
        <w:spacing w:before="240" w:after="240"/>
        <w:ind w:left="851" w:hanging="851"/>
        <w:jc w:val="left"/>
        <w:rPr>
          <w:rFonts w:eastAsia="Arial Unicode MS"/>
          <w:bCs/>
          <w:noProof/>
          <w:szCs w:val="24"/>
        </w:rPr>
      </w:pPr>
      <w:r>
        <w:rPr>
          <w:noProof/>
        </w:rPr>
        <w:t>Service technique responsable de la réalisation des essais: …………………………………….</w:t>
      </w:r>
    </w:p>
    <w:p>
      <w:pPr>
        <w:autoSpaceDE w:val="0"/>
        <w:autoSpaceDN w:val="0"/>
        <w:adjustRightInd w:val="0"/>
        <w:spacing w:before="240" w:after="240"/>
        <w:ind w:left="851" w:hanging="851"/>
        <w:jc w:val="left"/>
        <w:rPr>
          <w:rFonts w:eastAsia="Arial Unicode MS"/>
          <w:bCs/>
          <w:noProof/>
          <w:szCs w:val="24"/>
        </w:rPr>
      </w:pPr>
      <w:r>
        <w:rPr>
          <w:noProof/>
        </w:rPr>
        <w:t>Date du rapport d’essais: ……………………………………………………………………….</w:t>
      </w:r>
    </w:p>
    <w:p>
      <w:pPr>
        <w:autoSpaceDE w:val="0"/>
        <w:autoSpaceDN w:val="0"/>
        <w:adjustRightInd w:val="0"/>
        <w:spacing w:before="240" w:after="240"/>
        <w:ind w:left="851" w:hanging="851"/>
        <w:jc w:val="left"/>
        <w:rPr>
          <w:rFonts w:eastAsia="Arial Unicode MS"/>
          <w:bCs/>
          <w:noProof/>
          <w:szCs w:val="24"/>
        </w:rPr>
      </w:pPr>
      <w:r>
        <w:rPr>
          <w:noProof/>
        </w:rPr>
        <w:t>Numéro du rapport d’essais: …………………………………………….</w:t>
      </w:r>
    </w:p>
    <w:p>
      <w:pPr>
        <w:autoSpaceDE w:val="0"/>
        <w:autoSpaceDN w:val="0"/>
        <w:adjustRightInd w:val="0"/>
        <w:spacing w:before="360" w:after="240"/>
        <w:ind w:left="851" w:hanging="851"/>
        <w:jc w:val="center"/>
        <w:rPr>
          <w:rFonts w:eastAsia="Arial Unicode MS"/>
          <w:bCs/>
          <w:noProof/>
          <w:szCs w:val="24"/>
        </w:rPr>
      </w:pPr>
      <w:r>
        <w:rPr>
          <w:noProof/>
        </w:rPr>
        <w:t>SECTION VI</w:t>
      </w:r>
    </w:p>
    <w:p>
      <w:pPr>
        <w:autoSpaceDE w:val="0"/>
        <w:autoSpaceDN w:val="0"/>
        <w:adjustRightInd w:val="0"/>
        <w:spacing w:before="240" w:after="240"/>
        <w:rPr>
          <w:rFonts w:eastAsia="Arial Unicode MS"/>
          <w:bCs/>
          <w:noProof/>
          <w:szCs w:val="24"/>
        </w:rPr>
      </w:pPr>
      <w:r>
        <w:rPr>
          <w:noProof/>
        </w:rPr>
        <w:t>La pièce/l’équipement (</w:t>
      </w:r>
      <w:r>
        <w:rPr>
          <w:noProof/>
          <w:vertAlign w:val="superscript"/>
        </w:rPr>
        <w:t>1</w:t>
      </w:r>
      <w:r>
        <w:rPr>
          <w:noProof/>
        </w:rPr>
        <w:t>) affecte/n’affecte pas (</w:t>
      </w:r>
      <w:r>
        <w:rPr>
          <w:noProof/>
          <w:vertAlign w:val="superscript"/>
        </w:rPr>
        <w:t>1</w:t>
      </w:r>
      <w:r>
        <w:rPr>
          <w:noProof/>
        </w:rPr>
        <w:t>) le fonctionnement de systèmes essentiels à la sécurité du véhicule ou à sa performance environnementale.</w:t>
      </w:r>
    </w:p>
    <w:p>
      <w:pPr>
        <w:autoSpaceDE w:val="0"/>
        <w:autoSpaceDN w:val="0"/>
        <w:adjustRightInd w:val="0"/>
        <w:spacing w:before="240" w:after="240"/>
        <w:ind w:left="851" w:hanging="851"/>
        <w:jc w:val="left"/>
        <w:rPr>
          <w:rFonts w:eastAsia="Arial Unicode MS"/>
          <w:bCs/>
          <w:noProof/>
          <w:szCs w:val="24"/>
        </w:rPr>
      </w:pPr>
      <w:r>
        <w:rPr>
          <w:noProof/>
        </w:rPr>
        <w:t>Le certificat d’autorisation est accordé/étendu/refusé/retiré (</w:t>
      </w:r>
      <w:r>
        <w:rPr>
          <w:noProof/>
          <w:vertAlign w:val="superscript"/>
        </w:rPr>
        <w:t>1</w:t>
      </w:r>
      <w:r>
        <w:rPr>
          <w:noProof/>
        </w:rPr>
        <w:t>).</w:t>
      </w:r>
    </w:p>
    <w:p>
      <w:pPr>
        <w:autoSpaceDE w:val="0"/>
        <w:autoSpaceDN w:val="0"/>
        <w:adjustRightInd w:val="0"/>
        <w:spacing w:before="240" w:after="240"/>
        <w:ind w:left="851" w:hanging="851"/>
        <w:jc w:val="left"/>
        <w:rPr>
          <w:rFonts w:eastAsia="Arial Unicode MS"/>
          <w:bCs/>
          <w:noProof/>
          <w:szCs w:val="24"/>
        </w:rPr>
      </w:pPr>
      <w:r>
        <w:rPr>
          <w:noProof/>
        </w:rPr>
        <w:t>Lieu: ………………………………….……………………………</w:t>
      </w:r>
    </w:p>
    <w:p>
      <w:pPr>
        <w:autoSpaceDE w:val="0"/>
        <w:autoSpaceDN w:val="0"/>
        <w:adjustRightInd w:val="0"/>
        <w:spacing w:before="240" w:after="240"/>
        <w:ind w:left="851" w:hanging="851"/>
        <w:jc w:val="left"/>
        <w:rPr>
          <w:rFonts w:eastAsia="Arial Unicode MS"/>
          <w:bCs/>
          <w:noProof/>
          <w:szCs w:val="24"/>
        </w:rPr>
      </w:pPr>
      <w:r>
        <w:rPr>
          <w:noProof/>
        </w:rPr>
        <w:t>Date: ………………………………….………………</w:t>
      </w:r>
    </w:p>
    <w:p>
      <w:pPr>
        <w:autoSpaceDE w:val="0"/>
        <w:autoSpaceDN w:val="0"/>
        <w:adjustRightInd w:val="0"/>
        <w:spacing w:before="240" w:after="240"/>
        <w:jc w:val="left"/>
        <w:rPr>
          <w:rFonts w:eastAsia="Arial Unicode MS"/>
          <w:bCs/>
          <w:noProof/>
          <w:szCs w:val="24"/>
        </w:rPr>
      </w:pPr>
      <w:r>
        <w:rPr>
          <w:noProof/>
        </w:rPr>
        <w:t>Nom et signature (ou représentation visuelle d’une «signature électronique avancée» conformément à la directive 1999/93/CE, y compris les données de vérification): ………………………………….…</w:t>
      </w:r>
    </w:p>
    <w:p>
      <w:pPr>
        <w:autoSpaceDE w:val="0"/>
        <w:autoSpaceDN w:val="0"/>
        <w:adjustRightInd w:val="0"/>
        <w:spacing w:before="240"/>
        <w:ind w:left="851" w:hanging="851"/>
        <w:jc w:val="left"/>
        <w:rPr>
          <w:rFonts w:eastAsia="Arial Unicode MS"/>
          <w:bCs/>
          <w:noProof/>
          <w:szCs w:val="24"/>
        </w:rPr>
      </w:pPr>
      <w:r>
        <w:rPr>
          <w:noProof/>
        </w:rPr>
        <w:t>Pièces jointes:</w:t>
      </w:r>
    </w:p>
    <w:p>
      <w:pPr>
        <w:autoSpaceDE w:val="0"/>
        <w:autoSpaceDN w:val="0"/>
        <w:adjustRightInd w:val="0"/>
        <w:spacing w:after="0"/>
        <w:ind w:left="1702" w:hanging="851"/>
        <w:jc w:val="left"/>
        <w:rPr>
          <w:rFonts w:eastAsia="Arial Unicode MS"/>
          <w:bCs/>
          <w:noProof/>
          <w:szCs w:val="24"/>
        </w:rPr>
      </w:pPr>
      <w:r>
        <w:rPr>
          <w:noProof/>
        </w:rPr>
        <w:t>Rapport d’essais</w:t>
      </w:r>
    </w:p>
    <w:p>
      <w:pPr>
        <w:autoSpaceDE w:val="0"/>
        <w:autoSpaceDN w:val="0"/>
        <w:adjustRightInd w:val="0"/>
        <w:spacing w:before="0" w:after="240"/>
        <w:ind w:left="851" w:hanging="851"/>
        <w:jc w:val="center"/>
        <w:rPr>
          <w:rFonts w:eastAsia="Arial Unicode MS"/>
          <w:bCs/>
          <w:noProof/>
          <w:szCs w:val="24"/>
        </w:rPr>
      </w:pPr>
      <w:r>
        <w:rPr>
          <w:noProof/>
        </w:rPr>
        <w:t>_______________________</w:t>
      </w:r>
    </w:p>
    <w:p>
      <w:pPr>
        <w:autoSpaceDE w:val="0"/>
        <w:autoSpaceDN w:val="0"/>
        <w:adjustRightInd w:val="0"/>
        <w:spacing w:before="240" w:after="240"/>
        <w:jc w:val="left"/>
        <w:rPr>
          <w:i/>
          <w:iCs/>
          <w:noProof/>
          <w:szCs w:val="24"/>
        </w:rPr>
      </w:pPr>
      <w:r>
        <w:rPr>
          <w:b/>
          <w:noProof/>
        </w:rPr>
        <w:t>Notes explicatives:</w:t>
      </w:r>
      <w:r>
        <w:rPr>
          <w:i/>
          <w:noProof/>
        </w:rPr>
        <w:t xml:space="preserve"> </w:t>
      </w:r>
    </w:p>
    <w:p>
      <w:pPr>
        <w:autoSpaceDE w:val="0"/>
        <w:autoSpaceDN w:val="0"/>
        <w:adjustRightInd w:val="0"/>
        <w:spacing w:before="240" w:after="240"/>
        <w:jc w:val="left"/>
        <w:rPr>
          <w:i/>
          <w:iCs/>
          <w:noProof/>
          <w:szCs w:val="24"/>
        </w:rPr>
      </w:pPr>
      <w:r>
        <w:rPr>
          <w:i/>
          <w:noProof/>
        </w:rPr>
        <w:t>(Ces notes explicatives ne doivent pas être incluses dans le certificat)</w:t>
      </w:r>
    </w:p>
    <w:p>
      <w:pPr>
        <w:autoSpaceDE w:val="0"/>
        <w:autoSpaceDN w:val="0"/>
        <w:adjustRightInd w:val="0"/>
        <w:ind w:left="567" w:hanging="567"/>
        <w:jc w:val="left"/>
        <w:rPr>
          <w:noProof/>
          <w:sz w:val="22"/>
        </w:rPr>
      </w:pPr>
      <w:r>
        <w:rPr>
          <w:noProof/>
          <w:sz w:val="20"/>
        </w:rPr>
        <w:t>(</w:t>
      </w:r>
      <w:r>
        <w:rPr>
          <w:noProof/>
          <w:sz w:val="20"/>
          <w:vertAlign w:val="superscript"/>
        </w:rPr>
        <w:t>1</w:t>
      </w:r>
      <w:r>
        <w:rPr>
          <w:noProof/>
          <w:sz w:val="20"/>
        </w:rPr>
        <w:t>)</w:t>
      </w:r>
      <w:r>
        <w:rPr>
          <w:noProof/>
        </w:rPr>
        <w:tab/>
      </w:r>
      <w:r>
        <w:rPr>
          <w:noProof/>
          <w:sz w:val="20"/>
        </w:rPr>
        <w:t>Supprimer les mentions inutiles</w:t>
      </w:r>
      <w:r>
        <w:rPr>
          <w:noProof/>
        </w:rPr>
        <w:t>.</w:t>
      </w:r>
    </w:p>
    <w:p>
      <w:pPr>
        <w:autoSpaceDE w:val="0"/>
        <w:autoSpaceDN w:val="0"/>
        <w:adjustRightInd w:val="0"/>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Indiquer le type, la variante et la version en fonction des critères de classification définis dans l’annexe II.</w:t>
      </w:r>
    </w:p>
    <w:p>
      <w:pPr>
        <w:autoSpaceDE w:val="0"/>
        <w:autoSpaceDN w:val="0"/>
        <w:adjustRightInd w:val="0"/>
        <w:ind w:left="567" w:hanging="567"/>
        <w:jc w:val="left"/>
        <w:rPr>
          <w:noProof/>
          <w:sz w:val="20"/>
        </w:rPr>
      </w:pPr>
      <w:r>
        <w:rPr>
          <w:noProof/>
        </w:rPr>
        <w:t>(</w:t>
      </w:r>
      <w:r>
        <w:rPr>
          <w:noProof/>
          <w:vertAlign w:val="superscript"/>
        </w:rPr>
        <w:t>3</w:t>
      </w:r>
      <w:r>
        <w:rPr>
          <w:noProof/>
        </w:rPr>
        <w:t>)</w:t>
      </w:r>
      <w:r>
        <w:rPr>
          <w:noProof/>
        </w:rPr>
        <w:tab/>
      </w:r>
      <w:r>
        <w:rPr>
          <w:noProof/>
          <w:sz w:val="20"/>
        </w:rPr>
        <w:t>Le chiffre romain de l’annexe correspondante du règlement délégué de la Commission ou les chiffres romains des annexes correspondantes du même règlement délégué de la Commission.</w:t>
      </w:r>
    </w:p>
    <w:p>
      <w:pPr>
        <w:autoSpaceDE w:val="0"/>
        <w:autoSpaceDN w:val="0"/>
        <w:adjustRightInd w:val="0"/>
        <w:ind w:left="567" w:hanging="567"/>
        <w:jc w:val="left"/>
        <w:rPr>
          <w:noProof/>
          <w:sz w:val="20"/>
        </w:rPr>
      </w:pPr>
      <w:r>
        <w:rPr>
          <w:noProof/>
        </w:rPr>
        <w:t>(</w:t>
      </w:r>
      <w:r>
        <w:rPr>
          <w:noProof/>
          <w:vertAlign w:val="superscript"/>
        </w:rPr>
        <w:t>4</w:t>
      </w:r>
      <w:r>
        <w:rPr>
          <w:noProof/>
        </w:rPr>
        <w:t>)</w:t>
      </w:r>
      <w:r>
        <w:rPr>
          <w:noProof/>
        </w:rPr>
        <w:tab/>
      </w:r>
      <w:r>
        <w:rPr>
          <w:noProof/>
          <w:sz w:val="20"/>
        </w:rPr>
        <w:t>Indiquer la dernière modification du règlement délégué de la Commission, en fonction de la modification appliquée pour la réception UE par type.</w:t>
      </w:r>
    </w:p>
    <w:p>
      <w:pPr>
        <w:autoSpaceDE w:val="0"/>
        <w:autoSpaceDN w:val="0"/>
        <w:adjustRightInd w:val="0"/>
        <w:ind w:left="567" w:hanging="567"/>
        <w:jc w:val="left"/>
        <w:rPr>
          <w:rFonts w:eastAsia="Arial Unicode MS"/>
          <w:noProof/>
          <w:szCs w:val="24"/>
        </w:rPr>
      </w:pPr>
      <w:r>
        <w:rPr>
          <w:noProof/>
          <w:sz w:val="20"/>
        </w:rPr>
        <w:pict>
          <v:rect id="_x0000_i1052" style="width:45.35pt;height:.75pt" o:hrpct="100" o:hralign="center" o:hrstd="t" o:hrnoshade="t" o:hr="t" fillcolor="black" stroked="f"/>
        </w:pict>
      </w:r>
    </w:p>
    <w:p>
      <w:pPr>
        <w:autoSpaceDE w:val="0"/>
        <w:autoSpaceDN w:val="0"/>
        <w:adjustRightInd w:val="0"/>
        <w:ind w:left="567" w:hanging="567"/>
        <w:jc w:val="left"/>
        <w:rPr>
          <w:noProof/>
          <w:sz w:val="20"/>
        </w:rPr>
      </w:pPr>
      <w:r>
        <w:rPr>
          <w:noProof/>
          <w:sz w:val="20"/>
        </w:rPr>
        <w:br w:type="page"/>
      </w:r>
    </w:p>
    <w:p>
      <w:pPr>
        <w:pStyle w:val="Annexetitre"/>
        <w:rPr>
          <w:noProof/>
        </w:rPr>
      </w:pPr>
      <w:r>
        <w:rPr>
          <w:noProof/>
        </w:rPr>
        <w:t>ANNEXE XII</w:t>
      </w:r>
    </w:p>
    <w:p>
      <w:pPr>
        <w:spacing w:before="240" w:after="240"/>
        <w:jc w:val="center"/>
        <w:rPr>
          <w:rFonts w:eastAsia="Arial Unicode MS"/>
          <w:b/>
          <w:bCs/>
          <w:noProof/>
          <w:szCs w:val="24"/>
        </w:rPr>
      </w:pPr>
      <w:r>
        <w:rPr>
          <w:b/>
          <w:noProof/>
        </w:rPr>
        <w:t>LIMITES APPLICABLES AUX PETITES SÉRIES</w:t>
      </w:r>
    </w:p>
    <w:p>
      <w:pPr>
        <w:ind w:left="567" w:hanging="567"/>
        <w:rPr>
          <w:rFonts w:eastAsia="Arial Unicode MS"/>
          <w:noProof/>
          <w:szCs w:val="24"/>
        </w:rPr>
      </w:pPr>
      <w:r>
        <w:rPr>
          <w:noProof/>
        </w:rPr>
        <w:t>1.</w:t>
      </w:r>
      <w:r>
        <w:rPr>
          <w:noProof/>
        </w:rPr>
        <w:tab/>
        <w:t>Le nombre d’unités d’un type de véhicule à immatriculer, à vendre ou à mettre en service par année, dans l’Union européenne, ne peut pas dépasser, en application de l’article 39 le nombre indiqué ci-dessous pour la catégorie de véhicules en question:</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Catégorie</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Unités</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bl>
    <w:p>
      <w:pPr>
        <w:spacing w:before="240"/>
        <w:ind w:left="567" w:hanging="567"/>
        <w:rPr>
          <w:rFonts w:eastAsia="Arial Unicode MS"/>
          <w:noProof/>
          <w:szCs w:val="24"/>
        </w:rPr>
      </w:pPr>
      <w:r>
        <w:rPr>
          <w:noProof/>
        </w:rPr>
        <w:t>2.</w:t>
      </w:r>
      <w:r>
        <w:rPr>
          <w:noProof/>
        </w:rPr>
        <w:tab/>
        <w:t>Le nombre d’unités d’un type de véhicule à immatriculer, à vendre ou à mettre en service par années, dans un État membre, est déterminé par cet État membre, mais ne peut pas dépasser, en application de l’article 40, le nombre indiqué ci-dessous pour la catégorie de véhicules en question:</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Catégorie</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Unités</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 jusqu’au 31 octobre 2016</w:t>
            </w:r>
          </w:p>
          <w:p>
            <w:pPr>
              <w:spacing w:before="60" w:after="60"/>
              <w:jc w:val="center"/>
              <w:rPr>
                <w:rFonts w:eastAsia="Arial Unicode MS"/>
                <w:noProof/>
                <w:sz w:val="20"/>
                <w:szCs w:val="20"/>
              </w:rPr>
            </w:pPr>
            <w:r>
              <w:rPr>
                <w:noProof/>
                <w:sz w:val="20"/>
              </w:rPr>
              <w:t>250 à partir du 1</w:t>
            </w:r>
            <w:r>
              <w:rPr>
                <w:noProof/>
                <w:sz w:val="20"/>
                <w:vertAlign w:val="superscript"/>
              </w:rPr>
              <w:t>er </w:t>
            </w:r>
            <w:r>
              <w:rPr>
                <w:noProof/>
                <w:sz w:val="20"/>
              </w:rPr>
              <w:t>novembre 2016</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bl>
    <w:p>
      <w:pPr>
        <w:spacing w:before="240"/>
        <w:ind w:left="567" w:hanging="567"/>
        <w:rPr>
          <w:rFonts w:eastAsia="Arial Unicode MS"/>
          <w:noProof/>
          <w:szCs w:val="24"/>
        </w:rPr>
      </w:pPr>
      <w:r>
        <w:rPr>
          <w:noProof/>
        </w:rPr>
        <w:t>3.</w:t>
      </w:r>
      <w:r>
        <w:rPr>
          <w:noProof/>
        </w:rPr>
        <w:tab/>
        <w:t>Le nombre d’unités d’un type de véhicule à immatriculer, à vendre ou à mettre en service par année, dans un État membre, est déterminé par cet État membre, mais ne peut pas dépasser, en application de l’article 6, paragraphe 2, du règlement (UE) n</w:t>
      </w:r>
      <w:r>
        <w:rPr>
          <w:noProof/>
          <w:vertAlign w:val="superscript"/>
        </w:rPr>
        <w:t>o</w:t>
      </w:r>
      <w:r>
        <w:rPr>
          <w:noProof/>
        </w:rPr>
        <w:t> 1230/2012, le nombre indiqué ci-dessous pour la catégorie de véhicules en question:</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Catégorie</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Unités</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2 000</w:t>
            </w:r>
          </w:p>
        </w:tc>
      </w:tr>
    </w:tbl>
    <w:p>
      <w:pPr>
        <w:spacing w:before="0" w:after="0"/>
        <w:jc w:val="left"/>
        <w:rPr>
          <w:rFonts w:eastAsia="Arial Unicode MS"/>
          <w:noProof/>
          <w:szCs w:val="24"/>
        </w:rPr>
      </w:pPr>
      <w:r>
        <w:rPr>
          <w:rFonts w:eastAsia="Arial Unicode MS"/>
          <w:noProof/>
          <w:szCs w:val="24"/>
        </w:rPr>
        <w:pict>
          <v:rect id="_x0000_i1053" style="width:45.35pt;height:.75pt" o:hrpct="100" o:hralign="center" o:hrstd="t" o:hrnoshade="t" o:hr="t" fillcolor="black" stroked="f"/>
        </w:pict>
      </w:r>
    </w:p>
    <w:p>
      <w:pPr>
        <w:rPr>
          <w:noProof/>
        </w:rPr>
      </w:pPr>
      <w:r>
        <w:rPr>
          <w:noProof/>
        </w:rPr>
        <w:br w:type="page"/>
      </w:r>
    </w:p>
    <w:p>
      <w:pPr>
        <w:pStyle w:val="Annexetitre"/>
        <w:rPr>
          <w:noProof/>
        </w:rPr>
      </w:pPr>
      <w:r>
        <w:rPr>
          <w:noProof/>
        </w:rPr>
        <w:t>ANNEXE XIII</w:t>
      </w:r>
    </w:p>
    <w:p>
      <w:pPr>
        <w:spacing w:before="0"/>
        <w:jc w:val="center"/>
        <w:rPr>
          <w:rFonts w:eastAsia="Arial Unicode MS"/>
          <w:b/>
          <w:bCs/>
          <w:noProof/>
          <w:szCs w:val="24"/>
        </w:rPr>
      </w:pPr>
      <w:r>
        <w:rPr>
          <w:b/>
          <w:noProof/>
        </w:rPr>
        <w:t>LISTE DES PIÈCES OU ÉQUIPEMENTS SUSCEPTIBLES DE PRÉSENTER UN RISQUE IMPORTANT POUR LE BON FONCTIONNEMENT DE SYSTÈMES ESSENTIELS À LA SÉCURITÉ DU VÉHICULE OU À SA PERFORMANCE ENVIRONNEMENTALE, AINSI QUE DES PRESCRIPTIONS FONCTIONNELLES APPLICABLES À CES PIÈCES ET ÉQUIPEMENTS, DES PROCÉDURES D’ESSAI APPROPRIÉES ET DES DISPOSITIONS RELATIVES À LEUR MARQUAGE ET À LEUR CONDITIONNEMENT</w:t>
      </w:r>
    </w:p>
    <w:p>
      <w:pPr>
        <w:ind w:left="567" w:hanging="567"/>
        <w:rPr>
          <w:rFonts w:eastAsia="Arial Unicode MS"/>
          <w:b/>
          <w:bCs/>
          <w:noProof/>
          <w:szCs w:val="24"/>
        </w:rPr>
      </w:pPr>
      <w:r>
        <w:rPr>
          <w:b/>
          <w:noProof/>
        </w:rPr>
        <w:t>I.</w:t>
      </w:r>
      <w:r>
        <w:rPr>
          <w:noProof/>
        </w:rPr>
        <w:tab/>
      </w:r>
      <w:r>
        <w:rPr>
          <w:b/>
          <w:noProof/>
        </w:rPr>
        <w:t>Pièces ou équipements ayant une incidence significative sur la sécurité du véhicule</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8"/>
        <w:gridCol w:w="1526"/>
        <w:gridCol w:w="1543"/>
        <w:gridCol w:w="1517"/>
        <w:gridCol w:w="1536"/>
        <w:gridCol w:w="156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Élément n</w:t>
            </w:r>
            <w:r>
              <w:rPr>
                <w:noProof/>
                <w:sz w:val="20"/>
                <w:vertAlign w:val="superscript"/>
              </w:rPr>
              <w:t>o</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Description</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Prescriptions fonctionnelles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Procédure d’essai</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Prescriptions en matière de marquage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Prescriptions en matière de conditionnement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rPr>
          <w:rFonts w:eastAsia="Arial Unicode MS"/>
          <w:b/>
          <w:bCs/>
          <w:noProof/>
          <w:szCs w:val="24"/>
        </w:rPr>
      </w:pPr>
      <w:r>
        <w:rPr>
          <w:b/>
          <w:noProof/>
        </w:rPr>
        <w:t>II.</w:t>
      </w:r>
      <w:r>
        <w:rPr>
          <w:noProof/>
        </w:rPr>
        <w:tab/>
      </w:r>
      <w:r>
        <w:rPr>
          <w:b/>
          <w:noProof/>
        </w:rPr>
        <w:t>Pièces ou équipements ayant une incidence significative sur la performance environnementale du véhicule</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8"/>
        <w:gridCol w:w="1526"/>
        <w:gridCol w:w="1543"/>
        <w:gridCol w:w="1517"/>
        <w:gridCol w:w="1536"/>
        <w:gridCol w:w="156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Élément n</w:t>
            </w:r>
            <w:r>
              <w:rPr>
                <w:noProof/>
                <w:sz w:val="20"/>
                <w:vertAlign w:val="superscript"/>
              </w:rPr>
              <w:t>o</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Description</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Prescriptions fonctionnelles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Procédure d’essai</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Prescriptions en matière de marquage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Prescriptions en matière de conditionnement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rPr>
          <w:noProof/>
        </w:rPr>
      </w:pPr>
      <w:r>
        <w:rPr>
          <w:noProof/>
        </w:rPr>
        <w:br w:type="page"/>
      </w:r>
    </w:p>
    <w:p>
      <w:pPr>
        <w:pStyle w:val="Annexetitre"/>
        <w:rPr>
          <w:noProof/>
        </w:rPr>
      </w:pPr>
      <w:r>
        <w:rPr>
          <w:noProof/>
        </w:rPr>
        <w:t>ANNEXE XIV</w:t>
      </w:r>
    </w:p>
    <w:p>
      <w:pPr>
        <w:spacing w:before="240" w:after="240"/>
        <w:jc w:val="center"/>
        <w:rPr>
          <w:rFonts w:eastAsia="Arial Unicode MS"/>
          <w:b/>
          <w:bCs/>
          <w:noProof/>
          <w:szCs w:val="24"/>
        </w:rPr>
      </w:pPr>
      <w:r>
        <w:rPr>
          <w:b/>
          <w:noProof/>
        </w:rPr>
        <w:t>LISTE DES RÉCEPTIONS UE PAR TYPE ACCORDÉES, REFUSÉES OU RETIRÉES CONFORMÉMENT AUX ACTES RÉGLEMENTAIRES APPLICABLES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Tampon de l’autorité compétente en matière de réception </w:t>
      </w:r>
    </w:p>
    <w:p>
      <w:pPr>
        <w:spacing w:after="0"/>
        <w:rPr>
          <w:rFonts w:eastAsia="Arial Unicode MS"/>
          <w:noProof/>
          <w:szCs w:val="24"/>
        </w:rPr>
      </w:pPr>
      <w:r>
        <w:rPr>
          <w:noProof/>
        </w:rPr>
        <w:t>Numéro de liste:</w:t>
      </w:r>
    </w:p>
    <w:p>
      <w:pPr>
        <w:spacing w:after="0"/>
        <w:rPr>
          <w:rFonts w:eastAsia="Arial Unicode MS"/>
          <w:noProof/>
          <w:szCs w:val="24"/>
        </w:rPr>
      </w:pPr>
      <w:r>
        <w:rPr>
          <w:noProof/>
        </w:rPr>
        <w:t xml:space="preserve">Pour la période allant du … au … </w:t>
      </w:r>
    </w:p>
    <w:p>
      <w:pPr>
        <w:spacing w:after="0"/>
        <w:rPr>
          <w:rFonts w:eastAsia="Arial Unicode MS"/>
          <w:noProof/>
          <w:szCs w:val="24"/>
        </w:rPr>
      </w:pPr>
      <w:r>
        <w:rPr>
          <w:noProof/>
        </w:rPr>
        <w:t>Les renseignements suivants sont à fournir pour chaque réception UE par type qui a été accordée, étendue, refusée ou retirée au cours de la période susmentionnée:</w:t>
      </w:r>
    </w:p>
    <w:p>
      <w:pPr>
        <w:spacing w:after="0"/>
        <w:rPr>
          <w:rFonts w:eastAsia="Arial Unicode MS"/>
          <w:noProof/>
          <w:szCs w:val="24"/>
        </w:rPr>
      </w:pPr>
      <w:r>
        <w:rPr>
          <w:noProof/>
        </w:rPr>
        <w:t>Constructeur/fabricant:</w:t>
      </w:r>
    </w:p>
    <w:p>
      <w:pPr>
        <w:spacing w:after="0"/>
        <w:rPr>
          <w:rFonts w:eastAsia="Arial Unicode MS"/>
          <w:noProof/>
          <w:szCs w:val="24"/>
        </w:rPr>
      </w:pPr>
      <w:r>
        <w:rPr>
          <w:noProof/>
        </w:rPr>
        <w:t>Numéro de réception UE par type:</w:t>
      </w:r>
    </w:p>
    <w:p>
      <w:pPr>
        <w:spacing w:after="0"/>
        <w:rPr>
          <w:rFonts w:eastAsia="Arial Unicode MS"/>
          <w:noProof/>
          <w:szCs w:val="24"/>
        </w:rPr>
      </w:pPr>
      <w:r>
        <w:rPr>
          <w:noProof/>
        </w:rPr>
        <w:t>Motif de l’extension (le cas échéant):</w:t>
      </w:r>
    </w:p>
    <w:p>
      <w:pPr>
        <w:spacing w:after="0"/>
        <w:rPr>
          <w:rFonts w:eastAsia="Arial Unicode MS"/>
          <w:noProof/>
          <w:szCs w:val="24"/>
        </w:rPr>
      </w:pPr>
      <w:r>
        <w:rPr>
          <w:noProof/>
        </w:rPr>
        <w:t>Marque:</w:t>
      </w:r>
    </w:p>
    <w:p>
      <w:pPr>
        <w:spacing w:after="0"/>
        <w:rPr>
          <w:rFonts w:eastAsia="Arial Unicode MS"/>
          <w:noProof/>
          <w:szCs w:val="24"/>
        </w:rPr>
      </w:pPr>
      <w:r>
        <w:rPr>
          <w:noProof/>
        </w:rPr>
        <w:t>Type:</w:t>
      </w:r>
    </w:p>
    <w:p>
      <w:pPr>
        <w:spacing w:after="0"/>
        <w:rPr>
          <w:rFonts w:eastAsia="Arial Unicode MS"/>
          <w:noProof/>
          <w:szCs w:val="24"/>
        </w:rPr>
      </w:pPr>
      <w:r>
        <w:rPr>
          <w:noProof/>
        </w:rPr>
        <w:t>Date de délivrance:</w:t>
      </w:r>
    </w:p>
    <w:p>
      <w:pPr>
        <w:spacing w:after="0"/>
        <w:rPr>
          <w:rFonts w:eastAsia="Arial Unicode MS"/>
          <w:noProof/>
          <w:szCs w:val="24"/>
        </w:rPr>
      </w:pPr>
      <w:r>
        <w:rPr>
          <w:noProof/>
        </w:rPr>
        <w:t>Première date de délivrance (dans le cas des extensions):</w:t>
      </w:r>
    </w:p>
    <w:p>
      <w:pPr>
        <w:spacing w:after="0"/>
        <w:rPr>
          <w:rFonts w:eastAsia="Arial Unicode MS"/>
          <w:noProof/>
          <w:szCs w:val="24"/>
        </w:rPr>
      </w:pPr>
      <w:r>
        <w:rPr>
          <w:noProof/>
        </w:rPr>
        <w:t>Motif du refus (le cas échéant):</w:t>
      </w:r>
    </w:p>
    <w:p>
      <w:pPr>
        <w:spacing w:after="0"/>
        <w:rPr>
          <w:rFonts w:eastAsia="Arial Unicode MS"/>
          <w:noProof/>
          <w:szCs w:val="24"/>
        </w:rPr>
      </w:pPr>
      <w:r>
        <w:rPr>
          <w:noProof/>
        </w:rPr>
        <w:t>Motif du retrait (le cas échéant):</w:t>
      </w:r>
    </w:p>
    <w:p>
      <w:pPr>
        <w:spacing w:before="0" w:after="0"/>
        <w:jc w:val="left"/>
        <w:rPr>
          <w:rFonts w:eastAsia="Arial Unicode MS"/>
          <w:noProof/>
          <w:szCs w:val="24"/>
        </w:rPr>
      </w:pPr>
      <w:r>
        <w:rPr>
          <w:rFonts w:eastAsia="Arial Unicode MS"/>
          <w:noProof/>
          <w:szCs w:val="24"/>
        </w:rPr>
        <w:pict>
          <v:rect id="_x0000_i1054" style="width:45.35pt;height:.75pt" o:hrpct="100" o:hralign="center" o:hrstd="t" o:hrnoshade="t" o:hr="t" fillcolor="black" stroked="f"/>
        </w:pict>
      </w:r>
    </w:p>
    <w:p>
      <w:pPr>
        <w:rPr>
          <w:noProof/>
        </w:rPr>
      </w:pPr>
      <w:r>
        <w:rPr>
          <w:noProof/>
        </w:rPr>
        <w:br w:type="page"/>
      </w:r>
    </w:p>
    <w:p>
      <w:pPr>
        <w:pStyle w:val="Annexetitre"/>
        <w:rPr>
          <w:noProof/>
        </w:rPr>
      </w:pPr>
      <w:r>
        <w:rPr>
          <w:noProof/>
        </w:rPr>
        <w:t>ANNEXE XV</w:t>
      </w:r>
    </w:p>
    <w:p>
      <w:pPr>
        <w:spacing w:before="240" w:after="240"/>
        <w:jc w:val="center"/>
        <w:rPr>
          <w:rFonts w:eastAsia="Arial Unicode MS"/>
          <w:b/>
          <w:bCs/>
          <w:noProof/>
          <w:szCs w:val="24"/>
        </w:rPr>
      </w:pPr>
      <w:r>
        <w:rPr>
          <w:b/>
          <w:noProof/>
        </w:rPr>
        <w:t>ACTES RÉGLEMENTAIRES POUR LESQUELS UN CONSTRUCTEUR PEUT ÊTRE DÉSIGNÉ EN TANT QUE SERVICE TECHNIQUE</w:t>
      </w:r>
    </w:p>
    <w:p>
      <w:pPr>
        <w:ind w:left="567" w:hanging="567"/>
        <w:jc w:val="left"/>
        <w:rPr>
          <w:rFonts w:eastAsia="Arial Unicode MS"/>
          <w:b/>
          <w:bCs/>
          <w:noProof/>
          <w:szCs w:val="24"/>
        </w:rPr>
      </w:pPr>
      <w:r>
        <w:rPr>
          <w:noProof/>
        </w:rPr>
        <w:t>1.</w:t>
      </w:r>
      <w:r>
        <w:rPr>
          <w:noProof/>
        </w:rPr>
        <w:tab/>
      </w:r>
      <w:r>
        <w:rPr>
          <w:b/>
          <w:noProof/>
        </w:rPr>
        <w:t>Objectifs et champ d’application</w:t>
      </w:r>
    </w:p>
    <w:p>
      <w:pPr>
        <w:spacing w:after="0"/>
        <w:ind w:left="567" w:hanging="567"/>
        <w:rPr>
          <w:rFonts w:eastAsia="Arial Unicode MS"/>
          <w:noProof/>
          <w:szCs w:val="24"/>
        </w:rPr>
      </w:pPr>
      <w:r>
        <w:rPr>
          <w:noProof/>
        </w:rPr>
        <w:t>1.1.</w:t>
      </w:r>
      <w:r>
        <w:rPr>
          <w:noProof/>
        </w:rPr>
        <w:tab/>
        <w:t>La présente annexe établit la liste des actes réglementaires pour lesquels un constructeur peut être désigné en tant que service technique conformément à l’article 76, paragraphe 1.</w:t>
      </w:r>
    </w:p>
    <w:p>
      <w:pPr>
        <w:spacing w:after="0"/>
        <w:ind w:left="567" w:hanging="567"/>
        <w:rPr>
          <w:rFonts w:eastAsia="Arial Unicode MS"/>
          <w:noProof/>
          <w:szCs w:val="24"/>
        </w:rPr>
      </w:pPr>
      <w:r>
        <w:rPr>
          <w:noProof/>
        </w:rPr>
        <w:t>1.2.</w:t>
      </w:r>
      <w:r>
        <w:rPr>
          <w:noProof/>
        </w:rPr>
        <w:tab/>
        <w:t>Elle inclut également les dispositions appropriées concernant la désignation d’un constructeur en tant que technique qui doivent être appliquées dans le cadre de la réception par type des véhicules, composants et entités techniques distinctes couverts par la partie I de l’annexe IV.</w:t>
      </w:r>
    </w:p>
    <w:p>
      <w:pPr>
        <w:spacing w:after="0"/>
        <w:ind w:left="567" w:hanging="567"/>
        <w:rPr>
          <w:rFonts w:eastAsia="Arial Unicode MS"/>
          <w:noProof/>
          <w:szCs w:val="24"/>
        </w:rPr>
      </w:pPr>
      <w:r>
        <w:rPr>
          <w:noProof/>
        </w:rPr>
        <w:t>1.3.</w:t>
      </w:r>
      <w:r>
        <w:rPr>
          <w:noProof/>
        </w:rPr>
        <w:tab/>
        <w:t>La présente annexe ne s’applique toutefois pas aux constructeurs qui demandent la réception UE par type de véhicules produits en petites séries visée à l’article 39.</w:t>
      </w:r>
    </w:p>
    <w:p>
      <w:pPr>
        <w:ind w:left="567" w:hanging="567"/>
        <w:jc w:val="left"/>
        <w:rPr>
          <w:rFonts w:eastAsia="Arial Unicode MS"/>
          <w:b/>
          <w:bCs/>
          <w:noProof/>
          <w:szCs w:val="24"/>
        </w:rPr>
      </w:pPr>
      <w:r>
        <w:rPr>
          <w:noProof/>
        </w:rPr>
        <w:t>2.</w:t>
      </w:r>
      <w:r>
        <w:rPr>
          <w:noProof/>
        </w:rPr>
        <w:tab/>
      </w:r>
      <w:r>
        <w:rPr>
          <w:b/>
          <w:noProof/>
        </w:rPr>
        <w:t>Désignation d’un constructeur en tant que service technique</w:t>
      </w:r>
    </w:p>
    <w:p>
      <w:pPr>
        <w:spacing w:after="0"/>
        <w:ind w:left="567" w:hanging="567"/>
        <w:rPr>
          <w:rFonts w:eastAsia="Arial Unicode MS"/>
          <w:noProof/>
          <w:szCs w:val="24"/>
        </w:rPr>
      </w:pPr>
      <w:r>
        <w:rPr>
          <w:noProof/>
        </w:rPr>
        <w:t>2.1.</w:t>
      </w:r>
      <w:r>
        <w:rPr>
          <w:noProof/>
        </w:rPr>
        <w:tab/>
        <w:t xml:space="preserve">Un constructeur désigné en tant que service technique est un constructeur qui a été désigné par l’autorité compétente en matière de réception en tant que laboratoire d’essai pour procéder à des essais de réception pour le compte de ladite autorité. </w:t>
      </w:r>
    </w:p>
    <w:p>
      <w:pPr>
        <w:spacing w:after="0"/>
        <w:ind w:left="567"/>
        <w:rPr>
          <w:rFonts w:eastAsia="Arial Unicode MS"/>
          <w:noProof/>
          <w:szCs w:val="24"/>
        </w:rPr>
      </w:pPr>
      <w:r>
        <w:rPr>
          <w:noProof/>
        </w:rPr>
        <w:t>L’expression «procéder à des essais» ne couvre pas uniquement la mesure des performances, mais englobe également l’enregistrement des résultats des essais et la présentation à l’autorité compétente en matière de réception d’un rapport contenant les conclusions pertinentes.</w:t>
      </w:r>
    </w:p>
    <w:p>
      <w:pPr>
        <w:spacing w:before="100" w:beforeAutospacing="1" w:after="100" w:afterAutospacing="1"/>
        <w:ind w:left="567"/>
        <w:rPr>
          <w:rFonts w:eastAsia="Arial Unicode MS"/>
          <w:noProof/>
          <w:szCs w:val="24"/>
        </w:rPr>
      </w:pPr>
      <w:r>
        <w:rPr>
          <w:noProof/>
        </w:rPr>
        <w:t>Elle couvre aussi la vérification de la conformité aux dispositions qui ne requièrent pas nécessairement une mesure. Tel est le cas de l’évaluation de la conformité de la conception par rapport aux prescriptions législatives.</w:t>
      </w:r>
    </w:p>
    <w:p>
      <w:pPr>
        <w:ind w:left="567" w:hanging="567"/>
        <w:jc w:val="left"/>
        <w:rPr>
          <w:rFonts w:eastAsia="Arial Unicode MS"/>
          <w:b/>
          <w:bCs/>
          <w:noProof/>
          <w:szCs w:val="24"/>
        </w:rPr>
      </w:pPr>
      <w:r>
        <w:rPr>
          <w:noProof/>
        </w:rPr>
        <w:t>3.</w:t>
      </w:r>
      <w:r>
        <w:rPr>
          <w:noProof/>
        </w:rPr>
        <w:tab/>
      </w:r>
      <w:r>
        <w:rPr>
          <w:b/>
          <w:noProof/>
        </w:rPr>
        <w:t xml:space="preserve">Liste des actes réglementaires et restrictions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Objet</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Référence de l’acte réglementaire</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Emplacement pour le montage et la fixation des plaques d’immatriculation arrière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(UE) n</w:t>
            </w:r>
            <w:r>
              <w:rPr>
                <w:noProof/>
                <w:sz w:val="20"/>
                <w:vertAlign w:val="superscript"/>
              </w:rPr>
              <w:t>o</w:t>
            </w:r>
            <w:r>
              <w:rPr>
                <w:noProof/>
                <w:sz w:val="20"/>
              </w:rPr>
              <w:t> 1003/2010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Avertisseurs sonores et signalisation sonore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n</w:t>
            </w:r>
            <w:r>
              <w:rPr>
                <w:noProof/>
                <w:sz w:val="20"/>
                <w:vertAlign w:val="superscript"/>
              </w:rPr>
              <w:t>o </w:t>
            </w:r>
            <w:r>
              <w:rPr>
                <w:noProof/>
                <w:sz w:val="20"/>
              </w:rPr>
              <w:t>28 de la CEE-ONU</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Compatibilité électromagnétique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n</w:t>
            </w:r>
            <w:r>
              <w:rPr>
                <w:noProof/>
                <w:sz w:val="20"/>
                <w:vertAlign w:val="superscript"/>
              </w:rPr>
              <w:t>o </w:t>
            </w:r>
            <w:r>
              <w:rPr>
                <w:noProof/>
                <w:sz w:val="20"/>
              </w:rPr>
              <w:t>10 de la CEE-ONU</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Plaque réglementaire du constructeur et numéro d’identification du véhicule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(UE) n</w:t>
            </w:r>
            <w:r>
              <w:rPr>
                <w:noProof/>
                <w:sz w:val="20"/>
                <w:vertAlign w:val="superscript"/>
              </w:rPr>
              <w:t>o</w:t>
            </w:r>
            <w:r>
              <w:rPr>
                <w:noProof/>
                <w:sz w:val="20"/>
              </w:rPr>
              <w:t> 19/2011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Installation des dispositifs d’éclairage et de signalisation lumineuse sur les véhicules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n</w:t>
            </w:r>
            <w:r>
              <w:rPr>
                <w:noProof/>
                <w:sz w:val="20"/>
                <w:vertAlign w:val="superscript"/>
              </w:rPr>
              <w:t>o </w:t>
            </w:r>
            <w:r>
              <w:rPr>
                <w:noProof/>
                <w:sz w:val="20"/>
              </w:rPr>
              <w:t>48 de la CEE-ONU</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Dispositifs de remorquage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(UE) n</w:t>
            </w:r>
            <w:r>
              <w:rPr>
                <w:noProof/>
                <w:sz w:val="20"/>
                <w:vertAlign w:val="superscript"/>
              </w:rPr>
              <w:t>o</w:t>
            </w:r>
            <w:r>
              <w:rPr>
                <w:noProof/>
                <w:sz w:val="20"/>
              </w:rPr>
              <w:t> 1005/2010</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33A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Emplacement et moyens d’identification des commandes manuelles, des témoins et des indicateurs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n</w:t>
            </w:r>
            <w:r>
              <w:rPr>
                <w:noProof/>
                <w:sz w:val="20"/>
                <w:vertAlign w:val="superscript"/>
              </w:rPr>
              <w:t>o </w:t>
            </w:r>
            <w:r>
              <w:rPr>
                <w:noProof/>
                <w:sz w:val="20"/>
              </w:rPr>
              <w:t>121 de la CEE-ONU</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Dispositifs de dégivrage et de désembuage du pare-brise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(UE) n</w:t>
            </w:r>
            <w:r>
              <w:rPr>
                <w:noProof/>
                <w:sz w:val="20"/>
                <w:vertAlign w:val="superscript"/>
              </w:rPr>
              <w:t>o</w:t>
            </w:r>
            <w:r>
              <w:rPr>
                <w:noProof/>
                <w:sz w:val="20"/>
              </w:rPr>
              <w:t> 672/2010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Essuie-glace et lave-glace du pare-brise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(UE) n</w:t>
            </w:r>
            <w:r>
              <w:rPr>
                <w:noProof/>
                <w:sz w:val="20"/>
                <w:vertAlign w:val="superscript"/>
              </w:rPr>
              <w:t>o</w:t>
            </w:r>
            <w:r>
              <w:rPr>
                <w:noProof/>
                <w:sz w:val="20"/>
              </w:rPr>
              <w:t> 1008/2010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xml:space="preserve">Systèmes de chauffage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n</w:t>
            </w:r>
            <w:r>
              <w:rPr>
                <w:noProof/>
                <w:sz w:val="20"/>
                <w:vertAlign w:val="superscript"/>
              </w:rPr>
              <w:t>o </w:t>
            </w:r>
            <w:r>
              <w:rPr>
                <w:noProof/>
                <w:sz w:val="20"/>
              </w:rPr>
              <w:t>122 de la CEE-ONU</w:t>
            </w:r>
          </w:p>
          <w:p>
            <w:pPr>
              <w:rPr>
                <w:rFonts w:eastAsia="Arial Unicode MS"/>
                <w:noProof/>
                <w:sz w:val="20"/>
                <w:szCs w:val="20"/>
              </w:rPr>
            </w:pPr>
            <w:r>
              <w:rPr>
                <w:noProof/>
                <w:sz w:val="20"/>
              </w:rPr>
              <w:t>À l’exception des dispositions de l’annexe 8 relatives aux chauffages à combustion GPL et aux systèmes de chauffage au GPL</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Protecteurs de roues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(UE) n</w:t>
            </w:r>
            <w:r>
              <w:rPr>
                <w:noProof/>
                <w:sz w:val="20"/>
                <w:vertAlign w:val="superscript"/>
              </w:rPr>
              <w:t>o</w:t>
            </w:r>
            <w:r>
              <w:rPr>
                <w:noProof/>
                <w:sz w:val="20"/>
              </w:rPr>
              <w:t> 1009/2010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Masses et dimensions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(UE) n</w:t>
            </w:r>
            <w:r>
              <w:rPr>
                <w:noProof/>
                <w:sz w:val="20"/>
                <w:vertAlign w:val="superscript"/>
              </w:rPr>
              <w:t>o</w:t>
            </w:r>
            <w:r>
              <w:rPr>
                <w:noProof/>
                <w:sz w:val="20"/>
              </w:rPr>
              <w:t> 1230/2012</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Vitrages de sécurité et leur installation sur les véhicules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n</w:t>
            </w:r>
            <w:r>
              <w:rPr>
                <w:noProof/>
                <w:sz w:val="20"/>
                <w:vertAlign w:val="superscript"/>
              </w:rPr>
              <w:t>o </w:t>
            </w:r>
            <w:r>
              <w:rPr>
                <w:noProof/>
                <w:sz w:val="20"/>
              </w:rPr>
              <w:t>43 de la CEE-ONU</w:t>
            </w:r>
          </w:p>
          <w:p>
            <w:pPr>
              <w:rPr>
                <w:rFonts w:eastAsia="Arial Unicode MS"/>
                <w:noProof/>
                <w:sz w:val="20"/>
                <w:szCs w:val="20"/>
              </w:rPr>
            </w:pPr>
            <w:r>
              <w:rPr>
                <w:noProof/>
                <w:sz w:val="20"/>
              </w:rPr>
              <w:t>Avec restriction aux dispositions figurant dans l’annexe 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Pneumatiques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Directive 92/23/CEE</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Montage des pneumatiques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(UE) n</w:t>
            </w:r>
            <w:r>
              <w:rPr>
                <w:noProof/>
                <w:sz w:val="20"/>
                <w:vertAlign w:val="superscript"/>
              </w:rPr>
              <w:t>o</w:t>
            </w:r>
            <w:r>
              <w:rPr>
                <w:noProof/>
                <w:sz w:val="20"/>
              </w:rPr>
              <w:t> 458/2011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Masses et dimensions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(UE) n</w:t>
            </w:r>
            <w:r>
              <w:rPr>
                <w:noProof/>
                <w:sz w:val="20"/>
                <w:vertAlign w:val="superscript"/>
              </w:rPr>
              <w:t>o</w:t>
            </w:r>
            <w:r>
              <w:rPr>
                <w:noProof/>
                <w:sz w:val="20"/>
              </w:rPr>
              <w:t> 1230/2012</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Saillies extérieures à l’avant de la cloison postérieure de la cabine des véhicules utilitaires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n</w:t>
            </w:r>
            <w:r>
              <w:rPr>
                <w:noProof/>
                <w:sz w:val="20"/>
                <w:vertAlign w:val="superscript"/>
              </w:rPr>
              <w:t>o </w:t>
            </w:r>
            <w:r>
              <w:rPr>
                <w:noProof/>
                <w:sz w:val="20"/>
              </w:rPr>
              <w:t>61 de la CEE-ONU</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Pièces mécaniques d’attelage des ensembles de véhicules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Règlement (CE) n</w:t>
            </w:r>
            <w:r>
              <w:rPr>
                <w:noProof/>
                <w:sz w:val="20"/>
                <w:vertAlign w:val="superscript"/>
              </w:rPr>
              <w:t>o</w:t>
            </w:r>
            <w:r>
              <w:rPr>
                <w:noProof/>
                <w:sz w:val="20"/>
              </w:rPr>
              <w:t> 661/2009</w:t>
            </w:r>
          </w:p>
          <w:p>
            <w:pPr>
              <w:rPr>
                <w:rFonts w:eastAsia="Arial Unicode MS"/>
                <w:noProof/>
                <w:sz w:val="20"/>
                <w:szCs w:val="20"/>
              </w:rPr>
            </w:pPr>
            <w:r>
              <w:rPr>
                <w:noProof/>
                <w:sz w:val="20"/>
              </w:rPr>
              <w:t>Règlement n</w:t>
            </w:r>
            <w:r>
              <w:rPr>
                <w:noProof/>
                <w:sz w:val="20"/>
                <w:vertAlign w:val="superscript"/>
              </w:rPr>
              <w:t>o </w:t>
            </w:r>
            <w:r>
              <w:rPr>
                <w:noProof/>
                <w:sz w:val="20"/>
              </w:rPr>
              <w:t>55 de la CEE-ONU</w:t>
            </w:r>
          </w:p>
          <w:p>
            <w:pPr>
              <w:rPr>
                <w:rFonts w:eastAsia="Arial Unicode MS"/>
                <w:noProof/>
                <w:sz w:val="20"/>
                <w:szCs w:val="20"/>
              </w:rPr>
            </w:pPr>
            <w:r>
              <w:rPr>
                <w:noProof/>
                <w:sz w:val="20"/>
              </w:rPr>
              <w:t>Avec restriction aux dispositions figurant dans l’annexe 5 (jusqu’au paragraphe 8 inclus) et dans l’annexe 7</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Systèmes de climatisation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Directive 2006/40/CE</w:t>
            </w:r>
          </w:p>
        </w:tc>
      </w:tr>
    </w:tbl>
    <w:p>
      <w:pPr>
        <w:spacing w:before="0" w:after="0"/>
        <w:jc w:val="left"/>
        <w:rPr>
          <w:rFonts w:eastAsia="Arial Unicode MS"/>
          <w:noProof/>
          <w:szCs w:val="24"/>
        </w:rPr>
      </w:pPr>
      <w:r>
        <w:rPr>
          <w:rFonts w:eastAsia="Arial Unicode MS"/>
          <w:noProof/>
          <w:szCs w:val="24"/>
        </w:rPr>
        <w:pict>
          <v:rect id="_x0000_i1055"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w:t>
      </w:r>
    </w:p>
    <w:p>
      <w:pPr>
        <w:spacing w:before="240" w:after="240"/>
        <w:jc w:val="center"/>
        <w:rPr>
          <w:rFonts w:eastAsia="Arial Unicode MS"/>
          <w:b/>
          <w:bCs/>
          <w:noProof/>
          <w:szCs w:val="24"/>
        </w:rPr>
      </w:pPr>
      <w:r>
        <w:rPr>
          <w:b/>
          <w:noProof/>
        </w:rPr>
        <w:t>Désignation d’un constructeur en tant que service technique et sous-traitance</w:t>
      </w:r>
    </w:p>
    <w:p>
      <w:pPr>
        <w:ind w:left="567" w:hanging="567"/>
        <w:jc w:val="left"/>
        <w:rPr>
          <w:rFonts w:eastAsia="Arial Unicode MS"/>
          <w:b/>
          <w:bCs/>
          <w:noProof/>
          <w:szCs w:val="24"/>
        </w:rPr>
      </w:pPr>
      <w:r>
        <w:rPr>
          <w:noProof/>
        </w:rPr>
        <w:t>1.</w:t>
      </w:r>
      <w:r>
        <w:rPr>
          <w:noProof/>
        </w:rPr>
        <w:tab/>
      </w:r>
      <w:r>
        <w:rPr>
          <w:b/>
          <w:noProof/>
        </w:rPr>
        <w:t>Généralités</w:t>
      </w:r>
    </w:p>
    <w:p>
      <w:pPr>
        <w:spacing w:after="0"/>
        <w:ind w:left="567" w:hanging="567"/>
        <w:rPr>
          <w:rFonts w:eastAsia="Arial Unicode MS"/>
          <w:noProof/>
          <w:szCs w:val="24"/>
        </w:rPr>
      </w:pPr>
      <w:r>
        <w:rPr>
          <w:noProof/>
        </w:rPr>
        <w:t>1.1.</w:t>
      </w:r>
      <w:r>
        <w:rPr>
          <w:noProof/>
        </w:rPr>
        <w:tab/>
        <w:t>La désignation et la notification d’un constructeur en tant que service technique se font conformément aux articles 72 à 86 et toute sous-traitance est régie par les dispositions du présent appendice.</w:t>
      </w:r>
    </w:p>
    <w:p>
      <w:pPr>
        <w:spacing w:before="240"/>
        <w:ind w:left="567" w:hanging="567"/>
        <w:jc w:val="left"/>
        <w:rPr>
          <w:rFonts w:eastAsia="Arial Unicode MS"/>
          <w:b/>
          <w:bCs/>
          <w:noProof/>
          <w:szCs w:val="24"/>
        </w:rPr>
      </w:pPr>
      <w:r>
        <w:rPr>
          <w:noProof/>
        </w:rPr>
        <w:t>2.</w:t>
      </w:r>
      <w:r>
        <w:rPr>
          <w:noProof/>
        </w:rPr>
        <w:tab/>
      </w:r>
      <w:r>
        <w:rPr>
          <w:b/>
          <w:noProof/>
        </w:rPr>
        <w:t>Sous-traitance</w:t>
      </w:r>
    </w:p>
    <w:p>
      <w:pPr>
        <w:spacing w:after="0"/>
        <w:ind w:left="567" w:hanging="567"/>
        <w:rPr>
          <w:rFonts w:eastAsia="Arial Unicode MS"/>
          <w:noProof/>
          <w:szCs w:val="24"/>
        </w:rPr>
      </w:pPr>
      <w:r>
        <w:rPr>
          <w:noProof/>
        </w:rPr>
        <w:t>2.1.</w:t>
      </w:r>
      <w:r>
        <w:rPr>
          <w:noProof/>
        </w:rPr>
        <w:tab/>
        <w:t>Conformément à l’article 75, paragraphe 1, un service technique peut nommer un sous-traitant pour effectuer les essais en son nom.</w:t>
      </w:r>
    </w:p>
    <w:p>
      <w:pPr>
        <w:spacing w:after="0"/>
        <w:ind w:left="567" w:hanging="567"/>
        <w:rPr>
          <w:rFonts w:eastAsia="Arial Unicode MS"/>
          <w:noProof/>
          <w:szCs w:val="24"/>
        </w:rPr>
      </w:pPr>
      <w:r>
        <w:rPr>
          <w:noProof/>
        </w:rPr>
        <w:t>2.2.</w:t>
      </w:r>
      <w:r>
        <w:rPr>
          <w:noProof/>
        </w:rPr>
        <w:tab/>
        <w:t>Aux fins du présent appendice, la définition suivante s’applique:</w:t>
      </w:r>
    </w:p>
    <w:p>
      <w:pPr>
        <w:spacing w:after="0"/>
        <w:ind w:left="1134" w:hanging="567"/>
        <w:rPr>
          <w:rFonts w:eastAsia="Arial Unicode MS"/>
          <w:noProof/>
          <w:szCs w:val="24"/>
        </w:rPr>
      </w:pPr>
      <w:r>
        <w:rPr>
          <w:noProof/>
        </w:rPr>
        <w:t xml:space="preserve">– </w:t>
      </w:r>
      <w:r>
        <w:rPr>
          <w:noProof/>
        </w:rPr>
        <w:tab/>
        <w:t>par «sous-traitant», on entend soit une filiale du service technique à laquelle ce service technique a confié des activités d’essai au sein de sa propre organisation, soit un tiers sous contrat avec ce service technique pour la réalisation d’activités d’essai.</w:t>
      </w:r>
    </w:p>
    <w:p>
      <w:pPr>
        <w:spacing w:after="0"/>
        <w:ind w:left="567" w:hanging="567"/>
        <w:rPr>
          <w:rFonts w:eastAsia="Arial Unicode MS"/>
          <w:noProof/>
          <w:szCs w:val="24"/>
        </w:rPr>
      </w:pPr>
      <w:r>
        <w:rPr>
          <w:noProof/>
        </w:rPr>
        <w:t>2.3.</w:t>
      </w:r>
      <w:r>
        <w:rPr>
          <w:noProof/>
        </w:rPr>
        <w:tab/>
        <w:t>Le recours aux services d’un sous-traitant ne libère pas le service technique de ses obligations de respecter les articles 73, 74, 84 et 85 et, en particulier, les prescriptions concernant les compétentes des services techniques et le respect de la norme EN ISO/IEC 17025:2005.</w:t>
      </w:r>
    </w:p>
    <w:p>
      <w:pPr>
        <w:spacing w:after="0"/>
        <w:ind w:left="567" w:hanging="567"/>
        <w:rPr>
          <w:rFonts w:eastAsia="Arial Unicode MS"/>
          <w:noProof/>
          <w:szCs w:val="24"/>
        </w:rPr>
      </w:pPr>
      <w:r>
        <w:rPr>
          <w:noProof/>
        </w:rPr>
        <w:t>2.4.</w:t>
      </w:r>
      <w:r>
        <w:rPr>
          <w:noProof/>
        </w:rPr>
        <w:tab/>
        <w:t>La section 2 de l’annexe XV s’applique au sous-traitant.</w:t>
      </w:r>
    </w:p>
    <w:p>
      <w:pPr>
        <w:spacing w:before="240"/>
        <w:ind w:left="567" w:hanging="567"/>
        <w:jc w:val="left"/>
        <w:rPr>
          <w:rFonts w:eastAsia="Arial Unicode MS"/>
          <w:b/>
          <w:bCs/>
          <w:noProof/>
          <w:szCs w:val="24"/>
        </w:rPr>
      </w:pPr>
      <w:r>
        <w:rPr>
          <w:noProof/>
        </w:rPr>
        <w:t>3.</w:t>
      </w:r>
      <w:r>
        <w:rPr>
          <w:noProof/>
        </w:rPr>
        <w:tab/>
      </w:r>
      <w:r>
        <w:rPr>
          <w:b/>
          <w:noProof/>
        </w:rPr>
        <w:t>Rapport d’essais</w:t>
      </w:r>
    </w:p>
    <w:p>
      <w:pPr>
        <w:spacing w:after="0"/>
        <w:ind w:left="567"/>
        <w:rPr>
          <w:rFonts w:eastAsia="Arial Unicode MS"/>
          <w:noProof/>
          <w:szCs w:val="24"/>
        </w:rPr>
      </w:pPr>
      <w:r>
        <w:rPr>
          <w:noProof/>
        </w:rPr>
        <w:t>Les rapports d’essais sont rédigés conformément aux prescriptions générales figurant dans l’annexe V, appendice 3, du règlement (UE) n</w:t>
      </w:r>
      <w:r>
        <w:rPr>
          <w:noProof/>
          <w:vertAlign w:val="superscript"/>
        </w:rPr>
        <w:t>o</w:t>
      </w:r>
      <w:r>
        <w:rPr>
          <w:noProof/>
        </w:rPr>
        <w:t> XXX/201X.</w:t>
      </w:r>
    </w:p>
    <w:p>
      <w:pPr>
        <w:spacing w:before="0" w:after="0"/>
        <w:jc w:val="left"/>
        <w:rPr>
          <w:rFonts w:eastAsia="Arial Unicode MS"/>
          <w:noProof/>
          <w:szCs w:val="24"/>
        </w:rPr>
      </w:pPr>
      <w:r>
        <w:rPr>
          <w:rFonts w:eastAsia="Arial Unicode MS"/>
          <w:noProof/>
          <w:szCs w:val="24"/>
        </w:rPr>
        <w:pict>
          <v:rect id="_x0000_i1056" style="width:45.35pt;height:.75pt" o:hrpct="100" o:hralign="center" o:hrstd="t" o:hrnoshade="t" o:hr="t" fillcolor="black" stroked="f"/>
        </w:pict>
      </w:r>
    </w:p>
    <w:p>
      <w:pPr>
        <w:rPr>
          <w:noProof/>
        </w:rPr>
      </w:pPr>
      <w:r>
        <w:rPr>
          <w:noProof/>
        </w:rPr>
        <w:br w:type="page"/>
      </w:r>
    </w:p>
    <w:p>
      <w:pPr>
        <w:pStyle w:val="Annexetitre"/>
        <w:rPr>
          <w:noProof/>
        </w:rPr>
      </w:pPr>
      <w:r>
        <w:rPr>
          <w:noProof/>
        </w:rPr>
        <w:t>ANNEXE XVI</w:t>
      </w:r>
    </w:p>
    <w:p>
      <w:pPr>
        <w:spacing w:before="240" w:after="240"/>
        <w:rPr>
          <w:rFonts w:eastAsia="Arial Unicode MS"/>
          <w:b/>
          <w:bCs/>
          <w:noProof/>
          <w:szCs w:val="24"/>
        </w:rPr>
      </w:pPr>
      <w:r>
        <w:rPr>
          <w:b/>
          <w:noProof/>
        </w:rPr>
        <w:t>CONDITIONS D’UTILISATION DE MÉTHODES D’ESSAI VIRTUEL PAR UN CONSTRUCTEUR OU UN SERVICE TECHNIQUE</w:t>
      </w:r>
    </w:p>
    <w:p>
      <w:pPr>
        <w:ind w:left="567" w:hanging="567"/>
        <w:jc w:val="left"/>
        <w:rPr>
          <w:rFonts w:eastAsia="Arial Unicode MS"/>
          <w:b/>
          <w:bCs/>
          <w:noProof/>
          <w:szCs w:val="24"/>
        </w:rPr>
      </w:pPr>
      <w:r>
        <w:rPr>
          <w:noProof/>
        </w:rPr>
        <w:t>1.</w:t>
      </w:r>
      <w:r>
        <w:rPr>
          <w:noProof/>
        </w:rPr>
        <w:tab/>
      </w:r>
      <w:r>
        <w:rPr>
          <w:b/>
          <w:noProof/>
        </w:rPr>
        <w:t>Objectifs et champ d’application</w:t>
      </w:r>
    </w:p>
    <w:p>
      <w:pPr>
        <w:spacing w:after="0"/>
        <w:ind w:left="567"/>
        <w:rPr>
          <w:rFonts w:eastAsia="Arial Unicode MS"/>
          <w:noProof/>
          <w:szCs w:val="24"/>
        </w:rPr>
      </w:pPr>
      <w:r>
        <w:rPr>
          <w:noProof/>
        </w:rPr>
        <w:t>La présente annexe établit les dispositions concernant les essais virtuels conformément à l’article 28, paragraphe 4.</w:t>
      </w:r>
    </w:p>
    <w:p>
      <w:pPr>
        <w:spacing w:before="240"/>
        <w:ind w:left="567" w:hanging="567"/>
        <w:jc w:val="left"/>
        <w:rPr>
          <w:rFonts w:eastAsia="Arial Unicode MS"/>
          <w:b/>
          <w:bCs/>
          <w:noProof/>
          <w:szCs w:val="24"/>
        </w:rPr>
      </w:pPr>
      <w:r>
        <w:rPr>
          <w:noProof/>
        </w:rPr>
        <w:t>2.</w:t>
      </w:r>
      <w:r>
        <w:rPr>
          <w:noProof/>
        </w:rPr>
        <w:tab/>
      </w:r>
      <w:r>
        <w:rPr>
          <w:b/>
          <w:noProof/>
        </w:rPr>
        <w:t xml:space="preserve">Liste des actes réglementaires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rPr>
              <w:t>Objet</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rPr>
              <w:t>Référence de l’acte réglementaire</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rPr>
              <w:t>Dispositifs arrière de protection anti-encastrement et leur montage; protection contre l’encastrement à l’arrière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rPr>
            </w:pPr>
            <w:r>
              <w:rPr>
                <w:noProof/>
                <w:sz w:val="20"/>
              </w:rPr>
              <w:t>Règlement (CE) n</w:t>
            </w:r>
            <w:r>
              <w:rPr>
                <w:noProof/>
                <w:sz w:val="20"/>
                <w:vertAlign w:val="superscript"/>
              </w:rPr>
              <w:t>o</w:t>
            </w:r>
            <w:r>
              <w:rPr>
                <w:noProof/>
                <w:sz w:val="20"/>
              </w:rPr>
              <w:t> 661/2009</w:t>
            </w:r>
          </w:p>
          <w:p>
            <w:pPr>
              <w:widowControl w:val="0"/>
              <w:spacing w:after="240"/>
              <w:jc w:val="left"/>
              <w:rPr>
                <w:strike/>
                <w:noProof/>
                <w:sz w:val="20"/>
                <w:szCs w:val="20"/>
              </w:rPr>
            </w:pPr>
            <w:r>
              <w:rPr>
                <w:noProof/>
                <w:sz w:val="20"/>
              </w:rPr>
              <w:t>Règlement n</w:t>
            </w:r>
            <w:r>
              <w:rPr>
                <w:noProof/>
                <w:sz w:val="20"/>
                <w:vertAlign w:val="superscript"/>
              </w:rPr>
              <w:t>o </w:t>
            </w:r>
            <w:r>
              <w:rPr>
                <w:noProof/>
                <w:sz w:val="20"/>
              </w:rPr>
              <w:t>58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Accès au véhicule et manœuvrabilité</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jc w:val="left"/>
              <w:rPr>
                <w:noProof/>
                <w:sz w:val="20"/>
                <w:szCs w:val="20"/>
              </w:rPr>
            </w:pPr>
            <w:r>
              <w:rPr>
                <w:noProof/>
                <w:sz w:val="20"/>
              </w:rPr>
              <w:t>Règlement (UE) n</w:t>
            </w:r>
            <w:r>
              <w:rPr>
                <w:noProof/>
                <w:sz w:val="20"/>
                <w:vertAlign w:val="superscript"/>
              </w:rPr>
              <w:t>o</w:t>
            </w:r>
            <w:r>
              <w:rPr>
                <w:noProof/>
                <w:sz w:val="20"/>
              </w:rPr>
              <w:t> 130/2012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Serrures et organes de fixation des portes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11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Systèmes de vision indirecte et leur montage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46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Aménagements intérieurs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21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Saillies extérieures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26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Installation des dispositifs d’éclairage et de signalisation lumineuse sur les véhicules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48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Dispositifs de remorquage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(UE) n</w:t>
            </w:r>
            <w:r>
              <w:rPr>
                <w:noProof/>
                <w:sz w:val="20"/>
                <w:vertAlign w:val="superscript"/>
              </w:rPr>
              <w:t>o</w:t>
            </w:r>
            <w:r>
              <w:rPr>
                <w:noProof/>
                <w:sz w:val="20"/>
              </w:rPr>
              <w:t> 1005/2010</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Champ de vision vers l’avant</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125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Essuie-glace et lave-glace du pare-brise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(UE) n</w:t>
            </w:r>
            <w:r>
              <w:rPr>
                <w:noProof/>
                <w:sz w:val="20"/>
                <w:vertAlign w:val="superscript"/>
              </w:rPr>
              <w:t>o</w:t>
            </w:r>
            <w:r>
              <w:rPr>
                <w:noProof/>
                <w:sz w:val="20"/>
              </w:rPr>
              <w:t> 1008/2010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Protecteurs de roues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(UE) n</w:t>
            </w:r>
            <w:r>
              <w:rPr>
                <w:noProof/>
                <w:sz w:val="20"/>
                <w:vertAlign w:val="superscript"/>
              </w:rPr>
              <w:t>o</w:t>
            </w:r>
            <w:r>
              <w:rPr>
                <w:noProof/>
                <w:sz w:val="20"/>
              </w:rPr>
              <w:t> 1009/2010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Protection latérale des véhicules utilitaires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73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Masses et dimensions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(UE) n</w:t>
            </w:r>
            <w:r>
              <w:rPr>
                <w:noProof/>
                <w:sz w:val="20"/>
                <w:vertAlign w:val="superscript"/>
              </w:rPr>
              <w:t>o</w:t>
            </w:r>
            <w:r>
              <w:rPr>
                <w:noProof/>
                <w:sz w:val="20"/>
              </w:rPr>
              <w:t> 1230/2012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Saillies extérieures à l’avant de la cloison postérieure de la cabine des véhicules utilitaires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61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Pièces mécaniques d’attelage des ensembles de véhicules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55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Dispositifs d’attelage court (DAC); installation d’un type réceptionné de DAC</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102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Véhicules M</w:t>
            </w:r>
            <w:r>
              <w:rPr>
                <w:noProof/>
                <w:sz w:val="20"/>
                <w:vertAlign w:val="subscript"/>
              </w:rPr>
              <w:t>2</w:t>
            </w:r>
            <w:r>
              <w:rPr>
                <w:noProof/>
                <w:sz w:val="20"/>
              </w:rPr>
              <w:t xml:space="preserve"> et M</w:t>
            </w:r>
            <w:r>
              <w:rPr>
                <w:noProof/>
                <w:sz w:val="20"/>
                <w:vertAlign w:val="subscript"/>
              </w:rPr>
              <w:t>3</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107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Résistance mécanique de la superstructure des véhicules de grande capacité pour le transport de personnes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66 de la CEE-ONU</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Dispositifs avant de protection anti-encastrement et leur montage; protection contre l’encastrement à l’avant</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Règlement (CE) n</w:t>
            </w:r>
            <w:r>
              <w:rPr>
                <w:noProof/>
                <w:sz w:val="20"/>
                <w:vertAlign w:val="superscript"/>
              </w:rPr>
              <w:t>o</w:t>
            </w:r>
            <w:r>
              <w:rPr>
                <w:noProof/>
                <w:sz w:val="20"/>
              </w:rPr>
              <w:t> 661/2009</w:t>
            </w:r>
          </w:p>
          <w:p>
            <w:pPr>
              <w:widowControl w:val="0"/>
              <w:spacing w:after="240"/>
              <w:rPr>
                <w:noProof/>
                <w:sz w:val="20"/>
                <w:szCs w:val="20"/>
              </w:rPr>
            </w:pPr>
            <w:r>
              <w:rPr>
                <w:noProof/>
                <w:sz w:val="20"/>
              </w:rPr>
              <w:t>Règlement n</w:t>
            </w:r>
            <w:r>
              <w:rPr>
                <w:noProof/>
                <w:sz w:val="20"/>
                <w:vertAlign w:val="superscript"/>
              </w:rPr>
              <w:t>o </w:t>
            </w:r>
            <w:r>
              <w:rPr>
                <w:noProof/>
                <w:sz w:val="20"/>
              </w:rPr>
              <w:t>93 de la CEE-ONU</w:t>
            </w:r>
          </w:p>
        </w:tc>
      </w:tr>
    </w:tbl>
    <w:p>
      <w:pPr>
        <w:spacing w:before="0" w:after="0"/>
        <w:jc w:val="left"/>
        <w:rPr>
          <w:rFonts w:eastAsia="Arial Unicode MS"/>
          <w:noProof/>
          <w:szCs w:val="24"/>
        </w:rPr>
      </w:pPr>
      <w:r>
        <w:rPr>
          <w:rFonts w:eastAsia="Arial Unicode MS"/>
          <w:noProof/>
          <w:szCs w:val="24"/>
        </w:rPr>
        <w:pict>
          <v:rect id="_x0000_i105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 1</w:t>
      </w:r>
    </w:p>
    <w:p>
      <w:pPr>
        <w:jc w:val="center"/>
        <w:rPr>
          <w:rFonts w:eastAsia="Arial Unicode MS"/>
          <w:b/>
          <w:bCs/>
          <w:noProof/>
          <w:szCs w:val="24"/>
        </w:rPr>
      </w:pPr>
      <w:r>
        <w:rPr>
          <w:b/>
          <w:noProof/>
        </w:rPr>
        <w:t>Conditions générales pour l’utilisation de méthodes d’essai virtuel</w:t>
      </w:r>
    </w:p>
    <w:p>
      <w:pPr>
        <w:spacing w:before="240"/>
        <w:ind w:left="567" w:hanging="567"/>
        <w:jc w:val="left"/>
        <w:rPr>
          <w:rFonts w:eastAsia="Arial Unicode MS"/>
          <w:b/>
          <w:bCs/>
          <w:noProof/>
          <w:szCs w:val="24"/>
        </w:rPr>
      </w:pPr>
      <w:r>
        <w:rPr>
          <w:noProof/>
        </w:rPr>
        <w:t>1.</w:t>
      </w:r>
      <w:r>
        <w:rPr>
          <w:noProof/>
        </w:rPr>
        <w:tab/>
      </w:r>
      <w:r>
        <w:rPr>
          <w:b/>
          <w:noProof/>
        </w:rPr>
        <w:t>Schéma d’essai virtuel</w:t>
      </w:r>
    </w:p>
    <w:p>
      <w:pPr>
        <w:spacing w:after="0"/>
        <w:ind w:left="567"/>
        <w:rPr>
          <w:rFonts w:eastAsia="Arial Unicode MS"/>
          <w:noProof/>
          <w:szCs w:val="24"/>
        </w:rPr>
      </w:pPr>
      <w:r>
        <w:rPr>
          <w:noProof/>
        </w:rPr>
        <w:t>Le modèle d’essai virtuel suivant doit être utilisé comme structure de base pour la description et la réalisation d’essais virtuels:</w:t>
      </w:r>
    </w:p>
    <w:p>
      <w:pPr>
        <w:spacing w:before="60" w:after="0"/>
        <w:ind w:left="1134" w:hanging="567"/>
        <w:rPr>
          <w:rFonts w:eastAsia="Arial Unicode MS"/>
          <w:noProof/>
          <w:szCs w:val="24"/>
        </w:rPr>
      </w:pPr>
      <w:r>
        <w:rPr>
          <w:noProof/>
        </w:rPr>
        <w:t>a)</w:t>
      </w:r>
      <w:r>
        <w:rPr>
          <w:noProof/>
        </w:rPr>
        <w:tab/>
        <w:t>objet;</w:t>
      </w:r>
    </w:p>
    <w:p>
      <w:pPr>
        <w:spacing w:before="60" w:after="0"/>
        <w:ind w:left="1134" w:hanging="567"/>
        <w:rPr>
          <w:rFonts w:eastAsia="Arial Unicode MS"/>
          <w:noProof/>
          <w:szCs w:val="24"/>
        </w:rPr>
      </w:pPr>
      <w:r>
        <w:rPr>
          <w:noProof/>
        </w:rPr>
        <w:t>b)</w:t>
      </w:r>
      <w:r>
        <w:rPr>
          <w:noProof/>
        </w:rPr>
        <w:tab/>
        <w:t>modèle de structure;</w:t>
      </w:r>
    </w:p>
    <w:p>
      <w:pPr>
        <w:spacing w:before="60" w:after="0"/>
        <w:ind w:left="1134" w:hanging="567"/>
        <w:rPr>
          <w:rFonts w:eastAsia="Arial Unicode MS"/>
          <w:noProof/>
          <w:szCs w:val="24"/>
        </w:rPr>
      </w:pPr>
      <w:r>
        <w:rPr>
          <w:noProof/>
        </w:rPr>
        <w:t>c)</w:t>
      </w:r>
      <w:r>
        <w:rPr>
          <w:noProof/>
        </w:rPr>
        <w:tab/>
        <w:t>conditions limites;</w:t>
      </w:r>
    </w:p>
    <w:p>
      <w:pPr>
        <w:spacing w:before="60" w:after="0"/>
        <w:ind w:left="1134" w:hanging="567"/>
        <w:rPr>
          <w:rFonts w:eastAsia="Arial Unicode MS"/>
          <w:noProof/>
          <w:szCs w:val="24"/>
        </w:rPr>
      </w:pPr>
      <w:r>
        <w:rPr>
          <w:noProof/>
        </w:rPr>
        <w:t>d)</w:t>
      </w:r>
      <w:r>
        <w:rPr>
          <w:noProof/>
        </w:rPr>
        <w:tab/>
        <w:t>hypothèses de charge;</w:t>
      </w:r>
    </w:p>
    <w:p>
      <w:pPr>
        <w:spacing w:before="60" w:after="0"/>
        <w:ind w:left="1134" w:hanging="567"/>
        <w:rPr>
          <w:rFonts w:eastAsia="Arial Unicode MS"/>
          <w:noProof/>
          <w:szCs w:val="24"/>
        </w:rPr>
      </w:pPr>
      <w:r>
        <w:rPr>
          <w:noProof/>
        </w:rPr>
        <w:t>e)</w:t>
      </w:r>
      <w:r>
        <w:rPr>
          <w:noProof/>
        </w:rPr>
        <w:tab/>
        <w:t>calcul;</w:t>
      </w:r>
    </w:p>
    <w:p>
      <w:pPr>
        <w:spacing w:before="60" w:after="0"/>
        <w:ind w:left="1134" w:hanging="567"/>
        <w:rPr>
          <w:rFonts w:eastAsia="Arial Unicode MS"/>
          <w:noProof/>
          <w:szCs w:val="24"/>
        </w:rPr>
      </w:pPr>
      <w:r>
        <w:rPr>
          <w:noProof/>
        </w:rPr>
        <w:t>f)</w:t>
      </w:r>
      <w:r>
        <w:rPr>
          <w:noProof/>
        </w:rPr>
        <w:tab/>
        <w:t>évaluation;</w:t>
      </w:r>
    </w:p>
    <w:p>
      <w:pPr>
        <w:spacing w:before="60" w:after="0"/>
        <w:ind w:left="1134" w:hanging="567"/>
        <w:rPr>
          <w:rFonts w:eastAsia="Arial Unicode MS"/>
          <w:noProof/>
          <w:szCs w:val="24"/>
        </w:rPr>
      </w:pPr>
      <w:r>
        <w:rPr>
          <w:noProof/>
        </w:rPr>
        <w:t>g)</w:t>
      </w:r>
      <w:r>
        <w:rPr>
          <w:noProof/>
        </w:rPr>
        <w:tab/>
        <w:t>documentation.</w:t>
      </w:r>
    </w:p>
    <w:p>
      <w:pPr>
        <w:spacing w:after="0"/>
        <w:ind w:left="567" w:hanging="567"/>
        <w:jc w:val="left"/>
        <w:rPr>
          <w:rFonts w:eastAsia="Arial Unicode MS"/>
          <w:b/>
          <w:bCs/>
          <w:noProof/>
          <w:szCs w:val="24"/>
        </w:rPr>
      </w:pPr>
      <w:r>
        <w:rPr>
          <w:noProof/>
        </w:rPr>
        <w:t>2.</w:t>
      </w:r>
      <w:r>
        <w:rPr>
          <w:noProof/>
        </w:rPr>
        <w:tab/>
      </w:r>
      <w:r>
        <w:rPr>
          <w:b/>
          <w:noProof/>
        </w:rPr>
        <w:t>Principes fondamentaux de la simulation et du calcul par ordinateur</w:t>
      </w:r>
    </w:p>
    <w:p>
      <w:pPr>
        <w:spacing w:after="0"/>
        <w:ind w:left="567" w:hanging="567"/>
        <w:jc w:val="left"/>
        <w:rPr>
          <w:rFonts w:eastAsia="Arial Unicode MS"/>
          <w:bCs/>
          <w:noProof/>
          <w:szCs w:val="24"/>
        </w:rPr>
      </w:pPr>
      <w:r>
        <w:rPr>
          <w:noProof/>
        </w:rPr>
        <w:t>2.1.</w:t>
      </w:r>
      <w:r>
        <w:rPr>
          <w:noProof/>
        </w:rPr>
        <w:tab/>
      </w:r>
      <w:r>
        <w:rPr>
          <w:i/>
          <w:noProof/>
        </w:rPr>
        <w:t>Modèle mathématique</w:t>
      </w:r>
      <w:r>
        <w:rPr>
          <w:noProof/>
        </w:rPr>
        <w:t xml:space="preserve"> </w:t>
      </w:r>
    </w:p>
    <w:p>
      <w:pPr>
        <w:spacing w:after="0"/>
        <w:ind w:left="567"/>
        <w:rPr>
          <w:rFonts w:eastAsia="Arial Unicode MS"/>
          <w:noProof/>
          <w:szCs w:val="24"/>
        </w:rPr>
      </w:pPr>
      <w:r>
        <w:rPr>
          <w:noProof/>
        </w:rPr>
        <w:t>Le modèle mathématique doit être fourni par le constructeur. Il reflète la complexité de la structure du véhicule, du système, du composant ou de l’entité technique distincte devant être soumis(e) aux essais, en liaison avec les prescriptions de l’acte réglementaire applicable et ses conditions limites.</w:t>
      </w:r>
    </w:p>
    <w:p>
      <w:pPr>
        <w:spacing w:after="0"/>
        <w:ind w:left="567"/>
        <w:rPr>
          <w:rFonts w:eastAsia="Arial Unicode MS"/>
          <w:noProof/>
          <w:szCs w:val="24"/>
        </w:rPr>
      </w:pPr>
      <w:r>
        <w:rPr>
          <w:noProof/>
        </w:rPr>
        <w:t>Les mêmes dispositions s’appliquent aux essais de composants ou d’entités techniques distinctes considéré(e)s indépendamment du véhicule.</w:t>
      </w:r>
    </w:p>
    <w:p>
      <w:pPr>
        <w:spacing w:after="0"/>
        <w:ind w:left="567" w:hanging="567"/>
        <w:jc w:val="left"/>
        <w:rPr>
          <w:rFonts w:eastAsia="Arial Unicode MS"/>
          <w:bCs/>
          <w:noProof/>
          <w:szCs w:val="24"/>
        </w:rPr>
      </w:pPr>
      <w:r>
        <w:rPr>
          <w:noProof/>
        </w:rPr>
        <w:t>2.2.</w:t>
      </w:r>
      <w:r>
        <w:rPr>
          <w:noProof/>
        </w:rPr>
        <w:tab/>
      </w:r>
      <w:r>
        <w:rPr>
          <w:i/>
          <w:noProof/>
        </w:rPr>
        <w:t>Processus de validation du modèle mathématique</w:t>
      </w:r>
      <w:r>
        <w:rPr>
          <w:noProof/>
        </w:rPr>
        <w:t xml:space="preserve"> </w:t>
      </w:r>
    </w:p>
    <w:p>
      <w:pPr>
        <w:spacing w:after="0"/>
        <w:ind w:left="567"/>
        <w:rPr>
          <w:rFonts w:eastAsia="Arial Unicode MS"/>
          <w:noProof/>
          <w:szCs w:val="24"/>
        </w:rPr>
      </w:pPr>
      <w:r>
        <w:rPr>
          <w:noProof/>
        </w:rPr>
        <w:t>Le modèle mathématique doit être validé par rapport aux conditions d’essai réelles.</w:t>
      </w:r>
    </w:p>
    <w:p>
      <w:pPr>
        <w:spacing w:after="0"/>
        <w:ind w:left="567"/>
        <w:rPr>
          <w:rFonts w:eastAsia="Arial Unicode MS"/>
          <w:noProof/>
          <w:szCs w:val="24"/>
        </w:rPr>
      </w:pPr>
      <w:r>
        <w:rPr>
          <w:noProof/>
        </w:rPr>
        <w:t>À cet effet, un essai physique est réalisé aux fins de comparer les résultats obtenus avec le modèle mathématique et les résultats de l’essai physique. La comparabilité des résultats de l’essai doit être démontrée. Le constructeur ou le service technique établit un rapport de validation et le soumet à l’autorité compétente en matière de réception.</w:t>
      </w:r>
    </w:p>
    <w:p>
      <w:pPr>
        <w:spacing w:after="0"/>
        <w:ind w:left="567"/>
        <w:rPr>
          <w:rFonts w:eastAsia="Arial Unicode MS"/>
          <w:noProof/>
          <w:szCs w:val="24"/>
        </w:rPr>
      </w:pPr>
      <w:r>
        <w:rPr>
          <w:noProof/>
        </w:rPr>
        <w:t>Toute modification apportée au modèle mathématique ou au logiciel et susceptible d’invalider le rapport de validation doit être portée à l’attention de l’autorité compétente en matière de réception, qui peut demander qu’il soit procédé à une nouvelle validation.</w:t>
      </w:r>
    </w:p>
    <w:p>
      <w:pPr>
        <w:spacing w:after="0"/>
        <w:ind w:left="567"/>
        <w:rPr>
          <w:rFonts w:eastAsia="Arial Unicode MS"/>
          <w:noProof/>
          <w:szCs w:val="24"/>
        </w:rPr>
      </w:pPr>
      <w:r>
        <w:rPr>
          <w:noProof/>
        </w:rPr>
        <w:t>Le diagramme présentant le processus de validation figure à l’appendice 3.</w:t>
      </w:r>
    </w:p>
    <w:p>
      <w:pPr>
        <w:spacing w:after="0"/>
        <w:ind w:left="567" w:hanging="567"/>
        <w:jc w:val="left"/>
        <w:rPr>
          <w:rFonts w:eastAsia="Arial Unicode MS"/>
          <w:bCs/>
          <w:noProof/>
          <w:szCs w:val="24"/>
        </w:rPr>
      </w:pPr>
      <w:r>
        <w:rPr>
          <w:noProof/>
        </w:rPr>
        <w:t>2.3.</w:t>
      </w:r>
      <w:r>
        <w:rPr>
          <w:noProof/>
        </w:rPr>
        <w:tab/>
      </w:r>
      <w:r>
        <w:rPr>
          <w:i/>
          <w:noProof/>
        </w:rPr>
        <w:t>Documentation</w:t>
      </w:r>
      <w:r>
        <w:rPr>
          <w:noProof/>
        </w:rPr>
        <w:t xml:space="preserve"> </w:t>
      </w:r>
    </w:p>
    <w:p>
      <w:pPr>
        <w:spacing w:after="0"/>
        <w:ind w:left="567"/>
        <w:rPr>
          <w:rFonts w:eastAsia="Arial Unicode MS"/>
          <w:noProof/>
          <w:szCs w:val="24"/>
        </w:rPr>
      </w:pPr>
      <w:r>
        <w:rPr>
          <w:noProof/>
        </w:rPr>
        <w:t>Le constructeur met à la disposition du service technique et documente les données et les outils auxiliaires utilisés pour la simulation et le calcul.</w:t>
      </w:r>
    </w:p>
    <w:p>
      <w:pPr>
        <w:spacing w:after="0"/>
        <w:ind w:left="567" w:hanging="567"/>
        <w:jc w:val="left"/>
        <w:rPr>
          <w:rFonts w:eastAsia="Arial Unicode MS"/>
          <w:b/>
          <w:bCs/>
          <w:noProof/>
          <w:szCs w:val="24"/>
        </w:rPr>
      </w:pPr>
      <w:r>
        <w:rPr>
          <w:noProof/>
        </w:rPr>
        <w:t>3.</w:t>
      </w:r>
      <w:r>
        <w:rPr>
          <w:noProof/>
        </w:rPr>
        <w:tab/>
      </w:r>
      <w:r>
        <w:rPr>
          <w:b/>
          <w:noProof/>
        </w:rPr>
        <w:t>Outils et assistance</w:t>
      </w:r>
    </w:p>
    <w:p>
      <w:pPr>
        <w:spacing w:after="0"/>
        <w:ind w:left="567"/>
        <w:rPr>
          <w:rFonts w:eastAsia="Arial Unicode MS"/>
          <w:noProof/>
          <w:szCs w:val="24"/>
        </w:rPr>
      </w:pPr>
      <w:r>
        <w:rPr>
          <w:noProof/>
        </w:rPr>
        <w:t>Le constructeur fournit au service technique, à la demande de celui-ci, les outils nécessaires pour mener l’essai virtuel, y compris le logiciel approprié, ou permet au service technique d’accéder à ces outils.</w:t>
      </w:r>
    </w:p>
    <w:p>
      <w:pPr>
        <w:spacing w:after="0"/>
        <w:ind w:left="567"/>
        <w:rPr>
          <w:rFonts w:eastAsia="Arial Unicode MS"/>
          <w:noProof/>
          <w:szCs w:val="24"/>
        </w:rPr>
      </w:pPr>
      <w:r>
        <w:rPr>
          <w:noProof/>
        </w:rPr>
        <w:t>Il apporte, en outre, une assistance appropriée au service technique.</w:t>
      </w:r>
    </w:p>
    <w:p>
      <w:pPr>
        <w:spacing w:after="0"/>
        <w:ind w:left="567"/>
        <w:rPr>
          <w:rFonts w:eastAsia="Arial Unicode MS"/>
          <w:noProof/>
          <w:szCs w:val="24"/>
        </w:rPr>
      </w:pPr>
      <w:r>
        <w:rPr>
          <w:noProof/>
        </w:rPr>
        <w:t>La fourniture de l’accès et de l’assistance au service technique ne libère pas le service technique de ses obligations en ce qui concerne les compétences de son personnel, le paiement des droits de licence et le respect de la confidentialité.</w:t>
      </w:r>
    </w:p>
    <w:p>
      <w:pPr>
        <w:spacing w:before="0" w:after="0"/>
        <w:jc w:val="left"/>
        <w:rPr>
          <w:rFonts w:eastAsia="Arial Unicode MS"/>
          <w:noProof/>
          <w:szCs w:val="24"/>
        </w:rPr>
      </w:pPr>
      <w:r>
        <w:rPr>
          <w:rFonts w:eastAsia="Arial Unicode MS"/>
          <w:noProof/>
          <w:szCs w:val="24"/>
        </w:rPr>
        <w:pict>
          <v:rect id="_x0000_i105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 2</w:t>
      </w:r>
    </w:p>
    <w:p>
      <w:pPr>
        <w:spacing w:before="240" w:after="240"/>
        <w:jc w:val="center"/>
        <w:rPr>
          <w:rFonts w:eastAsia="Arial Unicode MS"/>
          <w:b/>
          <w:bCs/>
          <w:noProof/>
          <w:szCs w:val="24"/>
        </w:rPr>
      </w:pPr>
      <w:r>
        <w:rPr>
          <w:b/>
          <w:noProof/>
        </w:rPr>
        <w:t>Conditions spécifiques pour l’utilisation de méthodes d’essai virtuel</w:t>
      </w:r>
    </w:p>
    <w:p>
      <w:pPr>
        <w:spacing w:before="240" w:after="240"/>
        <w:ind w:left="567" w:hanging="567"/>
        <w:jc w:val="left"/>
        <w:rPr>
          <w:rFonts w:eastAsia="Arial Unicode MS"/>
          <w:b/>
          <w:bCs/>
          <w:noProof/>
          <w:szCs w:val="24"/>
        </w:rPr>
      </w:pPr>
      <w:r>
        <w:rPr>
          <w:noProof/>
        </w:rPr>
        <w:t>1.</w:t>
      </w:r>
      <w:r>
        <w:rPr>
          <w:noProof/>
        </w:rPr>
        <w:tab/>
      </w:r>
      <w:r>
        <w:rPr>
          <w:b/>
          <w:noProof/>
        </w:rPr>
        <w:t>Liste des actes réglementaires</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356"/>
        <w:gridCol w:w="2410"/>
        <w:gridCol w:w="2835"/>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Référence de l’acte réglementaire</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Annexe et paragraphes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Conditions spécifiques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 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58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Paragraphes 2.3, 7.3 et 25.6 du règlement n</w:t>
            </w:r>
            <w:r>
              <w:rPr>
                <w:noProof/>
                <w:sz w:val="20"/>
                <w:vertAlign w:val="superscript"/>
              </w:rPr>
              <w:t>o</w:t>
            </w:r>
            <w:r>
              <w:rPr>
                <w:noProof/>
                <w:sz w:val="20"/>
              </w:rPr>
              <w:t> 58 de la CEE-ONU</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Dimensions et résistance aux forces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(UE) n</w:t>
            </w:r>
            <w:r>
              <w:rPr>
                <w:noProof/>
                <w:sz w:val="20"/>
                <w:vertAlign w:val="superscript"/>
              </w:rPr>
              <w:t>o</w:t>
            </w:r>
            <w:r>
              <w:rPr>
                <w:noProof/>
                <w:sz w:val="20"/>
              </w:rPr>
              <w:t> 130/2012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Annexe II, parties I et 2 du règlement (UE) n</w:t>
            </w:r>
            <w:r>
              <w:rPr>
                <w:noProof/>
                <w:sz w:val="20"/>
                <w:vertAlign w:val="superscript"/>
              </w:rPr>
              <w:t>o</w:t>
            </w:r>
            <w:r>
              <w:rPr>
                <w:noProof/>
                <w:sz w:val="20"/>
              </w:rPr>
              <w:t xml:space="preserve"> 130/2012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Dimensions des marches, des marchepieds et des poignées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11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Annexe 3 du règlement n</w:t>
            </w:r>
            <w:r>
              <w:rPr>
                <w:noProof/>
                <w:sz w:val="20"/>
                <w:vertAlign w:val="superscript"/>
              </w:rPr>
              <w:t>o</w:t>
            </w:r>
            <w:r>
              <w:rPr>
                <w:noProof/>
                <w:sz w:val="20"/>
              </w:rPr>
              <w:t> 11 de la CEE-ONU</w:t>
            </w:r>
          </w:p>
          <w:p>
            <w:pPr>
              <w:rPr>
                <w:rFonts w:eastAsia="Arial Unicode MS"/>
                <w:noProof/>
                <w:sz w:val="20"/>
                <w:szCs w:val="20"/>
              </w:rPr>
            </w:pPr>
            <w:r>
              <w:rPr>
                <w:noProof/>
                <w:sz w:val="20"/>
              </w:rPr>
              <w:t>Annexe 4, paragraphe 2.1, du règlement n</w:t>
            </w:r>
            <w:r>
              <w:rPr>
                <w:noProof/>
                <w:sz w:val="20"/>
                <w:vertAlign w:val="superscript"/>
              </w:rPr>
              <w:t>o</w:t>
            </w:r>
            <w:r>
              <w:rPr>
                <w:noProof/>
                <w:sz w:val="20"/>
              </w:rPr>
              <w:t> 11 de la CEE-ONU</w:t>
            </w:r>
          </w:p>
          <w:p>
            <w:pPr>
              <w:jc w:val="left"/>
              <w:rPr>
                <w:rFonts w:eastAsia="Arial Unicode MS"/>
                <w:i/>
                <w:noProof/>
                <w:sz w:val="20"/>
                <w:szCs w:val="20"/>
              </w:rPr>
            </w:pPr>
            <w:r>
              <w:rPr>
                <w:noProof/>
                <w:sz w:val="20"/>
              </w:rPr>
              <w:t>Annexe 5 du règlement n</w:t>
            </w:r>
            <w:r>
              <w:rPr>
                <w:noProof/>
                <w:sz w:val="20"/>
                <w:vertAlign w:val="superscript"/>
              </w:rPr>
              <w:t>o</w:t>
            </w:r>
            <w:r>
              <w:rPr>
                <w:noProof/>
                <w:sz w:val="20"/>
              </w:rPr>
              <w:t xml:space="preserve"> 11 de la CEE-ONU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Essais de la résistance à la traction et détermination de la résistance des serrures aux accélérations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8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46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Paragraphe 15.2.4 du règlement n</w:t>
            </w:r>
            <w:r>
              <w:rPr>
                <w:noProof/>
                <w:sz w:val="20"/>
                <w:vertAlign w:val="superscript"/>
              </w:rPr>
              <w:t>o</w:t>
            </w:r>
            <w:r>
              <w:rPr>
                <w:noProof/>
                <w:sz w:val="20"/>
              </w:rPr>
              <w:t> 46 de la CEE-ONU</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Champs de vision prescrits pour les rétroviseurs</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12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21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Paragraphes 5 à 5.7 du règlement n</w:t>
            </w:r>
            <w:r>
              <w:rPr>
                <w:noProof/>
                <w:sz w:val="20"/>
                <w:vertAlign w:val="superscript"/>
              </w:rPr>
              <w:t>o</w:t>
            </w:r>
            <w:r>
              <w:rPr>
                <w:noProof/>
                <w:sz w:val="20"/>
              </w:rPr>
              <w:t> 21 de la CEE-ONU</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rPr>
              <w:t>b) Paragraphe 2.3 du règlement n</w:t>
            </w:r>
            <w:r>
              <w:rPr>
                <w:noProof/>
                <w:sz w:val="20"/>
                <w:vertAlign w:val="superscript"/>
              </w:rPr>
              <w:t>o</w:t>
            </w:r>
            <w:r>
              <w:rPr>
                <w:noProof/>
                <w:sz w:val="20"/>
              </w:rPr>
              <w:t> 21 de la CEE-ONU</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Mesure de tous les rayons de courbure et de toutes les saillies, à l’exception des prescriptions pour lesquelles une force doit être appliquée afin de vérifier la conformité aux dispositions</w:t>
            </w:r>
          </w:p>
          <w:p>
            <w:pPr>
              <w:rPr>
                <w:rFonts w:eastAsia="Arial Unicode MS"/>
                <w:noProof/>
                <w:sz w:val="20"/>
                <w:szCs w:val="20"/>
              </w:rPr>
            </w:pPr>
            <w:r>
              <w:rPr>
                <w:noProof/>
                <w:sz w:val="20"/>
              </w:rPr>
              <w:t>b) Détermination de la zone d’impact de la tête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16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26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Paragraphe 5.2.4 du règlement n</w:t>
            </w:r>
            <w:r>
              <w:rPr>
                <w:noProof/>
                <w:sz w:val="20"/>
                <w:vertAlign w:val="superscript"/>
              </w:rPr>
              <w:t>o</w:t>
            </w:r>
            <w:r>
              <w:rPr>
                <w:noProof/>
                <w:sz w:val="20"/>
              </w:rPr>
              <w:t> 26 de la CEE-ONU</w:t>
            </w:r>
          </w:p>
          <w:p>
            <w:pPr>
              <w:jc w:val="left"/>
              <w:rPr>
                <w:rFonts w:eastAsia="Arial Unicode MS"/>
                <w:noProof/>
                <w:sz w:val="20"/>
                <w:szCs w:val="20"/>
              </w:rPr>
            </w:pPr>
            <w:r>
              <w:rPr>
                <w:noProof/>
                <w:sz w:val="20"/>
              </w:rPr>
              <w:t>Toutes les dispositions des paragraphes 5 (Prescriptions générales) et 6 (Prescriptions particulières) du règlement n</w:t>
            </w:r>
            <w:r>
              <w:rPr>
                <w:noProof/>
                <w:sz w:val="20"/>
                <w:vertAlign w:val="superscript"/>
              </w:rPr>
              <w:t>o</w:t>
            </w:r>
            <w:r>
              <w:rPr>
                <w:noProof/>
                <w:sz w:val="20"/>
              </w:rPr>
              <w:t xml:space="preserve"> 26 de la CEE-ONU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Mesure de tous les rayons de courbure et de toutes les saillies, à l’exception des prescriptions pour lesquelles une force doit être appliquée afin de vérifier la conformité aux dispositions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48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Paragraphe 6</w:t>
            </w:r>
            <w:r>
              <w:rPr>
                <w:noProof/>
              </w:rPr>
              <w:t xml:space="preserve"> </w:t>
            </w:r>
            <w:r>
              <w:rPr>
                <w:noProof/>
                <w:sz w:val="20"/>
              </w:rPr>
              <w:t>(Spécifications particulières) et annexes 4, 5 et 6 du règlement n</w:t>
            </w:r>
            <w:r>
              <w:rPr>
                <w:noProof/>
                <w:sz w:val="20"/>
                <w:vertAlign w:val="superscript"/>
              </w:rPr>
              <w:t>o</w:t>
            </w:r>
            <w:r>
              <w:rPr>
                <w:noProof/>
                <w:sz w:val="20"/>
              </w:rPr>
              <w:t xml:space="preserve"> 48 de la CEE-ONU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L’essai prévu au paragraphe 6.22.9.2.2 doit être réalisé sur un véhicule réel.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(UE) n</w:t>
            </w:r>
            <w:r>
              <w:rPr>
                <w:noProof/>
                <w:sz w:val="20"/>
                <w:vertAlign w:val="superscript"/>
              </w:rPr>
              <w:t>o</w:t>
            </w:r>
            <w:r>
              <w:rPr>
                <w:noProof/>
                <w:sz w:val="20"/>
              </w:rPr>
              <w:t> 1005/2010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Annexe II, point 1.2 du règlement (UE) n</w:t>
            </w:r>
            <w:r>
              <w:rPr>
                <w:noProof/>
                <w:sz w:val="20"/>
                <w:vertAlign w:val="superscript"/>
              </w:rPr>
              <w:t>o</w:t>
            </w:r>
            <w:r>
              <w:rPr>
                <w:noProof/>
                <w:sz w:val="20"/>
              </w:rPr>
              <w:t> 1005/2010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Force statique de traction et de pression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32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125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Paragraphe 5 (Spécifications) du règlement n</w:t>
            </w:r>
            <w:r>
              <w:rPr>
                <w:noProof/>
                <w:sz w:val="20"/>
                <w:vertAlign w:val="superscript"/>
              </w:rPr>
              <w:t>o</w:t>
            </w:r>
            <w:r>
              <w:rPr>
                <w:noProof/>
                <w:sz w:val="20"/>
              </w:rPr>
              <w:t> 125 de la CEE-ONU</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Obstructions et champ de vision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(UE) n</w:t>
            </w:r>
            <w:r>
              <w:rPr>
                <w:noProof/>
                <w:sz w:val="20"/>
                <w:vertAlign w:val="superscript"/>
              </w:rPr>
              <w:t>o</w:t>
            </w:r>
            <w:r>
              <w:rPr>
                <w:noProof/>
                <w:sz w:val="20"/>
              </w:rPr>
              <w:t> 1008/2010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Annexe III, points 1.1.2 et 1.1.3 du règlement (UE) n</w:t>
            </w:r>
            <w:r>
              <w:rPr>
                <w:noProof/>
                <w:sz w:val="20"/>
                <w:vertAlign w:val="superscript"/>
              </w:rPr>
              <w:t>o</w:t>
            </w:r>
            <w:r>
              <w:rPr>
                <w:noProof/>
                <w:sz w:val="20"/>
              </w:rPr>
              <w:t> 1008/2010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Détermination du champ balayé par l’essuie-glace uniquement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(UE) n</w:t>
            </w:r>
            <w:r>
              <w:rPr>
                <w:noProof/>
                <w:sz w:val="20"/>
                <w:vertAlign w:val="superscript"/>
              </w:rPr>
              <w:t>o</w:t>
            </w:r>
            <w:r>
              <w:rPr>
                <w:noProof/>
                <w:sz w:val="20"/>
              </w:rPr>
              <w:t> 1009/2010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Annexe II, section 2,</w:t>
            </w:r>
            <w:r>
              <w:rPr>
                <w:noProof/>
              </w:rPr>
              <w:t xml:space="preserve"> </w:t>
            </w:r>
            <w:r>
              <w:rPr>
                <w:noProof/>
                <w:sz w:val="20"/>
              </w:rPr>
              <w:t>du règlement (UE) n</w:t>
            </w:r>
            <w:r>
              <w:rPr>
                <w:noProof/>
                <w:sz w:val="20"/>
                <w:vertAlign w:val="superscript"/>
              </w:rPr>
              <w:t>o</w:t>
            </w:r>
            <w:r>
              <w:rPr>
                <w:noProof/>
                <w:sz w:val="20"/>
              </w:rPr>
              <w:t> 1009/2010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Vérification des prescriptions dimensionnelles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42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73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Paragraphe 12.10 du règlement n</w:t>
            </w:r>
            <w:r>
              <w:rPr>
                <w:noProof/>
                <w:sz w:val="20"/>
                <w:vertAlign w:val="superscript"/>
              </w:rPr>
              <w:t>o</w:t>
            </w:r>
            <w:r>
              <w:rPr>
                <w:noProof/>
                <w:sz w:val="20"/>
              </w:rPr>
              <w:t> 73 de la CEE-ONU</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Mesure de la résistance à une force horizontale et de la déformation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(UE) n</w:t>
            </w:r>
            <w:r>
              <w:rPr>
                <w:noProof/>
                <w:sz w:val="20"/>
                <w:vertAlign w:val="superscript"/>
              </w:rPr>
              <w:t>o</w:t>
            </w:r>
            <w:r>
              <w:rPr>
                <w:noProof/>
                <w:sz w:val="20"/>
              </w:rPr>
              <w:t> 1230/2012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Annexe I, partie B, sections 7 et 8, du règlement (UE) n</w:t>
            </w:r>
            <w:r>
              <w:rPr>
                <w:noProof/>
                <w:sz w:val="20"/>
                <w:vertAlign w:val="superscript"/>
              </w:rPr>
              <w:t>o</w:t>
            </w:r>
            <w:r>
              <w:rPr>
                <w:noProof/>
                <w:sz w:val="20"/>
              </w:rPr>
              <w:t> 1230/2012</w:t>
            </w:r>
          </w:p>
          <w:p>
            <w:pPr>
              <w:jc w:val="left"/>
              <w:rPr>
                <w:rFonts w:eastAsia="Arial Unicode MS"/>
                <w:noProof/>
                <w:sz w:val="20"/>
                <w:szCs w:val="20"/>
              </w:rPr>
            </w:pPr>
          </w:p>
          <w:p>
            <w:pPr>
              <w:jc w:val="left"/>
              <w:rPr>
                <w:rFonts w:eastAsia="Arial Unicode MS"/>
                <w:noProof/>
                <w:sz w:val="20"/>
                <w:szCs w:val="20"/>
              </w:rPr>
            </w:pPr>
            <w:r>
              <w:rPr>
                <w:noProof/>
                <w:sz w:val="20"/>
              </w:rPr>
              <w:t>b) Annexe I, partie C, sections 6 et 7, du règlement (UE) n</w:t>
            </w:r>
            <w:r>
              <w:rPr>
                <w:noProof/>
                <w:sz w:val="20"/>
                <w:vertAlign w:val="superscript"/>
              </w:rPr>
              <w:t>o</w:t>
            </w:r>
            <w:r>
              <w:rPr>
                <w:noProof/>
                <w:sz w:val="20"/>
              </w:rPr>
              <w:t> 1230/2012</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Contrôle de la conformité aux prescriptions en matière de manœuvrabilité, y compris la manœuvrabilité des véhicules équipés d’essieux relevables ou délestables</w:t>
            </w:r>
          </w:p>
          <w:p>
            <w:pPr>
              <w:rPr>
                <w:rFonts w:eastAsia="Arial Unicode MS"/>
                <w:noProof/>
                <w:sz w:val="20"/>
                <w:szCs w:val="20"/>
              </w:rPr>
            </w:pPr>
            <w:r>
              <w:rPr>
                <w:noProof/>
                <w:sz w:val="20"/>
              </w:rPr>
              <w:t>b) Mesure du débordement arrière maximal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61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Paragraphes 5 et 6 du règlement n</w:t>
            </w:r>
            <w:r>
              <w:rPr>
                <w:noProof/>
                <w:sz w:val="20"/>
                <w:vertAlign w:val="superscript"/>
              </w:rPr>
              <w:t>o</w:t>
            </w:r>
            <w:r>
              <w:rPr>
                <w:noProof/>
                <w:sz w:val="20"/>
              </w:rPr>
              <w:t xml:space="preserve"> 61 de la CEE-ONU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Mesure de tous les rayons de courbure et de toutes les saillies, à l’exception des prescriptions pour lesquelles une force doit être appliquée afin de vérifier la conformité aux dispositions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55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Annexe 5, «Prescriptions applicables aux dispositifs ou pièces mécaniques d’attelage», du règlement n</w:t>
            </w:r>
            <w:r>
              <w:rPr>
                <w:noProof/>
                <w:sz w:val="20"/>
                <w:vertAlign w:val="superscript"/>
              </w:rPr>
              <w:t>o</w:t>
            </w:r>
            <w:r>
              <w:rPr>
                <w:noProof/>
                <w:sz w:val="20"/>
              </w:rPr>
              <w:t> 55 de la CEE-ONU</w:t>
            </w:r>
          </w:p>
          <w:p>
            <w:pPr>
              <w:spacing w:after="360"/>
              <w:jc w:val="left"/>
              <w:rPr>
                <w:rFonts w:eastAsia="Arial Unicode MS"/>
                <w:noProof/>
                <w:sz w:val="20"/>
                <w:szCs w:val="20"/>
              </w:rPr>
            </w:pPr>
            <w:r>
              <w:rPr>
                <w:noProof/>
                <w:sz w:val="20"/>
              </w:rPr>
              <w:t>b) Annexe 6, paragraphe 1.1 du règlement n</w:t>
            </w:r>
            <w:r>
              <w:rPr>
                <w:noProof/>
                <w:sz w:val="20"/>
                <w:vertAlign w:val="superscript"/>
              </w:rPr>
              <w:t>o</w:t>
            </w:r>
            <w:r>
              <w:rPr>
                <w:noProof/>
                <w:sz w:val="20"/>
              </w:rPr>
              <w:t> 55 de la CEE-ONU</w:t>
            </w:r>
          </w:p>
          <w:p>
            <w:pPr>
              <w:jc w:val="left"/>
              <w:rPr>
                <w:rFonts w:eastAsia="Arial Unicode MS"/>
                <w:noProof/>
                <w:sz w:val="20"/>
                <w:szCs w:val="20"/>
              </w:rPr>
            </w:pPr>
            <w:r>
              <w:rPr>
                <w:noProof/>
                <w:sz w:val="20"/>
              </w:rPr>
              <w:t>c) Annexe 6, paragraphe 3, du règlement n</w:t>
            </w:r>
            <w:r>
              <w:rPr>
                <w:noProof/>
                <w:sz w:val="20"/>
                <w:vertAlign w:val="superscript"/>
              </w:rPr>
              <w:t>o</w:t>
            </w:r>
            <w:r>
              <w:rPr>
                <w:noProof/>
                <w:sz w:val="20"/>
              </w:rPr>
              <w:t> 55 de la CEE-ONU</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Toutes les dispositions des paragraphes 1 à 8 inclus</w:t>
            </w:r>
          </w:p>
          <w:p>
            <w:pPr>
              <w:spacing w:before="240"/>
              <w:rPr>
                <w:rFonts w:eastAsia="Arial Unicode MS"/>
                <w:noProof/>
                <w:sz w:val="20"/>
                <w:szCs w:val="20"/>
              </w:rPr>
            </w:pPr>
          </w:p>
          <w:p>
            <w:pPr>
              <w:rPr>
                <w:rFonts w:eastAsia="Arial Unicode MS"/>
                <w:noProof/>
                <w:sz w:val="20"/>
                <w:szCs w:val="20"/>
              </w:rPr>
            </w:pPr>
            <w:r>
              <w:rPr>
                <w:noProof/>
                <w:sz w:val="20"/>
              </w:rPr>
              <w:t>b) Les essais de résistance sur les dispositifs mécaniques d’attelage de conception simple peuvent être remplacés par des essais virtuels</w:t>
            </w:r>
          </w:p>
          <w:p>
            <w:pPr>
              <w:rPr>
                <w:rFonts w:eastAsia="Arial Unicode MS"/>
                <w:noProof/>
                <w:sz w:val="20"/>
                <w:szCs w:val="20"/>
              </w:rPr>
            </w:pPr>
            <w:r>
              <w:rPr>
                <w:noProof/>
                <w:sz w:val="20"/>
              </w:rPr>
              <w:t>c) Paragraphes 3.6.1 (Essai de résistance), 3.6.2 (Résistance au flambage) et 3.6.3 (Résistance à la flexion) uniquement.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107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Annexe 3 du règlement n</w:t>
            </w:r>
            <w:r>
              <w:rPr>
                <w:noProof/>
                <w:sz w:val="20"/>
                <w:vertAlign w:val="superscript"/>
              </w:rPr>
              <w:t>o</w:t>
            </w:r>
            <w:r>
              <w:rPr>
                <w:noProof/>
                <w:sz w:val="20"/>
              </w:rPr>
              <w:t> 107 de la CEE-ONU</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Paragraphe 7.4.5 (méthode de calcul)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 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66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Annexe 9 du règlement n</w:t>
            </w:r>
            <w:r>
              <w:rPr>
                <w:noProof/>
                <w:sz w:val="20"/>
                <w:vertAlign w:val="superscript"/>
              </w:rPr>
              <w:t>o</w:t>
            </w:r>
            <w:r>
              <w:rPr>
                <w:noProof/>
                <w:sz w:val="20"/>
              </w:rPr>
              <w:t> 66 de la CEE-ONU</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Simulation sur ordinateur de l’essai de renversement sur un véhicule complet, en tant que méthode équivalente pour la réception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57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Règlement (CE) n</w:t>
            </w:r>
            <w:r>
              <w:rPr>
                <w:noProof/>
                <w:sz w:val="20"/>
                <w:vertAlign w:val="superscript"/>
              </w:rPr>
              <w:t>o</w:t>
            </w:r>
            <w:r>
              <w:rPr>
                <w:noProof/>
                <w:sz w:val="20"/>
              </w:rPr>
              <w:t> 661/2009</w:t>
            </w:r>
          </w:p>
          <w:p>
            <w:pPr>
              <w:jc w:val="left"/>
              <w:rPr>
                <w:rFonts w:eastAsia="Arial Unicode MS"/>
                <w:noProof/>
                <w:sz w:val="20"/>
                <w:szCs w:val="20"/>
              </w:rPr>
            </w:pPr>
            <w:r>
              <w:rPr>
                <w:noProof/>
                <w:sz w:val="20"/>
              </w:rPr>
              <w:t>Règlement n</w:t>
            </w:r>
            <w:r>
              <w:rPr>
                <w:noProof/>
                <w:sz w:val="20"/>
                <w:vertAlign w:val="superscript"/>
              </w:rPr>
              <w:t>o </w:t>
            </w:r>
            <w:r>
              <w:rPr>
                <w:noProof/>
                <w:sz w:val="20"/>
              </w:rPr>
              <w:t>93 de la CEE-ONU</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Annexe 5, paragraphe 3, du règlement n</w:t>
            </w:r>
            <w:r>
              <w:rPr>
                <w:noProof/>
                <w:sz w:val="20"/>
                <w:vertAlign w:val="superscript"/>
              </w:rPr>
              <w:t>o</w:t>
            </w:r>
            <w:r>
              <w:rPr>
                <w:noProof/>
                <w:sz w:val="20"/>
              </w:rPr>
              <w:t> 93 de la CEE-ONU</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Mesure de la résistance à une force horizontale et de la déformation</w:t>
            </w:r>
          </w:p>
        </w:tc>
      </w:tr>
    </w:tbl>
    <w:p>
      <w:pPr>
        <w:spacing w:before="0" w:after="200" w:line="276" w:lineRule="auto"/>
        <w:jc w:val="left"/>
        <w:rPr>
          <w:rFonts w:eastAsia="Arial Unicode MS"/>
          <w:noProof/>
          <w:szCs w:val="24"/>
        </w:rPr>
      </w:pPr>
      <w:r>
        <w:rPr>
          <w:rFonts w:eastAsia="Arial Unicode MS"/>
          <w:noProof/>
          <w:szCs w:val="24"/>
        </w:rPr>
        <w:pict>
          <v:rect id="_x0000_i1059"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 3</w:t>
      </w:r>
    </w:p>
    <w:p>
      <w:pPr>
        <w:spacing w:before="240" w:after="240"/>
        <w:jc w:val="center"/>
        <w:rPr>
          <w:b/>
          <w:noProof/>
        </w:rPr>
      </w:pPr>
      <w:r>
        <w:rPr>
          <w:b/>
          <w:noProof/>
        </w:rPr>
        <w:t>Processus de validation</w:t>
      </w:r>
    </w:p>
    <w:p>
      <w:pPr>
        <w:spacing w:before="240" w:after="240"/>
        <w:jc w:val="center"/>
        <w:rPr>
          <w:b/>
          <w:noProof/>
        </w:rPr>
      </w:pPr>
      <w:r>
        <w:rPr>
          <w:noProof/>
          <w:lang w:val="en-US" w:eastAsia="en-US"/>
        </w:rPr>
        <w:drawing>
          <wp:inline distT="0" distB="0" distL="0" distR="0">
            <wp:extent cx="5760085" cy="54533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60085" cy="5453342"/>
                    </a:xfrm>
                    <a:prstGeom prst="rect">
                      <a:avLst/>
                    </a:prstGeom>
                    <a:noFill/>
                    <a:ln>
                      <a:noFill/>
                    </a:ln>
                  </pic:spPr>
                </pic:pic>
              </a:graphicData>
            </a:graphic>
          </wp:inline>
        </w:drawing>
      </w:r>
    </w:p>
    <w:p>
      <w:pPr>
        <w:spacing w:before="100" w:beforeAutospacing="1" w:after="100" w:afterAutospacing="1"/>
        <w:jc w:val="left"/>
        <w:rPr>
          <w:rFonts w:eastAsia="Arial Unicode MS"/>
          <w:noProof/>
          <w:szCs w:val="24"/>
        </w:rPr>
      </w:pPr>
      <w:r>
        <w:rPr>
          <w:rFonts w:eastAsia="Arial Unicode MS"/>
          <w:noProof/>
          <w:szCs w:val="24"/>
        </w:rPr>
        <w:pict>
          <v:rect id="_x0000_i1060" style="width:45.35pt;height:.75pt" o:hrpct="100" o:hralign="center" o:hrstd="t" o:hrnoshade="t" o:hr="t" fillcolor="black" stroked="f"/>
        </w:pict>
      </w:r>
    </w:p>
    <w:p>
      <w:pPr>
        <w:rPr>
          <w:noProof/>
        </w:rPr>
      </w:pPr>
      <w:r>
        <w:rPr>
          <w:noProof/>
        </w:rPr>
        <w:br w:type="page"/>
      </w:r>
    </w:p>
    <w:p>
      <w:pPr>
        <w:pStyle w:val="Annexetitre"/>
        <w:rPr>
          <w:noProof/>
        </w:rPr>
      </w:pPr>
      <w:r>
        <w:rPr>
          <w:noProof/>
        </w:rPr>
        <w:t>ANNEXE XVII</w:t>
      </w:r>
    </w:p>
    <w:p>
      <w:pPr>
        <w:jc w:val="center"/>
        <w:rPr>
          <w:rFonts w:eastAsia="Arial Unicode MS"/>
          <w:b/>
          <w:bCs/>
          <w:noProof/>
          <w:szCs w:val="24"/>
        </w:rPr>
      </w:pPr>
      <w:r>
        <w:rPr>
          <w:b/>
          <w:noProof/>
        </w:rPr>
        <w:t>PROCÉDURES À SUIVRE AU COURS DE LA RÉCEPTION UE PAR TYPE MULTI-ÉTAPES</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Cs w:val="24"/>
              </w:rPr>
            </w:pPr>
            <w:r>
              <w:rPr>
                <w:b/>
                <w:noProof/>
                <w:sz w:val="22"/>
              </w:rPr>
              <w:t>1.</w:t>
            </w:r>
          </w:p>
        </w:tc>
        <w:tc>
          <w:tcPr>
            <w:tcW w:w="8280" w:type="dxa"/>
            <w:shd w:val="clear" w:color="auto" w:fill="auto"/>
          </w:tcPr>
          <w:p>
            <w:pPr>
              <w:spacing w:after="0"/>
              <w:rPr>
                <w:rFonts w:eastAsia="Arial Unicode MS"/>
                <w:noProof/>
                <w:szCs w:val="24"/>
              </w:rPr>
            </w:pPr>
            <w:r>
              <w:rPr>
                <w:b/>
                <w:noProof/>
                <w:sz w:val="22"/>
              </w:rPr>
              <w:t>Obligations des constructeurs</w:t>
            </w:r>
            <w:r>
              <w:rPr>
                <w:noProof/>
                <w:sz w:val="22"/>
              </w:rPr>
              <w:t xml:space="preserve"> </w:t>
            </w:r>
          </w:p>
        </w:tc>
      </w:tr>
      <w:tr>
        <w:tc>
          <w:tcPr>
            <w:tcW w:w="817" w:type="dxa"/>
            <w:shd w:val="clear" w:color="auto" w:fill="auto"/>
          </w:tcPr>
          <w:p>
            <w:pPr>
              <w:spacing w:after="0"/>
              <w:rPr>
                <w:rFonts w:eastAsia="Arial Unicode MS"/>
                <w:noProof/>
                <w:szCs w:val="24"/>
              </w:rPr>
            </w:pPr>
            <w:r>
              <w:rPr>
                <w:noProof/>
                <w:sz w:val="22"/>
              </w:rPr>
              <w:t>1.1.</w:t>
            </w:r>
          </w:p>
        </w:tc>
        <w:tc>
          <w:tcPr>
            <w:tcW w:w="8280" w:type="dxa"/>
            <w:shd w:val="clear" w:color="auto" w:fill="auto"/>
          </w:tcPr>
          <w:p>
            <w:pPr>
              <w:spacing w:after="0"/>
              <w:rPr>
                <w:rFonts w:eastAsia="Arial Unicode MS"/>
                <w:noProof/>
                <w:szCs w:val="24"/>
              </w:rPr>
            </w:pPr>
            <w:r>
              <w:rPr>
                <w:noProof/>
                <w:sz w:val="22"/>
              </w:rPr>
              <w:t>Pour se dérouler dans de bonnes conditions, la réception UE par type multi-étapes exige une action concertée de tous les constructeurs concernés. À cette fin, avant de délivrer une réception pour une première étape ou une étape ultérieure, les autorités compétentes s’assurent de l’existence d’arrangements adéquats entre les différents constructeurs en ce qui concerne la communication et l’échange des documents et des informations nécessaires pour garantir que le type de véhicule complété satisfait aux prescriptions techniques de tous les actes réglementaires applicables énumérés dans l’annexe IV. Ces données doivent notamment porter sur les réceptions par type des systèmes, des composants ou des entités techniques distinctes concernés et sur les éléments faisant partie intégrante du véhicule incomplet, mais non encore réceptionnés.</w:t>
            </w:r>
          </w:p>
        </w:tc>
      </w:tr>
      <w:tr>
        <w:tc>
          <w:tcPr>
            <w:tcW w:w="817" w:type="dxa"/>
            <w:shd w:val="clear" w:color="auto" w:fill="auto"/>
          </w:tcPr>
          <w:p>
            <w:pPr>
              <w:spacing w:after="0"/>
              <w:rPr>
                <w:rFonts w:eastAsia="Arial Unicode MS"/>
                <w:noProof/>
                <w:szCs w:val="24"/>
              </w:rPr>
            </w:pPr>
            <w:r>
              <w:rPr>
                <w:noProof/>
                <w:sz w:val="22"/>
              </w:rPr>
              <w:t>1.2.</w:t>
            </w:r>
          </w:p>
        </w:tc>
        <w:tc>
          <w:tcPr>
            <w:tcW w:w="8280" w:type="dxa"/>
            <w:shd w:val="clear" w:color="auto" w:fill="auto"/>
          </w:tcPr>
          <w:p>
            <w:pPr>
              <w:spacing w:after="0"/>
              <w:rPr>
                <w:rFonts w:eastAsia="Arial Unicode MS"/>
                <w:noProof/>
                <w:szCs w:val="24"/>
              </w:rPr>
            </w:pPr>
            <w:r>
              <w:rPr>
                <w:noProof/>
                <w:sz w:val="22"/>
              </w:rPr>
              <w:t>Dans le cas d’une réception UE par type multi-étapes, chaque constructeur est responsable de la réception et de la conformité de la production de tous les systèmes, composants ou entités techniques distinctes fabriqués par lui ou ajoutés par lui au véhicule dans son état d’achèvement antérieur. Le constructeur de l’étape suivante n’est pas responsable des éléments qui ont été réceptionnés lors d’une étape antérieure, sauf s’il modifie les parties concernées du véhicule au point de rendre non valable la réception délivrée précédemment.</w:t>
            </w:r>
          </w:p>
        </w:tc>
      </w:tr>
      <w:tr>
        <w:tc>
          <w:tcPr>
            <w:tcW w:w="817" w:type="dxa"/>
            <w:shd w:val="clear" w:color="auto" w:fill="auto"/>
          </w:tcPr>
          <w:p>
            <w:pPr>
              <w:spacing w:before="240" w:after="0"/>
              <w:rPr>
                <w:rFonts w:eastAsia="Arial Unicode MS"/>
                <w:b/>
                <w:noProof/>
                <w:szCs w:val="24"/>
              </w:rPr>
            </w:pPr>
            <w:r>
              <w:rPr>
                <w:b/>
                <w:noProof/>
                <w:sz w:val="22"/>
              </w:rPr>
              <w:t>2.</w:t>
            </w:r>
          </w:p>
        </w:tc>
        <w:tc>
          <w:tcPr>
            <w:tcW w:w="8280" w:type="dxa"/>
            <w:shd w:val="clear" w:color="auto" w:fill="auto"/>
          </w:tcPr>
          <w:p>
            <w:pPr>
              <w:spacing w:before="240" w:after="0"/>
              <w:rPr>
                <w:rFonts w:eastAsia="Arial Unicode MS"/>
                <w:noProof/>
                <w:szCs w:val="24"/>
              </w:rPr>
            </w:pPr>
            <w:r>
              <w:rPr>
                <w:b/>
                <w:noProof/>
                <w:sz w:val="22"/>
              </w:rPr>
              <w:t>Obligations des autorités compétentes en matière de réception</w:t>
            </w:r>
          </w:p>
        </w:tc>
      </w:tr>
      <w:tr>
        <w:tc>
          <w:tcPr>
            <w:tcW w:w="817" w:type="dxa"/>
            <w:shd w:val="clear" w:color="auto" w:fill="auto"/>
          </w:tcPr>
          <w:p>
            <w:pPr>
              <w:spacing w:after="0"/>
              <w:rPr>
                <w:rFonts w:eastAsia="Arial Unicode MS"/>
                <w:noProof/>
                <w:szCs w:val="24"/>
              </w:rPr>
            </w:pPr>
            <w:r>
              <w:rPr>
                <w:noProof/>
                <w:sz w:val="22"/>
              </w:rPr>
              <w:t>2.1.</w:t>
            </w:r>
          </w:p>
        </w:tc>
        <w:tc>
          <w:tcPr>
            <w:tcW w:w="8280" w:type="dxa"/>
            <w:shd w:val="clear" w:color="auto" w:fill="auto"/>
          </w:tcPr>
          <w:p>
            <w:pPr>
              <w:spacing w:after="0"/>
              <w:rPr>
                <w:rFonts w:eastAsia="Arial Unicode MS"/>
                <w:noProof/>
                <w:szCs w:val="24"/>
              </w:rPr>
            </w:pPr>
            <w:r>
              <w:rPr>
                <w:noProof/>
                <w:sz w:val="22"/>
              </w:rPr>
              <w:t>L’autorité compétente en matière de réception:</w:t>
            </w:r>
          </w:p>
        </w:tc>
      </w:tr>
      <w:tr>
        <w:tc>
          <w:tcPr>
            <w:tcW w:w="817" w:type="dxa"/>
            <w:shd w:val="clear" w:color="auto" w:fill="auto"/>
          </w:tcPr>
          <w:p>
            <w:pPr>
              <w:spacing w:after="0"/>
              <w:rPr>
                <w:rFonts w:eastAsia="Arial Unicode MS"/>
                <w:noProof/>
                <w:szCs w:val="24"/>
              </w:rPr>
            </w:pPr>
            <w:r>
              <w:rPr>
                <w:noProof/>
                <w:sz w:val="22"/>
              </w:rPr>
              <w:t>a)</w:t>
            </w:r>
          </w:p>
        </w:tc>
        <w:tc>
          <w:tcPr>
            <w:tcW w:w="8280" w:type="dxa"/>
            <w:shd w:val="clear" w:color="auto" w:fill="auto"/>
          </w:tcPr>
          <w:p>
            <w:pPr>
              <w:spacing w:after="0"/>
              <w:rPr>
                <w:rFonts w:eastAsia="Arial Unicode MS"/>
                <w:noProof/>
                <w:szCs w:val="24"/>
              </w:rPr>
            </w:pPr>
            <w:r>
              <w:rPr>
                <w:noProof/>
                <w:sz w:val="22"/>
              </w:rPr>
              <w:t>vérifie que toutes les fiches de réception UE par type délivrées conformément aux actes réglementaires applicables pour la réception par type de véhicules concernent le type de véhicule dans son état d’achèvement et correspondent aux exigences prescrites;</w:t>
            </w:r>
          </w:p>
        </w:tc>
      </w:tr>
      <w:tr>
        <w:tc>
          <w:tcPr>
            <w:tcW w:w="817" w:type="dxa"/>
            <w:shd w:val="clear" w:color="auto" w:fill="auto"/>
          </w:tcPr>
          <w:p>
            <w:pPr>
              <w:spacing w:after="0"/>
              <w:rPr>
                <w:rFonts w:eastAsia="Arial Unicode MS"/>
                <w:noProof/>
                <w:szCs w:val="24"/>
              </w:rPr>
            </w:pPr>
            <w:r>
              <w:rPr>
                <w:noProof/>
                <w:sz w:val="22"/>
              </w:rPr>
              <w:t>b)</w:t>
            </w:r>
          </w:p>
        </w:tc>
        <w:tc>
          <w:tcPr>
            <w:tcW w:w="8280" w:type="dxa"/>
            <w:shd w:val="clear" w:color="auto" w:fill="auto"/>
          </w:tcPr>
          <w:p>
            <w:pPr>
              <w:spacing w:after="0"/>
              <w:rPr>
                <w:rFonts w:eastAsia="Arial Unicode MS"/>
                <w:noProof/>
                <w:szCs w:val="24"/>
              </w:rPr>
            </w:pPr>
            <w:r>
              <w:rPr>
                <w:noProof/>
                <w:sz w:val="22"/>
              </w:rPr>
              <w:t>veille à ce que toutes les données nécessaires, compte tenu de l’état d’achèvement du véhicule, figurent dans le dossier constructeur;</w:t>
            </w:r>
          </w:p>
        </w:tc>
      </w:tr>
      <w:tr>
        <w:tc>
          <w:tcPr>
            <w:tcW w:w="817" w:type="dxa"/>
            <w:shd w:val="clear" w:color="auto" w:fill="auto"/>
          </w:tcPr>
          <w:p>
            <w:pPr>
              <w:spacing w:after="0"/>
              <w:rPr>
                <w:rFonts w:eastAsia="Arial Unicode MS"/>
                <w:noProof/>
                <w:szCs w:val="24"/>
              </w:rPr>
            </w:pPr>
            <w:r>
              <w:rPr>
                <w:noProof/>
                <w:sz w:val="22"/>
              </w:rPr>
              <w:t>c)</w:t>
            </w:r>
          </w:p>
        </w:tc>
        <w:tc>
          <w:tcPr>
            <w:tcW w:w="8280" w:type="dxa"/>
            <w:shd w:val="clear" w:color="auto" w:fill="auto"/>
          </w:tcPr>
          <w:p>
            <w:pPr>
              <w:spacing w:after="0"/>
              <w:rPr>
                <w:rFonts w:eastAsia="Arial Unicode MS"/>
                <w:noProof/>
                <w:szCs w:val="24"/>
              </w:rPr>
            </w:pPr>
            <w:r>
              <w:rPr>
                <w:noProof/>
                <w:sz w:val="22"/>
              </w:rPr>
              <w:t>s’assure, en ce qui concerne la documentation, que les spécifications et les données du véhicule contenues dans la partie I du dossier constructeur du véhicule figurent dans les dossiers de réception et dans les fiches de réception UE par type délivrées, conformément aux actes réglementaires applicables et, dans le cas d’un véhicule complété, lorsqu’un numéro de rubrique de la partie I du dossier constructeur ne figure dans le dossier de réception d’aucun des actes réglementaires, confirme que la partie ou la caractéristique du véhicule concernée est conforme aux indications du dossier constructeur;</w:t>
            </w:r>
          </w:p>
        </w:tc>
      </w:tr>
      <w:tr>
        <w:tc>
          <w:tcPr>
            <w:tcW w:w="817" w:type="dxa"/>
            <w:shd w:val="clear" w:color="auto" w:fill="auto"/>
          </w:tcPr>
          <w:p>
            <w:pPr>
              <w:spacing w:after="0"/>
              <w:rPr>
                <w:rFonts w:eastAsia="Arial Unicode MS"/>
                <w:noProof/>
                <w:szCs w:val="24"/>
              </w:rPr>
            </w:pPr>
            <w:r>
              <w:rPr>
                <w:noProof/>
                <w:sz w:val="22"/>
              </w:rPr>
              <w:t>d)</w:t>
            </w:r>
          </w:p>
        </w:tc>
        <w:tc>
          <w:tcPr>
            <w:tcW w:w="8280" w:type="dxa"/>
            <w:shd w:val="clear" w:color="auto" w:fill="auto"/>
          </w:tcPr>
          <w:p>
            <w:pPr>
              <w:spacing w:after="0"/>
              <w:rPr>
                <w:rFonts w:eastAsia="Arial Unicode MS"/>
                <w:noProof/>
                <w:szCs w:val="24"/>
              </w:rPr>
            </w:pPr>
            <w:r>
              <w:rPr>
                <w:noProof/>
                <w:sz w:val="22"/>
              </w:rPr>
              <w:t>effectue ou fait effectuer, sur un échantillon de véhicules du type à réceptionner, des inspections de parties ou de systèmes du véhicule en vue de vérifier que le ou les véhicules sont construits conformément aux données pertinentes contenues dans le dossier de réception authentifié en conformité avec tous les actes réglementaires applicables;</w:t>
            </w:r>
          </w:p>
        </w:tc>
      </w:tr>
      <w:tr>
        <w:tc>
          <w:tcPr>
            <w:tcW w:w="817" w:type="dxa"/>
            <w:shd w:val="clear" w:color="auto" w:fill="auto"/>
          </w:tcPr>
          <w:p>
            <w:pPr>
              <w:spacing w:after="0"/>
              <w:rPr>
                <w:rFonts w:eastAsia="Arial Unicode MS"/>
                <w:noProof/>
                <w:szCs w:val="24"/>
              </w:rPr>
            </w:pPr>
            <w:r>
              <w:rPr>
                <w:noProof/>
                <w:sz w:val="22"/>
              </w:rPr>
              <w:t>e)</w:t>
            </w:r>
          </w:p>
        </w:tc>
        <w:tc>
          <w:tcPr>
            <w:tcW w:w="8280" w:type="dxa"/>
            <w:shd w:val="clear" w:color="auto" w:fill="auto"/>
          </w:tcPr>
          <w:p>
            <w:pPr>
              <w:spacing w:after="0"/>
              <w:rPr>
                <w:rFonts w:eastAsia="Arial Unicode MS"/>
                <w:noProof/>
                <w:szCs w:val="24"/>
              </w:rPr>
            </w:pPr>
            <w:r>
              <w:rPr>
                <w:noProof/>
                <w:sz w:val="22"/>
              </w:rPr>
              <w:t>effectue ou fait effectuer, si nécessaire, les contrôles d’installation nécessaires en ce qui concerne les entités techniques distinctes.</w:t>
            </w:r>
          </w:p>
        </w:tc>
      </w:tr>
      <w:tr>
        <w:tc>
          <w:tcPr>
            <w:tcW w:w="817" w:type="dxa"/>
            <w:shd w:val="clear" w:color="auto" w:fill="auto"/>
          </w:tcPr>
          <w:p>
            <w:pPr>
              <w:spacing w:before="240" w:after="0"/>
              <w:rPr>
                <w:rFonts w:eastAsia="Arial Unicode MS"/>
                <w:noProof/>
                <w:szCs w:val="24"/>
              </w:rPr>
            </w:pPr>
            <w:r>
              <w:rPr>
                <w:noProof/>
                <w:sz w:val="22"/>
              </w:rPr>
              <w:t>2.2.</w:t>
            </w:r>
          </w:p>
        </w:tc>
        <w:tc>
          <w:tcPr>
            <w:tcW w:w="8280" w:type="dxa"/>
            <w:shd w:val="clear" w:color="auto" w:fill="auto"/>
          </w:tcPr>
          <w:p>
            <w:pPr>
              <w:spacing w:before="240" w:after="0"/>
              <w:rPr>
                <w:rFonts w:eastAsia="Arial Unicode MS"/>
                <w:noProof/>
                <w:szCs w:val="24"/>
              </w:rPr>
            </w:pPr>
            <w:r>
              <w:rPr>
                <w:noProof/>
                <w:sz w:val="22"/>
              </w:rPr>
              <w:t>Le nombre de véhicules à inspecter aux fins du point 2.1 d), doit être suffisant pour permettre un contrôle adéquat des différentes combinaisons à soumettre à la réception UE par type, en fonction de l’état d’achèvement du véhicule et des critères suivants:</w:t>
            </w:r>
          </w:p>
        </w:tc>
      </w:tr>
      <w:tr>
        <w:tc>
          <w:tcPr>
            <w:tcW w:w="817" w:type="dxa"/>
            <w:shd w:val="clear" w:color="auto" w:fill="auto"/>
          </w:tcPr>
          <w:p>
            <w:pPr>
              <w:spacing w:before="240" w:after="0"/>
              <w:rPr>
                <w:rFonts w:eastAsia="Arial Unicode MS"/>
                <w:noProof/>
                <w:szCs w:val="24"/>
              </w:rPr>
            </w:pPr>
          </w:p>
        </w:tc>
        <w:tc>
          <w:tcPr>
            <w:tcW w:w="8280" w:type="dxa"/>
            <w:shd w:val="clear" w:color="auto" w:fill="auto"/>
          </w:tcPr>
          <w:p>
            <w:pPr>
              <w:spacing w:after="0"/>
              <w:rPr>
                <w:rFonts w:eastAsia="Arial Unicode MS"/>
                <w:noProof/>
                <w:szCs w:val="24"/>
              </w:rPr>
            </w:pPr>
            <w:r>
              <w:rPr>
                <w:noProof/>
                <w:sz w:val="22"/>
              </w:rPr>
              <w:t>– moteur,</w:t>
            </w:r>
          </w:p>
          <w:p>
            <w:pPr>
              <w:spacing w:after="0"/>
              <w:rPr>
                <w:rFonts w:eastAsia="Arial Unicode MS"/>
                <w:noProof/>
                <w:szCs w:val="24"/>
              </w:rPr>
            </w:pPr>
            <w:r>
              <w:rPr>
                <w:noProof/>
                <w:sz w:val="22"/>
              </w:rPr>
              <w:t>– boîte de vitesses,</w:t>
            </w:r>
          </w:p>
          <w:p>
            <w:pPr>
              <w:spacing w:after="0"/>
              <w:rPr>
                <w:rFonts w:eastAsia="Arial Unicode MS"/>
                <w:noProof/>
                <w:szCs w:val="24"/>
              </w:rPr>
            </w:pPr>
            <w:r>
              <w:rPr>
                <w:noProof/>
                <w:sz w:val="22"/>
              </w:rPr>
              <w:t>– essieux moteurs (nombre, emplacement, crabotage d’un autre essieu),</w:t>
            </w:r>
          </w:p>
          <w:p>
            <w:pPr>
              <w:spacing w:after="0"/>
              <w:rPr>
                <w:rFonts w:eastAsia="Arial Unicode MS"/>
                <w:noProof/>
                <w:szCs w:val="24"/>
              </w:rPr>
            </w:pPr>
            <w:r>
              <w:rPr>
                <w:noProof/>
                <w:sz w:val="22"/>
              </w:rPr>
              <w:t>– essieux directeurs (nombre et emplacement),</w:t>
            </w:r>
          </w:p>
          <w:p>
            <w:pPr>
              <w:spacing w:after="0"/>
              <w:rPr>
                <w:rFonts w:eastAsia="Arial Unicode MS"/>
                <w:noProof/>
                <w:szCs w:val="24"/>
              </w:rPr>
            </w:pPr>
            <w:r>
              <w:rPr>
                <w:noProof/>
                <w:sz w:val="22"/>
              </w:rPr>
              <w:t>– types de carrosserie,</w:t>
            </w:r>
          </w:p>
          <w:p>
            <w:pPr>
              <w:spacing w:after="0"/>
              <w:rPr>
                <w:rFonts w:eastAsia="Arial Unicode MS"/>
                <w:noProof/>
                <w:szCs w:val="24"/>
              </w:rPr>
            </w:pPr>
            <w:r>
              <w:rPr>
                <w:noProof/>
                <w:sz w:val="22"/>
              </w:rPr>
              <w:t>– nombre de portes,</w:t>
            </w:r>
          </w:p>
          <w:p>
            <w:pPr>
              <w:spacing w:after="0"/>
              <w:rPr>
                <w:rFonts w:eastAsia="Arial Unicode MS"/>
                <w:noProof/>
                <w:szCs w:val="24"/>
              </w:rPr>
            </w:pPr>
            <w:r>
              <w:rPr>
                <w:noProof/>
                <w:sz w:val="22"/>
              </w:rPr>
              <w:t>– côté de conduite,</w:t>
            </w:r>
          </w:p>
          <w:p>
            <w:pPr>
              <w:spacing w:after="0"/>
              <w:rPr>
                <w:rFonts w:eastAsia="Arial Unicode MS"/>
                <w:noProof/>
                <w:szCs w:val="24"/>
              </w:rPr>
            </w:pPr>
            <w:r>
              <w:rPr>
                <w:noProof/>
                <w:sz w:val="22"/>
              </w:rPr>
              <w:t>– nombre de sièges,</w:t>
            </w:r>
          </w:p>
          <w:p>
            <w:pPr>
              <w:spacing w:after="0"/>
              <w:rPr>
                <w:rFonts w:eastAsia="Arial Unicode MS"/>
                <w:noProof/>
                <w:szCs w:val="24"/>
              </w:rPr>
            </w:pPr>
            <w:r>
              <w:rPr>
                <w:noProof/>
                <w:sz w:val="22"/>
              </w:rPr>
              <w:t>– niveau d’équipement.</w:t>
            </w:r>
          </w:p>
        </w:tc>
      </w:tr>
      <w:tr>
        <w:tc>
          <w:tcPr>
            <w:tcW w:w="817" w:type="dxa"/>
            <w:shd w:val="clear" w:color="auto" w:fill="auto"/>
          </w:tcPr>
          <w:p>
            <w:pPr>
              <w:spacing w:before="240" w:after="0"/>
              <w:rPr>
                <w:rFonts w:eastAsia="Arial Unicode MS"/>
                <w:b/>
                <w:noProof/>
                <w:szCs w:val="24"/>
              </w:rPr>
            </w:pPr>
            <w:r>
              <w:rPr>
                <w:b/>
                <w:noProof/>
                <w:sz w:val="22"/>
              </w:rPr>
              <w:t>3.</w:t>
            </w:r>
          </w:p>
        </w:tc>
        <w:tc>
          <w:tcPr>
            <w:tcW w:w="8280" w:type="dxa"/>
            <w:shd w:val="clear" w:color="auto" w:fill="auto"/>
          </w:tcPr>
          <w:p>
            <w:pPr>
              <w:spacing w:before="240" w:after="0"/>
              <w:rPr>
                <w:rFonts w:eastAsia="Arial Unicode MS"/>
                <w:noProof/>
                <w:szCs w:val="24"/>
              </w:rPr>
            </w:pPr>
            <w:r>
              <w:rPr>
                <w:b/>
                <w:noProof/>
                <w:sz w:val="22"/>
              </w:rPr>
              <w:t>Prescriptions applicables</w:t>
            </w:r>
          </w:p>
        </w:tc>
      </w:tr>
      <w:tr>
        <w:tc>
          <w:tcPr>
            <w:tcW w:w="817" w:type="dxa"/>
            <w:shd w:val="clear" w:color="auto" w:fill="auto"/>
          </w:tcPr>
          <w:p>
            <w:pPr>
              <w:spacing w:before="240" w:after="0"/>
              <w:rPr>
                <w:rFonts w:eastAsia="Arial Unicode MS"/>
                <w:noProof/>
                <w:szCs w:val="24"/>
              </w:rPr>
            </w:pPr>
            <w:r>
              <w:rPr>
                <w:noProof/>
                <w:sz w:val="22"/>
              </w:rPr>
              <w:t>3.1.</w:t>
            </w:r>
          </w:p>
        </w:tc>
        <w:tc>
          <w:tcPr>
            <w:tcW w:w="8280" w:type="dxa"/>
            <w:shd w:val="clear" w:color="auto" w:fill="auto"/>
          </w:tcPr>
          <w:p>
            <w:pPr>
              <w:spacing w:before="240" w:after="0"/>
              <w:rPr>
                <w:rFonts w:eastAsia="Arial Unicode MS"/>
                <w:noProof/>
                <w:szCs w:val="24"/>
              </w:rPr>
            </w:pPr>
            <w:r>
              <w:rPr>
                <w:noProof/>
                <w:sz w:val="22"/>
              </w:rPr>
              <w:t>Les réceptions UE par type multi-étapes sont délivrées en fonction de l’état d’achèvement actuel du type de véhicule et englobent toutes les réceptions délivrées pour les étapes antérieures.</w:t>
            </w:r>
          </w:p>
        </w:tc>
      </w:tr>
      <w:tr>
        <w:tc>
          <w:tcPr>
            <w:tcW w:w="817" w:type="dxa"/>
            <w:shd w:val="clear" w:color="auto" w:fill="auto"/>
          </w:tcPr>
          <w:p>
            <w:pPr>
              <w:spacing w:before="240" w:after="0"/>
              <w:rPr>
                <w:rFonts w:eastAsia="Arial Unicode MS"/>
                <w:noProof/>
                <w:szCs w:val="24"/>
              </w:rPr>
            </w:pPr>
            <w:r>
              <w:rPr>
                <w:noProof/>
                <w:sz w:val="22"/>
              </w:rPr>
              <w:t>3.2.</w:t>
            </w:r>
          </w:p>
        </w:tc>
        <w:tc>
          <w:tcPr>
            <w:tcW w:w="8280" w:type="dxa"/>
            <w:shd w:val="clear" w:color="auto" w:fill="auto"/>
          </w:tcPr>
          <w:p>
            <w:pPr>
              <w:spacing w:before="240" w:after="0"/>
              <w:rPr>
                <w:rFonts w:eastAsia="Arial Unicode MS"/>
                <w:noProof/>
                <w:szCs w:val="24"/>
              </w:rPr>
            </w:pPr>
            <w:r>
              <w:rPr>
                <w:noProof/>
                <w:sz w:val="22"/>
              </w:rPr>
              <w:t xml:space="preserve">Pour la réception par type d’un véhicule entier, le présent règlement (en particulier les prescriptions de l’annexe II et les actes particuliers énumérés dans l’annexe IV) s’appliquent de la même manière que si la réception avait été délivrée (ou étendue) au constructeur du véhicule de base. </w:t>
            </w:r>
          </w:p>
        </w:tc>
      </w:tr>
      <w:tr>
        <w:tc>
          <w:tcPr>
            <w:tcW w:w="817" w:type="dxa"/>
            <w:shd w:val="clear" w:color="auto" w:fill="auto"/>
          </w:tcPr>
          <w:p>
            <w:pPr>
              <w:spacing w:before="240" w:after="0"/>
              <w:rPr>
                <w:rFonts w:eastAsia="Arial Unicode MS"/>
                <w:noProof/>
                <w:szCs w:val="24"/>
              </w:rPr>
            </w:pPr>
            <w:r>
              <w:rPr>
                <w:noProof/>
                <w:sz w:val="22"/>
              </w:rPr>
              <w:t>3.2.1</w:t>
            </w:r>
          </w:p>
        </w:tc>
        <w:tc>
          <w:tcPr>
            <w:tcW w:w="8280" w:type="dxa"/>
            <w:shd w:val="clear" w:color="auto" w:fill="auto"/>
          </w:tcPr>
          <w:p>
            <w:pPr>
              <w:spacing w:before="240" w:after="0"/>
              <w:rPr>
                <w:rFonts w:eastAsia="Arial Unicode MS"/>
                <w:noProof/>
                <w:szCs w:val="24"/>
              </w:rPr>
            </w:pPr>
            <w:r>
              <w:rPr>
                <w:noProof/>
                <w:sz w:val="22"/>
              </w:rPr>
              <w:t xml:space="preserve">Lorsqu’un type de système, de composant ou d’entité technique distincte n’a pas été modifié, la réception par type du système, du composant ou de l’entité technique distincte délivrée à l’étape précédente reste valable jusqu’à la date limite pour la première immatriculation, telle que spécifiée dans l’acte réglementaire particulier. </w:t>
            </w:r>
          </w:p>
        </w:tc>
      </w:tr>
      <w:tr>
        <w:tc>
          <w:tcPr>
            <w:tcW w:w="817" w:type="dxa"/>
            <w:shd w:val="clear" w:color="auto" w:fill="auto"/>
          </w:tcPr>
          <w:p>
            <w:pPr>
              <w:spacing w:before="240" w:after="0"/>
              <w:rPr>
                <w:rFonts w:eastAsia="Arial Unicode MS"/>
                <w:noProof/>
                <w:szCs w:val="24"/>
              </w:rPr>
            </w:pPr>
            <w:r>
              <w:rPr>
                <w:noProof/>
                <w:sz w:val="22"/>
              </w:rPr>
              <w:t>3.2.2.</w:t>
            </w:r>
          </w:p>
        </w:tc>
        <w:tc>
          <w:tcPr>
            <w:tcW w:w="8280" w:type="dxa"/>
            <w:shd w:val="clear" w:color="auto" w:fill="auto"/>
          </w:tcPr>
          <w:p>
            <w:pPr>
              <w:spacing w:before="240" w:after="0"/>
              <w:rPr>
                <w:rFonts w:eastAsia="Arial Unicode MS"/>
                <w:noProof/>
                <w:szCs w:val="24"/>
              </w:rPr>
            </w:pPr>
            <w:r>
              <w:rPr>
                <w:noProof/>
                <w:sz w:val="22"/>
              </w:rPr>
              <w:t>Lorsqu’un type de système a été modifié, lors de l’étape ultérieure d’achèvement du véhicule, au point que le système doit faire l’objet d’un nouvel essai aux fins de la réception par type, ce nouvel essai se limite aux parties du système qui ont été modifiées ou affectées par les modifications.</w:t>
            </w:r>
          </w:p>
        </w:tc>
      </w:tr>
      <w:tr>
        <w:tc>
          <w:tcPr>
            <w:tcW w:w="817" w:type="dxa"/>
            <w:shd w:val="clear" w:color="auto" w:fill="auto"/>
          </w:tcPr>
          <w:p>
            <w:pPr>
              <w:spacing w:before="240" w:after="0"/>
              <w:rPr>
                <w:rFonts w:eastAsia="Arial Unicode MS"/>
                <w:noProof/>
                <w:szCs w:val="24"/>
              </w:rPr>
            </w:pPr>
            <w:r>
              <w:rPr>
                <w:noProof/>
                <w:sz w:val="22"/>
              </w:rPr>
              <w:t>3.2.3.</w:t>
            </w:r>
          </w:p>
        </w:tc>
        <w:tc>
          <w:tcPr>
            <w:tcW w:w="8280" w:type="dxa"/>
            <w:shd w:val="clear" w:color="auto" w:fill="auto"/>
          </w:tcPr>
          <w:p>
            <w:pPr>
              <w:spacing w:before="240" w:after="0"/>
              <w:rPr>
                <w:rFonts w:eastAsia="Arial Unicode MS"/>
                <w:noProof/>
                <w:szCs w:val="24"/>
              </w:rPr>
            </w:pPr>
            <w:r>
              <w:rPr>
                <w:noProof/>
                <w:sz w:val="22"/>
              </w:rPr>
              <w:t>Lorsqu’un type de véhicule ou un type de système a été modifié par un autre constructeur, lors de l’étape ultérieure d’achèvement du véhicule, au point que, mis à part le nom du constructeur, le véhicule ou le système peut encore être considéré comme étant du même type, les prescriptions s’appliquant aux types existants peuvent toujours être appliquées, pour autant que la date limite pour la première immatriculation spécifiée dans l’acte réglementaire applicable n’ait pas été atteinte.</w:t>
            </w:r>
          </w:p>
        </w:tc>
      </w:tr>
      <w:tr>
        <w:tc>
          <w:tcPr>
            <w:tcW w:w="817" w:type="dxa"/>
            <w:shd w:val="clear" w:color="auto" w:fill="auto"/>
          </w:tcPr>
          <w:p>
            <w:pPr>
              <w:spacing w:before="240" w:after="0"/>
              <w:rPr>
                <w:rFonts w:eastAsia="Arial Unicode MS"/>
                <w:noProof/>
                <w:szCs w:val="24"/>
              </w:rPr>
            </w:pPr>
            <w:r>
              <w:rPr>
                <w:noProof/>
                <w:sz w:val="22"/>
              </w:rPr>
              <w:t>3.2.4.</w:t>
            </w:r>
          </w:p>
        </w:tc>
        <w:tc>
          <w:tcPr>
            <w:tcW w:w="8280" w:type="dxa"/>
            <w:shd w:val="clear" w:color="auto" w:fill="auto"/>
          </w:tcPr>
          <w:p>
            <w:pPr>
              <w:spacing w:before="240" w:after="0"/>
              <w:rPr>
                <w:rFonts w:eastAsia="Arial Unicode MS"/>
                <w:noProof/>
                <w:szCs w:val="24"/>
              </w:rPr>
            </w:pPr>
            <w:r>
              <w:rPr>
                <w:noProof/>
                <w:sz w:val="22"/>
              </w:rPr>
              <w:t>Le changement de catégorie d’un véhicule entraîne l’application des prescriptions pertinentes à la nouvelle catégorie de véhicules. Les fiches de réception par type de la catégorie précédente sont acceptées pour autant que le véhicule soit conforme aux mêmes prescriptions, ou à des prescriptions plus sévères, que celles applicables à la nouvelle catégorie.</w:t>
            </w:r>
          </w:p>
        </w:tc>
      </w:tr>
      <w:tr>
        <w:tc>
          <w:tcPr>
            <w:tcW w:w="817" w:type="dxa"/>
            <w:shd w:val="clear" w:color="auto" w:fill="auto"/>
          </w:tcPr>
          <w:p>
            <w:pPr>
              <w:spacing w:before="240" w:after="0"/>
              <w:rPr>
                <w:rFonts w:eastAsia="Arial Unicode MS"/>
                <w:noProof/>
                <w:szCs w:val="24"/>
              </w:rPr>
            </w:pPr>
            <w:r>
              <w:rPr>
                <w:noProof/>
                <w:sz w:val="22"/>
              </w:rPr>
              <w:t>3.3.</w:t>
            </w:r>
          </w:p>
        </w:tc>
        <w:tc>
          <w:tcPr>
            <w:tcW w:w="8280" w:type="dxa"/>
            <w:shd w:val="clear" w:color="auto" w:fill="auto"/>
          </w:tcPr>
          <w:p>
            <w:pPr>
              <w:spacing w:before="240" w:after="0"/>
              <w:rPr>
                <w:rFonts w:eastAsia="Arial Unicode MS"/>
                <w:noProof/>
                <w:szCs w:val="24"/>
              </w:rPr>
            </w:pPr>
            <w:r>
              <w:rPr>
                <w:noProof/>
                <w:sz w:val="22"/>
              </w:rPr>
              <w:t>Sous réserve de l’accord de l’autorité compétente en matière de réception, une réception par type d’un véhicule entier délivrée au constructeur de l’étape ultérieure d’achèvement du véhicule n’a pas besoin d’être étendue ou révisée lorsqu’une extension accordée au véhicule de l’étape antérieure n’affecte pas l’étape ultérieure ou les données techniques du véhicule. Toutefois, le numéro de réception par type comprenant l’extension du véhicule de la ou des étapes antérieures doit être copié au point 1.2.2 du certificat de conformité du véhicule de l’étape ultérieure.</w:t>
            </w:r>
          </w:p>
        </w:tc>
      </w:tr>
      <w:tr>
        <w:trPr>
          <w:cantSplit/>
        </w:trPr>
        <w:tc>
          <w:tcPr>
            <w:tcW w:w="817" w:type="dxa"/>
            <w:shd w:val="clear" w:color="auto" w:fill="auto"/>
          </w:tcPr>
          <w:p>
            <w:pPr>
              <w:spacing w:before="240" w:after="0"/>
              <w:rPr>
                <w:rFonts w:eastAsia="Arial Unicode MS"/>
                <w:noProof/>
                <w:szCs w:val="24"/>
              </w:rPr>
            </w:pPr>
            <w:r>
              <w:rPr>
                <w:noProof/>
                <w:sz w:val="22"/>
              </w:rPr>
              <w:t>3.4.</w:t>
            </w:r>
          </w:p>
        </w:tc>
        <w:tc>
          <w:tcPr>
            <w:tcW w:w="8280" w:type="dxa"/>
            <w:shd w:val="clear" w:color="auto" w:fill="auto"/>
          </w:tcPr>
          <w:p>
            <w:pPr>
              <w:spacing w:before="240" w:after="0"/>
              <w:rPr>
                <w:rFonts w:eastAsia="Arial Unicode MS"/>
                <w:noProof/>
                <w:szCs w:val="24"/>
              </w:rPr>
            </w:pPr>
            <w:r>
              <w:rPr>
                <w:noProof/>
                <w:sz w:val="22"/>
              </w:rPr>
              <w:t>Lorsque la zone de cargaison d’un véhicule complet ou complété de catégorie N ou O est modifiée par un autre constructeur afin d’y ajouter des accessoires amovibles pour ranger et arrimer la cargaison (par exemple, revêtement de l’espace de chargement, rangements et galeries de toit), ces éléments peuvent être considérés comme faisant partie de la charge utile et une réception n’est pas nécessaire, pour autant que les deux conditions suivantes soient remplies:</w:t>
            </w:r>
          </w:p>
          <w:p>
            <w:pPr>
              <w:spacing w:before="240" w:after="0"/>
              <w:ind w:left="503" w:hanging="503"/>
              <w:rPr>
                <w:noProof/>
              </w:rPr>
            </w:pPr>
            <w:r>
              <w:rPr>
                <w:noProof/>
                <w:sz w:val="22"/>
              </w:rPr>
              <w:t>a)</w:t>
            </w:r>
            <w:r>
              <w:rPr>
                <w:noProof/>
                <w:sz w:val="22"/>
              </w:rPr>
              <w:tab/>
              <w:t>les modifications n’affectent en aucune façon la réception par type du véhicule, mise à part l’augmentation de la masse réelle du véhicule;</w:t>
            </w:r>
          </w:p>
          <w:p>
            <w:pPr>
              <w:spacing w:before="240" w:after="0"/>
              <w:ind w:left="503" w:hanging="503"/>
              <w:rPr>
                <w:rFonts w:eastAsia="Arial Unicode MS"/>
                <w:noProof/>
                <w:szCs w:val="24"/>
              </w:rPr>
            </w:pPr>
            <w:r>
              <w:rPr>
                <w:noProof/>
                <w:sz w:val="22"/>
              </w:rPr>
              <w:t>b)</w:t>
            </w:r>
            <w:r>
              <w:rPr>
                <w:noProof/>
                <w:sz w:val="22"/>
              </w:rPr>
              <w:tab/>
              <w:t>les accessoires ajoutés peuvent s’enlever sans utiliser d’outils spéciaux</w:t>
            </w:r>
            <w:r>
              <w:rPr>
                <w:noProof/>
              </w:rPr>
              <w:t>.</w:t>
            </w:r>
          </w:p>
        </w:tc>
      </w:tr>
      <w:tr>
        <w:tc>
          <w:tcPr>
            <w:tcW w:w="817" w:type="dxa"/>
            <w:shd w:val="clear" w:color="auto" w:fill="auto"/>
          </w:tcPr>
          <w:p>
            <w:pPr>
              <w:spacing w:before="240" w:after="0"/>
              <w:rPr>
                <w:rFonts w:eastAsia="Arial Unicode MS"/>
                <w:b/>
                <w:noProof/>
                <w:szCs w:val="24"/>
              </w:rPr>
            </w:pPr>
            <w:r>
              <w:rPr>
                <w:b/>
                <w:noProof/>
                <w:sz w:val="22"/>
              </w:rPr>
              <w:t xml:space="preserve">4. </w:t>
            </w:r>
          </w:p>
        </w:tc>
        <w:tc>
          <w:tcPr>
            <w:tcW w:w="8280" w:type="dxa"/>
            <w:shd w:val="clear" w:color="auto" w:fill="auto"/>
          </w:tcPr>
          <w:p>
            <w:pPr>
              <w:spacing w:before="240" w:after="0"/>
              <w:rPr>
                <w:rFonts w:eastAsia="Arial Unicode MS"/>
                <w:noProof/>
                <w:szCs w:val="24"/>
              </w:rPr>
            </w:pPr>
            <w:r>
              <w:rPr>
                <w:b/>
                <w:noProof/>
                <w:sz w:val="22"/>
              </w:rPr>
              <w:t>Identification du véhicule</w:t>
            </w:r>
          </w:p>
        </w:tc>
      </w:tr>
      <w:tr>
        <w:tc>
          <w:tcPr>
            <w:tcW w:w="817" w:type="dxa"/>
            <w:shd w:val="clear" w:color="auto" w:fill="auto"/>
          </w:tcPr>
          <w:p>
            <w:pPr>
              <w:spacing w:before="240" w:after="0"/>
              <w:rPr>
                <w:rFonts w:eastAsia="Arial Unicode MS"/>
                <w:noProof/>
                <w:szCs w:val="24"/>
              </w:rPr>
            </w:pPr>
            <w:r>
              <w:rPr>
                <w:noProof/>
                <w:sz w:val="22"/>
              </w:rPr>
              <w:t>4.1.</w:t>
            </w:r>
          </w:p>
        </w:tc>
        <w:tc>
          <w:tcPr>
            <w:tcW w:w="8280" w:type="dxa"/>
            <w:shd w:val="clear" w:color="auto" w:fill="auto"/>
          </w:tcPr>
          <w:p>
            <w:pPr>
              <w:spacing w:before="240" w:after="0"/>
              <w:rPr>
                <w:rFonts w:eastAsia="Arial Unicode MS"/>
                <w:noProof/>
                <w:szCs w:val="24"/>
              </w:rPr>
            </w:pPr>
            <w:r>
              <w:rPr>
                <w:noProof/>
                <w:sz w:val="22"/>
              </w:rPr>
              <w:t>Le VIN prescrit par le règlement (UE) n</w:t>
            </w:r>
            <w:r>
              <w:rPr>
                <w:noProof/>
                <w:sz w:val="22"/>
                <w:vertAlign w:val="superscript"/>
              </w:rPr>
              <w:t>o</w:t>
            </w:r>
            <w:r>
              <w:rPr>
                <w:noProof/>
                <w:sz w:val="22"/>
              </w:rPr>
              <w:t> 19/2011 est conservé durant toutes les étapes ultérieures de la réception par type pour assurer la «traçabilité» du processus.</w:t>
            </w:r>
          </w:p>
        </w:tc>
      </w:tr>
      <w:tr>
        <w:tc>
          <w:tcPr>
            <w:tcW w:w="817" w:type="dxa"/>
            <w:shd w:val="clear" w:color="auto" w:fill="auto"/>
          </w:tcPr>
          <w:p>
            <w:pPr>
              <w:spacing w:before="240" w:after="0"/>
              <w:rPr>
                <w:rFonts w:eastAsia="Arial Unicode MS"/>
                <w:noProof/>
                <w:szCs w:val="24"/>
              </w:rPr>
            </w:pPr>
            <w:r>
              <w:rPr>
                <w:noProof/>
                <w:sz w:val="22"/>
              </w:rPr>
              <w:t>4.2.</w:t>
            </w:r>
          </w:p>
        </w:tc>
        <w:tc>
          <w:tcPr>
            <w:tcW w:w="8280" w:type="dxa"/>
            <w:shd w:val="clear" w:color="auto" w:fill="auto"/>
          </w:tcPr>
          <w:p>
            <w:pPr>
              <w:spacing w:before="240" w:after="0"/>
              <w:rPr>
                <w:rFonts w:eastAsia="Arial Unicode MS"/>
                <w:noProof/>
                <w:szCs w:val="24"/>
              </w:rPr>
            </w:pPr>
            <w:r>
              <w:rPr>
                <w:noProof/>
                <w:sz w:val="22"/>
              </w:rPr>
              <w:t>Au cours de la deuxième étape et des étapes ultérieures, outre la plaque réglementaire prescrite par le règlement (UE) n</w:t>
            </w:r>
            <w:r>
              <w:rPr>
                <w:noProof/>
                <w:sz w:val="22"/>
                <w:vertAlign w:val="superscript"/>
              </w:rPr>
              <w:t>o</w:t>
            </w:r>
            <w:r>
              <w:rPr>
                <w:noProof/>
                <w:sz w:val="22"/>
              </w:rPr>
              <w:t> 19/2011, chaque constructeur applique sur le véhicule une plaque supplémentaire, dont le modèle figure à l’appendice de la présente annexe. Cette plaque est solidement fixée, à un endroit bien visible et facilement accessible, sur une partie du véhicule non susceptible d’être remplacée au cours de l’utilisation du véhicule. Elle doit présenter, de façon claire et indélébile, les informations suivantes, dans l’ordre indiqué:</w:t>
            </w:r>
          </w:p>
          <w:p>
            <w:pPr>
              <w:spacing w:before="240" w:after="0"/>
              <w:ind w:left="503" w:hanging="503"/>
              <w:rPr>
                <w:noProof/>
              </w:rPr>
            </w:pPr>
            <w:r>
              <w:rPr>
                <w:noProof/>
              </w:rPr>
              <w:t>–</w:t>
            </w:r>
            <w:r>
              <w:rPr>
                <w:noProof/>
                <w:sz w:val="22"/>
              </w:rPr>
              <w:tab/>
              <w:t>le nom du constructeur;</w:t>
            </w:r>
          </w:p>
          <w:p>
            <w:pPr>
              <w:spacing w:before="240" w:after="0"/>
              <w:ind w:left="503" w:hanging="503"/>
              <w:rPr>
                <w:noProof/>
              </w:rPr>
            </w:pPr>
            <w:r>
              <w:rPr>
                <w:noProof/>
                <w:sz w:val="22"/>
              </w:rPr>
              <w:t>–</w:t>
            </w:r>
            <w:r>
              <w:rPr>
                <w:noProof/>
                <w:sz w:val="22"/>
              </w:rPr>
              <w:tab/>
              <w:t>les parties 1, 3 et 4 du numéro de réception UE par type;</w:t>
            </w:r>
          </w:p>
          <w:p>
            <w:pPr>
              <w:spacing w:before="240" w:after="0"/>
              <w:ind w:left="503" w:hanging="503"/>
              <w:rPr>
                <w:noProof/>
              </w:rPr>
            </w:pPr>
            <w:r>
              <w:rPr>
                <w:noProof/>
                <w:sz w:val="22"/>
              </w:rPr>
              <w:t>–</w:t>
            </w:r>
            <w:r>
              <w:rPr>
                <w:noProof/>
                <w:sz w:val="22"/>
              </w:rPr>
              <w:tab/>
              <w:t>l’étape de réception;</w:t>
            </w:r>
          </w:p>
          <w:p>
            <w:pPr>
              <w:spacing w:before="240" w:after="0"/>
              <w:ind w:left="503" w:hanging="503"/>
              <w:rPr>
                <w:noProof/>
              </w:rPr>
            </w:pPr>
            <w:r>
              <w:rPr>
                <w:noProof/>
                <w:sz w:val="22"/>
              </w:rPr>
              <w:t>–</w:t>
            </w:r>
            <w:r>
              <w:rPr>
                <w:noProof/>
                <w:sz w:val="22"/>
              </w:rPr>
              <w:tab/>
              <w:t>le VIN du véhicule de base;</w:t>
            </w:r>
          </w:p>
          <w:p>
            <w:pPr>
              <w:spacing w:before="240" w:after="0"/>
              <w:ind w:left="503" w:hanging="503"/>
              <w:rPr>
                <w:noProof/>
              </w:rPr>
            </w:pPr>
            <w:r>
              <w:rPr>
                <w:noProof/>
                <w:sz w:val="22"/>
              </w:rPr>
              <w:t>–</w:t>
            </w:r>
            <w:r>
              <w:rPr>
                <w:noProof/>
                <w:sz w:val="22"/>
              </w:rPr>
              <w:tab/>
              <w:t>la masse en charge maximale techniquement admissible du véhicule lorsque la valeur a changé au cours de l’étape actuelle de réception;</w:t>
            </w:r>
          </w:p>
          <w:p>
            <w:pPr>
              <w:spacing w:before="240" w:after="0"/>
              <w:ind w:left="503" w:hanging="503"/>
              <w:rPr>
                <w:noProof/>
              </w:rPr>
            </w:pPr>
            <w:r>
              <w:rPr>
                <w:noProof/>
                <w:sz w:val="22"/>
              </w:rPr>
              <w:t>–</w:t>
            </w:r>
            <w:r>
              <w:rPr>
                <w:noProof/>
                <w:sz w:val="22"/>
              </w:rPr>
              <w:tab/>
              <w:t>la masse en charge maximale techniquement admissible de l’ensemble (lorsque la valeur a changé au cours de l’étape actuelle de réception et que le véhicule est autorisé à tracter une remorque). «0» est utilisé si le véhicule n’est pas autorisé à tracter une remorque;</w:t>
            </w:r>
          </w:p>
          <w:p>
            <w:pPr>
              <w:spacing w:before="240" w:after="0"/>
              <w:ind w:left="503" w:hanging="503"/>
              <w:rPr>
                <w:noProof/>
              </w:rPr>
            </w:pPr>
            <w:r>
              <w:rPr>
                <w:noProof/>
                <w:sz w:val="22"/>
              </w:rPr>
              <w:t>–</w:t>
            </w:r>
            <w:r>
              <w:rPr>
                <w:noProof/>
                <w:sz w:val="22"/>
              </w:rPr>
              <w:tab/>
              <w:t>la masse maximale techniquement admissible sur chacun des essieux, énumérés dans l’ordre, de l’avant vers l’arrière, lorsque la valeur a changé au cours de l’étape actuelle de réception;</w:t>
            </w:r>
          </w:p>
          <w:p>
            <w:pPr>
              <w:spacing w:before="240" w:after="0"/>
              <w:ind w:left="503" w:hanging="503"/>
              <w:rPr>
                <w:noProof/>
              </w:rPr>
            </w:pPr>
            <w:r>
              <w:rPr>
                <w:noProof/>
                <w:sz w:val="22"/>
              </w:rPr>
              <w:t>–</w:t>
            </w:r>
            <w:r>
              <w:rPr>
                <w:noProof/>
                <w:sz w:val="22"/>
              </w:rPr>
              <w:tab/>
              <w:t>dans le cas d’une semi-remorque ou d’une remorque à essieu central, la masse maximale techniquement admissible au point d’attelage lorsque la valeur a changé au cours de l’étape actuelle de réception.</w:t>
            </w:r>
          </w:p>
          <w:p>
            <w:pPr>
              <w:spacing w:before="240" w:after="0"/>
              <w:rPr>
                <w:rFonts w:eastAsia="Arial Unicode MS"/>
                <w:noProof/>
                <w:szCs w:val="24"/>
              </w:rPr>
            </w:pPr>
            <w:r>
              <w:rPr>
                <w:noProof/>
                <w:sz w:val="22"/>
              </w:rPr>
              <w:t>Sauf dispositions contraires prévues aux points 4.1 et 4.2, la plaque satisfait aux prescriptions énoncées dans les annexes I et II du règlement (UE) n</w:t>
            </w:r>
            <w:r>
              <w:rPr>
                <w:noProof/>
                <w:sz w:val="22"/>
                <w:vertAlign w:val="superscript"/>
              </w:rPr>
              <w:t>o</w:t>
            </w:r>
            <w:r>
              <w:rPr>
                <w:noProof/>
                <w:sz w:val="22"/>
              </w:rPr>
              <w:t> 19/2011.</w:t>
            </w:r>
          </w:p>
        </w:tc>
      </w:tr>
    </w:tbl>
    <w:p>
      <w:pPr>
        <w:spacing w:before="0" w:after="0"/>
        <w:jc w:val="left"/>
        <w:rPr>
          <w:rFonts w:eastAsia="Arial Unicode MS"/>
          <w:noProof/>
          <w:szCs w:val="24"/>
        </w:rPr>
      </w:pPr>
      <w:r>
        <w:rPr>
          <w:rFonts w:eastAsia="Arial Unicode MS"/>
          <w:noProof/>
          <w:szCs w:val="24"/>
        </w:rPr>
        <w:pict>
          <v:rect id="_x0000_i1061"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w:t>
      </w:r>
    </w:p>
    <w:p>
      <w:pPr>
        <w:spacing w:before="240" w:after="240"/>
        <w:jc w:val="center"/>
        <w:rPr>
          <w:rFonts w:eastAsia="Arial Unicode MS"/>
          <w:b/>
          <w:bCs/>
          <w:noProof/>
          <w:szCs w:val="24"/>
        </w:rPr>
      </w:pPr>
      <w:r>
        <w:rPr>
          <w:b/>
          <w:noProof/>
        </w:rPr>
        <w:t>MODÈLE DE LA PLAQUE SUPPLÉMENTAIRE DU CONSTRUCTEUR</w:t>
      </w:r>
    </w:p>
    <w:p>
      <w:pPr>
        <w:spacing w:after="0"/>
        <w:rPr>
          <w:rFonts w:eastAsia="Arial Unicode MS"/>
          <w:noProof/>
          <w:szCs w:val="24"/>
        </w:rPr>
      </w:pPr>
      <w:r>
        <w:rPr>
          <w:noProof/>
        </w:rPr>
        <w:t>Cet exemple n’est donné qu’à titre d’orientation.</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Cs w:val="24"/>
              </w:rPr>
            </w:pPr>
            <w:r>
              <w:rPr>
                <w:noProof/>
                <w:sz w:val="22"/>
              </w:rPr>
              <w:t>NOM DU CONSTRUCTEUR (étape 3)</w:t>
            </w:r>
          </w:p>
        </w:tc>
      </w:tr>
      <w:tr>
        <w:trPr>
          <w:cantSplit/>
        </w:trPr>
        <w:tc>
          <w:tcPr>
            <w:tcW w:w="5683" w:type="dxa"/>
          </w:tcPr>
          <w:p>
            <w:pPr>
              <w:spacing w:after="0"/>
              <w:rPr>
                <w:rFonts w:eastAsia="Arial Unicode MS"/>
                <w:noProof/>
                <w:szCs w:val="24"/>
              </w:rPr>
            </w:pPr>
            <w:r>
              <w:rPr>
                <w:noProof/>
                <w:sz w:val="22"/>
              </w:rPr>
              <w:t>e2*201X/XX*2609</w:t>
            </w:r>
          </w:p>
        </w:tc>
      </w:tr>
      <w:tr>
        <w:trPr>
          <w:cantSplit/>
        </w:trPr>
        <w:tc>
          <w:tcPr>
            <w:tcW w:w="5683" w:type="dxa"/>
          </w:tcPr>
          <w:p>
            <w:pPr>
              <w:spacing w:after="0"/>
              <w:rPr>
                <w:rFonts w:eastAsia="Arial Unicode MS"/>
                <w:noProof/>
                <w:szCs w:val="24"/>
              </w:rPr>
            </w:pPr>
            <w:r>
              <w:rPr>
                <w:noProof/>
                <w:sz w:val="22"/>
              </w:rPr>
              <w:t>Étape 3</w:t>
            </w:r>
          </w:p>
        </w:tc>
      </w:tr>
      <w:tr>
        <w:trPr>
          <w:cantSplit/>
        </w:trPr>
        <w:tc>
          <w:tcPr>
            <w:tcW w:w="5683" w:type="dxa"/>
          </w:tcPr>
          <w:p>
            <w:pPr>
              <w:spacing w:after="0"/>
              <w:rPr>
                <w:rFonts w:eastAsia="Arial Unicode MS"/>
                <w:noProof/>
                <w:szCs w:val="24"/>
              </w:rPr>
            </w:pPr>
            <w:r>
              <w:rPr>
                <w:noProof/>
                <w:sz w:val="22"/>
              </w:rPr>
              <w:t>WD9VD58D98D234560</w:t>
            </w:r>
          </w:p>
        </w:tc>
      </w:tr>
      <w:tr>
        <w:trPr>
          <w:cantSplit/>
        </w:trPr>
        <w:tc>
          <w:tcPr>
            <w:tcW w:w="5683" w:type="dxa"/>
          </w:tcPr>
          <w:p>
            <w:pPr>
              <w:spacing w:after="0"/>
              <w:rPr>
                <w:rFonts w:eastAsia="Arial Unicode MS"/>
                <w:noProof/>
                <w:szCs w:val="24"/>
              </w:rPr>
            </w:pPr>
          </w:p>
        </w:tc>
      </w:tr>
      <w:tr>
        <w:trPr>
          <w:cantSplit/>
        </w:trPr>
        <w:tc>
          <w:tcPr>
            <w:tcW w:w="5683" w:type="dxa"/>
          </w:tcPr>
          <w:p>
            <w:pPr>
              <w:spacing w:after="0"/>
              <w:rPr>
                <w:rFonts w:eastAsia="Arial Unicode MS"/>
                <w:noProof/>
                <w:szCs w:val="24"/>
              </w:rPr>
            </w:pPr>
            <w:r>
              <w:rPr>
                <w:noProof/>
                <w:sz w:val="22"/>
              </w:rPr>
              <w:t>1 500 kg</w:t>
            </w:r>
          </w:p>
        </w:tc>
      </w:tr>
      <w:tr>
        <w:trPr>
          <w:cantSplit/>
        </w:trPr>
        <w:tc>
          <w:tcPr>
            <w:tcW w:w="5683" w:type="dxa"/>
          </w:tcPr>
          <w:p>
            <w:pPr>
              <w:spacing w:after="0"/>
              <w:rPr>
                <w:rFonts w:eastAsia="Arial Unicode MS"/>
                <w:noProof/>
                <w:szCs w:val="24"/>
              </w:rPr>
            </w:pPr>
            <w:r>
              <w:rPr>
                <w:noProof/>
                <w:sz w:val="22"/>
              </w:rPr>
              <w:t>2 500 kg</w:t>
            </w:r>
          </w:p>
        </w:tc>
      </w:tr>
      <w:tr>
        <w:trPr>
          <w:cantSplit/>
        </w:trPr>
        <w:tc>
          <w:tcPr>
            <w:tcW w:w="5683" w:type="dxa"/>
          </w:tcPr>
          <w:p>
            <w:pPr>
              <w:spacing w:after="0"/>
              <w:rPr>
                <w:rFonts w:eastAsia="Arial Unicode MS"/>
                <w:noProof/>
                <w:szCs w:val="24"/>
              </w:rPr>
            </w:pPr>
            <w:r>
              <w:rPr>
                <w:noProof/>
                <w:sz w:val="22"/>
              </w:rPr>
              <w:t>1 – 700 kg</w:t>
            </w:r>
          </w:p>
        </w:tc>
      </w:tr>
      <w:tr>
        <w:trPr>
          <w:cantSplit/>
        </w:trPr>
        <w:tc>
          <w:tcPr>
            <w:tcW w:w="5683" w:type="dxa"/>
          </w:tcPr>
          <w:p>
            <w:pPr>
              <w:spacing w:after="0"/>
              <w:rPr>
                <w:rFonts w:eastAsia="Arial Unicode MS"/>
                <w:noProof/>
                <w:szCs w:val="24"/>
              </w:rPr>
            </w:pPr>
            <w:r>
              <w:rPr>
                <w:noProof/>
                <w:sz w:val="22"/>
              </w:rPr>
              <w:t>2 – 810 kg</w:t>
            </w:r>
          </w:p>
          <w:p>
            <w:pPr>
              <w:spacing w:after="0"/>
              <w:rPr>
                <w:rFonts w:eastAsia="Arial Unicode MS"/>
                <w:noProof/>
                <w:szCs w:val="24"/>
              </w:rPr>
            </w:pPr>
          </w:p>
        </w:tc>
      </w:tr>
    </w:tbl>
    <w:p>
      <w:pPr>
        <w:spacing w:after="0"/>
        <w:rPr>
          <w:rFonts w:eastAsia="Arial Unicode MS"/>
          <w:noProof/>
          <w:szCs w:val="24"/>
        </w:rPr>
      </w:pPr>
    </w:p>
    <w:p>
      <w:pPr>
        <w:rPr>
          <w:noProof/>
        </w:rPr>
      </w:pPr>
      <w:r>
        <w:rPr>
          <w:noProof/>
        </w:rPr>
        <w:br w:type="page"/>
      </w:r>
    </w:p>
    <w:p>
      <w:pPr>
        <w:pStyle w:val="Annexetitre"/>
        <w:rPr>
          <w:noProof/>
        </w:rPr>
      </w:pPr>
      <w:r>
        <w:rPr>
          <w:noProof/>
        </w:rPr>
        <w:t>ANNEXE XVIII</w:t>
      </w:r>
      <w:r>
        <w:rPr>
          <w:noProof/>
        </w:rPr>
        <w:br/>
        <w:t>ACCÈS AUX INFORMATIONS DU SYSTÈME OBD DES VÉHICULES ET AUX INFORMATIONS SUR LA RÉPARATION ET L’ENTRETIEN DES VÉHICULES</w:t>
      </w:r>
    </w:p>
    <w:p>
      <w:pPr>
        <w:pStyle w:val="ManualNumPar1"/>
        <w:rPr>
          <w:b/>
          <w:noProof/>
        </w:rPr>
      </w:pPr>
      <w:r>
        <w:rPr>
          <w:b/>
          <w:noProof/>
        </w:rPr>
        <w:t>1.</w:t>
      </w:r>
      <w:r>
        <w:rPr>
          <w:noProof/>
        </w:rPr>
        <w:tab/>
      </w:r>
      <w:r>
        <w:rPr>
          <w:b/>
          <w:noProof/>
        </w:rPr>
        <w:t xml:space="preserve">Introduction </w:t>
      </w:r>
    </w:p>
    <w:p>
      <w:pPr>
        <w:pStyle w:val="Text1"/>
        <w:rPr>
          <w:noProof/>
        </w:rPr>
      </w:pPr>
      <w:r>
        <w:rPr>
          <w:noProof/>
        </w:rPr>
        <w:t>La présente annexe établit les prescriptions techniques relatives à l’accessibilité des informations du système OBD des véhicules et des informations sur la réparation et l’entretien des véhicules.</w:t>
      </w:r>
    </w:p>
    <w:p>
      <w:pPr>
        <w:pStyle w:val="ManualNumPar1"/>
        <w:rPr>
          <w:b/>
          <w:caps/>
          <w:noProof/>
        </w:rPr>
      </w:pPr>
      <w:r>
        <w:rPr>
          <w:b/>
          <w:noProof/>
        </w:rPr>
        <w:t>2.</w:t>
      </w:r>
      <w:r>
        <w:rPr>
          <w:noProof/>
        </w:rPr>
        <w:tab/>
      </w:r>
      <w:r>
        <w:rPr>
          <w:b/>
          <w:noProof/>
        </w:rPr>
        <w:t>Accès aux informations du système OBD des véhicules et aux informations et sur la réparation et l’entretien des véhicules</w:t>
      </w:r>
    </w:p>
    <w:p>
      <w:pPr>
        <w:pStyle w:val="ManualNumPar1"/>
        <w:rPr>
          <w:strike/>
          <w:noProof/>
        </w:rPr>
      </w:pPr>
      <w:r>
        <w:rPr>
          <w:noProof/>
        </w:rPr>
        <w:t>2.1.</w:t>
      </w:r>
      <w:r>
        <w:rPr>
          <w:noProof/>
        </w:rPr>
        <w:tab/>
        <w:t>Un constructeur prend les dispositions et met en place les procédures nécessaires, conformément à l’article 65, pour faire en sorte que les informations du système OBD des véhicules et les informations sur la réparation et l’entretien des véhicules soient accessibles via des sites web utilisant un format normalisé, d’une manière aisément accessible, rapide, et non discriminatoire par rapport aux informations communiquées ou à l’accès accordé aux concessionnaires et réparateurs agréés.</w:t>
      </w:r>
    </w:p>
    <w:p>
      <w:pPr>
        <w:pStyle w:val="ManualNumPar1"/>
        <w:rPr>
          <w:noProof/>
        </w:rPr>
      </w:pPr>
      <w:r>
        <w:rPr>
          <w:noProof/>
        </w:rPr>
        <w:t>2.2.</w:t>
      </w:r>
      <w:r>
        <w:rPr>
          <w:noProof/>
        </w:rPr>
        <w:tab/>
        <w:t>Une autorité compétente en matière de réception ne délivre la réception par type qu’après avoir reçu du constructeur un certificat concernant l’accès aux informations du système OBD des véhicules et aux informations sur la réparation et l’entretien des véhicules.</w:t>
      </w:r>
    </w:p>
    <w:p>
      <w:pPr>
        <w:pStyle w:val="ManualNumPar1"/>
        <w:rPr>
          <w:noProof/>
        </w:rPr>
      </w:pPr>
      <w:r>
        <w:rPr>
          <w:noProof/>
        </w:rPr>
        <w:t>2.3.</w:t>
      </w:r>
      <w:r>
        <w:rPr>
          <w:noProof/>
        </w:rPr>
        <w:tab/>
        <w:t>Ledit certificat doit attester la conformité aux dispositions de l’article 68.</w:t>
      </w:r>
    </w:p>
    <w:p>
      <w:pPr>
        <w:pStyle w:val="ManualNumPar1"/>
        <w:rPr>
          <w:noProof/>
        </w:rPr>
      </w:pPr>
      <w:r>
        <w:rPr>
          <w:noProof/>
        </w:rPr>
        <w:t>2.4.</w:t>
      </w:r>
      <w:r>
        <w:rPr>
          <w:noProof/>
        </w:rPr>
        <w:tab/>
        <w:t>Il doit être établi conformément au modèle présenté dans l’appendice 1 de la présente annexe.</w:t>
      </w:r>
    </w:p>
    <w:p>
      <w:pPr>
        <w:pStyle w:val="ManualNumPar1"/>
        <w:rPr>
          <w:noProof/>
        </w:rPr>
      </w:pPr>
      <w:r>
        <w:rPr>
          <w:noProof/>
        </w:rPr>
        <w:t>2.5.</w:t>
      </w:r>
      <w:r>
        <w:rPr>
          <w:noProof/>
        </w:rPr>
        <w:tab/>
        <w:t>Les informations du système OBD des véhicules et les informations sur la réparation et l’entretien des véhicules comprennent:</w:t>
      </w:r>
    </w:p>
    <w:p>
      <w:pPr>
        <w:pStyle w:val="ManualNumPar1"/>
        <w:rPr>
          <w:noProof/>
        </w:rPr>
      </w:pPr>
      <w:r>
        <w:rPr>
          <w:noProof/>
        </w:rPr>
        <w:t>2.5.1.</w:t>
      </w:r>
      <w:r>
        <w:rPr>
          <w:noProof/>
        </w:rPr>
        <w:tab/>
        <w:t>l’identification non équivoque du véhicule, du système, du composant ou de l’entité technique distincte dont le constructeur est responsable;</w:t>
      </w:r>
    </w:p>
    <w:p>
      <w:pPr>
        <w:pStyle w:val="ManualNumPar1"/>
        <w:rPr>
          <w:noProof/>
        </w:rPr>
      </w:pPr>
      <w:r>
        <w:rPr>
          <w:noProof/>
        </w:rPr>
        <w:t>2.5.2.</w:t>
      </w:r>
      <w:r>
        <w:rPr>
          <w:noProof/>
        </w:rPr>
        <w:tab/>
        <w:t>les manuels d’entretien, y compris les données relatives aux entretiens et à la maintenance;</w:t>
      </w:r>
    </w:p>
    <w:p>
      <w:pPr>
        <w:pStyle w:val="ManualNumPar1"/>
        <w:rPr>
          <w:noProof/>
        </w:rPr>
      </w:pPr>
      <w:r>
        <w:rPr>
          <w:noProof/>
        </w:rPr>
        <w:t>2.5.3.</w:t>
      </w:r>
      <w:r>
        <w:rPr>
          <w:noProof/>
        </w:rPr>
        <w:tab/>
        <w:t>les manuels techniques;</w:t>
      </w:r>
    </w:p>
    <w:p>
      <w:pPr>
        <w:pStyle w:val="ManualNumPar1"/>
        <w:rPr>
          <w:noProof/>
        </w:rPr>
      </w:pPr>
      <w:r>
        <w:rPr>
          <w:noProof/>
        </w:rPr>
        <w:t>2.5.4.</w:t>
      </w:r>
      <w:r>
        <w:rPr>
          <w:noProof/>
        </w:rPr>
        <w:tab/>
        <w:t>les informations concernant les composants et le diagnostic (telles que les valeurs théoriques minimales et maximales pour les mesures);</w:t>
      </w:r>
    </w:p>
    <w:p>
      <w:pPr>
        <w:pStyle w:val="ManualNumPar1"/>
        <w:rPr>
          <w:noProof/>
        </w:rPr>
      </w:pPr>
      <w:r>
        <w:rPr>
          <w:noProof/>
        </w:rPr>
        <w:t>2.5.5.</w:t>
      </w:r>
      <w:r>
        <w:rPr>
          <w:noProof/>
        </w:rPr>
        <w:tab/>
        <w:t>les schémas de câblage;</w:t>
      </w:r>
    </w:p>
    <w:p>
      <w:pPr>
        <w:pStyle w:val="ManualNumPar1"/>
        <w:rPr>
          <w:noProof/>
        </w:rPr>
      </w:pPr>
      <w:r>
        <w:rPr>
          <w:noProof/>
        </w:rPr>
        <w:t>2.5.6.</w:t>
      </w:r>
      <w:r>
        <w:rPr>
          <w:noProof/>
        </w:rPr>
        <w:tab/>
        <w:t>les codes d’anomalie du diagnostic, y compris les codes spécifiques au constructeur;</w:t>
      </w:r>
    </w:p>
    <w:p>
      <w:pPr>
        <w:pStyle w:val="ManualNumPar1"/>
        <w:rPr>
          <w:noProof/>
        </w:rPr>
      </w:pPr>
      <w:r>
        <w:rPr>
          <w:noProof/>
        </w:rPr>
        <w:t>2.5.7.</w:t>
      </w:r>
      <w:r>
        <w:rPr>
          <w:noProof/>
        </w:rPr>
        <w:tab/>
        <w:t>le numéro d’identification de l’étalonnage du logiciel applicable à un type de véhicule;</w:t>
      </w:r>
    </w:p>
    <w:p>
      <w:pPr>
        <w:pStyle w:val="ManualNumPar1"/>
        <w:rPr>
          <w:noProof/>
        </w:rPr>
      </w:pPr>
      <w:r>
        <w:rPr>
          <w:noProof/>
        </w:rPr>
        <w:t>2.5.8.</w:t>
      </w:r>
      <w:r>
        <w:rPr>
          <w:noProof/>
        </w:rPr>
        <w:tab/>
        <w:t>les informations fournies concernant les outils et équipements exclusifs et les renseignements obtenus au moyen de ceux-ci;</w:t>
      </w:r>
    </w:p>
    <w:p>
      <w:pPr>
        <w:pStyle w:val="ManualNumPar1"/>
        <w:rPr>
          <w:noProof/>
        </w:rPr>
      </w:pPr>
      <w:r>
        <w:rPr>
          <w:noProof/>
        </w:rPr>
        <w:t>2.5.9.</w:t>
      </w:r>
      <w:r>
        <w:rPr>
          <w:noProof/>
        </w:rPr>
        <w:tab/>
        <w:t>les informations sur l’enregistrement des données et les données d’essai et de contrôle bidirectionnelles;</w:t>
      </w:r>
    </w:p>
    <w:p>
      <w:pPr>
        <w:pStyle w:val="ManualNumPar1"/>
        <w:rPr>
          <w:noProof/>
        </w:rPr>
      </w:pPr>
      <w:r>
        <w:rPr>
          <w:noProof/>
        </w:rPr>
        <w:t>2.5.10.</w:t>
      </w:r>
      <w:r>
        <w:rPr>
          <w:noProof/>
        </w:rPr>
        <w:tab/>
        <w:t>les unités de travail standard ou les intervalles pour les tâches de réparation et d’entretien, si ces informations ont été mises à la disposition des concessionnaires et des réparateurs agréés du constructeur, que ce soit directement ou par l’intermédiaire d’un tiers;</w:t>
      </w:r>
    </w:p>
    <w:p>
      <w:pPr>
        <w:pStyle w:val="ManualNumPar1"/>
        <w:rPr>
          <w:noProof/>
        </w:rPr>
      </w:pPr>
      <w:r>
        <w:rPr>
          <w:noProof/>
        </w:rPr>
        <w:t>2.5.11.</w:t>
      </w:r>
      <w:r>
        <w:rPr>
          <w:noProof/>
        </w:rPr>
        <w:tab/>
        <w:t>dans le cas d’une réception par type multi-étapes, les informations requises dans la section 3 et toutes les autres informations nécessaires pour satisfaire aux prescriptions énoncées à l’article 65.</w:t>
      </w:r>
    </w:p>
    <w:p>
      <w:pPr>
        <w:pStyle w:val="ManualNumPar1"/>
        <w:rPr>
          <w:noProof/>
        </w:rPr>
      </w:pPr>
      <w:r>
        <w:rPr>
          <w:noProof/>
        </w:rPr>
        <w:t>2.6.</w:t>
      </w:r>
      <w:r>
        <w:rPr>
          <w:noProof/>
        </w:rPr>
        <w:tab/>
        <w:t>Le constructeur communique les informations suivantes à toutes les parties intéressées:</w:t>
      </w:r>
    </w:p>
    <w:p>
      <w:pPr>
        <w:pStyle w:val="ManualNumPar1"/>
        <w:rPr>
          <w:noProof/>
        </w:rPr>
      </w:pPr>
      <w:r>
        <w:rPr>
          <w:noProof/>
        </w:rPr>
        <w:t>2.6.1.</w:t>
      </w:r>
      <w:r>
        <w:rPr>
          <w:noProof/>
        </w:rPr>
        <w:tab/>
        <w:t>les données pertinentes pour la mise au point de composants de rechange indispensables au bon fonctionnement du système OBD;</w:t>
      </w:r>
    </w:p>
    <w:p>
      <w:pPr>
        <w:pStyle w:val="ManualNumPar1"/>
        <w:rPr>
          <w:noProof/>
        </w:rPr>
      </w:pPr>
      <w:r>
        <w:rPr>
          <w:noProof/>
        </w:rPr>
        <w:t>2.6.2.</w:t>
      </w:r>
      <w:r>
        <w:rPr>
          <w:noProof/>
        </w:rPr>
        <w:tab/>
        <w:t>les informations nécessaires à la mise au point d’outils de diagnostic génériques.</w:t>
      </w:r>
    </w:p>
    <w:p>
      <w:pPr>
        <w:pStyle w:val="ManualNumPar1"/>
        <w:rPr>
          <w:noProof/>
        </w:rPr>
      </w:pPr>
      <w:r>
        <w:rPr>
          <w:noProof/>
        </w:rPr>
        <w:t>2.7.</w:t>
      </w:r>
      <w:r>
        <w:rPr>
          <w:noProof/>
        </w:rPr>
        <w:tab/>
        <w:t>Pour les besoins du point 2.6.1, la mise au point de composants de rechange ne doit pas être limitée par les aspects suivants:</w:t>
      </w:r>
    </w:p>
    <w:p>
      <w:pPr>
        <w:pStyle w:val="ManualNumPar1"/>
        <w:rPr>
          <w:noProof/>
        </w:rPr>
      </w:pPr>
      <w:r>
        <w:rPr>
          <w:noProof/>
        </w:rPr>
        <w:t>2.7.1.</w:t>
      </w:r>
      <w:r>
        <w:rPr>
          <w:noProof/>
        </w:rPr>
        <w:tab/>
        <w:t>la non-disponibilité d’informations pertinentes;</w:t>
      </w:r>
    </w:p>
    <w:p>
      <w:pPr>
        <w:pStyle w:val="ManualNumPar1"/>
        <w:rPr>
          <w:noProof/>
        </w:rPr>
      </w:pPr>
      <w:r>
        <w:rPr>
          <w:noProof/>
        </w:rPr>
        <w:t>2.7.2.</w:t>
      </w:r>
      <w:r>
        <w:rPr>
          <w:noProof/>
        </w:rPr>
        <w:tab/>
        <w:t>les exigences techniques relatives aux stratégies d’indication de défaut de fonctionnement si les seuils applicables aux systèmes OBD sont dépassés ou si le système OBD ne peut satisfaire aux prescriptions de base du présent règlement en matière de surveillance;</w:t>
      </w:r>
    </w:p>
    <w:p>
      <w:pPr>
        <w:pStyle w:val="ManualNumPar1"/>
        <w:rPr>
          <w:noProof/>
        </w:rPr>
      </w:pPr>
      <w:r>
        <w:rPr>
          <w:noProof/>
        </w:rPr>
        <w:t>2.7.3.</w:t>
      </w:r>
      <w:r>
        <w:rPr>
          <w:noProof/>
        </w:rPr>
        <w:tab/>
        <w:t>les modifications spécifiques apportées au traitement des informations du système OBD en vue d’évaluer indépendamment le fonctionnement du véhicule avec le carburant essence ou le carburant gaz;</w:t>
      </w:r>
    </w:p>
    <w:p>
      <w:pPr>
        <w:pStyle w:val="ManualNumPar1"/>
        <w:rPr>
          <w:noProof/>
        </w:rPr>
      </w:pPr>
      <w:r>
        <w:rPr>
          <w:noProof/>
        </w:rPr>
        <w:t>2.7.4.</w:t>
      </w:r>
      <w:r>
        <w:rPr>
          <w:noProof/>
        </w:rPr>
        <w:tab/>
        <w:t>la réception par type de véhicules fonctionnant au gaz qui présentent un nombre limité de défauts mineurs.</w:t>
      </w:r>
    </w:p>
    <w:p>
      <w:pPr>
        <w:pStyle w:val="ManualNumPar1"/>
        <w:rPr>
          <w:noProof/>
        </w:rPr>
      </w:pPr>
      <w:r>
        <w:rPr>
          <w:noProof/>
        </w:rPr>
        <w:t>2.8.</w:t>
      </w:r>
      <w:r>
        <w:rPr>
          <w:noProof/>
        </w:rPr>
        <w:tab/>
        <w:t>En ce qui concerne les véhicules des catégories relevant du champ d’application du règlement n</w:t>
      </w:r>
      <w:r>
        <w:rPr>
          <w:noProof/>
          <w:vertAlign w:val="superscript"/>
        </w:rPr>
        <w:t>o</w:t>
      </w:r>
      <w:r>
        <w:rPr>
          <w:noProof/>
        </w:rPr>
        <w:t> 595/2009/CE, pour les besoins du point 2.6.2, lorsque les constructeurs utilisent, dans leurs réseaux franchisés, des outils de diagnostic et d’essai conformes à la norme ISO 22900 – Interface de communication modulaire du véhicule (MVCI) et à la norme ISO 22901 – Diagnostic généralisé, échange de données (ODX), les fichiers ODX doivent être accessibles aux opérateurs indépendants sur le site web du constructeur.</w:t>
      </w:r>
    </w:p>
    <w:p>
      <w:pPr>
        <w:pStyle w:val="ManualNumPar1"/>
        <w:rPr>
          <w:b/>
          <w:caps/>
          <w:noProof/>
        </w:rPr>
      </w:pPr>
      <w:r>
        <w:rPr>
          <w:b/>
          <w:caps/>
          <w:noProof/>
        </w:rPr>
        <w:t>3.</w:t>
      </w:r>
      <w:r>
        <w:rPr>
          <w:noProof/>
        </w:rPr>
        <w:tab/>
      </w:r>
      <w:r>
        <w:rPr>
          <w:b/>
          <w:noProof/>
        </w:rPr>
        <w:t>Réception par type multi-étapes</w:t>
      </w:r>
    </w:p>
    <w:p>
      <w:pPr>
        <w:pStyle w:val="ManualNumPar1"/>
        <w:rPr>
          <w:noProof/>
        </w:rPr>
      </w:pPr>
      <w:r>
        <w:rPr>
          <w:noProof/>
        </w:rPr>
        <w:t>3.1.</w:t>
      </w:r>
      <w:r>
        <w:rPr>
          <w:noProof/>
        </w:rPr>
        <w:tab/>
        <w:t>Dans le cas d’une réception par type multi-étapes, il appartient au constructeur final de fournir l’accès aux informations du système OBD du véhicule et aux informations sur la réparation et l’entretien du véhicule concernant la ou les étapes de construction dont il est responsable, ainsi que de faire le lien avec la ou les étapes précédentes.</w:t>
      </w:r>
    </w:p>
    <w:p>
      <w:pPr>
        <w:pStyle w:val="ManualNumPar1"/>
        <w:rPr>
          <w:noProof/>
        </w:rPr>
      </w:pPr>
      <w:r>
        <w:rPr>
          <w:noProof/>
        </w:rPr>
        <w:t>3.2.</w:t>
      </w:r>
      <w:r>
        <w:rPr>
          <w:noProof/>
        </w:rPr>
        <w:tab/>
        <w:t>En outre, le constructeur final publie, sur son site web, les informations suivantes à l’intention des opérateurs indépendants:</w:t>
      </w:r>
    </w:p>
    <w:p>
      <w:pPr>
        <w:pStyle w:val="ManualNumPar1"/>
        <w:rPr>
          <w:noProof/>
        </w:rPr>
      </w:pPr>
      <w:r>
        <w:rPr>
          <w:noProof/>
        </w:rPr>
        <w:t>3.2.1.</w:t>
      </w:r>
      <w:r>
        <w:rPr>
          <w:noProof/>
        </w:rPr>
        <w:tab/>
        <w:t>l’adresse du site web du ou des constructeurs responsables de la ou des étapes précédentes;</w:t>
      </w:r>
    </w:p>
    <w:p>
      <w:pPr>
        <w:pStyle w:val="ManualNumPar1"/>
        <w:rPr>
          <w:noProof/>
        </w:rPr>
      </w:pPr>
      <w:r>
        <w:rPr>
          <w:noProof/>
        </w:rPr>
        <w:t>3.2.2.</w:t>
      </w:r>
      <w:r>
        <w:rPr>
          <w:noProof/>
        </w:rPr>
        <w:tab/>
        <w:t>le nom et l’adresse de tous les constructeurs responsables de la ou des étapes précédentes;</w:t>
      </w:r>
    </w:p>
    <w:p>
      <w:pPr>
        <w:pStyle w:val="ManualNumPar1"/>
        <w:rPr>
          <w:noProof/>
        </w:rPr>
      </w:pPr>
      <w:r>
        <w:rPr>
          <w:noProof/>
        </w:rPr>
        <w:t>3.2.3.</w:t>
      </w:r>
      <w:r>
        <w:rPr>
          <w:noProof/>
        </w:rPr>
        <w:tab/>
        <w:t>le ou les numéros de réception par type de la ou des étapes précédentes;</w:t>
      </w:r>
    </w:p>
    <w:p>
      <w:pPr>
        <w:pStyle w:val="ManualNumPar1"/>
        <w:rPr>
          <w:noProof/>
        </w:rPr>
      </w:pPr>
      <w:r>
        <w:rPr>
          <w:noProof/>
        </w:rPr>
        <w:t>3.2.4.</w:t>
      </w:r>
      <w:r>
        <w:rPr>
          <w:noProof/>
        </w:rPr>
        <w:tab/>
        <w:t>le numéro du moteur.</w:t>
      </w:r>
    </w:p>
    <w:p>
      <w:pPr>
        <w:pStyle w:val="ManualNumPar1"/>
        <w:rPr>
          <w:noProof/>
        </w:rPr>
      </w:pPr>
      <w:r>
        <w:rPr>
          <w:noProof/>
        </w:rPr>
        <w:t>3.3.</w:t>
      </w:r>
      <w:r>
        <w:rPr>
          <w:noProof/>
        </w:rPr>
        <w:tab/>
        <w:t>Chaque constructeur responsable d’une ou de plusieurs étapes de la réception par type est tenu de fournir, par l’intermédiaire de son site web, l’accès aux informations du système OBD et aux informations sur la réparation et l’entretien du véhicule concernant la ou les étapes de la réception par type dont il est responsable, ainsi que de faire le lien avec la ou les étapes précédentes.</w:t>
      </w:r>
    </w:p>
    <w:p>
      <w:pPr>
        <w:pStyle w:val="ManualNumPar1"/>
        <w:rPr>
          <w:noProof/>
        </w:rPr>
      </w:pPr>
      <w:r>
        <w:rPr>
          <w:noProof/>
        </w:rPr>
        <w:t>3.4.</w:t>
      </w:r>
      <w:r>
        <w:rPr>
          <w:noProof/>
        </w:rPr>
        <w:tab/>
        <w:t>Le constructeur responsable d’une ou de plusieurs étapes de la réception par type fournit les informations ci-après au constructeur chargé de l’étape suivante:</w:t>
      </w:r>
    </w:p>
    <w:p>
      <w:pPr>
        <w:pStyle w:val="ManualNumPar1"/>
        <w:rPr>
          <w:noProof/>
        </w:rPr>
      </w:pPr>
      <w:r>
        <w:rPr>
          <w:noProof/>
        </w:rPr>
        <w:t>3.4.1.</w:t>
      </w:r>
      <w:r>
        <w:rPr>
          <w:noProof/>
        </w:rPr>
        <w:tab/>
        <w:t>le certificat de conformité relatif à l’étape ou aux étapes dont il est responsable;</w:t>
      </w:r>
    </w:p>
    <w:p>
      <w:pPr>
        <w:pStyle w:val="ManualNumPar1"/>
        <w:rPr>
          <w:noProof/>
        </w:rPr>
      </w:pPr>
      <w:r>
        <w:rPr>
          <w:noProof/>
        </w:rPr>
        <w:t>3.4.2.</w:t>
      </w:r>
      <w:r>
        <w:rPr>
          <w:noProof/>
        </w:rPr>
        <w:tab/>
        <w:t>le certificat concernant l’accès aux informations du système OBD des véhicules et aux informations sur la réparation et l’entretien des véhicules, y compris ses appendices;</w:t>
      </w:r>
    </w:p>
    <w:p>
      <w:pPr>
        <w:pStyle w:val="ManualNumPar1"/>
        <w:rPr>
          <w:noProof/>
        </w:rPr>
      </w:pPr>
      <w:r>
        <w:rPr>
          <w:noProof/>
        </w:rPr>
        <w:t>3.4.3.</w:t>
      </w:r>
      <w:r>
        <w:rPr>
          <w:noProof/>
        </w:rPr>
        <w:tab/>
        <w:t>le numéro de réception par type correspondant à l’étape ou aux étapes dont il est responsable;</w:t>
      </w:r>
    </w:p>
    <w:p>
      <w:pPr>
        <w:pStyle w:val="ManualNumPar1"/>
        <w:rPr>
          <w:noProof/>
        </w:rPr>
      </w:pPr>
      <w:r>
        <w:rPr>
          <w:noProof/>
        </w:rPr>
        <w:t>3.4.4.</w:t>
      </w:r>
      <w:r>
        <w:rPr>
          <w:noProof/>
        </w:rPr>
        <w:tab/>
        <w:t>les documents visés aux points 3.4.1, 3.4.2 et 3.4.3 communiqués par le ou les constructeurs concernés par la ou les étapes précédentes.</w:t>
      </w:r>
    </w:p>
    <w:p>
      <w:pPr>
        <w:pStyle w:val="ManualNumPar1"/>
        <w:rPr>
          <w:noProof/>
        </w:rPr>
      </w:pPr>
      <w:r>
        <w:rPr>
          <w:noProof/>
        </w:rPr>
        <w:t>3.5.</w:t>
      </w:r>
      <w:r>
        <w:rPr>
          <w:noProof/>
        </w:rPr>
        <w:tab/>
        <w:t>Chaque constructeur autorise le constructeur responsable de l’étape suivante à transmettre les documents aux constructeurs responsables de toute étape ultérieure et de l’étape finale.</w:t>
      </w:r>
    </w:p>
    <w:p>
      <w:pPr>
        <w:pStyle w:val="ManualNumPar1"/>
        <w:rPr>
          <w:noProof/>
        </w:rPr>
      </w:pPr>
      <w:r>
        <w:rPr>
          <w:noProof/>
        </w:rPr>
        <w:t>3.6.</w:t>
      </w:r>
      <w:r>
        <w:rPr>
          <w:noProof/>
        </w:rPr>
        <w:tab/>
        <w:t>En outre, sur une base contractuelle, le constructeur responsable d’une ou de plusieurs étapes de la réception par type:</w:t>
      </w:r>
    </w:p>
    <w:p>
      <w:pPr>
        <w:pStyle w:val="ManualNumPar1"/>
        <w:rPr>
          <w:noProof/>
        </w:rPr>
      </w:pPr>
      <w:r>
        <w:rPr>
          <w:noProof/>
        </w:rPr>
        <w:t>3.6.1</w:t>
      </w:r>
      <w:r>
        <w:rPr>
          <w:noProof/>
        </w:rPr>
        <w:tab/>
        <w:t>fournit au constructeur responsable de l’étape suivante l’accès aux informations du système OBD et aux informations sur la réparation et l’entretien des véhicules, ainsi qu’aux informations sur les interfaces correspondant à l’étape ou aux étapes dont il est responsable;</w:t>
      </w:r>
    </w:p>
    <w:p>
      <w:pPr>
        <w:pStyle w:val="ManualNumPar1"/>
        <w:rPr>
          <w:noProof/>
        </w:rPr>
      </w:pPr>
      <w:r>
        <w:rPr>
          <w:noProof/>
        </w:rPr>
        <w:t>3.6.2.</w:t>
      </w:r>
      <w:r>
        <w:rPr>
          <w:noProof/>
        </w:rPr>
        <w:tab/>
        <w:t>fournit, sur demande d’un constructeur responsable d’une étape ultérieure de la réception par type, l’accès aux informations du système OBD et aux informations sur la réparation et l’entretien du véhicule, ainsi qu’aux informations sur les interfaces correspondant à l’étape ou aux étapes dont il est responsable.</w:t>
      </w:r>
    </w:p>
    <w:p>
      <w:pPr>
        <w:pStyle w:val="ManualNumPar1"/>
        <w:rPr>
          <w:noProof/>
        </w:rPr>
      </w:pPr>
      <w:r>
        <w:rPr>
          <w:noProof/>
        </w:rPr>
        <w:t>3.7.</w:t>
      </w:r>
      <w:r>
        <w:rPr>
          <w:noProof/>
        </w:rPr>
        <w:tab/>
        <w:t>Un constructeur, y compris un constructeur final, ne peut facturer des frais conformément à l’article 67 que pour la ou les étapes dont il est responsable.</w:t>
      </w:r>
    </w:p>
    <w:p>
      <w:pPr>
        <w:pStyle w:val="Text1"/>
        <w:rPr>
          <w:noProof/>
        </w:rPr>
      </w:pPr>
      <w:r>
        <w:rPr>
          <w:noProof/>
        </w:rPr>
        <w:t>Un constructeur, y compris un constructeur final, ne peut facturer de frais pour l’accès aux informations relatives à l’adresse du site web ou aux coordonnées de tout autre constructeur.</w:t>
      </w:r>
    </w:p>
    <w:p>
      <w:pPr>
        <w:pStyle w:val="ManualNumPar1"/>
        <w:rPr>
          <w:b/>
          <w:caps/>
          <w:noProof/>
        </w:rPr>
      </w:pPr>
      <w:r>
        <w:rPr>
          <w:b/>
          <w:caps/>
          <w:noProof/>
        </w:rPr>
        <w:t>4.</w:t>
      </w:r>
      <w:r>
        <w:rPr>
          <w:noProof/>
        </w:rPr>
        <w:tab/>
      </w:r>
      <w:r>
        <w:rPr>
          <w:b/>
          <w:noProof/>
        </w:rPr>
        <w:t>Adaptations effectuées à la demande de clients</w:t>
      </w:r>
    </w:p>
    <w:p>
      <w:pPr>
        <w:pStyle w:val="ManualNumPar1"/>
        <w:rPr>
          <w:noProof/>
        </w:rPr>
      </w:pPr>
      <w:r>
        <w:rPr>
          <w:noProof/>
        </w:rPr>
        <w:t>4.1.</w:t>
      </w:r>
      <w:r>
        <w:rPr>
          <w:noProof/>
        </w:rPr>
        <w:tab/>
        <w:t>Par dérogation à la section 2, si le nombre de systèmes, de composants ou d’entités techniques distinctes qui font l’objet d’une adaptation spécifique à la demande d’un client est inférieur à 250 unités produites à travers le monde, les informations sur la réparation et l’entretien pour l’adaptation effectuée à la demande d’un client sont fournies de manière aisément accessible, rapide et non discriminatoire par rapport au contenu fourni et à l’accès accordé aux concessionnaires et aux réparateurs agréés.</w:t>
      </w:r>
    </w:p>
    <w:p>
      <w:pPr>
        <w:pStyle w:val="Text1"/>
        <w:rPr>
          <w:noProof/>
        </w:rPr>
      </w:pPr>
      <w:r>
        <w:rPr>
          <w:noProof/>
        </w:rPr>
        <w:t>Pour l’entretien et la reprogrammation des unités de commande électroniques liées à l’adaptation effectuée à la demande d’un client, le constructeur met à la disposition des opérateurs indépendants les outils de diagnostic spécialisés ou équipements d’essai exclusifs qu’il fournit aux réparateurs agréés.</w:t>
      </w:r>
    </w:p>
    <w:p>
      <w:pPr>
        <w:pStyle w:val="Text1"/>
        <w:rPr>
          <w:noProof/>
        </w:rPr>
      </w:pPr>
      <w:r>
        <w:rPr>
          <w:noProof/>
        </w:rPr>
        <w:t>Les adaptations effectuées à la demande de clients figurent sur le site web du constructeur contenant les informations sur la réparation et la maintenance et sont mentionnées sur le certificat concernant l’accès aux informations du système OBD des véhicules et aux informations sur l’entretien et la réparation des véhicules au moment de la réception par type.</w:t>
      </w:r>
    </w:p>
    <w:p>
      <w:pPr>
        <w:pStyle w:val="ManualNumPar1"/>
        <w:rPr>
          <w:noProof/>
        </w:rPr>
      </w:pPr>
      <w:r>
        <w:rPr>
          <w:noProof/>
        </w:rPr>
        <w:t>4.2.</w:t>
      </w:r>
      <w:r>
        <w:rPr>
          <w:noProof/>
        </w:rPr>
        <w:tab/>
        <w:t>Les constructeurs mettent à la disposition des opérateurs indépendants, à la vente ou à la location, les outils de diagnostic spécialisés ou équipements d’essai exclusifs nécessaires à l’entretien des systèmes, composants ou entités techniques distinctes adaptés à la demande de clients.</w:t>
      </w:r>
    </w:p>
    <w:p>
      <w:pPr>
        <w:pStyle w:val="ManualNumPar1"/>
        <w:rPr>
          <w:noProof/>
        </w:rPr>
      </w:pPr>
      <w:r>
        <w:rPr>
          <w:noProof/>
        </w:rPr>
        <w:t>4.3.</w:t>
      </w:r>
      <w:r>
        <w:rPr>
          <w:noProof/>
        </w:rPr>
        <w:tab/>
        <w:t>Le constructeur mentionne sur le certificat concernant l’accès aux informations du système OBD des véhicules et aux informations sur la réparation et l’entretien des véhicules, au moment de la réception par type, les adaptations effectuées à la demande de clients pour lesquelles il est dérogé à l’obligation visée à la section 2 de donner accès auxdites informations dans un format standardisé, ainsi que les unités de commande électroniques en rapport avec lesdites adaptations.</w:t>
      </w:r>
    </w:p>
    <w:p>
      <w:pPr>
        <w:pStyle w:val="Text1"/>
        <w:rPr>
          <w:noProof/>
        </w:rPr>
      </w:pPr>
      <w:r>
        <w:rPr>
          <w:noProof/>
        </w:rPr>
        <w:t>Ces adaptations effectuées à la demande de clients et toute unité de commande électronique en rapport avec elles sont également mentionnées sur le site web du constructeur contenant les informations sur la réparation et l’entretien.</w:t>
      </w:r>
    </w:p>
    <w:p>
      <w:pPr>
        <w:pStyle w:val="ManualNumPar1"/>
        <w:rPr>
          <w:b/>
          <w:caps/>
          <w:noProof/>
        </w:rPr>
      </w:pPr>
      <w:r>
        <w:rPr>
          <w:b/>
          <w:caps/>
          <w:noProof/>
        </w:rPr>
        <w:t>5.</w:t>
      </w:r>
      <w:r>
        <w:rPr>
          <w:noProof/>
        </w:rPr>
        <w:tab/>
      </w:r>
      <w:r>
        <w:rPr>
          <w:b/>
          <w:noProof/>
        </w:rPr>
        <w:t>Constructeurs produisant en petites séries</w:t>
      </w:r>
    </w:p>
    <w:p>
      <w:pPr>
        <w:pStyle w:val="ManualNumPar1"/>
        <w:rPr>
          <w:noProof/>
        </w:rPr>
      </w:pPr>
      <w:r>
        <w:rPr>
          <w:noProof/>
        </w:rPr>
        <w:t>5.1.</w:t>
      </w:r>
      <w:r>
        <w:rPr>
          <w:noProof/>
        </w:rPr>
        <w:tab/>
        <w:t>Par dérogation à la section 2, les constructeurs dont la production annuelle mondiale d’un type de véhicule, de système, de composant ou d’entité technique distincte soumis au présent règlement est, pour les véhicules des catégories M</w:t>
      </w:r>
      <w:r>
        <w:rPr>
          <w:noProof/>
          <w:vertAlign w:val="subscript"/>
        </w:rPr>
        <w:t>1</w:t>
      </w:r>
      <w:r>
        <w:rPr>
          <w:noProof/>
        </w:rPr>
        <w:t xml:space="preserve"> et N</w:t>
      </w:r>
      <w:r>
        <w:rPr>
          <w:noProof/>
          <w:vertAlign w:val="subscript"/>
        </w:rPr>
        <w:t>1</w:t>
      </w:r>
      <w:r>
        <w:rPr>
          <w:noProof/>
        </w:rPr>
        <w:t>, inférieure à 1000 véhicules ou, pour les véhicules des catégories M</w:t>
      </w:r>
      <w:r>
        <w:rPr>
          <w:noProof/>
          <w:vertAlign w:val="subscript"/>
        </w:rPr>
        <w:t>2</w:t>
      </w:r>
      <w:r>
        <w:rPr>
          <w:noProof/>
        </w:rPr>
        <w:t>, M</w:t>
      </w:r>
      <w:r>
        <w:rPr>
          <w:noProof/>
          <w:vertAlign w:val="subscript"/>
        </w:rPr>
        <w:t>3</w:t>
      </w:r>
      <w:r>
        <w:rPr>
          <w:noProof/>
        </w:rPr>
        <w:t>, N</w:t>
      </w:r>
      <w:r>
        <w:rPr>
          <w:noProof/>
          <w:vertAlign w:val="subscript"/>
        </w:rPr>
        <w:t>2</w:t>
      </w:r>
      <w:r>
        <w:rPr>
          <w:noProof/>
        </w:rPr>
        <w:t>, N</w:t>
      </w:r>
      <w:r>
        <w:rPr>
          <w:noProof/>
          <w:vertAlign w:val="subscript"/>
        </w:rPr>
        <w:t>3</w:t>
      </w:r>
      <w:r>
        <w:rPr>
          <w:noProof/>
        </w:rPr>
        <w:t xml:space="preserve"> ou O, inférieure à 250 unités, donnent accès aux informations sur la réparation et l’entretien de manière aisément accessible, rapide et non discriminatoire par rapport au contenu communiqué ou à l’accès accordé aux concessionnaires et aux réparateurs agréés.</w:t>
      </w:r>
    </w:p>
    <w:p>
      <w:pPr>
        <w:pStyle w:val="ManualNumPar1"/>
        <w:rPr>
          <w:noProof/>
        </w:rPr>
      </w:pPr>
      <w:r>
        <w:rPr>
          <w:noProof/>
        </w:rPr>
        <w:t>5.2.</w:t>
      </w:r>
      <w:r>
        <w:rPr>
          <w:noProof/>
        </w:rPr>
        <w:tab/>
        <w:t>Le véhicule, le système, le composant ou l’entité technique distincte faisant l’objet du point 5.1 doit être mentionné sur le site web du constructeur contenant les informations sur la réparation et l’entretien.</w:t>
      </w:r>
    </w:p>
    <w:p>
      <w:pPr>
        <w:pStyle w:val="ManualNumPar1"/>
        <w:rPr>
          <w:noProof/>
        </w:rPr>
      </w:pPr>
      <w:r>
        <w:rPr>
          <w:noProof/>
        </w:rPr>
        <w:t>5.3.</w:t>
      </w:r>
      <w:r>
        <w:rPr>
          <w:noProof/>
        </w:rPr>
        <w:tab/>
        <w:t>L’autorité compétente en matière de réception informe la Commission de toutes les réceptions par type accordées à des constructeurs produisant en petites séries.</w:t>
      </w:r>
    </w:p>
    <w:p>
      <w:pPr>
        <w:pStyle w:val="ManualNumPar1"/>
        <w:rPr>
          <w:b/>
          <w:noProof/>
        </w:rPr>
      </w:pPr>
      <w:r>
        <w:rPr>
          <w:b/>
          <w:noProof/>
        </w:rPr>
        <w:t>6.</w:t>
      </w:r>
      <w:r>
        <w:rPr>
          <w:noProof/>
        </w:rPr>
        <w:tab/>
      </w:r>
      <w:r>
        <w:rPr>
          <w:b/>
          <w:noProof/>
        </w:rPr>
        <w:t>Prescriptions</w:t>
      </w:r>
    </w:p>
    <w:p>
      <w:pPr>
        <w:pStyle w:val="ManualNumPar1"/>
        <w:rPr>
          <w:noProof/>
        </w:rPr>
      </w:pPr>
      <w:r>
        <w:rPr>
          <w:noProof/>
        </w:rPr>
        <w:t>6.1.</w:t>
      </w:r>
      <w:r>
        <w:rPr>
          <w:noProof/>
        </w:rPr>
        <w:tab/>
        <w:t>Les informations du système OBD et les informations sur la réparation et l’entretien des véhicules qui sont accessibles via les sites web des constructeurs doivent respecter le format normalisé visé à l’article 65.</w:t>
      </w:r>
    </w:p>
    <w:p>
      <w:pPr>
        <w:pStyle w:val="Text1"/>
        <w:rPr>
          <w:noProof/>
        </w:rPr>
      </w:pPr>
      <w:r>
        <w:rPr>
          <w:noProof/>
        </w:rPr>
        <w:t>Quiconque souhaite copier ou republier ces informations doit négocier directement avec le constructeur concerné. Des informations relatives au matériel de formation doivent également être disponibles, mais elles peuvent être fournies sur des supports autres que les sites web.</w:t>
      </w:r>
    </w:p>
    <w:p>
      <w:pPr>
        <w:pStyle w:val="Text1"/>
        <w:rPr>
          <w:noProof/>
        </w:rPr>
      </w:pPr>
      <w:r>
        <w:rPr>
          <w:noProof/>
        </w:rPr>
        <w:t>Des informations sur toutes les pièces dont est équipé d’origine le véhicule, tel qu’identifié par le VIN du véhicule et par tout critère supplémentaire comme l’empattement, la puissance du moteur, le type de finition ou les options, et qui peuvent être remplacées par des pièces détachées proposées par le constructeur du véhicule à ses concessionnaires ou réparateurs agréés ou à des tiers au moyen d’une référence au numéro des pièces d’origine, doivent être mises à disposition dans une base de données facilement accessible pour les opérateurs indépendants.</w:t>
      </w:r>
    </w:p>
    <w:p>
      <w:pPr>
        <w:pStyle w:val="Text1"/>
        <w:rPr>
          <w:noProof/>
        </w:rPr>
      </w:pPr>
      <w:r>
        <w:rPr>
          <w:noProof/>
        </w:rPr>
        <w:t>Dans cette base de données doivent figurer le numéro VIN, le numéro de la pièce d’origine, la dénomination de la pièce d’origine, les indications de validité (dates de début et de fin de validité), les indications de montage et, le cas échéant, les caractéristiques de structure.</w:t>
      </w:r>
    </w:p>
    <w:p>
      <w:pPr>
        <w:pStyle w:val="Text1"/>
        <w:rPr>
          <w:noProof/>
        </w:rPr>
      </w:pPr>
      <w:r>
        <w:rPr>
          <w:noProof/>
        </w:rPr>
        <w:t>Les informations concernant la base de données doivent être régulièrement actualisées. Si ces informations sont mises à la disposition des concessionnaires, les mises à jour doivent inclure, en particulier, toutes les modifications apportées à des véhicules individuels après leur production.</w:t>
      </w:r>
    </w:p>
    <w:p>
      <w:pPr>
        <w:pStyle w:val="ManualNumPar1"/>
        <w:rPr>
          <w:noProof/>
        </w:rPr>
      </w:pPr>
      <w:r>
        <w:rPr>
          <w:noProof/>
        </w:rPr>
        <w:t>6.2.</w:t>
      </w:r>
      <w:r>
        <w:rPr>
          <w:noProof/>
        </w:rPr>
        <w:tab/>
        <w:t>L’accès aux caractéristiques de sécurité du véhicule utilisées par les concessionnaires et les ateliers de réparation agréés doit être fourni aux opérateurs indépendants, sous la protection d’une technologie de sécurité, conformément aux prescriptions suivantes:</w:t>
      </w:r>
    </w:p>
    <w:p>
      <w:pPr>
        <w:pStyle w:val="ManualNumPar1"/>
        <w:rPr>
          <w:noProof/>
        </w:rPr>
      </w:pPr>
      <w:r>
        <w:rPr>
          <w:noProof/>
        </w:rPr>
        <w:t>6.2.1.</w:t>
      </w:r>
      <w:r>
        <w:rPr>
          <w:noProof/>
        </w:rPr>
        <w:tab/>
        <w:t>les données sont échangées dans des conditions garantissant la confidentialité, l’intégrité et la protection contre la reproduction;</w:t>
      </w:r>
    </w:p>
    <w:p>
      <w:pPr>
        <w:pStyle w:val="ManualNumPar1"/>
        <w:rPr>
          <w:noProof/>
        </w:rPr>
      </w:pPr>
      <w:r>
        <w:rPr>
          <w:noProof/>
        </w:rPr>
        <w:t>6.2.2.</w:t>
      </w:r>
      <w:r>
        <w:rPr>
          <w:noProof/>
        </w:rPr>
        <w:tab/>
        <w:t>la norme https//ssl-tls (RFC4346) est utilisée;</w:t>
      </w:r>
    </w:p>
    <w:p>
      <w:pPr>
        <w:pStyle w:val="ManualNumPar1"/>
        <w:rPr>
          <w:noProof/>
        </w:rPr>
      </w:pPr>
      <w:r>
        <w:rPr>
          <w:noProof/>
        </w:rPr>
        <w:t>6.2.3.</w:t>
      </w:r>
      <w:r>
        <w:rPr>
          <w:noProof/>
        </w:rPr>
        <w:tab/>
        <w:t>des certificats de sécurité établis conformément à la norme ISO 20828 sont utilisés pour l’authentification mutuelle des opérateurs indépendants et des constructeurs;</w:t>
      </w:r>
    </w:p>
    <w:p>
      <w:pPr>
        <w:pStyle w:val="ManualNumPar1"/>
        <w:rPr>
          <w:noProof/>
        </w:rPr>
      </w:pPr>
      <w:r>
        <w:rPr>
          <w:noProof/>
        </w:rPr>
        <w:t>6.2.4.</w:t>
      </w:r>
      <w:r>
        <w:rPr>
          <w:noProof/>
        </w:rPr>
        <w:tab/>
        <w:t>la clé privée de l’opérateur indépendant est protégée par un matériel sécurisé.</w:t>
      </w:r>
    </w:p>
    <w:p>
      <w:pPr>
        <w:pStyle w:val="ManualNumPar1"/>
        <w:rPr>
          <w:noProof/>
        </w:rPr>
      </w:pPr>
      <w:r>
        <w:rPr>
          <w:noProof/>
        </w:rPr>
        <w:t>6.3.</w:t>
      </w:r>
      <w:r>
        <w:rPr>
          <w:noProof/>
        </w:rPr>
        <w:tab/>
        <w:t>Le forum sur l’accès aux informations des véhicules visé à l’article 70 spécifie les paramètres pour satisfaire à ces prescriptions selon l’état actuel de la technique. L’opérateur indépendant est agréé et autorisé à cette fin sur la base de documents démontrant qu’il poursuit une activité commerciale légitime et n’a pas fait l’objet de sanctions pénales.</w:t>
      </w:r>
    </w:p>
    <w:p>
      <w:pPr>
        <w:pStyle w:val="ManualNumPar1"/>
        <w:rPr>
          <w:noProof/>
        </w:rPr>
      </w:pPr>
      <w:r>
        <w:rPr>
          <w:noProof/>
        </w:rPr>
        <w:t>6.4.</w:t>
      </w:r>
      <w:r>
        <w:rPr>
          <w:noProof/>
        </w:rPr>
        <w:tab/>
        <w:t>En ce qui concerne les véhicules relevant du champ d’application du règlement (CE) n</w:t>
      </w:r>
      <w:r>
        <w:rPr>
          <w:noProof/>
          <w:vertAlign w:val="superscript"/>
        </w:rPr>
        <w:t>o</w:t>
      </w:r>
      <w:r>
        <w:rPr>
          <w:noProof/>
        </w:rPr>
        <w:t> 595/2009, la reprogrammation des unités de commande est effectuée conformément à la norme ISO 22900-2, SAE J2534 ou TMC RP121B au moyen d’un matériel non exclusif. Des connexions Ethernet, par câble série ou réseau local (LAN), ainsi que d’autres supports tels que CD, DVD ou cartes mémoires pour systèmes d’infodivertissement (systèmes de navigation, téléphones, par exemple) peuvent également être utilisés, à condition qu’ils ne nécessitent pas des matériels ou des logiciels (pilotes de périphérique ou modules d’extension) de communication exclusifs. Afin de valider la compatibilité de l’application propre au constructeur et des interfaces de communication du véhicule (VCI) conformes aux normes ISO 22900-2, SAE J2534 ou TMC RP1210B, le constructeur doit soit proposer une validation des VCI résultant d’un développement indépendant, soit fournir les informations nécessaires au fabricant de VCI pour effectuer lui-même cette validation et lui prêter tout matériel spécial requis à cet effet. Les conditions de l’article 67, paragraphe 1, s’appliquent aux frais relatifs à cette validation, à ces informations et à ce matériel.</w:t>
      </w:r>
    </w:p>
    <w:p>
      <w:pPr>
        <w:pStyle w:val="ManualNumPar1"/>
        <w:rPr>
          <w:noProof/>
        </w:rPr>
      </w:pPr>
      <w:r>
        <w:rPr>
          <w:noProof/>
        </w:rPr>
        <w:t>6.5.</w:t>
      </w:r>
      <w:r>
        <w:rPr>
          <w:noProof/>
        </w:rPr>
        <w:tab/>
        <w:t>Les prescriptions du point 6.4 ne s’appliquent pas dans le cas de la reprogrammation des dispositifs de limitation de la vitesse et du matériel d’enregistrement.</w:t>
      </w:r>
    </w:p>
    <w:p>
      <w:pPr>
        <w:pStyle w:val="ManualNumPar1"/>
        <w:rPr>
          <w:noProof/>
        </w:rPr>
      </w:pPr>
      <w:r>
        <w:rPr>
          <w:noProof/>
        </w:rPr>
        <w:t>6.6.</w:t>
      </w:r>
      <w:r>
        <w:rPr>
          <w:noProof/>
        </w:rPr>
        <w:tab/>
        <w:t>Tous les codes d’anomalie de diagnostic liés aux émissions doivent être cohérents avec l’annexe XI du règlement (CE) n</w:t>
      </w:r>
      <w:r>
        <w:rPr>
          <w:noProof/>
          <w:vertAlign w:val="superscript"/>
        </w:rPr>
        <w:t>o</w:t>
      </w:r>
      <w:r>
        <w:rPr>
          <w:noProof/>
        </w:rPr>
        <w:t> 692/2008 de la Commission</w:t>
      </w:r>
      <w:r>
        <w:rPr>
          <w:rStyle w:val="FootnoteReference"/>
          <w:noProof/>
        </w:rPr>
        <w:footnoteReference w:id="33"/>
      </w:r>
      <w:r>
        <w:rPr>
          <w:noProof/>
        </w:rPr>
        <w:t xml:space="preserve"> et avec l’annexe X du règlement (UE) n</w:t>
      </w:r>
      <w:r>
        <w:rPr>
          <w:noProof/>
          <w:vertAlign w:val="superscript"/>
        </w:rPr>
        <w:t>o</w:t>
      </w:r>
      <w:r>
        <w:rPr>
          <w:noProof/>
        </w:rPr>
        <w:t> 582/2011 de la Commission</w:t>
      </w:r>
      <w:r>
        <w:rPr>
          <w:rStyle w:val="FootnoteReference"/>
          <w:noProof/>
        </w:rPr>
        <w:footnoteReference w:id="34"/>
      </w:r>
      <w:r>
        <w:rPr>
          <w:noProof/>
        </w:rPr>
        <w:t>.</w:t>
      </w:r>
    </w:p>
    <w:p>
      <w:pPr>
        <w:pStyle w:val="ManualNumPar1"/>
        <w:rPr>
          <w:noProof/>
        </w:rPr>
      </w:pPr>
      <w:r>
        <w:rPr>
          <w:noProof/>
        </w:rPr>
        <w:t>6.7.</w:t>
      </w:r>
      <w:r>
        <w:rPr>
          <w:noProof/>
        </w:rPr>
        <w:tab/>
        <w:t>Pour l’accès aux informations du système OBD du véhicule et aux informations sur la réparation et l’entretien du véhicule autre que celui relatif aux zones sécurisées du véhicule, les exigences d’inscription pour l’utilisation du site web du constructeur par un opérateur indépendant ne portent que sur les informations nécessaires pour confirmer les modalités de paiement des informations. Pour les informations concernant l’accès aux zones sécurisées du véhicule, l’opérateur indépendant doit présenter un certificat conforme à la norme ISO 20828 pour s’identifier lui-même ainsi que l’organisation à laquelle il appartient et le constructeur doit répondre avec son propre certificat conforme à la norme ISO 20828 pour confirmer à l’opérateur indépendant qu’il accède au site légitime du constructeur en question. Les deux parties doivent garder une trace de toute transaction de ce type, indiquant les véhicules et les modifications apportées à ceux-ci au titre de la présente disposition.</w:t>
      </w:r>
    </w:p>
    <w:p>
      <w:pPr>
        <w:pStyle w:val="ManualNumPar1"/>
        <w:rPr>
          <w:noProof/>
        </w:rPr>
      </w:pPr>
      <w:r>
        <w:rPr>
          <w:noProof/>
        </w:rPr>
        <w:t>6.8.</w:t>
      </w:r>
      <w:r>
        <w:rPr>
          <w:noProof/>
        </w:rPr>
        <w:tab/>
        <w:t>Les constructeurs doivent indiquer sur leurs sites web contenant les informations sur la réparation le numéro de réception par type par modèle.</w:t>
      </w:r>
    </w:p>
    <w:p>
      <w:pPr>
        <w:pStyle w:val="ManualNumPar1"/>
        <w:rPr>
          <w:b/>
          <w:caps/>
          <w:noProof/>
        </w:rPr>
      </w:pPr>
      <w:r>
        <w:rPr>
          <w:b/>
          <w:caps/>
          <w:noProof/>
        </w:rPr>
        <w:t>7.</w:t>
      </w:r>
      <w:r>
        <w:rPr>
          <w:noProof/>
        </w:rPr>
        <w:tab/>
      </w:r>
      <w:r>
        <w:rPr>
          <w:b/>
          <w:noProof/>
        </w:rPr>
        <w:t>Prescriptions pour la réception par type</w:t>
      </w:r>
    </w:p>
    <w:p>
      <w:pPr>
        <w:pStyle w:val="ManualNumPar1"/>
        <w:rPr>
          <w:noProof/>
        </w:rPr>
      </w:pPr>
      <w:r>
        <w:rPr>
          <w:noProof/>
        </w:rPr>
        <w:t>7.1.</w:t>
      </w:r>
      <w:r>
        <w:rPr>
          <w:noProof/>
        </w:rPr>
        <w:tab/>
        <w:t>Pour obtenir une réception par type, le constructeur doit soumettre, après l’avoir rempli, le certificat dont le modèle est présenté dans l’appendice I.</w:t>
      </w:r>
    </w:p>
    <w:p>
      <w:pPr>
        <w:pStyle w:val="ManualNumPar1"/>
        <w:rPr>
          <w:noProof/>
        </w:rPr>
      </w:pPr>
      <w:r>
        <w:rPr>
          <w:noProof/>
        </w:rPr>
        <w:t>7.2.</w:t>
      </w:r>
      <w:r>
        <w:rPr>
          <w:noProof/>
        </w:rPr>
        <w:tab/>
        <w:t>Si les informations du système OBD du véhicule et les informations sur la réparation et l’entretien du véhicule ne sont pas disponibles ou ne sont pas conformes aux prescriptions de la présente annexe, le constructeur doit communiquer ces informations dans un délai de six mois à compter de la date de la réception par type.</w:t>
      </w:r>
    </w:p>
    <w:p>
      <w:pPr>
        <w:pStyle w:val="ManualNumPar1"/>
        <w:rPr>
          <w:noProof/>
        </w:rPr>
      </w:pPr>
      <w:r>
        <w:rPr>
          <w:noProof/>
        </w:rPr>
        <w:t>7.3.</w:t>
      </w:r>
      <w:r>
        <w:rPr>
          <w:noProof/>
        </w:rPr>
        <w:tab/>
        <w:t>L’obligation de fournir les informations dans le délai visé au point 7.2 s’applique uniquement si, à la suite de la réception par type, le véhicule est mis sur le marché.</w:t>
      </w:r>
    </w:p>
    <w:p>
      <w:pPr>
        <w:pStyle w:val="Text1"/>
        <w:rPr>
          <w:noProof/>
        </w:rPr>
      </w:pPr>
      <w:r>
        <w:rPr>
          <w:noProof/>
        </w:rPr>
        <w:t>Lorsque le véhicule est mis sur le marché plus de six mois après que la réception par type a été délivrée, les informations doivent être communiquées à la date de la mise sur le marché.</w:t>
      </w:r>
    </w:p>
    <w:p>
      <w:pPr>
        <w:pStyle w:val="ManualNumPar1"/>
        <w:rPr>
          <w:noProof/>
        </w:rPr>
      </w:pPr>
      <w:r>
        <w:rPr>
          <w:noProof/>
        </w:rPr>
        <w:t>7.4.</w:t>
      </w:r>
      <w:r>
        <w:rPr>
          <w:noProof/>
        </w:rPr>
        <w:tab/>
        <w:t xml:space="preserve">Sur la base d’un certificat dûment rempli relatif à l’accès aux informations du système OBD et aux informations sur la réparation et l’entretien du véhicule, l’autorité compétente en matière de réception peut présumer que le constructeur a pris des mesures et mis en place des procédures satisfaisantes concernant l’accès auxdites informations, pour autant qu’aucune plainte n’ait été déposée et que le constructeur fournisse le certificat dans le délai prévu au point 7.2. </w:t>
      </w:r>
    </w:p>
    <w:p>
      <w:pPr>
        <w:pStyle w:val="Text1"/>
        <w:rPr>
          <w:noProof/>
        </w:rPr>
      </w:pPr>
      <w:r>
        <w:rPr>
          <w:noProof/>
        </w:rPr>
        <w:t>Si ce certificat de conformité n’est pas fourni dans ce délai, l’autorité compétente en matière de réception doit prendre les mesures appropriées pour garantir la conformité.</w:t>
      </w:r>
    </w:p>
    <w:p>
      <w:pPr>
        <w:pStyle w:val="Normal1"/>
        <w:rPr>
          <w:rFonts w:eastAsia="Arial Unicode MS"/>
          <w:noProof/>
        </w:rPr>
      </w:pPr>
      <w:r>
        <w:rPr>
          <w:rFonts w:eastAsia="Arial Unicode MS"/>
          <w:noProof/>
        </w:rPr>
        <w:pict>
          <v:rect id="_x0000_i1062" style="width:45.35pt;height:.75pt" o:hrpct="100" o:hralign="center" o:hrstd="t" o:hrnoshade="t" o:hr="t" fillcolor="black" stroked="f"/>
        </w:pict>
      </w:r>
    </w:p>
    <w:p>
      <w:pPr>
        <w:pStyle w:val="NormalCentered"/>
        <w:rPr>
          <w:i/>
          <w:noProof/>
        </w:rPr>
      </w:pPr>
    </w:p>
    <w:p>
      <w:pPr>
        <w:pStyle w:val="NormalCentered"/>
        <w:rPr>
          <w:i/>
          <w:noProof/>
        </w:rPr>
      </w:pPr>
      <w:r>
        <w:rPr>
          <w:i/>
          <w:noProof/>
        </w:rPr>
        <w:t>Appendice 1</w:t>
      </w:r>
    </w:p>
    <w:p>
      <w:pPr>
        <w:pStyle w:val="NormalCentered"/>
        <w:rPr>
          <w:noProof/>
        </w:rPr>
      </w:pPr>
      <w:r>
        <w:rPr>
          <w:noProof/>
        </w:rPr>
        <w:t>Certificat du constructeur concernant l’accès aux informations du système OBD des véhicules et aux informations sur la réparation et l’entretien des véhicules</w:t>
      </w:r>
    </w:p>
    <w:p>
      <w:pPr>
        <w:rPr>
          <w:noProof/>
        </w:rPr>
      </w:pPr>
      <w:r>
        <w:rPr>
          <w:noProof/>
        </w:rPr>
        <w:t>(Constructeur): …</w:t>
      </w:r>
    </w:p>
    <w:p>
      <w:pPr>
        <w:rPr>
          <w:noProof/>
        </w:rPr>
      </w:pPr>
      <w:r>
        <w:rPr>
          <w:noProof/>
        </w:rPr>
        <w:t>(Adresse du constructeur): …</w:t>
      </w:r>
    </w:p>
    <w:p>
      <w:pPr>
        <w:rPr>
          <w:noProof/>
        </w:rPr>
      </w:pPr>
      <w:r>
        <w:rPr>
          <w:noProof/>
        </w:rPr>
        <w:t xml:space="preserve">certifie que </w:t>
      </w:r>
    </w:p>
    <w:p>
      <w:pPr>
        <w:rPr>
          <w:noProof/>
        </w:rPr>
      </w:pPr>
      <w:r>
        <w:rPr>
          <w:noProof/>
        </w:rPr>
        <w:t>l’accès aux informations du système OBD des véhicules et aux informations sur la réparation et l’entretien des véhicules est assuré conformément aux dispositions:</w:t>
      </w:r>
    </w:p>
    <w:p>
      <w:pPr>
        <w:rPr>
          <w:strike/>
          <w:noProof/>
        </w:rPr>
      </w:pPr>
      <w:r>
        <w:rPr>
          <w:noProof/>
        </w:rPr>
        <w:t>de l’article 65 du règlement (UE) n</w:t>
      </w:r>
      <w:r>
        <w:rPr>
          <w:noProof/>
          <w:vertAlign w:val="superscript"/>
        </w:rPr>
        <w:t>o</w:t>
      </w:r>
      <w:r>
        <w:rPr>
          <w:noProof/>
        </w:rPr>
        <w:t> [......] et de l’annexe XVIII de ce règlement</w:t>
      </w:r>
    </w:p>
    <w:p>
      <w:pPr>
        <w:rPr>
          <w:noProof/>
        </w:rPr>
      </w:pPr>
      <w:r>
        <w:rPr>
          <w:noProof/>
        </w:rPr>
        <w:t>en ce qui concerne les types de véhicule, de système, de composant ou d’entité technique distincte dont la liste est jointe au présent certificat.</w:t>
      </w:r>
    </w:p>
    <w:p>
      <w:pPr>
        <w:rPr>
          <w:noProof/>
        </w:rPr>
      </w:pPr>
      <w:r>
        <w:rPr>
          <w:noProof/>
        </w:rPr>
        <w:t>Les dérogations suivantes sont appliquées: Adaptations effectuées à la demande de clients (</w:t>
      </w:r>
      <w:r>
        <w:rPr>
          <w:noProof/>
          <w:vertAlign w:val="superscript"/>
        </w:rPr>
        <w:t>13</w:t>
      </w:r>
      <w:r>
        <w:rPr>
          <w:noProof/>
        </w:rPr>
        <w:t>) — Production en petites séries (</w:t>
      </w:r>
      <w:r>
        <w:rPr>
          <w:noProof/>
          <w:vertAlign w:val="superscript"/>
        </w:rPr>
        <w:t>13</w:t>
      </w:r>
      <w:r>
        <w:rPr>
          <w:noProof/>
        </w:rPr>
        <w:t>) —.</w:t>
      </w:r>
    </w:p>
    <w:p>
      <w:pPr>
        <w:rPr>
          <w:noProof/>
        </w:rPr>
      </w:pPr>
      <w:r>
        <w:rPr>
          <w:noProof/>
        </w:rPr>
        <w:t>La liste des adresses des principaux sites web par lesquels il est possible d’accéder aux informations pertinentes et certifiées conformes à ces dispositions est jointe au présent certificat, de même que les coordonnées du mandataire du constructeur responsable qui a signé le présent certificat.</w:t>
      </w:r>
    </w:p>
    <w:p>
      <w:pPr>
        <w:rPr>
          <w:noProof/>
        </w:rPr>
      </w:pPr>
      <w:r>
        <w:rPr>
          <w:noProof/>
        </w:rPr>
        <w:t>Le cas échéant: Le constructeur certifie également qu’il s’est conformé à l’obligation, énoncée à l’article 66 du règlement (UE) n</w:t>
      </w:r>
      <w:r>
        <w:rPr>
          <w:noProof/>
          <w:vertAlign w:val="superscript"/>
        </w:rPr>
        <w:t>o</w:t>
      </w:r>
      <w:r>
        <w:rPr>
          <w:noProof/>
        </w:rPr>
        <w:t> .../201.., de fournir les informations pertinentes relatives aux réceptions antérieures de ces types de véhicule au plus tard six mois après la date de réception par type.</w:t>
      </w:r>
    </w:p>
    <w:p>
      <w:pPr>
        <w:rPr>
          <w:noProof/>
        </w:rPr>
      </w:pPr>
      <w:r>
        <w:rPr>
          <w:noProof/>
        </w:rPr>
        <w:t>Fait à …[Lieu]</w:t>
      </w:r>
    </w:p>
    <w:p>
      <w:pPr>
        <w:rPr>
          <w:noProof/>
        </w:rPr>
      </w:pPr>
      <w:r>
        <w:rPr>
          <w:noProof/>
        </w:rPr>
        <w:t>Le …[Date]</w:t>
      </w:r>
    </w:p>
    <w:p>
      <w:pPr>
        <w:rPr>
          <w:noProof/>
        </w:rPr>
      </w:pPr>
      <w:r>
        <w:rPr>
          <w:noProof/>
        </w:rPr>
        <w:t>[Signature] [Fonctions]</w:t>
      </w:r>
    </w:p>
    <w:p>
      <w:pPr>
        <w:rPr>
          <w:noProof/>
        </w:rPr>
      </w:pPr>
    </w:p>
    <w:p>
      <w:pPr>
        <w:rPr>
          <w:noProof/>
        </w:rPr>
      </w:pPr>
      <w:r>
        <w:rPr>
          <w:noProof/>
        </w:rPr>
        <w:t>Annexes:</w:t>
      </w:r>
    </w:p>
    <w:p>
      <w:pPr>
        <w:rPr>
          <w:noProof/>
        </w:rPr>
      </w:pPr>
      <w:r>
        <w:rPr>
          <w:noProof/>
        </w:rPr>
        <w:t>— Annexe A: Adresses des sites web</w:t>
      </w:r>
    </w:p>
    <w:p>
      <w:pPr>
        <w:rPr>
          <w:noProof/>
        </w:rPr>
      </w:pPr>
      <w:r>
        <w:rPr>
          <w:noProof/>
        </w:rPr>
        <w:t>— Annexe B: Coordonnées</w:t>
      </w:r>
    </w:p>
    <w:p>
      <w:pPr>
        <w:pStyle w:val="Normal1"/>
        <w:rPr>
          <w:rFonts w:eastAsia="Arial Unicode MS"/>
          <w:noProof/>
        </w:rPr>
      </w:pPr>
      <w:r>
        <w:rPr>
          <w:rFonts w:eastAsia="Arial Unicode MS"/>
          <w:noProof/>
        </w:rPr>
        <w:pict>
          <v:rect id="_x0000_i1063" style="width:45.35pt;height:.75pt" o:hrpct="100" o:hralign="center" o:hrstd="t" o:hrnoshade="t" o:hr="t" fillcolor="black" stroked="f"/>
        </w:pict>
      </w:r>
    </w:p>
    <w:p>
      <w:pPr>
        <w:pStyle w:val="NormalCentered"/>
        <w:rPr>
          <w:noProof/>
        </w:rPr>
      </w:pPr>
      <w:r>
        <w:rPr>
          <w:noProof/>
        </w:rPr>
        <w:t xml:space="preserve">ANNEXE A </w:t>
      </w:r>
    </w:p>
    <w:p>
      <w:pPr>
        <w:rPr>
          <w:noProof/>
        </w:rPr>
      </w:pPr>
      <w:r>
        <w:rPr>
          <w:noProof/>
        </w:rPr>
        <w:t>Adresses des sites web visés dans le présent certificat</w:t>
      </w:r>
    </w:p>
    <w:p>
      <w:pPr>
        <w:pStyle w:val="Normal1"/>
        <w:rPr>
          <w:rFonts w:eastAsia="Arial Unicode MS"/>
          <w:noProof/>
        </w:rPr>
      </w:pPr>
      <w:r>
        <w:rPr>
          <w:rFonts w:eastAsia="Arial Unicode MS"/>
          <w:noProof/>
        </w:rPr>
        <w:pict>
          <v:rect id="_x0000_i1064" style="width:45.35pt;height:.75pt" o:hrpct="100" o:hralign="center" o:hrstd="t" o:hrnoshade="t" o:hr="t" fillcolor="black" stroked="f"/>
        </w:pict>
      </w:r>
    </w:p>
    <w:p>
      <w:pPr>
        <w:pStyle w:val="NormalCentered"/>
        <w:rPr>
          <w:noProof/>
        </w:rPr>
      </w:pPr>
      <w:r>
        <w:rPr>
          <w:noProof/>
        </w:rPr>
        <w:t>ANNEXE B</w:t>
      </w:r>
    </w:p>
    <w:p>
      <w:pPr>
        <w:rPr>
          <w:noProof/>
        </w:rPr>
      </w:pPr>
      <w:r>
        <w:rPr>
          <w:noProof/>
        </w:rPr>
        <w:t>Coordonnées du mandataire du constructeur mentionné dans le présent certificat</w:t>
      </w:r>
    </w:p>
    <w:p>
      <w:pPr>
        <w:pStyle w:val="Normal1"/>
        <w:rPr>
          <w:rFonts w:eastAsia="Arial Unicode MS"/>
          <w:noProof/>
        </w:rPr>
      </w:pPr>
      <w:r>
        <w:rPr>
          <w:rFonts w:eastAsia="Arial Unicode MS"/>
          <w:noProof/>
        </w:rPr>
        <w:pict>
          <v:rect id="_x0000_i1065"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Appendice 2</w:t>
      </w:r>
    </w:p>
    <w:p>
      <w:pPr>
        <w:pStyle w:val="NormalCentered"/>
        <w:rPr>
          <w:noProof/>
        </w:rPr>
      </w:pPr>
      <w:r>
        <w:rPr>
          <w:noProof/>
        </w:rPr>
        <w:t>Informations du système OBD des véhicules</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42" w:type="pct"/>
            <w:hideMark/>
          </w:tcPr>
          <w:p>
            <w:pPr>
              <w:pStyle w:val="Normal1"/>
              <w:rPr>
                <w:rFonts w:eastAsia="Arial Unicode MS"/>
                <w:noProof/>
              </w:rPr>
            </w:pPr>
            <w:r>
              <w:rPr>
                <w:noProof/>
              </w:rPr>
              <w:t>1.</w:t>
            </w:r>
          </w:p>
        </w:tc>
        <w:tc>
          <w:tcPr>
            <w:tcW w:w="4758" w:type="pct"/>
            <w:hideMark/>
          </w:tcPr>
          <w:p>
            <w:pPr>
              <w:pStyle w:val="Normal1"/>
              <w:rPr>
                <w:rFonts w:eastAsia="Arial Unicode MS"/>
                <w:noProof/>
              </w:rPr>
            </w:pPr>
            <w:r>
              <w:rPr>
                <w:noProof/>
              </w:rPr>
              <w:t>Le constructeur du véhicule doit fournir les informations requises dans le présent appendice afin de permettre la fabrication de pièces de rechange ou d’entretien, d’outils de diagnostic et de matériel d’essai compatibles avec le système OBD.</w:t>
            </w:r>
          </w:p>
        </w:tc>
      </w:tr>
      <w:tr>
        <w:trPr>
          <w:tblCellSpacing w:w="0" w:type="dxa"/>
        </w:trPr>
        <w:tc>
          <w:tcPr>
            <w:tcW w:w="0" w:type="auto"/>
            <w:hideMark/>
          </w:tcPr>
          <w:p>
            <w:pPr>
              <w:pStyle w:val="Normal1"/>
              <w:rPr>
                <w:rFonts w:eastAsia="Arial Unicode MS"/>
                <w:noProof/>
              </w:rPr>
            </w:pPr>
            <w:r>
              <w:rPr>
                <w:noProof/>
              </w:rPr>
              <w:t>2.</w:t>
            </w:r>
          </w:p>
        </w:tc>
        <w:tc>
          <w:tcPr>
            <w:tcW w:w="4758" w:type="pct"/>
            <w:hideMark/>
          </w:tcPr>
          <w:p>
            <w:pPr>
              <w:pStyle w:val="Normal1"/>
              <w:rPr>
                <w:rFonts w:eastAsia="Arial Unicode MS"/>
                <w:noProof/>
              </w:rPr>
            </w:pPr>
            <w:r>
              <w:rPr>
                <w:noProof/>
              </w:rPr>
              <w:t>Sur demande, les informations suivantes sont communiquées, de façon non discriminatoire, à tout fabricant intéressé de composants, d’outils de diagnostic ou de matériel d’essai:</w:t>
            </w:r>
          </w:p>
          <w:p>
            <w:pPr>
              <w:pStyle w:val="Normal1"/>
              <w:ind w:left="529" w:hanging="529"/>
              <w:rPr>
                <w:rFonts w:eastAsia="Arial Unicode MS"/>
                <w:noProof/>
              </w:rPr>
            </w:pPr>
            <w:r>
              <w:rPr>
                <w:noProof/>
              </w:rPr>
              <w:t>2.1.</w:t>
            </w:r>
            <w:r>
              <w:rPr>
                <w:noProof/>
              </w:rPr>
              <w:tab/>
              <w:t>une description du type et du nombre de cycles de préconditionnement utilisés pour la réception par type initiale du véhicule;</w:t>
            </w:r>
          </w:p>
          <w:p>
            <w:pPr>
              <w:pStyle w:val="Normal1"/>
              <w:ind w:left="529" w:hanging="529"/>
              <w:rPr>
                <w:rFonts w:eastAsia="Arial Unicode MS"/>
                <w:noProof/>
              </w:rPr>
            </w:pPr>
            <w:r>
              <w:rPr>
                <w:noProof/>
              </w:rPr>
              <w:t>2.2.</w:t>
            </w:r>
            <w:r>
              <w:rPr>
                <w:noProof/>
              </w:rPr>
              <w:tab/>
              <w:t>une description du type de cycle de démonstration du système OBD utilisé pour la réception par type initiale du véhicule en ce qui concerne le composant contrôlé par le système OBD;</w:t>
            </w:r>
          </w:p>
          <w:p>
            <w:pPr>
              <w:pStyle w:val="Normal1"/>
              <w:ind w:left="529" w:hanging="529"/>
              <w:rPr>
                <w:rFonts w:eastAsia="Arial Unicode MS"/>
                <w:noProof/>
              </w:rPr>
            </w:pPr>
            <w:r>
              <w:rPr>
                <w:noProof/>
              </w:rPr>
              <w:t>2.3.</w:t>
            </w:r>
            <w:r>
              <w:rPr>
                <w:noProof/>
              </w:rPr>
              <w:tab/>
              <w:t>un document exhaustif de tous les composants surveillés, ainsi que la stratégie de détection des défauts et d’activation de l’indicateur MI (nombre fixe de cycles de conduite ou méthode statistique), y compris la liste des paramètres secondaires pertinents mesurés pour chacun des composants contrôlés par le système OBD et une liste de tous les codes de sortie et formats OBD (accompagnée d’une explication de chaque code et format) utilisés pour les différents composants du groupe propulseur relatifs aux émissions ainsi que pour les différents composants non liés aux émissions, lorsque la surveillance du composant concerné intervient dans l’activation de l’indicateur MI. En particulier, dans le cas des types de véhicule qui utilisent une liaison de communication conforme à la norme ISO 15765-4 «Véhicules routiers – Systèmes de diagnostic sur CAN – Partie 4: Exigences pour les systèmes relatifs aux émissions», le constructeur doit fournir une explication exhaustive des données correspondant au service $ 05 test ID $ 21 à FF et des données correspondant au service $ 06, ainsi qu’une explication exhaustive des données correspondant au service $06 (test ID $00 à FF), pour chaque ID de moniteur OBD supportée.</w:t>
            </w:r>
            <w:r>
              <w:rPr>
                <w:noProof/>
              </w:rPr>
              <w:tab/>
            </w:r>
          </w:p>
          <w:p>
            <w:pPr>
              <w:pStyle w:val="Normal1"/>
              <w:rPr>
                <w:rFonts w:eastAsia="Arial Unicode MS"/>
                <w:noProof/>
              </w:rPr>
            </w:pPr>
            <w:r>
              <w:rPr>
                <w:noProof/>
              </w:rPr>
              <w:t>Dans le cas où d’autres normes de protocoles de communication sont utilisés, une explication exhaustive équivalente doit être fournie.</w:t>
            </w:r>
          </w:p>
          <w:p>
            <w:pPr>
              <w:pStyle w:val="Normal1"/>
              <w:rPr>
                <w:rFonts w:eastAsia="Arial Unicode MS"/>
                <w:noProof/>
              </w:rPr>
            </w:pPr>
            <w:r>
              <w:rPr>
                <w:noProof/>
              </w:rPr>
              <w:t>Ces informations peuvent être fournies sous la forme d’un tableau dont les intitulés des colonnes et des rangées sont les suivants:</w:t>
            </w:r>
          </w:p>
          <w:p>
            <w:pPr>
              <w:pStyle w:val="Normal1"/>
              <w:rPr>
                <w:rFonts w:eastAsia="Arial Unicode MS"/>
                <w:noProof/>
              </w:rPr>
            </w:pPr>
            <w:r>
              <w:rPr>
                <w:noProof/>
              </w:rPr>
              <w:t>Composant – Code d’anomalie – Stratégie de surveillance – Critères de détection des anomalies – Critère d’activation MI – Paramètres secondaires – Préconditionnement – Essai de démonstration</w:t>
            </w:r>
          </w:p>
          <w:p>
            <w:pPr>
              <w:pStyle w:val="Normal1"/>
              <w:rPr>
                <w:rFonts w:eastAsia="Arial Unicode MS"/>
                <w:noProof/>
              </w:rPr>
            </w:pPr>
            <w:r>
              <w:rPr>
                <w:noProof/>
              </w:rPr>
              <w:t>Catalyseur – P0420 – Signaux des capteurs d’oxygène 1 et 2 – Différence entre les signaux des capteurs 1 et 2 – 3</w:t>
            </w:r>
            <w:r>
              <w:rPr>
                <w:noProof/>
                <w:vertAlign w:val="superscript"/>
              </w:rPr>
              <w:t>e</w:t>
            </w:r>
            <w:r>
              <w:rPr>
                <w:noProof/>
              </w:rPr>
              <w:t xml:space="preserve"> cycle – Régime du moteur, charge du moteur, mode A/F, température du catalyseur – Deux cycles de type 1 – Type 1</w:t>
            </w:r>
          </w:p>
        </w:tc>
      </w:tr>
      <w:tr>
        <w:trPr>
          <w:tblCellSpacing w:w="0" w:type="dxa"/>
        </w:trPr>
        <w:tc>
          <w:tcPr>
            <w:tcW w:w="0" w:type="auto"/>
            <w:hideMark/>
          </w:tcPr>
          <w:p>
            <w:pPr>
              <w:pStyle w:val="Normal1"/>
              <w:rPr>
                <w:rFonts w:eastAsia="Arial Unicode MS"/>
                <w:noProof/>
              </w:rPr>
            </w:pPr>
            <w:r>
              <w:rPr>
                <w:noProof/>
              </w:rPr>
              <w:t>3.</w:t>
            </w:r>
          </w:p>
        </w:tc>
        <w:tc>
          <w:tcPr>
            <w:tcW w:w="0" w:type="auto"/>
            <w:hideMark/>
          </w:tcPr>
          <w:p>
            <w:pPr>
              <w:pStyle w:val="Normal1"/>
              <w:rPr>
                <w:rFonts w:eastAsia="Arial Unicode MS"/>
                <w:noProof/>
              </w:rPr>
            </w:pPr>
            <w:r>
              <w:rPr>
                <w:noProof/>
              </w:rPr>
              <w:t xml:space="preserve">Informations à fournir pour la fabrication d’outils de diagnostic </w:t>
            </w:r>
          </w:p>
          <w:p>
            <w:pPr>
              <w:pStyle w:val="Normal1"/>
              <w:rPr>
                <w:rFonts w:eastAsia="Arial Unicode MS"/>
                <w:noProof/>
              </w:rPr>
            </w:pPr>
            <w:r>
              <w:rPr>
                <w:noProof/>
              </w:rPr>
              <w:t>Afin de faciliter la fourniture d’outils de diagnostic génériques aux réparateurs multi-marques, les constructeurs de véhicules communiquent les informations visées aux points 3.1, 3.2 et 3.3 sur leurs sites web contenant les informations sur la réparation. Ces informations incluent toutes les fonctions des outils de diagnostic et tous les liens vers des instructions de dépannage et des informations en matière de réparation. Des frais raisonnables peuvent être facturés pour l’accès à ces informations.</w:t>
            </w:r>
          </w:p>
          <w:p>
            <w:pPr>
              <w:pStyle w:val="Normal1"/>
              <w:rPr>
                <w:rFonts w:eastAsia="Arial Unicode MS"/>
                <w:noProof/>
              </w:rPr>
            </w:pPr>
            <w:r>
              <w:rPr>
                <w:noProof/>
              </w:rPr>
              <w:t xml:space="preserve">3.1. </w:t>
            </w:r>
            <w:r>
              <w:rPr>
                <w:i/>
                <w:noProof/>
              </w:rPr>
              <w:t>Informations concernant le protocole de communication</w:t>
            </w:r>
          </w:p>
          <w:p>
            <w:pPr>
              <w:pStyle w:val="Normal1"/>
              <w:ind w:left="412"/>
              <w:rPr>
                <w:rFonts w:eastAsia="Arial Unicode MS"/>
                <w:noProof/>
              </w:rPr>
            </w:pPr>
            <w:r>
              <w:rPr>
                <w:noProof/>
              </w:rPr>
              <w:t>Les informations suivantes sont requises, indexées selon la marque, le modèle et la variante du véhicule, ou une autre définition valable telle que le VIN du véhicule ou l’identification du véhicule et des systèmes:</w:t>
            </w:r>
          </w:p>
          <w:p>
            <w:pPr>
              <w:pStyle w:val="Normal1"/>
              <w:ind w:left="1262" w:hanging="850"/>
              <w:rPr>
                <w:rFonts w:eastAsia="Arial Unicode MS"/>
                <w:noProof/>
              </w:rPr>
            </w:pPr>
            <w:r>
              <w:rPr>
                <w:noProof/>
              </w:rPr>
              <w:t>3.1.1.</w:t>
            </w:r>
            <w:r>
              <w:rPr>
                <w:noProof/>
              </w:rPr>
              <w:tab/>
              <w:t>tout système supplémentaire d’information sur le protocole de communication permettant des diagnostics complets, en complément des normes prescrites au paragraphe 4.7.3 de l’annexe 9B du règlement n</w:t>
            </w:r>
            <w:r>
              <w:rPr>
                <w:noProof/>
                <w:vertAlign w:val="superscript"/>
              </w:rPr>
              <w:t>o</w:t>
            </w:r>
            <w:r>
              <w:rPr>
                <w:noProof/>
              </w:rPr>
              <w:t> 49 de la CEE-ONU, y compris toute information supplémentaire sur le protocole concernant le logiciel ou le matériel, l’identification des paramètres, les fonctions de transfert, les exigences de maintien sous tension ou les conditions d’erreur;</w:t>
            </w:r>
          </w:p>
          <w:p>
            <w:pPr>
              <w:pStyle w:val="Normal1"/>
              <w:ind w:left="1262" w:hanging="850"/>
              <w:rPr>
                <w:rFonts w:eastAsia="Arial Unicode MS"/>
                <w:noProof/>
              </w:rPr>
            </w:pPr>
            <w:r>
              <w:rPr>
                <w:noProof/>
              </w:rPr>
              <w:t>3.1.2.</w:t>
            </w:r>
            <w:r>
              <w:rPr>
                <w:noProof/>
              </w:rPr>
              <w:tab/>
              <w:t>des renseignements détaillés sur le mode d’obtention et d’interprétation de tous les codes de défaut non conformes aux normes prescrites au paragraphe 4.7.3 de l’annexe 9B du règlement n</w:t>
            </w:r>
            <w:r>
              <w:rPr>
                <w:noProof/>
                <w:vertAlign w:val="superscript"/>
              </w:rPr>
              <w:t>o</w:t>
            </w:r>
            <w:r>
              <w:rPr>
                <w:noProof/>
              </w:rPr>
              <w:t> 49 de la CEE-ONU;</w:t>
            </w:r>
          </w:p>
          <w:p>
            <w:pPr>
              <w:pStyle w:val="Normal1"/>
              <w:ind w:left="1262" w:hanging="850"/>
              <w:rPr>
                <w:rFonts w:eastAsia="Arial Unicode MS"/>
                <w:noProof/>
              </w:rPr>
            </w:pPr>
            <w:r>
              <w:rPr>
                <w:noProof/>
              </w:rPr>
              <w:t>3.1.3.</w:t>
            </w:r>
            <w:r>
              <w:rPr>
                <w:noProof/>
              </w:rPr>
              <w:tab/>
              <w:t>une liste de tous les paramètres de données réelles disponibles, y compris les informations d’accès et d’échelle;</w:t>
            </w:r>
          </w:p>
          <w:p>
            <w:pPr>
              <w:pStyle w:val="Normal1"/>
              <w:ind w:left="1262" w:hanging="850"/>
              <w:rPr>
                <w:rFonts w:eastAsia="Arial Unicode MS"/>
                <w:noProof/>
              </w:rPr>
            </w:pPr>
            <w:r>
              <w:rPr>
                <w:noProof/>
              </w:rPr>
              <w:t>3.1.4.</w:t>
            </w:r>
            <w:r>
              <w:rPr>
                <w:noProof/>
              </w:rPr>
              <w:tab/>
              <w:t>une liste de tous les essais fonctionnels disponibles, y compris l’activation ou la commande de dispositifs et les moyens de les mettre en œuvre;</w:t>
            </w:r>
          </w:p>
          <w:p>
            <w:pPr>
              <w:pStyle w:val="Normal1"/>
              <w:ind w:left="1262" w:hanging="850"/>
              <w:rPr>
                <w:rFonts w:eastAsia="Arial Unicode MS"/>
                <w:noProof/>
              </w:rPr>
            </w:pPr>
            <w:r>
              <w:rPr>
                <w:noProof/>
              </w:rPr>
              <w:t>3.1.5.</w:t>
            </w:r>
            <w:r>
              <w:rPr>
                <w:noProof/>
              </w:rPr>
              <w:tab/>
              <w:t>des renseignements détaillés sur la façon d’obtenir toutes les informations sur les composants et leur état de fonctionnement, l’horodatage, les codes de diagnostic d’anomalie en attente et les trames fixes;</w:t>
            </w:r>
          </w:p>
          <w:p>
            <w:pPr>
              <w:pStyle w:val="Normal1"/>
              <w:ind w:left="1262" w:hanging="850"/>
              <w:rPr>
                <w:rFonts w:eastAsia="Arial Unicode MS"/>
                <w:noProof/>
              </w:rPr>
            </w:pPr>
            <w:r>
              <w:rPr>
                <w:noProof/>
              </w:rPr>
              <w:t>3.1.6.</w:t>
            </w:r>
            <w:r>
              <w:rPr>
                <w:noProof/>
              </w:rPr>
              <w:tab/>
              <w:t>la remise à l’état initial des paramètres d’apprentissage adaptatif, du codage de variantes, du réglage de composants de rechange et des préférences de la clientèle;</w:t>
            </w:r>
          </w:p>
          <w:p>
            <w:pPr>
              <w:pStyle w:val="Normal1"/>
              <w:ind w:left="1262" w:hanging="850"/>
              <w:rPr>
                <w:rFonts w:eastAsia="Arial Unicode MS"/>
                <w:noProof/>
              </w:rPr>
            </w:pPr>
            <w:r>
              <w:rPr>
                <w:noProof/>
              </w:rPr>
              <w:t>3.1.7.</w:t>
            </w:r>
            <w:r>
              <w:rPr>
                <w:noProof/>
              </w:rPr>
              <w:tab/>
              <w:t>l’identification des unités de commande électronique et le codage de variantes;</w:t>
            </w:r>
          </w:p>
          <w:p>
            <w:pPr>
              <w:pStyle w:val="Normal1"/>
              <w:ind w:left="1262" w:hanging="850"/>
              <w:rPr>
                <w:rFonts w:eastAsia="Arial Unicode MS"/>
                <w:noProof/>
              </w:rPr>
            </w:pPr>
            <w:r>
              <w:rPr>
                <w:noProof/>
              </w:rPr>
              <w:t>3.1.8.</w:t>
            </w:r>
            <w:r>
              <w:rPr>
                <w:noProof/>
              </w:rPr>
              <w:tab/>
              <w:t>des informations détaillées sur les modalités de remise en position initiale des voyants de service;</w:t>
            </w:r>
          </w:p>
          <w:p>
            <w:pPr>
              <w:pStyle w:val="Normal1"/>
              <w:ind w:left="1262" w:hanging="850"/>
              <w:rPr>
                <w:rFonts w:eastAsia="Arial Unicode MS"/>
                <w:noProof/>
              </w:rPr>
            </w:pPr>
            <w:r>
              <w:rPr>
                <w:noProof/>
              </w:rPr>
              <w:t>3.1.9.</w:t>
            </w:r>
            <w:r>
              <w:rPr>
                <w:noProof/>
              </w:rPr>
              <w:tab/>
              <w:t>l’emplacement du connecteur de diagnostic et des informations détaillées sur celui-ci;</w:t>
            </w:r>
          </w:p>
          <w:p>
            <w:pPr>
              <w:pStyle w:val="Normal1"/>
              <w:ind w:left="1262" w:hanging="850"/>
              <w:rPr>
                <w:rFonts w:eastAsia="Arial Unicode MS"/>
                <w:noProof/>
              </w:rPr>
            </w:pPr>
            <w:r>
              <w:rPr>
                <w:noProof/>
              </w:rPr>
              <w:t>3.1.10.</w:t>
            </w:r>
            <w:r>
              <w:rPr>
                <w:noProof/>
              </w:rPr>
              <w:tab/>
              <w:t>l’identification du code moteur.</w:t>
            </w:r>
          </w:p>
          <w:p>
            <w:pPr>
              <w:pStyle w:val="Normal1"/>
              <w:rPr>
                <w:rFonts w:eastAsia="Arial Unicode MS"/>
                <w:noProof/>
              </w:rPr>
            </w:pPr>
            <w:r>
              <w:rPr>
                <w:noProof/>
              </w:rPr>
              <w:t xml:space="preserve">3.2. </w:t>
            </w:r>
            <w:r>
              <w:rPr>
                <w:i/>
                <w:noProof/>
              </w:rPr>
              <w:t>Essai et diagnostic des composants surveillés par le système OBD</w:t>
            </w:r>
          </w:p>
          <w:p>
            <w:pPr>
              <w:pStyle w:val="Normal1"/>
              <w:ind w:left="412"/>
              <w:rPr>
                <w:rFonts w:eastAsia="Arial Unicode MS"/>
                <w:noProof/>
              </w:rPr>
            </w:pPr>
            <w:r>
              <w:rPr>
                <w:noProof/>
              </w:rPr>
              <w:t>Les informations suivantes sont requises:</w:t>
            </w:r>
          </w:p>
          <w:p>
            <w:pPr>
              <w:pStyle w:val="Normal1"/>
              <w:ind w:left="1262" w:hanging="850"/>
              <w:rPr>
                <w:rFonts w:eastAsia="Arial Unicode MS"/>
                <w:noProof/>
              </w:rPr>
            </w:pPr>
            <w:r>
              <w:rPr>
                <w:noProof/>
              </w:rPr>
              <w:t>3.2.1.</w:t>
            </w:r>
            <w:r>
              <w:rPr>
                <w:noProof/>
              </w:rPr>
              <w:tab/>
              <w:t>la description des essais visant à confirmer la fonctionnalité, au niveau du composant ou du faisceau de câbles;</w:t>
            </w:r>
          </w:p>
          <w:p>
            <w:pPr>
              <w:pStyle w:val="Normal1"/>
              <w:ind w:left="1262" w:hanging="850"/>
              <w:rPr>
                <w:rFonts w:eastAsia="Arial Unicode MS"/>
                <w:noProof/>
              </w:rPr>
            </w:pPr>
            <w:r>
              <w:rPr>
                <w:noProof/>
              </w:rPr>
              <w:t>3.2.2.</w:t>
            </w:r>
            <w:r>
              <w:rPr>
                <w:noProof/>
              </w:rPr>
              <w:tab/>
              <w:t>des informations concernant la procédure d’essai, y compris les paramètres d’essai et les renseignements sur le composant;</w:t>
            </w:r>
          </w:p>
          <w:p>
            <w:pPr>
              <w:pStyle w:val="Normal1"/>
              <w:ind w:left="1262" w:hanging="850"/>
              <w:rPr>
                <w:rFonts w:eastAsia="Arial Unicode MS"/>
                <w:noProof/>
              </w:rPr>
            </w:pPr>
            <w:r>
              <w:rPr>
                <w:noProof/>
              </w:rPr>
              <w:t>3.2.3</w:t>
            </w:r>
            <w:r>
              <w:rPr>
                <w:noProof/>
              </w:rPr>
              <w:tab/>
              <w:t>les renseignements détaillés sur la connexion, y compris les valeurs minimales et maximales d’entrée, de sortie, de commande et de charge;</w:t>
            </w:r>
          </w:p>
          <w:p>
            <w:pPr>
              <w:pStyle w:val="Normal1"/>
              <w:ind w:left="1262" w:hanging="850"/>
              <w:rPr>
                <w:rFonts w:eastAsia="Arial Unicode MS"/>
                <w:noProof/>
              </w:rPr>
            </w:pPr>
            <w:r>
              <w:rPr>
                <w:noProof/>
              </w:rPr>
              <w:t>3.2.4.</w:t>
            </w:r>
            <w:r>
              <w:rPr>
                <w:noProof/>
              </w:rPr>
              <w:tab/>
              <w:t>les valeurs attendues dans certaines conditions de conduite, y compris au ralenti;</w:t>
            </w:r>
          </w:p>
          <w:p>
            <w:pPr>
              <w:pStyle w:val="Normal1"/>
              <w:ind w:left="1262" w:hanging="850"/>
              <w:rPr>
                <w:rFonts w:eastAsia="Arial Unicode MS"/>
                <w:noProof/>
              </w:rPr>
            </w:pPr>
            <w:r>
              <w:rPr>
                <w:noProof/>
              </w:rPr>
              <w:t>3.2.5.</w:t>
            </w:r>
            <w:r>
              <w:rPr>
                <w:noProof/>
              </w:rPr>
              <w:tab/>
              <w:t>les valeurs électriques pour le composant dans ses états statique et dynamique;</w:t>
            </w:r>
          </w:p>
          <w:p>
            <w:pPr>
              <w:pStyle w:val="Normal1"/>
              <w:ind w:left="1262" w:hanging="850"/>
              <w:rPr>
                <w:rFonts w:eastAsia="Arial Unicode MS"/>
                <w:noProof/>
              </w:rPr>
            </w:pPr>
            <w:r>
              <w:rPr>
                <w:noProof/>
              </w:rPr>
              <w:t>3.2.6.</w:t>
            </w:r>
            <w:r>
              <w:rPr>
                <w:noProof/>
              </w:rPr>
              <w:tab/>
              <w:t>les valeurs des modes de défaillance pour chacun des scénarios;</w:t>
            </w:r>
          </w:p>
          <w:p>
            <w:pPr>
              <w:pStyle w:val="Normal1"/>
              <w:ind w:left="1262" w:hanging="850"/>
              <w:rPr>
                <w:rFonts w:eastAsia="Arial Unicode MS"/>
                <w:noProof/>
              </w:rPr>
            </w:pPr>
            <w:r>
              <w:rPr>
                <w:noProof/>
              </w:rPr>
              <w:t>3.2.7.</w:t>
            </w:r>
            <w:r>
              <w:rPr>
                <w:noProof/>
              </w:rPr>
              <w:tab/>
              <w:t>les séquences de diagnostic des modes de défaillance, y compris l’élimination par arbres de défaillances et le diagnostic guidé.</w:t>
            </w:r>
          </w:p>
          <w:p>
            <w:pPr>
              <w:pStyle w:val="Normal1"/>
              <w:rPr>
                <w:rFonts w:eastAsia="Arial Unicode MS"/>
                <w:noProof/>
              </w:rPr>
            </w:pPr>
            <w:r>
              <w:rPr>
                <w:noProof/>
              </w:rPr>
              <w:t xml:space="preserve">3.3. </w:t>
            </w:r>
            <w:r>
              <w:rPr>
                <w:i/>
                <w:noProof/>
              </w:rPr>
              <w:t>Données requises pour les réparations</w:t>
            </w:r>
          </w:p>
          <w:p>
            <w:pPr>
              <w:pStyle w:val="Normal1"/>
              <w:ind w:left="412"/>
              <w:rPr>
                <w:rFonts w:eastAsia="Arial Unicode MS"/>
                <w:noProof/>
              </w:rPr>
            </w:pPr>
            <w:r>
              <w:rPr>
                <w:noProof/>
              </w:rPr>
              <w:t>Les informations suivantes sont requises:</w:t>
            </w:r>
          </w:p>
          <w:p>
            <w:pPr>
              <w:pStyle w:val="Normal1"/>
              <w:ind w:left="1262" w:hanging="850"/>
              <w:rPr>
                <w:rFonts w:eastAsia="Arial Unicode MS"/>
                <w:noProof/>
              </w:rPr>
            </w:pPr>
            <w:r>
              <w:rPr>
                <w:noProof/>
              </w:rPr>
              <w:t>3.3.1.</w:t>
            </w:r>
            <w:r>
              <w:rPr>
                <w:noProof/>
              </w:rPr>
              <w:tab/>
              <w:t>initialisation des unités de commande électroniques et des composants (dans le cas du montage de pièces de rechange);</w:t>
            </w:r>
          </w:p>
          <w:p>
            <w:pPr>
              <w:pStyle w:val="Normal1"/>
              <w:ind w:left="1262" w:hanging="850"/>
              <w:rPr>
                <w:rFonts w:eastAsia="Arial Unicode MS"/>
                <w:noProof/>
              </w:rPr>
            </w:pPr>
            <w:r>
              <w:rPr>
                <w:noProof/>
              </w:rPr>
              <w:t>3.3.2.</w:t>
            </w:r>
            <w:r>
              <w:rPr>
                <w:noProof/>
              </w:rPr>
              <w:tab/>
              <w:t>initialisation de nouvelles unités de commande électroniques ou d’unités ECU de rechange, le cas échéant, en appliquant les techniques de (re)programmation par transfert.</w:t>
            </w:r>
          </w:p>
        </w:tc>
      </w:tr>
    </w:tbl>
    <w:p>
      <w:pPr>
        <w:rPr>
          <w:noProof/>
        </w:rPr>
      </w:pPr>
      <w:r>
        <w:rPr>
          <w:noProof/>
        </w:rPr>
        <w:br w:type="page"/>
      </w:r>
    </w:p>
    <w:p>
      <w:pPr>
        <w:pStyle w:val="Annexetitre"/>
        <w:rPr>
          <w:noProof/>
        </w:rPr>
      </w:pPr>
      <w:r>
        <w:rPr>
          <w:noProof/>
        </w:rPr>
        <w:t>ANNEXE XIX</w:t>
      </w:r>
    </w:p>
    <w:p>
      <w:pPr>
        <w:jc w:val="center"/>
        <w:rPr>
          <w:rFonts w:eastAsia="Arial Unicode MS"/>
          <w:b/>
          <w:bCs/>
          <w:noProof/>
          <w:szCs w:val="24"/>
        </w:rPr>
      </w:pPr>
      <w:r>
        <w:rPr>
          <w:b/>
          <w:noProof/>
        </w:rPr>
        <w:t>TABLEAU DE CORRESPONDANCE</w:t>
      </w:r>
    </w:p>
    <w:p>
      <w:pPr>
        <w:spacing w:before="360"/>
        <w:jc w:val="left"/>
        <w:rPr>
          <w:rFonts w:eastAsia="Arial Unicode MS"/>
          <w:bCs/>
          <w:noProof/>
          <w:szCs w:val="24"/>
        </w:rPr>
      </w:pPr>
      <w:r>
        <w:rPr>
          <w:noProof/>
        </w:rPr>
        <w:t>1.</w:t>
      </w:r>
      <w:r>
        <w:rPr>
          <w:noProof/>
        </w:rPr>
        <w:tab/>
        <w:t>Règlement (CE) n</w:t>
      </w:r>
      <w:r>
        <w:rPr>
          <w:noProof/>
          <w:vertAlign w:val="superscript"/>
        </w:rPr>
        <w:t>o</w:t>
      </w:r>
      <w:r>
        <w:rPr>
          <w:noProof/>
        </w:rPr>
        <w:t> 715/2007</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Règlement (CE) n</w:t>
            </w:r>
            <w:r>
              <w:rPr>
                <w:noProof/>
                <w:sz w:val="20"/>
                <w:vertAlign w:val="superscript"/>
              </w:rPr>
              <w:t>o</w:t>
            </w:r>
            <w:r>
              <w:rPr>
                <w:noProof/>
                <w:sz w:val="20"/>
              </w:rPr>
              <w:t> 715/2007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Le présent règlement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Article 1</w:t>
            </w:r>
            <w:r>
              <w:rPr>
                <w:noProof/>
                <w:sz w:val="20"/>
                <w:vertAlign w:val="superscript"/>
              </w:rPr>
              <w:t>er</w:t>
            </w:r>
            <w:r>
              <w:rPr>
                <w:noProof/>
                <w:sz w:val="20"/>
              </w:rPr>
              <w:t>, paragraphe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94, paragraphe 1, point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3, points 14 et 15</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3, points 48 et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Article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13, paragraphe 2, point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92, paragraphe 2, point e)</w:t>
            </w:r>
          </w:p>
        </w:tc>
      </w:tr>
    </w:tbl>
    <w:p>
      <w:pPr>
        <w:spacing w:before="360"/>
        <w:jc w:val="left"/>
        <w:rPr>
          <w:rFonts w:eastAsia="Arial Unicode MS"/>
          <w:bCs/>
          <w:noProof/>
          <w:szCs w:val="24"/>
        </w:rPr>
      </w:pPr>
      <w:r>
        <w:rPr>
          <w:noProof/>
        </w:rPr>
        <w:t>2.</w:t>
      </w:r>
      <w:r>
        <w:rPr>
          <w:noProof/>
        </w:rPr>
        <w:tab/>
        <w:t>Règlement (CE) n</w:t>
      </w:r>
      <w:r>
        <w:rPr>
          <w:noProof/>
          <w:vertAlign w:val="superscript"/>
        </w:rPr>
        <w:t>o</w:t>
      </w:r>
      <w:r>
        <w:rPr>
          <w:noProof/>
        </w:rPr>
        <w:t> 595/2009</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Règlement (CE) n</w:t>
            </w:r>
            <w:r>
              <w:rPr>
                <w:noProof/>
                <w:sz w:val="20"/>
                <w:vertAlign w:val="superscript"/>
              </w:rPr>
              <w:t>o</w:t>
            </w:r>
            <w:r>
              <w:rPr>
                <w:noProof/>
                <w:sz w:val="20"/>
              </w:rPr>
              <w:t> 595/2009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Le présent règlement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Article 1</w:t>
            </w:r>
            <w:r>
              <w:rPr>
                <w:noProof/>
                <w:sz w:val="20"/>
                <w:vertAlign w:val="superscript"/>
              </w:rPr>
              <w:t>er</w:t>
            </w:r>
            <w:r>
              <w:rPr>
                <w:noProof/>
                <w:sz w:val="20"/>
              </w:rPr>
              <w:t>, deuxième paragraphe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95, paragraphe 1, point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3, points 11 et 13</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3, points 48 et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Article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11, paragraphe 2, point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92, paragraphe 2, point e)</w:t>
            </w:r>
          </w:p>
        </w:tc>
      </w:tr>
    </w:tbl>
    <w:p>
      <w:pPr>
        <w:spacing w:before="360"/>
        <w:jc w:val="left"/>
        <w:rPr>
          <w:rFonts w:eastAsia="Arial Unicode MS"/>
          <w:bCs/>
          <w:noProof/>
          <w:szCs w:val="24"/>
        </w:rPr>
      </w:pPr>
      <w:r>
        <w:rPr>
          <w:noProof/>
        </w:rPr>
        <w:t>3.</w:t>
      </w:r>
      <w:r>
        <w:rPr>
          <w:noProof/>
        </w:rPr>
        <w:tab/>
        <w:t>Règlement (UE) n</w:t>
      </w:r>
      <w:r>
        <w:rPr>
          <w:noProof/>
          <w:vertAlign w:val="superscript"/>
        </w:rPr>
        <w:t>o</w:t>
      </w:r>
      <w:r>
        <w:rPr>
          <w:noProof/>
        </w:rPr>
        <w:t> 692/2008</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Règlement (UE) n</w:t>
            </w:r>
            <w:r>
              <w:rPr>
                <w:noProof/>
                <w:sz w:val="20"/>
                <w:vertAlign w:val="superscript"/>
              </w:rPr>
              <w:t>o</w:t>
            </w:r>
            <w:r>
              <w:rPr>
                <w:noProof/>
                <w:sz w:val="20"/>
              </w:rPr>
              <w:t> 692/2008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Le présent règlement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Annexe XIV</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Annexe XVIII</w:t>
            </w:r>
          </w:p>
        </w:tc>
      </w:tr>
    </w:tbl>
    <w:p>
      <w:pPr>
        <w:spacing w:before="360"/>
        <w:jc w:val="left"/>
        <w:rPr>
          <w:rFonts w:eastAsia="Arial Unicode MS"/>
          <w:bCs/>
          <w:noProof/>
          <w:szCs w:val="24"/>
        </w:rPr>
      </w:pPr>
      <w:r>
        <w:rPr>
          <w:noProof/>
        </w:rPr>
        <w:t>4.</w:t>
      </w:r>
      <w:r>
        <w:rPr>
          <w:noProof/>
        </w:rPr>
        <w:tab/>
        <w:t>Règlement (UE) n</w:t>
      </w:r>
      <w:r>
        <w:rPr>
          <w:noProof/>
          <w:vertAlign w:val="superscript"/>
        </w:rPr>
        <w:t>o</w:t>
      </w:r>
      <w:r>
        <w:rPr>
          <w:noProof/>
        </w:rPr>
        <w:t> 582/2011</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Règlement (UE) n</w:t>
            </w:r>
            <w:r>
              <w:rPr>
                <w:noProof/>
                <w:sz w:val="20"/>
                <w:vertAlign w:val="superscript"/>
              </w:rPr>
              <w:t>o</w:t>
            </w:r>
            <w:r>
              <w:rPr>
                <w:noProof/>
                <w:sz w:val="20"/>
              </w:rPr>
              <w:t> 582/2011</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Le présent règlement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Articles 2 </w:t>
            </w:r>
            <w:r>
              <w:rPr>
                <w:i/>
                <w:noProof/>
                <w:sz w:val="20"/>
              </w:rPr>
              <w:t>bis</w:t>
            </w:r>
            <w:r>
              <w:rPr>
                <w:noProof/>
                <w:sz w:val="20"/>
              </w:rPr>
              <w:t xml:space="preserve"> à 2 </w:t>
            </w:r>
            <w:r>
              <w:rPr>
                <w:i/>
                <w:noProof/>
                <w:sz w:val="20"/>
              </w:rPr>
              <w:t>quinquies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Annexe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2 </w:t>
            </w:r>
            <w:r>
              <w:rPr>
                <w:i/>
                <w:noProof/>
                <w:sz w:val="20"/>
              </w:rPr>
              <w:t>sexies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2 </w:t>
            </w:r>
            <w:r>
              <w:rPr>
                <w:i/>
                <w:noProof/>
                <w:sz w:val="20"/>
              </w:rPr>
              <w:t>septies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2 </w:t>
            </w:r>
            <w:r>
              <w:rPr>
                <w:i/>
                <w:noProof/>
                <w:sz w:val="20"/>
              </w:rPr>
              <w:t>octies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69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Article 2 </w:t>
            </w:r>
            <w:r>
              <w:rPr>
                <w:i/>
                <w:noProof/>
                <w:sz w:val="20"/>
              </w:rPr>
              <w:t>nonies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Article 70</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Annexe XVII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Annexe XVIII</w:t>
            </w:r>
          </w:p>
        </w:tc>
      </w:tr>
    </w:tbl>
    <w:p>
      <w:pPr>
        <w:spacing w:before="360"/>
        <w:jc w:val="left"/>
        <w:rPr>
          <w:rFonts w:eastAsia="Arial Unicode MS"/>
          <w:bCs/>
          <w:noProof/>
          <w:szCs w:val="24"/>
        </w:rPr>
      </w:pPr>
      <w:r>
        <w:rPr>
          <w:noProof/>
        </w:rPr>
        <w:t>5.</w:t>
      </w:r>
      <w:r>
        <w:rPr>
          <w:noProof/>
        </w:rPr>
        <w:tab/>
        <w:t>Directive 2007/46/CE</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Directive 2007/46/CE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Le présent règlement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w:t>
            </w:r>
            <w:r>
              <w:rPr>
                <w:noProof/>
                <w:sz w:val="20"/>
                <w:vertAlign w:val="superscript"/>
              </w:rPr>
              <w:t>er</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w:t>
            </w:r>
            <w:r>
              <w:rPr>
                <w:noProof/>
                <w:sz w:val="20"/>
                <w:vertAlign w:val="superscript"/>
              </w:rPr>
              <w:t>er</w:t>
            </w:r>
            <w:r>
              <w:rPr>
                <w:noProof/>
                <w:sz w:val="20"/>
              </w:rPr>
              <w:t>,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w:t>
            </w:r>
            <w:r>
              <w:rPr>
                <w:noProof/>
                <w:sz w:val="20"/>
                <w:vertAlign w:val="superscript"/>
              </w:rPr>
              <w:t>er</w:t>
            </w:r>
            <w:r>
              <w:rPr>
                <w:noProof/>
                <w:sz w:val="20"/>
              </w:rPr>
              <w:t>,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w:t>
            </w:r>
            <w:r>
              <w:rPr>
                <w:noProof/>
                <w:sz w:val="20"/>
                <w:vertAlign w:val="superscript"/>
              </w:rPr>
              <w:t>er</w:t>
            </w:r>
            <w:r>
              <w:rPr>
                <w:noProof/>
                <w:sz w:val="20"/>
              </w:rPr>
              <w:t>,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Article 3, point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27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43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21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31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32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33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11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36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38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19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34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35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46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29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30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31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37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32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34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 points 37 à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Article 3, point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points 14 à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points 29 à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points 39 à 41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 points 47 à 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 paragraphe 3, premier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 paragraphe 3, deuxième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11,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11,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11, paragraphe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5,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11, paragraphe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5,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11,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5,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11,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11, paragraphes 7 et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17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18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19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6,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20,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6,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20, paragraphe 2, et article 23,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6,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20, paragraphe 3, et article 23,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6,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20, paragraphe 4, et article 23,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6, paragraphe 5</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20, paragraphes 5 et 6, et article 23,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6, paragraphe 6, et article 7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Article 21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6, paragraphes 7 et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23, paragraphe 5, et article 27,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7,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7, paragraphes 3 et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23, paragraphe 5, et article 27,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Article 23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8, paragraphes 1 et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24, paragraphes 1 et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8,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24,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8,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24,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Article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8, paragraphes 5 et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25, paragraphes 1 et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8, paragraphes 7 et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25, paragraphes 3 et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9,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24,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9,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24,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9,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26,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9,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26,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9, paragraphe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9, paragraphes 6 et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26, paragraphes 5 et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10,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Article 27,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10,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27,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10,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27,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10,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27,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12,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Article 29,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29,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Article 12, paragraphe 2, premier alinéa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29,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Article 12, paragraphe 2, deuxième alinéa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29,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12,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29, paragraphe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13,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31,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13,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31,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13,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31,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14,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32,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14,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32,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14,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32,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14,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32,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15,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32,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15,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32,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15,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32,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Article 16, paragraphe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25,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16,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25,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16,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25,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31,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17, paragraphes 1 à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33, paragraphes 2 à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17,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33, paragraphe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18,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34,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34,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18,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34,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18,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34,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18,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34, paragraphe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35,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Article 18, paragraphe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35,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18, paragraphe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35,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18, paragraphe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34, paragraphe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18, paragraphe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34, paragraphe 1, troisième alinéa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36,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19, paragraphes 1 et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36,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19,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36,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20,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37,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20, paragraphe 2, premier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37,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20, paragraphe 2, points a) à c)</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37,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20,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37, paragraphe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20, paragraphe 4, premier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37,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20, paragraphe 4, deuxième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37, paragraphe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20, paragraphe 4, troisième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37, paragraphe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20, paragraphe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21,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38,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21,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38,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39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23,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Article 40, paragraphes 1 et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23,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23,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40, paragraphe 2, troisième alinéa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23,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40,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Article 23, paragraphe 5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40,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23, paragraphe 6, premier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Article 41, paragraphes 1 et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23, paragraphe 6, deuxième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41,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23, paragraphe 6, troisième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41,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23, paragraphe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41, paragraphe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43</w:t>
            </w:r>
          </w:p>
          <w:p>
            <w:pPr>
              <w:spacing w:before="40" w:after="40"/>
              <w:ind w:left="1216" w:hanging="1216"/>
              <w:jc w:val="left"/>
              <w:rPr>
                <w:rFonts w:eastAsia="Arial Unicode MS"/>
                <w:i/>
                <w:noProof/>
                <w:sz w:val="20"/>
                <w:szCs w:val="20"/>
              </w:rPr>
            </w:pPr>
            <w:r>
              <w:rPr>
                <w:noProof/>
                <w:sz w:val="20"/>
              </w:rPr>
              <w:t>Article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26,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46,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26,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46,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26,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46,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27,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47,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27,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47,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27,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47,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27,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47,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47, paragraphe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27, paragraphe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47, paragraphe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Article 48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Article 29, paragraphe 1, premier alinéa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49, paragraphe 1, premier alinéa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4" w:firstLine="4"/>
              <w:rPr>
                <w:rFonts w:eastAsia="Arial Unicode MS"/>
                <w:noProof/>
                <w:sz w:val="20"/>
                <w:szCs w:val="20"/>
              </w:rPr>
            </w:pPr>
            <w:r>
              <w:rPr>
                <w:noProof/>
                <w:sz w:val="20"/>
              </w:rPr>
              <w:t>Article 49, paragraphe 1, deuxième et troisième alinéas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49, paragraphes 2 à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Article 29, paragraphe 1, deuxième alinéa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rPr>
              <w:t>Article 50,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50, paragraphes 2 à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29,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52,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Article 51, paragraphes 1 et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Article 29, paragraphe 3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51,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29,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rPr>
              <w:t>Article 52, paragraphes 1 à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52, paragraphe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30,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53,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30, paragraphe 2, premier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53,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30, paragraphe 2, deuxième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30,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Article 54, paragraphe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30,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54, paragraphes 2 à 4, premier alinéa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30, paragraphe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54, paragraphe 4, deuxième alinéa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30, paragraphe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54, paragraphe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31, paragraphes 1 à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31, paragraphe 5, premier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Article 56, paragraphe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31, paragraphe 5, deuxième et troisième alinéas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56,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31, paragraphes 6 et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31, paragraphe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56,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31, paragraphe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56,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31, paragraphe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56, paragraphe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31, paragraphe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31, paragraphe 12, premier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56, paragraphe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31, paragraphe 12, deuxième alinéa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31, paragraphe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32,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57,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57,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32,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57,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32,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58,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Article 58, paragraphe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59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34,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60,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60,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34,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60, paragraphe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34, paragraphes 3 et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38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Article 64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rPr>
              <w:t xml:space="preserve">Voir tableaux de correspondance </w:t>
            </w:r>
          </w:p>
          <w:p>
            <w:pPr>
              <w:spacing w:before="40" w:after="40"/>
              <w:ind w:left="293"/>
              <w:jc w:val="left"/>
              <w:rPr>
                <w:rFonts w:eastAsia="Arial Unicode MS"/>
                <w:noProof/>
                <w:sz w:val="20"/>
                <w:szCs w:val="20"/>
              </w:rPr>
            </w:pPr>
            <w:r>
              <w:rPr>
                <w:noProof/>
                <w:sz w:val="20"/>
              </w:rPr>
              <w:t>aux points 1 à 4</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rFonts w:eastAsia="Arial Unicode MS"/>
                <w:noProof/>
                <w:sz w:val="20"/>
                <w:szCs w:val="20"/>
                <w:lang w:val="en-US" w:eastAsia="en-US"/>
              </w:rPr>
              <w:drawing>
                <wp:inline distT="0" distB="0" distL="0" distR="0">
                  <wp:extent cx="96520" cy="1415415"/>
                  <wp:effectExtent l="0" t="0" r="0" b="0"/>
                  <wp:docPr id="7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6520" cy="1415415"/>
                          </a:xfrm>
                          <a:prstGeom prst="rect">
                            <a:avLst/>
                          </a:prstGeom>
                          <a:noFill/>
                          <a:ln>
                            <a:noFill/>
                          </a:ln>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65</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Article 66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67</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68</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69</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71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39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41, paragraphe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84,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41, paragraphe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72,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41, paragraphe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74,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41, paragraphe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72, paragraphe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41, paragraphe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76,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76, paragraphes 2 et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41, paragraphe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41, paragraphe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76,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43, paragraphe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78, paragraphe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43, paragraphes 2 et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78, paragraphes 2 et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78, paragraphe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43, paragraphes 4 et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78, paragraphes 5 et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79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80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81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82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83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84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85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86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rFonts w:eastAsia="Arial Unicode MS"/>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88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Article 89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Article 44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96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91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49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Article 95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Article 92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Article 93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Article 94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Article 51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bl>
    <w:p>
      <w:pPr>
        <w:rPr>
          <w:noProof/>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Annexe 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Annexe 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Annexe 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IV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Annexe 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Annexe 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VI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Annexe 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VII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Annexe 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Annexe 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IX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Annexe IX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Annexe 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Annexe XI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Annexe XII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XIII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Annexe XIII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XIV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Annexe XIV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Annexe XV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XVI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Annexe XVI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XVII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Annexe XVII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Annexe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XIX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Annexe XXI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Annexe XIX</w:t>
            </w:r>
          </w:p>
        </w:tc>
      </w:tr>
    </w:tbl>
    <w:p>
      <w:pPr>
        <w:rPr>
          <w:noProof/>
        </w:rPr>
      </w:pPr>
    </w:p>
    <w:sectPr>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262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Règlement (UE) n</w:t>
      </w:r>
      <w:r>
        <w:rPr>
          <w:vertAlign w:val="superscript"/>
        </w:rPr>
        <w:t>o</w:t>
      </w:r>
      <w:r>
        <w:t> 1230/2012 de la Commission du 12 décembre 2012 portant application du règlement (CE) n</w:t>
      </w:r>
      <w:r>
        <w:rPr>
          <w:vertAlign w:val="superscript"/>
        </w:rPr>
        <w:t>o</w:t>
      </w:r>
      <w:r>
        <w:t> 661/2009 du Parlement européen et du Conseil en ce qui concerne les prescriptions pour la réception par type relatives aux masses et dimensions des véhicules à moteur et de leurs remorques et modifiant la directive 2007/46/CE du Parlement européen et du Conseil (JO L 353 du 21.12.2012, p. 31).</w:t>
      </w:r>
    </w:p>
  </w:footnote>
  <w:footnote w:id="2">
    <w:p>
      <w:pPr>
        <w:pStyle w:val="FootnoteText"/>
        <w:ind w:left="567" w:hanging="567"/>
      </w:pPr>
      <w:r>
        <w:rPr>
          <w:rStyle w:val="FootnoteReference"/>
        </w:rPr>
        <w:footnoteRef/>
      </w:r>
      <w:r>
        <w:tab/>
        <w:t>Règlement (CE) n</w:t>
      </w:r>
      <w:r>
        <w:rPr>
          <w:vertAlign w:val="superscript"/>
        </w:rPr>
        <w:t>o</w:t>
      </w:r>
      <w:r>
        <w:t> 79/2009 du Parlement européen et du Conseil du 14 janvier 2009 concernant la réception par type des véhicules à moteur fonctionnant à l’hydrogène et modifiant la directive 2007/46/CE (JO L 35 du 4.2.2009, p. 32).</w:t>
      </w:r>
    </w:p>
  </w:footnote>
  <w:footnote w:id="3">
    <w:p>
      <w:pPr>
        <w:pStyle w:val="FootnoteText"/>
        <w:ind w:left="567" w:hanging="567"/>
      </w:pPr>
      <w:r>
        <w:rPr>
          <w:rStyle w:val="FootnoteReference"/>
        </w:rPr>
        <w:footnoteRef/>
      </w:r>
      <w:r>
        <w:tab/>
        <w:t>Règlement (CE) n</w:t>
      </w:r>
      <w:r>
        <w:rPr>
          <w:vertAlign w:val="superscript"/>
        </w:rPr>
        <w:t>o</w:t>
      </w:r>
      <w:r>
        <w:t> 443/2009 du Parlement européen et du Conseil du 23 avril 2009 établissant des normes de performance en matière d’émissions pour les voitures particulières neuves dans le cadre de l’approche intégrée de la Communauté visant à réduire les émissions de CO</w:t>
      </w:r>
      <w:r>
        <w:rPr>
          <w:vertAlign w:val="subscript"/>
        </w:rPr>
        <w:t>2</w:t>
      </w:r>
      <w:r>
        <w:t xml:space="preserve"> des véhicules légers (JO L 140 du 5.6.2009, p. 1).</w:t>
      </w:r>
    </w:p>
  </w:footnote>
  <w:footnote w:id="4">
    <w:p>
      <w:pPr>
        <w:pStyle w:val="FootnoteText"/>
        <w:ind w:left="567" w:hanging="567"/>
      </w:pPr>
      <w:r>
        <w:rPr>
          <w:rStyle w:val="FootnoteReference"/>
        </w:rPr>
        <w:footnoteRef/>
      </w:r>
      <w:r>
        <w:tab/>
        <w:t>Règlement (UE) n</w:t>
      </w:r>
      <w:r>
        <w:rPr>
          <w:vertAlign w:val="superscript"/>
        </w:rPr>
        <w:t>o</w:t>
      </w:r>
      <w:r>
        <w:t> 510/2011 du Parlement européen et du Conseil du 11 mai 2011 établissant des normes de performance en matière d’émissions pour les véhicules utilitaires légers neufs dans le cadre de l’approche intégrée de l’Union visant à réduire les émissions de CO</w:t>
      </w:r>
      <w:r>
        <w:rPr>
          <w:vertAlign w:val="subscript"/>
        </w:rPr>
        <w:t>2</w:t>
      </w:r>
      <w:r>
        <w:t xml:space="preserve"> des véhicules légers (JO L 145 du 31.5.2011, p. 1).</w:t>
      </w:r>
    </w:p>
  </w:footnote>
  <w:footnote w:id="5">
    <w:p>
      <w:pPr>
        <w:pStyle w:val="FootnoteText"/>
        <w:ind w:left="567" w:hanging="567"/>
      </w:pPr>
      <w:r>
        <w:rPr>
          <w:rStyle w:val="FootnoteReference"/>
        </w:rPr>
        <w:footnoteRef/>
      </w:r>
      <w:r>
        <w:tab/>
        <w:t>Règlement d’exécution (UE) n</w:t>
      </w:r>
      <w:r>
        <w:rPr>
          <w:vertAlign w:val="superscript"/>
        </w:rPr>
        <w:t>o</w:t>
      </w:r>
      <w:r>
        <w:t> 725/2011 de la Commission du 25 juillet 2011 établissant une procédure d’approbation et de certification des technologies innovantes permettant de réduire les émissions de CO</w:t>
      </w:r>
      <w:r>
        <w:rPr>
          <w:vertAlign w:val="subscript"/>
        </w:rPr>
        <w:t>2</w:t>
      </w:r>
      <w:r>
        <w:t xml:space="preserve"> des voitures particulières, conformément au règlement (CE) n</w:t>
      </w:r>
      <w:r>
        <w:rPr>
          <w:vertAlign w:val="superscript"/>
        </w:rPr>
        <w:t>o</w:t>
      </w:r>
      <w:r>
        <w:t> 443/2009 du Parlement européen et du Conseil (JO L 194 du 26.7.2011, p. 19).</w:t>
      </w:r>
    </w:p>
  </w:footnote>
  <w:footnote w:id="6">
    <w:p>
      <w:pPr>
        <w:pStyle w:val="FootnoteText"/>
        <w:ind w:left="567" w:hanging="567"/>
      </w:pPr>
      <w:r>
        <w:rPr>
          <w:rStyle w:val="FootnoteReference"/>
        </w:rPr>
        <w:footnoteRef/>
      </w:r>
      <w:r>
        <w:tab/>
        <w:t>Règlement d’exécution (UE) n</w:t>
      </w:r>
      <w:r>
        <w:rPr>
          <w:vertAlign w:val="superscript"/>
        </w:rPr>
        <w:t>o</w:t>
      </w:r>
      <w:r>
        <w:t> 427/2014 de la Commission du 25 avril 2014 établissant une procédure d’approbation et de certification des technologies innovantes permettant de réduire les émissions de CO</w:t>
      </w:r>
      <w:r>
        <w:rPr>
          <w:vertAlign w:val="subscript"/>
        </w:rPr>
        <w:t>2</w:t>
      </w:r>
      <w:r>
        <w:t xml:space="preserve"> des véhicules utilitaires légers, conformément au règlement (UE) n</w:t>
      </w:r>
      <w:r>
        <w:rPr>
          <w:vertAlign w:val="superscript"/>
        </w:rPr>
        <w:t>o</w:t>
      </w:r>
      <w:r>
        <w:t> 510/2011 du Parlement européen et du Conseil (JO L 125 du 26.4.2014, p. 57).</w:t>
      </w:r>
    </w:p>
  </w:footnote>
  <w:footnote w:id="7">
    <w:p>
      <w:pPr>
        <w:pStyle w:val="FootnoteText"/>
        <w:ind w:left="567" w:hanging="567"/>
      </w:pPr>
      <w:r>
        <w:rPr>
          <w:rStyle w:val="FootnoteReference"/>
        </w:rPr>
        <w:footnoteRef/>
      </w:r>
      <w:r>
        <w:tab/>
        <w:t>Règlement (UE) n</w:t>
      </w:r>
      <w:r>
        <w:rPr>
          <w:vertAlign w:val="superscript"/>
        </w:rPr>
        <w:t>o</w:t>
      </w:r>
      <w:r>
        <w:t> 65/2012 de la Commission du 24 janvier 2012 mettant en œuvre le règlement (CE) n</w:t>
      </w:r>
      <w:r>
        <w:rPr>
          <w:vertAlign w:val="superscript"/>
        </w:rPr>
        <w:t>o</w:t>
      </w:r>
      <w:r>
        <w:t> 661/2009 du Parlement européen et du Conseil en ce qui concerne les indicateurs de changement de vitesse et modifiant la directive 2007/46/CE du Parlement européen et du Conseil (JO L 28 du 31.1.2012, p. 24).</w:t>
      </w:r>
    </w:p>
  </w:footnote>
  <w:footnote w:id="8">
    <w:p>
      <w:pPr>
        <w:pStyle w:val="FootnoteText"/>
        <w:ind w:left="567" w:hanging="567"/>
      </w:pPr>
      <w:r>
        <w:rPr>
          <w:rStyle w:val="FootnoteReference"/>
        </w:rPr>
        <w:footnoteRef/>
      </w:r>
      <w:r>
        <w:tab/>
        <w:t>Règlement (UE) n</w:t>
      </w:r>
      <w:r>
        <w:rPr>
          <w:vertAlign w:val="superscript"/>
        </w:rPr>
        <w:t>o</w:t>
      </w:r>
      <w:r>
        <w:t> 1009/2010 de la Commission du 9 novembre 2010 concernant les exigences pour la réception du recouvrement des roues de certains véhicules à moteur et mettant en œuvre le règlement (CE) n</w:t>
      </w:r>
      <w:r>
        <w:rPr>
          <w:vertAlign w:val="superscript"/>
        </w:rPr>
        <w:t>o</w:t>
      </w:r>
      <w:r>
        <w:t> 661/2009 du Parlement européen et du Conseil concernant les prescriptions pour l’homologation relatives à la sécurité générale des véhicules à moteur, de leurs remorques et des systèmes, composants et entités techniques distinctes qui leur sont destinés (JO L 292 du 10.11.2010, p. 21).</w:t>
      </w:r>
    </w:p>
  </w:footnote>
  <w:footnote w:id="9">
    <w:p>
      <w:pPr>
        <w:pStyle w:val="FootnoteText"/>
        <w:ind w:left="567" w:hanging="567"/>
      </w:pPr>
      <w:r>
        <w:rPr>
          <w:rStyle w:val="FootnoteReference"/>
        </w:rPr>
        <w:footnoteRef/>
      </w:r>
      <w:r>
        <w:tab/>
        <w:t>Règlement (UE) n</w:t>
      </w:r>
      <w:r>
        <w:rPr>
          <w:vertAlign w:val="superscript"/>
        </w:rPr>
        <w:t>o</w:t>
      </w:r>
      <w:r>
        <w:t> 19/2011 de la Commission du 11 janvier 2011 concernant les exigences pour la réception de la plaque réglementaire du constructeur et du numéro d’identification des véhicules à moteur et de leurs remorques et mettant en œuvre le règlement (CE) n</w:t>
      </w:r>
      <w:r>
        <w:rPr>
          <w:vertAlign w:val="superscript"/>
        </w:rPr>
        <w:t>o</w:t>
      </w:r>
      <w:r>
        <w:t> 661/2009 du Parlement européen et du Conseil concernant les prescriptions pour l’homologation relatives à la sécurité générale des véhicules à moteur, de leurs remorques et des systèmes, composants et entités techniques distinctes qui leur sont destinés (JO L 8 du 12.1.2011, p. 1).</w:t>
      </w:r>
    </w:p>
  </w:footnote>
  <w:footnote w:id="10">
    <w:p>
      <w:pPr>
        <w:pStyle w:val="FootnoteText"/>
        <w:ind w:left="567" w:hanging="567"/>
      </w:pPr>
      <w:r>
        <w:rPr>
          <w:rStyle w:val="FootnoteReference"/>
        </w:rPr>
        <w:footnoteRef/>
      </w:r>
      <w:r>
        <w:tab/>
        <w:t>Règlement (UE) n</w:t>
      </w:r>
      <w:r>
        <w:rPr>
          <w:vertAlign w:val="superscript"/>
        </w:rPr>
        <w:t>o</w:t>
      </w:r>
      <w:r>
        <w:t> 109/2011 de la Commission du 27 janvier 2011 portant application du règlement (CE) n</w:t>
      </w:r>
      <w:r>
        <w:rPr>
          <w:vertAlign w:val="superscript"/>
        </w:rPr>
        <w:t>o</w:t>
      </w:r>
      <w:r>
        <w:t> 661/2009 du Parlement européen et du Conseil en ce qui concerne les prescriptions pour la réception par type de certaines catégories de véhicules à moteur et de leurs remorques en matière de systèmes antiprojections (JO L 34 du 9.2.2011, p. 2).</w:t>
      </w:r>
    </w:p>
  </w:footnote>
  <w:footnote w:id="11">
    <w:p>
      <w:pPr>
        <w:pStyle w:val="FootnoteText"/>
        <w:ind w:left="567" w:hanging="567"/>
      </w:pPr>
      <w:r>
        <w:rPr>
          <w:rStyle w:val="FootnoteReference"/>
        </w:rPr>
        <w:footnoteRef/>
      </w:r>
      <w:r>
        <w:tab/>
        <w:t>Directive 2008/68/CE du Parlement européen et du Conseil du 24 septembre 2008 relative au transport intérieur des marchandises dangereuses (JO L 260 du 30.9.2008, p. 13).</w:t>
      </w:r>
    </w:p>
  </w:footnote>
  <w:footnote w:id="12">
    <w:p>
      <w:pPr>
        <w:pStyle w:val="FootnoteText"/>
        <w:ind w:left="567" w:hanging="567"/>
      </w:pPr>
      <w:r>
        <w:rPr>
          <w:rStyle w:val="FootnoteReference"/>
        </w:rPr>
        <w:footnoteRef/>
      </w:r>
      <w:r>
        <w:tab/>
        <w:t>Règlement (CE) n</w:t>
      </w:r>
      <w:r>
        <w:rPr>
          <w:vertAlign w:val="superscript"/>
        </w:rPr>
        <w:t>o</w:t>
      </w:r>
      <w:r>
        <w:t> 715/2007 du Parlement européen et du Conseil du 20 juin 2007 relatif à la réception des véhicules à moteur au regard des émissions des véhicules particuliers et utilitaires légers (Euro 5 et Euro 6) et aux informations sur la réparation et l’entretien des véhicules (JO L 171 du 29.6.2007, p. 1).</w:t>
      </w:r>
    </w:p>
  </w:footnote>
  <w:footnote w:id="13">
    <w:p>
      <w:pPr>
        <w:pStyle w:val="FootnoteText"/>
        <w:ind w:left="567" w:hanging="567"/>
      </w:pPr>
      <w:r>
        <w:rPr>
          <w:rStyle w:val="FootnoteReference"/>
        </w:rPr>
        <w:footnoteRef/>
      </w:r>
      <w:r>
        <w:tab/>
        <w:t>Directive 80/181/CEE du Conseil du 20 décembre 1979 concernant le rapprochement des législations des États membres relatives aux unités de mesure et abrogeant la directive 71/354/CEE (JO L 39 du 15.2.1980, p. 40).</w:t>
      </w:r>
    </w:p>
  </w:footnote>
  <w:footnote w:id="14">
    <w:p>
      <w:pPr>
        <w:pStyle w:val="FootnoteText"/>
        <w:ind w:left="567" w:hanging="567"/>
      </w:pPr>
      <w:r>
        <w:rPr>
          <w:rStyle w:val="FootnoteReference"/>
        </w:rPr>
        <w:footnoteRef/>
      </w:r>
      <w:r>
        <w:tab/>
        <w:t>Directive 96/53/CE du Conseil du 25 juillet 1996 fixant, pour certains véhicules routiers circulant dans la Communauté, les dimensions maximales autorisées en trafic national et international et les poids maximaux autorisés en trafic international (JO L 235 du 17.9.1996, p. 59).</w:t>
      </w:r>
    </w:p>
  </w:footnote>
  <w:footnote w:id="15">
    <w:p>
      <w:pPr>
        <w:pStyle w:val="FootnoteText"/>
        <w:ind w:left="567" w:hanging="567"/>
      </w:pPr>
      <w:r>
        <w:rPr>
          <w:rStyle w:val="FootnoteReference"/>
        </w:rPr>
        <w:footnoteRef/>
      </w:r>
      <w:r>
        <w:tab/>
        <w:t>Règlement (UE) n</w:t>
      </w:r>
      <w:r>
        <w:rPr>
          <w:vertAlign w:val="superscript"/>
        </w:rPr>
        <w:t>o</w:t>
      </w:r>
      <w:r>
        <w:t> 540/2014 du Parlement européen et du Conseil du 16 avril 2014 concernant le niveau sonore des véhicules à moteur et des systèmes de silencieux de remplacement, et modifiant la directive 2007/46/CE et abrogeant la directive 70/157/CEE (JO L 158 du 27.5.2014, p. 131).</w:t>
      </w:r>
    </w:p>
  </w:footnote>
  <w:footnote w:id="16">
    <w:p>
      <w:pPr>
        <w:pStyle w:val="FootnoteText"/>
        <w:ind w:left="567" w:hanging="567"/>
        <w:rPr>
          <w:b/>
        </w:rPr>
      </w:pPr>
      <w:r>
        <w:rPr>
          <w:rStyle w:val="FootnoteReference"/>
        </w:rPr>
        <w:footnoteRef/>
      </w:r>
      <w:r>
        <w:tab/>
      </w:r>
      <w:r>
        <w:rPr>
          <w:rStyle w:val="Strong"/>
          <w:b w:val="0"/>
        </w:rPr>
        <w:t>Règlement (UE) n</w:t>
      </w:r>
      <w:r>
        <w:rPr>
          <w:rStyle w:val="Strong"/>
          <w:b w:val="0"/>
          <w:vertAlign w:val="superscript"/>
        </w:rPr>
        <w:t>o</w:t>
      </w:r>
      <w:r>
        <w:rPr>
          <w:rStyle w:val="Strong"/>
          <w:b w:val="0"/>
        </w:rPr>
        <w:t> 1003/2010 de la Commission du 8 novembre 2010 concernant les exigences pour la réception relatives à l’emplacement et au montage des plaques d’immatriculation arrière des véhicules à moteur et de leurs remorques et mettant en œuvre le règlement (CE) nº°661/2009 du Parlement européen et du Conseil concernant les prescriptions pour l’homologation relatives à la sécurité générale des véhicules à moteur, de leurs remorques et des systèmes, composants et entités techniques distinctes qui leur sont destinés (JO L</w:t>
      </w:r>
      <w:r>
        <w:t> 291 du 9.11.2010, p. 22).</w:t>
      </w:r>
    </w:p>
  </w:footnote>
  <w:footnote w:id="17">
    <w:p>
      <w:pPr>
        <w:pStyle w:val="FootnoteText"/>
        <w:ind w:left="567" w:hanging="567"/>
      </w:pPr>
      <w:r>
        <w:rPr>
          <w:rStyle w:val="FootnoteReference"/>
        </w:rPr>
        <w:footnoteRef/>
      </w:r>
      <w:r>
        <w:tab/>
      </w:r>
      <w:r>
        <w:rPr>
          <w:rStyle w:val="Strong"/>
          <w:b w:val="0"/>
        </w:rPr>
        <w:t>Règlement (UE) n</w:t>
      </w:r>
      <w:r>
        <w:rPr>
          <w:rStyle w:val="Strong"/>
          <w:b w:val="0"/>
          <w:vertAlign w:val="superscript"/>
        </w:rPr>
        <w:t>o</w:t>
      </w:r>
      <w:r>
        <w:rPr>
          <w:rStyle w:val="Strong"/>
          <w:b w:val="0"/>
        </w:rPr>
        <w:t> 130/2012 de la Commission du 15 février 2012 concernant les prescriptions pour la réception par type des véhicules à moteur relatives à l’accès au véhicule et à sa manœuvrabilité et mettant en œuvre le règlement (CE) n</w:t>
      </w:r>
      <w:r>
        <w:rPr>
          <w:rStyle w:val="Strong"/>
          <w:b w:val="0"/>
          <w:vertAlign w:val="superscript"/>
        </w:rPr>
        <w:t>o</w:t>
      </w:r>
      <w:r>
        <w:rPr>
          <w:rStyle w:val="Strong"/>
          <w:b w:val="0"/>
        </w:rPr>
        <w:t> 661/2009 du Parlement européen et du Conseil concernant les prescriptions pour l’homologation relatives à la sécurité générale des véhicules à moteur, de leurs remorques et des systèmes, composants et entités techniques distinctes qui leur sont destinés (</w:t>
      </w:r>
      <w:r>
        <w:t>JO L 43 du 16.2.2012, p. 6).</w:t>
      </w:r>
    </w:p>
  </w:footnote>
  <w:footnote w:id="18">
    <w:p>
      <w:pPr>
        <w:pStyle w:val="FootnoteText"/>
        <w:ind w:left="567" w:hanging="567"/>
        <w:rPr>
          <w:b/>
        </w:rPr>
      </w:pPr>
      <w:r>
        <w:rPr>
          <w:rStyle w:val="FootnoteReference"/>
        </w:rPr>
        <w:footnoteRef/>
      </w:r>
      <w:r>
        <w:tab/>
      </w:r>
      <w:r>
        <w:rPr>
          <w:rStyle w:val="Strong"/>
          <w:b w:val="0"/>
        </w:rPr>
        <w:t>Règlement (UE) n</w:t>
      </w:r>
      <w:r>
        <w:rPr>
          <w:rStyle w:val="Strong"/>
          <w:b w:val="0"/>
          <w:vertAlign w:val="superscript"/>
        </w:rPr>
        <w:t>o</w:t>
      </w:r>
      <w:r>
        <w:rPr>
          <w:rStyle w:val="Strong"/>
          <w:b w:val="0"/>
        </w:rPr>
        <w:t> 672/2010 de la Commission du 27 juillet 2010 concernant les exigences pour la réception des dispositifs de dégivrage et de désembuage du pare-brise de certains véhicules à moteur et mettant en œuvre le règlement (CE) n</w:t>
      </w:r>
      <w:r>
        <w:rPr>
          <w:rStyle w:val="Strong"/>
          <w:b w:val="0"/>
          <w:vertAlign w:val="superscript"/>
        </w:rPr>
        <w:t>o</w:t>
      </w:r>
      <w:r>
        <w:rPr>
          <w:rStyle w:val="Strong"/>
          <w:b w:val="0"/>
        </w:rPr>
        <w:t> 661/2009 du Parlement européen et du Conseil concernant les prescriptions pour l’homologation relatives à la sécurité générale des véhicules à moteur, de leurs remorques et des systèmes, composants et entités techniques distinctes qui leur sont destinés (</w:t>
      </w:r>
      <w:r>
        <w:t>JO L 196 du 28.7.2010, p. 5).</w:t>
      </w:r>
    </w:p>
  </w:footnote>
  <w:footnote w:id="19">
    <w:p>
      <w:pPr>
        <w:pStyle w:val="FootnoteText"/>
        <w:ind w:left="567" w:hanging="567"/>
        <w:rPr>
          <w:b/>
        </w:rPr>
      </w:pPr>
      <w:r>
        <w:rPr>
          <w:rStyle w:val="FootnoteReference"/>
        </w:rPr>
        <w:footnoteRef/>
      </w:r>
      <w:r>
        <w:tab/>
      </w:r>
      <w:r>
        <w:rPr>
          <w:rStyle w:val="Strong"/>
          <w:b w:val="0"/>
        </w:rPr>
        <w:t>Règlement (UE) n</w:t>
      </w:r>
      <w:r>
        <w:rPr>
          <w:rStyle w:val="Strong"/>
          <w:b w:val="0"/>
          <w:vertAlign w:val="superscript"/>
        </w:rPr>
        <w:t>o</w:t>
      </w:r>
      <w:r>
        <w:rPr>
          <w:rStyle w:val="Strong"/>
          <w:b w:val="0"/>
        </w:rPr>
        <w:t> 1008/2010 de la Commission du 9 novembre 2010 concernant les prescriptions pour la réception des dispositifs d’essuie-glace et de lave-glace du pare-brise de certains véhicules à moteur et mettant en œuvre le règlement (CE) n</w:t>
      </w:r>
      <w:r>
        <w:rPr>
          <w:rStyle w:val="Strong"/>
          <w:b w:val="0"/>
          <w:vertAlign w:val="superscript"/>
        </w:rPr>
        <w:t>o</w:t>
      </w:r>
      <w:r>
        <w:rPr>
          <w:rStyle w:val="Strong"/>
          <w:b w:val="0"/>
        </w:rPr>
        <w:t> 661/2009 du Parlement européen et du Conseil concernant les prescriptions pour l’homologation relatives à la sécurité générale des véhicules à moteur, de leurs remorques et des systèmes, composants et entités techniques distinctes qui leur sont destinés (</w:t>
      </w:r>
      <w:r>
        <w:t>JO L 292 du 10.11.2010, p. 2).</w:t>
      </w:r>
    </w:p>
  </w:footnote>
  <w:footnote w:id="20">
    <w:p>
      <w:pPr>
        <w:pStyle w:val="FootnoteText"/>
        <w:ind w:left="567" w:hanging="567"/>
      </w:pPr>
      <w:r>
        <w:rPr>
          <w:rStyle w:val="FootnoteReference"/>
        </w:rPr>
        <w:footnoteRef/>
      </w:r>
      <w:r>
        <w:tab/>
      </w:r>
      <w:r>
        <w:rPr>
          <w:rStyle w:val="Strong"/>
          <w:b w:val="0"/>
        </w:rPr>
        <w:t>Directive 92/23/CEE du Conseil du 31 mars 1992 relative aux pneumatiques des véhicules à moteur et de leurs remorques ainsi qu’à leur montage (</w:t>
      </w:r>
      <w:r>
        <w:t>JO L 129 du 14.5.1992, p. 95).</w:t>
      </w:r>
    </w:p>
  </w:footnote>
  <w:footnote w:id="21">
    <w:p>
      <w:pPr>
        <w:pStyle w:val="FootnoteText"/>
        <w:ind w:left="567" w:hanging="567"/>
        <w:rPr>
          <w:b/>
        </w:rPr>
      </w:pPr>
      <w:r>
        <w:rPr>
          <w:rStyle w:val="FootnoteReference"/>
        </w:rPr>
        <w:footnoteRef/>
      </w:r>
      <w:r>
        <w:tab/>
      </w:r>
      <w:r>
        <w:rPr>
          <w:rStyle w:val="Strong"/>
          <w:b w:val="0"/>
        </w:rPr>
        <w:t>Règlement (UE) n</w:t>
      </w:r>
      <w:r>
        <w:rPr>
          <w:rStyle w:val="Strong"/>
          <w:b w:val="0"/>
          <w:vertAlign w:val="superscript"/>
        </w:rPr>
        <w:t>o</w:t>
      </w:r>
      <w:r>
        <w:rPr>
          <w:rStyle w:val="Strong"/>
          <w:b w:val="0"/>
        </w:rPr>
        <w:t> 458/2011 de la Commission du 12 mai 2011 portant prescriptions pour la réception par type des véhicules à moteur et de leurs remorques en ce qui concerne le montage de leurs pneumatiques et mettant en œuvre le règlement (CE) n</w:t>
      </w:r>
      <w:r>
        <w:rPr>
          <w:rStyle w:val="Strong"/>
          <w:b w:val="0"/>
          <w:vertAlign w:val="superscript"/>
        </w:rPr>
        <w:t>o</w:t>
      </w:r>
      <w:r>
        <w:rPr>
          <w:rStyle w:val="Strong"/>
          <w:b w:val="0"/>
        </w:rPr>
        <w:t> 661/2009 du Parlement européen et du Conseil concernant les prescriptions pour l’homologation relatives à la sécurité générale des véhicules à moteur, de leurs remorques et des systèmes, composants et entités techniques distinctes qui leur sont destinés (</w:t>
      </w:r>
      <w:r>
        <w:t>JO L 124 du 13.5.2011, p. 11).</w:t>
      </w:r>
    </w:p>
  </w:footnote>
  <w:footnote w:id="22">
    <w:p>
      <w:pPr>
        <w:pStyle w:val="FootnoteText"/>
        <w:ind w:left="567" w:hanging="567"/>
      </w:pPr>
      <w:r>
        <w:rPr>
          <w:rStyle w:val="FootnoteReference"/>
        </w:rPr>
        <w:footnoteRef/>
      </w:r>
      <w:r>
        <w:tab/>
        <w:t>Règlement (CE) n</w:t>
      </w:r>
      <w:r>
        <w:rPr>
          <w:vertAlign w:val="superscript"/>
        </w:rPr>
        <w:t>o</w:t>
      </w:r>
      <w:r>
        <w:t> 78/2009 du Parlement européen et du Conseil du 14 janvier 2009 relatif à la réception par type des véhicules à moteur au regard de la protection des piétons et autres usagers vulnérables de la route, modifiant la directive 2007/46/CE et abrogeant les directives 2003/102/CE et 2005/66/CE (JO L 35 du 4.2.2009, p. 1).</w:t>
      </w:r>
    </w:p>
  </w:footnote>
  <w:footnote w:id="23">
    <w:p>
      <w:pPr>
        <w:pStyle w:val="FootnoteText"/>
        <w:ind w:left="567" w:hanging="567"/>
      </w:pPr>
      <w:r>
        <w:rPr>
          <w:rStyle w:val="FootnoteReference"/>
        </w:rPr>
        <w:footnoteRef/>
      </w:r>
      <w:r>
        <w:tab/>
        <w:t>Directive 2005/64/CE du Parlement européen et du Conseil du 26 octobre 2005 concernant la réception par type des véhicules à moteur au regard des possibilités de leur réutilisation, de leur recyclage et de leur valorisation, et modifiant la directive 70/156/CEE du Conseil (JO L 310 du 25.11.2005, p. 10).</w:t>
      </w:r>
    </w:p>
  </w:footnote>
  <w:footnote w:id="24">
    <w:p>
      <w:pPr>
        <w:pStyle w:val="FootnoteText"/>
        <w:ind w:left="567" w:hanging="567"/>
        <w:rPr>
          <w:b/>
        </w:rPr>
      </w:pPr>
      <w:r>
        <w:rPr>
          <w:rStyle w:val="FootnoteReference"/>
        </w:rPr>
        <w:footnoteRef/>
      </w:r>
      <w:r>
        <w:tab/>
      </w:r>
      <w:r>
        <w:rPr>
          <w:rStyle w:val="Strong"/>
          <w:b w:val="0"/>
        </w:rPr>
        <w:t>Directive 2006/40/CE du Parlement européen et du Conseil du 17 mai 2006 concernant les émissions provenant des systèmes de climatisation des véhicules à moteur et modifiant la directive 70/156/CEE du Conseil (</w:t>
      </w:r>
      <w:r>
        <w:t>JO L 161 du 14.6.2006, p. 12).</w:t>
      </w:r>
    </w:p>
  </w:footnote>
  <w:footnote w:id="25">
    <w:p>
      <w:pPr>
        <w:pStyle w:val="FootnoteText"/>
        <w:ind w:left="567" w:hanging="567"/>
      </w:pPr>
      <w:r>
        <w:rPr>
          <w:rStyle w:val="FootnoteReference"/>
        </w:rPr>
        <w:footnoteRef/>
      </w:r>
      <w:r>
        <w:tab/>
        <w:t>Règlement (UE) n</w:t>
      </w:r>
      <w:r>
        <w:rPr>
          <w:vertAlign w:val="superscript"/>
        </w:rPr>
        <w:t>o</w:t>
      </w:r>
      <w:r>
        <w:t> 347/2012 de la Commission du 16 avril 2012 portant application du règlement (CE) n</w:t>
      </w:r>
      <w:r>
        <w:rPr>
          <w:vertAlign w:val="superscript"/>
        </w:rPr>
        <w:t>o</w:t>
      </w:r>
      <w:r>
        <w:t> 661/2009 du Parlement européen et du Conseil en ce qui concerne les prescriptions pour la réception par type de certaines catégories de véhicules à moteur en matière de systèmes avancés de freinage d’urgence (JO L 109 du 21.4.2012, p. 1).</w:t>
      </w:r>
    </w:p>
  </w:footnote>
  <w:footnote w:id="26">
    <w:p>
      <w:pPr>
        <w:pStyle w:val="FootnoteText"/>
        <w:ind w:left="567" w:hanging="567"/>
      </w:pPr>
      <w:r>
        <w:rPr>
          <w:rStyle w:val="FootnoteReference"/>
        </w:rPr>
        <w:footnoteRef/>
      </w:r>
      <w:r>
        <w:tab/>
        <w:t>Règlement (UE) n</w:t>
      </w:r>
      <w:r>
        <w:rPr>
          <w:vertAlign w:val="superscript"/>
        </w:rPr>
        <w:t>o</w:t>
      </w:r>
      <w:r>
        <w:t> 351/2012 de la Commission du 23 avril 2012 mettant en œuvre le règlement (CE) n</w:t>
      </w:r>
      <w:r>
        <w:rPr>
          <w:vertAlign w:val="superscript"/>
        </w:rPr>
        <w:t>o</w:t>
      </w:r>
      <w:r>
        <w:t> 661/2009 du Parlement européen et du Conseil en ce qui concerne les prescriptions pour la réception par type relatives au montage de systèmes d’avertissement de franchissement de ligne sur les véhicules à moteur (JO L 110 du 24.4.2012, p. 18).</w:t>
      </w:r>
    </w:p>
  </w:footnote>
  <w:footnote w:id="27">
    <w:p>
      <w:pPr>
        <w:pStyle w:val="FootnoteText"/>
        <w:ind w:left="567" w:hanging="567"/>
      </w:pPr>
      <w:r>
        <w:rPr>
          <w:rStyle w:val="FootnoteReference"/>
        </w:rPr>
        <w:footnoteRef/>
      </w:r>
      <w:r>
        <w:tab/>
        <w:t>Les notes explicatives relatives à la partie I de l’annexe IV s’appliquent également au tableau 2. Les lettres dans le tableau 2 ont le même sens que dans le tableau 1.</w:t>
      </w:r>
    </w:p>
  </w:footnote>
  <w:footnote w:id="28">
    <w:p>
      <w:pPr>
        <w:pStyle w:val="FootnoteText"/>
        <w:ind w:left="567" w:hanging="567"/>
      </w:pPr>
      <w:r>
        <w:rPr>
          <w:rStyle w:val="FootnoteReference"/>
        </w:rPr>
        <w:footnoteRef/>
      </w:r>
      <w:r>
        <w:tab/>
        <w:t>Directive 70/157/CEE du Conseil du 6 février 1970 concernant le rapprochement des législations des États membres relatives au niveau sonore admissible et au dispositif d’échappement des véhicules à moteur (JO L 42 du 23.2.1970, p. 16).</w:t>
      </w:r>
    </w:p>
  </w:footnote>
  <w:footnote w:id="29">
    <w:p>
      <w:pPr>
        <w:pStyle w:val="FootnoteText"/>
        <w:ind w:left="567" w:hanging="567"/>
      </w:pPr>
      <w:r>
        <w:rPr>
          <w:rStyle w:val="FootnoteReference"/>
        </w:rPr>
        <w:footnoteRef/>
      </w:r>
      <w:r>
        <w:tab/>
        <w:t>Décision 97/836/CE du Conseil du 27 novembre 1997 en vue de l’adhésion de la Communauté européenne à l’accord de la Commission économique pour l’Europe des Nations unies concernant l’adoption de prescriptions techniques uniformes applicables aux véhicules à roues, aux équipements et aux pièces susceptibles d’être montés ou utilisés sur un véhicule à roues et les conditions de reconnaissance réciproque des homologations délivrées conformément à ces prescriptions («accord de 1958 révisé») (JO L 346 du 17.12.1997, p. 78).</w:t>
      </w:r>
    </w:p>
  </w:footnote>
  <w:footnote w:id="30">
    <w:p>
      <w:pPr>
        <w:pStyle w:val="FootnoteText"/>
        <w:ind w:left="567" w:hanging="567"/>
      </w:pPr>
      <w:r>
        <w:rPr>
          <w:rStyle w:val="FootnoteReference"/>
        </w:rPr>
        <w:footnoteRef/>
      </w:r>
      <w:r>
        <w:tab/>
        <w:t>Pour les amendements ultérieurs, voir UNECE TRANS/WP.29/343.</w:t>
      </w:r>
    </w:p>
  </w:footnote>
  <w:footnote w:id="31">
    <w:p>
      <w:pPr>
        <w:pStyle w:val="FootnoteText"/>
        <w:ind w:left="567" w:hanging="567"/>
      </w:pPr>
    </w:p>
    <w:p>
      <w:pPr>
        <w:pStyle w:val="FootnoteText"/>
        <w:ind w:left="567" w:hanging="567"/>
      </w:pPr>
      <w:r>
        <w:rPr>
          <w:rStyle w:val="FootnoteReference"/>
        </w:rPr>
        <w:footnoteRef/>
      </w:r>
      <w:r>
        <w:tab/>
        <w:t>Décision 2005/50/CE de la Commission relative à l’harmonisation du spectre dans la bande de fréquences des 24 GHz en vue de l’utilisation limitée dans le temps par des systèmes radar à courte portée pour automobile dans la Communauté (JO L 21 du 25.1.2005, p. 15).</w:t>
      </w:r>
    </w:p>
  </w:footnote>
  <w:footnote w:id="32">
    <w:p>
      <w:pPr>
        <w:pStyle w:val="FootnoteText"/>
        <w:ind w:left="567" w:hanging="567"/>
      </w:pPr>
      <w:r>
        <w:rPr>
          <w:rStyle w:val="FootnoteReference"/>
        </w:rPr>
        <w:footnoteRef/>
      </w:r>
      <w:r>
        <w:tab/>
        <w:t>Règlement (UE) n</w:t>
      </w:r>
      <w:r>
        <w:rPr>
          <w:vertAlign w:val="superscript"/>
        </w:rPr>
        <w:t>o</w:t>
      </w:r>
      <w:r>
        <w:t> 1005/2010 de la Commission du 8 novembre 2010 concernant les exigences pour la réception des dispositifs de remorquage des véhicules à moteur et mettant en œuvre le règlement (CE) n</w:t>
      </w:r>
      <w:r>
        <w:rPr>
          <w:vertAlign w:val="superscript"/>
        </w:rPr>
        <w:t>o</w:t>
      </w:r>
      <w:r>
        <w:t> 661/2009 du Parlement européen et du Conseil concernant les prescriptions pour l’homologation relatives à la sécurité générale des véhicules à moteur, de leurs remorques et des systèmes, composants et entités techniques distinctes qui leur sont destinés (JO L 291 du 9.11.2010, p. 36).</w:t>
      </w:r>
    </w:p>
  </w:footnote>
  <w:footnote w:id="33">
    <w:p>
      <w:pPr>
        <w:pStyle w:val="FootnoteText"/>
        <w:ind w:left="567" w:hanging="567"/>
      </w:pPr>
      <w:r>
        <w:rPr>
          <w:rStyle w:val="FootnoteReference"/>
        </w:rPr>
        <w:footnoteRef/>
      </w:r>
      <w:r>
        <w:tab/>
      </w:r>
      <w:r>
        <w:rPr>
          <w:rStyle w:val="Strong"/>
          <w:b w:val="0"/>
        </w:rPr>
        <w:t>Règlement (CE) n</w:t>
      </w:r>
      <w:r>
        <w:rPr>
          <w:rStyle w:val="Strong"/>
          <w:b w:val="0"/>
          <w:vertAlign w:val="superscript"/>
        </w:rPr>
        <w:t>o</w:t>
      </w:r>
      <w:r>
        <w:rPr>
          <w:rStyle w:val="Strong"/>
          <w:b w:val="0"/>
        </w:rPr>
        <w:t> 692/2008 de la Commission du 18 juillet 2008 portant application et modification du règlement (CE) n</w:t>
      </w:r>
      <w:r>
        <w:rPr>
          <w:rStyle w:val="Strong"/>
          <w:b w:val="0"/>
          <w:vertAlign w:val="superscript"/>
        </w:rPr>
        <w:t>o</w:t>
      </w:r>
      <w:r>
        <w:rPr>
          <w:rStyle w:val="Strong"/>
          <w:b w:val="0"/>
        </w:rPr>
        <w:t xml:space="preserve"> 715/2007 du Parlement européen et du Conseil du 20 juin 2007 relatif à la réception des véhicules à moteur au regard des émissions des véhicules particuliers et utilitaires légers (Euro 5 et Euro 6) et aux informations sur la réparation et l’entretien des véhicules </w:t>
      </w:r>
      <w:r>
        <w:t>(JO L 199 du 28.7.2008, p. 1).</w:t>
      </w:r>
    </w:p>
  </w:footnote>
  <w:footnote w:id="34">
    <w:p>
      <w:pPr>
        <w:pStyle w:val="FootnoteText"/>
        <w:ind w:left="567" w:hanging="567"/>
      </w:pPr>
      <w:r>
        <w:rPr>
          <w:rStyle w:val="FootnoteReference"/>
        </w:rPr>
        <w:footnoteRef/>
      </w:r>
      <w:r>
        <w:tab/>
      </w:r>
      <w:r>
        <w:rPr>
          <w:rStyle w:val="Strong"/>
          <w:b w:val="0"/>
        </w:rPr>
        <w:t>Règlement (UE) n</w:t>
      </w:r>
      <w:r>
        <w:rPr>
          <w:rStyle w:val="Strong"/>
          <w:b w:val="0"/>
          <w:vertAlign w:val="superscript"/>
        </w:rPr>
        <w:t>o</w:t>
      </w:r>
      <w:r>
        <w:rPr>
          <w:rStyle w:val="Strong"/>
          <w:b w:val="0"/>
        </w:rPr>
        <w:t> 582/2011 de la Commission du 25 mai 2011 portant modalités d’application et modification du règlement (CE) n</w:t>
      </w:r>
      <w:r>
        <w:rPr>
          <w:rStyle w:val="Strong"/>
          <w:b w:val="0"/>
          <w:vertAlign w:val="superscript"/>
        </w:rPr>
        <w:t>o</w:t>
      </w:r>
      <w:r>
        <w:rPr>
          <w:rStyle w:val="Strong"/>
          <w:b w:val="0"/>
        </w:rPr>
        <w:t> 595/2009 du Parlement européen et du Conseil au regard des émissions des véhicules utilitaires lourds (Euro VI) et modifiant les annexes I et III de la directive 2007/46/CE du Parlement européen et du Conseil</w:t>
      </w:r>
      <w:r>
        <w:t xml:space="preserve"> (JO L 167 du 25.6.2011,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isplayBackgroundShape/>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27 13:43:4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18"/>
    <w:docVar w:name="DQCResult_ModifiedMarkers" w:val="0;0"/>
    <w:docVar w:name="DQCResult_ModifiedNumbering" w:val="0;0"/>
    <w:docVar w:name="DQCResult_Objects" w:val="0;0"/>
    <w:docVar w:name="DQCResult_Sections" w:val="0;0"/>
    <w:docVar w:name="DQCResult_StructureCheck" w:val="0;0"/>
    <w:docVar w:name="DQCResult_SuperfluousWhitespace" w:val="0;148"/>
    <w:docVar w:name="DQCResult_UnknownFonts" w:val="0;0"/>
    <w:docVar w:name="DQCResult_UnknownStyles" w:val="0;5"/>
    <w:docVar w:name="DQCStatus" w:val="Green"/>
    <w:docVar w:name="DQCVersion" w:val="3"/>
    <w:docVar w:name="DQCWithWarnings" w:val="0"/>
    <w:docVar w:name="FigNum" w:val="1"/>
    <w:docVar w:name="LW_ACCOMPAGNANT.CP" w:val="à la proposition de "/>
    <w:docVar w:name="LW_ANNEX_NBR_FIRST" w:val="1"/>
    <w:docVar w:name="LW_ANNEX_NBR_LAST" w:val="19"/>
    <w:docVar w:name="LW_CONFIDENCE" w:val=" "/>
    <w:docVar w:name="LW_CONST_RESTREINT_UE" w:val="RESTREINT UE"/>
    <w:docVar w:name="LW_CORRIGENDUM" w:val="&lt;UNUSED&gt;"/>
    <w:docVar w:name="LW_COVERPAGE_GUID" w:val="4EFF8A7009844BF9B01AAFB425C2752F"/>
    <w:docVar w:name="LW_CROSSREFERENCE" w:val="{SWD(2016) 9 final}_x000b_{SWD(2016) 10 final}"/>
    <w:docVar w:name="LW_DocType" w:val="ANNEX"/>
    <w:docVar w:name="LW_EMISSION" w:val="27.1.2016"/>
    <w:docVar w:name="LW_EMISSION_ISODATE" w:val="2016-01-27"/>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relatif à la réception et à la surveillance du marché des véhicules à moteur et de leurs remorques, ainsi que des systèmes, composants et entités techniques distinctes destinés à ces véhicules"/>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ANNEXES"/>
    <w:docVar w:name="LW_TYPEACTEPRINCIPAL.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fr-FR"/>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fr-FR"/>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lang w:bidi="fr-FR"/>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lang w:bidi="fr-FR"/>
    </w:rPr>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fr-FR"/>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fr-FR"/>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lang w:bidi="fr-FR"/>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lang w:bidi="fr-FR"/>
    </w:rPr>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473907378">
      <w:bodyDiv w:val="1"/>
      <w:marLeft w:val="0"/>
      <w:marRight w:val="0"/>
      <w:marTop w:val="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7.png"/><Relationship Id="rId42" Type="http://schemas.openxmlformats.org/officeDocument/2006/relationships/image" Target="media/image22.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N/TXT/HTML/?uri=CELEX:02007L0046-20140101&amp;from=EN" TargetMode="External"/><Relationship Id="rId25" Type="http://schemas.openxmlformats.org/officeDocument/2006/relationships/image" Target="media/image9.emf"/><Relationship Id="rId33" Type="http://schemas.openxmlformats.org/officeDocument/2006/relationships/image" Target="media/image16.png"/><Relationship Id="rId38" Type="http://schemas.openxmlformats.org/officeDocument/2006/relationships/footer" Target="footer5.xml"/><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http://eur-lex.europa.eu/legal-content/EN/TXT/HTML/?uri=CELEX:02007L0046-20140101&amp;from=EN"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hyperlink" Target="http://eur-lex.europa.eu/legal-content/EN/TXT/HTML/?uri=CELEX:02007L0046-20140101&amp;from=EN" TargetMode="External"/><Relationship Id="rId37" Type="http://schemas.openxmlformats.org/officeDocument/2006/relationships/footer" Target="footer4.xml"/><Relationship Id="rId40" Type="http://schemas.openxmlformats.org/officeDocument/2006/relationships/image" Target="media/image20.emf"/><Relationship Id="rId45" Type="http://schemas.openxmlformats.org/officeDocument/2006/relationships/image" Target="media/image25.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hyperlink" Target="http://eur-lex.europa.eu/legal-content/EN/TXT/HTML/?uri=CELEX:32014R0214&amp;from=EN" TargetMode="Externa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4.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8.emf"/><Relationship Id="rId43" Type="http://schemas.openxmlformats.org/officeDocument/2006/relationships/image" Target="media/image23.jpeg"/><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BA14-3306-46E6-9CF7-02202B74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8</TotalTime>
  <Pages>263</Pages>
  <Words>99243</Words>
  <Characters>533929</Characters>
  <Application>Microsoft Office Word</Application>
  <DocSecurity>0</DocSecurity>
  <Lines>23214</Lines>
  <Paragraphs>15443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617729</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RENDERS Johan (GROW)</dc:creator>
  <cp:lastModifiedBy>DIGIT/A3</cp:lastModifiedBy>
  <cp:revision>8</cp:revision>
  <cp:lastPrinted>2016-01-12T11:47:00Z</cp:lastPrinted>
  <dcterms:created xsi:type="dcterms:W3CDTF">2016-01-25T08:46:00Z</dcterms:created>
  <dcterms:modified xsi:type="dcterms:W3CDTF">2016-01-27T12:43:00Z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_NewReviewCycle">
    <vt:lpwstr/>
  </property>
  <property fmtid="{D5CDD505-2E9C-101B-9397-08002B2CF9AE}" pid="15" name="DQCStatus">
    <vt:lpwstr>Green (DQC version 03)</vt:lpwstr>
  </property>
</Properties>
</file>