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5F" w:rsidRDefault="00C651A0" w:rsidP="00C651A0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A438C2E1E83940A0AC93DD4254916ABC" style="width:450.4pt;height:383.45pt">
            <v:imagedata r:id="rId9" o:title=""/>
          </v:shape>
        </w:pict>
      </w:r>
    </w:p>
    <w:p w:rsidR="00AF715F" w:rsidRDefault="00AF715F">
      <w:pPr>
        <w:pStyle w:val="Pagedecouverture"/>
        <w:rPr>
          <w:noProof/>
        </w:rPr>
        <w:sectPr w:rsidR="00AF715F" w:rsidSect="00C651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AF715F" w:rsidRDefault="00C651A0"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ALLEGATO I</w:t>
      </w:r>
    </w:p>
    <w:p w:rsidR="00AF715F" w:rsidRDefault="00C651A0">
      <w:pPr>
        <w:pStyle w:val="NormalCentered"/>
        <w:rPr>
          <w:b/>
          <w:noProof/>
        </w:rPr>
      </w:pPr>
      <w:r>
        <w:rPr>
          <w:b/>
          <w:noProof/>
        </w:rPr>
        <w:t>Composti e miscele del mercurio di cui agli articoli 3 e 4</w:t>
      </w:r>
    </w:p>
    <w:p w:rsidR="00AF715F" w:rsidRDefault="00AF715F">
      <w:pPr>
        <w:rPr>
          <w:noProof/>
        </w:rPr>
      </w:pPr>
    </w:p>
    <w:p w:rsidR="00AF715F" w:rsidRDefault="00C651A0">
      <w:pPr>
        <w:rPr>
          <w:noProof/>
        </w:rPr>
      </w:pPr>
      <w:r>
        <w:rPr>
          <w:b/>
          <w:i/>
          <w:noProof/>
        </w:rPr>
        <w:t>Composti del mercurio</w:t>
      </w:r>
      <w:r>
        <w:rPr>
          <w:noProof/>
        </w:rPr>
        <w:t xml:space="preserve">: </w:t>
      </w:r>
    </w:p>
    <w:p w:rsidR="00AF715F" w:rsidRDefault="00C651A0">
      <w:pPr>
        <w:rPr>
          <w:noProof/>
        </w:rPr>
      </w:pPr>
      <w:r>
        <w:rPr>
          <w:noProof/>
        </w:rPr>
        <w:t xml:space="preserve">(I) </w:t>
      </w:r>
      <w:r>
        <w:rPr>
          <w:noProof/>
        </w:rPr>
        <w:t>Cloruro di mercurio (Hg</w:t>
      </w:r>
      <w:r>
        <w:rPr>
          <w:noProof/>
          <w:vertAlign w:val="subscript"/>
        </w:rPr>
        <w:t>2</w:t>
      </w:r>
      <w:r>
        <w:rPr>
          <w:noProof/>
        </w:rPr>
        <w:t>Cl</w:t>
      </w:r>
      <w:r>
        <w:rPr>
          <w:noProof/>
          <w:vertAlign w:val="subscript"/>
        </w:rPr>
        <w:t>2</w:t>
      </w:r>
      <w:r>
        <w:rPr>
          <w:noProof/>
        </w:rPr>
        <w:t>, CAS RN 10112-91-1)</w:t>
      </w:r>
    </w:p>
    <w:p w:rsidR="00AF715F" w:rsidRDefault="00C651A0">
      <w:pPr>
        <w:rPr>
          <w:noProof/>
        </w:rPr>
      </w:pPr>
      <w:r>
        <w:rPr>
          <w:noProof/>
        </w:rPr>
        <w:t>(II) Ossido di mercurio (HgO, CAS RN 21908-53-2)</w:t>
      </w:r>
    </w:p>
    <w:p w:rsidR="00AF715F" w:rsidRDefault="00C651A0">
      <w:pPr>
        <w:rPr>
          <w:noProof/>
        </w:rPr>
      </w:pPr>
      <w:r>
        <w:rPr>
          <w:noProof/>
        </w:rPr>
        <w:t>Cinabro</w:t>
      </w:r>
    </w:p>
    <w:p w:rsidR="00AF715F" w:rsidRDefault="00AF715F">
      <w:pPr>
        <w:rPr>
          <w:noProof/>
        </w:rPr>
      </w:pPr>
    </w:p>
    <w:p w:rsidR="00AF715F" w:rsidRDefault="00C651A0">
      <w:pPr>
        <w:rPr>
          <w:b/>
          <w:i/>
          <w:noProof/>
        </w:rPr>
      </w:pPr>
      <w:r>
        <w:rPr>
          <w:b/>
          <w:i/>
          <w:noProof/>
        </w:rPr>
        <w:t>Miscele:</w:t>
      </w:r>
    </w:p>
    <w:p w:rsidR="00AF715F" w:rsidRDefault="00C651A0">
      <w:pPr>
        <w:rPr>
          <w:noProof/>
        </w:rPr>
      </w:pPr>
      <w:r>
        <w:rPr>
          <w:noProof/>
        </w:rPr>
        <w:t>miscele di mercurio con altre sostanze, incluse le leghe di mercurio, con un tenore di mercurio pari ad almeno il 95% peso/peso;</w:t>
      </w:r>
    </w:p>
    <w:p w:rsidR="00AF715F" w:rsidRDefault="00C651A0">
      <w:pPr>
        <w:pStyle w:val="Annexetitre"/>
        <w:rPr>
          <w:noProof/>
          <w:u w:val="none"/>
        </w:rPr>
      </w:pPr>
      <w:r>
        <w:rPr>
          <w:noProof/>
        </w:rPr>
        <w:br w:type="page"/>
      </w:r>
      <w:r>
        <w:rPr>
          <w:noProof/>
          <w:u w:val="none"/>
        </w:rPr>
        <w:lastRenderedPageBreak/>
        <w:t>ALLEGATO II</w:t>
      </w:r>
    </w:p>
    <w:p w:rsidR="00AF715F" w:rsidRDefault="00C651A0">
      <w:pPr>
        <w:pStyle w:val="NormalCentered"/>
        <w:rPr>
          <w:b/>
          <w:noProof/>
        </w:rPr>
      </w:pPr>
      <w:r>
        <w:rPr>
          <w:b/>
          <w:noProof/>
        </w:rPr>
        <w:t xml:space="preserve">Prodotti con aggiunta di mercurio di cui all’articolo 5 </w:t>
      </w:r>
    </w:p>
    <w:p w:rsidR="00AF715F" w:rsidRDefault="00AF715F">
      <w:pPr>
        <w:ind w:left="1440" w:firstLine="720"/>
        <w:rPr>
          <w:noProof/>
        </w:rPr>
      </w:pPr>
    </w:p>
    <w:p w:rsidR="00AF715F" w:rsidRDefault="00C651A0">
      <w:pPr>
        <w:rPr>
          <w:b/>
          <w:noProof/>
        </w:rPr>
      </w:pPr>
      <w:r>
        <w:rPr>
          <w:b/>
          <w:noProof/>
        </w:rPr>
        <w:t>Parte A — Prodotti con aggiunta di mercurio</w:t>
      </w:r>
    </w:p>
    <w:p w:rsidR="00AF715F" w:rsidRDefault="00AF715F">
      <w:pPr>
        <w:rPr>
          <w:noProof/>
        </w:rPr>
      </w:pPr>
    </w:p>
    <w:tbl>
      <w:tblPr>
        <w:tblW w:w="9786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86"/>
      </w:tblGrid>
      <w:tr w:rsidR="00AF715F"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15F" w:rsidRDefault="00C651A0">
            <w:pPr>
              <w:snapToGrid w:val="0"/>
              <w:ind w:left="252" w:hanging="240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1.</w:t>
            </w:r>
            <w:r>
              <w:rPr>
                <w:noProof/>
              </w:rPr>
              <w:t xml:space="preserve"> Pile, ad eccezione delle pile a bottone all’ossido di argento e zinco con un tenore di mercurio &lt;</w:t>
            </w:r>
            <w:r>
              <w:rPr>
                <w:noProof/>
              </w:rPr>
              <w:t>2% e pile a bottone zinco-aria con un tenore di mercurio &lt; 2%</w:t>
            </w:r>
          </w:p>
        </w:tc>
      </w:tr>
      <w:tr w:rsidR="00AF715F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15F" w:rsidRDefault="00C651A0">
            <w:pPr>
              <w:snapToGrid w:val="0"/>
              <w:ind w:left="252" w:hanging="252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2.</w:t>
            </w:r>
            <w:r>
              <w:rPr>
                <w:noProof/>
              </w:rPr>
              <w:t xml:space="preserve"> Interruttori e relè, ad eccezione dei ponti per la misurazione della capacitanza e delle perdite ad elevata accuratezza e degli interruttori e relè RF ad alta frequenza negli strumenti di mo</w:t>
            </w:r>
            <w:r>
              <w:rPr>
                <w:noProof/>
              </w:rPr>
              <w:t>nitoraggio e controllo (tenore massimo di mercurio pari a 20 mg di mercurio per ponte, interruttore o relè).</w:t>
            </w:r>
          </w:p>
        </w:tc>
      </w:tr>
      <w:tr w:rsidR="00AF715F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15F" w:rsidRDefault="00C651A0">
            <w:pPr>
              <w:snapToGrid w:val="0"/>
              <w:ind w:left="252" w:hanging="252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3.</w:t>
            </w:r>
            <w:r>
              <w:rPr>
                <w:noProof/>
              </w:rPr>
              <w:t xml:space="preserve"> Lampade fluorescenti compatte per usi generali di illuminazione ≤ 30 watt con un tenore di mercurio superiore a 5 mg per bruciatore.</w:t>
            </w:r>
          </w:p>
        </w:tc>
      </w:tr>
      <w:tr w:rsidR="00AF715F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15F" w:rsidRDefault="00C651A0">
            <w:pPr>
              <w:snapToGrid w:val="0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4.</w:t>
            </w:r>
            <w:r>
              <w:rPr>
                <w:noProof/>
              </w:rPr>
              <w:t xml:space="preserve"> Le seguenti lampade fluorescenti lineari (LFL) per usi generali di illuminazione:</w:t>
            </w:r>
          </w:p>
          <w:p w:rsidR="00AF715F" w:rsidRDefault="00C651A0">
            <w:pPr>
              <w:numPr>
                <w:ilvl w:val="0"/>
                <w:numId w:val="5"/>
              </w:numPr>
              <w:suppressAutoHyphens/>
              <w:jc w:val="left"/>
              <w:rPr>
                <w:rFonts w:eastAsia="SimSun"/>
                <w:noProof/>
              </w:rPr>
            </w:pPr>
            <w:r>
              <w:rPr>
                <w:noProof/>
              </w:rPr>
              <w:t>a trifosfori &lt; 60 watt con un tenore di mercurio superiore a 5 mg per lampadina;</w:t>
            </w:r>
          </w:p>
          <w:p w:rsidR="00AF715F" w:rsidRDefault="00C651A0">
            <w:pPr>
              <w:numPr>
                <w:ilvl w:val="0"/>
                <w:numId w:val="5"/>
              </w:numPr>
              <w:suppressAutoHyphens/>
              <w:jc w:val="left"/>
              <w:rPr>
                <w:rFonts w:eastAsia="SimSun"/>
                <w:noProof/>
              </w:rPr>
            </w:pPr>
            <w:r>
              <w:rPr>
                <w:noProof/>
              </w:rPr>
              <w:t>a fosfori alosfosfati ≤ 40 watt con un tenore di mercurio superiore a 10mg per lampada.</w:t>
            </w:r>
          </w:p>
        </w:tc>
      </w:tr>
      <w:tr w:rsidR="00AF715F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15F" w:rsidRDefault="00C651A0">
            <w:pPr>
              <w:snapToGrid w:val="0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5.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Lampade al vapore di mercurio ad alta pressione (HPMV) per usi generali di illuminazione.</w:t>
            </w:r>
          </w:p>
        </w:tc>
      </w:tr>
      <w:tr w:rsidR="00AF715F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15F" w:rsidRDefault="00C651A0">
            <w:pPr>
              <w:snapToGrid w:val="0"/>
              <w:ind w:left="252" w:hanging="252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6.</w:t>
            </w:r>
            <w:r>
              <w:rPr>
                <w:noProof/>
              </w:rPr>
              <w:t xml:space="preserve"> Le seguenti lampade fluorescenti a catodo freddo e lampade fluorescenti con elettrodo esterno (CCFL e EEFL) per display elettronici con aggiunta di mercurio: </w:t>
            </w:r>
          </w:p>
          <w:p w:rsidR="00AF715F" w:rsidRDefault="00C651A0">
            <w:pPr>
              <w:rPr>
                <w:rFonts w:eastAsia="SimSun"/>
                <w:noProof/>
              </w:rPr>
            </w:pPr>
            <w:r>
              <w:rPr>
                <w:noProof/>
              </w:rPr>
              <w:t xml:space="preserve">a) </w:t>
            </w:r>
            <w:r>
              <w:rPr>
                <w:noProof/>
              </w:rPr>
              <w:t>lampade corte (≤ 500 mm) con tenore di mercurio superiore a 3,5 mg per lampada</w:t>
            </w:r>
          </w:p>
          <w:p w:rsidR="00AF715F" w:rsidRDefault="00C651A0">
            <w:pPr>
              <w:rPr>
                <w:rFonts w:eastAsia="SimSun"/>
                <w:noProof/>
              </w:rPr>
            </w:pPr>
            <w:r>
              <w:rPr>
                <w:noProof/>
              </w:rPr>
              <w:t>b) lampade medie (&gt; 500 mm e ≤ 1 500 mm) con tenore di mercurio superiore a 5 mg per lampada;</w:t>
            </w:r>
          </w:p>
          <w:p w:rsidR="00AF715F" w:rsidRDefault="00C651A0">
            <w:pPr>
              <w:rPr>
                <w:rFonts w:eastAsia="SimSun"/>
                <w:noProof/>
              </w:rPr>
            </w:pPr>
            <w:r>
              <w:rPr>
                <w:noProof/>
              </w:rPr>
              <w:t>c) lampade lunghe (&gt; 1 500 mm) con tenore di mercurio superiore a 13 mg per lampada</w:t>
            </w:r>
          </w:p>
        </w:tc>
      </w:tr>
      <w:tr w:rsidR="00AF715F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15F" w:rsidRDefault="00C651A0">
            <w:pPr>
              <w:snapToGrid w:val="0"/>
              <w:ind w:left="252" w:hanging="252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7.</w:t>
            </w:r>
            <w:r>
              <w:rPr>
                <w:noProof/>
              </w:rPr>
              <w:t xml:space="preserve"> Prodotti cosmetici contenenti mercurio e suoi composti, tranne i casi speciali di cui all’allegato V, n. 17, del regolamento (CE) n. 1223/2009 del Parlamento europeo e del Consiglio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</w:rPr>
              <w:t>.</w:t>
            </w:r>
          </w:p>
        </w:tc>
      </w:tr>
      <w:tr w:rsidR="00AF715F"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15F" w:rsidRDefault="00C651A0">
            <w:pPr>
              <w:snapToGrid w:val="0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8.</w:t>
            </w:r>
            <w:r>
              <w:rPr>
                <w:noProof/>
              </w:rPr>
              <w:t xml:space="preserve"> Pesticidi, biocidi e antisettici topici.</w:t>
            </w:r>
          </w:p>
        </w:tc>
      </w:tr>
      <w:tr w:rsidR="00AF715F">
        <w:trPr>
          <w:trHeight w:val="170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15F" w:rsidRDefault="00C651A0">
            <w:pPr>
              <w:snapToGrid w:val="0"/>
              <w:ind w:left="252" w:hanging="252"/>
              <w:rPr>
                <w:rFonts w:eastAsia="SimSun"/>
                <w:noProof/>
              </w:rPr>
            </w:pPr>
            <w:r>
              <w:rPr>
                <w:b/>
                <w:noProof/>
              </w:rPr>
              <w:t>9.</w:t>
            </w:r>
            <w:r>
              <w:rPr>
                <w:noProof/>
              </w:rPr>
              <w:t xml:space="preserve"> I seguenti dispositivi di misurazione non elettronici sono disponibili nei casi in cui non esistano adeguate alternative prive di mercurio:</w:t>
            </w:r>
          </w:p>
          <w:p w:rsidR="00AF715F" w:rsidRDefault="00C651A0">
            <w:pPr>
              <w:rPr>
                <w:rFonts w:eastAsia="SimSun"/>
                <w:noProof/>
              </w:rPr>
            </w:pPr>
            <w:r>
              <w:rPr>
                <w:noProof/>
              </w:rPr>
              <w:t xml:space="preserve">a) barometri; </w:t>
            </w:r>
          </w:p>
          <w:p w:rsidR="00AF715F" w:rsidRDefault="00C651A0">
            <w:pPr>
              <w:rPr>
                <w:rFonts w:eastAsia="SimSun"/>
                <w:noProof/>
              </w:rPr>
            </w:pPr>
            <w:r>
              <w:rPr>
                <w:noProof/>
              </w:rPr>
              <w:t xml:space="preserve">b) igrometri; </w:t>
            </w:r>
          </w:p>
          <w:p w:rsidR="00AF715F" w:rsidRDefault="00C651A0">
            <w:pPr>
              <w:rPr>
                <w:rFonts w:eastAsia="SimSun"/>
                <w:noProof/>
              </w:rPr>
            </w:pPr>
            <w:r>
              <w:rPr>
                <w:noProof/>
              </w:rPr>
              <w:t xml:space="preserve">c) manometri; </w:t>
            </w:r>
          </w:p>
          <w:p w:rsidR="00AF715F" w:rsidRDefault="00C651A0">
            <w:pPr>
              <w:rPr>
                <w:rFonts w:eastAsia="SimSun"/>
                <w:noProof/>
              </w:rPr>
            </w:pPr>
            <w:r>
              <w:rPr>
                <w:noProof/>
              </w:rPr>
              <w:t>d) termometri;</w:t>
            </w:r>
          </w:p>
          <w:p w:rsidR="00AF715F" w:rsidRDefault="00C651A0">
            <w:pPr>
              <w:rPr>
                <w:rFonts w:eastAsia="SimSun"/>
                <w:noProof/>
              </w:rPr>
            </w:pPr>
            <w:r>
              <w:rPr>
                <w:noProof/>
              </w:rPr>
              <w:t>e) sfigmomanometri;</w:t>
            </w:r>
          </w:p>
          <w:p w:rsidR="00AF715F" w:rsidRDefault="00C651A0">
            <w:pPr>
              <w:rPr>
                <w:rFonts w:eastAsia="SimSun"/>
                <w:noProof/>
              </w:rPr>
            </w:pPr>
            <w:r>
              <w:rPr>
                <w:noProof/>
              </w:rPr>
              <w:t>Questa voce non comprende i seguent</w:t>
            </w:r>
            <w:r>
              <w:rPr>
                <w:noProof/>
              </w:rPr>
              <w:t>i dispositivi di misurazione:</w:t>
            </w:r>
          </w:p>
          <w:p w:rsidR="00AF715F" w:rsidRDefault="00C651A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72"/>
              <w:rPr>
                <w:rFonts w:eastAsia="SimSun"/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dispositivi di misurazione non elettronici installati in attrezzature su larga scala o quelli utilizzati per misurazioni di alta precisione;</w:t>
            </w:r>
          </w:p>
          <w:p w:rsidR="00AF715F" w:rsidRDefault="00C651A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72"/>
              <w:rPr>
                <w:rFonts w:eastAsia="SimSun"/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dispositivi di misurazione risalenti a più di 50 anni prima del 3 ottobre 2007;</w:t>
            </w:r>
          </w:p>
          <w:p w:rsidR="00AF715F" w:rsidRDefault="00C651A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72"/>
              <w:rPr>
                <w:rFonts w:eastAsia="SimSun"/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dispo</w:t>
            </w:r>
            <w:r>
              <w:rPr>
                <w:noProof/>
                <w:sz w:val="24"/>
              </w:rPr>
              <w:t>sitivi di misurazione esposti al pubblico a fini storici e culturali.</w:t>
            </w:r>
          </w:p>
        </w:tc>
      </w:tr>
    </w:tbl>
    <w:p w:rsidR="00AF715F" w:rsidRDefault="00AF715F">
      <w:pPr>
        <w:rPr>
          <w:noProof/>
        </w:rPr>
      </w:pPr>
    </w:p>
    <w:p w:rsidR="00AF715F" w:rsidRDefault="00C651A0">
      <w:pPr>
        <w:rPr>
          <w:b/>
          <w:noProof/>
        </w:rPr>
      </w:pPr>
      <w:r>
        <w:rPr>
          <w:b/>
          <w:noProof/>
        </w:rPr>
        <w:t>Parte B — Ulteriori prodotti esclusi dall’elenco di cui alla parte A del presente allegato</w:t>
      </w:r>
    </w:p>
    <w:p w:rsidR="00AF715F" w:rsidRDefault="00AF715F">
      <w:pPr>
        <w:rPr>
          <w:noProof/>
        </w:rPr>
      </w:pPr>
    </w:p>
    <w:p w:rsidR="00AF715F" w:rsidRDefault="00C651A0">
      <w:pPr>
        <w:rPr>
          <w:noProof/>
        </w:rPr>
      </w:pPr>
      <w:r>
        <w:rPr>
          <w:noProof/>
        </w:rPr>
        <w:t xml:space="preserve">Interruttori e relè, lampade fluorescenti a catodo freddo e lampade fluorescenti con </w:t>
      </w:r>
      <w:r>
        <w:rPr>
          <w:noProof/>
        </w:rPr>
        <w:t>elettrodo esterno (CCFL e EEFL) per i display elettronici e dispositivi di misura, se utilizzati per sostituire un componente di un’attrezzatura più ampia e purché non esistano alternative fattibili prive di mercurio per tale componente, a norma della dire</w:t>
      </w:r>
      <w:r>
        <w:rPr>
          <w:noProof/>
        </w:rPr>
        <w:t>ttiva 2000/53/CE del Parlamento europeo e del Consiglio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e della direttiva 2011/65/UE del Parlamento europeo e del Consiglio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 w:rsidR="00AF715F" w:rsidRDefault="00C651A0">
      <w:pPr>
        <w:pStyle w:val="Annexetitre"/>
        <w:rPr>
          <w:noProof/>
          <w:u w:val="none"/>
        </w:rPr>
      </w:pPr>
      <w:r>
        <w:rPr>
          <w:noProof/>
        </w:rPr>
        <w:br w:type="page"/>
      </w:r>
      <w:r>
        <w:rPr>
          <w:noProof/>
          <w:u w:val="none"/>
        </w:rPr>
        <w:t>ALLEGATO III</w:t>
      </w:r>
    </w:p>
    <w:p w:rsidR="00AF715F" w:rsidRDefault="00C651A0">
      <w:pPr>
        <w:pStyle w:val="NormalCentered"/>
        <w:rPr>
          <w:b/>
          <w:noProof/>
        </w:rPr>
      </w:pPr>
      <w:r>
        <w:rPr>
          <w:b/>
          <w:noProof/>
        </w:rPr>
        <w:t xml:space="preserve">Obblighi relativi al mercurio applicabili ai processi di produzione </w:t>
      </w:r>
    </w:p>
    <w:p w:rsidR="00AF715F" w:rsidRDefault="00AF715F">
      <w:pPr>
        <w:rPr>
          <w:b/>
          <w:noProof/>
          <w:szCs w:val="24"/>
        </w:rPr>
      </w:pPr>
    </w:p>
    <w:p w:rsidR="00AF715F" w:rsidRDefault="00C651A0">
      <w:pPr>
        <w:tabs>
          <w:tab w:val="left" w:pos="1080"/>
        </w:tabs>
        <w:ind w:left="960" w:hanging="960"/>
        <w:rPr>
          <w:b/>
          <w:noProof/>
          <w:szCs w:val="24"/>
        </w:rPr>
      </w:pPr>
      <w:r>
        <w:rPr>
          <w:b/>
          <w:noProof/>
        </w:rPr>
        <w:t xml:space="preserve">Parte I: divieto di utilizzo del mercurio e dei suoi composti nei processi di fabbricazione </w:t>
      </w:r>
    </w:p>
    <w:p w:rsidR="00AF715F" w:rsidRDefault="00AF715F">
      <w:pPr>
        <w:tabs>
          <w:tab w:val="left" w:pos="1080"/>
        </w:tabs>
        <w:ind w:left="960" w:hanging="960"/>
        <w:rPr>
          <w:b/>
          <w:noProof/>
          <w:szCs w:val="24"/>
        </w:rPr>
      </w:pP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dal 1° gennaio 2019: produzione di acetaldeide</w:t>
      </w:r>
    </w:p>
    <w:p w:rsidR="00AF715F" w:rsidRDefault="00C651A0">
      <w:pPr>
        <w:pStyle w:val="Point0letter"/>
        <w:rPr>
          <w:noProof/>
        </w:rPr>
      </w:pPr>
      <w:r>
        <w:rPr>
          <w:noProof/>
        </w:rPr>
        <w:t>dal 1° gennaio 2019: produzione di cloruro di vinile monomero</w:t>
      </w:r>
    </w:p>
    <w:p w:rsidR="00AF715F" w:rsidRDefault="00AF715F">
      <w:pPr>
        <w:rPr>
          <w:noProof/>
          <w:szCs w:val="24"/>
        </w:rPr>
      </w:pPr>
    </w:p>
    <w:p w:rsidR="00AF715F" w:rsidRDefault="00C651A0">
      <w:pPr>
        <w:tabs>
          <w:tab w:val="left" w:pos="1080"/>
        </w:tabs>
        <w:ind w:left="960" w:hanging="960"/>
        <w:rPr>
          <w:b/>
          <w:noProof/>
          <w:szCs w:val="24"/>
        </w:rPr>
      </w:pPr>
      <w:r>
        <w:rPr>
          <w:b/>
          <w:noProof/>
        </w:rPr>
        <w:t>Parte II: processi di fabbricazione soggetti a restr</w:t>
      </w:r>
      <w:r>
        <w:rPr>
          <w:b/>
          <w:noProof/>
        </w:rPr>
        <w:t xml:space="preserve">izioni nell’uso e nelle emissioni del mercurio e dei suoi composti </w:t>
      </w:r>
    </w:p>
    <w:p w:rsidR="00AF715F" w:rsidRDefault="00AF715F">
      <w:pPr>
        <w:tabs>
          <w:tab w:val="left" w:pos="1080"/>
        </w:tabs>
        <w:ind w:left="960" w:hanging="960"/>
        <w:rPr>
          <w:b/>
          <w:noProof/>
          <w:szCs w:val="24"/>
        </w:rPr>
      </w:pPr>
    </w:p>
    <w:p w:rsidR="00AF715F" w:rsidRDefault="00C651A0">
      <w:pPr>
        <w:rPr>
          <w:b/>
          <w:i/>
          <w:noProof/>
          <w:szCs w:val="24"/>
        </w:rPr>
      </w:pPr>
      <w:r>
        <w:rPr>
          <w:b/>
          <w:i/>
          <w:noProof/>
        </w:rPr>
        <w:t xml:space="preserve">Produzione di metilato o di etilato di sodio o di potassio </w:t>
      </w:r>
    </w:p>
    <w:p w:rsidR="00AF715F" w:rsidRDefault="00C651A0">
      <w:pPr>
        <w:rPr>
          <w:noProof/>
          <w:szCs w:val="24"/>
        </w:rPr>
      </w:pPr>
      <w:r>
        <w:rPr>
          <w:noProof/>
        </w:rPr>
        <w:t xml:space="preserve">La produzione di metilato o di etilato di sodio o di potassio deve avvenire in conformità alle seguenti prescrizioni: </w:t>
      </w:r>
    </w:p>
    <w:p w:rsidR="00AF715F" w:rsidRDefault="00C651A0">
      <w:pPr>
        <w:pStyle w:val="Tiret0"/>
        <w:numPr>
          <w:ilvl w:val="0"/>
          <w:numId w:val="12"/>
        </w:numPr>
        <w:rPr>
          <w:noProof/>
        </w:rPr>
      </w:pPr>
      <w:r>
        <w:rPr>
          <w:noProof/>
        </w:rPr>
        <w:t xml:space="preserve">divieto </w:t>
      </w:r>
      <w:r>
        <w:rPr>
          <w:noProof/>
        </w:rPr>
        <w:t xml:space="preserve">dell’uso di mercurio derivante da estrazione primaria; </w:t>
      </w:r>
    </w:p>
    <w:p w:rsidR="00AF715F" w:rsidRDefault="00C651A0">
      <w:pPr>
        <w:pStyle w:val="Tiret0"/>
        <w:rPr>
          <w:noProof/>
        </w:rPr>
      </w:pPr>
      <w:r>
        <w:rPr>
          <w:noProof/>
        </w:rPr>
        <w:t xml:space="preserve">riduzione delle emissioni dirette e indirette di mercurio e di composti del mercurio nell’aria, nell’acqua e nel suolo in termini di tonnellate di sostanze prodotte pari al 50% entro il 2020 rispetto </w:t>
      </w:r>
      <w:r>
        <w:rPr>
          <w:noProof/>
        </w:rPr>
        <w:t>ai livelli del 2010; e</w:t>
      </w:r>
    </w:p>
    <w:p w:rsidR="00AF715F" w:rsidRDefault="00C651A0">
      <w:pPr>
        <w:pStyle w:val="Tiret0"/>
        <w:rPr>
          <w:noProof/>
        </w:rPr>
      </w:pPr>
      <w:r>
        <w:rPr>
          <w:noProof/>
        </w:rPr>
        <w:t>alla data di entrata in vigore del presente regolamento, la capacità degli impianti che utilizzano mercurio e suoi composti per la produzione di metilato o etilato di sodio o di potassio e che erano in funzione prima di tale data non</w:t>
      </w:r>
      <w:r>
        <w:rPr>
          <w:noProof/>
        </w:rPr>
        <w:t xml:space="preserve"> deve aumentare e non saranno autorizzati nuovi impianti.</w:t>
      </w:r>
    </w:p>
    <w:p w:rsidR="00AF715F" w:rsidRDefault="00C651A0">
      <w:pPr>
        <w:pStyle w:val="Annexetitre"/>
        <w:rPr>
          <w:noProof/>
          <w:u w:val="none"/>
        </w:rPr>
      </w:pPr>
      <w:r>
        <w:rPr>
          <w:noProof/>
        </w:rPr>
        <w:br w:type="page"/>
      </w:r>
      <w:r>
        <w:rPr>
          <w:noProof/>
          <w:u w:val="none"/>
        </w:rPr>
        <w:t>ALLEGATO IV</w:t>
      </w:r>
    </w:p>
    <w:p w:rsidR="00AF715F" w:rsidRDefault="00C651A0">
      <w:pPr>
        <w:pStyle w:val="NormalCentered"/>
        <w:rPr>
          <w:b/>
          <w:noProof/>
        </w:rPr>
      </w:pPr>
      <w:r>
        <w:rPr>
          <w:b/>
          <w:noProof/>
        </w:rPr>
        <w:t>Contenuto del piano nazionale relativo all’estrazione artigianale e su piccola scala dell’oro di cui all’articolo 9</w:t>
      </w:r>
    </w:p>
    <w:p w:rsidR="00AF715F" w:rsidRDefault="00AF715F">
      <w:pPr>
        <w:autoSpaceDE w:val="0"/>
        <w:autoSpaceDN w:val="0"/>
        <w:adjustRightInd w:val="0"/>
        <w:spacing w:before="0" w:after="0"/>
        <w:rPr>
          <w:rFonts w:eastAsia="Calibri"/>
          <w:noProof/>
          <w:sz w:val="20"/>
          <w:szCs w:val="24"/>
        </w:rPr>
      </w:pPr>
    </w:p>
    <w:p w:rsidR="00AF715F" w:rsidRDefault="00C651A0">
      <w:pPr>
        <w:rPr>
          <w:noProof/>
        </w:rPr>
      </w:pPr>
      <w:r>
        <w:rPr>
          <w:noProof/>
        </w:rPr>
        <w:t>Il piano nazionale comprende le informazioni seguenti:</w:t>
      </w:r>
    </w:p>
    <w:p w:rsidR="00AF715F" w:rsidRDefault="00C651A0">
      <w:pPr>
        <w:pStyle w:val="Point0letter"/>
        <w:numPr>
          <w:ilvl w:val="1"/>
          <w:numId w:val="13"/>
        </w:numPr>
        <w:rPr>
          <w:noProof/>
        </w:rPr>
      </w:pPr>
      <w:r>
        <w:rPr>
          <w:noProof/>
        </w:rPr>
        <w:t>obiettivi naz</w:t>
      </w:r>
      <w:r>
        <w:rPr>
          <w:noProof/>
        </w:rPr>
        <w:t>ionali e obiettivi di riduzione;</w:t>
      </w: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misure per l’eliminazione di:</w:t>
      </w:r>
    </w:p>
    <w:p w:rsidR="00AF715F" w:rsidRDefault="00C651A0"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>amalgami di minerale grezzo;</w:t>
      </w:r>
    </w:p>
    <w:p w:rsidR="00AF715F" w:rsidRDefault="00C651A0">
      <w:pPr>
        <w:pStyle w:val="Point1"/>
        <w:rPr>
          <w:noProof/>
        </w:rPr>
      </w:pPr>
      <w:r>
        <w:rPr>
          <w:noProof/>
        </w:rPr>
        <w:t>ii)</w:t>
      </w:r>
      <w:r>
        <w:rPr>
          <w:noProof/>
        </w:rPr>
        <w:tab/>
        <w:t>combustione all’aria aperta di amalgami o di amalgami trattati;</w:t>
      </w:r>
    </w:p>
    <w:p w:rsidR="00AF715F" w:rsidRDefault="00C651A0">
      <w:pPr>
        <w:pStyle w:val="Point1"/>
        <w:rPr>
          <w:noProof/>
        </w:rPr>
      </w:pPr>
      <w:r>
        <w:rPr>
          <w:noProof/>
        </w:rPr>
        <w:t>iii)</w:t>
      </w:r>
      <w:r>
        <w:rPr>
          <w:noProof/>
        </w:rPr>
        <w:tab/>
        <w:t xml:space="preserve">combustione di amalgama nelle zone residenziali; e </w:t>
      </w:r>
    </w:p>
    <w:p w:rsidR="00AF715F" w:rsidRDefault="00C651A0">
      <w:pPr>
        <w:pStyle w:val="Point1"/>
        <w:rPr>
          <w:noProof/>
        </w:rPr>
      </w:pPr>
      <w:r>
        <w:rPr>
          <w:noProof/>
        </w:rPr>
        <w:t>iv)</w:t>
      </w:r>
      <w:r>
        <w:rPr>
          <w:noProof/>
        </w:rPr>
        <w:tab/>
        <w:t xml:space="preserve">lisciviazione al cianuro in </w:t>
      </w:r>
      <w:r>
        <w:rPr>
          <w:noProof/>
        </w:rPr>
        <w:t>sedimenti, minerali o sterili cui è stato aggiunto mercurio, senza prima eliminarlo;</w:t>
      </w: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misure per agevolare la formalizzazione o la regolamentazione del settore delle attività di estrazione e trasformazione dell’oro a livello artigianale e su piccola scala;</w:t>
      </w: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stime di base delle quantità di mercurio e delle pratiche utilizzate nel settore dell’estrazione e trasformazione dell’oro a livello artigianale e su piccola scala nel proprio territorio;</w:t>
      </w: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strategie di promozione della riduzione delle emissioni e dei rilasc</w:t>
      </w:r>
      <w:r>
        <w:rPr>
          <w:noProof/>
        </w:rPr>
        <w:t>i di mercurio, e dell’esposizione a questa sostanza, dell’attività di estrazione e trasformazione dell’oro a livello artigianale e su piccola scala;</w:t>
      </w: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strategie per la gestione del commercio e la prevenzione della diversione del mercurio e dei composti di me</w:t>
      </w:r>
      <w:r>
        <w:rPr>
          <w:noProof/>
        </w:rPr>
        <w:t>rcurio da fonti nazionali e estere destinati ad essere utilizzati nelle attività di estrazione e trasformazione dell’oro a livello artigianale e su piccola scala;</w:t>
      </w: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strategie per coinvolgere le parti interessate nell’attuazione e lo sviluppo continuo del pia</w:t>
      </w:r>
      <w:r>
        <w:rPr>
          <w:noProof/>
        </w:rPr>
        <w:t>no d’azione nazionale;</w:t>
      </w: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una strategia di sanità pubblica relativa all’esposizione al mercurio dei lavoratori delle miniere d’oro artigianali e su piccola scala e delle loro comunità, che dovrebbe includere, tra l’altro, la rilevazione di dati sanitari, la f</w:t>
      </w:r>
      <w:r>
        <w:rPr>
          <w:noProof/>
        </w:rPr>
        <w:t>ormazione degli operatori sanitari e una campagna di sensibilizzazione attraverso delle strutture sanitarie;</w:t>
      </w: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strategie per prevenire l’esposizione delle popolazioni vulnerabili, in particolare i bambini e le donne in età fertile (soprattutto le donne in st</w:t>
      </w:r>
      <w:r>
        <w:rPr>
          <w:noProof/>
        </w:rPr>
        <w:t>ato di gravidanza) al mercurio utilizzato nelle attività di estrazione dell’oro a livello artigianale e su piccola scala;</w:t>
      </w: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strategie per fornire informazioni ai lavoratori delle miniere d’oro artigianali e su piccola scala e alle comunità interessate;</w:t>
      </w:r>
    </w:p>
    <w:p w:rsidR="00AF715F" w:rsidRDefault="00C651A0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un ca</w:t>
      </w:r>
      <w:r>
        <w:rPr>
          <w:noProof/>
        </w:rPr>
        <w:t>lendario per l’attuazione del piano d’azione nazionale.</w:t>
      </w:r>
    </w:p>
    <w:p w:rsidR="00AF715F" w:rsidRDefault="00C651A0">
      <w:pPr>
        <w:pStyle w:val="Annexetitre"/>
        <w:rPr>
          <w:noProof/>
          <w:u w:val="none"/>
        </w:rPr>
      </w:pPr>
      <w:r>
        <w:rPr>
          <w:noProof/>
        </w:rPr>
        <w:br w:type="page"/>
      </w:r>
      <w:r>
        <w:rPr>
          <w:noProof/>
          <w:u w:val="none"/>
        </w:rPr>
        <w:t>ALLEGATO V</w:t>
      </w:r>
    </w:p>
    <w:p w:rsidR="00AF715F" w:rsidRDefault="00C651A0">
      <w:pPr>
        <w:pStyle w:val="NormalCentered"/>
        <w:rPr>
          <w:b/>
          <w:noProof/>
        </w:rPr>
      </w:pPr>
      <w:r>
        <w:rPr>
          <w:b/>
          <w:noProof/>
        </w:rPr>
        <w:t>Tavola di concordanza</w:t>
      </w:r>
    </w:p>
    <w:p w:rsidR="00AF715F" w:rsidRDefault="00AF715F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AF715F">
        <w:trPr>
          <w:trHeight w:val="968"/>
        </w:trPr>
        <w:tc>
          <w:tcPr>
            <w:tcW w:w="4644" w:type="dxa"/>
          </w:tcPr>
          <w:p w:rsidR="00AF715F" w:rsidRDefault="00AF715F">
            <w:pPr>
              <w:jc w:val="center"/>
              <w:rPr>
                <w:noProof/>
              </w:rPr>
            </w:pPr>
          </w:p>
          <w:p w:rsidR="00AF715F" w:rsidRDefault="00C651A0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Regolamento (CE) n. 1102/2008</w:t>
            </w:r>
          </w:p>
          <w:p w:rsidR="00AF715F" w:rsidRDefault="00AF715F">
            <w:pPr>
              <w:jc w:val="center"/>
              <w:rPr>
                <w:noProof/>
              </w:rPr>
            </w:pPr>
          </w:p>
          <w:p w:rsidR="00AF715F" w:rsidRDefault="00AF715F">
            <w:pPr>
              <w:jc w:val="center"/>
              <w:rPr>
                <w:noProof/>
              </w:rPr>
            </w:pPr>
          </w:p>
        </w:tc>
        <w:tc>
          <w:tcPr>
            <w:tcW w:w="4645" w:type="dxa"/>
          </w:tcPr>
          <w:p w:rsidR="00AF715F" w:rsidRDefault="00AF715F">
            <w:pPr>
              <w:jc w:val="center"/>
              <w:rPr>
                <w:b/>
                <w:noProof/>
                <w:szCs w:val="22"/>
              </w:rPr>
            </w:pPr>
          </w:p>
          <w:p w:rsidR="00AF715F" w:rsidRDefault="00C651A0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Il presente regolamento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1, paragrafo 1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3, paragrafo 1, primo comma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1, paragrafo 2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Articolo 3, </w:t>
            </w:r>
            <w:r>
              <w:rPr>
                <w:noProof/>
              </w:rPr>
              <w:t>paragrafo 1, secondo comma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1, paragrafo 3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3, paragrafo 2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2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11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3, paragrafo 1, primo comma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13, paragrafo 1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3, paragrafo 1, secondo comma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3, paragrafo 2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Articolo 4, </w:t>
            </w:r>
            <w:r>
              <w:rPr>
                <w:noProof/>
              </w:rPr>
              <w:t>paragrafo 1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4, paragrafo 2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4, paragrafo 3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5, paragrafo 1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5, paragrafo 2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5, paragrafo 3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6, paragrafo 1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12, paragrafo 1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6, paragrafo 2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Articolo 12, </w:t>
            </w:r>
            <w:r>
              <w:rPr>
                <w:noProof/>
              </w:rPr>
              <w:t>paragrafo 1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6, paragrafo 3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12, paragrafo 1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6, paragrafo 4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7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14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8, paragrafo 1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8, paragrafo 2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8, paragrafo 3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8, paragrafo 4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8, paragrafo</w:t>
            </w:r>
            <w:r>
              <w:rPr>
                <w:noProof/>
              </w:rPr>
              <w:t xml:space="preserve"> 5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  <w:tr w:rsidR="00AF715F">
        <w:tc>
          <w:tcPr>
            <w:tcW w:w="4644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Articolo 9</w:t>
            </w:r>
          </w:p>
          <w:p w:rsidR="00AF715F" w:rsidRDefault="00AF715F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645" w:type="dxa"/>
          </w:tcPr>
          <w:p w:rsidR="00AF715F" w:rsidRDefault="00C651A0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 xml:space="preserve">_ </w:t>
            </w:r>
          </w:p>
        </w:tc>
      </w:tr>
    </w:tbl>
    <w:p w:rsidR="00AF715F" w:rsidRDefault="00AF715F">
      <w:pPr>
        <w:rPr>
          <w:noProof/>
        </w:rPr>
      </w:pPr>
    </w:p>
    <w:sectPr w:rsidR="00AF715F" w:rsidSect="00C651A0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5F" w:rsidRDefault="00C651A0">
      <w:pPr>
        <w:spacing w:before="0" w:after="0"/>
      </w:pPr>
      <w:r>
        <w:separator/>
      </w:r>
    </w:p>
  </w:endnote>
  <w:endnote w:type="continuationSeparator" w:id="0">
    <w:p w:rsidR="00AF715F" w:rsidRDefault="00C651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A0" w:rsidRPr="00C651A0" w:rsidRDefault="00C651A0" w:rsidP="00C651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5F" w:rsidRPr="00C651A0" w:rsidRDefault="00C651A0" w:rsidP="00C651A0">
    <w:pPr>
      <w:pStyle w:val="Footer"/>
      <w:rPr>
        <w:rFonts w:ascii="Arial" w:hAnsi="Arial" w:cs="Arial"/>
        <w:b/>
        <w:sz w:val="48"/>
      </w:rPr>
    </w:pPr>
    <w:r w:rsidRPr="00C651A0">
      <w:rPr>
        <w:rFonts w:ascii="Arial" w:hAnsi="Arial" w:cs="Arial"/>
        <w:b/>
        <w:sz w:val="48"/>
      </w:rPr>
      <w:t>IT</w:t>
    </w:r>
    <w:r w:rsidRPr="00C651A0">
      <w:rPr>
        <w:rFonts w:ascii="Arial" w:hAnsi="Arial" w:cs="Arial"/>
        <w:b/>
        <w:sz w:val="48"/>
      </w:rPr>
      <w:tab/>
    </w:r>
    <w:r w:rsidRPr="00C651A0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C651A0">
      <w:tab/>
    </w:r>
    <w:proofErr w:type="spellStart"/>
    <w:r w:rsidRPr="00C651A0">
      <w:rPr>
        <w:rFonts w:ascii="Arial" w:hAnsi="Arial" w:cs="Arial"/>
        <w:b/>
        <w:sz w:val="48"/>
      </w:rPr>
      <w:t>IT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A0" w:rsidRPr="00C651A0" w:rsidRDefault="00C651A0" w:rsidP="00C651A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A0" w:rsidRPr="00C651A0" w:rsidRDefault="00C651A0" w:rsidP="00C651A0">
    <w:pPr>
      <w:pStyle w:val="Footer"/>
      <w:rPr>
        <w:rFonts w:ascii="Arial" w:hAnsi="Arial" w:cs="Arial"/>
        <w:b/>
        <w:sz w:val="48"/>
      </w:rPr>
    </w:pPr>
    <w:r w:rsidRPr="00C651A0">
      <w:rPr>
        <w:rFonts w:ascii="Arial" w:hAnsi="Arial" w:cs="Arial"/>
        <w:b/>
        <w:sz w:val="48"/>
      </w:rPr>
      <w:t>IT</w:t>
    </w:r>
    <w:r w:rsidRPr="00C651A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C651A0">
      <w:tab/>
    </w:r>
    <w:r w:rsidRPr="00C651A0">
      <w:rPr>
        <w:rFonts w:ascii="Arial" w:hAnsi="Arial" w:cs="Arial"/>
        <w:b/>
        <w:sz w:val="48"/>
      </w:rPr>
      <w:t>IT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A0" w:rsidRPr="00C651A0" w:rsidRDefault="00C651A0" w:rsidP="00C65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5F" w:rsidRDefault="00C651A0">
      <w:pPr>
        <w:spacing w:before="0" w:after="0"/>
      </w:pPr>
      <w:r>
        <w:separator/>
      </w:r>
    </w:p>
  </w:footnote>
  <w:footnote w:type="continuationSeparator" w:id="0">
    <w:p w:rsidR="00AF715F" w:rsidRDefault="00C651A0">
      <w:pPr>
        <w:spacing w:before="0" w:after="0"/>
      </w:pPr>
      <w:r>
        <w:continuationSeparator/>
      </w:r>
    </w:p>
  </w:footnote>
  <w:footnote w:id="1">
    <w:p w:rsidR="00AF715F" w:rsidRDefault="00C651A0">
      <w:pPr>
        <w:pStyle w:val="FootnoteText"/>
        <w:ind w:left="360" w:hanging="360"/>
      </w:pPr>
      <w:r>
        <w:rPr>
          <w:rStyle w:val="FootnoteReference"/>
        </w:rPr>
        <w:footnoteRef/>
      </w:r>
      <w:r>
        <w:tab/>
      </w:r>
      <w:r>
        <w:rPr>
          <w:rStyle w:val="Strong"/>
          <w:b w:val="0"/>
        </w:rPr>
        <w:t xml:space="preserve">Regolamento (CE) n. 1223/2009 del Parlamento europeo e del Consiglio, del 30 novembre 2009, sui prodotti cosmetici </w:t>
      </w:r>
      <w:r>
        <w:rPr>
          <w:rStyle w:val="Strong"/>
          <w:b w:val="0"/>
          <w:color w:val="444444"/>
        </w:rPr>
        <w:t>(</w:t>
      </w:r>
      <w:r>
        <w:t xml:space="preserve">GU </w:t>
      </w:r>
      <w:proofErr w:type="gramStart"/>
      <w:r>
        <w:t>L</w:t>
      </w:r>
      <w:proofErr w:type="gramEnd"/>
      <w:r>
        <w:t xml:space="preserve"> 342 del 22.12.2009, pag. 59). </w:t>
      </w:r>
    </w:p>
  </w:footnote>
  <w:footnote w:id="2">
    <w:p w:rsidR="00AF715F" w:rsidRDefault="00C651A0">
      <w:pPr>
        <w:pStyle w:val="FootnoteText"/>
        <w:ind w:left="360" w:hanging="360"/>
      </w:pPr>
      <w:r>
        <w:rPr>
          <w:rStyle w:val="FootnoteReference"/>
        </w:rPr>
        <w:footnoteRef/>
      </w:r>
      <w:r>
        <w:tab/>
        <w:t xml:space="preserve">Direttiva 2000/53/CE del Parlamento europeo e del Consiglio, del 18 settembre 2000, relativa ai veicoli fuori uso (GU </w:t>
      </w:r>
      <w:proofErr w:type="gramStart"/>
      <w:r>
        <w:t>L</w:t>
      </w:r>
      <w:proofErr w:type="gramEnd"/>
      <w:r>
        <w:t xml:space="preserve"> 269 del 21.10.2000, pag. 34).</w:t>
      </w:r>
    </w:p>
  </w:footnote>
  <w:footnote w:id="3">
    <w:p w:rsidR="00AF715F" w:rsidRDefault="00C651A0">
      <w:pPr>
        <w:pStyle w:val="FootnoteText"/>
        <w:ind w:left="360" w:hanging="360"/>
      </w:pPr>
      <w:r>
        <w:rPr>
          <w:rStyle w:val="FootnoteReference"/>
        </w:rPr>
        <w:footnoteRef/>
      </w:r>
      <w:r>
        <w:tab/>
      </w:r>
      <w:r>
        <w:rPr>
          <w:rStyle w:val="Strong"/>
          <w:b w:val="0"/>
        </w:rPr>
        <w:t xml:space="preserve">Direttiva 2011/65/UE del Parlamento europeo e del Consiglio, </w:t>
      </w:r>
      <w:proofErr w:type="gramStart"/>
      <w:r>
        <w:rPr>
          <w:rStyle w:val="Strong"/>
          <w:b w:val="0"/>
        </w:rPr>
        <w:t xml:space="preserve">del </w:t>
      </w:r>
      <w:proofErr w:type="gramEnd"/>
      <w:r>
        <w:rPr>
          <w:rStyle w:val="Strong"/>
          <w:b w:val="0"/>
        </w:rPr>
        <w:t>8</w:t>
      </w:r>
      <w:r>
        <w:rPr>
          <w:rStyle w:val="Strong"/>
          <w:b w:val="0"/>
        </w:rPr>
        <w:t xml:space="preserve"> giugno 2011, sulla restrizione dell’uso di determinate sostanze pericolose nelle apparecchiature elettriche ed elettroniche</w:t>
      </w:r>
      <w:r>
        <w:t xml:space="preserve"> </w:t>
      </w:r>
      <w:r>
        <w:rPr>
          <w:rStyle w:val="Strong"/>
          <w:b w:val="0"/>
        </w:rPr>
        <w:t>(</w:t>
      </w:r>
      <w:r>
        <w:t>GU L 174 dell’1.7.2011, pag. 88).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A0" w:rsidRPr="00C651A0" w:rsidRDefault="00C651A0" w:rsidP="00C651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A0" w:rsidRPr="00C651A0" w:rsidRDefault="00C651A0" w:rsidP="00C651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A0" w:rsidRPr="00C651A0" w:rsidRDefault="00C651A0" w:rsidP="00C65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AEA182"/>
    <w:lvl w:ilvl="0">
      <w:start w:val="1"/>
      <w:numFmt w:val="decimal"/>
      <w:pStyle w:val="ListNumber4"/>
      <w:lvlText w:val="%1."/>
      <w:lvlJc w:val="left"/>
      <w:pPr>
        <w:tabs>
          <w:tab w:val="num" w:pos="3405"/>
        </w:tabs>
        <w:ind w:left="3405" w:hanging="360"/>
      </w:pPr>
    </w:lvl>
  </w:abstractNum>
  <w:abstractNum w:abstractNumId="1">
    <w:nsid w:val="FFFFFF7E"/>
    <w:multiLevelType w:val="singleLevel"/>
    <w:tmpl w:val="1B062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FFCEF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31016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D2AD4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5F2AA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7CCD3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60C4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6"/>
    <w:multiLevelType w:val="singleLevel"/>
    <w:tmpl w:val="00000006"/>
    <w:name w:val="WW8Num13"/>
    <w:lvl w:ilvl="0">
      <w:start w:val="1"/>
      <w:numFmt w:val="lowerLetter"/>
      <w:lvlText w:val="(%1)"/>
      <w:lvlJc w:val="left"/>
      <w:pPr>
        <w:tabs>
          <w:tab w:val="num" w:pos="0"/>
        </w:tabs>
        <w:ind w:left="405" w:hanging="360"/>
      </w:pPr>
      <w:rPr>
        <w:rFonts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4B1D4F8D"/>
    <w:multiLevelType w:val="hybridMultilevel"/>
    <w:tmpl w:val="1124EC30"/>
    <w:lvl w:ilvl="0" w:tplc="00000006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22"/>
  </w:num>
  <w:num w:numId="17">
    <w:abstractNumId w:val="12"/>
  </w:num>
  <w:num w:numId="18">
    <w:abstractNumId w:val="14"/>
  </w:num>
  <w:num w:numId="19">
    <w:abstractNumId w:val="10"/>
  </w:num>
  <w:num w:numId="20">
    <w:abstractNumId w:val="21"/>
  </w:num>
  <w:num w:numId="21">
    <w:abstractNumId w:val="9"/>
  </w:num>
  <w:num w:numId="22">
    <w:abstractNumId w:val="15"/>
  </w:num>
  <w:num w:numId="23">
    <w:abstractNumId w:val="18"/>
  </w:num>
  <w:num w:numId="24">
    <w:abstractNumId w:val="19"/>
  </w:num>
  <w:num w:numId="25">
    <w:abstractNumId w:val="11"/>
  </w:num>
  <w:num w:numId="26">
    <w:abstractNumId w:val="17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01 09:39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della proposta di"/>
    <w:docVar w:name="LW_ACCOMPAGNANT.CP" w:val="della proposta di"/>
    <w:docVar w:name="LW_ANNEX_NBR_FIRST" w:val="1"/>
    <w:docVar w:name="LW_ANNEX_NBR_LAST" w:val="5"/>
    <w:docVar w:name="LW_CONFIDENCE" w:val=" "/>
    <w:docVar w:name="LW_CONST_RESTREINT_UE" w:val="RESTREINT UE/EU RESTRICTED"/>
    <w:docVar w:name="LW_CORRIGENDUM" w:val="&lt;UNUSED&gt;"/>
    <w:docVar w:name="LW_COVERPAGE_GUID" w:val="A438C2E1E83940A0AC93DD4254916ABC"/>
    <w:docVar w:name="LW_CROSSREFERENCE" w:val="&lt;UNUSED&gt;"/>
    <w:docVar w:name="LW_DocType" w:val="ANNEX"/>
    <w:docVar w:name="LW_EMISSION" w:val="2.2.2016"/>
    <w:docVar w:name="LW_EMISSION_ISODATE" w:val="2016-02-02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17"/>
    <w:docVar w:name="LW_LANGUE" w:val="IT"/>
    <w:docVar w:name="LW_MARKING" w:val="&lt;UNUSED&gt;"/>
    <w:docVar w:name="LW_NOM.INST" w:val="COMMISSIONE EUROPEA"/>
    <w:docVar w:name="LW_NOM.INST_JOINTDOC" w:val="&lt;EMPTY&gt;"/>
    <w:docVar w:name="LW_OBJETACTEPRINCIPAL" w:val="del Parlamento europeo e del Consiglio_x000b_sul mercurio che abroga il regolamento (CE) n. 1102/2008"/>
    <w:docVar w:name="LW_OBJETACTEPRINCIPAL.CP" w:val="del Parlamento europeo e del Consiglio_x000b_sul mercurio che abroga il regolamento (CE) n. 1102/2008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39"/>
    <w:docVar w:name="LW_REF.INTERNE" w:val="&lt;UNUSED&gt;"/>
    <w:docVar w:name="LW_SUPERTITRE" w:val="&lt;UNUSED&gt;"/>
    <w:docVar w:name="LW_TITRE.OBJ.CP" w:val="&lt;UNUSED&gt;"/>
    <w:docVar w:name="LW_TYPE.DOC" w:val="ALLEGATI"/>
    <w:docVar w:name="LW_TYPE.DOC.CP" w:val="ALLEGATI"/>
    <w:docVar w:name="LW_TYPEACTEPRINCIPAL" w:val="Regolamento"/>
    <w:docVar w:name="LW_TYPEACTEPRINCIPAL.CP" w:val="Regolamento"/>
  </w:docVars>
  <w:rsids>
    <w:rsidRoot w:val="00AF715F"/>
    <w:rsid w:val="00AF715F"/>
    <w:rsid w:val="00C6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it-I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eastAsia="Calibri"/>
      <w:sz w:val="20"/>
      <w:szCs w:val="20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1">
    <w:name w:val="Style1"/>
    <w:basedOn w:val="FootnoteText"/>
    <w:qFormat/>
    <w:rPr>
      <w:color w:val="444444"/>
      <w:lang w:val="en"/>
    </w:rPr>
  </w:style>
  <w:style w:type="paragraph" w:styleId="Header">
    <w:name w:val="header"/>
    <w:basedOn w:val="Normal"/>
    <w:link w:val="HeaderChar"/>
    <w:uiPriority w:val="99"/>
    <w:unhideWhenUsed/>
    <w:rsid w:val="00C651A0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651A0"/>
    <w:rPr>
      <w:rFonts w:ascii="Times New Roman" w:hAnsi="Times New Roman" w:cs="Times New Roman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651A0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it-I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eastAsia="Calibri"/>
      <w:sz w:val="20"/>
      <w:szCs w:val="20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1">
    <w:name w:val="Style1"/>
    <w:basedOn w:val="FootnoteText"/>
    <w:qFormat/>
    <w:rPr>
      <w:color w:val="444444"/>
      <w:lang w:val="en"/>
    </w:rPr>
  </w:style>
  <w:style w:type="paragraph" w:styleId="Header">
    <w:name w:val="header"/>
    <w:basedOn w:val="Normal"/>
    <w:link w:val="HeaderChar"/>
    <w:uiPriority w:val="99"/>
    <w:unhideWhenUsed/>
    <w:rsid w:val="00C651A0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651A0"/>
    <w:rPr>
      <w:rFonts w:ascii="Times New Roman" w:hAnsi="Times New Roman" w:cs="Times New Roman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651A0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0BBA-FB57-4A9F-94D4-8F3BC95F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8</Pages>
  <Words>1208</Words>
  <Characters>6455</Characters>
  <Application>Microsoft Office Word</Application>
  <DocSecurity>0</DocSecurity>
  <Lines>215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FORNASERO Stefania (ENV)</dc:creator>
  <cp:lastModifiedBy>LAGES CARVALHO Patrick (SG)</cp:lastModifiedBy>
  <cp:revision>9</cp:revision>
  <cp:lastPrinted>2016-01-12T15:15:00Z</cp:lastPrinted>
  <dcterms:created xsi:type="dcterms:W3CDTF">2016-01-29T15:38:00Z</dcterms:created>
  <dcterms:modified xsi:type="dcterms:W3CDTF">2016-02-01T12:06:00Z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5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