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63B" w:rsidRDefault="00B137F5" w:rsidP="00B137F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66F11A5BFA346D0934A1396B11FFE73" style="width:450.75pt;height:384pt">
            <v:imagedata r:id="rId12" o:title=""/>
          </v:shape>
        </w:pict>
      </w:r>
    </w:p>
    <w:p w:rsidR="005B563B" w:rsidRDefault="005B563B">
      <w:pPr>
        <w:rPr>
          <w:noProof/>
        </w:rPr>
        <w:sectPr w:rsidR="005B563B" w:rsidSect="00B137F5">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5B563B" w:rsidRDefault="00B137F5" w:rsidP="00B137F5">
      <w:pPr>
        <w:pStyle w:val="Typedudocument"/>
        <w:rPr>
          <w:noProof/>
        </w:rPr>
      </w:pPr>
      <w:r w:rsidRPr="00B137F5">
        <w:lastRenderedPageBreak/>
        <w:t>PRILOG</w:t>
      </w:r>
    </w:p>
    <w:p w:rsidR="005B563B" w:rsidRDefault="00B137F5" w:rsidP="00B137F5">
      <w:pPr>
        <w:pStyle w:val="Accompagnant"/>
        <w:rPr>
          <w:noProof/>
        </w:rPr>
      </w:pPr>
      <w:r w:rsidRPr="00B137F5">
        <w:t xml:space="preserve"> </w:t>
      </w:r>
    </w:p>
    <w:p w:rsidR="005B563B" w:rsidRDefault="00B137F5" w:rsidP="00B137F5">
      <w:pPr>
        <w:pStyle w:val="Typeacteprincipal"/>
        <w:rPr>
          <w:noProof/>
        </w:rPr>
      </w:pPr>
      <w:r w:rsidRPr="00B137F5">
        <w:t>Prijedlogu odluke Vijeća</w:t>
      </w:r>
    </w:p>
    <w:p w:rsidR="005B563B" w:rsidRDefault="00B137F5" w:rsidP="00B137F5">
      <w:pPr>
        <w:pStyle w:val="Objetacteprincipal"/>
        <w:rPr>
          <w:noProof/>
        </w:rPr>
      </w:pPr>
      <w:r w:rsidRPr="00B137F5">
        <w:t>o izmjeni Direktive 2011/16/EU u pogledu obvezne automatske razmjene informacija u području oporezivanja</w:t>
      </w:r>
    </w:p>
    <w:p w:rsidR="005B563B" w:rsidRDefault="00B137F5">
      <w:pPr>
        <w:spacing w:before="0" w:after="200" w:line="276" w:lineRule="auto"/>
        <w:jc w:val="center"/>
        <w:rPr>
          <w:rFonts w:eastAsia="Calibri"/>
          <w:noProof/>
          <w:szCs w:val="24"/>
        </w:rPr>
      </w:pPr>
      <w:r>
        <w:rPr>
          <w:noProof/>
        </w:rPr>
        <w:t>PRILOG III.</w:t>
      </w:r>
    </w:p>
    <w:p w:rsidR="005B563B" w:rsidRDefault="00B137F5">
      <w:pPr>
        <w:pStyle w:val="NormalCentered"/>
        <w:rPr>
          <w:noProof/>
        </w:rPr>
      </w:pPr>
      <w:r>
        <w:rPr>
          <w:noProof/>
        </w:rPr>
        <w:t>Pravila podnošenja za skupine multinacionalnih poduzeća</w:t>
      </w:r>
    </w:p>
    <w:p w:rsidR="005B563B" w:rsidRDefault="005B563B">
      <w:pPr>
        <w:pStyle w:val="NormalCentered"/>
        <w:rPr>
          <w:rFonts w:eastAsia="Calibri"/>
          <w:noProof/>
          <w:szCs w:val="24"/>
        </w:rPr>
      </w:pPr>
      <w:bookmarkStart w:id="0" w:name="_GoBack"/>
      <w:bookmarkEnd w:id="0"/>
    </w:p>
    <w:p w:rsidR="005B563B" w:rsidRDefault="00B137F5">
      <w:pPr>
        <w:spacing w:before="0" w:after="200" w:line="276" w:lineRule="auto"/>
        <w:jc w:val="center"/>
        <w:rPr>
          <w:rFonts w:eastAsia="Calibri"/>
          <w:noProof/>
          <w:szCs w:val="24"/>
        </w:rPr>
      </w:pPr>
      <w:r>
        <w:rPr>
          <w:noProof/>
        </w:rPr>
        <w:t>ODJELJAK I.</w:t>
      </w:r>
    </w:p>
    <w:p w:rsidR="005B563B" w:rsidRDefault="00B137F5">
      <w:pPr>
        <w:spacing w:before="0" w:after="200" w:line="276" w:lineRule="auto"/>
        <w:jc w:val="center"/>
        <w:rPr>
          <w:rFonts w:eastAsia="Calibri"/>
          <w:noProof/>
          <w:szCs w:val="24"/>
        </w:rPr>
      </w:pPr>
      <w:r>
        <w:rPr>
          <w:noProof/>
        </w:rPr>
        <w:t xml:space="preserve">UTVRĐENI POJMOVI </w:t>
      </w:r>
    </w:p>
    <w:p w:rsidR="005B563B" w:rsidRDefault="00B137F5">
      <w:pPr>
        <w:spacing w:before="0" w:after="200" w:line="276" w:lineRule="auto"/>
        <w:rPr>
          <w:rFonts w:eastAsia="Calibri"/>
          <w:noProof/>
          <w:szCs w:val="24"/>
        </w:rPr>
      </w:pPr>
      <w:r>
        <w:rPr>
          <w:noProof/>
        </w:rPr>
        <w:t xml:space="preserve">1. „Skupina” znači određeni broj poduzeća povezanih vlasništvom ili kontrolom koja ili imaju obvezu pripremati </w:t>
      </w:r>
      <w:r>
        <w:rPr>
          <w:noProof/>
        </w:rPr>
        <w:t>konsolidirane financijske izvještaje u svrhe financijskog izvješćivanja u skladu s primjenjivim računovodstvenim načelima ili bi imala tu obvezu kad bi se trgovalo vlasničkim udjelima jednog od poduzeća na burzi vrijednosnih papira.</w:t>
      </w:r>
    </w:p>
    <w:p w:rsidR="005B563B" w:rsidRDefault="00B137F5">
      <w:pPr>
        <w:spacing w:before="0" w:after="200" w:line="276" w:lineRule="auto"/>
        <w:rPr>
          <w:rFonts w:eastAsia="Calibri"/>
          <w:noProof/>
          <w:szCs w:val="24"/>
        </w:rPr>
      </w:pPr>
      <w:r>
        <w:rPr>
          <w:noProof/>
        </w:rPr>
        <w:t>2. „Poduzeće” znači bil</w:t>
      </w:r>
      <w:r>
        <w:rPr>
          <w:noProof/>
        </w:rPr>
        <w:t>o koji oblik vođenja poslovanja bilo koje osobe iz članka 3. stavka 11. točaka (b), (c) i (d).</w:t>
      </w:r>
    </w:p>
    <w:p w:rsidR="005B563B" w:rsidRDefault="00B137F5">
      <w:pPr>
        <w:spacing w:before="0" w:after="200" w:line="276" w:lineRule="auto"/>
        <w:rPr>
          <w:rFonts w:eastAsia="Calibri"/>
          <w:noProof/>
          <w:szCs w:val="24"/>
        </w:rPr>
      </w:pPr>
      <w:r>
        <w:rPr>
          <w:noProof/>
        </w:rPr>
        <w:t>3. „Skupina MNP-ova” znači svaka skupina koja obuhvaća dva ili više poduzeća koja su rezidenti različitih poreznih jurisdikcija ili uključuje poduzeće koje je re</w:t>
      </w:r>
      <w:r>
        <w:rPr>
          <w:noProof/>
        </w:rPr>
        <w:t>zident jedne jurisdikcije u svrhu oporezivanja i porezni obveznik u drugoj jurisdikciji zbog poslovanja koje obavlja putem stalne poslovne jedinice u toj jurisdikciji, a nije isključena skupina MNP-ova.</w:t>
      </w:r>
    </w:p>
    <w:p w:rsidR="005B563B" w:rsidRDefault="00B137F5">
      <w:pPr>
        <w:spacing w:before="0" w:after="200" w:line="276" w:lineRule="auto"/>
        <w:rPr>
          <w:rFonts w:eastAsia="Calibri"/>
          <w:noProof/>
          <w:szCs w:val="24"/>
        </w:rPr>
      </w:pPr>
      <w:r>
        <w:rPr>
          <w:noProof/>
        </w:rPr>
        <w:t>4. „Isključena skupina MNP-ova” znači, u odnosu na sv</w:t>
      </w:r>
      <w:r>
        <w:rPr>
          <w:noProof/>
        </w:rPr>
        <w:t>aku fiskalnu godinu skupine, skupina čiji je ukupni konsolidirani prihod skupine ispod 750 000 000 EUR ili u lokalnoj valuti u iznosu od otprilike 750 000 000 EUR u siječnju 2015. tijekom fiskalne godine koja neposredno prethodi izvještajnoj fiskalnoj godi</w:t>
      </w:r>
      <w:r>
        <w:rPr>
          <w:noProof/>
        </w:rPr>
        <w:t>ni, kako je navedeno u njezinim konsolidiranim financijskim izvještajima za tu prethodnu fiskalnu godinu.</w:t>
      </w:r>
    </w:p>
    <w:p w:rsidR="005B563B" w:rsidRDefault="00B137F5">
      <w:pPr>
        <w:spacing w:before="0" w:after="200" w:line="276" w:lineRule="auto"/>
        <w:rPr>
          <w:rFonts w:eastAsia="Calibri"/>
          <w:noProof/>
          <w:szCs w:val="24"/>
        </w:rPr>
      </w:pPr>
      <w:r>
        <w:rPr>
          <w:noProof/>
        </w:rPr>
        <w:t>5. „Sastavni subjekt” znači jedno od sljedećeg:</w:t>
      </w:r>
    </w:p>
    <w:p w:rsidR="005B563B" w:rsidRDefault="00B137F5">
      <w:pPr>
        <w:spacing w:before="0" w:after="200" w:line="276" w:lineRule="auto"/>
        <w:rPr>
          <w:rFonts w:eastAsia="Calibri"/>
          <w:noProof/>
          <w:szCs w:val="24"/>
        </w:rPr>
      </w:pPr>
      <w:r>
        <w:rPr>
          <w:noProof/>
        </w:rPr>
        <w:t>(a) svaka zasebna poslovna jedinica skupine MNP-ova koja je uključena u konsolidirane financijske izvj</w:t>
      </w:r>
      <w:r>
        <w:rPr>
          <w:noProof/>
        </w:rPr>
        <w:t xml:space="preserve">eštaje skupine MNP-ova u svrhe financijskog izvješćivanja ili bi bila u njih uključena kad bi se vlasničkim udjelima te poslovne jedinice skupine MNP-ova trgovalo na burzi vrijednosnih papira; </w:t>
      </w:r>
    </w:p>
    <w:p w:rsidR="005B563B" w:rsidRDefault="00B137F5">
      <w:pPr>
        <w:spacing w:before="0" w:after="200" w:line="276" w:lineRule="auto"/>
        <w:rPr>
          <w:rFonts w:eastAsia="Calibri"/>
          <w:noProof/>
          <w:szCs w:val="24"/>
        </w:rPr>
      </w:pPr>
      <w:r>
        <w:rPr>
          <w:noProof/>
        </w:rPr>
        <w:t>(b) svaka takva poslovna jedinica koja je isključena iz konsol</w:t>
      </w:r>
      <w:r>
        <w:rPr>
          <w:noProof/>
        </w:rPr>
        <w:t xml:space="preserve">idiranih financijskih izvještaja skupine MNP-ova samo zbog veličine ili pitanja značajnosti; </w:t>
      </w:r>
    </w:p>
    <w:p w:rsidR="005B563B" w:rsidRDefault="00B137F5">
      <w:pPr>
        <w:spacing w:before="0" w:after="200" w:line="276" w:lineRule="auto"/>
        <w:rPr>
          <w:rFonts w:eastAsia="Calibri"/>
          <w:noProof/>
          <w:szCs w:val="24"/>
        </w:rPr>
      </w:pPr>
      <w:r>
        <w:rPr>
          <w:noProof/>
        </w:rPr>
        <w:t>(c) svaka stalna poslovna jedinica svake zasebne poslovne jedinice skupine MNP-ova uključene pod (a) ili (b) pod uvjetom da zasebna poslovna jedinica sastavlja za</w:t>
      </w:r>
      <w:r>
        <w:rPr>
          <w:noProof/>
        </w:rPr>
        <w:t xml:space="preserve">sebni </w:t>
      </w:r>
      <w:r>
        <w:rPr>
          <w:noProof/>
        </w:rPr>
        <w:lastRenderedPageBreak/>
        <w:t>financijski izvještaj za tu stalnu poslovnu jedinicu u svrhe financijskog izvješćivanja, regulatornog ili poreznog izvješćivanja ili u svrhe unutarnje kontrole upravljanja.</w:t>
      </w:r>
    </w:p>
    <w:p w:rsidR="005B563B" w:rsidRDefault="00B137F5">
      <w:pPr>
        <w:spacing w:before="0" w:after="200" w:line="276" w:lineRule="auto"/>
        <w:rPr>
          <w:rFonts w:eastAsia="Calibri"/>
          <w:noProof/>
          <w:szCs w:val="24"/>
        </w:rPr>
      </w:pPr>
      <w:r>
        <w:rPr>
          <w:noProof/>
        </w:rPr>
        <w:t>6. „Subjekt koji podnosi izvješće” znači sastavni subjekt koji je obvezan pod</w:t>
      </w:r>
      <w:r>
        <w:rPr>
          <w:noProof/>
        </w:rPr>
        <w:t>nositi izvješće po državama u ime skupine MNP-ova u skladu sa zahtjevima iz članka 8.aa stavka 3. u jurisdikciji u kojoj ima poreznu rezidentnost; Subjekt koji podnosi izvješće može biti matično društvo, zamjensko matično društvo ili bilo koji subjekt opis</w:t>
      </w:r>
      <w:r>
        <w:rPr>
          <w:noProof/>
        </w:rPr>
        <w:t>an u odjeljku II. točki 1.</w:t>
      </w:r>
    </w:p>
    <w:p w:rsidR="005B563B" w:rsidRDefault="00B137F5">
      <w:pPr>
        <w:spacing w:before="0" w:after="200" w:line="276" w:lineRule="auto"/>
        <w:rPr>
          <w:rFonts w:eastAsia="Calibri"/>
          <w:noProof/>
          <w:szCs w:val="24"/>
        </w:rPr>
      </w:pPr>
      <w:r>
        <w:rPr>
          <w:noProof/>
        </w:rPr>
        <w:t>7. „Matično društvo” znači sastavni subjekt skupine MNP-ova koji ispunjava sljedeće kriterije:</w:t>
      </w:r>
    </w:p>
    <w:p w:rsidR="005B563B" w:rsidRDefault="00B137F5">
      <w:pPr>
        <w:spacing w:before="0" w:after="200" w:line="276" w:lineRule="auto"/>
        <w:rPr>
          <w:rFonts w:eastAsia="Calibri"/>
          <w:noProof/>
          <w:szCs w:val="24"/>
        </w:rPr>
      </w:pPr>
      <w:r>
        <w:rPr>
          <w:noProof/>
        </w:rPr>
        <w:t xml:space="preserve">(a) izravni je ili neizravni vlasnik dovoljno udjela u najmanje jednom sastavnom subjektu skupine MNP-ova, zbog čega mora sastavljati </w:t>
      </w:r>
      <w:r>
        <w:rPr>
          <w:noProof/>
        </w:rPr>
        <w:t>konsolidirane financijske izvještaje u skladu s računovodstvenim načelima koja se primjenjuju u jurisdikciji u kojoj ima poreznu rezidentnost ili bi ih morao sastavljati kad bi se njegovim vlasničkim udjelima trgovalo na burzi vrijednosnih papira u jurisdi</w:t>
      </w:r>
      <w:r>
        <w:rPr>
          <w:noProof/>
        </w:rPr>
        <w:t xml:space="preserve">kciji u kojoj ima poreznu rezidentnost; </w:t>
      </w:r>
    </w:p>
    <w:p w:rsidR="005B563B" w:rsidRDefault="00B137F5">
      <w:pPr>
        <w:spacing w:before="0" w:after="200" w:line="276" w:lineRule="auto"/>
        <w:rPr>
          <w:rFonts w:eastAsia="Calibri"/>
          <w:noProof/>
          <w:szCs w:val="24"/>
        </w:rPr>
      </w:pPr>
      <w:r>
        <w:rPr>
          <w:noProof/>
        </w:rPr>
        <w:t>(b) ne postoji drugi sastavni subjekt takve skupine MNP-ova koji je izravni ili neizravni vlasnik udjela opisanog u točki (a) prvog spomenutog sastavnog subjekta.</w:t>
      </w:r>
    </w:p>
    <w:p w:rsidR="005B563B" w:rsidRDefault="00B137F5">
      <w:pPr>
        <w:spacing w:before="0" w:after="200" w:line="276" w:lineRule="auto"/>
        <w:rPr>
          <w:rFonts w:eastAsia="Calibri"/>
          <w:noProof/>
          <w:szCs w:val="24"/>
        </w:rPr>
      </w:pPr>
      <w:r>
        <w:rPr>
          <w:noProof/>
        </w:rPr>
        <w:t xml:space="preserve">8. „Zamjensko matično društvo” znači jedan sastavni </w:t>
      </w:r>
      <w:r>
        <w:rPr>
          <w:noProof/>
        </w:rPr>
        <w:t>subjekt skupine MNP-ova koji je imenovala takva skupina MNP-ova kao jedinu zamjenu za matično društvo u svrhe podnošenja izvješća po državama u jurisdikciji porezne rezidentnosti tog sastavnog subjekta u ime takve skupine MNP-ova ako se primjenjuje najmanj</w:t>
      </w:r>
      <w:r>
        <w:rPr>
          <w:noProof/>
        </w:rPr>
        <w:t>e jedan uvjet iz odjeljka II. točke 1. podtočke (b).</w:t>
      </w:r>
    </w:p>
    <w:p w:rsidR="005B563B" w:rsidRDefault="00B137F5">
      <w:pPr>
        <w:spacing w:before="0" w:after="200" w:line="276" w:lineRule="auto"/>
        <w:rPr>
          <w:rFonts w:eastAsia="Calibri"/>
          <w:noProof/>
          <w:szCs w:val="24"/>
        </w:rPr>
      </w:pPr>
      <w:r>
        <w:rPr>
          <w:noProof/>
        </w:rPr>
        <w:t>9. „Fiskalna godina” znači godišnje računovodstveno razdoblje za koje matično društvo skupine MNP-ova priprema svoje financijske izvještaje.</w:t>
      </w:r>
    </w:p>
    <w:p w:rsidR="005B563B" w:rsidRDefault="00B137F5">
      <w:pPr>
        <w:spacing w:before="0" w:after="200" w:line="276" w:lineRule="auto"/>
        <w:rPr>
          <w:rFonts w:eastAsia="Calibri"/>
          <w:noProof/>
          <w:szCs w:val="24"/>
        </w:rPr>
      </w:pPr>
      <w:r>
        <w:rPr>
          <w:noProof/>
        </w:rPr>
        <w:t xml:space="preserve">10. „Izvještajna fiskalna godina” znači ona fiskalna godina u </w:t>
      </w:r>
      <w:r>
        <w:rPr>
          <w:noProof/>
        </w:rPr>
        <w:t>kojoj su ostvareni financijski rezultati i rezultati poslovanja navedeni u izvješću po državama iz članka 8.aa stavka 3.</w:t>
      </w:r>
    </w:p>
    <w:p w:rsidR="005B563B" w:rsidRDefault="00B137F5">
      <w:pPr>
        <w:spacing w:before="0" w:after="200" w:line="276" w:lineRule="auto"/>
        <w:rPr>
          <w:rFonts w:eastAsia="Calibri"/>
          <w:noProof/>
          <w:szCs w:val="24"/>
        </w:rPr>
      </w:pPr>
      <w:r>
        <w:rPr>
          <w:noProof/>
        </w:rPr>
        <w:t xml:space="preserve">11. „Sporazum između kvalificiranih nadležnih tijela” znači sporazum između ovlaštenih predstavnika države članice EU-a i jurisdikcija </w:t>
      </w:r>
      <w:r>
        <w:rPr>
          <w:noProof/>
        </w:rPr>
        <w:t>izvan Unije koje su stranke međunarodnog sporazuma i u kojem je propisana automatska razmjena izvješća po državama između jurisdikcija stranaka sporazuma.</w:t>
      </w:r>
    </w:p>
    <w:p w:rsidR="005B563B" w:rsidRDefault="00B137F5">
      <w:pPr>
        <w:spacing w:before="0" w:after="200" w:line="276" w:lineRule="auto"/>
        <w:rPr>
          <w:rFonts w:eastAsia="Calibri"/>
          <w:noProof/>
          <w:szCs w:val="24"/>
        </w:rPr>
      </w:pPr>
      <w:r>
        <w:rPr>
          <w:noProof/>
        </w:rPr>
        <w:t>12. „Međunarodni sporazum” znači multilateralna konvencija o uzajamnoj administrativnoj pomoći u pore</w:t>
      </w:r>
      <w:r>
        <w:rPr>
          <w:noProof/>
        </w:rPr>
        <w:t>znim stvarima, svaka bilateralna ili multilateralna porezna konvencija ili svaki sporazum o razmjeni poreznih informacija čija je država članica stranka i u čijim je odredbama predviđena zakonska ovlast za razmjenu informacija u području oporezivanja, uklj</w:t>
      </w:r>
      <w:r>
        <w:rPr>
          <w:noProof/>
        </w:rPr>
        <w:t>učujući automatsku razmjenu takvih podataka.</w:t>
      </w:r>
    </w:p>
    <w:p w:rsidR="005B563B" w:rsidRDefault="00B137F5">
      <w:pPr>
        <w:spacing w:before="0" w:after="200" w:line="276" w:lineRule="auto"/>
        <w:rPr>
          <w:rFonts w:eastAsia="Calibri"/>
          <w:noProof/>
          <w:szCs w:val="24"/>
        </w:rPr>
      </w:pPr>
      <w:r>
        <w:rPr>
          <w:noProof/>
        </w:rPr>
        <w:t>13. „Konsolidirani financijski izvještaji” znači financijski izvještaji skupine MNP-ova u kojima su imovina, obveze, prihod, troškovi i novčani tokovi matičnog društva i sastavnih subjekata prikazani kao da se o</w:t>
      </w:r>
      <w:r>
        <w:rPr>
          <w:noProof/>
        </w:rPr>
        <w:t>dnose na jedan gospodarski subjekt.</w:t>
      </w:r>
    </w:p>
    <w:p w:rsidR="005B563B" w:rsidRDefault="00B137F5">
      <w:pPr>
        <w:spacing w:before="0" w:after="200" w:line="276" w:lineRule="auto"/>
        <w:rPr>
          <w:rFonts w:eastAsia="Calibri"/>
          <w:noProof/>
          <w:szCs w:val="24"/>
        </w:rPr>
      </w:pPr>
      <w:r>
        <w:rPr>
          <w:noProof/>
        </w:rPr>
        <w:t>14.</w:t>
      </w:r>
      <w:r>
        <w:rPr>
          <w:noProof/>
        </w:rPr>
        <w:tab/>
        <w:t>Izraz „greška u sustavu” primjenjuje se samo u odnosu na jurisdikcije izvan Unije i znači da je ta jurisdikcija sklopila Sporazum između kvalificiranih nadležnih tijela s državom članicom, ali je obustavila automatsk</w:t>
      </w:r>
      <w:r>
        <w:rPr>
          <w:noProof/>
        </w:rPr>
        <w:t>u razmjenu (iz razloga koji nisu oni koji su u skladu s uvjetima iz tog Sporazuma) ili iz nekog drugog razloga ne dostavlja automatski državi članici izvješća po državama koja su dostavile skupine MNP-ova koje imaju sastavne subjekte u toj državi članici.</w:t>
      </w:r>
    </w:p>
    <w:p w:rsidR="005B563B" w:rsidRDefault="005B563B">
      <w:pPr>
        <w:spacing w:before="0" w:after="200" w:line="276" w:lineRule="auto"/>
        <w:jc w:val="center"/>
        <w:rPr>
          <w:rFonts w:eastAsia="Calibri"/>
          <w:noProof/>
          <w:szCs w:val="24"/>
        </w:rPr>
      </w:pPr>
    </w:p>
    <w:p w:rsidR="005B563B" w:rsidRDefault="00B137F5">
      <w:pPr>
        <w:spacing w:before="0" w:after="200" w:line="276" w:lineRule="auto"/>
        <w:jc w:val="center"/>
        <w:rPr>
          <w:rFonts w:eastAsia="Calibri"/>
          <w:noProof/>
          <w:szCs w:val="24"/>
        </w:rPr>
      </w:pPr>
      <w:r>
        <w:rPr>
          <w:noProof/>
        </w:rPr>
        <w:t>ODJELJAK II.</w:t>
      </w:r>
    </w:p>
    <w:p w:rsidR="005B563B" w:rsidRDefault="00B137F5">
      <w:pPr>
        <w:spacing w:before="0" w:after="200" w:line="276" w:lineRule="auto"/>
        <w:jc w:val="center"/>
        <w:rPr>
          <w:rFonts w:eastAsia="Calibri"/>
          <w:noProof/>
          <w:szCs w:val="24"/>
        </w:rPr>
      </w:pPr>
      <w:r>
        <w:rPr>
          <w:noProof/>
        </w:rPr>
        <w:t>OPĆI ZAHTJEVI ZA IZVJEŠĆIVANJE</w:t>
      </w:r>
    </w:p>
    <w:p w:rsidR="005B563B" w:rsidRDefault="00B137F5">
      <w:pPr>
        <w:spacing w:before="0" w:after="200" w:line="276" w:lineRule="auto"/>
        <w:ind w:left="57"/>
        <w:rPr>
          <w:rFonts w:eastAsia="Calibri"/>
          <w:noProof/>
          <w:szCs w:val="24"/>
        </w:rPr>
      </w:pPr>
      <w:r>
        <w:rPr>
          <w:noProof/>
        </w:rPr>
        <w:t>1. Sastavni subjekt koji je rezident u državi članici, a koji nije matično društvo skupine MNP-ova dostavlja izvješće po državama za izvještajnu fiskalnu godinu skupine MNP-ova čiji je sastavni subjekt ako su is</w:t>
      </w:r>
      <w:r>
        <w:rPr>
          <w:noProof/>
        </w:rPr>
        <w:t>punjeni sljedeći kriteriji:</w:t>
      </w:r>
    </w:p>
    <w:p w:rsidR="005B563B" w:rsidRDefault="00B137F5">
      <w:pPr>
        <w:pStyle w:val="Point0letter"/>
        <w:numPr>
          <w:ilvl w:val="1"/>
          <w:numId w:val="13"/>
        </w:numPr>
        <w:rPr>
          <w:noProof/>
        </w:rPr>
      </w:pPr>
      <w:r>
        <w:rPr>
          <w:noProof/>
        </w:rPr>
        <w:t xml:space="preserve">subjekt je rezident države članice u svrhu oporezivanja, </w:t>
      </w:r>
    </w:p>
    <w:p w:rsidR="005B563B" w:rsidRDefault="00B137F5">
      <w:pPr>
        <w:pStyle w:val="Point0letter"/>
        <w:numPr>
          <w:ilvl w:val="1"/>
          <w:numId w:val="13"/>
        </w:numPr>
        <w:rPr>
          <w:noProof/>
        </w:rPr>
      </w:pPr>
      <w:r>
        <w:rPr>
          <w:noProof/>
        </w:rPr>
        <w:t>primjenjuje se jedan od sljedećih uvjeta:</w:t>
      </w:r>
    </w:p>
    <w:p w:rsidR="005B563B" w:rsidRDefault="00B137F5">
      <w:pPr>
        <w:ind w:left="777" w:hanging="720"/>
        <w:rPr>
          <w:noProof/>
        </w:rPr>
      </w:pPr>
      <w:r>
        <w:rPr>
          <w:noProof/>
        </w:rPr>
        <w:t>i.</w:t>
      </w:r>
      <w:r>
        <w:rPr>
          <w:noProof/>
        </w:rPr>
        <w:tab/>
        <w:t xml:space="preserve">matično društvo skupine MNP-ova ne mora dostavljati izvješće po državama u jurisdikciji u kojoj ima poreznu rezidentnost; </w:t>
      </w:r>
    </w:p>
    <w:p w:rsidR="005B563B" w:rsidRDefault="00B137F5">
      <w:pPr>
        <w:ind w:left="777" w:hanging="720"/>
        <w:rPr>
          <w:noProof/>
        </w:rPr>
      </w:pPr>
      <w:r>
        <w:rPr>
          <w:noProof/>
        </w:rPr>
        <w:t>ii.</w:t>
      </w:r>
      <w:r>
        <w:rPr>
          <w:noProof/>
        </w:rPr>
        <w:tab/>
        <w:t>na jurisdikciju čiji je matično društvo rezident u svrhu oporezivanja odnosi se međunarodni sporazum čija je država članica stranka, ali u roku navedenom u članku 8.aa stavku 1. za podnošenje izvješća po državama za izvještajnu fiskalnu godinu nije stu</w:t>
      </w:r>
      <w:r>
        <w:rPr>
          <w:noProof/>
        </w:rPr>
        <w:t xml:space="preserve">pio na snagu sporazum između kvalificiranih nadležnih tijela čija je država članica stranka ; </w:t>
      </w:r>
    </w:p>
    <w:p w:rsidR="005B563B" w:rsidRDefault="00B137F5">
      <w:pPr>
        <w:ind w:left="777" w:hanging="720"/>
        <w:rPr>
          <w:noProof/>
        </w:rPr>
      </w:pPr>
      <w:r>
        <w:rPr>
          <w:noProof/>
        </w:rPr>
        <w:t>iii.</w:t>
      </w:r>
      <w:r>
        <w:rPr>
          <w:noProof/>
        </w:rPr>
        <w:tab/>
        <w:t>u jurisdikciji u kojoj matično društvo ima poreznu rezidentnost došlo je do greške u sustavu koju je država članica prijavila sastavnom subjektu koji je rez</w:t>
      </w:r>
      <w:r>
        <w:rPr>
          <w:noProof/>
        </w:rPr>
        <w:t>ident u svrhu oporezivanja u toj državi članici.</w:t>
      </w:r>
    </w:p>
    <w:p w:rsidR="005B563B" w:rsidRDefault="00B137F5">
      <w:pPr>
        <w:spacing w:before="0" w:after="200" w:line="276" w:lineRule="auto"/>
        <w:rPr>
          <w:rFonts w:eastAsia="Calibri"/>
          <w:noProof/>
          <w:szCs w:val="24"/>
        </w:rPr>
      </w:pPr>
      <w:r>
        <w:rPr>
          <w:noProof/>
        </w:rPr>
        <w:t>Ako su više sastavnih subjekata iste skupine MNP-ova rezidenti Unije u svrhu oporezivanja i primjenjuje se najmanje jedan uvjet iz točke (b), skupina MNP-ova može odrediti jedan od tih sastavnih subjekata da</w:t>
      </w:r>
      <w:r>
        <w:rPr>
          <w:noProof/>
        </w:rPr>
        <w:t xml:space="preserve"> podnese izvješće po državama u skladu sa zahtjevima iz članka 8.aa stavka 1. za bilo koju izvještajnu fiskalnu godinu u roku iz članka 8.aa stavka 1. i da obavijesti državu članicu da bi se podnošenjem trebao zadovoljiti zahtjev podnošenja izvještaja svih</w:t>
      </w:r>
      <w:r>
        <w:rPr>
          <w:noProof/>
        </w:rPr>
        <w:t xml:space="preserve"> sastavnih subjekata takve skupine MNP-ova koji su rezidenti u Uniji u svrhu oporezivanja. Ta država članica u skladu s člankom 8.aa stavkom 2. dostavlja to izvješće automatskom razmjenom svakoj drugoj državi članici u kojoj je, na temelju informacija iz i</w:t>
      </w:r>
      <w:r>
        <w:rPr>
          <w:noProof/>
        </w:rPr>
        <w:t>zvješća po državama, najmanje jedan sastavni subjekt skupine MNP-a kojoj pripada subjekt koji podnosi izvješće rezident u svrhu oporezivanja ili porezni obveznik zbog djelatnosti koju obavlja putem stalne poslovne jedinice.</w:t>
      </w:r>
    </w:p>
    <w:p w:rsidR="005B563B" w:rsidRDefault="00B137F5">
      <w:pPr>
        <w:spacing w:before="0" w:after="200" w:line="276" w:lineRule="auto"/>
        <w:rPr>
          <w:rFonts w:eastAsia="Calibri"/>
          <w:noProof/>
          <w:szCs w:val="24"/>
        </w:rPr>
      </w:pPr>
      <w:r>
        <w:rPr>
          <w:noProof/>
        </w:rPr>
        <w:t xml:space="preserve">2. Odstupajući od točke 1., ako </w:t>
      </w:r>
      <w:r>
        <w:rPr>
          <w:noProof/>
        </w:rPr>
        <w:t>se primjenjuje najmanje jedan uvjet iz točke 1. podtočke (b), subjekt opisan u točki 1. ne mora dostaviti izvješće po državama za bilo koju izvještajnu fiskalnu godinu ako je skupina MNP-ova čiji je sastavni subjekt stavio na raspolaganje izvješće po držav</w:t>
      </w:r>
      <w:r>
        <w:rPr>
          <w:noProof/>
        </w:rPr>
        <w:t>ama u skladu s člankom 8.aa stavkom 3. za tu fiskalnu godinu posredstvom zamjenskog matičnog društva koje podnosi izvješće po državama poreznom tijelu u jurisdikciji u kojoj ima poreznu rezidentnost na datum ili prije datuma iz članka 8.aa stavka 1. i ako,</w:t>
      </w:r>
      <w:r>
        <w:rPr>
          <w:noProof/>
        </w:rPr>
        <w:t xml:space="preserve"> u slučaju da je zamjensko matično društvo porezni rezident u jurisdikciji izvan Unije, zadovoljava sljedeće uvjete:</w:t>
      </w:r>
    </w:p>
    <w:p w:rsidR="005B563B" w:rsidRDefault="00B137F5">
      <w:pPr>
        <w:spacing w:before="0" w:after="200" w:line="276" w:lineRule="auto"/>
        <w:rPr>
          <w:rFonts w:eastAsia="Calibri"/>
          <w:noProof/>
          <w:szCs w:val="24"/>
        </w:rPr>
      </w:pPr>
      <w:r>
        <w:rPr>
          <w:noProof/>
        </w:rPr>
        <w:t>(a)</w:t>
      </w:r>
      <w:r>
        <w:rPr>
          <w:noProof/>
        </w:rPr>
        <w:tab/>
        <w:t xml:space="preserve">jurisdikcija u kojoj je zamjensko matično društvo porezni rezident zahtijeva podnošenje izvješća po državama u skladu sa zahtjevima iz </w:t>
      </w:r>
      <w:r>
        <w:rPr>
          <w:noProof/>
        </w:rPr>
        <w:t>članka 8.aa stavka 3.;</w:t>
      </w:r>
    </w:p>
    <w:p w:rsidR="005B563B" w:rsidRDefault="00B137F5">
      <w:pPr>
        <w:spacing w:before="0" w:after="200" w:line="276" w:lineRule="auto"/>
        <w:rPr>
          <w:rFonts w:eastAsia="Calibri"/>
          <w:noProof/>
          <w:szCs w:val="24"/>
        </w:rPr>
      </w:pPr>
      <w:r>
        <w:rPr>
          <w:noProof/>
        </w:rPr>
        <w:t>(b)</w:t>
      </w:r>
      <w:r>
        <w:rPr>
          <w:noProof/>
        </w:rPr>
        <w:tab/>
        <w:t xml:space="preserve">jurisdikcija u kojoj je zamjensko matično društvo porezni rezident sklopila je sporazum između kvalificiranih nadležnih tijela čija je država članica stranka do roka iz članka 8.aa stavka 1. za podnošenje izvješća po državama za </w:t>
      </w:r>
      <w:r>
        <w:rPr>
          <w:noProof/>
        </w:rPr>
        <w:t>izvještajnu fiskalnu godinu;</w:t>
      </w:r>
    </w:p>
    <w:p w:rsidR="005B563B" w:rsidRDefault="00B137F5">
      <w:pPr>
        <w:spacing w:before="0" w:after="200" w:line="276" w:lineRule="auto"/>
        <w:rPr>
          <w:rFonts w:eastAsia="Calibri"/>
          <w:noProof/>
          <w:szCs w:val="24"/>
        </w:rPr>
      </w:pPr>
      <w:r>
        <w:rPr>
          <w:noProof/>
        </w:rPr>
        <w:t>(c)</w:t>
      </w:r>
      <w:r>
        <w:rPr>
          <w:noProof/>
        </w:rPr>
        <w:tab/>
        <w:t>jurisdikcija u kojoj je zamjensko matično društvo porezni rezident nije obavijestila državu članicu o grešci u sustavu;</w:t>
      </w:r>
    </w:p>
    <w:p w:rsidR="005B563B" w:rsidRDefault="00B137F5">
      <w:pPr>
        <w:spacing w:before="0" w:after="200" w:line="276" w:lineRule="auto"/>
        <w:rPr>
          <w:rFonts w:eastAsia="Calibri"/>
          <w:noProof/>
          <w:szCs w:val="24"/>
        </w:rPr>
      </w:pPr>
      <w:r>
        <w:rPr>
          <w:noProof/>
        </w:rPr>
        <w:t>(d)</w:t>
      </w:r>
      <w:r>
        <w:rPr>
          <w:noProof/>
        </w:rPr>
        <w:tab/>
        <w:t>jurisdikciju u kojoj je zamjensko matično društvo porezni rezident obavijestio je u skladu s točkom</w:t>
      </w:r>
      <w:r>
        <w:rPr>
          <w:noProof/>
        </w:rPr>
        <w:t xml:space="preserve"> 3. sastavni subjekt koji u toj jurisdikciji ima poreznu rezidentnost da je on zamjensko matično društvo; </w:t>
      </w:r>
    </w:p>
    <w:p w:rsidR="005B563B" w:rsidRDefault="00B137F5">
      <w:pPr>
        <w:spacing w:before="0" w:after="200" w:line="276" w:lineRule="auto"/>
        <w:rPr>
          <w:rFonts w:eastAsia="Calibri"/>
          <w:noProof/>
          <w:szCs w:val="24"/>
        </w:rPr>
      </w:pPr>
      <w:r>
        <w:rPr>
          <w:noProof/>
        </w:rPr>
        <w:t>(e)</w:t>
      </w:r>
      <w:r>
        <w:rPr>
          <w:noProof/>
        </w:rPr>
        <w:tab/>
        <w:t>državi članici dostavljena je obavijest u skladu s točkom 4.</w:t>
      </w:r>
    </w:p>
    <w:p w:rsidR="005B563B" w:rsidRDefault="005B563B">
      <w:pPr>
        <w:spacing w:before="0" w:after="200" w:line="276" w:lineRule="auto"/>
        <w:rPr>
          <w:rFonts w:eastAsia="Calibri"/>
          <w:noProof/>
          <w:szCs w:val="24"/>
        </w:rPr>
      </w:pPr>
    </w:p>
    <w:p w:rsidR="005B563B" w:rsidRDefault="00B137F5">
      <w:pPr>
        <w:spacing w:before="0" w:after="200" w:line="276" w:lineRule="auto"/>
        <w:rPr>
          <w:rFonts w:eastAsia="Calibri"/>
          <w:noProof/>
          <w:szCs w:val="24"/>
        </w:rPr>
      </w:pPr>
      <w:r>
        <w:rPr>
          <w:noProof/>
        </w:rPr>
        <w:t>3. Države članice traže od svakog sastavnog subjekta skupine MNP-ova koji je rezide</w:t>
      </w:r>
      <w:r>
        <w:rPr>
          <w:noProof/>
        </w:rPr>
        <w:t xml:space="preserve">nt u svrhu oporezivanja u toj državi članici da obavijesti državu članicu je li matično društvo ili zamjensko matično društvo </w:t>
      </w:r>
      <w:r>
        <w:rPr>
          <w:b/>
          <w:noProof/>
        </w:rPr>
        <w:t xml:space="preserve"> </w:t>
      </w:r>
      <w:r>
        <w:rPr>
          <w:noProof/>
        </w:rPr>
        <w:t>ili sastavni subjekt iz točke 1. najkasnije posljednji dan izvještajne fiskalne godine te skupine MNP-ova.</w:t>
      </w:r>
    </w:p>
    <w:p w:rsidR="005B563B" w:rsidRDefault="00B137F5">
      <w:pPr>
        <w:spacing w:before="0" w:after="200" w:line="276" w:lineRule="auto"/>
        <w:rPr>
          <w:rFonts w:eastAsia="Calibri"/>
          <w:noProof/>
          <w:szCs w:val="24"/>
        </w:rPr>
      </w:pPr>
      <w:r>
        <w:rPr>
          <w:noProof/>
        </w:rPr>
        <w:t>4. Država članica traž</w:t>
      </w:r>
      <w:r>
        <w:rPr>
          <w:noProof/>
        </w:rPr>
        <w:t>i da sastavni subjekt skupine MNP-ova koji je u svrhu oporezivanja rezident u toj državi članici, a koji nije matično društvo, zamjensko matično društvo ni sastavni subjekt iz točke 1. obavijesti državu članicu o identitetu i poreznoj rezidentnosti subjekt</w:t>
      </w:r>
      <w:r>
        <w:rPr>
          <w:noProof/>
        </w:rPr>
        <w:t>a koje podnosi izvješće najkasnije na posljednji dan izvještajne fiskalne godine takve skupine MNP-ova.</w:t>
      </w:r>
    </w:p>
    <w:p w:rsidR="005B563B" w:rsidRDefault="00B137F5">
      <w:pPr>
        <w:spacing w:before="0" w:after="200" w:line="276" w:lineRule="auto"/>
        <w:rPr>
          <w:rFonts w:eastAsia="Calibri"/>
          <w:noProof/>
          <w:szCs w:val="24"/>
        </w:rPr>
      </w:pPr>
      <w:r>
        <w:rPr>
          <w:noProof/>
        </w:rPr>
        <w:t>5. U izvješću po državama navedena je valuta iznosa navedenih u tom izvješću.</w:t>
      </w:r>
    </w:p>
    <w:p w:rsidR="005B563B" w:rsidRDefault="00B137F5">
      <w:pPr>
        <w:spacing w:before="0" w:after="200" w:line="276" w:lineRule="auto"/>
        <w:jc w:val="left"/>
        <w:rPr>
          <w:rFonts w:eastAsia="Times New Roman"/>
          <w:b/>
          <w:smallCaps/>
          <w:noProof/>
          <w:sz w:val="28"/>
          <w:szCs w:val="24"/>
        </w:rPr>
      </w:pPr>
      <w:r>
        <w:rPr>
          <w:noProof/>
        </w:rPr>
        <w:br w:type="page"/>
      </w:r>
    </w:p>
    <w:p w:rsidR="005B563B" w:rsidRDefault="005B563B">
      <w:pPr>
        <w:spacing w:before="0" w:after="200" w:line="276" w:lineRule="auto"/>
        <w:jc w:val="center"/>
        <w:rPr>
          <w:rFonts w:eastAsia="Times New Roman"/>
          <w:noProof/>
        </w:rPr>
        <w:sectPr w:rsidR="005B563B" w:rsidSect="00B137F5">
          <w:footerReference w:type="default" r:id="rId19"/>
          <w:footerReference w:type="first" r:id="rId20"/>
          <w:pgSz w:w="11907" w:h="16839"/>
          <w:pgMar w:top="1134" w:right="1417" w:bottom="1134" w:left="1418" w:header="709" w:footer="709" w:gutter="0"/>
          <w:cols w:space="708"/>
          <w:docGrid w:linePitch="360"/>
        </w:sectPr>
      </w:pPr>
    </w:p>
    <w:p w:rsidR="005B563B" w:rsidRDefault="00B137F5">
      <w:pPr>
        <w:spacing w:before="0" w:after="200" w:line="276" w:lineRule="auto"/>
        <w:jc w:val="center"/>
        <w:rPr>
          <w:rFonts w:eastAsia="Calibri"/>
          <w:noProof/>
          <w:szCs w:val="24"/>
        </w:rPr>
      </w:pPr>
      <w:r>
        <w:rPr>
          <w:noProof/>
        </w:rPr>
        <w:t>ODJELJAK III.</w:t>
      </w:r>
    </w:p>
    <w:p w:rsidR="005B563B" w:rsidRDefault="005B563B">
      <w:pPr>
        <w:widowControl w:val="0"/>
        <w:spacing w:before="0" w:after="342" w:line="270" w:lineRule="exact"/>
        <w:rPr>
          <w:rFonts w:ascii="Calibri" w:eastAsia="Times New Roman" w:hAnsi="Calibri"/>
          <w:b/>
          <w:i/>
          <w:noProof/>
          <w:sz w:val="27"/>
          <w:szCs w:val="27"/>
        </w:rPr>
      </w:pPr>
    </w:p>
    <w:p w:rsidR="005B563B" w:rsidRDefault="00B137F5">
      <w:pPr>
        <w:keepNext/>
        <w:keepLines/>
        <w:widowControl w:val="0"/>
        <w:spacing w:before="0" w:after="961" w:line="270" w:lineRule="exact"/>
        <w:outlineLvl w:val="2"/>
        <w:rPr>
          <w:rFonts w:ascii="Calibri" w:eastAsia="Times New Roman" w:hAnsi="Calibri"/>
          <w:b/>
          <w:noProof/>
          <w:sz w:val="27"/>
          <w:szCs w:val="27"/>
        </w:rPr>
      </w:pPr>
      <w:r>
        <w:rPr>
          <w:b/>
          <w:noProof/>
          <w:color w:val="000000"/>
          <w:sz w:val="27"/>
          <w:shd w:val="clear" w:color="auto" w:fill="FFFFFF"/>
        </w:rPr>
        <w:t>Izvješće po državama</w:t>
      </w:r>
    </w:p>
    <w:p w:rsidR="005B563B" w:rsidRDefault="00B137F5">
      <w:pPr>
        <w:widowControl w:val="0"/>
        <w:spacing w:before="0" w:after="438" w:line="210" w:lineRule="exact"/>
        <w:jc w:val="left"/>
        <w:rPr>
          <w:rFonts w:eastAsia="Times New Roman"/>
          <w:b/>
          <w:noProof/>
          <w:szCs w:val="24"/>
        </w:rPr>
      </w:pPr>
      <w:r>
        <w:rPr>
          <w:b/>
          <w:noProof/>
          <w:color w:val="000000"/>
          <w:shd w:val="clear" w:color="auto" w:fill="FFFFFF"/>
        </w:rPr>
        <w:t>A. Predložak izvješća po državama</w:t>
      </w:r>
    </w:p>
    <w:p w:rsidR="005B563B" w:rsidRDefault="00B137F5">
      <w:pPr>
        <w:widowControl w:val="0"/>
        <w:spacing w:before="0" w:after="0" w:line="160" w:lineRule="exact"/>
        <w:jc w:val="left"/>
        <w:rPr>
          <w:rFonts w:eastAsia="Times New Roman"/>
          <w:noProof/>
          <w:sz w:val="16"/>
          <w:szCs w:val="16"/>
        </w:rPr>
      </w:pPr>
      <w:r>
        <w:rPr>
          <w:b/>
          <w:noProof/>
          <w:color w:val="000000"/>
          <w:sz w:val="16"/>
          <w:shd w:val="clear" w:color="auto" w:fill="FFFFFF"/>
        </w:rPr>
        <w:t>Tablica 1.</w:t>
      </w:r>
      <w:r>
        <w:rPr>
          <w:noProof/>
          <w:color w:val="000000"/>
          <w:sz w:val="16"/>
          <w:shd w:val="clear" w:color="auto" w:fill="FFFFFF"/>
        </w:rPr>
        <w:t xml:space="preserve"> Pregled podjele prihoda, poreza i poslovnih djelatnosti po poreznoj jurisdikciji</w:t>
      </w:r>
      <w:r>
        <w:rPr>
          <w:rFonts w:eastAsia="Times New Roman"/>
          <w:noProof/>
          <w:color w:val="000000"/>
          <w:sz w:val="16"/>
          <w:szCs w:val="16"/>
          <w:shd w:val="clear" w:color="auto" w:fill="FFFFFF"/>
        </w:rPr>
        <w:br/>
      </w:r>
    </w:p>
    <w:tbl>
      <w:tblPr>
        <w:tblOverlap w:val="never"/>
        <w:tblW w:w="0" w:type="auto"/>
        <w:tblLayout w:type="fixed"/>
        <w:tblCellMar>
          <w:left w:w="10" w:type="dxa"/>
          <w:right w:w="10" w:type="dxa"/>
        </w:tblCellMar>
        <w:tblLook w:val="04A0" w:firstRow="1" w:lastRow="0" w:firstColumn="1" w:lastColumn="0" w:noHBand="0" w:noVBand="1"/>
      </w:tblPr>
      <w:tblGrid>
        <w:gridCol w:w="1171"/>
        <w:gridCol w:w="1162"/>
        <w:gridCol w:w="1166"/>
        <w:gridCol w:w="802"/>
        <w:gridCol w:w="1138"/>
        <w:gridCol w:w="1142"/>
        <w:gridCol w:w="1138"/>
        <w:gridCol w:w="1166"/>
        <w:gridCol w:w="1166"/>
        <w:gridCol w:w="1162"/>
        <w:gridCol w:w="1608"/>
      </w:tblGrid>
      <w:tr w:rsidR="005B563B">
        <w:trPr>
          <w:trHeight w:hRule="exact" w:val="682"/>
        </w:trPr>
        <w:tc>
          <w:tcPr>
            <w:tcW w:w="12821" w:type="dxa"/>
            <w:gridSpan w:val="11"/>
            <w:tcBorders>
              <w:top w:val="single" w:sz="4" w:space="0" w:color="auto"/>
              <w:left w:val="single" w:sz="4" w:space="0" w:color="auto"/>
              <w:right w:val="single" w:sz="4" w:space="0" w:color="auto"/>
            </w:tcBorders>
            <w:shd w:val="clear" w:color="auto" w:fill="FFFFFF"/>
            <w:vAlign w:val="center"/>
          </w:tcPr>
          <w:p w:rsidR="005B563B" w:rsidRDefault="00B137F5">
            <w:pPr>
              <w:widowControl w:val="0"/>
              <w:spacing w:before="0" w:after="0" w:line="197" w:lineRule="exact"/>
              <w:jc w:val="center"/>
              <w:rPr>
                <w:rFonts w:ascii="Arial" w:eastAsia="Arial" w:hAnsi="Arial" w:cs="Arial"/>
                <w:noProof/>
                <w:sz w:val="13"/>
                <w:szCs w:val="13"/>
              </w:rPr>
            </w:pPr>
            <w:r>
              <w:rPr>
                <w:rFonts w:ascii="Arial" w:hAnsi="Arial"/>
                <w:noProof/>
                <w:color w:val="000000"/>
                <w:sz w:val="13"/>
                <w:shd w:val="clear" w:color="auto" w:fill="FFFFFF"/>
              </w:rPr>
              <w:t xml:space="preserve">Naziv skupine MNP-ova </w:t>
            </w:r>
            <w:r>
              <w:rPr>
                <w:rFonts w:ascii="Arial" w:eastAsia="Arial" w:hAnsi="Arial" w:cs="Arial"/>
                <w:noProof/>
                <w:color w:val="000000"/>
                <w:sz w:val="13"/>
                <w:szCs w:val="13"/>
                <w:shd w:val="clear" w:color="auto" w:fill="FFFFFF"/>
              </w:rPr>
              <w:br/>
            </w:r>
            <w:r>
              <w:rPr>
                <w:rFonts w:ascii="Arial" w:hAnsi="Arial"/>
                <w:noProof/>
                <w:color w:val="000000"/>
                <w:sz w:val="13"/>
                <w:shd w:val="clear" w:color="auto" w:fill="FFFFFF"/>
              </w:rPr>
              <w:t xml:space="preserve">Predmetna fiskalna godina </w:t>
            </w:r>
            <w:r>
              <w:rPr>
                <w:rFonts w:ascii="Arial" w:eastAsia="Arial" w:hAnsi="Arial" w:cs="Arial"/>
                <w:noProof/>
                <w:color w:val="000000"/>
                <w:sz w:val="13"/>
                <w:szCs w:val="13"/>
                <w:shd w:val="clear" w:color="auto" w:fill="FFFFFF"/>
              </w:rPr>
              <w:br/>
            </w:r>
            <w:r>
              <w:rPr>
                <w:rFonts w:ascii="Arial" w:hAnsi="Arial"/>
                <w:noProof/>
                <w:color w:val="000000"/>
                <w:sz w:val="13"/>
                <w:shd w:val="clear" w:color="auto" w:fill="FFFFFF"/>
              </w:rPr>
              <w:t>Upotrijebljena valuta:</w:t>
            </w:r>
          </w:p>
        </w:tc>
      </w:tr>
      <w:tr w:rsidR="005B563B">
        <w:trPr>
          <w:trHeight w:hRule="exact" w:val="283"/>
        </w:trPr>
        <w:tc>
          <w:tcPr>
            <w:tcW w:w="1171" w:type="dxa"/>
            <w:vMerge w:val="restart"/>
            <w:tcBorders>
              <w:top w:val="single" w:sz="4" w:space="0" w:color="auto"/>
              <w:left w:val="single" w:sz="4" w:space="0" w:color="auto"/>
            </w:tcBorders>
            <w:shd w:val="clear" w:color="auto" w:fill="FFFFFF"/>
          </w:tcPr>
          <w:p w:rsidR="005B563B" w:rsidRDefault="00B137F5">
            <w:pPr>
              <w:widowControl w:val="0"/>
              <w:spacing w:before="0" w:after="0" w:line="130" w:lineRule="exact"/>
              <w:ind w:left="100"/>
              <w:jc w:val="left"/>
              <w:rPr>
                <w:rFonts w:ascii="Arial" w:eastAsia="Arial" w:hAnsi="Arial" w:cs="Arial"/>
                <w:noProof/>
                <w:sz w:val="13"/>
                <w:szCs w:val="13"/>
              </w:rPr>
            </w:pPr>
            <w:r>
              <w:rPr>
                <w:rFonts w:ascii="Arial" w:hAnsi="Arial"/>
                <w:noProof/>
                <w:color w:val="000000"/>
                <w:sz w:val="13"/>
                <w:shd w:val="clear" w:color="auto" w:fill="FFFFFF"/>
              </w:rPr>
              <w:t>Porezna jurisdikcija</w:t>
            </w:r>
          </w:p>
        </w:tc>
        <w:tc>
          <w:tcPr>
            <w:tcW w:w="3130" w:type="dxa"/>
            <w:gridSpan w:val="3"/>
            <w:tcBorders>
              <w:top w:val="single" w:sz="4" w:space="0" w:color="auto"/>
              <w:left w:val="single" w:sz="4" w:space="0" w:color="auto"/>
            </w:tcBorders>
            <w:shd w:val="clear" w:color="auto" w:fill="FFFFFF"/>
            <w:vAlign w:val="center"/>
          </w:tcPr>
          <w:p w:rsidR="005B563B" w:rsidRDefault="00B137F5">
            <w:pPr>
              <w:widowControl w:val="0"/>
              <w:spacing w:before="0" w:after="0" w:line="130" w:lineRule="exact"/>
              <w:jc w:val="center"/>
              <w:rPr>
                <w:rFonts w:ascii="Arial" w:eastAsia="Arial" w:hAnsi="Arial" w:cs="Arial"/>
                <w:noProof/>
                <w:sz w:val="13"/>
                <w:szCs w:val="13"/>
              </w:rPr>
            </w:pPr>
            <w:r>
              <w:rPr>
                <w:rFonts w:ascii="Arial" w:hAnsi="Arial"/>
                <w:noProof/>
                <w:color w:val="000000"/>
                <w:sz w:val="13"/>
                <w:shd w:val="clear" w:color="auto" w:fill="FFFFFF"/>
              </w:rPr>
              <w:t>Prihodi</w:t>
            </w:r>
          </w:p>
        </w:tc>
        <w:tc>
          <w:tcPr>
            <w:tcW w:w="1138" w:type="dxa"/>
            <w:vMerge w:val="restart"/>
            <w:tcBorders>
              <w:top w:val="single" w:sz="4" w:space="0" w:color="auto"/>
              <w:left w:val="single" w:sz="4" w:space="0" w:color="auto"/>
            </w:tcBorders>
            <w:shd w:val="clear" w:color="auto" w:fill="FFFFFF"/>
            <w:vAlign w:val="center"/>
          </w:tcPr>
          <w:p w:rsidR="005B563B" w:rsidRDefault="00B137F5">
            <w:pPr>
              <w:widowControl w:val="0"/>
              <w:spacing w:before="0" w:after="0" w:line="197" w:lineRule="exact"/>
              <w:ind w:left="200"/>
              <w:jc w:val="center"/>
              <w:rPr>
                <w:rFonts w:ascii="Arial" w:eastAsia="Arial" w:hAnsi="Arial" w:cs="Arial"/>
                <w:noProof/>
                <w:sz w:val="13"/>
                <w:szCs w:val="13"/>
              </w:rPr>
            </w:pPr>
            <w:r>
              <w:rPr>
                <w:rFonts w:ascii="Arial" w:hAnsi="Arial"/>
                <w:noProof/>
                <w:color w:val="000000"/>
                <w:sz w:val="13"/>
                <w:shd w:val="clear" w:color="auto" w:fill="FFFFFF"/>
              </w:rPr>
              <w:t>Dobit (gubitak)</w:t>
            </w:r>
          </w:p>
          <w:p w:rsidR="005B563B" w:rsidRDefault="00B137F5">
            <w:pPr>
              <w:widowControl w:val="0"/>
              <w:spacing w:before="0" w:after="0" w:line="197" w:lineRule="exact"/>
              <w:ind w:left="360"/>
              <w:jc w:val="center"/>
              <w:rPr>
                <w:rFonts w:ascii="Arial" w:eastAsia="Arial" w:hAnsi="Arial" w:cs="Arial"/>
                <w:noProof/>
                <w:sz w:val="13"/>
                <w:szCs w:val="13"/>
              </w:rPr>
            </w:pPr>
            <w:r>
              <w:rPr>
                <w:rFonts w:ascii="Arial" w:hAnsi="Arial"/>
                <w:noProof/>
                <w:color w:val="000000"/>
                <w:sz w:val="13"/>
                <w:shd w:val="clear" w:color="auto" w:fill="FFFFFF"/>
              </w:rPr>
              <w:t>prije poreza na dohodak</w:t>
            </w:r>
          </w:p>
        </w:tc>
        <w:tc>
          <w:tcPr>
            <w:tcW w:w="1142" w:type="dxa"/>
            <w:vMerge w:val="restart"/>
            <w:tcBorders>
              <w:top w:val="single" w:sz="4" w:space="0" w:color="auto"/>
              <w:left w:val="single" w:sz="4" w:space="0" w:color="auto"/>
            </w:tcBorders>
            <w:shd w:val="clear" w:color="auto" w:fill="FFFFFF"/>
            <w:vAlign w:val="center"/>
          </w:tcPr>
          <w:p w:rsidR="005B563B" w:rsidRDefault="00B137F5">
            <w:pPr>
              <w:widowControl w:val="0"/>
              <w:spacing w:before="0" w:after="0" w:line="197" w:lineRule="exact"/>
              <w:jc w:val="center"/>
              <w:rPr>
                <w:rFonts w:ascii="Arial" w:eastAsia="Arial" w:hAnsi="Arial" w:cs="Arial"/>
                <w:noProof/>
                <w:sz w:val="13"/>
                <w:szCs w:val="13"/>
              </w:rPr>
            </w:pPr>
            <w:r>
              <w:rPr>
                <w:rFonts w:ascii="Arial" w:hAnsi="Arial"/>
                <w:noProof/>
                <w:color w:val="000000"/>
                <w:sz w:val="13"/>
                <w:shd w:val="clear" w:color="auto" w:fill="FFFFFF"/>
              </w:rPr>
              <w:t>Plaćeni porez na dohodak (u gotovini)</w:t>
            </w:r>
          </w:p>
        </w:tc>
        <w:tc>
          <w:tcPr>
            <w:tcW w:w="1138" w:type="dxa"/>
            <w:vMerge w:val="restart"/>
            <w:tcBorders>
              <w:top w:val="single" w:sz="4" w:space="0" w:color="auto"/>
              <w:left w:val="single" w:sz="4" w:space="0" w:color="auto"/>
            </w:tcBorders>
            <w:shd w:val="clear" w:color="auto" w:fill="FFFFFF"/>
            <w:vAlign w:val="center"/>
          </w:tcPr>
          <w:p w:rsidR="005B563B" w:rsidRDefault="00B137F5">
            <w:pPr>
              <w:widowControl w:val="0"/>
              <w:spacing w:before="0" w:after="0" w:line="197" w:lineRule="exact"/>
              <w:jc w:val="center"/>
              <w:rPr>
                <w:rFonts w:ascii="Arial" w:eastAsia="Arial" w:hAnsi="Arial" w:cs="Arial"/>
                <w:noProof/>
                <w:sz w:val="13"/>
                <w:szCs w:val="13"/>
              </w:rPr>
            </w:pPr>
            <w:r>
              <w:rPr>
                <w:rFonts w:ascii="Arial" w:hAnsi="Arial"/>
                <w:noProof/>
                <w:color w:val="000000"/>
                <w:sz w:val="13"/>
                <w:shd w:val="clear" w:color="auto" w:fill="FFFFFF"/>
              </w:rPr>
              <w:t>Dospjeli porez na dohodak - tekuća godina</w:t>
            </w:r>
          </w:p>
        </w:tc>
        <w:tc>
          <w:tcPr>
            <w:tcW w:w="1166" w:type="dxa"/>
            <w:vMerge w:val="restart"/>
            <w:tcBorders>
              <w:top w:val="single" w:sz="4" w:space="0" w:color="auto"/>
              <w:left w:val="single" w:sz="4" w:space="0" w:color="auto"/>
            </w:tcBorders>
            <w:shd w:val="clear" w:color="auto" w:fill="FFFFFF"/>
            <w:vAlign w:val="center"/>
          </w:tcPr>
          <w:p w:rsidR="005B563B" w:rsidRDefault="00B137F5">
            <w:pPr>
              <w:widowControl w:val="0"/>
              <w:spacing w:before="0" w:after="0" w:line="130" w:lineRule="exact"/>
              <w:ind w:left="140"/>
              <w:jc w:val="center"/>
              <w:rPr>
                <w:rFonts w:ascii="Arial" w:eastAsia="Arial" w:hAnsi="Arial" w:cs="Arial"/>
                <w:noProof/>
                <w:sz w:val="13"/>
                <w:szCs w:val="13"/>
              </w:rPr>
            </w:pPr>
            <w:r>
              <w:rPr>
                <w:rFonts w:ascii="Arial" w:hAnsi="Arial"/>
                <w:noProof/>
                <w:color w:val="000000"/>
                <w:sz w:val="13"/>
                <w:shd w:val="clear" w:color="auto" w:fill="FFFFFF"/>
              </w:rPr>
              <w:t>Prijavljeni kapital</w:t>
            </w:r>
          </w:p>
        </w:tc>
        <w:tc>
          <w:tcPr>
            <w:tcW w:w="1166" w:type="dxa"/>
            <w:vMerge w:val="restart"/>
            <w:tcBorders>
              <w:top w:val="single" w:sz="4" w:space="0" w:color="auto"/>
              <w:left w:val="single" w:sz="4" w:space="0" w:color="auto"/>
            </w:tcBorders>
            <w:shd w:val="clear" w:color="auto" w:fill="FFFFFF"/>
            <w:vAlign w:val="center"/>
          </w:tcPr>
          <w:p w:rsidR="005B563B" w:rsidRDefault="00B137F5">
            <w:pPr>
              <w:widowControl w:val="0"/>
              <w:spacing w:before="0" w:after="0" w:line="197" w:lineRule="exact"/>
              <w:jc w:val="center"/>
              <w:rPr>
                <w:rFonts w:ascii="Arial" w:eastAsia="Arial" w:hAnsi="Arial" w:cs="Arial"/>
                <w:noProof/>
                <w:sz w:val="13"/>
                <w:szCs w:val="13"/>
              </w:rPr>
            </w:pPr>
            <w:r>
              <w:rPr>
                <w:rFonts w:ascii="Arial" w:hAnsi="Arial"/>
                <w:noProof/>
                <w:color w:val="000000"/>
                <w:sz w:val="13"/>
                <w:shd w:val="clear" w:color="auto" w:fill="FFFFFF"/>
              </w:rPr>
              <w:t>Akumulirana dobit</w:t>
            </w:r>
          </w:p>
        </w:tc>
        <w:tc>
          <w:tcPr>
            <w:tcW w:w="1162" w:type="dxa"/>
            <w:vMerge w:val="restart"/>
            <w:tcBorders>
              <w:top w:val="single" w:sz="4" w:space="0" w:color="auto"/>
              <w:left w:val="single" w:sz="4" w:space="0" w:color="auto"/>
            </w:tcBorders>
            <w:shd w:val="clear" w:color="auto" w:fill="FFFFFF"/>
            <w:vAlign w:val="center"/>
          </w:tcPr>
          <w:p w:rsidR="005B563B" w:rsidRDefault="00B137F5">
            <w:pPr>
              <w:widowControl w:val="0"/>
              <w:spacing w:before="0" w:after="0" w:line="197" w:lineRule="exact"/>
              <w:ind w:right="240"/>
              <w:jc w:val="center"/>
              <w:rPr>
                <w:rFonts w:ascii="Arial" w:eastAsia="Arial" w:hAnsi="Arial" w:cs="Arial"/>
                <w:noProof/>
                <w:sz w:val="13"/>
                <w:szCs w:val="13"/>
              </w:rPr>
            </w:pPr>
            <w:r>
              <w:rPr>
                <w:rFonts w:ascii="Arial" w:hAnsi="Arial"/>
                <w:noProof/>
                <w:color w:val="000000"/>
                <w:sz w:val="13"/>
                <w:shd w:val="clear" w:color="auto" w:fill="FFFFFF"/>
              </w:rPr>
              <w:t>Broj zaposlenih</w:t>
            </w:r>
          </w:p>
        </w:tc>
        <w:tc>
          <w:tcPr>
            <w:tcW w:w="1608" w:type="dxa"/>
            <w:vMerge w:val="restart"/>
            <w:tcBorders>
              <w:top w:val="single" w:sz="4" w:space="0" w:color="auto"/>
              <w:left w:val="single" w:sz="4" w:space="0" w:color="auto"/>
              <w:right w:val="single" w:sz="4" w:space="0" w:color="auto"/>
            </w:tcBorders>
            <w:shd w:val="clear" w:color="auto" w:fill="FFFFFF"/>
            <w:vAlign w:val="center"/>
          </w:tcPr>
          <w:p w:rsidR="005B563B" w:rsidRDefault="00B137F5">
            <w:pPr>
              <w:widowControl w:val="0"/>
              <w:spacing w:before="0" w:after="0" w:line="197" w:lineRule="exact"/>
              <w:jc w:val="center"/>
              <w:rPr>
                <w:rFonts w:ascii="Arial" w:eastAsia="Arial" w:hAnsi="Arial" w:cs="Arial"/>
                <w:noProof/>
                <w:sz w:val="13"/>
                <w:szCs w:val="13"/>
              </w:rPr>
            </w:pPr>
            <w:r>
              <w:rPr>
                <w:rFonts w:ascii="Arial" w:hAnsi="Arial"/>
                <w:noProof/>
                <w:color w:val="000000"/>
                <w:sz w:val="13"/>
                <w:shd w:val="clear" w:color="auto" w:fill="FFFFFF"/>
              </w:rPr>
              <w:t xml:space="preserve">Materijalna imovina osim </w:t>
            </w:r>
            <w:r>
              <w:rPr>
                <w:rFonts w:ascii="Arial" w:hAnsi="Arial"/>
                <w:noProof/>
                <w:color w:val="000000"/>
                <w:sz w:val="13"/>
                <w:shd w:val="clear" w:color="auto" w:fill="FFFFFF"/>
              </w:rPr>
              <w:t>gotovine i ekvivalenata gotovine</w:t>
            </w:r>
          </w:p>
        </w:tc>
      </w:tr>
      <w:tr w:rsidR="005B563B">
        <w:trPr>
          <w:trHeight w:hRule="exact" w:val="394"/>
        </w:trPr>
        <w:tc>
          <w:tcPr>
            <w:tcW w:w="1171" w:type="dxa"/>
            <w:vMerge/>
            <w:tcBorders>
              <w:left w:val="single" w:sz="4" w:space="0" w:color="auto"/>
            </w:tcBorders>
            <w:shd w:val="clear" w:color="auto" w:fill="FFFFFF"/>
          </w:tcPr>
          <w:p w:rsidR="005B563B" w:rsidRDefault="005B563B">
            <w:pPr>
              <w:widowControl w:val="0"/>
              <w:spacing w:before="0" w:after="0"/>
              <w:jc w:val="left"/>
              <w:rPr>
                <w:rFonts w:eastAsia="Times New Roman"/>
                <w:noProof/>
                <w:color w:val="000000"/>
                <w:szCs w:val="24"/>
              </w:rPr>
            </w:pPr>
          </w:p>
        </w:tc>
        <w:tc>
          <w:tcPr>
            <w:tcW w:w="1162" w:type="dxa"/>
            <w:tcBorders>
              <w:top w:val="single" w:sz="4" w:space="0" w:color="auto"/>
              <w:left w:val="single" w:sz="4" w:space="0" w:color="auto"/>
            </w:tcBorders>
            <w:shd w:val="clear" w:color="auto" w:fill="FFFFFF"/>
            <w:vAlign w:val="center"/>
          </w:tcPr>
          <w:p w:rsidR="005B563B" w:rsidRDefault="00B137F5">
            <w:pPr>
              <w:widowControl w:val="0"/>
              <w:spacing w:before="0" w:after="0" w:line="130" w:lineRule="exact"/>
              <w:ind w:left="100"/>
              <w:jc w:val="center"/>
              <w:rPr>
                <w:rFonts w:ascii="Arial" w:eastAsia="Arial" w:hAnsi="Arial" w:cs="Arial"/>
                <w:noProof/>
                <w:sz w:val="13"/>
                <w:szCs w:val="13"/>
              </w:rPr>
            </w:pPr>
            <w:r>
              <w:rPr>
                <w:rFonts w:ascii="Arial" w:hAnsi="Arial"/>
                <w:noProof/>
                <w:color w:val="000000"/>
                <w:sz w:val="13"/>
                <w:shd w:val="clear" w:color="auto" w:fill="FFFFFF"/>
              </w:rPr>
              <w:t>Nepovezana stranka</w:t>
            </w:r>
          </w:p>
        </w:tc>
        <w:tc>
          <w:tcPr>
            <w:tcW w:w="1166" w:type="dxa"/>
            <w:tcBorders>
              <w:top w:val="single" w:sz="4" w:space="0" w:color="auto"/>
              <w:left w:val="single" w:sz="4" w:space="0" w:color="auto"/>
            </w:tcBorders>
            <w:shd w:val="clear" w:color="auto" w:fill="FFFFFF"/>
            <w:vAlign w:val="center"/>
          </w:tcPr>
          <w:p w:rsidR="005B563B" w:rsidRDefault="00B137F5">
            <w:pPr>
              <w:widowControl w:val="0"/>
              <w:spacing w:before="0" w:after="0" w:line="130" w:lineRule="exact"/>
              <w:ind w:left="160"/>
              <w:jc w:val="center"/>
              <w:rPr>
                <w:rFonts w:ascii="Arial" w:eastAsia="Arial" w:hAnsi="Arial" w:cs="Arial"/>
                <w:noProof/>
                <w:sz w:val="13"/>
                <w:szCs w:val="13"/>
              </w:rPr>
            </w:pPr>
            <w:r>
              <w:rPr>
                <w:rFonts w:ascii="Arial" w:hAnsi="Arial"/>
                <w:noProof/>
                <w:color w:val="000000"/>
                <w:sz w:val="13"/>
                <w:shd w:val="clear" w:color="auto" w:fill="FFFFFF"/>
              </w:rPr>
              <w:t>Povezana stranka</w:t>
            </w:r>
          </w:p>
        </w:tc>
        <w:tc>
          <w:tcPr>
            <w:tcW w:w="802" w:type="dxa"/>
            <w:tcBorders>
              <w:top w:val="single" w:sz="4" w:space="0" w:color="auto"/>
              <w:left w:val="single" w:sz="4" w:space="0" w:color="auto"/>
            </w:tcBorders>
            <w:shd w:val="clear" w:color="auto" w:fill="FFFFFF"/>
            <w:vAlign w:val="center"/>
          </w:tcPr>
          <w:p w:rsidR="005B563B" w:rsidRDefault="00B137F5">
            <w:pPr>
              <w:widowControl w:val="0"/>
              <w:spacing w:before="0" w:after="0" w:line="130" w:lineRule="exact"/>
              <w:jc w:val="center"/>
              <w:rPr>
                <w:rFonts w:ascii="Arial" w:eastAsia="Arial" w:hAnsi="Arial" w:cs="Arial"/>
                <w:noProof/>
                <w:sz w:val="13"/>
                <w:szCs w:val="13"/>
              </w:rPr>
            </w:pPr>
            <w:r>
              <w:rPr>
                <w:rFonts w:ascii="Arial" w:hAnsi="Arial"/>
                <w:noProof/>
                <w:color w:val="000000"/>
                <w:sz w:val="13"/>
                <w:shd w:val="clear" w:color="auto" w:fill="FFFFFF"/>
              </w:rPr>
              <w:t>Ukupno</w:t>
            </w:r>
          </w:p>
        </w:tc>
        <w:tc>
          <w:tcPr>
            <w:tcW w:w="1138" w:type="dxa"/>
            <w:vMerge/>
            <w:tcBorders>
              <w:left w:val="single" w:sz="4" w:space="0" w:color="auto"/>
            </w:tcBorders>
            <w:shd w:val="clear" w:color="auto" w:fill="FFFFFF"/>
            <w:vAlign w:val="bottom"/>
          </w:tcPr>
          <w:p w:rsidR="005B563B" w:rsidRDefault="005B563B">
            <w:pPr>
              <w:widowControl w:val="0"/>
              <w:spacing w:before="0" w:after="0"/>
              <w:jc w:val="left"/>
              <w:rPr>
                <w:rFonts w:eastAsia="Times New Roman"/>
                <w:noProof/>
                <w:color w:val="000000"/>
                <w:szCs w:val="24"/>
              </w:rPr>
            </w:pPr>
          </w:p>
        </w:tc>
        <w:tc>
          <w:tcPr>
            <w:tcW w:w="1142" w:type="dxa"/>
            <w:vMerge/>
            <w:tcBorders>
              <w:left w:val="single" w:sz="4" w:space="0" w:color="auto"/>
            </w:tcBorders>
            <w:shd w:val="clear" w:color="auto" w:fill="FFFFFF"/>
            <w:vAlign w:val="bottom"/>
          </w:tcPr>
          <w:p w:rsidR="005B563B" w:rsidRDefault="005B563B">
            <w:pPr>
              <w:widowControl w:val="0"/>
              <w:spacing w:before="0" w:after="0"/>
              <w:jc w:val="left"/>
              <w:rPr>
                <w:rFonts w:eastAsia="Times New Roman"/>
                <w:noProof/>
                <w:color w:val="000000"/>
                <w:szCs w:val="24"/>
              </w:rPr>
            </w:pPr>
          </w:p>
        </w:tc>
        <w:tc>
          <w:tcPr>
            <w:tcW w:w="1138" w:type="dxa"/>
            <w:vMerge/>
            <w:tcBorders>
              <w:left w:val="single" w:sz="4" w:space="0" w:color="auto"/>
            </w:tcBorders>
            <w:shd w:val="clear" w:color="auto" w:fill="FFFFFF"/>
            <w:vAlign w:val="bottom"/>
          </w:tcPr>
          <w:p w:rsidR="005B563B" w:rsidRDefault="005B563B">
            <w:pPr>
              <w:widowControl w:val="0"/>
              <w:spacing w:before="0" w:after="0"/>
              <w:jc w:val="left"/>
              <w:rPr>
                <w:rFonts w:eastAsia="Times New Roman"/>
                <w:noProof/>
                <w:color w:val="000000"/>
                <w:szCs w:val="24"/>
              </w:rPr>
            </w:pPr>
          </w:p>
        </w:tc>
        <w:tc>
          <w:tcPr>
            <w:tcW w:w="1166" w:type="dxa"/>
            <w:vMerge/>
            <w:tcBorders>
              <w:left w:val="single" w:sz="4" w:space="0" w:color="auto"/>
            </w:tcBorders>
            <w:shd w:val="clear" w:color="auto" w:fill="FFFFFF"/>
          </w:tcPr>
          <w:p w:rsidR="005B563B" w:rsidRDefault="005B563B">
            <w:pPr>
              <w:widowControl w:val="0"/>
              <w:spacing w:before="0" w:after="0"/>
              <w:jc w:val="left"/>
              <w:rPr>
                <w:rFonts w:eastAsia="Times New Roman"/>
                <w:noProof/>
                <w:color w:val="000000"/>
                <w:szCs w:val="24"/>
              </w:rPr>
            </w:pPr>
          </w:p>
        </w:tc>
        <w:tc>
          <w:tcPr>
            <w:tcW w:w="1166" w:type="dxa"/>
            <w:vMerge/>
            <w:tcBorders>
              <w:left w:val="single" w:sz="4" w:space="0" w:color="auto"/>
            </w:tcBorders>
            <w:shd w:val="clear" w:color="auto" w:fill="FFFFFF"/>
            <w:vAlign w:val="center"/>
          </w:tcPr>
          <w:p w:rsidR="005B563B" w:rsidRDefault="005B563B">
            <w:pPr>
              <w:widowControl w:val="0"/>
              <w:spacing w:before="0" w:after="0"/>
              <w:jc w:val="left"/>
              <w:rPr>
                <w:rFonts w:eastAsia="Times New Roman"/>
                <w:noProof/>
                <w:color w:val="000000"/>
                <w:szCs w:val="24"/>
              </w:rPr>
            </w:pPr>
          </w:p>
        </w:tc>
        <w:tc>
          <w:tcPr>
            <w:tcW w:w="1162" w:type="dxa"/>
            <w:vMerge/>
            <w:tcBorders>
              <w:left w:val="single" w:sz="4" w:space="0" w:color="auto"/>
            </w:tcBorders>
            <w:shd w:val="clear" w:color="auto" w:fill="FFFFFF"/>
            <w:vAlign w:val="center"/>
          </w:tcPr>
          <w:p w:rsidR="005B563B" w:rsidRDefault="005B563B">
            <w:pPr>
              <w:widowControl w:val="0"/>
              <w:spacing w:before="0" w:after="0"/>
              <w:jc w:val="left"/>
              <w:rPr>
                <w:rFonts w:eastAsia="Times New Roman"/>
                <w:noProof/>
                <w:color w:val="000000"/>
                <w:szCs w:val="24"/>
              </w:rPr>
            </w:pPr>
          </w:p>
        </w:tc>
        <w:tc>
          <w:tcPr>
            <w:tcW w:w="1608" w:type="dxa"/>
            <w:vMerge/>
            <w:tcBorders>
              <w:left w:val="single" w:sz="4" w:space="0" w:color="auto"/>
              <w:right w:val="single" w:sz="4" w:space="0" w:color="auto"/>
            </w:tcBorders>
            <w:shd w:val="clear" w:color="auto" w:fill="FFFFFF"/>
            <w:vAlign w:val="bottom"/>
          </w:tcPr>
          <w:p w:rsidR="005B563B" w:rsidRDefault="005B563B">
            <w:pPr>
              <w:widowControl w:val="0"/>
              <w:spacing w:before="0" w:after="0"/>
              <w:jc w:val="left"/>
              <w:rPr>
                <w:rFonts w:eastAsia="Times New Roman"/>
                <w:noProof/>
                <w:color w:val="000000"/>
                <w:szCs w:val="24"/>
              </w:rPr>
            </w:pPr>
          </w:p>
        </w:tc>
      </w:tr>
      <w:tr w:rsidR="005B563B">
        <w:trPr>
          <w:trHeight w:hRule="exact" w:val="283"/>
        </w:trPr>
        <w:tc>
          <w:tcPr>
            <w:tcW w:w="1171"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4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r>
      <w:tr w:rsidR="005B563B">
        <w:trPr>
          <w:trHeight w:hRule="exact" w:val="283"/>
        </w:trPr>
        <w:tc>
          <w:tcPr>
            <w:tcW w:w="1171"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4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r>
      <w:tr w:rsidR="005B563B">
        <w:trPr>
          <w:trHeight w:hRule="exact" w:val="283"/>
        </w:trPr>
        <w:tc>
          <w:tcPr>
            <w:tcW w:w="1171"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4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r>
      <w:tr w:rsidR="005B563B">
        <w:trPr>
          <w:trHeight w:hRule="exact" w:val="283"/>
        </w:trPr>
        <w:tc>
          <w:tcPr>
            <w:tcW w:w="1171"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4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r>
      <w:tr w:rsidR="005B563B">
        <w:trPr>
          <w:trHeight w:hRule="exact" w:val="283"/>
        </w:trPr>
        <w:tc>
          <w:tcPr>
            <w:tcW w:w="1171"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4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r>
      <w:tr w:rsidR="005B563B">
        <w:trPr>
          <w:trHeight w:hRule="exact" w:val="283"/>
        </w:trPr>
        <w:tc>
          <w:tcPr>
            <w:tcW w:w="1171"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4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r>
      <w:tr w:rsidR="005B563B">
        <w:trPr>
          <w:trHeight w:hRule="exact" w:val="288"/>
        </w:trPr>
        <w:tc>
          <w:tcPr>
            <w:tcW w:w="1171"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4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r>
      <w:tr w:rsidR="005B563B">
        <w:trPr>
          <w:trHeight w:hRule="exact" w:val="283"/>
        </w:trPr>
        <w:tc>
          <w:tcPr>
            <w:tcW w:w="1171"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4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r>
      <w:tr w:rsidR="005B563B">
        <w:trPr>
          <w:trHeight w:hRule="exact" w:val="283"/>
        </w:trPr>
        <w:tc>
          <w:tcPr>
            <w:tcW w:w="1171"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4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r>
      <w:tr w:rsidR="005B563B">
        <w:trPr>
          <w:trHeight w:hRule="exact" w:val="283"/>
        </w:trPr>
        <w:tc>
          <w:tcPr>
            <w:tcW w:w="1171"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4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r>
      <w:tr w:rsidR="005B563B">
        <w:trPr>
          <w:trHeight w:hRule="exact" w:val="283"/>
        </w:trPr>
        <w:tc>
          <w:tcPr>
            <w:tcW w:w="1171"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4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r>
      <w:tr w:rsidR="005B563B">
        <w:trPr>
          <w:trHeight w:hRule="exact" w:val="293"/>
        </w:trPr>
        <w:tc>
          <w:tcPr>
            <w:tcW w:w="1171" w:type="dxa"/>
            <w:tcBorders>
              <w:top w:val="single" w:sz="4" w:space="0" w:color="auto"/>
              <w:left w:val="single" w:sz="4" w:space="0" w:color="auto"/>
              <w:bottom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bottom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bottom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bottom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bottom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42" w:type="dxa"/>
            <w:tcBorders>
              <w:top w:val="single" w:sz="4" w:space="0" w:color="auto"/>
              <w:left w:val="single" w:sz="4" w:space="0" w:color="auto"/>
              <w:bottom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bottom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bottom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bottom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bottom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r>
    </w:tbl>
    <w:p w:rsidR="005B563B" w:rsidRDefault="00B137F5">
      <w:pPr>
        <w:widowControl w:val="0"/>
        <w:spacing w:before="0" w:after="0" w:line="160" w:lineRule="exact"/>
        <w:jc w:val="left"/>
        <w:rPr>
          <w:rFonts w:ascii="Calibri" w:eastAsia="Times New Roman" w:hAnsi="Calibri"/>
          <w:noProof/>
          <w:sz w:val="16"/>
          <w:szCs w:val="16"/>
        </w:rPr>
      </w:pPr>
      <w:r>
        <w:rPr>
          <w:noProof/>
        </w:rPr>
        <w:br w:type="page"/>
      </w:r>
      <w:r>
        <w:rPr>
          <w:b/>
          <w:noProof/>
          <w:color w:val="000000"/>
          <w:sz w:val="16"/>
          <w:shd w:val="clear" w:color="auto" w:fill="FFFFFF"/>
        </w:rPr>
        <w:t>Tablica 2.</w:t>
      </w:r>
      <w:r>
        <w:rPr>
          <w:noProof/>
          <w:color w:val="000000"/>
          <w:sz w:val="16"/>
          <w:shd w:val="clear" w:color="auto" w:fill="FFFFFF"/>
        </w:rPr>
        <w:t xml:space="preserve"> Popis svih sastavnih subjekata skupine MNP-ova uključenih u svaki zbroj po poreznoj jurisdikciji</w:t>
      </w:r>
      <w:r>
        <w:rPr>
          <w:rFonts w:eastAsia="Times New Roman"/>
          <w:noProof/>
          <w:color w:val="000000"/>
          <w:sz w:val="16"/>
          <w:szCs w:val="16"/>
          <w:shd w:val="clear" w:color="auto" w:fill="FFFFFF"/>
        </w:rPr>
        <w:br/>
      </w:r>
    </w:p>
    <w:tbl>
      <w:tblPr>
        <w:tblW w:w="0" w:type="auto"/>
        <w:tblLayout w:type="fixed"/>
        <w:tblCellMar>
          <w:left w:w="10" w:type="dxa"/>
          <w:right w:w="10" w:type="dxa"/>
        </w:tblCellMar>
        <w:tblLook w:val="04A0" w:firstRow="1" w:lastRow="0" w:firstColumn="1" w:lastColumn="0" w:noHBand="0" w:noVBand="1"/>
      </w:tblPr>
      <w:tblGrid>
        <w:gridCol w:w="1186"/>
        <w:gridCol w:w="1541"/>
        <w:gridCol w:w="1757"/>
        <w:gridCol w:w="643"/>
        <w:gridCol w:w="638"/>
        <w:gridCol w:w="638"/>
        <w:gridCol w:w="643"/>
        <w:gridCol w:w="638"/>
        <w:gridCol w:w="638"/>
        <w:gridCol w:w="643"/>
        <w:gridCol w:w="638"/>
        <w:gridCol w:w="638"/>
        <w:gridCol w:w="643"/>
        <w:gridCol w:w="638"/>
        <w:gridCol w:w="638"/>
        <w:gridCol w:w="653"/>
      </w:tblGrid>
      <w:tr w:rsidR="005B563B">
        <w:trPr>
          <w:trHeight w:hRule="exact" w:val="590"/>
        </w:trPr>
        <w:tc>
          <w:tcPr>
            <w:tcW w:w="12813" w:type="dxa"/>
            <w:gridSpan w:val="16"/>
            <w:tcBorders>
              <w:top w:val="single" w:sz="4" w:space="0" w:color="auto"/>
              <w:left w:val="single" w:sz="4" w:space="0" w:color="auto"/>
              <w:right w:val="single" w:sz="4" w:space="0" w:color="auto"/>
            </w:tcBorders>
            <w:shd w:val="clear" w:color="auto" w:fill="FFFFFF"/>
            <w:vAlign w:val="center"/>
          </w:tcPr>
          <w:p w:rsidR="005B563B" w:rsidRDefault="00B137F5">
            <w:pPr>
              <w:widowControl w:val="0"/>
              <w:spacing w:before="0" w:after="0" w:line="197" w:lineRule="exact"/>
              <w:jc w:val="center"/>
              <w:rPr>
                <w:rFonts w:ascii="Arial" w:eastAsia="Arial" w:hAnsi="Arial" w:cs="Arial"/>
                <w:noProof/>
                <w:color w:val="000000"/>
                <w:sz w:val="13"/>
                <w:szCs w:val="13"/>
              </w:rPr>
            </w:pPr>
            <w:r>
              <w:rPr>
                <w:rFonts w:ascii="Arial" w:hAnsi="Arial"/>
                <w:noProof/>
                <w:color w:val="000000"/>
                <w:sz w:val="13"/>
              </w:rPr>
              <w:t xml:space="preserve">Naziv skupine MNP-ova </w:t>
            </w:r>
            <w:r>
              <w:rPr>
                <w:rFonts w:ascii="Arial" w:eastAsia="Arial" w:hAnsi="Arial" w:cs="Arial"/>
                <w:noProof/>
                <w:color w:val="000000"/>
                <w:sz w:val="13"/>
                <w:szCs w:val="13"/>
              </w:rPr>
              <w:br/>
            </w:r>
            <w:r>
              <w:rPr>
                <w:rFonts w:ascii="Arial" w:hAnsi="Arial"/>
                <w:noProof/>
                <w:color w:val="000000"/>
                <w:sz w:val="13"/>
              </w:rPr>
              <w:t>Predmetna fiskalna godina</w:t>
            </w:r>
          </w:p>
        </w:tc>
      </w:tr>
      <w:tr w:rsidR="005B563B">
        <w:trPr>
          <w:trHeight w:hRule="exact" w:val="283"/>
        </w:trPr>
        <w:tc>
          <w:tcPr>
            <w:tcW w:w="1186" w:type="dxa"/>
            <w:vMerge w:val="restart"/>
            <w:tcBorders>
              <w:top w:val="single" w:sz="4" w:space="0" w:color="auto"/>
              <w:left w:val="single" w:sz="4" w:space="0" w:color="auto"/>
            </w:tcBorders>
            <w:shd w:val="clear" w:color="auto" w:fill="FFFFFF"/>
            <w:vAlign w:val="center"/>
          </w:tcPr>
          <w:p w:rsidR="005B563B" w:rsidRDefault="00B137F5">
            <w:pPr>
              <w:widowControl w:val="0"/>
              <w:spacing w:before="0" w:after="0" w:line="130" w:lineRule="exact"/>
              <w:ind w:left="100"/>
              <w:jc w:val="left"/>
              <w:rPr>
                <w:rFonts w:ascii="Arial" w:eastAsia="Arial" w:hAnsi="Arial" w:cs="Arial"/>
                <w:noProof/>
                <w:color w:val="000000"/>
                <w:sz w:val="13"/>
                <w:szCs w:val="13"/>
              </w:rPr>
            </w:pPr>
            <w:r>
              <w:rPr>
                <w:rFonts w:ascii="Arial" w:hAnsi="Arial"/>
                <w:noProof/>
                <w:color w:val="000000"/>
                <w:sz w:val="13"/>
              </w:rPr>
              <w:t>Porezna jurisdikcija</w:t>
            </w:r>
          </w:p>
        </w:tc>
        <w:tc>
          <w:tcPr>
            <w:tcW w:w="1541" w:type="dxa"/>
            <w:vMerge w:val="restart"/>
            <w:tcBorders>
              <w:top w:val="single" w:sz="4" w:space="0" w:color="auto"/>
              <w:left w:val="single" w:sz="4" w:space="0" w:color="auto"/>
            </w:tcBorders>
            <w:shd w:val="clear" w:color="auto" w:fill="FFFFFF"/>
            <w:vAlign w:val="center"/>
          </w:tcPr>
          <w:p w:rsidR="005B563B" w:rsidRDefault="00B137F5">
            <w:pPr>
              <w:widowControl w:val="0"/>
              <w:spacing w:before="0" w:after="0" w:line="197" w:lineRule="exact"/>
              <w:jc w:val="center"/>
              <w:rPr>
                <w:rFonts w:ascii="Arial" w:eastAsia="Arial" w:hAnsi="Arial" w:cs="Arial"/>
                <w:noProof/>
                <w:color w:val="000000"/>
                <w:sz w:val="13"/>
                <w:szCs w:val="13"/>
              </w:rPr>
            </w:pPr>
            <w:r>
              <w:rPr>
                <w:rFonts w:ascii="Arial" w:hAnsi="Arial"/>
                <w:noProof/>
                <w:color w:val="000000"/>
                <w:sz w:val="13"/>
              </w:rPr>
              <w:t>Sastavni subjekti rezidenti u poreznoj jurisdikciji</w:t>
            </w:r>
          </w:p>
        </w:tc>
        <w:tc>
          <w:tcPr>
            <w:tcW w:w="1757" w:type="dxa"/>
            <w:vMerge w:val="restart"/>
            <w:tcBorders>
              <w:top w:val="single" w:sz="4" w:space="0" w:color="auto"/>
              <w:left w:val="single" w:sz="4" w:space="0" w:color="auto"/>
            </w:tcBorders>
            <w:shd w:val="clear" w:color="auto" w:fill="FFFFFF"/>
            <w:vAlign w:val="center"/>
          </w:tcPr>
          <w:p w:rsidR="005B563B" w:rsidRDefault="00B137F5">
            <w:pPr>
              <w:widowControl w:val="0"/>
              <w:spacing w:before="0" w:after="0" w:line="192" w:lineRule="exact"/>
              <w:jc w:val="center"/>
              <w:rPr>
                <w:rFonts w:ascii="Arial" w:eastAsia="Arial" w:hAnsi="Arial" w:cs="Arial"/>
                <w:noProof/>
                <w:color w:val="000000"/>
                <w:sz w:val="13"/>
                <w:szCs w:val="13"/>
              </w:rPr>
            </w:pPr>
            <w:r>
              <w:rPr>
                <w:rFonts w:ascii="Arial" w:hAnsi="Arial"/>
                <w:noProof/>
                <w:color w:val="000000"/>
                <w:sz w:val="13"/>
              </w:rPr>
              <w:t xml:space="preserve">Porezna jurisdikcija organizacije </w:t>
            </w:r>
            <w:r>
              <w:rPr>
                <w:rFonts w:ascii="Arial" w:hAnsi="Arial"/>
                <w:noProof/>
                <w:color w:val="000000"/>
                <w:sz w:val="13"/>
              </w:rPr>
              <w:t>ili korporacije ako je različita od porezne jurisdikcije rezidentnosti</w:t>
            </w:r>
          </w:p>
        </w:tc>
        <w:tc>
          <w:tcPr>
            <w:tcW w:w="8329" w:type="dxa"/>
            <w:gridSpan w:val="13"/>
            <w:tcBorders>
              <w:top w:val="single" w:sz="4" w:space="0" w:color="auto"/>
              <w:left w:val="single" w:sz="4" w:space="0" w:color="auto"/>
              <w:right w:val="single" w:sz="4" w:space="0" w:color="auto"/>
            </w:tcBorders>
            <w:shd w:val="clear" w:color="auto" w:fill="FFFFFF"/>
            <w:vAlign w:val="bottom"/>
          </w:tcPr>
          <w:p w:rsidR="005B563B" w:rsidRDefault="00B137F5">
            <w:pPr>
              <w:widowControl w:val="0"/>
              <w:spacing w:before="0" w:after="0" w:line="130" w:lineRule="exact"/>
              <w:jc w:val="center"/>
              <w:rPr>
                <w:rFonts w:ascii="Arial" w:eastAsia="Arial" w:hAnsi="Arial" w:cs="Arial"/>
                <w:noProof/>
                <w:color w:val="000000"/>
                <w:sz w:val="13"/>
                <w:szCs w:val="13"/>
              </w:rPr>
            </w:pPr>
            <w:r>
              <w:rPr>
                <w:rFonts w:ascii="Arial" w:hAnsi="Arial"/>
                <w:noProof/>
                <w:color w:val="000000"/>
                <w:sz w:val="13"/>
              </w:rPr>
              <w:t>Glavne poslovne djelatnosti</w:t>
            </w:r>
          </w:p>
        </w:tc>
      </w:tr>
      <w:tr w:rsidR="005B563B">
        <w:trPr>
          <w:trHeight w:hRule="exact" w:val="1963"/>
        </w:trPr>
        <w:tc>
          <w:tcPr>
            <w:tcW w:w="1186" w:type="dxa"/>
            <w:vMerge/>
            <w:tcBorders>
              <w:left w:val="single" w:sz="4" w:space="0" w:color="auto"/>
            </w:tcBorders>
            <w:shd w:val="clear" w:color="auto" w:fill="FFFFFF"/>
            <w:vAlign w:val="center"/>
          </w:tcPr>
          <w:p w:rsidR="005B563B" w:rsidRDefault="005B563B">
            <w:pPr>
              <w:widowControl w:val="0"/>
              <w:spacing w:before="0" w:after="0"/>
              <w:jc w:val="left"/>
              <w:rPr>
                <w:rFonts w:eastAsia="Times New Roman"/>
                <w:noProof/>
                <w:color w:val="000000"/>
                <w:szCs w:val="24"/>
              </w:rPr>
            </w:pPr>
          </w:p>
        </w:tc>
        <w:tc>
          <w:tcPr>
            <w:tcW w:w="1541" w:type="dxa"/>
            <w:vMerge/>
            <w:tcBorders>
              <w:left w:val="single" w:sz="4" w:space="0" w:color="auto"/>
            </w:tcBorders>
            <w:shd w:val="clear" w:color="auto" w:fill="FFFFFF"/>
            <w:vAlign w:val="center"/>
          </w:tcPr>
          <w:p w:rsidR="005B563B" w:rsidRDefault="005B563B">
            <w:pPr>
              <w:widowControl w:val="0"/>
              <w:spacing w:before="0" w:after="0"/>
              <w:jc w:val="left"/>
              <w:rPr>
                <w:rFonts w:eastAsia="Times New Roman"/>
                <w:noProof/>
                <w:color w:val="000000"/>
                <w:szCs w:val="24"/>
              </w:rPr>
            </w:pPr>
          </w:p>
        </w:tc>
        <w:tc>
          <w:tcPr>
            <w:tcW w:w="1757" w:type="dxa"/>
            <w:vMerge/>
            <w:tcBorders>
              <w:left w:val="single" w:sz="4" w:space="0" w:color="auto"/>
            </w:tcBorders>
            <w:shd w:val="clear" w:color="auto" w:fill="FFFFFF"/>
            <w:vAlign w:val="center"/>
          </w:tcPr>
          <w:p w:rsidR="005B563B" w:rsidRDefault="005B563B">
            <w:pPr>
              <w:widowControl w:val="0"/>
              <w:spacing w:before="0" w:after="0"/>
              <w:jc w:val="left"/>
              <w:rPr>
                <w:rFonts w:eastAsia="Times New Roman"/>
                <w:noProof/>
                <w:color w:val="000000"/>
                <w:szCs w:val="24"/>
              </w:rPr>
            </w:pPr>
          </w:p>
        </w:tc>
        <w:tc>
          <w:tcPr>
            <w:tcW w:w="643" w:type="dxa"/>
            <w:tcBorders>
              <w:top w:val="single" w:sz="4" w:space="0" w:color="auto"/>
              <w:left w:val="single" w:sz="4" w:space="0" w:color="auto"/>
            </w:tcBorders>
            <w:shd w:val="clear" w:color="auto" w:fill="FFFFFF"/>
            <w:textDirection w:val="btLr"/>
          </w:tcPr>
          <w:p w:rsidR="005B563B" w:rsidRDefault="00B137F5">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Istraživanje i razvoj</w:t>
            </w:r>
          </w:p>
        </w:tc>
        <w:tc>
          <w:tcPr>
            <w:tcW w:w="638" w:type="dxa"/>
            <w:tcBorders>
              <w:top w:val="single" w:sz="4" w:space="0" w:color="auto"/>
              <w:left w:val="single" w:sz="4" w:space="0" w:color="auto"/>
            </w:tcBorders>
            <w:shd w:val="clear" w:color="auto" w:fill="FFFFFF"/>
            <w:textDirection w:val="btLr"/>
          </w:tcPr>
          <w:p w:rsidR="005B563B" w:rsidRDefault="00B137F5">
            <w:pPr>
              <w:widowControl w:val="0"/>
              <w:spacing w:before="0" w:after="0" w:line="197" w:lineRule="exact"/>
              <w:ind w:left="80"/>
              <w:jc w:val="left"/>
              <w:rPr>
                <w:rFonts w:ascii="Arial" w:eastAsia="Arial" w:hAnsi="Arial" w:cs="Arial"/>
                <w:noProof/>
                <w:color w:val="000000"/>
                <w:sz w:val="13"/>
                <w:szCs w:val="13"/>
              </w:rPr>
            </w:pPr>
            <w:r>
              <w:rPr>
                <w:rFonts w:ascii="Arial" w:hAnsi="Arial"/>
                <w:noProof/>
                <w:color w:val="000000"/>
                <w:sz w:val="13"/>
              </w:rPr>
              <w:t xml:space="preserve">Holding ili upravljanje </w:t>
            </w:r>
            <w:r>
              <w:rPr>
                <w:rFonts w:ascii="Arial" w:eastAsia="Arial" w:hAnsi="Arial" w:cs="Arial"/>
                <w:noProof/>
                <w:color w:val="000000"/>
                <w:sz w:val="13"/>
                <w:szCs w:val="13"/>
              </w:rPr>
              <w:br/>
            </w:r>
            <w:r>
              <w:rPr>
                <w:rFonts w:ascii="Arial" w:hAnsi="Arial"/>
                <w:noProof/>
                <w:color w:val="000000"/>
                <w:sz w:val="13"/>
              </w:rPr>
              <w:t>Intelektualno vlasništvo</w:t>
            </w:r>
          </w:p>
        </w:tc>
        <w:tc>
          <w:tcPr>
            <w:tcW w:w="638" w:type="dxa"/>
            <w:tcBorders>
              <w:top w:val="single" w:sz="4" w:space="0" w:color="auto"/>
              <w:left w:val="single" w:sz="4" w:space="0" w:color="auto"/>
            </w:tcBorders>
            <w:shd w:val="clear" w:color="auto" w:fill="FFFFFF"/>
            <w:textDirection w:val="btLr"/>
          </w:tcPr>
          <w:p w:rsidR="005B563B" w:rsidRDefault="00B137F5">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Kupnja ili nabava</w:t>
            </w:r>
          </w:p>
        </w:tc>
        <w:tc>
          <w:tcPr>
            <w:tcW w:w="643" w:type="dxa"/>
            <w:tcBorders>
              <w:top w:val="single" w:sz="4" w:space="0" w:color="auto"/>
              <w:left w:val="single" w:sz="4" w:space="0" w:color="auto"/>
            </w:tcBorders>
            <w:shd w:val="clear" w:color="auto" w:fill="FFFFFF"/>
            <w:textDirection w:val="btLr"/>
          </w:tcPr>
          <w:p w:rsidR="005B563B" w:rsidRDefault="00B137F5">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Proizvodnja</w:t>
            </w:r>
          </w:p>
        </w:tc>
        <w:tc>
          <w:tcPr>
            <w:tcW w:w="638" w:type="dxa"/>
            <w:tcBorders>
              <w:top w:val="single" w:sz="4" w:space="0" w:color="auto"/>
              <w:left w:val="single" w:sz="4" w:space="0" w:color="auto"/>
            </w:tcBorders>
            <w:shd w:val="clear" w:color="auto" w:fill="FFFFFF"/>
            <w:textDirection w:val="btLr"/>
          </w:tcPr>
          <w:p w:rsidR="005B563B" w:rsidRDefault="00B137F5">
            <w:pPr>
              <w:widowControl w:val="0"/>
              <w:spacing w:before="0" w:after="0" w:line="197" w:lineRule="exact"/>
              <w:ind w:left="80"/>
              <w:jc w:val="left"/>
              <w:rPr>
                <w:rFonts w:ascii="Arial" w:eastAsia="Arial" w:hAnsi="Arial" w:cs="Arial"/>
                <w:noProof/>
                <w:color w:val="000000"/>
                <w:sz w:val="13"/>
                <w:szCs w:val="13"/>
              </w:rPr>
            </w:pPr>
            <w:r>
              <w:rPr>
                <w:rFonts w:ascii="Arial" w:hAnsi="Arial"/>
                <w:noProof/>
                <w:color w:val="000000"/>
                <w:sz w:val="13"/>
              </w:rPr>
              <w:t xml:space="preserve">Prodaja, marketing </w:t>
            </w:r>
            <w:r>
              <w:rPr>
                <w:rFonts w:ascii="Arial" w:eastAsia="Arial" w:hAnsi="Arial" w:cs="Arial"/>
                <w:noProof/>
                <w:color w:val="000000"/>
                <w:sz w:val="13"/>
                <w:szCs w:val="13"/>
              </w:rPr>
              <w:br/>
            </w:r>
            <w:r>
              <w:rPr>
                <w:rFonts w:ascii="Arial" w:hAnsi="Arial"/>
                <w:noProof/>
                <w:color w:val="000000"/>
                <w:sz w:val="13"/>
              </w:rPr>
              <w:t>ili distribucija</w:t>
            </w:r>
          </w:p>
        </w:tc>
        <w:tc>
          <w:tcPr>
            <w:tcW w:w="638" w:type="dxa"/>
            <w:tcBorders>
              <w:top w:val="single" w:sz="4" w:space="0" w:color="auto"/>
              <w:left w:val="single" w:sz="4" w:space="0" w:color="auto"/>
            </w:tcBorders>
            <w:shd w:val="clear" w:color="auto" w:fill="FFFFFF"/>
            <w:textDirection w:val="btLr"/>
          </w:tcPr>
          <w:p w:rsidR="005B563B" w:rsidRDefault="00B137F5">
            <w:pPr>
              <w:widowControl w:val="0"/>
              <w:spacing w:before="0" w:after="0" w:line="197" w:lineRule="exact"/>
              <w:ind w:left="80"/>
              <w:jc w:val="left"/>
              <w:rPr>
                <w:rFonts w:ascii="Arial" w:eastAsia="Arial" w:hAnsi="Arial" w:cs="Arial"/>
                <w:noProof/>
                <w:color w:val="000000"/>
                <w:sz w:val="13"/>
                <w:szCs w:val="13"/>
              </w:rPr>
            </w:pPr>
            <w:r>
              <w:rPr>
                <w:rFonts w:ascii="Arial" w:hAnsi="Arial"/>
                <w:noProof/>
                <w:color w:val="000000"/>
                <w:sz w:val="13"/>
              </w:rPr>
              <w:t xml:space="preserve">Administrativne usluge, usluge upravljanja </w:t>
            </w:r>
            <w:r>
              <w:rPr>
                <w:rFonts w:ascii="Arial" w:eastAsia="Arial" w:hAnsi="Arial" w:cs="Arial"/>
                <w:noProof/>
                <w:color w:val="000000"/>
                <w:sz w:val="13"/>
                <w:szCs w:val="13"/>
              </w:rPr>
              <w:br/>
            </w:r>
            <w:r>
              <w:rPr>
                <w:rFonts w:ascii="Arial" w:hAnsi="Arial"/>
                <w:noProof/>
                <w:color w:val="000000"/>
                <w:sz w:val="13"/>
              </w:rPr>
              <w:t>ili potpore</w:t>
            </w:r>
          </w:p>
        </w:tc>
        <w:tc>
          <w:tcPr>
            <w:tcW w:w="643" w:type="dxa"/>
            <w:tcBorders>
              <w:top w:val="single" w:sz="4" w:space="0" w:color="auto"/>
              <w:left w:val="single" w:sz="4" w:space="0" w:color="auto"/>
            </w:tcBorders>
            <w:shd w:val="clear" w:color="auto" w:fill="FFFFFF"/>
            <w:textDirection w:val="btLr"/>
          </w:tcPr>
          <w:p w:rsidR="005B563B" w:rsidRDefault="00B137F5">
            <w:pPr>
              <w:widowControl w:val="0"/>
              <w:spacing w:before="0" w:after="0" w:line="197" w:lineRule="exact"/>
              <w:ind w:left="80"/>
              <w:jc w:val="left"/>
              <w:rPr>
                <w:rFonts w:ascii="Arial" w:eastAsia="Arial" w:hAnsi="Arial" w:cs="Arial"/>
                <w:noProof/>
                <w:color w:val="000000"/>
                <w:sz w:val="13"/>
                <w:szCs w:val="13"/>
              </w:rPr>
            </w:pPr>
            <w:r>
              <w:rPr>
                <w:rFonts w:ascii="Arial" w:hAnsi="Arial"/>
                <w:noProof/>
                <w:color w:val="000000"/>
                <w:sz w:val="13"/>
              </w:rPr>
              <w:t>Pružanje usluga nepovezanim strankama</w:t>
            </w:r>
          </w:p>
        </w:tc>
        <w:tc>
          <w:tcPr>
            <w:tcW w:w="638" w:type="dxa"/>
            <w:tcBorders>
              <w:top w:val="single" w:sz="4" w:space="0" w:color="auto"/>
              <w:left w:val="single" w:sz="4" w:space="0" w:color="auto"/>
            </w:tcBorders>
            <w:shd w:val="clear" w:color="auto" w:fill="FFFFFF"/>
            <w:textDirection w:val="btLr"/>
          </w:tcPr>
          <w:p w:rsidR="005B563B" w:rsidRDefault="00B137F5">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Financiranje unutar skupine</w:t>
            </w:r>
          </w:p>
        </w:tc>
        <w:tc>
          <w:tcPr>
            <w:tcW w:w="638" w:type="dxa"/>
            <w:tcBorders>
              <w:top w:val="single" w:sz="4" w:space="0" w:color="auto"/>
              <w:left w:val="single" w:sz="4" w:space="0" w:color="auto"/>
            </w:tcBorders>
            <w:shd w:val="clear" w:color="auto" w:fill="FFFFFF"/>
            <w:textDirection w:val="btLr"/>
          </w:tcPr>
          <w:p w:rsidR="005B563B" w:rsidRDefault="00B137F5">
            <w:pPr>
              <w:widowControl w:val="0"/>
              <w:spacing w:before="0" w:after="0" w:line="197" w:lineRule="exact"/>
              <w:ind w:left="80"/>
              <w:jc w:val="left"/>
              <w:rPr>
                <w:rFonts w:ascii="Arial" w:eastAsia="Arial" w:hAnsi="Arial" w:cs="Arial"/>
                <w:noProof/>
                <w:color w:val="000000"/>
                <w:sz w:val="13"/>
                <w:szCs w:val="13"/>
              </w:rPr>
            </w:pPr>
            <w:r>
              <w:rPr>
                <w:rFonts w:ascii="Arial" w:hAnsi="Arial"/>
                <w:noProof/>
                <w:color w:val="000000"/>
                <w:sz w:val="13"/>
              </w:rPr>
              <w:t>Regulirane financijske usluge</w:t>
            </w:r>
          </w:p>
        </w:tc>
        <w:tc>
          <w:tcPr>
            <w:tcW w:w="643" w:type="dxa"/>
            <w:tcBorders>
              <w:top w:val="single" w:sz="4" w:space="0" w:color="auto"/>
              <w:left w:val="single" w:sz="4" w:space="0" w:color="auto"/>
            </w:tcBorders>
            <w:shd w:val="clear" w:color="auto" w:fill="FFFFFF"/>
            <w:textDirection w:val="btLr"/>
          </w:tcPr>
          <w:p w:rsidR="005B563B" w:rsidRDefault="00B137F5">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Osiguranje</w:t>
            </w:r>
          </w:p>
        </w:tc>
        <w:tc>
          <w:tcPr>
            <w:tcW w:w="638" w:type="dxa"/>
            <w:tcBorders>
              <w:top w:val="single" w:sz="4" w:space="0" w:color="auto"/>
              <w:left w:val="single" w:sz="4" w:space="0" w:color="auto"/>
            </w:tcBorders>
            <w:shd w:val="clear" w:color="auto" w:fill="FFFFFF"/>
            <w:textDirection w:val="btLr"/>
          </w:tcPr>
          <w:p w:rsidR="005B563B" w:rsidRDefault="00B137F5">
            <w:pPr>
              <w:widowControl w:val="0"/>
              <w:spacing w:before="0" w:after="0" w:line="197" w:lineRule="exact"/>
              <w:ind w:left="80"/>
              <w:jc w:val="left"/>
              <w:rPr>
                <w:rFonts w:ascii="Arial" w:eastAsia="Arial" w:hAnsi="Arial" w:cs="Arial"/>
                <w:noProof/>
                <w:color w:val="000000"/>
                <w:sz w:val="13"/>
                <w:szCs w:val="13"/>
              </w:rPr>
            </w:pPr>
            <w:r>
              <w:rPr>
                <w:rFonts w:ascii="Arial" w:hAnsi="Arial"/>
                <w:noProof/>
                <w:color w:val="000000"/>
                <w:sz w:val="13"/>
              </w:rPr>
              <w:t xml:space="preserve">Držanje dionica ili drugih </w:t>
            </w:r>
            <w:r>
              <w:rPr>
                <w:rFonts w:ascii="Arial" w:eastAsia="Arial" w:hAnsi="Arial" w:cs="Arial"/>
                <w:noProof/>
                <w:color w:val="000000"/>
                <w:sz w:val="13"/>
                <w:szCs w:val="13"/>
              </w:rPr>
              <w:br/>
            </w:r>
            <w:r>
              <w:rPr>
                <w:rFonts w:ascii="Arial" w:hAnsi="Arial"/>
                <w:noProof/>
                <w:color w:val="000000"/>
                <w:sz w:val="13"/>
              </w:rPr>
              <w:t>vlasničkih instrumenata</w:t>
            </w:r>
          </w:p>
        </w:tc>
        <w:tc>
          <w:tcPr>
            <w:tcW w:w="638" w:type="dxa"/>
            <w:tcBorders>
              <w:top w:val="single" w:sz="4" w:space="0" w:color="auto"/>
              <w:left w:val="single" w:sz="4" w:space="0" w:color="auto"/>
            </w:tcBorders>
            <w:shd w:val="clear" w:color="auto" w:fill="FFFFFF"/>
            <w:textDirection w:val="btLr"/>
          </w:tcPr>
          <w:p w:rsidR="005B563B" w:rsidRDefault="00B137F5">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u stanju mirovanja</w:t>
            </w:r>
          </w:p>
        </w:tc>
        <w:tc>
          <w:tcPr>
            <w:tcW w:w="653" w:type="dxa"/>
            <w:tcBorders>
              <w:top w:val="single" w:sz="4" w:space="0" w:color="auto"/>
              <w:left w:val="single" w:sz="4" w:space="0" w:color="auto"/>
              <w:right w:val="single" w:sz="4" w:space="0" w:color="auto"/>
            </w:tcBorders>
            <w:shd w:val="clear" w:color="auto" w:fill="FFFFFF"/>
            <w:textDirection w:val="btLr"/>
          </w:tcPr>
          <w:p w:rsidR="005B563B" w:rsidRDefault="00B137F5">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Ostalo</w:t>
            </w:r>
            <w:r>
              <w:rPr>
                <w:rFonts w:ascii="Arial" w:hAnsi="Arial"/>
                <w:noProof/>
                <w:color w:val="000000"/>
                <w:sz w:val="13"/>
                <w:vertAlign w:val="superscript"/>
              </w:rPr>
              <w:t>1</w:t>
            </w:r>
          </w:p>
        </w:tc>
      </w:tr>
      <w:tr w:rsidR="005B563B">
        <w:trPr>
          <w:trHeight w:hRule="exact" w:val="283"/>
        </w:trPr>
        <w:tc>
          <w:tcPr>
            <w:tcW w:w="1186" w:type="dxa"/>
            <w:vMerge w:val="restart"/>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541" w:type="dxa"/>
            <w:tcBorders>
              <w:top w:val="single" w:sz="4" w:space="0" w:color="auto"/>
              <w:left w:val="single" w:sz="4" w:space="0" w:color="auto"/>
            </w:tcBorders>
            <w:shd w:val="clear" w:color="auto" w:fill="FFFFFF"/>
            <w:vAlign w:val="bottom"/>
          </w:tcPr>
          <w:p w:rsidR="005B563B" w:rsidRDefault="00B137F5">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1.</w:t>
            </w:r>
          </w:p>
        </w:tc>
        <w:tc>
          <w:tcPr>
            <w:tcW w:w="1757"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53" w:type="dxa"/>
            <w:tcBorders>
              <w:top w:val="single" w:sz="4" w:space="0" w:color="auto"/>
              <w:left w:val="single" w:sz="4" w:space="0" w:color="auto"/>
              <w:righ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r>
      <w:tr w:rsidR="005B563B">
        <w:trPr>
          <w:trHeight w:hRule="exact" w:val="283"/>
        </w:trPr>
        <w:tc>
          <w:tcPr>
            <w:tcW w:w="1186" w:type="dxa"/>
            <w:vMerge/>
            <w:tcBorders>
              <w:left w:val="single" w:sz="4" w:space="0" w:color="auto"/>
            </w:tcBorders>
            <w:shd w:val="clear" w:color="auto" w:fill="FFFFFF"/>
          </w:tcPr>
          <w:p w:rsidR="005B563B" w:rsidRDefault="005B563B">
            <w:pPr>
              <w:widowControl w:val="0"/>
              <w:spacing w:before="0" w:after="0"/>
              <w:jc w:val="left"/>
              <w:rPr>
                <w:rFonts w:eastAsia="Times New Roman"/>
                <w:noProof/>
                <w:color w:val="000000"/>
                <w:szCs w:val="24"/>
              </w:rPr>
            </w:pPr>
          </w:p>
        </w:tc>
        <w:tc>
          <w:tcPr>
            <w:tcW w:w="1541" w:type="dxa"/>
            <w:tcBorders>
              <w:top w:val="single" w:sz="4" w:space="0" w:color="auto"/>
              <w:left w:val="single" w:sz="4" w:space="0" w:color="auto"/>
            </w:tcBorders>
            <w:shd w:val="clear" w:color="auto" w:fill="FFFFFF"/>
            <w:vAlign w:val="bottom"/>
          </w:tcPr>
          <w:p w:rsidR="005B563B" w:rsidRDefault="00B137F5">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2.</w:t>
            </w:r>
          </w:p>
        </w:tc>
        <w:tc>
          <w:tcPr>
            <w:tcW w:w="1757"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53" w:type="dxa"/>
            <w:tcBorders>
              <w:top w:val="single" w:sz="4" w:space="0" w:color="auto"/>
              <w:left w:val="single" w:sz="4" w:space="0" w:color="auto"/>
              <w:righ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r>
      <w:tr w:rsidR="005B563B">
        <w:trPr>
          <w:trHeight w:hRule="exact" w:val="283"/>
        </w:trPr>
        <w:tc>
          <w:tcPr>
            <w:tcW w:w="1186" w:type="dxa"/>
            <w:vMerge/>
            <w:tcBorders>
              <w:left w:val="single" w:sz="4" w:space="0" w:color="auto"/>
            </w:tcBorders>
            <w:shd w:val="clear" w:color="auto" w:fill="FFFFFF"/>
          </w:tcPr>
          <w:p w:rsidR="005B563B" w:rsidRDefault="005B563B">
            <w:pPr>
              <w:widowControl w:val="0"/>
              <w:spacing w:before="0" w:after="0"/>
              <w:jc w:val="left"/>
              <w:rPr>
                <w:rFonts w:eastAsia="Times New Roman"/>
                <w:noProof/>
                <w:color w:val="000000"/>
                <w:szCs w:val="24"/>
              </w:rPr>
            </w:pPr>
          </w:p>
        </w:tc>
        <w:tc>
          <w:tcPr>
            <w:tcW w:w="1541" w:type="dxa"/>
            <w:tcBorders>
              <w:top w:val="single" w:sz="4" w:space="0" w:color="auto"/>
              <w:left w:val="single" w:sz="4" w:space="0" w:color="auto"/>
            </w:tcBorders>
            <w:shd w:val="clear" w:color="auto" w:fill="FFFFFF"/>
            <w:vAlign w:val="bottom"/>
          </w:tcPr>
          <w:p w:rsidR="005B563B" w:rsidRDefault="00B137F5">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3.</w:t>
            </w:r>
          </w:p>
        </w:tc>
        <w:tc>
          <w:tcPr>
            <w:tcW w:w="1757"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53" w:type="dxa"/>
            <w:tcBorders>
              <w:top w:val="single" w:sz="4" w:space="0" w:color="auto"/>
              <w:left w:val="single" w:sz="4" w:space="0" w:color="auto"/>
              <w:righ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r>
      <w:tr w:rsidR="005B563B">
        <w:trPr>
          <w:trHeight w:hRule="exact" w:val="283"/>
        </w:trPr>
        <w:tc>
          <w:tcPr>
            <w:tcW w:w="1186" w:type="dxa"/>
            <w:vMerge w:val="restart"/>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1541" w:type="dxa"/>
            <w:tcBorders>
              <w:top w:val="single" w:sz="4" w:space="0" w:color="auto"/>
              <w:left w:val="single" w:sz="4" w:space="0" w:color="auto"/>
            </w:tcBorders>
            <w:shd w:val="clear" w:color="auto" w:fill="FFFFFF"/>
            <w:vAlign w:val="bottom"/>
          </w:tcPr>
          <w:p w:rsidR="005B563B" w:rsidRDefault="00B137F5">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1.</w:t>
            </w:r>
          </w:p>
        </w:tc>
        <w:tc>
          <w:tcPr>
            <w:tcW w:w="1757"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53" w:type="dxa"/>
            <w:tcBorders>
              <w:top w:val="single" w:sz="4" w:space="0" w:color="auto"/>
              <w:left w:val="single" w:sz="4" w:space="0" w:color="auto"/>
              <w:righ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r>
      <w:tr w:rsidR="005B563B">
        <w:trPr>
          <w:trHeight w:hRule="exact" w:val="283"/>
        </w:trPr>
        <w:tc>
          <w:tcPr>
            <w:tcW w:w="1186" w:type="dxa"/>
            <w:vMerge/>
            <w:tcBorders>
              <w:left w:val="single" w:sz="4" w:space="0" w:color="auto"/>
            </w:tcBorders>
            <w:shd w:val="clear" w:color="auto" w:fill="FFFFFF"/>
          </w:tcPr>
          <w:p w:rsidR="005B563B" w:rsidRDefault="005B563B">
            <w:pPr>
              <w:widowControl w:val="0"/>
              <w:spacing w:before="0" w:after="0"/>
              <w:jc w:val="left"/>
              <w:rPr>
                <w:rFonts w:eastAsia="Times New Roman"/>
                <w:noProof/>
                <w:color w:val="000000"/>
                <w:szCs w:val="24"/>
              </w:rPr>
            </w:pPr>
          </w:p>
        </w:tc>
        <w:tc>
          <w:tcPr>
            <w:tcW w:w="1541" w:type="dxa"/>
            <w:tcBorders>
              <w:top w:val="single" w:sz="4" w:space="0" w:color="auto"/>
              <w:left w:val="single" w:sz="4" w:space="0" w:color="auto"/>
            </w:tcBorders>
            <w:shd w:val="clear" w:color="auto" w:fill="FFFFFF"/>
            <w:vAlign w:val="bottom"/>
          </w:tcPr>
          <w:p w:rsidR="005B563B" w:rsidRDefault="00B137F5">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2.</w:t>
            </w:r>
          </w:p>
        </w:tc>
        <w:tc>
          <w:tcPr>
            <w:tcW w:w="1757"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53" w:type="dxa"/>
            <w:tcBorders>
              <w:top w:val="single" w:sz="4" w:space="0" w:color="auto"/>
              <w:left w:val="single" w:sz="4" w:space="0" w:color="auto"/>
              <w:righ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r>
      <w:tr w:rsidR="005B563B">
        <w:trPr>
          <w:trHeight w:hRule="exact" w:val="293"/>
        </w:trPr>
        <w:tc>
          <w:tcPr>
            <w:tcW w:w="1186" w:type="dxa"/>
            <w:vMerge/>
            <w:tcBorders>
              <w:left w:val="single" w:sz="4" w:space="0" w:color="auto"/>
              <w:bottom w:val="single" w:sz="4" w:space="0" w:color="auto"/>
            </w:tcBorders>
            <w:shd w:val="clear" w:color="auto" w:fill="FFFFFF"/>
          </w:tcPr>
          <w:p w:rsidR="005B563B" w:rsidRDefault="005B563B">
            <w:pPr>
              <w:widowControl w:val="0"/>
              <w:spacing w:before="0" w:after="0"/>
              <w:jc w:val="left"/>
              <w:rPr>
                <w:rFonts w:eastAsia="Times New Roman"/>
                <w:noProof/>
                <w:color w:val="000000"/>
                <w:szCs w:val="24"/>
              </w:rPr>
            </w:pPr>
          </w:p>
        </w:tc>
        <w:tc>
          <w:tcPr>
            <w:tcW w:w="1541" w:type="dxa"/>
            <w:tcBorders>
              <w:top w:val="single" w:sz="4" w:space="0" w:color="auto"/>
              <w:left w:val="single" w:sz="4" w:space="0" w:color="auto"/>
              <w:bottom w:val="single" w:sz="4" w:space="0" w:color="auto"/>
            </w:tcBorders>
            <w:shd w:val="clear" w:color="auto" w:fill="FFFFFF"/>
            <w:vAlign w:val="bottom"/>
          </w:tcPr>
          <w:p w:rsidR="005B563B" w:rsidRDefault="00B137F5">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3.</w:t>
            </w:r>
          </w:p>
        </w:tc>
        <w:tc>
          <w:tcPr>
            <w:tcW w:w="1757" w:type="dxa"/>
            <w:tcBorders>
              <w:top w:val="single" w:sz="4" w:space="0" w:color="auto"/>
              <w:left w:val="single" w:sz="4" w:space="0" w:color="auto"/>
              <w:bottom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bottom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bottom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bottom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bottom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bottom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bottom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bottom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bottom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bottom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bottom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bottom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bottom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B563B" w:rsidRDefault="005B563B">
            <w:pPr>
              <w:widowControl w:val="0"/>
              <w:spacing w:before="0" w:after="0"/>
              <w:jc w:val="left"/>
              <w:rPr>
                <w:rFonts w:eastAsia="Times New Roman"/>
                <w:noProof/>
                <w:color w:val="000000"/>
                <w:sz w:val="10"/>
                <w:szCs w:val="10"/>
              </w:rPr>
            </w:pPr>
          </w:p>
        </w:tc>
      </w:tr>
    </w:tbl>
    <w:p w:rsidR="005B563B" w:rsidRDefault="005B563B">
      <w:pPr>
        <w:rPr>
          <w:rFonts w:eastAsia="Times New Roman"/>
          <w:noProof/>
        </w:rPr>
      </w:pPr>
    </w:p>
    <w:p w:rsidR="005B563B" w:rsidRDefault="00B137F5">
      <w:pPr>
        <w:rPr>
          <w:rFonts w:eastAsia="Times New Roman"/>
          <w:noProof/>
          <w:sz w:val="16"/>
          <w:szCs w:val="16"/>
        </w:rPr>
      </w:pPr>
      <w:r>
        <w:rPr>
          <w:b/>
          <w:noProof/>
          <w:sz w:val="16"/>
        </w:rPr>
        <w:t>Tablica 3.</w:t>
      </w:r>
      <w:r>
        <w:rPr>
          <w:noProof/>
          <w:sz w:val="16"/>
        </w:rPr>
        <w:t>: Dodatni podaci</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4"/>
      </w:tblGrid>
      <w:tr w:rsidR="005B563B">
        <w:trPr>
          <w:trHeight w:val="507"/>
        </w:trPr>
        <w:tc>
          <w:tcPr>
            <w:tcW w:w="5000" w:type="pct"/>
            <w:shd w:val="clear" w:color="auto" w:fill="auto"/>
          </w:tcPr>
          <w:p w:rsidR="005B563B" w:rsidRDefault="00B137F5">
            <w:pPr>
              <w:widowControl w:val="0"/>
              <w:spacing w:before="0" w:after="45" w:line="130" w:lineRule="exact"/>
              <w:ind w:left="160"/>
              <w:jc w:val="center"/>
              <w:rPr>
                <w:rFonts w:ascii="Arial" w:eastAsia="Arial" w:hAnsi="Arial" w:cs="Arial"/>
                <w:noProof/>
                <w:sz w:val="13"/>
                <w:szCs w:val="13"/>
              </w:rPr>
            </w:pPr>
            <w:r>
              <w:rPr>
                <w:rFonts w:ascii="Arial" w:eastAsia="Arial" w:hAnsi="Arial" w:cs="Arial"/>
                <w:noProof/>
                <w:color w:val="000000"/>
                <w:sz w:val="13"/>
                <w:szCs w:val="13"/>
                <w:shd w:val="clear" w:color="auto" w:fill="FFFFFF"/>
              </w:rPr>
              <w:br/>
            </w:r>
            <w:r>
              <w:rPr>
                <w:rFonts w:ascii="Arial" w:hAnsi="Arial"/>
                <w:noProof/>
                <w:color w:val="000000"/>
                <w:sz w:val="13"/>
                <w:shd w:val="clear" w:color="auto" w:fill="FFFFFF"/>
              </w:rPr>
              <w:t>Naziv skupine MNP-ova</w:t>
            </w:r>
          </w:p>
          <w:p w:rsidR="005B563B" w:rsidRDefault="00B137F5">
            <w:pPr>
              <w:widowControl w:val="0"/>
              <w:spacing w:before="0" w:after="170" w:line="130" w:lineRule="exact"/>
              <w:ind w:left="160"/>
              <w:jc w:val="center"/>
              <w:rPr>
                <w:rFonts w:ascii="Arial" w:eastAsia="Arial" w:hAnsi="Arial" w:cs="Arial"/>
                <w:noProof/>
                <w:sz w:val="13"/>
                <w:szCs w:val="13"/>
              </w:rPr>
            </w:pPr>
            <w:r>
              <w:rPr>
                <w:rFonts w:ascii="Arial" w:hAnsi="Arial"/>
                <w:noProof/>
                <w:color w:val="000000"/>
                <w:sz w:val="13"/>
                <w:shd w:val="clear" w:color="auto" w:fill="FFFFFF"/>
              </w:rPr>
              <w:t>Predmetna fiskalna godina</w:t>
            </w:r>
          </w:p>
        </w:tc>
      </w:tr>
      <w:tr w:rsidR="005B563B">
        <w:trPr>
          <w:trHeight w:val="1699"/>
        </w:trPr>
        <w:tc>
          <w:tcPr>
            <w:tcW w:w="5000" w:type="pct"/>
            <w:shd w:val="clear" w:color="auto" w:fill="auto"/>
          </w:tcPr>
          <w:p w:rsidR="005B563B" w:rsidRDefault="00B137F5">
            <w:pPr>
              <w:rPr>
                <w:rFonts w:eastAsia="Times New Roman"/>
                <w:i/>
                <w:noProof/>
              </w:rPr>
            </w:pPr>
            <w:r>
              <w:rPr>
                <w:rFonts w:ascii="Arial" w:hAnsi="Arial"/>
                <w:i/>
                <w:noProof/>
                <w:color w:val="000000"/>
                <w:sz w:val="13"/>
                <w:shd w:val="clear" w:color="auto" w:fill="FFFFFF"/>
              </w:rPr>
              <w:t>Uključite sve dodatne kratke informacije ili objašnjenje koje smatrate nužnim</w:t>
            </w:r>
            <w:r>
              <w:rPr>
                <w:rFonts w:ascii="Arial" w:hAnsi="Arial"/>
                <w:i/>
                <w:noProof/>
                <w:color w:val="000000"/>
                <w:sz w:val="13"/>
                <w:shd w:val="clear" w:color="auto" w:fill="FFFFFF"/>
              </w:rPr>
              <w:t xml:space="preserve"> ili kojima bi se moglo olakšati razumijevanje obveznih informacija navedenih u izvješću po državama</w:t>
            </w:r>
          </w:p>
          <w:p w:rsidR="005B563B" w:rsidRDefault="005B563B">
            <w:pPr>
              <w:rPr>
                <w:rFonts w:eastAsia="Times New Roman"/>
                <w:noProof/>
              </w:rPr>
            </w:pPr>
          </w:p>
          <w:p w:rsidR="005B563B" w:rsidRDefault="005B563B">
            <w:pPr>
              <w:rPr>
                <w:rFonts w:eastAsia="Times New Roman"/>
                <w:noProof/>
              </w:rPr>
            </w:pPr>
          </w:p>
        </w:tc>
      </w:tr>
    </w:tbl>
    <w:p w:rsidR="005B563B" w:rsidRDefault="005B563B">
      <w:pPr>
        <w:rPr>
          <w:rFonts w:eastAsia="Times New Roman"/>
          <w:noProof/>
        </w:rPr>
        <w:sectPr w:rsidR="005B563B" w:rsidSect="00B137F5">
          <w:headerReference w:type="default" r:id="rId21"/>
          <w:footerReference w:type="default" r:id="rId22"/>
          <w:headerReference w:type="first" r:id="rId23"/>
          <w:footerReference w:type="first" r:id="rId24"/>
          <w:pgSz w:w="16839" w:h="11907" w:orient="landscape"/>
          <w:pgMar w:top="1418" w:right="1134" w:bottom="1417" w:left="1134" w:header="709" w:footer="709" w:gutter="0"/>
          <w:cols w:space="708"/>
          <w:docGrid w:linePitch="360"/>
        </w:sectPr>
      </w:pPr>
    </w:p>
    <w:p w:rsidR="005B563B" w:rsidRDefault="00B137F5">
      <w:pPr>
        <w:rPr>
          <w:rFonts w:eastAsia="Calibri"/>
          <w:b/>
          <w:noProof/>
          <w:szCs w:val="24"/>
        </w:rPr>
      </w:pPr>
      <w:r>
        <w:rPr>
          <w:b/>
          <w:noProof/>
        </w:rPr>
        <w:t xml:space="preserve">B. Opće upute za ispunjavanje izvješća po </w:t>
      </w:r>
      <w:r>
        <w:rPr>
          <w:b/>
          <w:noProof/>
        </w:rPr>
        <w:t>državama</w:t>
      </w:r>
    </w:p>
    <w:p w:rsidR="005B563B" w:rsidRDefault="005B563B">
      <w:pPr>
        <w:spacing w:before="0" w:after="200" w:line="276" w:lineRule="auto"/>
        <w:rPr>
          <w:rFonts w:eastAsia="Calibri"/>
          <w:b/>
          <w:noProof/>
          <w:szCs w:val="24"/>
        </w:rPr>
      </w:pPr>
    </w:p>
    <w:p w:rsidR="005B563B" w:rsidRDefault="00B137F5">
      <w:pPr>
        <w:rPr>
          <w:noProof/>
        </w:rPr>
      </w:pPr>
      <w:r>
        <w:rPr>
          <w:noProof/>
        </w:rPr>
        <w:t>1. Svrha</w:t>
      </w:r>
    </w:p>
    <w:p w:rsidR="005B563B" w:rsidRDefault="00B137F5">
      <w:pPr>
        <w:spacing w:before="0" w:after="200" w:line="276" w:lineRule="auto"/>
        <w:rPr>
          <w:rFonts w:eastAsia="Calibri"/>
          <w:noProof/>
          <w:szCs w:val="24"/>
        </w:rPr>
      </w:pPr>
      <w:r>
        <w:rPr>
          <w:noProof/>
        </w:rPr>
        <w:t>Predložak se upotrebljava za izvješćivanje o podjeli prihoda, poreza i poslovnih djelatnosti skupine multinacionalnih poduzeća (MNP) prema poreznim jurisdikcijama.</w:t>
      </w:r>
    </w:p>
    <w:p w:rsidR="005B563B" w:rsidRDefault="005B563B">
      <w:pPr>
        <w:rPr>
          <w:noProof/>
        </w:rPr>
      </w:pPr>
    </w:p>
    <w:p w:rsidR="005B563B" w:rsidRDefault="00B137F5">
      <w:pPr>
        <w:rPr>
          <w:noProof/>
        </w:rPr>
      </w:pPr>
      <w:r>
        <w:rPr>
          <w:noProof/>
        </w:rPr>
        <w:t>2. Tretman podružnica i stalnih poslovnih jedinica</w:t>
      </w:r>
    </w:p>
    <w:p w:rsidR="005B563B" w:rsidRDefault="00B137F5">
      <w:pPr>
        <w:spacing w:before="0" w:after="200" w:line="276" w:lineRule="auto"/>
        <w:rPr>
          <w:rFonts w:eastAsia="Calibri"/>
          <w:noProof/>
          <w:szCs w:val="24"/>
        </w:rPr>
      </w:pPr>
      <w:r>
        <w:rPr>
          <w:noProof/>
        </w:rPr>
        <w:t xml:space="preserve">Podaci o stalnom </w:t>
      </w:r>
      <w:r>
        <w:rPr>
          <w:noProof/>
        </w:rPr>
        <w:t>poslovnim jedinicama navode se upućivanjem na poreznu jurisdikciju u kojoj se one nalaze, a ne upućivanjem na poreznu jurisdikciju rezidentnosti poslovnog subjekta čiji je stalna poslovna jedinica dio. Izvješćivanje u poreznoj jurisdikciji rezidentnosti po</w:t>
      </w:r>
      <w:r>
        <w:rPr>
          <w:noProof/>
        </w:rPr>
        <w:t>slovnog subjekta čija je stalna poslovna jedinica sastavni dio isključuje financijske podatke povezane sa stalnom poslovnom jedinicom.</w:t>
      </w:r>
    </w:p>
    <w:p w:rsidR="005B563B" w:rsidRDefault="005B563B">
      <w:pPr>
        <w:spacing w:before="0" w:after="200" w:line="276" w:lineRule="auto"/>
        <w:rPr>
          <w:rFonts w:eastAsia="Calibri"/>
          <w:noProof/>
          <w:szCs w:val="24"/>
        </w:rPr>
      </w:pPr>
    </w:p>
    <w:p w:rsidR="005B563B" w:rsidRDefault="00B137F5">
      <w:pPr>
        <w:rPr>
          <w:noProof/>
        </w:rPr>
      </w:pPr>
      <w:r>
        <w:rPr>
          <w:noProof/>
        </w:rPr>
        <w:t>3. Razdoblje obuhvaćeno godišnjim predloškom</w:t>
      </w:r>
    </w:p>
    <w:p w:rsidR="005B563B" w:rsidRDefault="00B137F5">
      <w:pPr>
        <w:spacing w:before="0" w:after="200" w:line="276" w:lineRule="auto"/>
        <w:rPr>
          <w:rFonts w:eastAsia="Calibri"/>
          <w:noProof/>
          <w:szCs w:val="24"/>
        </w:rPr>
      </w:pPr>
      <w:r>
        <w:rPr>
          <w:noProof/>
        </w:rPr>
        <w:t>Predloškom je obuhvaćena fiskalna godina MNP-a koji podnosi izvješće. Za sa</w:t>
      </w:r>
      <w:r>
        <w:rPr>
          <w:noProof/>
        </w:rPr>
        <w:t>stavne subjekte, prema vlastitom nahođenju MNP-a koji podnosi izvješće, u predložak su dosljedno uključeni sljedeći podaci:</w:t>
      </w:r>
    </w:p>
    <w:p w:rsidR="005B563B" w:rsidRDefault="00B137F5">
      <w:pPr>
        <w:spacing w:before="0" w:after="200" w:line="276" w:lineRule="auto"/>
        <w:rPr>
          <w:rFonts w:eastAsia="Calibri"/>
          <w:noProof/>
          <w:szCs w:val="24"/>
        </w:rPr>
      </w:pPr>
      <w:r>
        <w:rPr>
          <w:noProof/>
        </w:rPr>
        <w:t xml:space="preserve">(a) podaci za fiskalnu godinu predmetnih sastavnih subjekata koji završavaju na isti datum kao i fiskalna godina MNP-a koji podnosi </w:t>
      </w:r>
      <w:r>
        <w:rPr>
          <w:noProof/>
        </w:rPr>
        <w:t>izvješće ili u razdoblju od 12 mjeseci prije tog datuma;</w:t>
      </w:r>
    </w:p>
    <w:p w:rsidR="005B563B" w:rsidRDefault="00B137F5">
      <w:pPr>
        <w:spacing w:before="0" w:after="200" w:line="276" w:lineRule="auto"/>
        <w:rPr>
          <w:rFonts w:eastAsia="Calibri"/>
          <w:noProof/>
          <w:szCs w:val="24"/>
        </w:rPr>
      </w:pPr>
      <w:r>
        <w:rPr>
          <w:noProof/>
        </w:rPr>
        <w:t>(b) podaci za sve relevantne sastavne subjekte o kojima se izvješćuje za fiskalnu godinu MNP-a koji podnosi izvješće.</w:t>
      </w:r>
    </w:p>
    <w:p w:rsidR="005B563B" w:rsidRDefault="005B563B">
      <w:pPr>
        <w:spacing w:before="0" w:after="200" w:line="276" w:lineRule="auto"/>
        <w:rPr>
          <w:rFonts w:eastAsia="Calibri"/>
          <w:noProof/>
          <w:szCs w:val="24"/>
        </w:rPr>
      </w:pPr>
    </w:p>
    <w:p w:rsidR="005B563B" w:rsidRDefault="00B137F5">
      <w:pPr>
        <w:rPr>
          <w:noProof/>
        </w:rPr>
      </w:pPr>
      <w:r>
        <w:rPr>
          <w:noProof/>
        </w:rPr>
        <w:t>4. Izvor podataka</w:t>
      </w:r>
    </w:p>
    <w:p w:rsidR="005B563B" w:rsidRDefault="00B137F5">
      <w:pPr>
        <w:spacing w:before="0" w:after="200" w:line="276" w:lineRule="auto"/>
        <w:rPr>
          <w:rFonts w:eastAsia="Calibri"/>
          <w:noProof/>
          <w:szCs w:val="24"/>
        </w:rPr>
      </w:pPr>
      <w:r>
        <w:rPr>
          <w:noProof/>
        </w:rPr>
        <w:t xml:space="preserve">MNP koji podnosi izvješće svake godine dosljedno upotrebljava </w:t>
      </w:r>
      <w:r>
        <w:rPr>
          <w:noProof/>
        </w:rPr>
        <w:t>iste izvore podataka za ispunjavanje predloška. MNP koji podnosi izvješće može odlučiti upotrijebiti podatke iz svojih konsolidiranih paketa za izvješćivanje, iz zakonskih financijskih izvještaja pojedinih subjekata, iz regulatornih financijskih izvještaja</w:t>
      </w:r>
      <w:r>
        <w:rPr>
          <w:noProof/>
        </w:rPr>
        <w:t xml:space="preserve"> ili izvještaja o unutarnjem upravljanju. U predlošku nije nužno uskladiti podatke o prihodima, dobiti i porezu s konsolidiranim financijskim izvještajima. Ako se zakonski financijski izvještaji upotrebljavaju kao osnova za izvješćivanje, svi iznosi prerač</w:t>
      </w:r>
      <w:r>
        <w:rPr>
          <w:noProof/>
        </w:rPr>
        <w:t>unavaju se u navedenu funkcionalnu valutu MNP-a koji podnosi izvješće prema prosječnom tečaju za godinu navedenu u odjeljku predloška o dodatnim informacijama. Međutim, nisu potrebne prilagodbe zbog razlika u računovodstvenim načelima koja se primjenjuju u</w:t>
      </w:r>
      <w:r>
        <w:rPr>
          <w:noProof/>
        </w:rPr>
        <w:t xml:space="preserve"> različitim poreznim jurisdikcijama.</w:t>
      </w:r>
    </w:p>
    <w:p w:rsidR="005B563B" w:rsidRDefault="00B137F5">
      <w:pPr>
        <w:spacing w:before="0" w:after="200" w:line="276" w:lineRule="auto"/>
        <w:rPr>
          <w:rFonts w:eastAsia="Calibri"/>
          <w:noProof/>
          <w:szCs w:val="24"/>
        </w:rPr>
      </w:pPr>
      <w:r>
        <w:rPr>
          <w:noProof/>
        </w:rPr>
        <w:t>MNP koji podnosi izvješće dostavlja kratak opis izvora podataka koji se upotrebljavaju za pripremu predloška u odjeljku predloška o dodatnim informacijama. Ako se izvrši promjena u izvoru podataka koji se upotrebljavaju</w:t>
      </w:r>
      <w:r>
        <w:rPr>
          <w:noProof/>
        </w:rPr>
        <w:t xml:space="preserve"> iz godine u godinu, MNP koji podnosi izvješće objašnjava razloge za promjenu i posljedice promjena u odjeljku predloška o dodatnim informacijama.</w:t>
      </w:r>
    </w:p>
    <w:p w:rsidR="005B563B" w:rsidRDefault="005B563B">
      <w:pPr>
        <w:spacing w:before="0" w:after="200" w:line="276" w:lineRule="auto"/>
        <w:rPr>
          <w:rFonts w:eastAsia="Calibri"/>
          <w:b/>
          <w:noProof/>
          <w:szCs w:val="24"/>
        </w:rPr>
      </w:pPr>
    </w:p>
    <w:p w:rsidR="005B563B" w:rsidRDefault="00B137F5">
      <w:pPr>
        <w:spacing w:before="0" w:after="200" w:line="276" w:lineRule="auto"/>
        <w:rPr>
          <w:rFonts w:eastAsia="Calibri"/>
          <w:b/>
          <w:noProof/>
          <w:szCs w:val="24"/>
        </w:rPr>
      </w:pPr>
      <w:r>
        <w:rPr>
          <w:b/>
          <w:noProof/>
        </w:rPr>
        <w:t>C. Posebne upute za ispunjavanje izvješća po državama</w:t>
      </w:r>
    </w:p>
    <w:p w:rsidR="005B563B" w:rsidRDefault="00B137F5">
      <w:pPr>
        <w:spacing w:before="0" w:after="200" w:line="276" w:lineRule="auto"/>
        <w:rPr>
          <w:rFonts w:eastAsia="Calibri"/>
          <w:b/>
          <w:noProof/>
          <w:szCs w:val="24"/>
        </w:rPr>
      </w:pPr>
      <w:r>
        <w:rPr>
          <w:b/>
          <w:noProof/>
        </w:rPr>
        <w:t>1. Pregled podjele prihoda, poreza i poslovnih djelatn</w:t>
      </w:r>
      <w:r>
        <w:rPr>
          <w:b/>
          <w:noProof/>
        </w:rPr>
        <w:t>osti po poreznoj jurisdikciji (Tablica 1.)</w:t>
      </w:r>
    </w:p>
    <w:p w:rsidR="005B563B" w:rsidRDefault="00B137F5">
      <w:pPr>
        <w:spacing w:before="0" w:after="200" w:line="276" w:lineRule="auto"/>
        <w:rPr>
          <w:rFonts w:eastAsia="Calibri"/>
          <w:noProof/>
          <w:szCs w:val="24"/>
        </w:rPr>
      </w:pPr>
      <w:r>
        <w:rPr>
          <w:noProof/>
        </w:rPr>
        <w:t>1.1. Porezna jurisdikcija</w:t>
      </w:r>
    </w:p>
    <w:p w:rsidR="005B563B" w:rsidRDefault="00B137F5">
      <w:pPr>
        <w:spacing w:before="0" w:after="200" w:line="276" w:lineRule="auto"/>
        <w:rPr>
          <w:rFonts w:eastAsia="Calibri"/>
          <w:noProof/>
          <w:szCs w:val="24"/>
        </w:rPr>
      </w:pPr>
      <w:r>
        <w:rPr>
          <w:noProof/>
        </w:rPr>
        <w:t>U prvom stupcu predloška MNP koji podnosi izvješće navodi sve porezne jurisdikcije u kojima su sastavni subjekti skupine MNP-ova rezidenti u svrhu oporezivanja. Porezna jurisdikcija defin</w:t>
      </w:r>
      <w:r>
        <w:rPr>
          <w:noProof/>
        </w:rPr>
        <w:t>ira se kao državna i nedržavna jurisdikcija koja ima fiskalnu neovisnost. Uključuje se zasebna linija za sve sastavne subjekte u skupini MNP-a za koje MNP koji podnosi izvješće smatra da u svrhu oporezivanja nisu rezidenti nijedne porezne jurisdikcije. Ako</w:t>
      </w:r>
      <w:r>
        <w:rPr>
          <w:noProof/>
        </w:rPr>
        <w:t xml:space="preserve"> je sastavni subjekt rezident više poreznih jurisdikcija, primjenjuje se primjenjivi porezni ugovor kako bi se odredila porezna jurisdikcija rezidentnosti. Ako ne postoji primjenjivi porezni ugovor, sastavni subjekt prijavljuje se u poreznoj jurisdikciji u</w:t>
      </w:r>
      <w:r>
        <w:rPr>
          <w:noProof/>
        </w:rPr>
        <w:t xml:space="preserve"> mjestu stvarnog upravljanja sastavnim subjektom. Mjesto stvarnog upravljanja određuje se u skladu s međunarodno dogovorenim standardima.</w:t>
      </w:r>
    </w:p>
    <w:p w:rsidR="005B563B" w:rsidRDefault="00B137F5">
      <w:pPr>
        <w:spacing w:before="0" w:after="200" w:line="276" w:lineRule="auto"/>
        <w:rPr>
          <w:rFonts w:eastAsia="Calibri"/>
          <w:noProof/>
          <w:szCs w:val="24"/>
        </w:rPr>
      </w:pPr>
      <w:r>
        <w:rPr>
          <w:noProof/>
        </w:rPr>
        <w:t>1.2. Prihodi</w:t>
      </w:r>
    </w:p>
    <w:p w:rsidR="005B563B" w:rsidRDefault="00B137F5">
      <w:pPr>
        <w:spacing w:before="0" w:after="200" w:line="276" w:lineRule="auto"/>
        <w:rPr>
          <w:rFonts w:eastAsia="Calibri"/>
          <w:noProof/>
          <w:szCs w:val="24"/>
        </w:rPr>
      </w:pPr>
      <w:r>
        <w:rPr>
          <w:noProof/>
        </w:rPr>
        <w:t xml:space="preserve">U tri stupca predloška pod naslovom „Prihodi” MNP koji podnosi izvješće dostavlja sljedeće podatke: </w:t>
      </w:r>
    </w:p>
    <w:p w:rsidR="005B563B" w:rsidRDefault="00B137F5">
      <w:pPr>
        <w:spacing w:before="0" w:after="200" w:line="276" w:lineRule="auto"/>
        <w:rPr>
          <w:rFonts w:eastAsia="Calibri"/>
          <w:noProof/>
          <w:szCs w:val="24"/>
        </w:rPr>
      </w:pPr>
      <w:r>
        <w:rPr>
          <w:noProof/>
        </w:rPr>
        <w:t xml:space="preserve">(a) </w:t>
      </w:r>
      <w:r>
        <w:rPr>
          <w:noProof/>
        </w:rPr>
        <w:t xml:space="preserve">zbroj prihoda svih sastavnih subjekata skupine MNP-ova u relevantnoj poreznoj jurisdikciji koji su nastali iz transakcija s povezanim poduzećima; </w:t>
      </w:r>
    </w:p>
    <w:p w:rsidR="005B563B" w:rsidRDefault="00B137F5">
      <w:pPr>
        <w:spacing w:before="0" w:after="200" w:line="276" w:lineRule="auto"/>
        <w:rPr>
          <w:rFonts w:eastAsia="Calibri"/>
          <w:noProof/>
          <w:szCs w:val="24"/>
        </w:rPr>
      </w:pPr>
      <w:r>
        <w:rPr>
          <w:noProof/>
        </w:rPr>
        <w:t>(b) zbroj prihoda svih sastavnih subjekata skupine MNP-ova u relevantnoj poreznoj jurisdikciji koji su nastal</w:t>
      </w:r>
      <w:r>
        <w:rPr>
          <w:noProof/>
        </w:rPr>
        <w:t xml:space="preserve">i iz transakcija s neovisnim strankama; </w:t>
      </w:r>
    </w:p>
    <w:p w:rsidR="005B563B" w:rsidRDefault="00B137F5">
      <w:pPr>
        <w:spacing w:before="0" w:after="200" w:line="276" w:lineRule="auto"/>
        <w:rPr>
          <w:rFonts w:eastAsia="Calibri"/>
          <w:noProof/>
          <w:szCs w:val="24"/>
        </w:rPr>
      </w:pPr>
      <w:r>
        <w:rPr>
          <w:noProof/>
        </w:rPr>
        <w:t xml:space="preserve">(c) ukupni zbrojevi navedeni u točkama (a) i (b). </w:t>
      </w:r>
    </w:p>
    <w:p w:rsidR="005B563B" w:rsidRDefault="00B137F5">
      <w:pPr>
        <w:spacing w:before="0" w:after="200" w:line="276" w:lineRule="auto"/>
        <w:rPr>
          <w:rFonts w:eastAsia="Calibri"/>
          <w:noProof/>
          <w:szCs w:val="24"/>
        </w:rPr>
      </w:pPr>
      <w:r>
        <w:rPr>
          <w:noProof/>
        </w:rPr>
        <w:t>Prihodi uključuju prihode od prodaje inventara i imovine, usluga, tantijema, kamata, premija i drugih iznosa. Prihodi ne uključuju plaćanja primljena od sastavnih s</w:t>
      </w:r>
      <w:r>
        <w:rPr>
          <w:noProof/>
        </w:rPr>
        <w:t>ubjekata koja se u poreznoj jurisdikciji poreznog obveznika smatraju dividendama.</w:t>
      </w:r>
    </w:p>
    <w:p w:rsidR="005B563B" w:rsidRDefault="00B137F5">
      <w:pPr>
        <w:spacing w:before="0" w:after="200" w:line="276" w:lineRule="auto"/>
        <w:rPr>
          <w:rFonts w:eastAsia="Calibri"/>
          <w:noProof/>
          <w:szCs w:val="24"/>
        </w:rPr>
      </w:pPr>
      <w:r>
        <w:rPr>
          <w:noProof/>
        </w:rPr>
        <w:t>1.3. Dobit (gubitak) prije poreza na dohodak</w:t>
      </w:r>
    </w:p>
    <w:p w:rsidR="005B563B" w:rsidRDefault="00B137F5">
      <w:pPr>
        <w:spacing w:before="0" w:after="840" w:line="276" w:lineRule="auto"/>
        <w:rPr>
          <w:rFonts w:eastAsia="Calibri"/>
          <w:noProof/>
          <w:szCs w:val="24"/>
        </w:rPr>
      </w:pPr>
      <w:r>
        <w:rPr>
          <w:noProof/>
        </w:rPr>
        <w:t>U petom stupcu predloška MNP koji podnosi izvješće navodi iznos dobiti (gubitka) prije poreza na dohodak za sve sastavne subjekte</w:t>
      </w:r>
      <w:r>
        <w:rPr>
          <w:noProof/>
        </w:rPr>
        <w:t xml:space="preserve"> koji su u svrhu oporezivanja rezidenti u predmetnoj poreznoj jurisdikciji. Dobit (gubitak) prije poreza na dohodak uključuje sve stavke izvanrednih prihoda i rashoda.</w:t>
      </w:r>
    </w:p>
    <w:p w:rsidR="005B563B" w:rsidRDefault="00B137F5">
      <w:pPr>
        <w:spacing w:before="0" w:after="200" w:line="276" w:lineRule="auto"/>
        <w:rPr>
          <w:rFonts w:eastAsia="Calibri"/>
          <w:noProof/>
          <w:szCs w:val="24"/>
        </w:rPr>
      </w:pPr>
      <w:r>
        <w:rPr>
          <w:noProof/>
        </w:rPr>
        <w:t>1.4. Plaćeni porez na dohodak (u gotovini)</w:t>
      </w:r>
    </w:p>
    <w:p w:rsidR="005B563B" w:rsidRDefault="00B137F5">
      <w:pPr>
        <w:spacing w:before="0" w:after="200" w:line="276" w:lineRule="auto"/>
        <w:rPr>
          <w:rFonts w:eastAsia="Calibri"/>
          <w:noProof/>
          <w:szCs w:val="24"/>
        </w:rPr>
      </w:pPr>
      <w:r>
        <w:rPr>
          <w:noProof/>
        </w:rPr>
        <w:t>U šestom stupcu predloška MNP koji podnosi iz</w:t>
      </w:r>
      <w:r>
        <w:rPr>
          <w:noProof/>
        </w:rPr>
        <w:t>vješće navodi ukupni iznos poreza na dohodak koji je stvarno plaćen tijekom predmetne fiskalne godine za sve sastavne subjekte koji su u svrhu oporezivanja rezidenti u predmetnoj poreznoj jurisdikciji. Plaćeni porezi uključuju porez u gotovini koji je sast</w:t>
      </w:r>
      <w:r>
        <w:rPr>
          <w:noProof/>
        </w:rPr>
        <w:t>avni subjekt platio poreznoj jurisdikciji u kojoj je rezident i svim drugim poreznim jurisdikcijama. Plaćeni porezi uključuju porez na dobit po odbitku koji plaćaju drugi subjekti (povezana poduzeća i neovisna poduzeća) u odnosu na plaćanja sastavnom subje</w:t>
      </w:r>
      <w:r>
        <w:rPr>
          <w:noProof/>
        </w:rPr>
        <w:t>ktu. Prema tome, ako trgovačko društvo A koje je rezident u poreznoj jurisdikciji A ostvari kamate u poreznoj jurisdikciji B, porez na dobit po odbitku u poreznoj jurisdikciji B prijavljuje trgovačko društvo A.</w:t>
      </w:r>
    </w:p>
    <w:p w:rsidR="005B563B" w:rsidRDefault="00B137F5">
      <w:pPr>
        <w:spacing w:before="0" w:after="200" w:line="276" w:lineRule="auto"/>
        <w:rPr>
          <w:rFonts w:eastAsia="Calibri"/>
          <w:noProof/>
          <w:szCs w:val="24"/>
        </w:rPr>
      </w:pPr>
      <w:r>
        <w:rPr>
          <w:noProof/>
        </w:rPr>
        <w:t>1.5. Dospjeli porez na dohodak (tekuća godina</w:t>
      </w:r>
      <w:r>
        <w:rPr>
          <w:noProof/>
        </w:rPr>
        <w:t>)</w:t>
      </w:r>
    </w:p>
    <w:p w:rsidR="005B563B" w:rsidRDefault="00B137F5">
      <w:pPr>
        <w:spacing w:before="0" w:after="200" w:line="276" w:lineRule="auto"/>
        <w:rPr>
          <w:rFonts w:eastAsia="Calibri"/>
          <w:noProof/>
          <w:szCs w:val="24"/>
        </w:rPr>
      </w:pPr>
      <w:r>
        <w:rPr>
          <w:noProof/>
        </w:rPr>
        <w:t>U sedmom stupcu predloška MNP koji podnosi izvješće navodi iznos dospjelih poreznih rashoda prijavljenih za oporezivu dobit ili gubitak u godini izvješćivanja za sve sastavne subjekte koji su u svrhu oporezivanja rezidenti u predmetnoj poreznoj jurisdikc</w:t>
      </w:r>
      <w:r>
        <w:rPr>
          <w:noProof/>
        </w:rPr>
        <w:t>iji. U postojećim poreznim rashodima odražava se samo poslovanje u tekućoj godini i oni ne uključuju odgođene poreze ili sredstva za nesigurne porezne obveze.</w:t>
      </w:r>
    </w:p>
    <w:p w:rsidR="005B563B" w:rsidRDefault="00B137F5">
      <w:pPr>
        <w:spacing w:before="0" w:after="200" w:line="276" w:lineRule="auto"/>
        <w:rPr>
          <w:rFonts w:eastAsia="Calibri"/>
          <w:noProof/>
          <w:szCs w:val="24"/>
        </w:rPr>
      </w:pPr>
      <w:r>
        <w:rPr>
          <w:noProof/>
        </w:rPr>
        <w:t>1.6. Prijavljeni kapital</w:t>
      </w:r>
    </w:p>
    <w:p w:rsidR="005B563B" w:rsidRDefault="00B137F5">
      <w:pPr>
        <w:spacing w:before="0" w:after="200" w:line="276" w:lineRule="auto"/>
        <w:rPr>
          <w:rFonts w:eastAsia="Calibri"/>
          <w:noProof/>
          <w:szCs w:val="24"/>
        </w:rPr>
      </w:pPr>
      <w:r>
        <w:rPr>
          <w:noProof/>
        </w:rPr>
        <w:t>U osmom stupcu predloška MNP koji podnosi izvješće navodi zbroj prijavlj</w:t>
      </w:r>
      <w:r>
        <w:rPr>
          <w:noProof/>
        </w:rPr>
        <w:t>enog kapitala za sve sastavne subjekte koji su u svrhu oporezivanja rezidenti u predmetnoj poreznoj jurisdikciji. U odnosu na stalne poslovne jedinice prijavljeni kapital prijavljuje pravna osoba čiji je taj subjekt stalna poslovna jedinica, osim ako je za</w:t>
      </w:r>
      <w:r>
        <w:rPr>
          <w:noProof/>
        </w:rPr>
        <w:t>htjev za kapitalom definiran u poreznoj jurisdikciji stalne poslovne jedinice u regulatorne svrhe.</w:t>
      </w:r>
    </w:p>
    <w:p w:rsidR="005B563B" w:rsidRDefault="00B137F5">
      <w:pPr>
        <w:spacing w:before="0" w:after="200" w:line="276" w:lineRule="auto"/>
        <w:rPr>
          <w:rFonts w:eastAsia="Calibri"/>
          <w:noProof/>
          <w:szCs w:val="24"/>
        </w:rPr>
      </w:pPr>
      <w:r>
        <w:rPr>
          <w:noProof/>
        </w:rPr>
        <w:t>1.7. Akumulirana dobit</w:t>
      </w:r>
    </w:p>
    <w:p w:rsidR="005B563B" w:rsidRDefault="00B137F5">
      <w:pPr>
        <w:spacing w:before="0" w:after="200" w:line="276" w:lineRule="auto"/>
        <w:rPr>
          <w:rFonts w:eastAsia="Calibri"/>
          <w:noProof/>
          <w:szCs w:val="24"/>
        </w:rPr>
      </w:pPr>
      <w:r>
        <w:rPr>
          <w:noProof/>
        </w:rPr>
        <w:t>U devetom stupcu predloška MNP koji podnosi izvješće navodi zbroj ukupne akumulirane dobiti za sve sastavne subjekte koji su u svrhu o</w:t>
      </w:r>
      <w:r>
        <w:rPr>
          <w:noProof/>
        </w:rPr>
        <w:t>porezivanja na kraju godine rezidenti u predmetnoj poreznoj jurisdikciji. U odnosu na stalne poslovne jedinice akumuliranu dobit prijavljuje pravna osoba čija je to stalna poslovna jedinica.</w:t>
      </w:r>
    </w:p>
    <w:p w:rsidR="005B563B" w:rsidRDefault="00B137F5">
      <w:pPr>
        <w:spacing w:before="0" w:after="200" w:line="276" w:lineRule="auto"/>
        <w:rPr>
          <w:rFonts w:eastAsia="Calibri"/>
          <w:noProof/>
          <w:szCs w:val="24"/>
        </w:rPr>
      </w:pPr>
      <w:r>
        <w:rPr>
          <w:noProof/>
        </w:rPr>
        <w:t>1.8. Broj zaposlenih</w:t>
      </w:r>
    </w:p>
    <w:p w:rsidR="005B563B" w:rsidRDefault="00B137F5">
      <w:pPr>
        <w:spacing w:before="0" w:after="480" w:line="276" w:lineRule="auto"/>
        <w:rPr>
          <w:rFonts w:eastAsia="Calibri"/>
          <w:noProof/>
          <w:szCs w:val="24"/>
        </w:rPr>
      </w:pPr>
      <w:r>
        <w:rPr>
          <w:noProof/>
        </w:rPr>
        <w:t xml:space="preserve">U desetom stupcu predloška MNP koji podnosi </w:t>
      </w:r>
      <w:r>
        <w:rPr>
          <w:noProof/>
        </w:rPr>
        <w:t xml:space="preserve">izvješće navodi ukupni broj zaposlenika na temelju ekvivalenta punog radnog vremena (FTE) za sve sastavne subjekte koji su u svrhu oporezivanja rezidenti u predmetnoj poreznoj jurisdikciji. Može se prijavljivati broj zaposlenika na kraju godine na temelju </w:t>
      </w:r>
      <w:r>
        <w:rPr>
          <w:noProof/>
        </w:rPr>
        <w:t>prosječne stope zaposlenosti za godinu ili na nekoj drugoj osnovi koja se dosljedno primjenjuje u poreznim jurisdikcijama i iz godine u godinu. U tu svrhu vanjski suradnici koji sudjeluju u redovnom poslovanju sastavnog subjekta mogu se prijavljivati kao z</w:t>
      </w:r>
      <w:r>
        <w:rPr>
          <w:noProof/>
        </w:rPr>
        <w:t>aposlenici. Dopušteno je razumno zaokruživanje ili navođenje okvirnog broja zaposlenika ako se takvim zaokruživanjem ili navođenjem okvirnog broja znatno ne narušava relativna podjela zaposlenika po različitim poreznim jurisdikcijama. Primjenjuju se doslje</w:t>
      </w:r>
      <w:r>
        <w:rPr>
          <w:noProof/>
        </w:rPr>
        <w:t>dni pristupi iz godine u godinu i na različite subjekte.</w:t>
      </w:r>
    </w:p>
    <w:p w:rsidR="005B563B" w:rsidRDefault="00B137F5">
      <w:pPr>
        <w:spacing w:before="0" w:after="200" w:line="276" w:lineRule="auto"/>
        <w:rPr>
          <w:rFonts w:eastAsia="Calibri"/>
          <w:noProof/>
          <w:szCs w:val="24"/>
        </w:rPr>
      </w:pPr>
      <w:r>
        <w:rPr>
          <w:noProof/>
        </w:rPr>
        <w:t>1.9. Materijalna imovina osim gotovine i ekvivalenata gotovine</w:t>
      </w:r>
    </w:p>
    <w:p w:rsidR="005B563B" w:rsidRDefault="00B137F5">
      <w:pPr>
        <w:spacing w:before="0" w:after="200" w:line="276" w:lineRule="auto"/>
        <w:rPr>
          <w:rFonts w:eastAsia="Calibri"/>
          <w:noProof/>
          <w:szCs w:val="24"/>
        </w:rPr>
      </w:pPr>
      <w:r>
        <w:rPr>
          <w:noProof/>
        </w:rPr>
        <w:t xml:space="preserve">U jedanaestom stupcu predloška MNP koji podnosi izvješće navodi zbroj neto knjigovodstvenih vrijednosti materijalne imovine za sve </w:t>
      </w:r>
      <w:r>
        <w:rPr>
          <w:noProof/>
        </w:rPr>
        <w:t>sastavne subjekte koji su u svrhu oporezivanja rezidenti u predmetnoj poreznoj jurisdikciji. U odnosu na stalne poslovne jedinice imovina se prijavljuje upućivanjem na poreznu jurisdikciju u kojoj se nalazi stalna poslovna jedinica. Materijalna imovina u o</w:t>
      </w:r>
      <w:r>
        <w:rPr>
          <w:noProof/>
        </w:rPr>
        <w:t>vu svrhu ne uključuje gotovinu ili ekvivalente gotovine, nematerijalnu imovinu ili financijsku imovinu.</w:t>
      </w:r>
    </w:p>
    <w:p w:rsidR="005B563B" w:rsidRDefault="00B137F5">
      <w:pPr>
        <w:spacing w:before="0" w:after="200" w:line="276" w:lineRule="auto"/>
        <w:rPr>
          <w:rFonts w:eastAsia="Calibri"/>
          <w:b/>
          <w:noProof/>
          <w:szCs w:val="24"/>
        </w:rPr>
      </w:pPr>
      <w:r>
        <w:rPr>
          <w:b/>
          <w:noProof/>
        </w:rPr>
        <w:t>2. Popis svih sastavnih subjekata skupine MNP-ova uključenih u svaki zbroj po poreznoj jurisdikciji (Tablica 2.)</w:t>
      </w:r>
    </w:p>
    <w:p w:rsidR="005B563B" w:rsidRDefault="00B137F5">
      <w:pPr>
        <w:spacing w:before="0" w:after="200" w:line="276" w:lineRule="auto"/>
        <w:rPr>
          <w:rFonts w:eastAsia="Calibri"/>
          <w:noProof/>
          <w:szCs w:val="24"/>
        </w:rPr>
      </w:pPr>
      <w:r>
        <w:rPr>
          <w:noProof/>
        </w:rPr>
        <w:t>2.1. Sastavni subjekti rezidenti u pore</w:t>
      </w:r>
      <w:r>
        <w:rPr>
          <w:noProof/>
        </w:rPr>
        <w:t>znoj jurisdikciji</w:t>
      </w:r>
    </w:p>
    <w:p w:rsidR="005B563B" w:rsidRDefault="00B137F5">
      <w:pPr>
        <w:spacing w:before="0" w:after="200" w:line="276" w:lineRule="auto"/>
        <w:rPr>
          <w:rFonts w:eastAsia="Calibri"/>
          <w:noProof/>
          <w:szCs w:val="24"/>
        </w:rPr>
      </w:pPr>
      <w:r>
        <w:rPr>
          <w:noProof/>
        </w:rPr>
        <w:t>MNP koji podnosi izvješće navodi za svaku poreznu jurisdikciju i prema nazivu pravne osobe sve sastavne subjekte skupine MNP-ova koji su u svrhu oporezivanja rezidenti u predmetnoj poreznoj jurisdikciji. Međutim, kako je navedeno u točki </w:t>
      </w:r>
      <w:r>
        <w:rPr>
          <w:noProof/>
        </w:rPr>
        <w:t>2. Općih uputa u odnosu na stalne poslovne jedinice, stalna poslovna jedinica navodi se upućivanjem na poreznu jurisdikciju u kojoj se nalazi. Navodi se pravna osoba kojoj pripada stalna poslovna jedinica.</w:t>
      </w:r>
    </w:p>
    <w:p w:rsidR="005B563B" w:rsidRDefault="00B137F5">
      <w:pPr>
        <w:spacing w:before="0" w:after="200" w:line="276" w:lineRule="auto"/>
        <w:rPr>
          <w:rFonts w:eastAsia="Calibri"/>
          <w:noProof/>
          <w:szCs w:val="24"/>
        </w:rPr>
      </w:pPr>
      <w:r>
        <w:rPr>
          <w:noProof/>
        </w:rPr>
        <w:t>2.2. Porezna jurisdikcija organizacije ili korpora</w:t>
      </w:r>
      <w:r>
        <w:rPr>
          <w:noProof/>
        </w:rPr>
        <w:t>cije ako je različita od porezne jurisdikcije rezidentnosti</w:t>
      </w:r>
    </w:p>
    <w:p w:rsidR="005B563B" w:rsidRDefault="00B137F5">
      <w:pPr>
        <w:spacing w:before="0" w:after="200" w:line="276" w:lineRule="auto"/>
        <w:rPr>
          <w:rFonts w:eastAsia="Calibri"/>
          <w:noProof/>
          <w:szCs w:val="24"/>
        </w:rPr>
      </w:pPr>
      <w:r>
        <w:rPr>
          <w:noProof/>
        </w:rPr>
        <w:t>MNP koji podnosi izvješće navodi naziv porezne jurisdikcije čiji se zakoni primjenjuju na organizaciju i ustrojstvo sastavnog subjekta MNP-a ako je različita od porezne jurisdikcije rezidentnosti.</w:t>
      </w:r>
    </w:p>
    <w:p w:rsidR="005B563B" w:rsidRDefault="00B137F5">
      <w:pPr>
        <w:spacing w:before="0" w:after="200" w:line="276" w:lineRule="auto"/>
        <w:rPr>
          <w:rFonts w:eastAsia="Calibri"/>
          <w:noProof/>
          <w:szCs w:val="24"/>
        </w:rPr>
      </w:pPr>
      <w:r>
        <w:rPr>
          <w:noProof/>
        </w:rPr>
        <w:t>2.3. Glavne poslovne djelatnosti</w:t>
      </w:r>
    </w:p>
    <w:p w:rsidR="005B563B" w:rsidRDefault="00B137F5">
      <w:pPr>
        <w:spacing w:before="0" w:after="200" w:line="276" w:lineRule="auto"/>
        <w:rPr>
          <w:rFonts w:eastAsia="Calibri"/>
          <w:noProof/>
          <w:szCs w:val="24"/>
        </w:rPr>
      </w:pPr>
      <w:r>
        <w:rPr>
          <w:noProof/>
        </w:rPr>
        <w:t>MNP koji podnosi izvješće utvrđuje prirodu glavnih poslovnih djelatnosti koje obavlja sastavni subjekt u predmetnoj poreznoj jurisdikciji označivanjem najmanje jedne odgovarajuće kućice.”</w:t>
      </w:r>
    </w:p>
    <w:p w:rsidR="005B563B" w:rsidRDefault="005B563B">
      <w:pPr>
        <w:rPr>
          <w:rFonts w:eastAsia="Times New Roman"/>
          <w:noProof/>
        </w:rPr>
      </w:pPr>
    </w:p>
    <w:p w:rsidR="005B563B" w:rsidRDefault="005B563B">
      <w:pPr>
        <w:rPr>
          <w:noProof/>
        </w:rPr>
      </w:pPr>
    </w:p>
    <w:sectPr w:rsidR="005B563B" w:rsidSect="00B137F5">
      <w:headerReference w:type="default" r:id="rId25"/>
      <w:footerReference w:type="default" r:id="rId26"/>
      <w:headerReference w:type="first" r:id="rId27"/>
      <w:footerReference w:type="first" r:id="rId2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63B" w:rsidRDefault="00B137F5">
      <w:pPr>
        <w:spacing w:before="0" w:after="0"/>
      </w:pPr>
      <w:r>
        <w:separator/>
      </w:r>
    </w:p>
  </w:endnote>
  <w:endnote w:type="continuationSeparator" w:id="0">
    <w:p w:rsidR="005B563B" w:rsidRDefault="00B137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5" w:rsidRPr="00B137F5" w:rsidRDefault="00B137F5" w:rsidP="00B137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5" w:rsidRPr="00B137F5" w:rsidRDefault="00B137F5" w:rsidP="00B137F5">
    <w:pPr>
      <w:pStyle w:val="Footer"/>
      <w:rPr>
        <w:rFonts w:ascii="Arial" w:hAnsi="Arial" w:cs="Arial"/>
        <w:b/>
        <w:sz w:val="48"/>
      </w:rPr>
    </w:pPr>
    <w:r w:rsidRPr="00B137F5">
      <w:rPr>
        <w:rFonts w:ascii="Arial" w:hAnsi="Arial" w:cs="Arial"/>
        <w:b/>
        <w:sz w:val="48"/>
      </w:rPr>
      <w:t>HR</w:t>
    </w:r>
    <w:r w:rsidRPr="00B137F5">
      <w:rPr>
        <w:rFonts w:ascii="Arial" w:hAnsi="Arial" w:cs="Arial"/>
        <w:b/>
        <w:sz w:val="48"/>
      </w:rPr>
      <w:tab/>
    </w:r>
    <w:r w:rsidRPr="00B137F5">
      <w:rPr>
        <w:rFonts w:ascii="Arial" w:hAnsi="Arial" w:cs="Arial"/>
        <w:b/>
        <w:sz w:val="48"/>
      </w:rPr>
      <w:tab/>
    </w:r>
    <w:fldSimple w:instr=" DOCVARIABLE &quot;LW_Confidence&quot; \* MERGEFORMAT ">
      <w:r>
        <w:t xml:space="preserve"> </w:t>
      </w:r>
    </w:fldSimple>
    <w:r w:rsidRPr="00B137F5">
      <w:tab/>
    </w:r>
    <w:proofErr w:type="spellStart"/>
    <w:r w:rsidRPr="00B137F5">
      <w:rPr>
        <w:rFonts w:ascii="Arial" w:hAnsi="Arial" w:cs="Arial"/>
        <w:b/>
        <w:sz w:val="48"/>
      </w:rPr>
      <w:t>HR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5" w:rsidRPr="00B137F5" w:rsidRDefault="00B137F5" w:rsidP="00B137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5" w:rsidRPr="00B137F5" w:rsidRDefault="00B137F5" w:rsidP="00B137F5">
    <w:pPr>
      <w:pStyle w:val="Footer"/>
      <w:rPr>
        <w:rFonts w:ascii="Arial" w:hAnsi="Arial" w:cs="Arial"/>
        <w:b/>
        <w:sz w:val="48"/>
      </w:rPr>
    </w:pPr>
    <w:r w:rsidRPr="00B137F5">
      <w:rPr>
        <w:rFonts w:ascii="Arial" w:hAnsi="Arial" w:cs="Arial"/>
        <w:b/>
        <w:sz w:val="48"/>
      </w:rPr>
      <w:t>HR</w:t>
    </w:r>
    <w:r w:rsidRPr="00B137F5">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fldSimple w:instr=" DOCVARIABLE &quot;LW_Confidence&quot; \* MERGEFORMAT ">
      <w:r>
        <w:t xml:space="preserve"> </w:t>
      </w:r>
    </w:fldSimple>
    <w:r w:rsidRPr="00B137F5">
      <w:tab/>
    </w:r>
    <w:r w:rsidRPr="00B137F5">
      <w:rPr>
        <w:rFonts w:ascii="Arial" w:hAnsi="Arial" w:cs="Arial"/>
        <w:b/>
        <w:sz w:val="48"/>
      </w:rPr>
      <w:t>HR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5" w:rsidRPr="00B137F5" w:rsidRDefault="00B137F5" w:rsidP="00B137F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5" w:rsidRPr="00B137F5" w:rsidRDefault="00B137F5" w:rsidP="00B137F5">
    <w:pPr>
      <w:pStyle w:val="FooterLandscape"/>
      <w:rPr>
        <w:rFonts w:ascii="Arial" w:hAnsi="Arial" w:cs="Arial"/>
        <w:b/>
        <w:sz w:val="48"/>
      </w:rPr>
    </w:pPr>
    <w:r w:rsidRPr="00B137F5">
      <w:rPr>
        <w:rFonts w:ascii="Arial" w:hAnsi="Arial" w:cs="Arial"/>
        <w:b/>
        <w:sz w:val="48"/>
      </w:rPr>
      <w:t>HR</w:t>
    </w:r>
    <w:r w:rsidRPr="00B137F5">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fldSimple w:instr=" DOCVARIABLE &quot;LW_Confidence&quot; \* MERGEFORMAT ">
      <w:r>
        <w:t xml:space="preserve"> </w:t>
      </w:r>
    </w:fldSimple>
    <w:r w:rsidRPr="00B137F5">
      <w:tab/>
    </w:r>
    <w:r w:rsidRPr="00B137F5">
      <w:rPr>
        <w:rFonts w:ascii="Arial" w:hAnsi="Arial" w:cs="Arial"/>
        <w:b/>
        <w:sz w:val="48"/>
      </w:rPr>
      <w:t>HR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5" w:rsidRPr="00B137F5" w:rsidRDefault="00B137F5" w:rsidP="00B137F5">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5" w:rsidRPr="00B137F5" w:rsidRDefault="00B137F5" w:rsidP="00B137F5">
    <w:pPr>
      <w:pStyle w:val="Footer"/>
      <w:rPr>
        <w:rFonts w:ascii="Arial" w:hAnsi="Arial" w:cs="Arial"/>
        <w:b/>
        <w:sz w:val="48"/>
      </w:rPr>
    </w:pPr>
    <w:r w:rsidRPr="00B137F5">
      <w:rPr>
        <w:rFonts w:ascii="Arial" w:hAnsi="Arial" w:cs="Arial"/>
        <w:b/>
        <w:sz w:val="48"/>
      </w:rPr>
      <w:t>HR</w:t>
    </w:r>
    <w:r w:rsidRPr="00B137F5">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fldSimple w:instr=" DOCVARIABLE &quot;LW_Confidence&quot; \* MERGEFORMAT ">
      <w:r>
        <w:t xml:space="preserve"> </w:t>
      </w:r>
    </w:fldSimple>
    <w:r w:rsidRPr="00B137F5">
      <w:tab/>
    </w:r>
    <w:r w:rsidRPr="00B137F5">
      <w:rPr>
        <w:rFonts w:ascii="Arial" w:hAnsi="Arial" w:cs="Arial"/>
        <w:b/>
        <w:sz w:val="48"/>
      </w:rPr>
      <w:t>HR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5" w:rsidRPr="00B137F5" w:rsidRDefault="00B137F5" w:rsidP="00B13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63B" w:rsidRDefault="00B137F5">
      <w:pPr>
        <w:spacing w:before="0" w:after="0"/>
      </w:pPr>
      <w:r>
        <w:separator/>
      </w:r>
    </w:p>
  </w:footnote>
  <w:footnote w:type="continuationSeparator" w:id="0">
    <w:p w:rsidR="005B563B" w:rsidRDefault="00B137F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5" w:rsidRPr="00B137F5" w:rsidRDefault="00B137F5" w:rsidP="00B137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5" w:rsidRPr="00B137F5" w:rsidRDefault="00B137F5" w:rsidP="00B137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5" w:rsidRPr="00B137F5" w:rsidRDefault="00B137F5" w:rsidP="00B137F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5" w:rsidRPr="00B137F5" w:rsidRDefault="00B137F5" w:rsidP="00B137F5">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5" w:rsidRPr="00B137F5" w:rsidRDefault="00B137F5" w:rsidP="00B137F5">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5" w:rsidRPr="00B137F5" w:rsidRDefault="00B137F5" w:rsidP="00B137F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F5" w:rsidRPr="00B137F5" w:rsidRDefault="00B137F5" w:rsidP="00B137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B26F6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17C7C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69C84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AB065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EAA70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0AC7F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5E6DB4"/>
    <w:lvl w:ilvl="0">
      <w:start w:val="1"/>
      <w:numFmt w:val="decimal"/>
      <w:pStyle w:val="ListNumber"/>
      <w:lvlText w:val="%1."/>
      <w:lvlJc w:val="left"/>
      <w:pPr>
        <w:tabs>
          <w:tab w:val="num" w:pos="360"/>
        </w:tabs>
        <w:ind w:left="360" w:hanging="360"/>
      </w:pPr>
    </w:lvl>
  </w:abstractNum>
  <w:abstractNum w:abstractNumId="7">
    <w:nsid w:val="FFFFFF89"/>
    <w:multiLevelType w:val="singleLevel"/>
    <w:tmpl w:val="EF040C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8B82B26"/>
    <w:multiLevelType w:val="multilevel"/>
    <w:tmpl w:val="0809001F"/>
    <w:styleLink w:val="Style2"/>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6E92B97"/>
    <w:multiLevelType w:val="multilevel"/>
    <w:tmpl w:val="0809001D"/>
    <w:name w:val="Point3"/>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7E1619A"/>
    <w:multiLevelType w:val="multilevel"/>
    <w:tmpl w:val="0809001F"/>
    <w:styleLink w:val="Style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4"/>
  </w:num>
  <w:num w:numId="6">
    <w:abstractNumId w:val="8"/>
  </w:num>
  <w:num w:numId="7">
    <w:abstractNumId w:val="6"/>
  </w:num>
  <w:num w:numId="8">
    <w:abstractNumId w:val="2"/>
  </w:num>
  <w:num w:numId="9">
    <w:abstractNumId w:val="1"/>
  </w:num>
  <w:num w:numId="10">
    <w:abstractNumId w:val="0"/>
  </w:num>
  <w:num w:numId="11">
    <w:abstractNumId w:val="11"/>
  </w:num>
  <w:num w:numId="12">
    <w:abstractNumId w:val="1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4"/>
  </w:num>
  <w:num w:numId="16">
    <w:abstractNumId w:val="23"/>
  </w:num>
  <w:num w:numId="17">
    <w:abstractNumId w:val="13"/>
  </w:num>
  <w:num w:numId="18">
    <w:abstractNumId w:val="15"/>
  </w:num>
  <w:num w:numId="19">
    <w:abstractNumId w:val="10"/>
  </w:num>
  <w:num w:numId="20">
    <w:abstractNumId w:val="22"/>
  </w:num>
  <w:num w:numId="21">
    <w:abstractNumId w:val="9"/>
  </w:num>
  <w:num w:numId="22">
    <w:abstractNumId w:val="16"/>
  </w:num>
  <w:num w:numId="23">
    <w:abstractNumId w:val="19"/>
  </w:num>
  <w:num w:numId="24">
    <w:abstractNumId w:val="20"/>
  </w:num>
  <w:num w:numId="25">
    <w:abstractNumId w:val="12"/>
  </w:num>
  <w:num w:numId="26">
    <w:abstractNumId w:val="18"/>
  </w:num>
  <w:num w:numId="27">
    <w:abstractNumId w:val="25"/>
  </w:num>
  <w:num w:numId="28">
    <w:abstractNumId w:val="21"/>
  </w:num>
  <w:num w:numId="29">
    <w:abstractNumId w:val="14"/>
  </w:num>
  <w:num w:numId="30">
    <w:abstractNumId w:val="23"/>
  </w:num>
  <w:num w:numId="31">
    <w:abstractNumId w:val="13"/>
  </w:num>
  <w:num w:numId="32">
    <w:abstractNumId w:val="15"/>
  </w:num>
  <w:num w:numId="33">
    <w:abstractNumId w:val="10"/>
  </w:num>
  <w:num w:numId="34">
    <w:abstractNumId w:val="22"/>
  </w:num>
  <w:num w:numId="35">
    <w:abstractNumId w:val="9"/>
  </w:num>
  <w:num w:numId="36">
    <w:abstractNumId w:val="16"/>
  </w:num>
  <w:num w:numId="37">
    <w:abstractNumId w:val="19"/>
  </w:num>
  <w:num w:numId="38">
    <w:abstractNumId w:val="20"/>
  </w:num>
  <w:num w:numId="39">
    <w:abstractNumId w:val="12"/>
  </w:num>
  <w:num w:numId="40">
    <w:abstractNumId w:val="18"/>
  </w:num>
  <w:num w:numId="41">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29 09:45: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Yellow"/>
    <w:docVar w:name="DQCVersion" w:val="3"/>
    <w:docVar w:name="DQCWithWarnings" w:val="0"/>
    <w:docVar w:name="LW_ACCOMPAGNANT.CP" w:val=" "/>
    <w:docVar w:name="LW_ANNEX_NBR_FIRST" w:val="1"/>
    <w:docVar w:name="LW_ANNEX_NBR_LAST" w:val="1"/>
    <w:docVar w:name="LW_CONFIDENCE" w:val=" "/>
    <w:docVar w:name="LW_CONST_RESTREINT_UE" w:val="RESTREINT UE/EU RESTRICTED"/>
    <w:docVar w:name="LW_CORRIGENDUM" w:val="&lt;UNUSED&gt;"/>
    <w:docVar w:name="LW_COVERPAGE_GUID" w:val="E66F11A5BFA346D0934A1396B11FFE73"/>
    <w:docVar w:name="LW_CROSSREFERENCE" w:val="&lt;UNUSED&gt;"/>
    <w:docVar w:name="LW_DocType" w:val="ANNEX"/>
    <w:docVar w:name="LW_EMISSION" w:val="28.1.2016."/>
    <w:docVar w:name="LW_EMISSION_ISODATE" w:val="2016-01-28"/>
    <w:docVar w:name="LW_EMISSION_LOCATION" w:val="BRX"/>
    <w:docVar w:name="LW_EMISSION_PREFIX" w:val="Bruxelles, "/>
    <w:docVar w:name="LW_EMISSION_SUFFIX" w:val=" "/>
    <w:docVar w:name="LW_ID_DOCSTRUCTURE" w:val="COM/ANNEX"/>
    <w:docVar w:name="LW_ID_DOCTYPE" w:val="SG-017"/>
    <w:docVar w:name="LW_LANGUE" w:val="HR"/>
    <w:docVar w:name="LW_MARKING" w:val="&lt;UNUSED&gt;"/>
    <w:docVar w:name="LW_NOM.INST" w:val="EUROPSKA KOMISIJA"/>
    <w:docVar w:name="LW_NOM.INST_JOINTDOC" w:val="&lt;EMPTY&gt;"/>
    <w:docVar w:name="LW_OBJETACTEPRINCIPAL.CP" w:val="o izmjeni Direktive 2011/16/EU u pogledu obvezne automatske razmjene informacija u podru\u269?ju oporezivanja"/>
    <w:docVar w:name="LW_PART_NBR" w:val="1"/>
    <w:docVar w:name="LW_PART_NBR_TOTAL" w:val="1"/>
    <w:docVar w:name="LW_REF.INST.NEW" w:val="COM"/>
    <w:docVar w:name="LW_REF.INST.NEW_ADOPTED" w:val="final"/>
    <w:docVar w:name="LW_REF.INST.NEW_TEXT" w:val="(2016) 25"/>
    <w:docVar w:name="LW_REF.INTERNE" w:val="&lt;UNUSED&gt;"/>
    <w:docVar w:name="LW_SUPERTITRE" w:val="&lt;UNUSED&gt;"/>
    <w:docVar w:name="LW_TITRE.OBJ.CP" w:val="&lt;UNUSED&gt;"/>
    <w:docVar w:name="LW_TYPE.DOC.CP" w:val="PRILOG"/>
    <w:docVar w:name="LW_TYPEACTEPRINCIPAL.CP" w:val="Prijedlogu odluke Vije\u263?a"/>
  </w:docVars>
  <w:rsids>
    <w:rsidRoot w:val="005B563B"/>
    <w:rsid w:val="005B563B"/>
    <w:rsid w:val="00B1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hr-HR" w:bidi="hr-H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unhideWhenUsed/>
    <w:pPr>
      <w:numPr>
        <w:numId w:val="4"/>
      </w:numPr>
      <w:contextualSpacing/>
    </w:pPr>
  </w:style>
  <w:style w:type="numbering" w:customStyle="1" w:styleId="Style2">
    <w:name w:val="Style2"/>
    <w:pPr>
      <w:numPr>
        <w:numId w:val="6"/>
      </w:numPr>
    </w:pPr>
  </w:style>
  <w:style w:type="numbering" w:customStyle="1" w:styleId="Style1">
    <w:name w:val="Style1"/>
    <w:pPr>
      <w:numPr>
        <w:numId w:val="5"/>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r-HR"/>
    </w:rPr>
  </w:style>
  <w:style w:type="paragraph" w:customStyle="1" w:styleId="HeadingIVX">
    <w:name w:val="Heading IVX"/>
    <w:basedOn w:val="Normal"/>
    <w:next w:val="Normal"/>
    <w:pPr>
      <w:numPr>
        <w:numId w:val="11"/>
      </w:numPr>
      <w:spacing w:before="360" w:line="360" w:lineRule="auto"/>
      <w:jc w:val="left"/>
      <w:outlineLvl w:val="0"/>
    </w:pPr>
    <w:rPr>
      <w:rFonts w:eastAsia="Times New Roman"/>
      <w:b/>
      <w:caps/>
      <w:szCs w:val="24"/>
      <w:u w:val="single"/>
    </w:rPr>
  </w:style>
  <w:style w:type="paragraph" w:styleId="ListParagraph">
    <w:name w:val="List Paragraph"/>
    <w:basedOn w:val="Normal"/>
    <w:uiPriority w:val="34"/>
    <w:qFormat/>
    <w:pPr>
      <w:ind w:left="720"/>
      <w:contextualSpacing/>
    </w:pPr>
  </w:style>
  <w:style w:type="numbering" w:customStyle="1" w:styleId="Style3">
    <w:name w:val="Style3"/>
    <w:uiPriority w:val="99"/>
    <w:pPr>
      <w:numPr>
        <w:numId w:val="12"/>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r-H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B137F5"/>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B137F5"/>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137F5"/>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hr-HR" w:bidi="hr-H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unhideWhenUsed/>
    <w:pPr>
      <w:numPr>
        <w:numId w:val="4"/>
      </w:numPr>
      <w:contextualSpacing/>
    </w:pPr>
  </w:style>
  <w:style w:type="numbering" w:customStyle="1" w:styleId="Style2">
    <w:name w:val="Style2"/>
    <w:pPr>
      <w:numPr>
        <w:numId w:val="6"/>
      </w:numPr>
    </w:pPr>
  </w:style>
  <w:style w:type="numbering" w:customStyle="1" w:styleId="Style1">
    <w:name w:val="Style1"/>
    <w:pPr>
      <w:numPr>
        <w:numId w:val="5"/>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r-HR"/>
    </w:rPr>
  </w:style>
  <w:style w:type="paragraph" w:customStyle="1" w:styleId="HeadingIVX">
    <w:name w:val="Heading IVX"/>
    <w:basedOn w:val="Normal"/>
    <w:next w:val="Normal"/>
    <w:pPr>
      <w:numPr>
        <w:numId w:val="11"/>
      </w:numPr>
      <w:spacing w:before="360" w:line="360" w:lineRule="auto"/>
      <w:jc w:val="left"/>
      <w:outlineLvl w:val="0"/>
    </w:pPr>
    <w:rPr>
      <w:rFonts w:eastAsia="Times New Roman"/>
      <w:b/>
      <w:caps/>
      <w:szCs w:val="24"/>
      <w:u w:val="single"/>
    </w:rPr>
  </w:style>
  <w:style w:type="paragraph" w:styleId="ListParagraph">
    <w:name w:val="List Paragraph"/>
    <w:basedOn w:val="Normal"/>
    <w:uiPriority w:val="34"/>
    <w:qFormat/>
    <w:pPr>
      <w:ind w:left="720"/>
      <w:contextualSpacing/>
    </w:pPr>
  </w:style>
  <w:style w:type="numbering" w:customStyle="1" w:styleId="Style3">
    <w:name w:val="Style3"/>
    <w:uiPriority w:val="99"/>
    <w:pPr>
      <w:numPr>
        <w:numId w:val="12"/>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r-H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B137F5"/>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B137F5"/>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137F5"/>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6e69f030-f312-477b-8d05-3155ad93c246">Not Started</EC_Collab_Status>
    <EC_Collab_Reference xmlns="6e69f030-f312-477b-8d05-3155ad93c246" xsi:nil="true"/>
    <EC_Collab_DocumentLanguage xmlns="6e69f030-f312-477b-8d05-3155ad93c246">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DB8881E4CA0324BAC53BF18E75DA682" ma:contentTypeVersion="1" ma:contentTypeDescription="Create a new document in this library." ma:contentTypeScope="" ma:versionID="f182fc8fdf1ad664a570120045852599">
  <xsd:schema xmlns:xsd="http://www.w3.org/2001/XMLSchema" xmlns:xs="http://www.w3.org/2001/XMLSchema" xmlns:p="http://schemas.microsoft.com/office/2006/metadata/properties" xmlns:ns3="6e69f030-f312-477b-8d05-3155ad93c246" targetNamespace="http://schemas.microsoft.com/office/2006/metadata/properties" ma:root="true" ma:fieldsID="7172541cb6bcf93086ca3068050b60d5" ns3:_="">
    <xsd:import namespace="6e69f030-f312-477b-8d05-3155ad93c246"/>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9f030-f312-477b-8d05-3155ad93c24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D50A7-66DB-47E0-ABDC-763EA761D384}">
  <ds:schemaRefs>
    <ds:schemaRef ds:uri="http://schemas.microsoft.com/office/2006/documentManagement/types"/>
    <ds:schemaRef ds:uri="http://purl.org/dc/dcmitype/"/>
    <ds:schemaRef ds:uri="http://schemas.microsoft.com/office/infopath/2007/PartnerControls"/>
    <ds:schemaRef ds:uri="http://www.w3.org/XML/1998/namespace"/>
    <ds:schemaRef ds:uri="6e69f030-f312-477b-8d05-3155ad93c246"/>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6C78C6F-5239-4C28-8865-1163B7BF0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9f030-f312-477b-8d05-3155ad93c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159B8-685B-4432-88B7-A76CA62B5F41}">
  <ds:schemaRefs>
    <ds:schemaRef ds:uri="http://schemas.microsoft.com/sharepoint/v3/contenttype/forms"/>
  </ds:schemaRefs>
</ds:datastoreItem>
</file>

<file path=customXml/itemProps4.xml><?xml version="1.0" encoding="utf-8"?>
<ds:datastoreItem xmlns:ds="http://schemas.openxmlformats.org/officeDocument/2006/customXml" ds:itemID="{EA5EED3C-E9B3-4A62-8B4A-A9C8FD541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6</TotalTime>
  <Pages>11</Pages>
  <Words>2871</Words>
  <Characters>17620</Characters>
  <Application>Microsoft Office Word</Application>
  <DocSecurity>0</DocSecurity>
  <Lines>585</Lines>
  <Paragraphs>134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BOTTE Sophia (TAXUD)</dc:creator>
  <cp:lastModifiedBy>KUDRYK Katarzyna (SG)</cp:lastModifiedBy>
  <cp:revision>15</cp:revision>
  <cp:lastPrinted>2016-01-19T10:37:00Z</cp:lastPrinted>
  <dcterms:created xsi:type="dcterms:W3CDTF">2016-01-29T08:45:00Z</dcterms:created>
  <dcterms:modified xsi:type="dcterms:W3CDTF">2016-02-02T15:20:00Z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ContentTypeId">
    <vt:lpwstr>0x010100258AA79CEB83498886A3A0868112325000DDB8881E4CA0324BAC53BF18E75DA682</vt:lpwstr>
  </property>
  <property fmtid="{D5CDD505-2E9C-101B-9397-08002B2CF9AE}" pid="13" name="DQCStatus">
    <vt:lpwstr>Yellow (DQC version 03)</vt:lpwstr>
  </property>
</Properties>
</file>