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EB50A21D8A242B0B51CC7C83BFD051C" style="width:450.8pt;height:411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ANHANG II</w:t>
      </w:r>
      <w:bookmarkEnd w:id="0"/>
      <w:r>
        <w:rPr>
          <w:noProof/>
        </w:rPr>
        <w:t xml:space="preserve"> - T</w:t>
      </w:r>
      <w:r>
        <w:rPr>
          <w:smallCaps/>
          <w:noProof/>
        </w:rPr>
        <w:t>eil</w:t>
      </w:r>
      <w:r>
        <w:rPr>
          <w:noProof/>
        </w:rPr>
        <w:t xml:space="preserve"> 1</w:t>
      </w:r>
    </w:p>
    <w:p>
      <w:pPr>
        <w:spacing w:after="240"/>
        <w:jc w:val="center"/>
        <w:rPr>
          <w:b/>
          <w:noProof/>
        </w:rPr>
      </w:pPr>
      <w:bookmarkStart w:id="2" w:name="_Toc401595127"/>
      <w:r>
        <w:rPr>
          <w:b/>
          <w:noProof/>
        </w:rPr>
        <w:t xml:space="preserve">EINFUHRZÖLLE AUF </w:t>
      </w:r>
      <w:bookmarkStart w:id="3" w:name="_Toc401595128"/>
      <w:bookmarkEnd w:id="2"/>
      <w:r>
        <w:rPr>
          <w:b/>
          <w:noProof/>
        </w:rPr>
        <w:t>EU</w:t>
      </w:r>
      <w:bookmarkEnd w:id="3"/>
      <w:r>
        <w:rPr>
          <w:b/>
          <w:noProof/>
        </w:rPr>
        <w:t>-URSPRUNGSWAREN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Die Einfuhrzölle auf EU-Ursprungswaren, die in das Gebiet der OAG-Partnerstaaten eingeführt werden, werden für die in Anhang IIa aufgeführten Waren bei Inkrafttreten dieses Abkommens beseitigt.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Die Einfuhrzölle auf EU-Ursprungswaren, die in das Gebiet der OAG-Partnerstaaten eingeführt werden, werden für die in Anhang IIb aufgeführten Waren nach folgendem Zeitplan schrittweise abgebaut:</w:t>
      </w:r>
    </w:p>
    <w:p>
      <w:pPr>
        <w:pStyle w:val="Tiret1"/>
        <w:numPr>
          <w:ilvl w:val="0"/>
          <w:numId w:val="29"/>
        </w:numPr>
        <w:rPr>
          <w:noProof/>
        </w:rPr>
      </w:pPr>
      <w:r>
        <w:rPr>
          <w:noProof/>
        </w:rPr>
        <w:t>Sieben Jahre nach Inkrafttreten dieses Abkommens werden die Zölle jeweils auf 80 % des Ausgangszollsatzes gesenkt.</w:t>
      </w:r>
    </w:p>
    <w:p>
      <w:pPr>
        <w:pStyle w:val="Tiret1"/>
        <w:rPr>
          <w:noProof/>
        </w:rPr>
      </w:pPr>
      <w:r>
        <w:rPr>
          <w:noProof/>
        </w:rPr>
        <w:t>Acht Jahre nach Inkrafttreten dieses Abkommens werden die Zölle jeweils auf 70 % des Ausgangszollsatzes gesenkt.</w:t>
      </w:r>
    </w:p>
    <w:p>
      <w:pPr>
        <w:pStyle w:val="Tiret1"/>
        <w:rPr>
          <w:noProof/>
        </w:rPr>
      </w:pPr>
      <w:r>
        <w:rPr>
          <w:noProof/>
        </w:rPr>
        <w:t>Neun Jahre nach Inkrafttreten dieses Abkommens werden die Zölle jeweils auf 60 % des Ausgangszollsatzes gesenkt.</w:t>
      </w:r>
    </w:p>
    <w:p>
      <w:pPr>
        <w:pStyle w:val="Tiret1"/>
        <w:rPr>
          <w:noProof/>
        </w:rPr>
      </w:pPr>
      <w:r>
        <w:rPr>
          <w:noProof/>
        </w:rPr>
        <w:t>Zehn Jahre nach Inkrafttreten dieses Abkommens werden die Zölle jeweils auf 50 % des Ausgangszollsatzes gesenkt.</w:t>
      </w:r>
    </w:p>
    <w:p>
      <w:pPr>
        <w:pStyle w:val="Tiret1"/>
        <w:rPr>
          <w:noProof/>
        </w:rPr>
      </w:pPr>
      <w:r>
        <w:rPr>
          <w:noProof/>
        </w:rPr>
        <w:t>Elf Jahre nach Inkrafttreten dieses Abkommens werden die Zölle jeweils auf 40 % des Ausgangszollsatzes gesenkt.</w:t>
      </w:r>
    </w:p>
    <w:p>
      <w:pPr>
        <w:pStyle w:val="Tiret1"/>
        <w:rPr>
          <w:noProof/>
        </w:rPr>
      </w:pPr>
      <w:r>
        <w:rPr>
          <w:noProof/>
        </w:rPr>
        <w:t>Zwölf Jahre nach Inkrafttreten dieses Abkommens werden die Zölle jeweils auf 30 % des Ausgangszollsatzes gesenkt.</w:t>
      </w:r>
    </w:p>
    <w:p>
      <w:pPr>
        <w:pStyle w:val="Tiret1"/>
        <w:rPr>
          <w:noProof/>
        </w:rPr>
      </w:pPr>
      <w:r>
        <w:rPr>
          <w:noProof/>
        </w:rPr>
        <w:t>Dreizehn Jahre nach Inkrafttreten dieses Abkommens werden die Zölle jeweils auf 20 % des Ausgangszollsatzes gesenkt.</w:t>
      </w:r>
    </w:p>
    <w:p>
      <w:pPr>
        <w:pStyle w:val="Tiret1"/>
        <w:rPr>
          <w:noProof/>
        </w:rPr>
      </w:pPr>
      <w:r>
        <w:rPr>
          <w:noProof/>
        </w:rPr>
        <w:t>Vierzehn Jahre nach Inkrafttreten dieses Abkommens werden die Zölle jeweils auf 10 % des Ausgangszollsatzes gesenkt.</w:t>
      </w:r>
    </w:p>
    <w:p>
      <w:pPr>
        <w:pStyle w:val="Tiret1"/>
        <w:rPr>
          <w:noProof/>
        </w:rPr>
      </w:pPr>
      <w:r>
        <w:rPr>
          <w:noProof/>
        </w:rPr>
        <w:t>Fünfzehn Jahre nach Inkrafttreten dieses Abkommens werden die verbleibenden Zölle beseitigt.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Die Einfuhrzölle auf EU-Ursprungswaren, die in das Gebiet der OAG-Partnerstaaten eingeführt werden, werden für die in Anhang IIc aufgeführten Waren nach folgendem Zeitplan schrittweise abgebaut:</w:t>
      </w:r>
    </w:p>
    <w:p>
      <w:pPr>
        <w:pStyle w:val="Tiret1"/>
        <w:rPr>
          <w:noProof/>
        </w:rPr>
      </w:pPr>
      <w:r>
        <w:rPr>
          <w:noProof/>
        </w:rPr>
        <w:t>Zwölf Jahre nach Inkrafttreten dieses Abkommens werden die Zölle jeweils auf 95 % des Ausgangszollsatzes gesenkt.</w:t>
      </w:r>
    </w:p>
    <w:p>
      <w:pPr>
        <w:pStyle w:val="Tiret1"/>
        <w:rPr>
          <w:noProof/>
        </w:rPr>
      </w:pPr>
      <w:r>
        <w:rPr>
          <w:noProof/>
        </w:rPr>
        <w:t>Dreizehn Jahre nach Inkrafttreten dieses Abkommens werden die Zölle jeweils auf 90 % des Ausgangszollsatzes gesenkt.</w:t>
      </w:r>
    </w:p>
    <w:p>
      <w:pPr>
        <w:pStyle w:val="Tiret1"/>
        <w:rPr>
          <w:noProof/>
        </w:rPr>
      </w:pPr>
      <w:r>
        <w:rPr>
          <w:noProof/>
        </w:rPr>
        <w:t>Vierzehn Jahre nach Inkrafttreten dieses Abkommens werden die Zölle jeweils auf 85 % des Ausgangszollsatzes gesenkt.</w:t>
      </w:r>
    </w:p>
    <w:p>
      <w:pPr>
        <w:pStyle w:val="Tiret1"/>
        <w:rPr>
          <w:noProof/>
        </w:rPr>
      </w:pPr>
      <w:r>
        <w:rPr>
          <w:noProof/>
        </w:rPr>
        <w:t>Fünfzehn Jahre nach Inkrafttreten dieses Abkommens werden die Zölle jeweils auf 80 % des Ausgangszollsatzes gesenkt.</w:t>
      </w:r>
    </w:p>
    <w:p>
      <w:pPr>
        <w:pStyle w:val="Tiret1"/>
        <w:rPr>
          <w:noProof/>
        </w:rPr>
      </w:pPr>
      <w:r>
        <w:rPr>
          <w:noProof/>
        </w:rPr>
        <w:t>Sechzehn Jahre nach Inkrafttreten dieses Abkommens werden die Zölle jeweils auf 70 % des Ausgangszollsatzes gesenkt.</w:t>
      </w:r>
    </w:p>
    <w:p>
      <w:pPr>
        <w:pStyle w:val="Tiret1"/>
        <w:rPr>
          <w:noProof/>
        </w:rPr>
      </w:pPr>
      <w:r>
        <w:rPr>
          <w:noProof/>
        </w:rPr>
        <w:lastRenderedPageBreak/>
        <w:t>Siebzehn Jahre nach Inkrafttreten dieses Abkommens werden die Zölle jeweils auf 65 % des Ausgangszollsatzes gesenkt.</w:t>
      </w:r>
    </w:p>
    <w:p>
      <w:pPr>
        <w:pStyle w:val="Tiret1"/>
        <w:rPr>
          <w:noProof/>
        </w:rPr>
      </w:pPr>
      <w:r>
        <w:rPr>
          <w:noProof/>
        </w:rPr>
        <w:t>Achtzehn Jahre nach Inkrafttreten dieses Abkommens werden die Zölle jeweils auf 60 % des Ausgangszollsatzes gesenkt.</w:t>
      </w:r>
    </w:p>
    <w:p>
      <w:pPr>
        <w:pStyle w:val="Tiret1"/>
        <w:rPr>
          <w:noProof/>
        </w:rPr>
      </w:pPr>
      <w:r>
        <w:rPr>
          <w:noProof/>
        </w:rPr>
        <w:t>Neunzehn Jahre nach Inkrafttreten dieses Abkommens werden die Zölle jeweils auf 55 % des Ausgangszollsatzes gesenkt.</w:t>
      </w:r>
    </w:p>
    <w:p>
      <w:pPr>
        <w:pStyle w:val="Tiret1"/>
        <w:rPr>
          <w:noProof/>
        </w:rPr>
      </w:pPr>
      <w:r>
        <w:rPr>
          <w:noProof/>
        </w:rPr>
        <w:t>Zwanzig Jahre nach Inkrafttreten dieses Abkommens werden die Zölle jeweils auf 50 % des Ausgangszollsatzes gesenkt.</w:t>
      </w:r>
    </w:p>
    <w:p>
      <w:pPr>
        <w:pStyle w:val="Tiret1"/>
        <w:rPr>
          <w:noProof/>
        </w:rPr>
      </w:pPr>
      <w:r>
        <w:rPr>
          <w:noProof/>
        </w:rPr>
        <w:t>Einundzwanzig Jahre nach Inkrafttreten dieses Abkommens werden die Zölle jeweils auf 40 % des Ausgangszollsatzes gesenkt.</w:t>
      </w:r>
    </w:p>
    <w:p>
      <w:pPr>
        <w:pStyle w:val="Tiret1"/>
        <w:rPr>
          <w:noProof/>
        </w:rPr>
      </w:pPr>
      <w:r>
        <w:rPr>
          <w:noProof/>
        </w:rPr>
        <w:t>Zweiundzwanzig Jahre nach Inkrafttreten dieses Abkommens werden die Zölle jeweils auf 30 % des Ausgangszollsatzes gesenkt.</w:t>
      </w:r>
    </w:p>
    <w:p>
      <w:pPr>
        <w:pStyle w:val="Tiret1"/>
        <w:rPr>
          <w:noProof/>
        </w:rPr>
      </w:pPr>
      <w:r>
        <w:rPr>
          <w:noProof/>
        </w:rPr>
        <w:t>Dreiundzwanzig Jahre nach Inkrafttreten dieses Abkommens werden die Zölle jeweils auf 20 % des Ausgangszollsatzes gesenkt.</w:t>
      </w:r>
    </w:p>
    <w:p>
      <w:pPr>
        <w:pStyle w:val="Tiret1"/>
        <w:rPr>
          <w:noProof/>
        </w:rPr>
      </w:pPr>
      <w:r>
        <w:rPr>
          <w:noProof/>
        </w:rPr>
        <w:t>Vierundzwanzig Jahre nach Inkrafttreten dieses Abkommens werden die Zölle jeweils auf 10 % des Ausgangszollsatzes gesenkt.</w:t>
      </w:r>
    </w:p>
    <w:p>
      <w:pPr>
        <w:pStyle w:val="Tiret1"/>
        <w:rPr>
          <w:noProof/>
        </w:rPr>
      </w:pPr>
      <w:r>
        <w:rPr>
          <w:noProof/>
        </w:rPr>
        <w:t>Fünfundzwanzig Jahre nach Inkrafttreten dieses Abkommens werden die verbleibenden Zölle beseitigt.</w:t>
      </w:r>
      <w:bookmarkStart w:id="4" w:name="_Toc202345632"/>
    </w:p>
    <w:bookmarkEnd w:id="4"/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Die Einfuhrzölle auf EU-Ursprungswaren, die in das Gebiet der OAG-Partnerstaaten eingeführt werden, sind für die in Anhang IId aufgeführten Waren von sämtlichen in diesem Anhang enthaltenen Zollabbauregelungen ausgeschlossen.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DE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DE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DE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0"/>
    <w:lvlOverride w:ilvl="0">
      <w:startOverride w:val="1"/>
    </w:lvlOverride>
  </w:num>
  <w:num w:numId="30">
    <w:abstractNumId w:val="29"/>
  </w:num>
  <w:num w:numId="31">
    <w:abstractNumId w:val="20"/>
  </w:num>
  <w:num w:numId="32">
    <w:abstractNumId w:val="33"/>
  </w:num>
  <w:num w:numId="33">
    <w:abstractNumId w:val="12"/>
  </w:num>
  <w:num w:numId="34">
    <w:abstractNumId w:val="21"/>
  </w:num>
  <w:num w:numId="35">
    <w:abstractNumId w:val="9"/>
  </w:num>
  <w:num w:numId="36">
    <w:abstractNumId w:val="32"/>
  </w:num>
  <w:num w:numId="37">
    <w:abstractNumId w:val="7"/>
  </w:num>
  <w:num w:numId="38">
    <w:abstractNumId w:val="23"/>
  </w:num>
  <w:num w:numId="39">
    <w:abstractNumId w:val="27"/>
  </w:num>
  <w:num w:numId="40">
    <w:abstractNumId w:val="28"/>
  </w:num>
  <w:num w:numId="41">
    <w:abstractNumId w:val="11"/>
  </w:num>
  <w:num w:numId="42">
    <w:abstractNumId w:val="25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6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s"/>
    <w:docVar w:name="LW_ACCOMPAGNANT.CP" w:val="des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BEB50A21D8A242B0B51CC7C83BFD051C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Brüssel, den "/>
    <w:docVar w:name="LW_EMISSION_SUFFIX" w:val=" "/>
    <w:docVar w:name="LW_ID_DOCSTRUCTURE" w:val="COM/ANNEX"/>
    <w:docVar w:name="LW_ID_DOCTYPE" w:val="SG-017"/>
    <w:docVar w:name="LW_LANGUE" w:val="DE"/>
    <w:docVar w:name="LW_MARKING" w:val="&lt;UNUSED&gt;"/>
    <w:docVar w:name="LW_NOM.INST" w:val="EUROPÄISCHE KOMMISSION"/>
    <w:docVar w:name="LW_NOM.INST_JOINTDOC" w:val="&lt;EMPTY&gt;"/>
    <w:docVar w:name="LW_OBJETACTEPRINCIPAL" w:val="über die Unterzeichnung und die vorläufige Anwendung des Wirtschaftspartnerschaftsabkommens (WPA) zwischen den Partnerstaaten der Ostafrikanischen Gemeinschaft (OAG) einerseits und der Europäischen Union und ihren Mitgliedstaaten andererseits"/>
    <w:docVar w:name="LW_OBJETACTEPRINCIPAL.CP" w:val="über die Unterzeichnung und die vorläufige Anwendung des Wirtschaftspartnerschaftsabkommens (WPA) zwischen den Partnerstaaten der Ostafrikanischen Gemeinschaft (OAG) einerseits und der Europäischen Union und ihren Mitgliedstaaten andererseits"/>
    <w:docVar w:name="LW_PART_NBR" w:val="1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ANHANG"/>
    <w:docVar w:name="LW_TYPE.DOC.CP" w:val="ANHANG"/>
    <w:docVar w:name="LW_TYPEACTEPRINCIPAL" w:val="Vorschlags für einen Beschluss des Rates"/>
    <w:docVar w:name="LW_TYPEACTEPRINCIPAL.CP" w:val="Vorschlags für einen Beschluss des Rate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de-DE" w:eastAsia="de-DE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de-DE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de-DE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de-DE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de-DE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de-DE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de-DE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de-DE" w:eastAsia="de-DE" w:bidi="de-DE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de-DE" w:eastAsia="de-DE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de-DE" w:eastAsia="de-DE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de-DE" w:eastAsia="de-DE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de-DE" w:eastAsia="de-DE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de-DE" w:eastAsia="de-DE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de-DE" w:eastAsia="de-DE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de-DE" w:eastAsia="de-DE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de-DE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de-DE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de-DE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de-DE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de-DE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de-DE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de-DE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de-DE" w:eastAsia="de-DE" w:bidi="de-DE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de-DE" w:eastAsia="de-DE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de-DE" w:eastAsia="de-DE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de-DE" w:eastAsia="de-DE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de-DE" w:eastAsia="de-DE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de-DE" w:eastAsia="de-DE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35D9-06A5-4E7F-A877-9462CD5E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470</Words>
  <Characters>3055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2016-01-27T10:16:00Z</cp:lastPrinted>
  <dcterms:created xsi:type="dcterms:W3CDTF">2016-01-28T16:36:00Z</dcterms:created>
  <dcterms:modified xsi:type="dcterms:W3CDTF">2016-02-11T10:26:00Z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1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