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D881255C92B45F0A54089E2145F3BF3" style="width:450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1" w:name="_Toc401595126"/>
      <w:r>
        <w:rPr>
          <w:noProof/>
        </w:rPr>
        <w:lastRenderedPageBreak/>
        <w:t>ALLEGATI II</w:t>
      </w:r>
      <w:bookmarkEnd w:id="1"/>
      <w:r>
        <w:rPr>
          <w:noProof/>
        </w:rPr>
        <w:t>I e IV dell'accordo</w:t>
      </w:r>
    </w:p>
    <w:p>
      <w:pPr>
        <w:spacing w:before="0" w:after="240"/>
        <w:jc w:val="center"/>
        <w:rPr>
          <w:rFonts w:eastAsia="Times New Roman"/>
          <w:b/>
          <w:noProof/>
          <w:szCs w:val="24"/>
        </w:rPr>
      </w:pPr>
      <w:r>
        <w:rPr>
          <w:b/>
          <w:noProof/>
        </w:rPr>
        <w:t>ALLEGATO III(a)</w:t>
      </w:r>
    </w:p>
    <w:tbl>
      <w:tblPr>
        <w:tblW w:w="154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05"/>
        <w:gridCol w:w="1225"/>
        <w:gridCol w:w="900"/>
        <w:gridCol w:w="1052"/>
        <w:gridCol w:w="1701"/>
        <w:gridCol w:w="850"/>
        <w:gridCol w:w="851"/>
        <w:gridCol w:w="850"/>
        <w:gridCol w:w="709"/>
        <w:gridCol w:w="955"/>
        <w:gridCol w:w="1030"/>
        <w:gridCol w:w="992"/>
        <w:gridCol w:w="1134"/>
        <w:gridCol w:w="2116"/>
      </w:tblGrid>
      <w:tr>
        <w:trPr>
          <w:trHeight w:val="20"/>
        </w:trPr>
        <w:tc>
          <w:tcPr>
            <w:tcW w:w="15470" w:type="dxa"/>
            <w:gridSpan w:val="14"/>
            <w:shd w:val="clear" w:color="auto" w:fill="auto"/>
            <w:tcMar>
              <w:left w:w="29" w:type="dxa"/>
              <w:right w:w="29" w:type="dxa"/>
            </w:tcMar>
            <w:vAlign w:val="center"/>
          </w:tcPr>
          <w:p>
            <w:pPr>
              <w:spacing w:before="0" w:after="0"/>
              <w:jc w:val="center"/>
              <w:rPr>
                <w:rFonts w:eastAsia="Times New Roman"/>
                <w:b/>
                <w:bCs/>
                <w:noProof/>
                <w:sz w:val="20"/>
                <w:szCs w:val="20"/>
              </w:rPr>
            </w:pPr>
            <w:r>
              <w:rPr>
                <w:b/>
                <w:noProof/>
                <w:sz w:val="20"/>
              </w:rPr>
              <w:t>MATRICE DI SVILUPPO DELL'APE - 11 SETTEMBRE 2015</w:t>
            </w:r>
          </w:p>
        </w:tc>
      </w:tr>
      <w:tr>
        <w:trPr>
          <w:trHeight w:val="230"/>
        </w:trPr>
        <w:tc>
          <w:tcPr>
            <w:tcW w:w="1105" w:type="dxa"/>
            <w:vMerge w:val="restart"/>
            <w:shd w:val="clear" w:color="auto" w:fill="auto"/>
            <w:tcMar>
              <w:left w:w="29" w:type="dxa"/>
              <w:right w:w="29" w:type="dxa"/>
            </w:tcMar>
            <w:hideMark/>
          </w:tcPr>
          <w:p>
            <w:pPr>
              <w:spacing w:before="0" w:after="0"/>
              <w:jc w:val="center"/>
              <w:rPr>
                <w:rFonts w:eastAsia="Times New Roman"/>
                <w:noProof/>
                <w:sz w:val="20"/>
                <w:szCs w:val="20"/>
              </w:rPr>
            </w:pPr>
          </w:p>
        </w:tc>
        <w:tc>
          <w:tcPr>
            <w:tcW w:w="1225"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Sottocomponente del progetto</w:t>
            </w:r>
          </w:p>
        </w:tc>
        <w:tc>
          <w:tcPr>
            <w:tcW w:w="90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Ubicazione</w:t>
            </w:r>
          </w:p>
        </w:tc>
        <w:tc>
          <w:tcPr>
            <w:tcW w:w="1052"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Copertura geografica</w:t>
            </w:r>
          </w:p>
        </w:tc>
        <w:tc>
          <w:tcPr>
            <w:tcW w:w="1701"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Situazione attuale</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Costo totale stimato (in MIO USD)</w:t>
            </w:r>
          </w:p>
        </w:tc>
        <w:tc>
          <w:tcPr>
            <w:tcW w:w="851"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UE</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Stati membri dell'UE</w:t>
            </w:r>
          </w:p>
        </w:tc>
        <w:tc>
          <w:tcPr>
            <w:tcW w:w="709"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Altri donatori</w:t>
            </w:r>
          </w:p>
        </w:tc>
        <w:tc>
          <w:tcPr>
            <w:tcW w:w="955"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EAC PS</w:t>
            </w:r>
          </w:p>
        </w:tc>
        <w:tc>
          <w:tcPr>
            <w:tcW w:w="103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Deficit da finanziare (in MIO USD)</w:t>
            </w:r>
          </w:p>
        </w:tc>
        <w:tc>
          <w:tcPr>
            <w:tcW w:w="992"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Equivalente in EUR (1 USD = 0,78 EUR)</w:t>
            </w:r>
          </w:p>
        </w:tc>
        <w:tc>
          <w:tcPr>
            <w:tcW w:w="1134"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Periodo di attuazione</w:t>
            </w:r>
          </w:p>
        </w:tc>
        <w:tc>
          <w:tcPr>
            <w:tcW w:w="2116"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Osservazioni</w:t>
            </w:r>
          </w:p>
        </w:tc>
      </w:tr>
      <w:tr>
        <w:trPr>
          <w:trHeight w:val="230"/>
        </w:trPr>
        <w:tc>
          <w:tcPr>
            <w:tcW w:w="1105" w:type="dxa"/>
            <w:vMerge/>
            <w:shd w:val="clear" w:color="auto" w:fill="auto"/>
            <w:tcMar>
              <w:left w:w="29" w:type="dxa"/>
              <w:right w:w="29" w:type="dxa"/>
            </w:tcMar>
          </w:tcPr>
          <w:p>
            <w:pPr>
              <w:spacing w:before="0" w:after="0"/>
              <w:jc w:val="left"/>
              <w:rPr>
                <w:rFonts w:eastAsia="Times New Roman"/>
                <w:noProof/>
                <w:sz w:val="20"/>
                <w:szCs w:val="20"/>
              </w:rPr>
            </w:pPr>
          </w:p>
        </w:tc>
        <w:tc>
          <w:tcPr>
            <w:tcW w:w="1225" w:type="dxa"/>
            <w:vMerge/>
            <w:shd w:val="clear" w:color="auto" w:fill="auto"/>
            <w:tcMar>
              <w:left w:w="29" w:type="dxa"/>
              <w:right w:w="29" w:type="dxa"/>
            </w:tcMar>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tcPr>
          <w:p>
            <w:pPr>
              <w:spacing w:before="0" w:after="0"/>
              <w:jc w:val="right"/>
              <w:rPr>
                <w:rFonts w:eastAsia="Times New Roman"/>
                <w:b/>
                <w:bCs/>
                <w:noProof/>
                <w:sz w:val="20"/>
                <w:szCs w:val="20"/>
              </w:rPr>
            </w:pPr>
          </w:p>
        </w:tc>
        <w:tc>
          <w:tcPr>
            <w:tcW w:w="851" w:type="dxa"/>
            <w:vMerge/>
            <w:shd w:val="clear" w:color="auto" w:fill="auto"/>
            <w:tcMar>
              <w:left w:w="29" w:type="dxa"/>
              <w:right w:w="29" w:type="dxa"/>
            </w:tcMar>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tcPr>
          <w:p>
            <w:pPr>
              <w:spacing w:before="0" w:after="0"/>
              <w:jc w:val="center"/>
              <w:rPr>
                <w:rFonts w:eastAsia="Times New Roman"/>
                <w:b/>
                <w:bCs/>
                <w:noProof/>
                <w:sz w:val="20"/>
                <w:szCs w:val="20"/>
              </w:rPr>
            </w:pPr>
          </w:p>
        </w:tc>
        <w:tc>
          <w:tcPr>
            <w:tcW w:w="709" w:type="dxa"/>
            <w:vMerge/>
            <w:shd w:val="clear" w:color="auto" w:fill="auto"/>
            <w:tcMar>
              <w:left w:w="29" w:type="dxa"/>
              <w:right w:w="29" w:type="dxa"/>
            </w:tcMar>
          </w:tcPr>
          <w:p>
            <w:pPr>
              <w:spacing w:before="0" w:after="0"/>
              <w:jc w:val="center"/>
              <w:rPr>
                <w:rFonts w:eastAsia="Times New Roman"/>
                <w:b/>
                <w:bCs/>
                <w:noProof/>
                <w:sz w:val="20"/>
                <w:szCs w:val="20"/>
              </w:rPr>
            </w:pPr>
          </w:p>
        </w:tc>
        <w:tc>
          <w:tcPr>
            <w:tcW w:w="955" w:type="dxa"/>
            <w:vMerge/>
            <w:shd w:val="clear" w:color="auto" w:fill="auto"/>
            <w:tcMar>
              <w:left w:w="29" w:type="dxa"/>
              <w:right w:w="29" w:type="dxa"/>
            </w:tcMar>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tcPr>
          <w:p>
            <w:pPr>
              <w:spacing w:before="0" w:after="0"/>
              <w:jc w:val="left"/>
              <w:rPr>
                <w:rFonts w:eastAsia="Times New Roman"/>
                <w:b/>
                <w:bCs/>
                <w:noProof/>
                <w:sz w:val="20"/>
                <w:szCs w:val="20"/>
              </w:rPr>
            </w:pPr>
          </w:p>
        </w:tc>
      </w:tr>
      <w:tr>
        <w:trPr>
          <w:trHeight w:val="230"/>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r>
      <w:tr>
        <w:trPr>
          <w:trHeight w:val="230"/>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Corridoio settentrionale n. 1 (Mombasa-Malaba-Katuna)</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Sviluppo del porto di Mombasa (SPM)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 Uganda, Ruanda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Gli studi di fattibilità e i progetti dettagliati sono stati completati; la fase 1 è in corso e i finanziamenti per la fase 2 sono disponibili.</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1 375,00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885,00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690,00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Ammodernamento dell'infrastruttura portuale per potenziare il commercio consentendo alle navi di maggiori dimensioni di fare scalo nel porto. Il progetto comprende lo sviluppo della nuova banchina n. 23 del terminale container, per un costo di 300 milioni di USD; la trasformazione delle banchine di carico convenzionali n. 11, 12, 13 e 14 in banchine per container, per un costo di 73 milioni di USD; il trasferimento del terminale petrolifero di Kipevu, per un costo di 152 milioni di USD; lo </w:t>
            </w:r>
            <w:r>
              <w:rPr>
                <w:noProof/>
                <w:sz w:val="20"/>
              </w:rPr>
              <w:lastRenderedPageBreak/>
              <w:t>sviluppo del porto franco di Dongo Kundu, per un costo di 300 milioni di USD. Dragaggio del canale: 60 milioni di USD.</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Porto secco di Voi</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 Uganda, Ruanda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Studio di fattibilità concluso.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104,00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81,12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 anni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Decongestionare il porto e il punto di transito regionale di Mombasa. 97 acri di terreno disponibili.</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Sviluppo di una piattaforma per navi portacontainer</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Tanzania/Zanzibar</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Lo studio del progetto è già stato completato.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212,00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Agevolare il trasbordo e migliorare i collegamenti lungo la costa dell'EAC e negli interporti di destinazione dei container.</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Sviluppo del porto di Kisumu e di altri porti sul lago Vittoria.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Sviluppo di un nuovo corridoio di trasporto da Lamu all'Etiopia e al Sud Sudan.</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Ruanda, Uganda, Tanzania,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Progetto avviato.</w:t>
            </w:r>
          </w:p>
        </w:tc>
        <w:tc>
          <w:tcPr>
            <w:tcW w:w="850" w:type="dxa"/>
            <w:shd w:val="clear" w:color="auto" w:fill="auto"/>
            <w:tcMar>
              <w:left w:w="29" w:type="dxa"/>
              <w:right w:w="29" w:type="dxa"/>
            </w:tcMar>
            <w:hideMark/>
          </w:tcPr>
          <w:p>
            <w:pPr>
              <w:spacing w:before="0" w:after="0"/>
              <w:jc w:val="right"/>
              <w:rPr>
                <w:rFonts w:eastAsia="Times New Roman"/>
                <w:noProof/>
                <w:sz w:val="18"/>
                <w:szCs w:val="18"/>
              </w:rPr>
            </w:pPr>
            <w:r>
              <w:rPr>
                <w:noProof/>
                <w:sz w:val="18"/>
              </w:rPr>
              <w:t xml:space="preserve">22 000,00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30,00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21 170,00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Sviluppo del porto di Lamu, della rete stradale, di 3 aeroporti internazionali, di una raffineria di petrolio, di un oleodotto e di 3 località turistiche per garantire un collegamento ferroviario efficiente tra il porto di Lamu, il Sud Sudan e </w:t>
            </w:r>
            <w:r>
              <w:rPr>
                <w:noProof/>
                <w:sz w:val="20"/>
              </w:rPr>
              <w:lastRenderedPageBreak/>
              <w:t xml:space="preserve">l'Etiopia.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Ampliamento del bacino portuale e costruzione di un terminale per container nel porto di Bujumbura.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 Tanzania e Ruanda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Lo studio di fattibilità è stato concluso.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14,82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Questo progetto consentirà la costruzione di frangiflutti all'imboccatura del porto di Bujumbura e la riqualificazione del terminale petrolifero.</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Costruzione di un cantiere navale presso il porto di Bujumbura.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Tanzania, Uganda, Ruanda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Sono disponibili gli studi di fattibilità attualmente in corso (nel quadro del piano regolatore portuale).</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5,46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Miglioramento delle attrezzature di movimentazione, costruzione di un deposito, ampliamento delle banchine, costruzione di un nuovo edificio per le autorità portuali. Costo da determinare. Rinnovo della flotta, costruzione di nuove navi, miglioramento della sicurezza della navigazione.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Costruzione del porto di Bukasa e delle relative navi per garantire il collegamento con il porto di Mwanza in </w:t>
            </w:r>
            <w:r>
              <w:rPr>
                <w:noProof/>
                <w:sz w:val="20"/>
              </w:rPr>
              <w:lastRenderedPageBreak/>
              <w:t>Tanzania.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lastRenderedPageBreak/>
              <w:t xml:space="preserve">Uganda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Uganda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Deve essere intrapreso lo studio di fattibilità.</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234,00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Il progetto agevolerà l'accesso e il collegamento con la Tanzania.</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Creazione di depositi per container esterni allo scalo marittimo a Mombasa e Dar es Salaam.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Ruanda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 Ruanda, Burundi, Kenya, Uganda e Tanzania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 Sono stati completati gli studi di fattibilità sia per Mombasa sia per Dar es Salaam. L'acquisto di terreni a Mombasa si trova nella fase finale, mentre a Dar es Salaam l'iter non è ancora iniziato.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WB e TMEA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26,52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7 anni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 Il GoR sta attuando questo progetto nel quadro dell'iniziativa volta a integrare le strutture logistiche al fine di trasformare la catena logistica che unisce i porti all'entroterra, ridurre i costi e migliorare le operazioni.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Sviluppo di un nuovo porto a Mwambani Bay (Tanga) e della ferrovia di Musoma.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 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Lo studio di fattibilità è stato completato nel novembre 2012. A seguito dell'esito infruttuoso della gara d'appalto internazionale "Design build Finance" (DBF), il 27 gennaio 2015 è stato deciso che il progetto sarà realizzato in due fasi e inizierà con l'elaborazione di progetti dettagliati indipendenti dai lavori di costruzione. Il capitolato d'oneri relativo ai progetti dovrebbe essere pubblicato nell'agosto 2015.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390,00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 Il progetto ferroviario fa parte del </w:t>
            </w:r>
            <w:r>
              <w:rPr>
                <w:b/>
                <w:i/>
                <w:noProof/>
                <w:sz w:val="20"/>
              </w:rPr>
              <w:t>progetto ferroviario e marittimo Tanga (Mwambani) – Arusha - Musoma - New Kampala</w:t>
            </w:r>
            <w:r>
              <w:rPr>
                <w:noProof/>
                <w:sz w:val="20"/>
              </w:rPr>
              <w:t>, che comprende anche una componente marittima consistente nello sviluppo di nuovi porti ad elevata capacità a Mwambani - Tanga, Musoma e Kampala. La linea aprirà il corridoio di sviluppo di Tanga verso le vie commerciali internazionali e promuoverà il commercio transfrontaliero con i paesi vicini. La linea ferroviaria sarà utilizzata per il trasporto dei prodotti agricoli e forestali e di carbonato di sodio, fosfati ed altri prodotti minerali ai centri di mercato. Il progetto intende inoltre stimolare lo sfruttamento di un enorme giacimento di nichel scoperto a Dutwa, a circa 100 km ad est di Mwanza, e di un giacimento di carbonato di sodio vicino al lago Natron.</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Costruzione di un oleodotto da Kigali a Bujumbura.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Non avviato.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Gli studi di fattibilità e la costruzione non sono ancora stati avviati. I costi saranno determinati dallo studio. La BAD ha accettato di fornire il sostegno finanziario nel quadro dell'EAC (579 368 USD).</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Costruzione di un oleodotto parallelo da Nairobi a Eldoret per aumentare la capacità di pompaggio.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val="pt-PT"/>
              </w:rPr>
            </w:pPr>
            <w:r>
              <w:rPr>
                <w:noProof/>
                <w:sz w:val="20"/>
                <w:lang w:val="pt-PT"/>
              </w:rPr>
              <w:t>Kenya, Uganda, Ruanda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Studio di fattibilità concluso.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194,74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194,74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151,90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Installazione di un oleodotto del diametro di 14 pollici da Nairobi a Eldoret.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Prolungamento dell'oleodotto Kenya-Uganda (KUPPE).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Kenya e Uganda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Sono state avviate la progettazione e la gara d'appalto.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144,94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144,94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113,05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Costruzione di un oleodotto tra Eldoret, Malaba e Kampala per garantire la sicurezza e le forniture di prodotti petroliferi all'Uganda. Installazione di un oleodotto del diametro di 10 pollici per il flusso inverso: progetto attuato da entrambi i paesi.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lang w:val="pt-PT"/>
              </w:rPr>
            </w:pPr>
            <w:r>
              <w:rPr>
                <w:noProof/>
                <w:sz w:val="20"/>
                <w:lang w:val="pt-PT"/>
              </w:rPr>
              <w:t>Corridoio centrale n. 2 (Dar es Salaam-Dodoma-Isaka-Mutukula-Masaka).</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Sviluppo della stazione merci di Kisarawe (KFS).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 Uganda, Ruanda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La TPA sta acquistando 1 760 acri di terreno per lo sviluppo del progetto. L'appalto per lo studio di fattibilità è stato firmato il 17 settembre 2014; il consulente è giunto alla fase intermedia dello studio e dovrebbe completarlo entro la fine di settembre 2015.</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93,60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Il progetto aumenterà la capacità del porto di Dar es Salaam di gestire il traffico della Tanzania e dei paesi vicini, cioè Burundi, Ruanda e Uganda.</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Costruzione di una linea ferroviaria a scartamento standard per unire Dar es Salaam, Isaka, Kigali /Keza, Gitega e Musongati (1 670 km).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 Burundi e Ruanda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 Burundi e Ruanda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Lo studio di fattibilità relativo alla costruzione di una linea ferroviaria a scartamento standard tra Isaka, Kigali/Keza, Gitega e Musongati è stato completato con il finanziamento della Banca africana di sviluppo (2,8 milioni di USD). Lo studio di fattibilità per il miglioramento della linea tra Dar es Salaam e Isaka (al fine di trasformarla in linea a scartamento standard) è stato completato dalla BNSF con il finanziamento congiunto fornito da USTDA e BSNF (0,9 milioni di USD). Nel novembre 2014 è stato ultimato lo studio tecnico dettagliato per l'intera linea ferroviaria (Dar es Salaam-Isaka- Kigali/Keza-Gitega-Musongati) con il finanziamento della Banca africana di sviluppo (8,9 milioni di USD). Il progetto è coordinato da un Segretariato presieduto dalla Tanzania e con sede in Ruanda. </w:t>
            </w:r>
            <w:r>
              <w:rPr>
                <w:rFonts w:eastAsia="Times New Roman"/>
                <w:noProof/>
                <w:sz w:val="20"/>
                <w:szCs w:val="20"/>
              </w:rPr>
              <w:br/>
            </w:r>
            <w:r>
              <w:rPr>
                <w:rFonts w:eastAsia="Times New Roman"/>
                <w:noProof/>
                <w:sz w:val="20"/>
                <w:szCs w:val="20"/>
              </w:rPr>
              <w:br/>
            </w:r>
            <w:r>
              <w:rPr>
                <w:noProof/>
                <w:sz w:val="20"/>
              </w:rPr>
              <w:t xml:space="preserve">È stato assunto un consulente (CPSC) con l'incarico di organizzare il progetto in partenariati pubblico-privati e di fornire assistenza nei negoziati relativi ai finanziamenti. Nel luglio 2015 è stato pubblicato un invito a manifestare interesse.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5 580,00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5 580,00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4 352,40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8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Bitumatura del tratto stradale Mutukula-Kyaka-Bugene-Kasulo (277 km). </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 Burundi, Ruanda e Uganda.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124,00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124,00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96,72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Il finanziamento è richiesto soltanto per un tratto di 124 km.</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240"/>
              <w:jc w:val="left"/>
              <w:rPr>
                <w:rFonts w:eastAsia="Times New Roman"/>
                <w:noProof/>
                <w:sz w:val="20"/>
                <w:szCs w:val="20"/>
              </w:rPr>
            </w:pPr>
            <w:r>
              <w:rPr>
                <w:noProof/>
                <w:sz w:val="20"/>
              </w:rPr>
              <w:t>Sviluppo delle banchine n. 13 e 14 del porto di Dar es Salaam.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 Ruanda e 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È stato assunto un consulente (CPSC) con l'incarico di organizzare il progetto in partenariati pubblico-privati e di fornire assistenza nei negoziati relativi ai finanziamenti. Nel luglio 2015 è stato pubblicato un invito a manifestare interesse.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312,00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La stima dei costi riguarda la gara d'appalto per i lavori di costruzione e per le attrezzature richieste.</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Miglioramento dei porti di Mwanza Sud, Kigoma e Kasanga.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 Kenya, Uganda, Ruanda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Lo studio di fattibilità per l'ammodernamento del porto di Mwanza è stato avviato dalla Royal Haskoning nell'agosto 2014 e sarà completato nel marzo 2015. I lavori di ammodernamento inizieranno una volta completati gli studi.</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312,00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Miglioramento del tratto stradale Mpanda – Uvinza – Kanyani (252 km). </w:t>
            </w:r>
            <w:r>
              <w:rPr>
                <w:rFonts w:eastAsia="Times New Roman"/>
                <w:noProof/>
                <w:sz w:val="20"/>
                <w:szCs w:val="20"/>
              </w:rPr>
              <w:br/>
            </w:r>
            <w:r>
              <w:rPr>
                <w:noProof/>
                <w:sz w:val="20"/>
              </w:rPr>
              <w:t>Questo tratto stradale fa parte del corridoio occidentale tra Tunduma, Sumbawanga, Mpanda, Kigoma e Nyakanazi (1 286 km). Le attività economiche lungo questo corridoio comprendono l'agricoltura, il turismo, le attività minerarie, la lavorazione del legno, la pesca e l'oreficeria. Sezione del principale corridoio occidentale della Tanzania, apertura della regione centro-occidentale della Tanzania e collegamento con le regioni dell'EAC e del Mercato comune dell'Africa orientale e australe (COMESA). Si tratta di un importante collegamento con il corridoio TANZAM, a Tunduma, e i corridoi centrali, a Nyakanazi.</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EAC-SADC-COMESA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I lavori per un tratto di 50 km sulla strada Mpanda-Mishamo [sezione Mpanda-Usiumbili (35 km)] sono in fase di aggiudicazione nel quadro di un finanziamento del GoT. Resta da finanziare il collegamento Usimbili-Mishamo-Uvinza-Kanyani (267 km). Lo studio di fattibilità e i progetti sono stati completati dal governo della Tanzania.</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203,46</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1,46</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202</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anni</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Dar es Salaam - Circonvallazione sud a scorrimento veloce (85,5 km) - Collegamento del porto di Dar es Salaam con il futuro porto secco di Kisarawe e con Mlandizi. </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 EAC, 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Studio di fattibilità e progettazione in corso, finanziati dal governo della Tanzania.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200</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anni</w:t>
            </w:r>
          </w:p>
        </w:tc>
        <w:tc>
          <w:tcPr>
            <w:tcW w:w="1134"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La circonvallazione a scorrimento rapido permetterà di decongestionare il corridoio di trasporto centrale e aumentare l'efficienza nello scorrimento del traffico in entrata e in uscita dalla città di Dar es Salaam.</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Bitumatura del tratto stradale Handeni - Kiberashi - Singida (460 km). </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 Ruanda e Burundi.</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Studio di fattibilità e progetto in corso, finanziati dal governo della Tanzania.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460,00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460,00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358,80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Dar es Salaam - Circonvallazione sud a scorrimento rapido (85,5 km).</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 Burundi e Ruanda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Studio di fattibilità e progetto in corso, finanziati dal governo della Tanzania.</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200,00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200,00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156,00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La circonvallazione a scorrimento rapido permetterà di decongestionare il corridoio di trasporto centrale e aumentare l'efficienza nello scorrimento del traffico in entrata e in uscita dalla città di Dar es Salaam.</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Costruzione del porto di Rumonge (studi di fattibilità e costruzione).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Burundi, Tanzania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Progetto non avviato. Studi di fattibilità disponibili.</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4,68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2011-2012 - 2014-2016</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Riqualificazione della strada Kayonza- Rusumo (92 km).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Il governo del Ruanda sta mobilitando fondi della JICA e della Banca africana di sviluppo.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75,45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0,45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75,00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58,50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La JICA ha completato la valutazione del progetto nel luglio 2015.</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Riqualificazione del tratto stradale Musanze-Cyanika (24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 e 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Nel marzo 2015 è stato avviato uno studio dettagliato, la cui conclusione è prevista per novembre 2015.</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26,20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0,20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26,00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20,28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 finanziamenti per i lavori non sono ancora disponibili.</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Miglioramento del tratto Ngoma-Ramiro-Nyanza (130 km in 2 lotti). Collegamento al corridoio centrale.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Nel gennaio 2015 è stato completato lo studio dettagliato.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170,00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0,50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169,50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132,21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 finanziamenti per i lavori non sono ancora disponibili.</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Costruzione di un traghetto sul lago Tanganika.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Non avviato.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9,36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2012 - 2016</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 finanziamenti per i lavori non sono ancora disponibili.</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Riqualificazione della strada nazionale 6 (Muyinga-Kobero).</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104,00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104,00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81,12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Riqualificazione e prolungamento della strada nazionale 12 (Gitega-Karuzi-Muyinga-Tanzania).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Il progetto dettagliato è stato completato.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89,60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89,60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69,89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Riqualificazione della strada nazionale 18 (Nyakararo-Mwaro-</w:t>
            </w:r>
            <w:r>
              <w:rPr>
                <w:rFonts w:eastAsia="Times New Roman"/>
                <w:noProof/>
                <w:sz w:val="20"/>
                <w:szCs w:val="20"/>
              </w:rPr>
              <w:br/>
            </w:r>
            <w:r>
              <w:rPr>
                <w:noProof/>
                <w:sz w:val="20"/>
              </w:rPr>
              <w:t xml:space="preserve">Gitega).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Il progetto dettagliato è stato completato.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44,80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44,80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34,94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 finanziamenti per i lavori del tratto stradale Mwaro-Gitega non sono ancora disponibili.</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Riqualificazione della strada nazionale 7 (Bujumbura-Nyakararo).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Il progetto dettagliato è stato completato.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46,80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Riqualificazione e prolungamento della strada nazionale 1 (Bujumbura-Kayanza-Kanyaru Haut).</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Burundi-Ruanda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Il progetto dettagliato è stato completato.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138,00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138,00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107,64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Lavori di costruzione della strada provinciale 101.</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49,20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49,20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38,38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Prolungamento della strada nazionale 6 fino a Kayanza.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Burundi-Ruanda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È stato completato il progetto dettagliato relativo al tratto Kobero-Muyinga.</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156,00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156,00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121,68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Riqualificazione della strada nazionale 2 (Bujumbura-Gitega).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52,00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40,56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Riqualificazione e lavori di costruzione delle strade nazionali 16 e 17 (tratto Gitega-Bururi-Makamba – 127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145,20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145,20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113,26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Studio di fattibilità e costruzione del tratto Ruyigi-Gisuru-Gahumo (Burundi-Tanzania) (80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Burundi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Non avviato.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54,60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 costi saranno determinati dallo studio.</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Costruzione di una linea ferroviaria a scartamento standard tra Dar es Salaam, Isaka, Kigali /Keza, Gitega e Musongati (1 670 km).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 Burundi e Ruanda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 Burundi e Ruanda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Lo studio di fattibilità relativo alla costruzione di una linea ferroviaria a scartamento standard tra Isaka, Kigali/Keza, Gitega e Musongati è stato completato con il finanziamento della Banca africana di sviluppo (2,80 milioni di USD). Lo studio di fattibilità per il miglioramento della linea ferroviaria tra Dar es Salaam e Isaka (al fine di trasformarla in linea a scartamento standard) è stato completato dalla BNSF con il finanziamento congiunto fornito da USTDA e BSNF (0,9 milioni di USD). Nel febbraio 2013 sarà ultimato lo studio tecnico dettagliato per l'intera linea ferroviaria (Dar es Salaam-Isaka- Kigali/Keza-Gitega-Musongati) con il finanziamento della Banca africana di sviluppo (8,9 milioni di USD). Il progetto è coordinato da un Segretariato presieduto dalla Tanzania e con sede in Ruanda. </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Gli studi di fattibilità sono stati eseguiti dalla DBI (Germania) e dalla BNSF (USA).</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 xml:space="preserve">È attualmente in corso uno studio tecnico dettagliato finanziato dalla Banca africana di sviluppo (costo circa 8,9 milioni di USD) con l'obiettivo di organizzare il progetto in partenariati pubblico-privati e intraprendere studi di preinvestimento/fattibilità in relazione agli interventi prioritari. </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Il progetto di relazione è atteso per dicembre 2012 e la relazione finale per febbraio 2013.</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5 580,00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5 580,00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4 352,40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8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Progetto per una linea ferroviaria a scartamento standard - Tratto Mombasa-Kampala-Kigali.</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val="pt-PT"/>
              </w:rPr>
            </w:pPr>
            <w:r>
              <w:rPr>
                <w:noProof/>
                <w:sz w:val="20"/>
                <w:lang w:val="pt-PT"/>
              </w:rPr>
              <w:t>Ruanda, Uganda, Kenya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La costruzione del tratto Mombasa-Nairobi è iniziata nel novembre 2013. Tale tratto è finanziato principalmente dalla Exim Bank of China, mentre i lavori di costruzione sono eseguiti dalla China Road and Bridge Corporation (CRBC);</w:t>
            </w:r>
            <w:r>
              <w:rPr>
                <w:rFonts w:eastAsia="Times New Roman"/>
                <w:noProof/>
                <w:sz w:val="20"/>
                <w:szCs w:val="20"/>
              </w:rPr>
              <w:br/>
            </w:r>
            <w:r>
              <w:rPr>
                <w:noProof/>
                <w:sz w:val="20"/>
              </w:rPr>
              <w:t>lo studio di fattibilità per il tratto Nairobi-Malaba è effettuato dalla China Communications Construction Company (CCCC) e la conclusione di tale studio è prevista per settembre 2015; il progetto tecnico preliminare per il tratto Malaba-Kampala è stato completato nell'agosto 2014; nel marzo 2015 il governo dell'Uganda e la China Harbour Engineering Company (CHEC) hanno firmato un accordo per la costruzione di tale tratto, compresa la via verso nord per Gulu e Nimule;</w:t>
            </w:r>
            <w:r>
              <w:rPr>
                <w:rFonts w:eastAsia="Times New Roman"/>
                <w:noProof/>
                <w:sz w:val="20"/>
                <w:szCs w:val="20"/>
              </w:rPr>
              <w:br/>
            </w:r>
            <w:r>
              <w:rPr>
                <w:noProof/>
                <w:sz w:val="20"/>
              </w:rPr>
              <w:t>l'Uganda e il Sud Sudan hanno iniziato ad attuare congiuntamente il progetto tecnico preliminare per il tratto Tororo-Nimule-Juba;</w:t>
            </w:r>
            <w:r>
              <w:rPr>
                <w:rFonts w:eastAsia="Times New Roman"/>
                <w:noProof/>
                <w:sz w:val="20"/>
                <w:szCs w:val="20"/>
              </w:rPr>
              <w:br/>
            </w:r>
            <w:r>
              <w:rPr>
                <w:noProof/>
                <w:sz w:val="20"/>
              </w:rPr>
              <w:t>l'Uganda e il Ruanda hanno iniziato ad attuare congiuntamente il progetto tecnico preliminare per il tratto Kampala-Kigali e i relativi raccordi; la conclusione di tali lavori è prevista per ottobre 2015.</w:t>
            </w:r>
            <w:r>
              <w:rPr>
                <w:rFonts w:eastAsia="Times New Roman"/>
                <w:noProof/>
                <w:sz w:val="20"/>
                <w:szCs w:val="20"/>
              </w:rPr>
              <w:br/>
            </w:r>
            <w:r>
              <w:rPr>
                <w:noProof/>
                <w:sz w:val="20"/>
              </w:rPr>
              <w:t>Il processo di mobilitazione delle risorse finanziarie è iniziato nei tre paesi.</w:t>
            </w:r>
          </w:p>
        </w:tc>
        <w:tc>
          <w:tcPr>
            <w:tcW w:w="850" w:type="dxa"/>
            <w:shd w:val="clear" w:color="auto" w:fill="auto"/>
            <w:tcMar>
              <w:left w:w="29" w:type="dxa"/>
              <w:right w:w="29" w:type="dxa"/>
            </w:tcMar>
            <w:hideMark/>
          </w:tcPr>
          <w:p>
            <w:pPr>
              <w:spacing w:before="0" w:after="0"/>
              <w:jc w:val="right"/>
              <w:rPr>
                <w:rFonts w:eastAsia="Times New Roman"/>
                <w:noProof/>
                <w:sz w:val="18"/>
                <w:szCs w:val="18"/>
              </w:rPr>
            </w:pPr>
            <w:r>
              <w:rPr>
                <w:noProof/>
                <w:sz w:val="18"/>
              </w:rPr>
              <w:t xml:space="preserve">13 800,00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7 300,00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5 694,00 </w:t>
            </w:r>
          </w:p>
        </w:tc>
        <w:tc>
          <w:tcPr>
            <w:tcW w:w="1134"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2014-2019 (quadro istituzionale, finanziamento e progettazione: 2 anni; costruzione: 3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Riqualificazione della strada Nyanguge-Magu-Musoma (184,2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 e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La riqualificazione è stata completata per il tratto che unisce il confine Simiyu/Mara a Musoma (85,5 km). Mancano ancora fondi per finanziare il collegamento tra Nyanguge e il confine Simiyu/Mara (80 km). Lo studio di fattibilità è stato completato nel giugno 2008 e il progetto tecnico dettagliato è stato completato nel 2009 con il finanziamento dell'UE.</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0,67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114,33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89,18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Il progetto potrebbe essere finanziato con le risorse del programma indicativo regionale del 10° Fondo europeo di sviluppo.</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Tratto stradale Kidahwe–Kibondo–Nyakanazi (310 km).</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 Burundi e Ruanda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È attualmente in fase di costruzione un tratto stradale bitumato di 100 km (50 km da Nyakanazi verso Kasulu e 50 km da Kidahwe verso Kasulu). Il progetto è finanziato dal governo della Tanzania. Restano ancora da costruire 250 km di strada, per i quali non sono stati ottenuti impegni di finanziamento. È in corso una gara d'appalto per servizi di consulenza con l'obiettivo di aggiornare lo studio di fattibilità e i progetti dettagliati relativi al tratto Kasulu-Nyakanazi (210 km) oltre allo studio di fattibilità del tratto Kasulu-Mugina (45 km) (alla frontiera tra Tanzania e Burundi), con il finanziamento del Nuovo partenariato per lo sviluppo dell'Africa (NEPAD) e dell'IPPF.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255,00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255,00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198,90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Costruzione del tratto stradale Malindi Lungalunga Bagamoyo. (503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5%</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Sono stati completati gli studi di fattibilità e i progetti tecnici dettagliati.</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571,00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571,00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445,38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Gli studi di fattibilità e i progetti tecnici dettagliati sono finanziati interamente dalla Banca africana di sviluppo. Collegamento prioritario al corridoio n. 1 e al LAPPSET.</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Linea ferroviaria Tanga-Moshi-Arusha-Musoma.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 Uganda e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Studio di fattibilità in corso (per un costo di 2 miliardi di TZS).</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1 903,00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1 903,00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1 484,34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2012-2017</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Il progetto prevede il rafforzamento, il miglioramento e la costruzione della linea ferroviaria da Tanga a Musoma con un binario di raccordo verso il Lago Natron presso la località di Mto wa Mbu. La linea ferroviaria collegherà l'Uganda con il porto di Tanga.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Riqualificazione di 110 km della linea ferroviaria esistente tra Voi e Taveta.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Studio di fattibilità concluso.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18,00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Miglioramento delle infrastrutture aeroportuali dell'aeroporto Karume a Pemba.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Tanzania/Zanzibar</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Tanzania, 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Lo studio di fattibilità è disponibile.</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12,12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Produzione di energia</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Progetto e costruzione della centrale idroelettrica Rusizi IV (285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Lo studio di prefattibilità è concluso. </w:t>
            </w:r>
            <w:r>
              <w:rPr>
                <w:rFonts w:eastAsia="Times New Roman"/>
                <w:noProof/>
                <w:sz w:val="20"/>
                <w:szCs w:val="20"/>
              </w:rPr>
              <w:br/>
            </w:r>
            <w:r>
              <w:rPr>
                <w:noProof/>
                <w:sz w:val="20"/>
              </w:rPr>
              <w:t xml:space="preserve">Deve essere effettuato lo studio di fattibilità.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390,00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Sono in corso i negoziati con i costruttori della centrale Rusizi III.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Costruzione della centrale elettrica Rusizi III (145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Tutti gli studi sono già stati completati. Sono in corso i negoziati con il costruttore privato.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2,82 </w:t>
            </w:r>
          </w:p>
        </w:tc>
        <w:tc>
          <w:tcPr>
            <w:tcW w:w="85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 </w:t>
            </w:r>
          </w:p>
        </w:tc>
        <w:tc>
          <w:tcPr>
            <w:tcW w:w="709"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402,18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313,70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2015-2019</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Da sviluppare nell'ambito del partenariato pubblico-privato.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Centrale comune a gas naturale liquefatto (100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Ruanda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 e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rPr>
              <w:t>Il Kenya ha indetto un appalto per una centrale da 700 MW, compresa un'unità galleggiante di stoccaggio e di rigassificazione, da costruire nella contea di Mombasa</w:t>
            </w:r>
            <w:r>
              <w:rPr>
                <w:noProof/>
                <w:sz w:val="20"/>
              </w:rPr>
              <w:t xml:space="preserve"> (</w:t>
            </w:r>
            <w:r>
              <w:rPr>
                <w:b/>
                <w:noProof/>
                <w:sz w:val="20"/>
              </w:rPr>
              <w:t>da definire con il Ruanda).</w:t>
            </w:r>
            <w:r>
              <w:rPr>
                <w:noProof/>
                <w:sz w:val="20"/>
              </w:rPr>
              <w:t xml:space="preserve"> Il governo del Ruanda, attraverso il ministero per le Infrastrutture, ha elaborato un documento di riflessione per un progetto da 1 000 MW e ha proseguito il dibattito con il Kenya.</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bookmarkStart w:id="2" w:name="RANGE!F53"/>
            <w:r>
              <w:rPr>
                <w:noProof/>
                <w:sz w:val="20"/>
              </w:rPr>
              <w:t xml:space="preserve">900,00 </w:t>
            </w:r>
            <w:bookmarkEnd w:id="2"/>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900,00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702,00 </w:t>
            </w:r>
          </w:p>
        </w:tc>
        <w:tc>
          <w:tcPr>
            <w:tcW w:w="1134"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Data la complessità del progetto, in particolare per quanto concerne l'unità galleggiante di stoccaggio del GNL, per gli impianti di stoccaggio e di gassificazione sono previsti tempi di costruzione di 2-3 anni (escluse le attività di mobilitazione dei finanziamenti e di appalto).</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Valutazione esaustiva della fattibilità tecnica di tutti gli aspetti del progetto, dal porto alla centrale elettrica e alla rete di trasmissione. Valutazione esaustiva della fattibilità finanziaria del progetto in base ai costi di capitale e alle previsioni relative alla domanda e ai prezzi del GNL. Valutazione per stabilire se tale progetto debba essere realizzato con fondi pubblici, ossia con un impegno di tutti i paesi a finanziarlo, oppure con fondi privati, ossia con ciascun paese che garantisce una parte del pagamento richiesto dall'operatore privato.</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Costruzione della linea di trasmissione dall'Uganda al Kenya per aumentare la fornitura di energia alla rete nazionale del Kenya (127 km, 220 kv) - interconnessione Lessos-Tororo.</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Uganda -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È stato completato lo studio di fattibilità, sono stati svolti i lavori preparatori ed è stata messa a punto la documentazione del progetto e della gara d'appalto.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56,00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56,00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43,68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Il progetto è a carattere regionale e servirà a migliorare la fornitura di energia all'interno della regione. Capacità stimata: 200 MW.</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Costruzione della linea di trasmissione dalla Tanzania al Kenya per aumentare la fornitura di energia alla rete nazionale del Kenya (100 km, 400 kv) - linea a doppia terna tra Isinya e Namanga.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Studio di fattibilità concluso. Sono stati svolti i lavori preparatori ed è stata messa a punto la documentazione del progetto e della gara d'appalto.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42,90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Capacità stimata: 1 300 MW.</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Progetto di interconnessione energetica Tanzania - Zambia - Kenya (TZK). Ampliamento della linea di trasmissione (400 kv) tra Zambia, Tanzania e Kenya, mediante i tratti Iringa-Mbeya (292 km), Iringa-Shinyanga, (670 km) e Singida-Arusha (414,4 km).</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Tanzania e Kenya.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Sono stati completati gli studi di fattibilità (Mbeya-Iringa, Iringa-Shinyanga e Singida-Arusha). È in corso la realizzazione del tratto Iringa-Shinyanga.</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911,23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470,00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441,29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344,21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4 anni</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I partner per lo sviluppo (WB, JICA, BEI, EDCF) sono pronti a finanziare il tratto Iringa-Shinyanga (470 milioni di USD); il consorzio dei finanziatori [WB/IDA, AfDB, JICA e Agenzia francese per lo sviluppo (AFD)] hanno manifestato interesse a finanziare il tratto Singida-Arusha (242,09 milioni di USD), mentre per il tratto Mbeya-Iringa (199,2 milioni di USD) si cercano finanziamenti.</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Linee di trasmissione:</w:t>
            </w:r>
            <w:r>
              <w:rPr>
                <w:rFonts w:eastAsia="Times New Roman"/>
                <w:noProof/>
                <w:sz w:val="20"/>
                <w:szCs w:val="20"/>
              </w:rPr>
              <w:br/>
            </w:r>
            <w:r>
              <w:rPr>
                <w:noProof/>
                <w:sz w:val="20"/>
              </w:rPr>
              <w:t xml:space="preserve">1) Linea da 400 Kv Olwiyo-Nimule-Juba (190 km) </w:t>
            </w:r>
            <w:r>
              <w:rPr>
                <w:rFonts w:eastAsia="Times New Roman"/>
                <w:noProof/>
                <w:sz w:val="20"/>
                <w:szCs w:val="20"/>
              </w:rPr>
              <w:br/>
            </w:r>
            <w:r>
              <w:rPr>
                <w:noProof/>
                <w:sz w:val="20"/>
              </w:rPr>
              <w:t xml:space="preserve">2) Linea da 200 Kv Nkenda-Mpondwe-Beni (70 km) </w:t>
            </w:r>
            <w:r>
              <w:rPr>
                <w:rFonts w:eastAsia="Times New Roman"/>
                <w:noProof/>
                <w:sz w:val="20"/>
                <w:szCs w:val="20"/>
              </w:rPr>
              <w:br/>
            </w:r>
            <w:r>
              <w:rPr>
                <w:noProof/>
                <w:sz w:val="20"/>
              </w:rPr>
              <w:t xml:space="preserve">3) Linea da 200 kv Masaka-Mwanza (85 km).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Uganda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Uganda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Deve essere intrapreso lo studio di fattibilità.</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162,00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162,00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126,36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TIC E TELECOMUNICAZIONI</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Connessione transfrontaliera (linea di collegamento al cavo sottomarino dell'Africa orientale) (studi di fattibilità e costruzione).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Uganda, Ruanda, Burundi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u w:val="single"/>
              </w:rPr>
              <w:t>Situazione aggiornata a settembre 2014</w:t>
            </w:r>
            <w:r>
              <w:rPr>
                <w:noProof/>
                <w:sz w:val="20"/>
              </w:rPr>
              <w:t xml:space="preserve"> 1. È stato firmato un contratto di locazione a lungo termine che assicura al Ruanda una capacità pari a 2,4 gbps. Date le necessità del Ruanda, tale capacità è insufficiente.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32,00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24,96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Vi è l'urgente necessità di creare un anello di fibra spenta specifico per il collegamento delle cinque capitali della regione dell'EAC; si ridurrà il costo del traffico aumentando nel contempo la capacità del flusso in tutti i paesi.</w:t>
            </w:r>
          </w:p>
        </w:tc>
      </w:tr>
      <w:tr>
        <w:trPr>
          <w:trHeight w:val="20"/>
        </w:trPr>
        <w:tc>
          <w:tcPr>
            <w:tcW w:w="1105" w:type="dxa"/>
            <w:vMerge w:val="restart"/>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vMerge w:val="restart"/>
            <w:shd w:val="clear" w:color="auto" w:fill="auto"/>
            <w:tcMar>
              <w:left w:w="29" w:type="dxa"/>
              <w:right w:w="29" w:type="dxa"/>
            </w:tcMar>
            <w:hideMark/>
          </w:tcPr>
          <w:p>
            <w:pPr>
              <w:spacing w:before="0" w:after="0"/>
              <w:jc w:val="left"/>
              <w:rPr>
                <w:rFonts w:eastAsia="Times New Roman"/>
                <w:noProof/>
                <w:sz w:val="20"/>
                <w:szCs w:val="20"/>
              </w:rPr>
            </w:pPr>
            <w:r>
              <w:rPr>
                <w:noProof/>
                <w:sz w:val="20"/>
              </w:rPr>
              <w:t>Creazione di parchi tecnologici TIC in Kenya e Ruanda (Ruanda Technopol).</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e Ruanda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Sono stati acquisitati e recintati 5 000 acri di terreno per la costruzione del parco TIC Konza Technology City. È stato approvato il piano generale, è stato selezionato il partner principale per l'esecuzione dei lavori tramite procedura d'appalto, l'ufficio di cantiere è stato collegato alla rete elettrica, è in corso la costruzione della diga di Thwake, sono state eseguite 10 perforazioni, è in corso la costruzione di un padiglione vendite, è stata creata una zona cuscinetto di 10 km di raggio, la costruzione delle strade di accesso è in corso e i lavori di sbancamento sono stati completati.</w:t>
            </w:r>
          </w:p>
        </w:tc>
        <w:tc>
          <w:tcPr>
            <w:tcW w:w="850" w:type="dxa"/>
            <w:shd w:val="clear" w:color="auto" w:fill="auto"/>
            <w:tcMar>
              <w:left w:w="29" w:type="dxa"/>
              <w:right w:w="29" w:type="dxa"/>
            </w:tcMar>
            <w:hideMark/>
          </w:tcPr>
          <w:p>
            <w:pPr>
              <w:spacing w:before="0" w:after="0"/>
              <w:jc w:val="right"/>
              <w:rPr>
                <w:rFonts w:eastAsia="Times New Roman"/>
                <w:noProof/>
                <w:sz w:val="18"/>
                <w:szCs w:val="18"/>
              </w:rPr>
            </w:pPr>
            <w:r>
              <w:rPr>
                <w:noProof/>
                <w:sz w:val="18"/>
              </w:rPr>
              <w:t xml:space="preserve">11 765,00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11 765,00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9 176,70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12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È stata organizzata una conferenza per gli investitori internazionali e si è tenuta una cerimonia per l'inizio dei lavori con 14 imprese internazionali del settore delle TIC coinvolte nei lavori di costruzione, come IBM, Microsoft, Google, Safaricom e alcune banche locali; il governo intende realizzare il progetto attraverso un partenariato pubblico-privato.</w:t>
            </w:r>
          </w:p>
        </w:tc>
      </w:tr>
      <w:tr>
        <w:trPr>
          <w:trHeight w:val="20"/>
        </w:trPr>
        <w:tc>
          <w:tcPr>
            <w:tcW w:w="1105" w:type="dxa"/>
            <w:vMerge/>
            <w:tcMar>
              <w:left w:w="29" w:type="dxa"/>
              <w:right w:w="29" w:type="dxa"/>
            </w:tcMar>
            <w:hideMark/>
          </w:tcPr>
          <w:p>
            <w:pPr>
              <w:spacing w:before="0" w:after="0"/>
              <w:jc w:val="left"/>
              <w:rPr>
                <w:rFonts w:eastAsia="Times New Roman"/>
                <w:noProof/>
                <w:sz w:val="20"/>
                <w:szCs w:val="20"/>
              </w:rPr>
            </w:pPr>
          </w:p>
        </w:tc>
        <w:tc>
          <w:tcPr>
            <w:tcW w:w="1225" w:type="dxa"/>
            <w:vMerge/>
            <w:tcMar>
              <w:left w:w="29" w:type="dxa"/>
              <w:right w:w="29" w:type="dxa"/>
            </w:tcMar>
            <w:hideMark/>
          </w:tcPr>
          <w:p>
            <w:pPr>
              <w:spacing w:before="0" w:after="0"/>
              <w:jc w:val="left"/>
              <w:rPr>
                <w:rFonts w:eastAsia="Times New Roman"/>
                <w:noProof/>
                <w:sz w:val="20"/>
                <w:szCs w:val="20"/>
              </w:rPr>
            </w:pP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e Ruanda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EAC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u w:val="single"/>
              </w:rPr>
              <w:t>Situazione aggiornata a settembre 2014</w:t>
            </w:r>
            <w:r>
              <w:rPr>
                <w:noProof/>
              </w:rPr>
              <w:t xml:space="preserve"> </w:t>
            </w:r>
            <w:r>
              <w:rPr>
                <w:noProof/>
                <w:sz w:val="20"/>
              </w:rPr>
              <w:t xml:space="preserve">Sono stati completati il piano generale, il piano commerciale e il progetto architettonico generale per un parco tecnologico di 61,3 ettari. </w:t>
            </w:r>
            <w:r>
              <w:rPr>
                <w:b/>
                <w:noProof/>
                <w:sz w:val="20"/>
              </w:rPr>
              <w:t>Prossime fasi:</w:t>
            </w:r>
            <w:r>
              <w:rPr>
                <w:noProof/>
                <w:sz w:val="20"/>
              </w:rPr>
              <w:t xml:space="preserve"> 1) Elaborazione di progetti architettonici dettagliati; 2) Sviluppo delle infrastrutture materiali per il parco tecnologico; 3) La costruzione del centro regionale d'eccellenza dovrebbe iniziare entro la fine di quest'anno (durata prevista 22 mesi).</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230,00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230,00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179,40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2014-2019</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A causa dell'elevato costo del parco tecnologico per il governo del Ruanda, siamo stati costretti a prendere in considerazione un approccio graduale la cui realizzazione richiederà più di 10 anni. Se i fondi saranno disponibili saremo in grado di realizzare il parco tecnologico nella metà del tempo (di ciò è stato tenuto conto nel calendario di realizzazione del progetto).</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Creazione di un punto di scambio Internet regionale (RIXP).</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 Burundi, Kenya, Uganda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Fase preliminare (avvio).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11,70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2013-2015</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NUOVO - Tale progetto favorirà la creazione delle infrastrutture e dei servizi che consentiranno di superare la dipendenza della regione dagli operatori internazionali che gestiscono nella regione il traffico generato a livello regionale.</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Progetto di rete regionale per l'istruzione e la ricerca (REduNet).</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Ruanda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Il progetto pilota è stato avviato in Ruanda e Tanzania.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15,60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2013-2015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Nella regione scarseggia l'attività di R&amp;S e manca la capacità di innovazione delle istituzioni. Il progetto creerà una rete dati dedicata, ad elevate prestazioni ed efficace sotto il profilo dei costi, che consentirà di collegare gli istituti di ricerca e di istruzione superiore (HLI) ad altri istituti simili nella regione e alle risorse globali nel campo della ricerca e dell'istruzione sfruttando Ubuntunet e Internet.</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Costruzione di un impianto combinato per la produzione di fertilizzanti.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Ruanda, Burundi, Kenya, Uganda e Tanzania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Studio di fattibilità completato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3,2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Agevolare l'accesso a fertilizzanti di qualità ed economici.</w:t>
            </w:r>
          </w:p>
        </w:tc>
      </w:tr>
      <w:tr>
        <w:trPr>
          <w:trHeight w:val="2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SVILUPPO DELLE CAPACITÀ E QUADRO ISTITUZIONALE</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Rafforzare le capacità e promuovere il trasferimento delle tecnologie in relazione a questioni sanitarie e fitosanitarie negli Stati partner dell'EAC per garantire la conformità alle norme internazionali.</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 xml:space="preserve"> I finanziamenti verranno utilizzati per la formazione dei funzionari competenti in materia di norme e garanzia della qualità, per la partecipazione ai lavori del Codex, dell'OIE e dell'IPPC ("le tre sorelle") e per l'attuazione delle norme SPS regionali e internazionali, compresa l'istituzione di laboratori accreditati e di zone indenni da malattie.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EAC</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EAC</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È stato completato lo studio preliminare.</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60,25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0,25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46,80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Progetto di biosicurezza della FAO nell'ambito di un programma congiunto delle Nazioni Unite che ha fornito un contributo pari a 247 256 USD.</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Costruzione di strade di accesso per le attività di pesca attorno al lago Vittoria.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Kenya, Uganda e Tanzania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In corso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7,10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7,10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240"/>
              <w:jc w:val="left"/>
              <w:rPr>
                <w:rFonts w:eastAsia="Times New Roman"/>
                <w:noProof/>
                <w:sz w:val="20"/>
                <w:szCs w:val="20"/>
              </w:rPr>
            </w:pPr>
            <w:r>
              <w:rPr>
                <w:noProof/>
                <w:sz w:val="20"/>
              </w:rPr>
              <w:t>Creazione di posti di ispezione frontalieri per il controllo della qualità e della conformità alle norme (Namanga, Sirari, Holili e Tunduma).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Tanzania e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In corso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10,14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L'esecuzione di questo progetto contribuirà a eliminare o ridurre in modo significativo l'incidenza delle pratiche di pesca illegale e a migliorare la biodiversità, le catture e l'approvvigionamento ittico, aumentando in tal modo le entrate pubbliche provenienti dalle attività di pesca. </w:t>
            </w:r>
          </w:p>
        </w:tc>
      </w:tr>
      <w:tr>
        <w:trPr>
          <w:trHeight w:val="2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Progetti riguardanti il lago Vittoria</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Riqualificazione ed ampliamento di Port Bell con i relativi traghetti per Kisumu e Mwanza.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Uganda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Uganda, Tanzania e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Rimane ancora da effettuare lo studio di fattibilità.</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157,89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157,89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123,15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Deve essere accertato l'ammontare del contributo di altri donatori. La Banca africana di sviluppo ha mostrato interesse. </w:t>
            </w:r>
          </w:p>
        </w:tc>
      </w:tr>
      <w:tr>
        <w:trPr>
          <w:trHeight w:val="2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Sviluppo di infrastrutture di commercializzazione nel settore della pesca.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Ruanda, Uganda, Tanzania,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In corso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46,60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Aumentare le esportazioni, ridurre le perdite successive alla cattura e aumentare la produzione delle attività di pesca e di acquacoltura.</w:t>
            </w:r>
          </w:p>
        </w:tc>
      </w:tr>
      <w:tr>
        <w:trPr>
          <w:trHeight w:val="2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Combattere la pesca illegale e non regolamentata.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Ruanda, Uganda, Tanzania,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In corso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46,60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Rafforzare i sistemi di monitoraggio, controllo e sorveglianza.</w:t>
            </w:r>
          </w:p>
        </w:tc>
      </w:tr>
      <w:tr>
        <w:trPr>
          <w:trHeight w:val="2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Migliorare il trasporto per vie d'acqua sul lago Vittoria.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Uganda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Uganda, Tanzania e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Lo studio di fattibilità è in corso.</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78,00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Il progetto richiede l'acquisto tramite appalto pubblico di ausili alla navigazione per sostituire quelli obsoleti.</w:t>
            </w:r>
          </w:p>
        </w:tc>
      </w:tr>
      <w:tr>
        <w:trPr>
          <w:trHeight w:val="20"/>
        </w:trPr>
        <w:tc>
          <w:tcPr>
            <w:tcW w:w="1105" w:type="dxa"/>
            <w:shd w:val="clear" w:color="auto" w:fill="auto"/>
            <w:tcMar>
              <w:left w:w="29" w:type="dxa"/>
              <w:right w:w="29" w:type="dxa"/>
            </w:tcMar>
            <w:hideMark/>
          </w:tcPr>
          <w:p>
            <w:pPr>
              <w:spacing w:before="0" w:after="0"/>
              <w:jc w:val="left"/>
              <w:rPr>
                <w:rFonts w:eastAsia="Times New Roman"/>
                <w:b/>
                <w:noProof/>
                <w:sz w:val="20"/>
                <w:szCs w:val="20"/>
              </w:rPr>
            </w:pPr>
            <w:r>
              <w:rPr>
                <w:b/>
                <w:noProof/>
                <w:sz w:val="20"/>
              </w:rPr>
              <w:t>AGRICOLTURA E ZOOTECNIA</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Istituzione di zone indenni da malattia.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Kenya, Ruanda, Uganda, Tanzania, e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4,10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anni</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Agevolare l'accesso dei prodotti di origine animale ai mercati locali, regionali ed esteri nel rispetto delle norme internazionali.</w:t>
            </w:r>
          </w:p>
        </w:tc>
      </w:tr>
      <w:tr>
        <w:trPr>
          <w:trHeight w:val="20"/>
        </w:trPr>
        <w:tc>
          <w:tcPr>
            <w:tcW w:w="1105" w:type="dxa"/>
            <w:shd w:val="clear" w:color="auto" w:fill="auto"/>
            <w:tcMar>
              <w:left w:w="29" w:type="dxa"/>
              <w:right w:w="29" w:type="dxa"/>
            </w:tcMar>
            <w:hideMark/>
          </w:tcPr>
          <w:p>
            <w:pPr>
              <w:spacing w:before="0" w:after="0"/>
              <w:jc w:val="left"/>
              <w:rPr>
                <w:rFonts w:eastAsia="Times New Roman"/>
                <w:b/>
                <w:noProof/>
                <w:sz w:val="20"/>
                <w:szCs w:val="20"/>
              </w:rPr>
            </w:pPr>
          </w:p>
        </w:tc>
        <w:tc>
          <w:tcPr>
            <w:tcW w:w="1225" w:type="dxa"/>
            <w:shd w:val="clear" w:color="auto" w:fill="auto"/>
            <w:tcMar>
              <w:left w:w="29" w:type="dxa"/>
              <w:right w:w="29" w:type="dxa"/>
            </w:tcMar>
            <w:hideMark/>
          </w:tcPr>
          <w:p>
            <w:pPr>
              <w:spacing w:before="0" w:after="0"/>
              <w:jc w:val="left"/>
              <w:rPr>
                <w:rFonts w:eastAsia="Times New Roman"/>
                <w:b/>
                <w:noProof/>
                <w:sz w:val="20"/>
                <w:szCs w:val="20"/>
              </w:rPr>
            </w:pPr>
          </w:p>
        </w:tc>
        <w:tc>
          <w:tcPr>
            <w:tcW w:w="900" w:type="dxa"/>
            <w:shd w:val="clear" w:color="auto" w:fill="auto"/>
            <w:tcMar>
              <w:left w:w="29" w:type="dxa"/>
              <w:right w:w="29" w:type="dxa"/>
            </w:tcMar>
            <w:hideMark/>
          </w:tcPr>
          <w:p>
            <w:pPr>
              <w:spacing w:before="0" w:after="0"/>
              <w:jc w:val="left"/>
              <w:rPr>
                <w:rFonts w:eastAsia="Times New Roman"/>
                <w:b/>
                <w:noProof/>
                <w:sz w:val="20"/>
                <w:szCs w:val="20"/>
              </w:rPr>
            </w:pPr>
          </w:p>
        </w:tc>
        <w:tc>
          <w:tcPr>
            <w:tcW w:w="1052" w:type="dxa"/>
            <w:shd w:val="clear" w:color="auto" w:fill="auto"/>
            <w:tcMar>
              <w:left w:w="29" w:type="dxa"/>
              <w:right w:w="29" w:type="dxa"/>
            </w:tcMar>
            <w:hideMark/>
          </w:tcPr>
          <w:p>
            <w:pPr>
              <w:spacing w:before="0" w:after="0"/>
              <w:jc w:val="left"/>
              <w:rPr>
                <w:rFonts w:eastAsia="Times New Roman"/>
                <w:b/>
                <w:noProof/>
                <w:sz w:val="20"/>
                <w:szCs w:val="20"/>
              </w:rPr>
            </w:pPr>
          </w:p>
        </w:tc>
        <w:tc>
          <w:tcPr>
            <w:tcW w:w="1701"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Totale</w:t>
            </w:r>
          </w:p>
        </w:tc>
        <w:tc>
          <w:tcPr>
            <w:tcW w:w="850" w:type="dxa"/>
            <w:shd w:val="clear" w:color="auto" w:fill="auto"/>
            <w:tcMar>
              <w:left w:w="29" w:type="dxa"/>
              <w:right w:w="29" w:type="dxa"/>
            </w:tcMar>
            <w:hideMark/>
          </w:tcPr>
          <w:p>
            <w:pPr>
              <w:spacing w:before="0" w:after="0"/>
              <w:jc w:val="right"/>
              <w:rPr>
                <w:rFonts w:eastAsia="Times New Roman"/>
                <w:b/>
                <w:bCs/>
                <w:noProof/>
                <w:sz w:val="18"/>
                <w:szCs w:val="18"/>
              </w:rPr>
            </w:pPr>
            <w:r>
              <w:rPr>
                <w:b/>
                <w:noProof/>
                <w:sz w:val="18"/>
              </w:rPr>
              <w:t>71 520,68</w:t>
            </w:r>
          </w:p>
        </w:tc>
        <w:tc>
          <w:tcPr>
            <w:tcW w:w="851"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3,49</w:t>
            </w:r>
          </w:p>
        </w:tc>
        <w:tc>
          <w:tcPr>
            <w:tcW w:w="85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w:t>
            </w:r>
          </w:p>
        </w:tc>
        <w:tc>
          <w:tcPr>
            <w:tcW w:w="709"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471,40</w:t>
            </w:r>
          </w:p>
        </w:tc>
        <w:tc>
          <w:tcPr>
            <w:tcW w:w="955"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6 531,46</w:t>
            </w:r>
          </w:p>
        </w:tc>
        <w:tc>
          <w:tcPr>
            <w:tcW w:w="103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62 777,77</w:t>
            </w:r>
          </w:p>
        </w:tc>
        <w:tc>
          <w:tcPr>
            <w:tcW w:w="992"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32 221,32</w:t>
            </w:r>
          </w:p>
        </w:tc>
        <w:tc>
          <w:tcPr>
            <w:tcW w:w="1134" w:type="dxa"/>
            <w:shd w:val="clear" w:color="auto" w:fill="auto"/>
            <w:tcMar>
              <w:left w:w="29" w:type="dxa"/>
              <w:right w:w="29" w:type="dxa"/>
            </w:tcMar>
            <w:hideMark/>
          </w:tcPr>
          <w:p>
            <w:pPr>
              <w:spacing w:before="0" w:after="0"/>
              <w:jc w:val="right"/>
              <w:rPr>
                <w:rFonts w:eastAsia="Times New Roman"/>
                <w:b/>
                <w:bCs/>
                <w:noProof/>
                <w:sz w:val="20"/>
                <w:szCs w:val="20"/>
              </w:rPr>
            </w:pPr>
          </w:p>
        </w:tc>
        <w:tc>
          <w:tcPr>
            <w:tcW w:w="2116" w:type="dxa"/>
            <w:shd w:val="clear" w:color="auto" w:fill="auto"/>
            <w:tcMar>
              <w:left w:w="29" w:type="dxa"/>
              <w:right w:w="29" w:type="dxa"/>
            </w:tcMar>
            <w:hideMark/>
          </w:tcPr>
          <w:p>
            <w:pPr>
              <w:spacing w:before="0" w:after="0"/>
              <w:jc w:val="left"/>
              <w:rPr>
                <w:rFonts w:eastAsia="Times New Roman"/>
                <w:b/>
                <w:bCs/>
                <w:noProof/>
                <w:sz w:val="20"/>
                <w:szCs w:val="20"/>
              </w:rPr>
            </w:pPr>
          </w:p>
        </w:tc>
      </w:tr>
    </w:tbl>
    <w:p>
      <w:pPr>
        <w:spacing w:before="0" w:after="0"/>
        <w:jc w:val="left"/>
        <w:rPr>
          <w:rFonts w:eastAsia="Times New Roman"/>
          <w:noProof/>
          <w:szCs w:val="24"/>
          <w:u w:val="single"/>
        </w:rPr>
        <w:sectPr>
          <w:headerReference w:type="default" r:id="rId16"/>
          <w:footerReference w:type="default" r:id="rId17"/>
          <w:headerReference w:type="first" r:id="rId18"/>
          <w:footerReference w:type="first" r:id="rId1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spacing w:before="0" w:after="0"/>
        <w:jc w:val="left"/>
        <w:rPr>
          <w:rFonts w:eastAsia="Times New Roman"/>
          <w:noProof/>
          <w:szCs w:val="24"/>
          <w:u w:val="single"/>
        </w:rPr>
      </w:pPr>
    </w:p>
    <w:p>
      <w:pPr>
        <w:spacing w:before="0" w:after="240"/>
        <w:jc w:val="center"/>
        <w:rPr>
          <w:rFonts w:eastAsia="Times New Roman"/>
          <w:b/>
          <w:noProof/>
          <w:szCs w:val="24"/>
        </w:rPr>
      </w:pPr>
      <w:r>
        <w:rPr>
          <w:b/>
          <w:noProof/>
        </w:rPr>
        <w:t>ALLEGATO III(b)</w:t>
      </w:r>
    </w:p>
    <w:p>
      <w:pPr>
        <w:spacing w:before="0" w:after="240"/>
        <w:jc w:val="center"/>
        <w:rPr>
          <w:rFonts w:eastAsia="Times New Roman"/>
          <w:b/>
          <w:noProof/>
          <w:szCs w:val="24"/>
        </w:rPr>
      </w:pPr>
      <w:r>
        <w:rPr>
          <w:b/>
          <w:noProof/>
        </w:rPr>
        <w:t>PARAMETRI, OBIETTIVI E INDICATORI DI SVILUPPO</w:t>
      </w:r>
    </w:p>
    <w:tbl>
      <w:tblPr>
        <w:tblW w:w="157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126"/>
        <w:gridCol w:w="2268"/>
        <w:gridCol w:w="2126"/>
        <w:gridCol w:w="2182"/>
        <w:gridCol w:w="2183"/>
        <w:gridCol w:w="2551"/>
      </w:tblGrid>
      <w:tr>
        <w:trPr>
          <w:tblHeader/>
        </w:trPr>
        <w:tc>
          <w:tcPr>
            <w:tcW w:w="2269" w:type="dxa"/>
            <w:vMerge w:val="restart"/>
            <w:tcBorders>
              <w:top w:val="single" w:sz="24" w:space="0" w:color="000000"/>
              <w:left w:val="single" w:sz="24" w:space="0" w:color="000000"/>
            </w:tcBorders>
            <w:shd w:val="clear" w:color="auto" w:fill="auto"/>
            <w:vAlign w:val="center"/>
          </w:tcPr>
          <w:p>
            <w:pPr>
              <w:jc w:val="center"/>
              <w:rPr>
                <w:rFonts w:eastAsia="MS Mincho"/>
                <w:b/>
                <w:noProof/>
                <w:sz w:val="20"/>
                <w:szCs w:val="20"/>
              </w:rPr>
            </w:pPr>
            <w:r>
              <w:rPr>
                <w:b/>
                <w:noProof/>
                <w:sz w:val="20"/>
              </w:rPr>
              <w:t>Settori di cooperazione</w:t>
            </w:r>
          </w:p>
        </w:tc>
        <w:tc>
          <w:tcPr>
            <w:tcW w:w="2126" w:type="dxa"/>
            <w:vMerge w:val="restart"/>
            <w:tcBorders>
              <w:top w:val="single" w:sz="24" w:space="0" w:color="000000"/>
            </w:tcBorders>
            <w:shd w:val="clear" w:color="auto" w:fill="auto"/>
            <w:vAlign w:val="center"/>
          </w:tcPr>
          <w:p>
            <w:pPr>
              <w:jc w:val="center"/>
              <w:rPr>
                <w:rFonts w:eastAsia="MS Mincho"/>
                <w:b/>
                <w:noProof/>
                <w:sz w:val="20"/>
                <w:szCs w:val="20"/>
              </w:rPr>
            </w:pPr>
            <w:r>
              <w:rPr>
                <w:b/>
                <w:noProof/>
                <w:sz w:val="20"/>
              </w:rPr>
              <w:t>Obiettivi</w:t>
            </w:r>
          </w:p>
        </w:tc>
        <w:tc>
          <w:tcPr>
            <w:tcW w:w="2268" w:type="dxa"/>
            <w:vMerge w:val="restart"/>
            <w:tcBorders>
              <w:top w:val="single" w:sz="24" w:space="0" w:color="000000"/>
            </w:tcBorders>
            <w:shd w:val="clear" w:color="auto" w:fill="auto"/>
            <w:vAlign w:val="center"/>
          </w:tcPr>
          <w:p>
            <w:pPr>
              <w:jc w:val="center"/>
              <w:rPr>
                <w:rFonts w:eastAsia="MS Mincho"/>
                <w:b/>
                <w:noProof/>
                <w:sz w:val="20"/>
                <w:szCs w:val="20"/>
              </w:rPr>
            </w:pPr>
            <w:r>
              <w:rPr>
                <w:b/>
                <w:noProof/>
                <w:sz w:val="20"/>
              </w:rPr>
              <w:t>Scenario di riferimento (2013)</w:t>
            </w:r>
          </w:p>
        </w:tc>
        <w:tc>
          <w:tcPr>
            <w:tcW w:w="6491" w:type="dxa"/>
            <w:gridSpan w:val="3"/>
            <w:tcBorders>
              <w:top w:val="single" w:sz="24" w:space="0" w:color="000000"/>
            </w:tcBorders>
            <w:shd w:val="clear" w:color="auto" w:fill="auto"/>
            <w:vAlign w:val="center"/>
          </w:tcPr>
          <w:p>
            <w:pPr>
              <w:jc w:val="center"/>
              <w:rPr>
                <w:rFonts w:eastAsia="MS Mincho"/>
                <w:b/>
                <w:noProof/>
                <w:sz w:val="20"/>
                <w:szCs w:val="20"/>
              </w:rPr>
            </w:pPr>
            <w:r>
              <w:rPr>
                <w:b/>
                <w:noProof/>
                <w:sz w:val="20"/>
              </w:rPr>
              <w:t>Obiettivi</w:t>
            </w:r>
          </w:p>
        </w:tc>
        <w:tc>
          <w:tcPr>
            <w:tcW w:w="2551" w:type="dxa"/>
            <w:vMerge w:val="restart"/>
            <w:tcBorders>
              <w:top w:val="single" w:sz="24" w:space="0" w:color="000000"/>
              <w:right w:val="single" w:sz="24" w:space="0" w:color="000000"/>
            </w:tcBorders>
            <w:shd w:val="clear" w:color="auto" w:fill="auto"/>
            <w:vAlign w:val="center"/>
          </w:tcPr>
          <w:p>
            <w:pPr>
              <w:spacing w:before="40" w:after="40"/>
              <w:jc w:val="center"/>
              <w:rPr>
                <w:rFonts w:eastAsia="MS Mincho"/>
                <w:b/>
                <w:noProof/>
                <w:sz w:val="20"/>
                <w:szCs w:val="20"/>
              </w:rPr>
            </w:pPr>
            <w:r>
              <w:rPr>
                <w:b/>
                <w:noProof/>
                <w:sz w:val="20"/>
              </w:rPr>
              <w:t>Indicatori di risultato</w:t>
            </w:r>
          </w:p>
        </w:tc>
      </w:tr>
      <w:tr>
        <w:trPr>
          <w:trHeight w:val="592"/>
          <w:tblHeader/>
        </w:trPr>
        <w:tc>
          <w:tcPr>
            <w:tcW w:w="2269" w:type="dxa"/>
            <w:vMerge/>
            <w:tcBorders>
              <w:left w:val="single" w:sz="24" w:space="0" w:color="000000"/>
              <w:bottom w:val="single" w:sz="24" w:space="0" w:color="000000"/>
            </w:tcBorders>
          </w:tcPr>
          <w:p>
            <w:pPr>
              <w:jc w:val="left"/>
              <w:rPr>
                <w:rFonts w:eastAsia="Times New Roman"/>
                <w:noProof/>
                <w:sz w:val="20"/>
                <w:szCs w:val="20"/>
              </w:rPr>
            </w:pPr>
          </w:p>
        </w:tc>
        <w:tc>
          <w:tcPr>
            <w:tcW w:w="2126" w:type="dxa"/>
            <w:vMerge/>
            <w:tcBorders>
              <w:bottom w:val="single" w:sz="24" w:space="0" w:color="000000"/>
            </w:tcBorders>
          </w:tcPr>
          <w:p>
            <w:pPr>
              <w:jc w:val="left"/>
              <w:rPr>
                <w:rFonts w:eastAsia="Times New Roman"/>
                <w:noProof/>
                <w:sz w:val="20"/>
                <w:szCs w:val="20"/>
              </w:rPr>
            </w:pPr>
          </w:p>
        </w:tc>
        <w:tc>
          <w:tcPr>
            <w:tcW w:w="2268" w:type="dxa"/>
            <w:vMerge/>
            <w:tcBorders>
              <w:bottom w:val="single" w:sz="24" w:space="0" w:color="000000"/>
            </w:tcBorders>
          </w:tcPr>
          <w:p>
            <w:pPr>
              <w:jc w:val="left"/>
              <w:rPr>
                <w:rFonts w:eastAsia="Times New Roman"/>
                <w:noProof/>
                <w:sz w:val="20"/>
                <w:szCs w:val="20"/>
              </w:rPr>
            </w:pPr>
          </w:p>
        </w:tc>
        <w:tc>
          <w:tcPr>
            <w:tcW w:w="2126" w:type="dxa"/>
            <w:tcBorders>
              <w:bottom w:val="single" w:sz="24" w:space="0" w:color="000000"/>
            </w:tcBorders>
            <w:shd w:val="clear" w:color="auto" w:fill="auto"/>
          </w:tcPr>
          <w:p>
            <w:pPr>
              <w:jc w:val="center"/>
              <w:rPr>
                <w:rFonts w:eastAsia="Times New Roman"/>
                <w:b/>
                <w:noProof/>
                <w:sz w:val="18"/>
                <w:szCs w:val="18"/>
              </w:rPr>
            </w:pPr>
            <w:r>
              <w:rPr>
                <w:b/>
                <w:noProof/>
                <w:sz w:val="18"/>
              </w:rPr>
              <w:t>A breve termine (3 anni)</w:t>
            </w:r>
          </w:p>
        </w:tc>
        <w:tc>
          <w:tcPr>
            <w:tcW w:w="2182" w:type="dxa"/>
            <w:tcBorders>
              <w:bottom w:val="single" w:sz="24" w:space="0" w:color="000000"/>
            </w:tcBorders>
            <w:shd w:val="clear" w:color="auto" w:fill="auto"/>
          </w:tcPr>
          <w:p>
            <w:pPr>
              <w:jc w:val="center"/>
              <w:rPr>
                <w:rFonts w:eastAsia="Times New Roman"/>
                <w:b/>
                <w:noProof/>
                <w:sz w:val="18"/>
                <w:szCs w:val="18"/>
              </w:rPr>
            </w:pPr>
            <w:r>
              <w:rPr>
                <w:b/>
                <w:noProof/>
                <w:sz w:val="18"/>
              </w:rPr>
              <w:t>A medio termine (5 anni)</w:t>
            </w:r>
          </w:p>
        </w:tc>
        <w:tc>
          <w:tcPr>
            <w:tcW w:w="2183" w:type="dxa"/>
            <w:tcBorders>
              <w:bottom w:val="single" w:sz="24" w:space="0" w:color="000000"/>
            </w:tcBorders>
            <w:shd w:val="clear" w:color="auto" w:fill="auto"/>
          </w:tcPr>
          <w:p>
            <w:pPr>
              <w:jc w:val="center"/>
              <w:rPr>
                <w:rFonts w:eastAsia="Times New Roman"/>
                <w:b/>
                <w:noProof/>
                <w:sz w:val="18"/>
                <w:szCs w:val="18"/>
              </w:rPr>
            </w:pPr>
            <w:r>
              <w:rPr>
                <w:b/>
                <w:noProof/>
                <w:sz w:val="18"/>
              </w:rPr>
              <w:t>A lungo termine (2033)</w:t>
            </w:r>
          </w:p>
        </w:tc>
        <w:tc>
          <w:tcPr>
            <w:tcW w:w="2551" w:type="dxa"/>
            <w:vMerge/>
            <w:tcBorders>
              <w:bottom w:val="single" w:sz="24" w:space="0" w:color="000000"/>
              <w:right w:val="single" w:sz="24" w:space="0" w:color="000000"/>
            </w:tcBorders>
          </w:tcPr>
          <w:p>
            <w:pPr>
              <w:spacing w:before="40" w:after="40"/>
              <w:jc w:val="left"/>
              <w:rPr>
                <w:rFonts w:eastAsia="Times New Roman"/>
                <w:noProof/>
                <w:sz w:val="20"/>
                <w:szCs w:val="20"/>
              </w:rPr>
            </w:pPr>
          </w:p>
        </w:tc>
      </w:tr>
      <w:tr>
        <w:trPr>
          <w:trHeight w:val="403"/>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rPr>
            </w:pPr>
            <w:r>
              <w:rPr>
                <w:b/>
                <w:noProof/>
                <w:sz w:val="20"/>
                <w:u w:val="single"/>
              </w:rPr>
              <w:t>Infrastrutture</w:t>
            </w:r>
          </w:p>
        </w:tc>
      </w:tr>
      <w:tr>
        <w:trPr>
          <w:trHeight w:val="2474"/>
        </w:trPr>
        <w:tc>
          <w:tcPr>
            <w:tcW w:w="2269" w:type="dxa"/>
            <w:tcBorders>
              <w:top w:val="nil"/>
              <w:left w:val="single" w:sz="24" w:space="0" w:color="000000"/>
              <w:bottom w:val="nil"/>
              <w:right w:val="single" w:sz="4" w:space="0" w:color="auto"/>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Energia</w:t>
            </w:r>
          </w:p>
        </w:tc>
        <w:tc>
          <w:tcPr>
            <w:tcW w:w="2126" w:type="dxa"/>
            <w:vMerge w:val="restart"/>
            <w:tcBorders>
              <w:top w:val="nil"/>
              <w:left w:val="single" w:sz="4" w:space="0" w:color="auto"/>
              <w:right w:val="single" w:sz="4" w:space="0" w:color="auto"/>
            </w:tcBorders>
          </w:tcPr>
          <w:p>
            <w:pPr>
              <w:spacing w:before="40" w:after="40"/>
              <w:jc w:val="left"/>
              <w:rPr>
                <w:rFonts w:eastAsia="Times New Roman"/>
                <w:noProof/>
                <w:color w:val="FF0000"/>
                <w:sz w:val="20"/>
                <w:szCs w:val="20"/>
              </w:rPr>
            </w:pPr>
            <w:r>
              <w:rPr>
                <w:noProof/>
                <w:sz w:val="20"/>
              </w:rPr>
              <w:t>Migliorare l'accesso degli Stati partner dell'EAC a fonti di energia moderne, affidabili, diversificate e rinnovabili a prezzi competitivi al fine di agevolare il commercio intraregionale ed interregionale.</w:t>
            </w:r>
          </w:p>
        </w:tc>
        <w:tc>
          <w:tcPr>
            <w:tcW w:w="2268"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color w:val="FF0000"/>
                <w:sz w:val="20"/>
                <w:szCs w:val="20"/>
              </w:rPr>
            </w:pPr>
            <w:r>
              <w:rPr>
                <w:noProof/>
                <w:sz w:val="20"/>
              </w:rPr>
              <w:t xml:space="preserve">L'attuale potenza energetica installata (energia idroelettrica, bagassa, energia termica e geotermica e gas naturale) è di circa 3 597 MW, mentre la potenza prevista sarà di 18 744 MW nel 2030 e di 21 173 MW nel 2033. </w:t>
            </w:r>
          </w:p>
        </w:tc>
        <w:tc>
          <w:tcPr>
            <w:tcW w:w="2126"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rPr>
              <w:t>Aumento della produzione di 1 613 MW (pari al 40% della produzione totale prevista).</w:t>
            </w:r>
          </w:p>
        </w:tc>
        <w:tc>
          <w:tcPr>
            <w:tcW w:w="2182"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rPr>
              <w:t>Aumento della produzione di 3 225 MW (pari al 40% della produzione totale prevista).</w:t>
            </w:r>
          </w:p>
        </w:tc>
        <w:tc>
          <w:tcPr>
            <w:tcW w:w="2183"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rPr>
              <w:t>Aumento della produzione di 6 773 MW (pari al 40% della produzione totale prevista: 21 173 MW)</w:t>
            </w:r>
          </w:p>
        </w:tc>
        <w:tc>
          <w:tcPr>
            <w:tcW w:w="2551" w:type="dxa"/>
            <w:tcBorders>
              <w:top w:val="nil"/>
              <w:left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Variazione della quantità di megawatt elettrici generati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Riduzione del costo dell'energia elettrica.</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Riduzione della dipendenza dall'energia da combustibili fossili.</w:t>
            </w:r>
          </w:p>
        </w:tc>
      </w:tr>
      <w:tr>
        <w:trPr>
          <w:trHeight w:val="2881"/>
        </w:trPr>
        <w:tc>
          <w:tcPr>
            <w:tcW w:w="2269" w:type="dxa"/>
            <w:tcBorders>
              <w:top w:val="nil"/>
              <w:left w:val="single" w:sz="24" w:space="0" w:color="000000"/>
              <w:bottom w:val="nil"/>
              <w:right w:val="single" w:sz="4" w:space="0" w:color="auto"/>
            </w:tcBorders>
            <w:shd w:val="clear" w:color="auto" w:fill="auto"/>
          </w:tcPr>
          <w:p>
            <w:pPr>
              <w:spacing w:before="40" w:after="40"/>
              <w:jc w:val="left"/>
              <w:rPr>
                <w:rFonts w:eastAsia="Times New Roman"/>
                <w:noProof/>
                <w:sz w:val="20"/>
                <w:szCs w:val="20"/>
              </w:rPr>
            </w:pPr>
          </w:p>
        </w:tc>
        <w:tc>
          <w:tcPr>
            <w:tcW w:w="2126" w:type="dxa"/>
            <w:vMerge/>
            <w:tcBorders>
              <w:left w:val="single" w:sz="4" w:space="0" w:color="auto"/>
              <w:bottom w:val="nil"/>
              <w:right w:val="single" w:sz="4" w:space="0" w:color="auto"/>
            </w:tcBorders>
          </w:tcPr>
          <w:p>
            <w:pPr>
              <w:spacing w:before="40" w:after="40"/>
              <w:jc w:val="left"/>
              <w:rPr>
                <w:rFonts w:eastAsia="Times New Roman"/>
                <w:noProof/>
                <w:sz w:val="20"/>
                <w:szCs w:val="20"/>
              </w:rPr>
            </w:pPr>
          </w:p>
        </w:tc>
        <w:tc>
          <w:tcPr>
            <w:tcW w:w="2268" w:type="dxa"/>
            <w:tcBorders>
              <w:left w:val="single" w:sz="4" w:space="0" w:color="auto"/>
              <w:bottom w:val="nil"/>
            </w:tcBorders>
          </w:tcPr>
          <w:p>
            <w:pPr>
              <w:autoSpaceDE w:val="0"/>
              <w:autoSpaceDN w:val="0"/>
              <w:adjustRightInd w:val="0"/>
              <w:spacing w:before="40" w:after="40"/>
              <w:jc w:val="left"/>
              <w:rPr>
                <w:rFonts w:eastAsia="Times New Roman"/>
                <w:noProof/>
                <w:sz w:val="20"/>
                <w:szCs w:val="20"/>
              </w:rPr>
            </w:pPr>
            <w:r>
              <w:rPr>
                <w:noProof/>
                <w:sz w:val="20"/>
              </w:rPr>
              <w:t>Manca una rete regionale che colleghi tutti gli Stati partner dell'EAC.</w:t>
            </w:r>
          </w:p>
        </w:tc>
        <w:tc>
          <w:tcPr>
            <w:tcW w:w="2126" w:type="dxa"/>
            <w:tcBorders>
              <w:bottom w:val="nil"/>
            </w:tcBorders>
          </w:tcPr>
          <w:p>
            <w:pPr>
              <w:autoSpaceDE w:val="0"/>
              <w:autoSpaceDN w:val="0"/>
              <w:adjustRightInd w:val="0"/>
              <w:spacing w:before="40" w:after="40"/>
              <w:jc w:val="left"/>
              <w:rPr>
                <w:rFonts w:eastAsia="Times New Roman"/>
                <w:noProof/>
                <w:sz w:val="20"/>
                <w:szCs w:val="20"/>
              </w:rPr>
            </w:pPr>
            <w:r>
              <w:rPr>
                <w:noProof/>
                <w:sz w:val="20"/>
              </w:rPr>
              <w:t xml:space="preserve">2 linee di interconnessione ad alta tensione costruite e operative nella regione dell'EAC. </w:t>
            </w:r>
          </w:p>
          <w:p>
            <w:pPr>
              <w:autoSpaceDE w:val="0"/>
              <w:autoSpaceDN w:val="0"/>
              <w:adjustRightInd w:val="0"/>
              <w:spacing w:before="40" w:after="40"/>
              <w:jc w:val="left"/>
              <w:rPr>
                <w:rFonts w:eastAsia="Times New Roman"/>
                <w:noProof/>
                <w:sz w:val="20"/>
                <w:szCs w:val="20"/>
              </w:rPr>
            </w:pPr>
          </w:p>
        </w:tc>
        <w:tc>
          <w:tcPr>
            <w:tcW w:w="2182"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4 linee di interconnessione ad alta tensione costruite e operative nella regione dell'EAC.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Potenziamento della capacità delle infrastrutture esistenti.</w:t>
            </w:r>
          </w:p>
        </w:tc>
        <w:tc>
          <w:tcPr>
            <w:tcW w:w="2183"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Interconnessione di tutte le reti nazionali di energia elettrica degli Stati partner dell'EAC. </w:t>
            </w:r>
          </w:p>
          <w:p>
            <w:pPr>
              <w:autoSpaceDE w:val="0"/>
              <w:autoSpaceDN w:val="0"/>
              <w:adjustRightInd w:val="0"/>
              <w:spacing w:before="40" w:after="40"/>
              <w:ind w:left="196"/>
              <w:jc w:val="left"/>
              <w:rPr>
                <w:rFonts w:eastAsia="Times New Roman"/>
                <w:noProof/>
                <w:sz w:val="20"/>
                <w:szCs w:val="20"/>
              </w:rPr>
            </w:pPr>
          </w:p>
        </w:tc>
        <w:tc>
          <w:tcPr>
            <w:tcW w:w="2551" w:type="dxa"/>
            <w:tcBorders>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nuove interconnessioni transfrontaliere.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La rete regionale è pienamente operativa.</w:t>
            </w:r>
          </w:p>
          <w:p>
            <w:pPr>
              <w:autoSpaceDE w:val="0"/>
              <w:autoSpaceDN w:val="0"/>
              <w:adjustRightInd w:val="0"/>
              <w:spacing w:before="40" w:after="40"/>
              <w:jc w:val="left"/>
              <w:rPr>
                <w:rFonts w:eastAsia="Times New Roman"/>
                <w:noProof/>
                <w:sz w:val="20"/>
                <w:szCs w:val="20"/>
              </w:rPr>
            </w:pPr>
          </w:p>
        </w:tc>
      </w:tr>
      <w:tr>
        <w:trPr>
          <w:trHeight w:val="258"/>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Miglioramento dell'accesso alle unità del settore privato (fino a raggiungere almeno il 75%).</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Miglioramento dell'accesso alle unità del settore privato (fino al 100%).</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Nuovi collegamenti al settore privato (in %).</w:t>
            </w:r>
          </w:p>
        </w:tc>
      </w:tr>
      <w:tr>
        <w:trPr>
          <w:trHeight w:val="1084"/>
        </w:trP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000000"/>
              <w:bottom w:val="nil"/>
            </w:tcBorders>
          </w:tcPr>
          <w:p>
            <w:pPr>
              <w:spacing w:before="40" w:after="40"/>
              <w:jc w:val="left"/>
              <w:rPr>
                <w:rFonts w:eastAsia="Times New Roman"/>
                <w:noProof/>
                <w:sz w:val="20"/>
                <w:szCs w:val="20"/>
              </w:rPr>
            </w:pPr>
          </w:p>
        </w:tc>
        <w:tc>
          <w:tcPr>
            <w:tcW w:w="2268"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rPr>
            </w:pPr>
          </w:p>
        </w:tc>
        <w:tc>
          <w:tcPr>
            <w:tcW w:w="2126"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rPr>
            </w:pPr>
          </w:p>
        </w:tc>
        <w:tc>
          <w:tcPr>
            <w:tcW w:w="2182"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Miglioramento dell'affidabilità dell'approvvigionamento energetico (fino a raggiungere il 95%).</w:t>
            </w:r>
          </w:p>
        </w:tc>
        <w:tc>
          <w:tcPr>
            <w:tcW w:w="2183"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Miglioramento dell'affidabilità dell'approvvigionamento energetico (fino a raggiungere il 99%).</w:t>
            </w:r>
          </w:p>
        </w:tc>
        <w:tc>
          <w:tcPr>
            <w:tcW w:w="2551" w:type="dxa"/>
            <w:tcBorders>
              <w:top w:val="single" w:sz="4" w:space="0" w:color="000000"/>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dell'affidabilità dell'approvvigionamento energetico (in %).</w:t>
            </w:r>
          </w:p>
        </w:tc>
      </w:tr>
      <w:tr>
        <w:trPr>
          <w:trHeight w:val="207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single" w:sz="4" w:space="0" w:color="auto"/>
              <w:bottom w:val="nil"/>
            </w:tcBorders>
          </w:tcPr>
          <w:p>
            <w:pPr>
              <w:autoSpaceDE w:val="0"/>
              <w:autoSpaceDN w:val="0"/>
              <w:adjustRightInd w:val="0"/>
              <w:spacing w:before="40" w:after="40"/>
              <w:ind w:left="-42"/>
              <w:jc w:val="left"/>
              <w:rPr>
                <w:rFonts w:eastAsia="Times New Roman"/>
                <w:noProof/>
                <w:sz w:val="20"/>
                <w:szCs w:val="20"/>
              </w:rPr>
            </w:pPr>
            <w:r>
              <w:rPr>
                <w:noProof/>
                <w:sz w:val="20"/>
              </w:rPr>
              <w:t>Le politiche energetiche e i quadri giuridici e regolamentari non sono armonizzati e/o sono poco attraenti per gli investitori.</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Politiche energetiche e quadri giuridici e regolamentari armonizzati e attraenti per gli investitori.</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Creazione di partenariati, collegamenti e joint venture.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Maggiori investimenti in R&amp;S.</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Sviluppo di partenariati, collegamenti e joint venture.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Sviluppo e trasferimento di tecnologie.</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politiche e quadri giuridici e regolamentari armonizzati.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nuovi investimenti credibili [compresi accordi di partenariato pubblico-privato (PPP)].</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Acquisizione di nuove tecnologie.</w:t>
            </w:r>
          </w:p>
        </w:tc>
      </w:tr>
      <w:tr>
        <w:trPr>
          <w:trHeight w:val="1635"/>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spacing w:before="40" w:after="40"/>
              <w:jc w:val="left"/>
              <w:rPr>
                <w:rFonts w:eastAsia="Times New Roman"/>
                <w:noProof/>
                <w:color w:val="FF0000"/>
                <w:sz w:val="20"/>
                <w:szCs w:val="20"/>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Rafforzamento delle capacità istituzionali, tecniche e amministrative delle istituzioni competenti in materia di energia.</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Miglioramento dell'approvvigionamento energetico e della relativa affidabilità. </w:t>
            </w:r>
          </w:p>
          <w:p>
            <w:pPr>
              <w:autoSpaceDE w:val="0"/>
              <w:autoSpaceDN w:val="0"/>
              <w:adjustRightInd w:val="0"/>
              <w:spacing w:before="40" w:after="40"/>
              <w:ind w:left="196"/>
              <w:jc w:val="left"/>
              <w:rPr>
                <w:rFonts w:eastAsia="Times New Roman"/>
                <w:noProof/>
                <w:sz w:val="20"/>
                <w:szCs w:val="20"/>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Approvvigionamento energetico stabile.</w:t>
            </w:r>
          </w:p>
          <w:p>
            <w:pPr>
              <w:autoSpaceDE w:val="0"/>
              <w:autoSpaceDN w:val="0"/>
              <w:adjustRightInd w:val="0"/>
              <w:spacing w:before="40" w:after="40"/>
              <w:ind w:left="196"/>
              <w:jc w:val="left"/>
              <w:rPr>
                <w:rFonts w:eastAsia="Times New Roman"/>
                <w:noProof/>
                <w:sz w:val="20"/>
                <w:szCs w:val="20"/>
              </w:rPr>
            </w:pP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Rafforzamento della capacità di gestione dell'energia a livello nazionale e regionale.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Maggiore affidabilità dell'approvvigionamento energetico.</w:t>
            </w:r>
          </w:p>
        </w:tc>
      </w:tr>
      <w:t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Trasporti</w:t>
            </w:r>
          </w:p>
        </w:tc>
        <w:tc>
          <w:tcPr>
            <w:tcW w:w="2126" w:type="dxa"/>
            <w:vMerge w:val="restart"/>
            <w:tcBorders>
              <w:top w:val="single" w:sz="4" w:space="0" w:color="000000"/>
              <w:bottom w:val="single" w:sz="4" w:space="0" w:color="000000"/>
            </w:tcBorders>
          </w:tcPr>
          <w:p>
            <w:pPr>
              <w:spacing w:before="40" w:after="40"/>
              <w:jc w:val="left"/>
              <w:rPr>
                <w:rFonts w:eastAsia="Times New Roman"/>
                <w:noProof/>
                <w:sz w:val="20"/>
                <w:szCs w:val="20"/>
              </w:rPr>
            </w:pPr>
            <w:r>
              <w:rPr>
                <w:noProof/>
                <w:sz w:val="20"/>
              </w:rPr>
              <w:t xml:space="preserve">Potenziare l'interconnessione a livello nazionale e regionale per contribuire ad approfondire l'integrazione economica regionale e migliorare la circolazione di persone e merci. </w:t>
            </w:r>
          </w:p>
        </w:tc>
        <w:tc>
          <w:tcPr>
            <w:tcW w:w="2268" w:type="dxa"/>
            <w:tcBorders>
              <w:top w:val="single" w:sz="4" w:space="0" w:color="000000"/>
              <w:bottom w:val="single" w:sz="4" w:space="0" w:color="000000"/>
            </w:tcBorders>
          </w:tcPr>
          <w:p>
            <w:pPr>
              <w:spacing w:before="40" w:after="40"/>
              <w:jc w:val="left"/>
              <w:rPr>
                <w:rFonts w:eastAsia="Times New Roman"/>
                <w:noProof/>
                <w:sz w:val="20"/>
                <w:szCs w:val="20"/>
              </w:rPr>
            </w:pPr>
            <w:r>
              <w:rPr>
                <w:noProof/>
                <w:sz w:val="20"/>
              </w:rPr>
              <w:t>La rete regionale comprende:</w:t>
            </w:r>
          </w:p>
          <w:p>
            <w:pPr>
              <w:autoSpaceDE w:val="0"/>
              <w:autoSpaceDN w:val="0"/>
              <w:adjustRightInd w:val="0"/>
              <w:spacing w:before="40" w:after="40"/>
              <w:ind w:left="338"/>
              <w:jc w:val="left"/>
              <w:rPr>
                <w:rFonts w:eastAsia="Times New Roman"/>
                <w:noProof/>
                <w:sz w:val="20"/>
                <w:szCs w:val="20"/>
              </w:rPr>
            </w:pP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Sviluppo e miglioramento dei sistemi di infrastrutture intermodali:</w:t>
            </w:r>
          </w:p>
          <w:p>
            <w:pPr>
              <w:autoSpaceDE w:val="0"/>
              <w:autoSpaceDN w:val="0"/>
              <w:adjustRightInd w:val="0"/>
              <w:spacing w:before="40" w:after="40"/>
              <w:ind w:left="338"/>
              <w:jc w:val="left"/>
              <w:rPr>
                <w:rFonts w:eastAsia="Times New Roman"/>
                <w:noProof/>
                <w:sz w:val="20"/>
                <w:szCs w:val="20"/>
              </w:rPr>
            </w:pP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Sviluppo e miglioramento dei sistemi di infrastrutture intermodali:</w:t>
            </w:r>
          </w:p>
          <w:p>
            <w:pPr>
              <w:autoSpaceDE w:val="0"/>
              <w:autoSpaceDN w:val="0"/>
              <w:adjustRightInd w:val="0"/>
              <w:spacing w:before="40" w:after="40"/>
              <w:ind w:left="338"/>
              <w:jc w:val="left"/>
              <w:rPr>
                <w:rFonts w:eastAsia="Times New Roman"/>
                <w:noProof/>
                <w:sz w:val="20"/>
                <w:szCs w:val="20"/>
              </w:rPr>
            </w:pP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Sviluppo e miglioramento dei sistemi di infrastrutture intermodali:</w:t>
            </w:r>
          </w:p>
          <w:p>
            <w:pPr>
              <w:autoSpaceDE w:val="0"/>
              <w:autoSpaceDN w:val="0"/>
              <w:adjustRightInd w:val="0"/>
              <w:spacing w:before="40" w:after="40"/>
              <w:ind w:left="338"/>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 volume degli scambi intraregionali ed interregionali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Riduzione dei costi di trasporto.</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 traffico intraregionale e interregionale (stradale, ferroviario, aereo e per vie navigabili).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Riduzione dei tempi di turnaround.</w:t>
            </w:r>
          </w:p>
          <w:p>
            <w:pPr>
              <w:numPr>
                <w:ilvl w:val="0"/>
                <w:numId w:val="29"/>
              </w:numPr>
              <w:autoSpaceDE w:val="0"/>
              <w:autoSpaceDN w:val="0"/>
              <w:adjustRightInd w:val="0"/>
              <w:spacing w:before="40" w:after="40"/>
              <w:ind w:left="196" w:hanging="196"/>
              <w:jc w:val="left"/>
              <w:rPr>
                <w:rFonts w:eastAsia="Times New Roman"/>
                <w:noProof/>
                <w:sz w:val="20"/>
                <w:szCs w:val="20"/>
              </w:rPr>
            </w:pPr>
          </w:p>
        </w:tc>
      </w:tr>
      <w:tr>
        <w:tc>
          <w:tcPr>
            <w:tcW w:w="2269" w:type="dxa"/>
            <w:tcBorders>
              <w:top w:val="single" w:sz="4" w:space="0" w:color="000000"/>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vMerge/>
            <w:tcBorders>
              <w:top w:val="single" w:sz="4" w:space="0" w:color="000000"/>
              <w:bottom w:val="nil"/>
            </w:tcBorders>
          </w:tcPr>
          <w:p>
            <w:pPr>
              <w:spacing w:before="40" w:after="40"/>
              <w:jc w:val="left"/>
              <w:rPr>
                <w:rFonts w:eastAsia="Times New Roman"/>
                <w:noProof/>
                <w:sz w:val="20"/>
                <w:szCs w:val="20"/>
              </w:rPr>
            </w:pPr>
          </w:p>
        </w:tc>
        <w:tc>
          <w:tcPr>
            <w:tcW w:w="2268"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circa 178 737 km di strade, di cui circa 22 347 km asfaltati e 156 390 km non asfaltati (2011);</w:t>
            </w:r>
          </w:p>
        </w:tc>
        <w:tc>
          <w:tcPr>
            <w:tcW w:w="2126"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riduzione del 4% (600 km) dei chilometri di strade non asfaltate (in ghiaia) della rete stradale dell'Africa orientale; </w:t>
            </w:r>
          </w:p>
        </w:tc>
        <w:tc>
          <w:tcPr>
            <w:tcW w:w="2182"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riduzione del 15% (2 220 km) dei chilometri di strade non asfaltate (in ghiaia) della rete stradale dell'Africa orientale;</w:t>
            </w:r>
          </w:p>
        </w:tc>
        <w:tc>
          <w:tcPr>
            <w:tcW w:w="2183"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riduzione del 22% (3 240 km) dei chilometri di strade non asfaltate (in ghiaia) della rete stradale dell'Africa orientale;</w:t>
            </w:r>
          </w:p>
        </w:tc>
        <w:tc>
          <w:tcPr>
            <w:tcW w:w="2551" w:type="dxa"/>
            <w:tcBorders>
              <w:top w:val="single" w:sz="4" w:space="0" w:color="000000"/>
              <w:bottom w:val="nil"/>
              <w:right w:val="single" w:sz="24" w:space="0" w:color="000000"/>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Numero di km di collegamenti regionali mancanti costruiti e di corridoi regionali migliorati e sottoposti a manutenzione.</w:t>
            </w: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assenza di linea ferroviaria a scartamento standard nella regione. La regione dell'EAC dispone di circa 8 100 km di linea ferroviaria a scartamento metrico, di cui 6 000 km circa sono in funzionamento;</w:t>
            </w:r>
          </w:p>
        </w:tc>
        <w:tc>
          <w:tcPr>
            <w:tcW w:w="2126"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sviluppo di 2 nuove linee ferroviarie a scartamento standard; </w:t>
            </w:r>
          </w:p>
          <w:p>
            <w:pPr>
              <w:autoSpaceDE w:val="0"/>
              <w:autoSpaceDN w:val="0"/>
              <w:adjustRightInd w:val="0"/>
              <w:spacing w:before="40" w:after="40"/>
              <w:ind w:left="196"/>
              <w:jc w:val="left"/>
              <w:rPr>
                <w:rFonts w:eastAsia="Times New Roman"/>
                <w:noProof/>
                <w:sz w:val="20"/>
                <w:szCs w:val="20"/>
              </w:rPr>
            </w:pP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 xml:space="preserve">sviluppo di 3 nuove linee ferroviarie a scartamento standard; 2 linee operative; </w:t>
            </w:r>
          </w:p>
        </w:tc>
        <w:tc>
          <w:tcPr>
            <w:tcW w:w="2183"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sviluppo di 4 nuove linee ferroviarie a scartamento standard; 5 linee operative;</w:t>
            </w:r>
          </w:p>
        </w:tc>
        <w:tc>
          <w:tcPr>
            <w:tcW w:w="2551" w:type="dxa"/>
            <w:tcBorders>
              <w:top w:val="nil"/>
              <w:bottom w:val="nil"/>
              <w:right w:val="single" w:sz="24" w:space="0" w:color="000000"/>
            </w:tcBorders>
          </w:tcPr>
          <w:p>
            <w:pPr>
              <w:autoSpaceDE w:val="0"/>
              <w:autoSpaceDN w:val="0"/>
              <w:adjustRightInd w:val="0"/>
              <w:spacing w:before="40" w:after="40"/>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5 grandi porti marittimi e diversi porti interni; </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sviluppo, ampliamento e/o ammodernamento di 3 porti prioritari;</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sviluppo, ampliamento e/o ammodernamento di 4 porti prioritari;</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sviluppo, ampliamento e/o ammodernamento di 5 porti prioritari;</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Numero di porti sviluppati, ampliati o ammodernati.</w:t>
            </w:r>
          </w:p>
        </w:tc>
      </w:tr>
      <w:tr>
        <w:trPr>
          <w:trHeight w:val="1435"/>
        </w:trP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11 aeroporti internazionali. </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sviluppo, ampliamento e/o ammodernamento di 3 aeroporti prioritari.</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sviluppo, ampliamento e/o ammodernamento di 3 aeroporti prioritari.</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sviluppo, ampliamento e/o ammodernamento di 5 porti prioritari.</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Numero di porti sviluppati, ampliati o ammodernati.</w:t>
            </w: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spacing w:before="40" w:after="40"/>
              <w:jc w:val="left"/>
              <w:rPr>
                <w:rFonts w:eastAsia="Times New Roman"/>
                <w:noProof/>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Sviluppo di politiche e quadri regolamentari in materia di trasporti regionali.</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Sviluppo di partenariati, collegamenti e joint venture tra operatori economici.</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Miglioramento della sicurezza e dell'affidabilità dei trasporti.</w:t>
            </w:r>
          </w:p>
          <w:p>
            <w:pPr>
              <w:autoSpaceDE w:val="0"/>
              <w:autoSpaceDN w:val="0"/>
              <w:adjustRightInd w:val="0"/>
              <w:spacing w:before="40" w:after="40"/>
              <w:jc w:val="left"/>
              <w:rPr>
                <w:rFonts w:eastAsia="Times New Roman"/>
                <w:noProof/>
                <w:sz w:val="20"/>
                <w:szCs w:val="20"/>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nuovi investimenti credibili [compresi accordi di partenariato pubblico-privato (PPP)].</w:t>
            </w:r>
          </w:p>
        </w:tc>
      </w:tr>
      <w:tr>
        <w:tc>
          <w:tcPr>
            <w:tcW w:w="2269" w:type="dxa"/>
            <w:tcBorders>
              <w:top w:val="nil"/>
              <w:left w:val="single" w:sz="24" w:space="0" w:color="000000"/>
              <w:bottom w:val="single" w:sz="4" w:space="0" w:color="000000"/>
            </w:tcBorders>
            <w:shd w:val="clear" w:color="auto" w:fill="auto"/>
          </w:tcPr>
          <w:p>
            <w:pPr>
              <w:spacing w:before="40" w:after="40"/>
              <w:ind w:left="-6"/>
              <w:jc w:val="left"/>
              <w:rPr>
                <w:rFonts w:eastAsia="Times New Roman"/>
                <w:b/>
                <w:bCs/>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spacing w:before="40" w:after="40"/>
              <w:jc w:val="left"/>
              <w:rPr>
                <w:rFonts w:eastAsia="Times New Roman"/>
                <w:noProof/>
                <w:sz w:val="20"/>
                <w:szCs w:val="20"/>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Rafforzamento delle capacità istituzionali, tecniche e amministrative delle istituzioni competenti in materia di trasporti.</w:t>
            </w:r>
          </w:p>
        </w:tc>
        <w:tc>
          <w:tcPr>
            <w:tcW w:w="2182"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Migliore circolazione delle persone e del traffico di veicoli (compreso il flusso delle merci).</w:t>
            </w:r>
          </w:p>
        </w:tc>
        <w:tc>
          <w:tcPr>
            <w:tcW w:w="2551" w:type="dxa"/>
            <w:tcBorders>
              <w:top w:val="nil"/>
              <w:bottom w:val="single" w:sz="4" w:space="0" w:color="000000"/>
              <w:right w:val="single" w:sz="24" w:space="0" w:color="000000"/>
            </w:tcBorders>
          </w:tcPr>
          <w:p>
            <w:pPr>
              <w:autoSpaceDE w:val="0"/>
              <w:autoSpaceDN w:val="0"/>
              <w:adjustRightInd w:val="0"/>
              <w:spacing w:before="40" w:after="40"/>
              <w:jc w:val="left"/>
              <w:rPr>
                <w:rFonts w:eastAsia="Times New Roman"/>
                <w:noProof/>
                <w:sz w:val="20"/>
                <w:szCs w:val="20"/>
              </w:rPr>
            </w:pPr>
          </w:p>
        </w:tc>
      </w:tr>
      <w:tr>
        <w:trPr>
          <w:trHeight w:val="2826"/>
        </w:trP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Tecnologie dell'informazione e delle comunicazioni (TIC)</w:t>
            </w:r>
          </w:p>
        </w:tc>
        <w:tc>
          <w:tcPr>
            <w:tcW w:w="2126" w:type="dxa"/>
            <w:tcBorders>
              <w:top w:val="single" w:sz="4" w:space="0" w:color="000000"/>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rPr>
              <w:t>Sviluppare e ammodernare le infrastrutture TIC per facilitare il commercio e la prestazione di servizi a livello intraregionale e interregionale.</w:t>
            </w:r>
          </w:p>
          <w:p>
            <w:pPr>
              <w:autoSpaceDE w:val="0"/>
              <w:autoSpaceDN w:val="0"/>
              <w:adjustRightInd w:val="0"/>
              <w:spacing w:before="40" w:after="40"/>
              <w:jc w:val="left"/>
              <w:rPr>
                <w:rFonts w:eastAsia="Times New Roman"/>
                <w:noProof/>
                <w:sz w:val="20"/>
                <w:szCs w:val="20"/>
              </w:rPr>
            </w:pPr>
          </w:p>
        </w:tc>
        <w:tc>
          <w:tcPr>
            <w:tcW w:w="2268" w:type="dxa"/>
            <w:vMerge w:val="restart"/>
            <w:tcBorders>
              <w:top w:val="single" w:sz="4" w:space="0" w:color="000000"/>
              <w:bottom w:val="single" w:sz="4" w:space="0" w:color="000000"/>
            </w:tcBorders>
          </w:tcPr>
          <w:p>
            <w:pPr>
              <w:spacing w:before="40" w:after="40"/>
              <w:jc w:val="left"/>
              <w:rPr>
                <w:rFonts w:eastAsia="Times New Roman"/>
                <w:noProof/>
                <w:sz w:val="20"/>
                <w:szCs w:val="20"/>
              </w:rPr>
            </w:pPr>
            <w:r>
              <w:rPr>
                <w:noProof/>
                <w:sz w:val="20"/>
              </w:rPr>
              <w:t xml:space="preserve">Tutti gli Stati partner dell'EAC sono collegati mediante fibra ottica. Le TIC sono tuttavia costose e soltanto il 13% circa della popolazione ha accesso a Internet, mentre circa il 50% della popolazione è abbonato a servizi di telefonia mobile. </w:t>
            </w: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Sviluppo di infrastrutture TIC transfrontaliere integrate.</w:t>
            </w: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L'80% delle imprese è collegato mediante connessioni ad alta velocità.</w:t>
            </w: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Operazioni e servizi sicuri (ad esempio servizi elettronici, commercio elettronico, pubblica amministrazione elettronica, sanità elettronica).</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Riduzione del 60% delle tariffe per l'accesso a Internet.</w:t>
            </w: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infrastrutture TIC transfrontaliere integrate sviluppate.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 larghezza di banda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Riduzione dei costi per l'accesso a Internet (in %). </w:t>
            </w:r>
          </w:p>
        </w:tc>
      </w:tr>
      <w:t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000000"/>
              <w:bottom w:val="nil"/>
            </w:tcBorders>
          </w:tcPr>
          <w:p>
            <w:pPr>
              <w:spacing w:before="40" w:after="40"/>
              <w:jc w:val="left"/>
              <w:rPr>
                <w:rFonts w:eastAsia="Times New Roman"/>
                <w:noProof/>
                <w:sz w:val="20"/>
                <w:szCs w:val="20"/>
              </w:rPr>
            </w:pPr>
          </w:p>
        </w:tc>
        <w:tc>
          <w:tcPr>
            <w:tcW w:w="2268" w:type="dxa"/>
            <w:vMerge/>
            <w:tcBorders>
              <w:top w:val="single" w:sz="4" w:space="0" w:color="000000"/>
              <w:bottom w:val="nil"/>
            </w:tcBorders>
          </w:tcPr>
          <w:p>
            <w:pPr>
              <w:spacing w:before="40" w:after="40"/>
              <w:jc w:val="left"/>
              <w:rPr>
                <w:rFonts w:eastAsia="Times New Roman"/>
                <w:noProof/>
                <w:sz w:val="20"/>
                <w:szCs w:val="20"/>
              </w:rPr>
            </w:pPr>
          </w:p>
        </w:tc>
        <w:tc>
          <w:tcPr>
            <w:tcW w:w="2126"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Il 20% della popolazione ha accesso a Internet e circa il 60% della popolazione è abbonato a servizi di telefonia mobile.</w:t>
            </w:r>
          </w:p>
        </w:tc>
        <w:tc>
          <w:tcPr>
            <w:tcW w:w="2182"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Il 40% della popolazione ha accesso a Internet e circa il 75% della popolazione è abbonato a servizi di telefonia mobile.</w:t>
            </w:r>
          </w:p>
        </w:tc>
        <w:tc>
          <w:tcPr>
            <w:tcW w:w="2183"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Il 60% della popolazione ha accesso a Internet e circa il 90% della popolazione è abbonato a servizi di telefonia mobile.</w:t>
            </w:r>
          </w:p>
        </w:tc>
        <w:tc>
          <w:tcPr>
            <w:tcW w:w="2551" w:type="dxa"/>
            <w:tcBorders>
              <w:top w:val="single" w:sz="4" w:space="0" w:color="000000"/>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delle transazioni commerciali online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 numero di abbonati ai servizi di telefonia e telefonia mobile e di utenti di Internet (in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spacing w:before="40" w:after="40"/>
              <w:jc w:val="left"/>
              <w:rPr>
                <w:rFonts w:eastAsia="Times New Roman"/>
                <w:noProof/>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Rafforzamento delle capacità nel campo delle risorse umane, innalzamento degli standard di servizio e miglioramento delle strutture istituzionali. </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Sviluppo di partenariati, collegamenti e joint venture tra operatori economici. </w:t>
            </w:r>
          </w:p>
          <w:p>
            <w:pPr>
              <w:autoSpaceDE w:val="0"/>
              <w:autoSpaceDN w:val="0"/>
              <w:adjustRightInd w:val="0"/>
              <w:spacing w:before="40" w:after="40"/>
              <w:ind w:left="196"/>
              <w:jc w:val="left"/>
              <w:rPr>
                <w:rFonts w:eastAsia="Times New Roman"/>
                <w:noProof/>
                <w:sz w:val="20"/>
                <w:szCs w:val="20"/>
              </w:rPr>
            </w:pPr>
          </w:p>
        </w:tc>
        <w:tc>
          <w:tcPr>
            <w:tcW w:w="2183" w:type="dxa"/>
            <w:tcBorders>
              <w:top w:val="nil"/>
              <w:bottom w:val="nil"/>
            </w:tcBorders>
          </w:tcPr>
          <w:p>
            <w:pPr>
              <w:autoSpaceDE w:val="0"/>
              <w:autoSpaceDN w:val="0"/>
              <w:adjustRightInd w:val="0"/>
              <w:spacing w:before="40" w:after="40"/>
              <w:jc w:val="left"/>
              <w:rPr>
                <w:rFonts w:eastAsia="Times New Roman"/>
                <w:noProof/>
                <w:sz w:val="20"/>
                <w:szCs w:val="20"/>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nuovi investimenti credibili [compresi accordi di partenariato pubblico-privato (PPP)].</w:t>
            </w:r>
          </w:p>
          <w:p>
            <w:pPr>
              <w:autoSpaceDE w:val="0"/>
              <w:autoSpaceDN w:val="0"/>
              <w:adjustRightInd w:val="0"/>
              <w:spacing w:before="40" w:after="40"/>
              <w:ind w:left="196"/>
              <w:jc w:val="left"/>
              <w:rPr>
                <w:rFonts w:eastAsia="Times New Roman"/>
                <w:noProof/>
                <w:sz w:val="20"/>
                <w:szCs w:val="20"/>
              </w:rPr>
            </w:pPr>
          </w:p>
        </w:tc>
      </w:tr>
      <w:tr>
        <w:trPr>
          <w:trHeight w:val="1731"/>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spacing w:before="40" w:after="40"/>
              <w:jc w:val="left"/>
              <w:rPr>
                <w:rFonts w:eastAsia="Times New Roman"/>
                <w:noProof/>
                <w:sz w:val="20"/>
                <w:szCs w:val="20"/>
              </w:rPr>
            </w:pPr>
          </w:p>
        </w:tc>
        <w:tc>
          <w:tcPr>
            <w:tcW w:w="2268" w:type="dxa"/>
            <w:tcBorders>
              <w:top w:val="nil"/>
              <w:bottom w:val="single" w:sz="24" w:space="0" w:color="000000"/>
            </w:tcBorders>
          </w:tcPr>
          <w:p>
            <w:pPr>
              <w:spacing w:before="40" w:after="40"/>
              <w:jc w:val="left"/>
              <w:rPr>
                <w:rFonts w:eastAsia="Times New Roman"/>
                <w:noProof/>
                <w:sz w:val="20"/>
                <w:szCs w:val="20"/>
              </w:rPr>
            </w:pPr>
          </w:p>
        </w:tc>
        <w:tc>
          <w:tcPr>
            <w:tcW w:w="2126"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Sviluppo ed armonizzazione dei quadri giuridici e regolamentari in materia di TIC. </w:t>
            </w:r>
          </w:p>
        </w:tc>
        <w:tc>
          <w:tcPr>
            <w:tcW w:w="2182"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Sviluppo e trasferimento delle tecnologie, applicazioni tecnologiche, R&amp;S e innovazione.</w:t>
            </w:r>
          </w:p>
        </w:tc>
        <w:tc>
          <w:tcPr>
            <w:tcW w:w="2183" w:type="dxa"/>
            <w:tcBorders>
              <w:top w:val="nil"/>
              <w:bottom w:val="single" w:sz="24" w:space="0" w:color="000000"/>
            </w:tcBorders>
          </w:tcPr>
          <w:p>
            <w:pPr>
              <w:autoSpaceDE w:val="0"/>
              <w:autoSpaceDN w:val="0"/>
              <w:adjustRightInd w:val="0"/>
              <w:spacing w:before="40" w:after="40"/>
              <w:jc w:val="left"/>
              <w:rPr>
                <w:rFonts w:eastAsia="Times New Roman"/>
                <w:noProof/>
                <w:sz w:val="20"/>
                <w:szCs w:val="20"/>
              </w:rPr>
            </w:pPr>
          </w:p>
        </w:tc>
        <w:tc>
          <w:tcPr>
            <w:tcW w:w="2551" w:type="dxa"/>
            <w:tcBorders>
              <w:top w:val="nil"/>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 numero di specialisti in TIC (in %). </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u w:val="single"/>
              </w:rPr>
              <w:t>Agricoltura e Zootecnia</w:t>
            </w:r>
          </w:p>
        </w:tc>
      </w:tr>
      <w:tr>
        <w:tc>
          <w:tcPr>
            <w:tcW w:w="2269" w:type="dxa"/>
            <w:tcBorders>
              <w:top w:val="nil"/>
              <w:left w:val="single" w:sz="24" w:space="0" w:color="000000"/>
              <w:bottom w:val="nil"/>
            </w:tcBorders>
            <w:shd w:val="clear" w:color="auto" w:fill="auto"/>
          </w:tcPr>
          <w:p>
            <w:pPr>
              <w:spacing w:before="40" w:after="40"/>
              <w:ind w:left="360"/>
              <w:jc w:val="left"/>
              <w:rPr>
                <w:rFonts w:eastAsia="Times New Roman"/>
                <w:b/>
                <w:bCs/>
                <w:noProof/>
                <w:sz w:val="20"/>
                <w:szCs w:val="20"/>
              </w:rPr>
            </w:pP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rPr>
              <w:t>Migliorare la produzione e la produttività.</w:t>
            </w:r>
          </w:p>
        </w:tc>
        <w:tc>
          <w:tcPr>
            <w:tcW w:w="2268" w:type="dxa"/>
            <w:tcBorders>
              <w:top w:val="nil"/>
              <w:bottom w:val="single" w:sz="4" w:space="0" w:color="auto"/>
            </w:tcBorders>
          </w:tcPr>
          <w:p>
            <w:pPr>
              <w:spacing w:before="40" w:after="40"/>
              <w:jc w:val="left"/>
              <w:rPr>
                <w:rFonts w:eastAsia="Times New Roman"/>
                <w:noProof/>
                <w:sz w:val="20"/>
                <w:szCs w:val="20"/>
              </w:rPr>
            </w:pPr>
            <w:r>
              <w:rPr>
                <w:noProof/>
                <w:sz w:val="20"/>
              </w:rPr>
              <w:t xml:space="preserve">[Migliorare la produzione e la produttività delle colture più importanti (caffè, tè, e canna da zucchero), partendo dal dato attuale di 10,95 milioni di tonnellate. </w:t>
            </w: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rPr>
              <w:t>Aumento della produzione e della produttività delle colture e del bestiame (del 15 %).</w:t>
            </w:r>
          </w:p>
        </w:tc>
        <w:tc>
          <w:tcPr>
            <w:tcW w:w="2182" w:type="dxa"/>
            <w:tcBorders>
              <w:top w:val="nil"/>
              <w:bottom w:val="single" w:sz="4" w:space="0" w:color="auto"/>
            </w:tcBorders>
          </w:tcPr>
          <w:p>
            <w:pPr>
              <w:spacing w:before="40" w:after="40"/>
              <w:jc w:val="left"/>
              <w:rPr>
                <w:rFonts w:eastAsia="Times New Roman"/>
                <w:noProof/>
                <w:sz w:val="20"/>
                <w:szCs w:val="20"/>
              </w:rPr>
            </w:pPr>
            <w:r>
              <w:rPr>
                <w:noProof/>
                <w:sz w:val="20"/>
              </w:rPr>
              <w:t>Aumento della produzione e della produttività delle colture e del bestiame (del 25%).</w:t>
            </w:r>
          </w:p>
        </w:tc>
        <w:tc>
          <w:tcPr>
            <w:tcW w:w="2183" w:type="dxa"/>
            <w:tcBorders>
              <w:top w:val="nil"/>
              <w:bottom w:val="single" w:sz="4" w:space="0" w:color="auto"/>
            </w:tcBorders>
          </w:tcPr>
          <w:p>
            <w:pPr>
              <w:spacing w:before="40" w:after="40"/>
              <w:jc w:val="left"/>
              <w:rPr>
                <w:rFonts w:eastAsia="Times New Roman"/>
                <w:noProof/>
                <w:sz w:val="20"/>
                <w:szCs w:val="20"/>
              </w:rPr>
            </w:pPr>
            <w:r>
              <w:rPr>
                <w:noProof/>
                <w:sz w:val="20"/>
              </w:rPr>
              <w:t>Aumento della produzione e della produttività delle colture e del bestiame (del 30 %).</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della sicurezza alimentare a livello regionale.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 volume delle esportazioni agricole.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 produzione agricola nella regione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Soppressione degli ostacoli non tariffari nell'EAC.</w:t>
            </w:r>
          </w:p>
        </w:tc>
      </w:tr>
      <w:tr>
        <w:trPr>
          <w:trHeight w:val="1353"/>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Aumentare la produzione e la produttività dei capi di bestiame (bovini, ovini, caprini, suini, pollame) partendo rispettivamente da 56,6 milioni, 32,3 milioni, 61,9 milioni, 7,9 milioni e 143 milioni.</w:t>
            </w:r>
          </w:p>
        </w:tc>
        <w:tc>
          <w:tcPr>
            <w:tcW w:w="2126" w:type="dxa"/>
            <w:tcBorders>
              <w:top w:val="single" w:sz="4" w:space="0" w:color="auto"/>
              <w:bottom w:val="single" w:sz="4" w:space="0" w:color="auto"/>
            </w:tcBorders>
          </w:tcPr>
          <w:p>
            <w:pPr>
              <w:spacing w:before="40" w:after="40"/>
              <w:ind w:left="-20"/>
              <w:rPr>
                <w:rFonts w:eastAsia="Calibri"/>
                <w:noProof/>
                <w:sz w:val="20"/>
                <w:szCs w:val="20"/>
              </w:rPr>
            </w:pPr>
            <w:r>
              <w:rPr>
                <w:noProof/>
                <w:sz w:val="20"/>
              </w:rPr>
              <w:t>Aumento della produzione e della produttività del bestiame (del 10% per i bovini, del 25% per gli ovini, del 4% per i caprini, del 20% per i suini e del 10% per il pollame).</w:t>
            </w:r>
          </w:p>
        </w:tc>
        <w:tc>
          <w:tcPr>
            <w:tcW w:w="2182" w:type="dxa"/>
            <w:tcBorders>
              <w:top w:val="single" w:sz="4" w:space="0" w:color="auto"/>
              <w:bottom w:val="single" w:sz="4" w:space="0" w:color="auto"/>
            </w:tcBorders>
          </w:tcPr>
          <w:p>
            <w:pPr>
              <w:autoSpaceDE w:val="0"/>
              <w:autoSpaceDN w:val="0"/>
              <w:adjustRightInd w:val="0"/>
              <w:spacing w:before="40" w:after="40"/>
              <w:ind w:left="66"/>
              <w:jc w:val="left"/>
              <w:rPr>
                <w:rFonts w:eastAsia="Times New Roman"/>
                <w:noProof/>
                <w:sz w:val="20"/>
                <w:szCs w:val="20"/>
              </w:rPr>
            </w:pPr>
            <w:r>
              <w:rPr>
                <w:noProof/>
                <w:sz w:val="20"/>
              </w:rPr>
              <w:t>Aumento della produzione e della produttività del bestiame (del 15% per i bovini, del 30% per gli ovini, del 10% per i caprini, del 25% per i suini e del 15% per il pollame).</w:t>
            </w: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Aumento della produzione e della produttività del bestiame (del 20% per i bovini, del 35% per gli ovini, del 15% per i caprini, del 30% per i suini e del 20% per il pollame).</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della sicurezza alimentare a livello regionale.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 produzione di bestiame nella regione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 volume delle esportazioni di bestiame.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Migliorare e sviluppare l'industria agroalimentare (creazione di valore aggiunto).</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La percentuale delle esportazioni a valore aggiunto è attualmente inferiore al 10%.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color w:val="000000"/>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Aumento della percentuale delle esportazioni a valore aggiunto fino a raggiungere almeno il 20%. </w:t>
            </w:r>
          </w:p>
          <w:p>
            <w:pPr>
              <w:spacing w:before="40" w:after="40"/>
              <w:jc w:val="left"/>
              <w:rPr>
                <w:rFonts w:eastAsia="Times New Roman"/>
                <w:noProof/>
                <w:sz w:val="20"/>
                <w:szCs w:val="20"/>
              </w:rPr>
            </w:pPr>
          </w:p>
        </w:tc>
        <w:tc>
          <w:tcPr>
            <w:tcW w:w="2182"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Aumento della percentuale delle esportazioni a valore aggiunto fino a raggiungere almeno il 50%. </w:t>
            </w:r>
          </w:p>
          <w:p>
            <w:pPr>
              <w:spacing w:before="40" w:after="40"/>
              <w:jc w:val="left"/>
              <w:rPr>
                <w:rFonts w:eastAsia="Times New Roman"/>
                <w:noProof/>
                <w:sz w:val="20"/>
                <w:szCs w:val="20"/>
              </w:rPr>
            </w:pP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Aumento della percentuale delle esportazioni a valore aggiunto fino a raggiungere almeno il 75%. </w:t>
            </w:r>
          </w:p>
          <w:p>
            <w:pPr>
              <w:spacing w:before="40" w:after="40"/>
              <w:jc w:val="left"/>
              <w:rPr>
                <w:rFonts w:eastAsia="Times New Roman"/>
                <w:noProof/>
                <w:sz w:val="20"/>
                <w:szCs w:val="20"/>
              </w:rPr>
            </w:pP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551" w:type="dxa"/>
            <w:tcBorders>
              <w:top w:val="single" w:sz="4" w:space="0" w:color="auto"/>
              <w:bottom w:val="single" w:sz="4" w:space="0" w:color="auto"/>
              <w:right w:val="single" w:sz="24" w:space="0" w:color="000000"/>
            </w:tcBorders>
          </w:tcPr>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delle esportazioni di prodotti primari a valore aggiunto rispetto al totale delle esportazioni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Numero di industrie moderne e competitive create nel settore agricolo. </w:t>
            </w:r>
          </w:p>
          <w:p>
            <w:pPr>
              <w:autoSpaceDE w:val="0"/>
              <w:autoSpaceDN w:val="0"/>
              <w:adjustRightInd w:val="0"/>
              <w:spacing w:before="40" w:after="40"/>
              <w:jc w:val="left"/>
              <w:rPr>
                <w:rFonts w:eastAsia="Times New Roman"/>
                <w:noProof/>
                <w:sz w:val="20"/>
                <w:szCs w:val="20"/>
              </w:rPr>
            </w:pPr>
          </w:p>
        </w:tc>
      </w:tr>
      <w:tr>
        <w:trPr>
          <w:trHeight w:val="914"/>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val="restart"/>
            <w:tcBorders>
              <w:top w:val="single" w:sz="4" w:space="0" w:color="auto"/>
            </w:tcBorders>
          </w:tcPr>
          <w:p>
            <w:pPr>
              <w:spacing w:before="40" w:after="40"/>
              <w:jc w:val="left"/>
              <w:rPr>
                <w:rFonts w:eastAsia="Times New Roman"/>
                <w:noProof/>
                <w:sz w:val="20"/>
                <w:szCs w:val="20"/>
                <w:highlight w:val="yellow"/>
              </w:rPr>
            </w:pPr>
            <w:r>
              <w:rPr>
                <w:noProof/>
                <w:sz w:val="20"/>
              </w:rPr>
              <w:t>Migliorare gli scambi e l'accesso al mercato per i prodotti agricoli di base.</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highlight w:val="yellow"/>
              </w:rPr>
            </w:pPr>
            <w:r>
              <w:rPr>
                <w:noProof/>
                <w:sz w:val="20"/>
              </w:rPr>
              <w:t xml:space="preserve">Per la maggior parte dei prodotti oggetto di scambio, gli scambi intraregionali rappresentano attualmente circa il 10% del totale degli scambi sul mercato regionale. </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della quota del commercio intraregionale fino al 30%. </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 quota del commercio intraregionale fino al 50 %.</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 quota del commercio intraregionale fino all'80%.</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 contributo delle esportazioni agricole al PIL (in %).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Pr>
          <w:p>
            <w:pPr>
              <w:spacing w:before="40" w:after="40"/>
              <w:ind w:left="360"/>
              <w:jc w:val="left"/>
              <w:rPr>
                <w:rFonts w:eastAsia="Times New Roman"/>
                <w:noProof/>
                <w:color w:val="000000"/>
                <w:sz w:val="20"/>
                <w:szCs w:val="20"/>
              </w:rPr>
            </w:pPr>
          </w:p>
        </w:tc>
        <w:tc>
          <w:tcPr>
            <w:tcW w:w="2268" w:type="dxa"/>
            <w:vMerge/>
          </w:tcPr>
          <w:p>
            <w:pPr>
              <w:autoSpaceDE w:val="0"/>
              <w:autoSpaceDN w:val="0"/>
              <w:adjustRightInd w:val="0"/>
              <w:spacing w:before="40" w:after="40"/>
              <w:jc w:val="left"/>
              <w:rPr>
                <w:rFonts w:eastAsia="Times New Roman"/>
                <w:noProof/>
                <w:color w:val="000000"/>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Potenziare lo sviluppo dei mercati finanziari per sostenere le assicurazioni e i finanziamenti a favore dell'agricoltura (del 30%).</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Potenziare lo sviluppo dei mercati finanziari per sostenere le assicurazioni e i finanziamenti a favore dell'agricoltura (del 50%).</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Potenziare lo sviluppo dei mercati finanziari per sostenere le assicurazioni e i finanziamenti a favore dell'agricoltura (dell'80%).</w:t>
            </w: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istituzioni finanziarie e di regimi assicurativi istituiti.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Numero di investimenti assicurati nel settore agricolo.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Borders>
              <w:bottom w:val="single" w:sz="4" w:space="0" w:color="auto"/>
            </w:tcBorders>
          </w:tcPr>
          <w:p>
            <w:pPr>
              <w:spacing w:before="40" w:after="40"/>
              <w:ind w:left="360"/>
              <w:jc w:val="left"/>
              <w:rPr>
                <w:rFonts w:eastAsia="Times New Roman"/>
                <w:noProof/>
                <w:color w:val="000000"/>
                <w:sz w:val="20"/>
                <w:szCs w:val="20"/>
              </w:rPr>
            </w:pPr>
          </w:p>
        </w:tc>
        <w:tc>
          <w:tcPr>
            <w:tcW w:w="2268" w:type="dxa"/>
            <w:vMerge/>
            <w:tcBorders>
              <w:bottom w:val="single" w:sz="4" w:space="0" w:color="auto"/>
            </w:tcBorders>
          </w:tcPr>
          <w:p>
            <w:pPr>
              <w:spacing w:before="40" w:after="40"/>
              <w:jc w:val="left"/>
              <w:rPr>
                <w:rFonts w:eastAsia="Times New Roman"/>
                <w:noProof/>
                <w:sz w:val="20"/>
                <w:szCs w:val="20"/>
              </w:rPr>
            </w:pP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Istituzione e coordinamento di un sistema regionale di informazioni commerciali. </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Miglioramento della copertura del sistema di informazioni commerciali (del 20%).</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Miglioramento della copertura del sistema di informazioni commerciali (del 100%).</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Investimenti nella ricerca e nello sviluppo.</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Sistema regionale di informazioni commerciali agricole operativo.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Armonizzazione delle norme agricole nell'EAC.</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Garanzia della qualità, livelli di qualità e certificazione.</w:t>
            </w:r>
          </w:p>
        </w:tc>
      </w:tr>
      <w:tr>
        <w:trPr>
          <w:trHeight w:val="2855"/>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Migliorare e sviluppare le infrastrutture agricole. </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Le infrastrutture di mercato sono inadeguate. </w:t>
            </w: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Costruire nuove infrastrutture di mercato e potenziare quelle esistenti, riconvertendone il 20% in impianti moderni.</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Il 40% delle infrastrutture di mercato riconvertito in impianti moderni.</w:t>
            </w:r>
          </w:p>
        </w:tc>
        <w:tc>
          <w:tcPr>
            <w:tcW w:w="2183"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Il 100% delle infrastrutture di mercato riconvertito in impianti moderni.</w:t>
            </w:r>
          </w:p>
        </w:tc>
        <w:tc>
          <w:tcPr>
            <w:tcW w:w="2551" w:type="dxa"/>
            <w:tcBorders>
              <w:top w:val="single" w:sz="4" w:space="0" w:color="auto"/>
              <w:bottom w:val="single" w:sz="4" w:space="0" w:color="auto"/>
              <w:right w:val="single" w:sz="24" w:space="0" w:color="000000"/>
            </w:tcBorders>
          </w:tcPr>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rPr>
              <w:t xml:space="preserve">Numero di strutture di mercato per i prodotti agricoli costruite e riqualificate. </w:t>
            </w:r>
          </w:p>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rPr>
              <w:t>Infrastrutture di mercato create e riconvertite.</w:t>
            </w:r>
          </w:p>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rPr>
              <w:t>Aumento del volume e del valore degli scambi intra EAC realizzati grazie alle strutture create (in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r>
      <w:tr>
        <w:trPr>
          <w:trHeight w:val="268"/>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rPr>
            </w:pPr>
            <w:r>
              <w:rPr>
                <w:b/>
                <w:noProof/>
                <w:sz w:val="20"/>
                <w:u w:val="single"/>
              </w:rPr>
              <w:t>PESCA</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Promuovere e sviluppare il commercio regionale e internazionale di pesce e prodotti a base di pesce.</w:t>
            </w: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Il settore della pesca è sottosviluppato.</w:t>
            </w:r>
          </w:p>
          <w:p>
            <w:pPr>
              <w:spacing w:before="40" w:after="40"/>
              <w:jc w:val="left"/>
              <w:rPr>
                <w:rFonts w:eastAsia="Times New Roman"/>
                <w:noProof/>
                <w:sz w:val="20"/>
                <w:szCs w:val="20"/>
              </w:rPr>
            </w:pPr>
            <w:r>
              <w:rPr>
                <w:noProof/>
                <w:sz w:val="20"/>
              </w:rPr>
              <w:t>La quota del PIL spettante alle attività della pesca a valore aggiunto è dell'1,3%.</w:t>
            </w: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Aumento della quota del PIL spettante alle attività della pesca a valore aggiunto fino a raggiungere il 4%. </w:t>
            </w:r>
          </w:p>
          <w:p>
            <w:pPr>
              <w:spacing w:before="40" w:after="40"/>
              <w:jc w:val="left"/>
              <w:rPr>
                <w:rFonts w:eastAsia="Times New Roman"/>
                <w:noProof/>
                <w:sz w:val="20"/>
                <w:szCs w:val="20"/>
              </w:rPr>
            </w:pPr>
          </w:p>
          <w:p>
            <w:pPr>
              <w:spacing w:before="40" w:after="40"/>
              <w:jc w:val="left"/>
              <w:rPr>
                <w:rFonts w:eastAsia="Times New Roman"/>
                <w:noProof/>
                <w:sz w:val="20"/>
                <w:szCs w:val="20"/>
              </w:rPr>
            </w:pPr>
            <w:r>
              <w:rPr>
                <w:noProof/>
                <w:sz w:val="20"/>
              </w:rPr>
              <w:t>Aumento del 30% della quantità di pesce e di prodotti della pesca commercializzati.</w:t>
            </w:r>
          </w:p>
        </w:tc>
        <w:tc>
          <w:tcPr>
            <w:tcW w:w="2182"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Aumento della quota del PIL spettante alle attività della pesca a valore aggiunto fino a raggiungere il 6%. </w:t>
            </w:r>
          </w:p>
          <w:p>
            <w:pPr>
              <w:spacing w:before="40" w:after="40"/>
              <w:jc w:val="left"/>
              <w:rPr>
                <w:rFonts w:eastAsia="Times New Roman"/>
                <w:noProof/>
                <w:sz w:val="20"/>
                <w:szCs w:val="20"/>
              </w:rPr>
            </w:pPr>
            <w:r>
              <w:rPr>
                <w:noProof/>
                <w:sz w:val="20"/>
              </w:rPr>
              <w:t>Aumento del 60% della quantità di pesce e di prodotti della pesca commercializzati.</w:t>
            </w: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Aumento della quota del PIL spettante alle attività della pesca a valore aggiunto fino a raggiungere il 13%. </w:t>
            </w:r>
          </w:p>
          <w:p>
            <w:pPr>
              <w:autoSpaceDE w:val="0"/>
              <w:autoSpaceDN w:val="0"/>
              <w:adjustRightInd w:val="0"/>
              <w:spacing w:before="40" w:after="40"/>
              <w:jc w:val="left"/>
              <w:rPr>
                <w:rFonts w:eastAsia="Times New Roman"/>
                <w:noProof/>
                <w:sz w:val="20"/>
                <w:szCs w:val="20"/>
              </w:rPr>
            </w:pPr>
            <w:r>
              <w:rPr>
                <w:noProof/>
                <w:sz w:val="20"/>
              </w:rPr>
              <w:t>Aumento dell'85% della quantità di pesce e di prodotti della pesca commercializzati.</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della quota del PIL spettante alle attività della pesca a valore aggiunto (in %).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 quantità di pesce e prodotti della pesca, prodotti e commercializzati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 numero di nuovi punti di distribuzione del pesce.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 numero di mercati sicuri.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nil"/>
            </w:tcBorders>
          </w:tcPr>
          <w:p>
            <w:pPr>
              <w:spacing w:before="40" w:after="40"/>
              <w:jc w:val="left"/>
              <w:rPr>
                <w:rFonts w:eastAsia="Times New Roman"/>
                <w:noProof/>
                <w:sz w:val="20"/>
                <w:szCs w:val="20"/>
              </w:rPr>
            </w:pPr>
            <w:r>
              <w:rPr>
                <w:noProof/>
                <w:sz w:val="20"/>
              </w:rPr>
              <w:t>Sviluppare, potenziare e ammodernare le infrastrutture della pesca e dell'acquacoltura.</w:t>
            </w:r>
          </w:p>
        </w:tc>
        <w:tc>
          <w:tcPr>
            <w:tcW w:w="2268"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rPr>
            </w:pPr>
            <w:r>
              <w:rPr>
                <w:noProof/>
                <w:sz w:val="20"/>
              </w:rPr>
              <w:t>Le infrastrutture moderne del settore della pesca sono inadeguate.</w:t>
            </w:r>
          </w:p>
        </w:tc>
        <w:tc>
          <w:tcPr>
            <w:tcW w:w="2126"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rPr>
            </w:pPr>
            <w:r>
              <w:rPr>
                <w:noProof/>
                <w:sz w:val="20"/>
              </w:rPr>
              <w:t>Potenziamento e ammodernamento delle strutture esistenti per la pesca e per la manipolazione e la trasformazione del pesce.</w:t>
            </w:r>
          </w:p>
        </w:tc>
        <w:tc>
          <w:tcPr>
            <w:tcW w:w="2182" w:type="dxa"/>
            <w:tcBorders>
              <w:top w:val="single" w:sz="4" w:space="0" w:color="auto"/>
              <w:bottom w:val="single" w:sz="4" w:space="0" w:color="auto"/>
            </w:tcBorders>
          </w:tcPr>
          <w:p>
            <w:pPr>
              <w:tabs>
                <w:tab w:val="left" w:pos="0"/>
                <w:tab w:val="left" w:pos="34"/>
              </w:tabs>
              <w:autoSpaceDE w:val="0"/>
              <w:autoSpaceDN w:val="0"/>
              <w:adjustRightInd w:val="0"/>
              <w:spacing w:before="40" w:after="40"/>
              <w:ind w:left="34"/>
              <w:jc w:val="left"/>
              <w:rPr>
                <w:rFonts w:eastAsia="Times New Roman"/>
                <w:noProof/>
                <w:sz w:val="20"/>
                <w:szCs w:val="20"/>
              </w:rPr>
            </w:pPr>
            <w:r>
              <w:rPr>
                <w:noProof/>
                <w:sz w:val="20"/>
              </w:rPr>
              <w:t>Creazione di nuove e moderne infrastrutture per la pesca dotate di:</w:t>
            </w:r>
          </w:p>
          <w:p>
            <w:pPr>
              <w:numPr>
                <w:ilvl w:val="0"/>
                <w:numId w:val="29"/>
              </w:numPr>
              <w:autoSpaceDE w:val="0"/>
              <w:autoSpaceDN w:val="0"/>
              <w:adjustRightInd w:val="0"/>
              <w:spacing w:before="40" w:after="40"/>
              <w:ind w:left="196" w:hanging="304"/>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3 porti di pesca;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15 nuovi cantieri nautici;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200 luoghi di sbarco;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30 nuovi mercati ittici;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15 industrie di trasformazione del pesce; e</w:t>
            </w:r>
          </w:p>
          <w:p>
            <w:pPr>
              <w:numPr>
                <w:ilvl w:val="0"/>
                <w:numId w:val="29"/>
              </w:numPr>
              <w:tabs>
                <w:tab w:val="left" w:pos="176"/>
              </w:tabs>
              <w:autoSpaceDE w:val="0"/>
              <w:autoSpaceDN w:val="0"/>
              <w:adjustRightInd w:val="0"/>
              <w:spacing w:before="40" w:after="40"/>
              <w:ind w:left="196" w:hanging="196"/>
              <w:jc w:val="left"/>
              <w:rPr>
                <w:rFonts w:eastAsia="Times New Roman"/>
                <w:noProof/>
                <w:sz w:val="20"/>
                <w:szCs w:val="20"/>
              </w:rPr>
            </w:pPr>
            <w:r>
              <w:rPr>
                <w:noProof/>
                <w:sz w:val="20"/>
              </w:rPr>
              <w:t>300 impianti della catena del freddo.</w:t>
            </w:r>
          </w:p>
          <w:p>
            <w:pPr>
              <w:tabs>
                <w:tab w:val="left" w:pos="176"/>
              </w:tabs>
              <w:autoSpaceDE w:val="0"/>
              <w:autoSpaceDN w:val="0"/>
              <w:adjustRightInd w:val="0"/>
              <w:spacing w:before="40" w:after="40"/>
              <w:jc w:val="left"/>
              <w:rPr>
                <w:rFonts w:eastAsia="Times New Roman"/>
                <w:noProof/>
                <w:sz w:val="20"/>
                <w:szCs w:val="20"/>
              </w:rPr>
            </w:pPr>
          </w:p>
          <w:p>
            <w:pPr>
              <w:tabs>
                <w:tab w:val="left" w:pos="743"/>
              </w:tabs>
              <w:autoSpaceDE w:val="0"/>
              <w:autoSpaceDN w:val="0"/>
              <w:adjustRightInd w:val="0"/>
              <w:spacing w:before="40" w:after="40"/>
              <w:jc w:val="left"/>
              <w:rPr>
                <w:rFonts w:eastAsia="Times New Roman"/>
                <w:noProof/>
                <w:sz w:val="20"/>
                <w:szCs w:val="20"/>
              </w:rPr>
            </w:pPr>
            <w:r>
              <w:rPr>
                <w:noProof/>
                <w:sz w:val="20"/>
              </w:rPr>
              <w:t>Aumento del 40% del volume di pesca nelle acque interne e d'alto mare.</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 60% del volume di pesca nelle acque interne e d'alto mare.</w:t>
            </w:r>
          </w:p>
          <w:p>
            <w:pPr>
              <w:numPr>
                <w:ilvl w:val="0"/>
                <w:numId w:val="29"/>
              </w:numPr>
              <w:autoSpaceDE w:val="0"/>
              <w:autoSpaceDN w:val="0"/>
              <w:adjustRightInd w:val="0"/>
              <w:spacing w:before="40" w:after="40"/>
              <w:ind w:hanging="196"/>
              <w:jc w:val="left"/>
              <w:rPr>
                <w:rFonts w:eastAsia="Times New Roman"/>
                <w:noProof/>
                <w:sz w:val="20"/>
                <w:szCs w:val="20"/>
              </w:rPr>
            </w:pPr>
            <w:r>
              <w:rPr>
                <w:noProof/>
                <w:sz w:val="20"/>
              </w:rPr>
              <w:t xml:space="preserve">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5 nuovi porti di pesca;</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25 nuovi cantieri nautici;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400 luoghi di sbarco;</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rPr>
              <w:t xml:space="preserve">60 nuovi mercati ittici; </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rPr>
              <w:t xml:space="preserve">40 industrie di trasformazione del pesce; </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rPr>
              <w:t xml:space="preserve">500 impianti della catena del freddo. </w:t>
            </w:r>
          </w:p>
          <w:p>
            <w:pPr>
              <w:tabs>
                <w:tab w:val="left" w:pos="185"/>
              </w:tabs>
              <w:autoSpaceDE w:val="0"/>
              <w:autoSpaceDN w:val="0"/>
              <w:adjustRightInd w:val="0"/>
              <w:spacing w:before="40" w:after="40"/>
              <w:ind w:left="196"/>
              <w:jc w:val="left"/>
              <w:rPr>
                <w:rFonts w:eastAsia="Times New Roman"/>
                <w:noProof/>
                <w:sz w:val="20"/>
                <w:szCs w:val="20"/>
              </w:rPr>
            </w:pPr>
          </w:p>
          <w:p>
            <w:pPr>
              <w:tabs>
                <w:tab w:val="left" w:pos="185"/>
              </w:tabs>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strutture esistenti per la pesca e per la manipolazione e la trasformazione del pesce potenziate e ammodernate.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nuovi porti di pesca costruiti.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nuovi punti di sbarco costruiti.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 numero di licenze per la pesca nelle acque interne e d'alto mare.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 numero di impianti della catena del freddo. </w:t>
            </w:r>
          </w:p>
          <w:p>
            <w:pPr>
              <w:numPr>
                <w:ilvl w:val="0"/>
                <w:numId w:val="29"/>
              </w:numPr>
              <w:suppressAutoHyphens/>
              <w:autoSpaceDE w:val="0"/>
              <w:autoSpaceDN w:val="0"/>
              <w:adjustRightInd w:val="0"/>
              <w:spacing w:before="40" w:after="40"/>
              <w:ind w:left="196" w:hanging="196"/>
              <w:jc w:val="left"/>
              <w:rPr>
                <w:rFonts w:eastAsia="Times New Roman"/>
                <w:noProof/>
                <w:sz w:val="20"/>
                <w:szCs w:val="20"/>
              </w:rPr>
            </w:pPr>
            <w:r>
              <w:rPr>
                <w:noProof/>
                <w:sz w:val="20"/>
              </w:rPr>
              <w:t>Aumento del volume e dei tipi di pesce e prodotti della pesca diversificati a valore aggiunto.</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pescherecci moderni acquistati.</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auto"/>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Le infrastrutture moderne per l'acquacoltura sono inadeguate.</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Potenziare e ammodernare gli stabilimenti di acquacoltura, gli incubatoi e i centri di riproduzione esistenti in modo da aumentare la produzione dell'acquacoltura del 10%.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Adozione di tecnologie di acquacoltura appropriate.</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Ammodernare gli stabilimenti di acquacoltura, gli incubatoi e i centri di riproduzione in modo da aumentare la produzione dell'acquacoltura del 20%.</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 produzione dell'acquacoltura fino a raggiungere il 30% della produzione ittica.</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Numero di nuovi stabilimenti di acquacoltura costruiti.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Numero di incubatoi e centri di riproduzione costruiti.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Numero di stabilimenti di acquacoltura, incubatoi e centri di riproduzione esistenti che siano stati potenziati ed ammodernati.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Adozione e sviluppo di tecnologie di acquacoltura appropriate.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nil"/>
            </w:tcBorders>
          </w:tcPr>
          <w:p>
            <w:pPr>
              <w:autoSpaceDE w:val="0"/>
              <w:autoSpaceDN w:val="0"/>
              <w:adjustRightInd w:val="0"/>
              <w:spacing w:before="40" w:after="40"/>
              <w:jc w:val="left"/>
              <w:rPr>
                <w:rFonts w:eastAsia="Times New Roman"/>
                <w:noProof/>
                <w:sz w:val="20"/>
                <w:szCs w:val="20"/>
              </w:rPr>
            </w:pPr>
            <w:r>
              <w:rPr>
                <w:noProof/>
                <w:sz w:val="20"/>
              </w:rPr>
              <w:t>Garantire l'efficacia nella gestione, nella protezione e nella conservazione delle risorse della pesca.</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Esistono pochi dati sul potenziale degli stock ittici e scarse informazioni sulla pesca.</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26"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Sviluppo di un quadro strategico, giuridico e regolamentare per la condivisione di informazioni sulla pesca.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Determinazione del potenziale degli stock ittici nelle acque costiere e nei principali laghi.</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82"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Acquisto di strumenti per la raccolta, il trattamento e la diffusione di dati.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Determinazione del potenziale degli stock ittici nelle acque territoriali e della zona economica esclusiva.</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83"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Creazione di una banca dati e di un sistema di gestione delle informazioni sulla pesca completi, affidabili e operativi.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Determinazione del potenziale degli stock ittici nei corpi d'acqua marini e interni.</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p>
        </w:tc>
        <w:tc>
          <w:tcPr>
            <w:tcW w:w="2551" w:type="dxa"/>
            <w:vMerge w:val="restart"/>
            <w:tcBorders>
              <w:top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Sistema di informazione sulla pesca operativo.</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Banca dati sulla pesca istituita ed operativa.</w:t>
            </w:r>
          </w:p>
          <w:p>
            <w:pPr>
              <w:numPr>
                <w:ilvl w:val="0"/>
                <w:numId w:val="35"/>
              </w:numPr>
              <w:autoSpaceDE w:val="0"/>
              <w:autoSpaceDN w:val="0"/>
              <w:adjustRightInd w:val="0"/>
              <w:spacing w:before="40" w:after="40"/>
              <w:jc w:val="left"/>
              <w:rPr>
                <w:rFonts w:eastAsia="Times New Roman"/>
                <w:noProof/>
                <w:sz w:val="20"/>
                <w:szCs w:val="20"/>
              </w:rPr>
            </w:pPr>
            <w:r>
              <w:rPr>
                <w:noProof/>
                <w:sz w:val="20"/>
              </w:rPr>
              <w:t xml:space="preserve">Numero e tipo di attrezzature acquistate. Numero di pubblicazioni prodotte e diffuse. </w:t>
            </w:r>
          </w:p>
          <w:p>
            <w:pPr>
              <w:numPr>
                <w:ilvl w:val="0"/>
                <w:numId w:val="35"/>
              </w:numPr>
              <w:autoSpaceDE w:val="0"/>
              <w:autoSpaceDN w:val="0"/>
              <w:adjustRightInd w:val="0"/>
              <w:spacing w:before="40" w:after="40"/>
              <w:jc w:val="left"/>
              <w:rPr>
                <w:rFonts w:eastAsia="Times New Roman"/>
                <w:noProof/>
                <w:sz w:val="20"/>
                <w:szCs w:val="20"/>
              </w:rPr>
            </w:pPr>
            <w:r>
              <w:rPr>
                <w:noProof/>
                <w:sz w:val="20"/>
              </w:rPr>
              <w:t>Numero di corpi d'acqua con potenziale di stock ittici noto.</w:t>
            </w:r>
          </w:p>
          <w:p>
            <w:pPr>
              <w:autoSpaceDE w:val="0"/>
              <w:autoSpaceDN w:val="0"/>
              <w:adjustRightInd w:val="0"/>
              <w:spacing w:before="40" w:after="40"/>
              <w:ind w:left="196"/>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autoSpaceDE w:val="0"/>
              <w:autoSpaceDN w:val="0"/>
              <w:adjustRightInd w:val="0"/>
              <w:spacing w:before="40" w:after="40"/>
              <w:jc w:val="left"/>
              <w:rPr>
                <w:rFonts w:eastAsia="Times New Roman"/>
                <w:noProof/>
                <w:sz w:val="20"/>
                <w:szCs w:val="20"/>
              </w:rPr>
            </w:pPr>
          </w:p>
        </w:tc>
        <w:tc>
          <w:tcPr>
            <w:tcW w:w="2268"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26"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82"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83" w:type="dxa"/>
            <w:vMerge/>
            <w:tcBorders>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p>
        </w:tc>
        <w:tc>
          <w:tcPr>
            <w:tcW w:w="2551" w:type="dxa"/>
            <w:vMerge/>
            <w:tcBorders>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autoSpaceDE w:val="0"/>
              <w:autoSpaceDN w:val="0"/>
              <w:adjustRightInd w:val="0"/>
              <w:spacing w:before="40" w:after="40"/>
              <w:jc w:val="left"/>
              <w:rPr>
                <w:rFonts w:eastAsia="Times New Roman"/>
                <w:noProof/>
                <w:sz w:val="20"/>
                <w:szCs w:val="20"/>
              </w:rPr>
            </w:pPr>
          </w:p>
        </w:tc>
        <w:tc>
          <w:tcPr>
            <w:tcW w:w="2268"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Disponibilità di informazioni sulle pratiche di pesca illegali e sul commercio illegale.</w:t>
            </w:r>
          </w:p>
        </w:tc>
        <w:tc>
          <w:tcPr>
            <w:tcW w:w="2126"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 xml:space="preserve">Istituzione di un sistema di monitoraggio, controllo e sorveglianza (MCS) a livello regionale. </w:t>
            </w:r>
          </w:p>
        </w:tc>
        <w:tc>
          <w:tcPr>
            <w:tcW w:w="2182"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Operatività dei sistemi MCS a livello regionale.</w:t>
            </w:r>
          </w:p>
        </w:tc>
        <w:tc>
          <w:tcPr>
            <w:tcW w:w="2183"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Protezione e conservazione degli habitat critici e della biodiversità acquatica.</w:t>
            </w: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Riduzione della pesca e delle pratiche commerciali illegali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habitat critici migliorati.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e tipo di specie ittiche in pericolo o minacciate che sono state conservate.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e tipo di apparecchiature MCS acquistate.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Miglioramento della biodiversità acquatica.</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bCs/>
                <w:noProof/>
                <w:sz w:val="20"/>
                <w:szCs w:val="20"/>
                <w:u w:val="single"/>
              </w:rPr>
            </w:pPr>
            <w:r>
              <w:rPr>
                <w:b/>
                <w:noProof/>
                <w:sz w:val="20"/>
                <w:u w:val="single"/>
              </w:rPr>
              <w:t xml:space="preserve">GESTIONE DELLE RISORSE IDRICHE </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Risorse idriche</w:t>
            </w: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rPr>
              <w:t xml:space="preserve">Potenziare l'uso e la gestione sostenibili delle risorse idriche nella regione. </w:t>
            </w:r>
          </w:p>
          <w:p>
            <w:pPr>
              <w:spacing w:before="40" w:after="40"/>
              <w:jc w:val="left"/>
              <w:rPr>
                <w:rFonts w:eastAsia="Times New Roman"/>
                <w:noProof/>
                <w:sz w:val="20"/>
                <w:szCs w:val="20"/>
              </w:rPr>
            </w:pPr>
          </w:p>
        </w:tc>
        <w:tc>
          <w:tcPr>
            <w:tcW w:w="2268" w:type="dxa"/>
            <w:tcBorders>
              <w:top w:val="nil"/>
              <w:bottom w:val="single" w:sz="4" w:space="0" w:color="auto"/>
            </w:tcBorders>
          </w:tcPr>
          <w:p>
            <w:pPr>
              <w:spacing w:before="40" w:after="40"/>
              <w:jc w:val="left"/>
              <w:rPr>
                <w:rFonts w:eastAsia="Calibri"/>
                <w:noProof/>
                <w:sz w:val="20"/>
                <w:szCs w:val="20"/>
              </w:rPr>
            </w:pPr>
            <w:r>
              <w:rPr>
                <w:noProof/>
                <w:sz w:val="20"/>
              </w:rPr>
              <w:t>L'uso dell'acqua per la produzione agricola nell'EAC è ridotto.</w:t>
            </w:r>
          </w:p>
        </w:tc>
        <w:tc>
          <w:tcPr>
            <w:tcW w:w="2126" w:type="dxa"/>
            <w:tcBorders>
              <w:top w:val="nil"/>
              <w:bottom w:val="single" w:sz="4" w:space="0" w:color="auto"/>
            </w:tcBorders>
          </w:tcPr>
          <w:p>
            <w:pPr>
              <w:tabs>
                <w:tab w:val="left" w:pos="1530"/>
              </w:tabs>
              <w:suppressAutoHyphens/>
              <w:autoSpaceDE w:val="0"/>
              <w:spacing w:before="40" w:after="40"/>
              <w:jc w:val="left"/>
              <w:rPr>
                <w:rFonts w:eastAsia="Times New Roman"/>
                <w:noProof/>
                <w:sz w:val="20"/>
                <w:szCs w:val="20"/>
              </w:rPr>
            </w:pPr>
            <w:r>
              <w:rPr>
                <w:noProof/>
                <w:sz w:val="20"/>
              </w:rPr>
              <w:t xml:space="preserve">Elaborazione di un quadro strategico, giuridico e regolamentare. </w:t>
            </w:r>
          </w:p>
        </w:tc>
        <w:tc>
          <w:tcPr>
            <w:tcW w:w="2182"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Avvio delle attività di sviluppo delle capacità. Sviluppo del quadro istituzionale. </w:t>
            </w:r>
          </w:p>
        </w:tc>
        <w:tc>
          <w:tcPr>
            <w:tcW w:w="2183"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Applicazione di criteri di sostenibilità nell'uso e nella gestione delle risorse idriche.</w:t>
            </w:r>
          </w:p>
        </w:tc>
        <w:tc>
          <w:tcPr>
            <w:tcW w:w="2551" w:type="dxa"/>
            <w:tcBorders>
              <w:top w:val="nil"/>
              <w:bottom w:val="single" w:sz="4" w:space="0" w:color="auto"/>
              <w:right w:val="single" w:sz="24" w:space="0" w:color="000000"/>
            </w:tcBorders>
          </w:tcPr>
          <w:p>
            <w:pPr>
              <w:spacing w:before="40" w:after="40"/>
              <w:ind w:left="21"/>
              <w:jc w:val="left"/>
              <w:rPr>
                <w:rFonts w:eastAsia="Times New Roman"/>
                <w:noProof/>
                <w:sz w:val="20"/>
                <w:szCs w:val="20"/>
              </w:rPr>
            </w:pPr>
            <w:r>
              <w:rPr>
                <w:noProof/>
                <w:sz w:val="20"/>
              </w:rPr>
              <w:t>Adozione di un quadro strategico, giuridico, regolamentare e istituzionale.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Sviluppare infrastrutture di approvvigionamento idrico per l'irrigazione e altri fini produttivi</w:t>
            </w:r>
          </w:p>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Le infrastrutture di approvvigionamento idrico per l'irrigazione sono limitate nella regione dell'EAC.</w:t>
            </w:r>
          </w:p>
        </w:tc>
        <w:tc>
          <w:tcPr>
            <w:tcW w:w="2126" w:type="dxa"/>
            <w:tcBorders>
              <w:top w:val="single" w:sz="4" w:space="0" w:color="auto"/>
              <w:bottom w:val="single" w:sz="4" w:space="0" w:color="auto"/>
            </w:tcBorders>
          </w:tcPr>
          <w:p>
            <w:pPr>
              <w:numPr>
                <w:ilvl w:val="0"/>
                <w:numId w:val="32"/>
              </w:numPr>
              <w:suppressAutoHyphens/>
              <w:autoSpaceDE w:val="0"/>
              <w:spacing w:before="40" w:after="40" w:line="276" w:lineRule="auto"/>
              <w:ind w:left="176" w:right="143" w:hanging="176"/>
              <w:jc w:val="left"/>
              <w:rPr>
                <w:rFonts w:eastAsia="Times New Roman"/>
                <w:noProof/>
                <w:sz w:val="20"/>
                <w:szCs w:val="20"/>
              </w:rPr>
            </w:pPr>
            <w:r>
              <w:rPr>
                <w:noProof/>
                <w:sz w:val="20"/>
              </w:rPr>
              <w:t>Avvio degli studi di fattibilità, dei progetti e degli appalti per le infrastrutture per l'approvvigionamento idrico.</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Almeno 5 sistemi di approvvigionamento idrico costruiti e resi operativi.</w:t>
            </w:r>
          </w:p>
        </w:tc>
        <w:tc>
          <w:tcPr>
            <w:tcW w:w="2183" w:type="dxa"/>
            <w:tcBorders>
              <w:top w:val="single" w:sz="4" w:space="0" w:color="auto"/>
              <w:bottom w:val="single" w:sz="4" w:space="0" w:color="auto"/>
            </w:tcBorders>
          </w:tcPr>
          <w:p>
            <w:pPr>
              <w:autoSpaceDE w:val="0"/>
              <w:autoSpaceDN w:val="0"/>
              <w:adjustRightInd w:val="0"/>
              <w:spacing w:before="40" w:after="40"/>
              <w:ind w:right="114" w:hanging="720"/>
              <w:jc w:val="left"/>
              <w:rPr>
                <w:rFonts w:eastAsia="Times New Roman"/>
                <w:noProof/>
                <w:sz w:val="20"/>
                <w:szCs w:val="20"/>
              </w:rPr>
            </w:pPr>
          </w:p>
          <w:p>
            <w:pPr>
              <w:numPr>
                <w:ilvl w:val="0"/>
                <w:numId w:val="33"/>
              </w:numPr>
              <w:autoSpaceDE w:val="0"/>
              <w:autoSpaceDN w:val="0"/>
              <w:adjustRightInd w:val="0"/>
              <w:spacing w:before="40" w:after="40"/>
              <w:ind w:left="152" w:right="114" w:hanging="152"/>
              <w:jc w:val="left"/>
              <w:rPr>
                <w:rFonts w:eastAsia="Times New Roman"/>
                <w:noProof/>
                <w:sz w:val="20"/>
                <w:szCs w:val="20"/>
              </w:rPr>
            </w:pPr>
            <w:r>
              <w:rPr>
                <w:noProof/>
                <w:sz w:val="20"/>
              </w:rPr>
              <w:t>Almeno 10 sistemi di approvvigionamento idrico costruiti e resi operativi.</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studi di fattibilità avviati.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sistemi di approvvigionamento idrico costruiti e resi operativi.</w:t>
            </w:r>
          </w:p>
        </w:tc>
      </w:tr>
      <w:tr>
        <w:trPr>
          <w:trHeight w:val="1533"/>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24" w:space="0" w:color="000000"/>
            </w:tcBorders>
          </w:tcPr>
          <w:p>
            <w:pPr>
              <w:spacing w:before="40" w:after="40"/>
              <w:jc w:val="left"/>
              <w:rPr>
                <w:rFonts w:eastAsia="Times New Roman"/>
                <w:noProof/>
                <w:sz w:val="20"/>
                <w:szCs w:val="20"/>
              </w:rPr>
            </w:pPr>
            <w:r>
              <w:rPr>
                <w:noProof/>
                <w:sz w:val="20"/>
              </w:rPr>
              <w:t>Promuovere la cooperazione regionale per un impiego sostenibile delle risorse idriche transfrontaliere.</w:t>
            </w:r>
          </w:p>
        </w:tc>
        <w:tc>
          <w:tcPr>
            <w:tcW w:w="2268" w:type="dxa"/>
            <w:tcBorders>
              <w:top w:val="single" w:sz="4" w:space="0" w:color="auto"/>
              <w:bottom w:val="single" w:sz="24" w:space="0" w:color="000000"/>
            </w:tcBorders>
          </w:tcPr>
          <w:p>
            <w:pPr>
              <w:spacing w:before="40" w:after="40"/>
              <w:jc w:val="left"/>
              <w:rPr>
                <w:rFonts w:eastAsia="Times New Roman"/>
                <w:noProof/>
                <w:sz w:val="20"/>
                <w:szCs w:val="20"/>
              </w:rPr>
            </w:pPr>
            <w:r>
              <w:rPr>
                <w:noProof/>
                <w:sz w:val="20"/>
              </w:rPr>
              <w:t xml:space="preserve">Cooperazione regionale attuata nell'EAC per l'uso delle risorse idriche comuni. </w:t>
            </w:r>
          </w:p>
        </w:tc>
        <w:tc>
          <w:tcPr>
            <w:tcW w:w="2126"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rPr>
            </w:pPr>
            <w:r>
              <w:rPr>
                <w:noProof/>
                <w:sz w:val="20"/>
              </w:rPr>
              <w:t>Riesame del quadro strategico, giuridico e regolamentare.</w:t>
            </w: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82"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rPr>
            </w:pPr>
            <w:r>
              <w:rPr>
                <w:noProof/>
                <w:sz w:val="20"/>
              </w:rPr>
              <w:t xml:space="preserve">Attività di sviluppo delle capacità in relazione al quadro istituzionale. </w:t>
            </w:r>
          </w:p>
        </w:tc>
        <w:tc>
          <w:tcPr>
            <w:tcW w:w="2183"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Operatività delle politiche.</w:t>
            </w:r>
          </w:p>
        </w:tc>
        <w:tc>
          <w:tcPr>
            <w:tcW w:w="2551" w:type="dxa"/>
            <w:tcBorders>
              <w:top w:val="single" w:sz="4" w:space="0" w:color="auto"/>
              <w:bottom w:val="single" w:sz="24" w:space="0" w:color="000000"/>
              <w:right w:val="single" w:sz="24" w:space="0" w:color="000000"/>
            </w:tcBorders>
          </w:tcPr>
          <w:p>
            <w:pPr>
              <w:spacing w:before="40" w:after="40"/>
              <w:ind w:left="21"/>
              <w:jc w:val="left"/>
              <w:rPr>
                <w:rFonts w:eastAsia="Calibri"/>
                <w:noProof/>
                <w:sz w:val="20"/>
                <w:szCs w:val="20"/>
              </w:rPr>
            </w:pPr>
            <w:r>
              <w:rPr>
                <w:noProof/>
                <w:sz w:val="20"/>
              </w:rPr>
              <w:t>Quadro strategico, giuridico, regolamentare e istituzionale in essere e operativo.</w:t>
            </w: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noProof/>
                <w:sz w:val="20"/>
                <w:szCs w:val="20"/>
                <w:u w:val="single"/>
              </w:rPr>
            </w:pPr>
            <w:r>
              <w:rPr>
                <w:b/>
                <w:noProof/>
                <w:sz w:val="20"/>
                <w:u w:val="single"/>
              </w:rPr>
              <w:t>SVILUPPO DEL SETTORE PRIVATO</w:t>
            </w:r>
          </w:p>
        </w:tc>
      </w:tr>
      <w:tr>
        <w:trPr>
          <w:trHeight w:val="184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val="restart"/>
            <w:tcBorders>
              <w:top w:val="nil"/>
            </w:tcBorders>
          </w:tcPr>
          <w:p>
            <w:pPr>
              <w:spacing w:before="40" w:after="40"/>
              <w:jc w:val="left"/>
              <w:rPr>
                <w:rFonts w:eastAsia="Times New Roman"/>
                <w:noProof/>
                <w:sz w:val="20"/>
                <w:szCs w:val="20"/>
              </w:rPr>
            </w:pPr>
            <w:r>
              <w:rPr>
                <w:noProof/>
                <w:sz w:val="20"/>
              </w:rPr>
              <w:t>Promuovere lo sviluppo del settore privato, gli investimenti, le capacità di offerta e la competitività.</w:t>
            </w:r>
          </w:p>
        </w:tc>
        <w:tc>
          <w:tcPr>
            <w:tcW w:w="2268"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Strategia di sviluppo del settore privato dell'EAC. </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Realizzazione delle pertinenti riforme dei quadri istituzionali, strategici, giuridici e regolamentari.</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(in %) delle micro, piccole e medie imprese integrate nelle attività commerciali tradizionali.</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(in %) del numero di imprese dell'EAC che esportano verso il mercato dell'UE prodotti fabbricati nella regione dell'EAC.</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Codice degli investimenti EAC operativo.</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Borders>
              <w:bottom w:val="nil"/>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Modello di codice degli investimenti EAC.</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Sviluppo della capacità di sostegno istituzionale a favore dello sviluppo del settore privato e della promozione degli investimenti.</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Creazione di nuove industrie e trasformazione di quelle esistenti.</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dei flussi di investimenti esteri diretti.</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Maggiore promozione degli investimenti e dello sviluppo imprenditoriale. </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Rafforzamento della capacità di approvvigionamento, della competitività, della diversificazione e della creazione di valore.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vMerge w:val="restart"/>
            <w:tcBorders>
              <w:top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Politica regionale della concorrenza.</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Elaborazione del quadro per la creazione e il rafforzamento di partenariati, joint venture, subappalti, esternalizzazioni e collegamenti.</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Miglioramento dell'accesso del settore privato dell'EAC alle risorse messe a disposizione dalle istituzioni finanziarie dell'UE, segnatamente BEI, CSI e CTA.</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 volume delle esportazioni e dei relativi proventi.</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Quadro strategico e regolamentare per i partenariati pubblico-privati.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degli investimenti esteri diretti (in %) e aumento dei partenariati istituiti (in %).</w:t>
            </w: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spacing w:before="40" w:after="40"/>
              <w:jc w:val="left"/>
              <w:rPr>
                <w:rFonts w:eastAsia="Times New Roman"/>
                <w:noProof/>
                <w:sz w:val="20"/>
                <w:szCs w:val="20"/>
              </w:rPr>
            </w:pPr>
          </w:p>
        </w:tc>
        <w:tc>
          <w:tcPr>
            <w:tcW w:w="2268" w:type="dxa"/>
            <w:vMerge/>
            <w:tcBorders>
              <w:bottom w:val="single" w:sz="24" w:space="0" w:color="000000"/>
            </w:tcBorders>
          </w:tcPr>
          <w:p>
            <w:pPr>
              <w:spacing w:before="40" w:after="40"/>
              <w:jc w:val="left"/>
              <w:rPr>
                <w:rFonts w:eastAsia="Times New Roman"/>
                <w:noProof/>
                <w:sz w:val="20"/>
                <w:szCs w:val="20"/>
              </w:rPr>
            </w:pPr>
          </w:p>
        </w:tc>
        <w:tc>
          <w:tcPr>
            <w:tcW w:w="2126"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Istituzione di strutture amministrative adeguate, compresi gli sportelli unici a sostegno degli investimenti.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Istituzione di un quadro per i partenariati pubblico-privati dell'EAC. </w:t>
            </w:r>
          </w:p>
          <w:p>
            <w:pPr>
              <w:spacing w:before="40" w:after="40"/>
              <w:ind w:left="196" w:hanging="196"/>
              <w:jc w:val="left"/>
              <w:rPr>
                <w:rFonts w:eastAsia="Times New Roman"/>
                <w:noProof/>
                <w:sz w:val="20"/>
                <w:szCs w:val="20"/>
              </w:rPr>
            </w:pPr>
          </w:p>
        </w:tc>
        <w:tc>
          <w:tcPr>
            <w:tcW w:w="2182"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Accesso al credito a condizioni ragionevoli e tassi di interesse più bassi.</w:t>
            </w:r>
          </w:p>
          <w:p>
            <w:pPr>
              <w:autoSpaceDE w:val="0"/>
              <w:autoSpaceDN w:val="0"/>
              <w:adjustRightInd w:val="0"/>
              <w:spacing w:before="40" w:after="40"/>
              <w:ind w:left="196" w:hanging="196"/>
              <w:jc w:val="left"/>
              <w:rPr>
                <w:rFonts w:eastAsia="Times New Roman"/>
                <w:noProof/>
                <w:sz w:val="20"/>
                <w:szCs w:val="20"/>
              </w:rPr>
            </w:pPr>
          </w:p>
        </w:tc>
        <w:tc>
          <w:tcPr>
            <w:tcW w:w="2183" w:type="dxa"/>
            <w:tcBorders>
              <w:top w:val="single" w:sz="4" w:space="0" w:color="auto"/>
              <w:bottom w:val="single" w:sz="24" w:space="0" w:color="000000"/>
            </w:tcBorders>
          </w:tcPr>
          <w:p>
            <w:pPr>
              <w:autoSpaceDE w:val="0"/>
              <w:autoSpaceDN w:val="0"/>
              <w:adjustRightInd w:val="0"/>
              <w:spacing w:before="40" w:after="40"/>
              <w:ind w:left="196" w:hanging="196"/>
              <w:jc w:val="left"/>
              <w:rPr>
                <w:rFonts w:eastAsia="Times New Roman"/>
                <w:noProof/>
                <w:sz w:val="20"/>
                <w:szCs w:val="20"/>
              </w:rPr>
            </w:pP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dei proventi annuali derivanti dalle esportazioni (in %).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dei finanziamenti erogati dalle istituzioni finanziarie dell'UE per gli investimenti e le attività commerciali.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Creazione di fondi speciali cui il settore privato può accedere per il finanziamento di progetti di investimento.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degli investimenti dell'UE nell'EAC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dell'utilizzo della capacità delle imprese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delle esportazioni dell'EAC verso il mercato dell'UE.</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u w:val="single"/>
              </w:rPr>
              <w:t>QUESTIONI RELATIVE ALL'ACCESSO AI MERCATI</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 xml:space="preserve">SPS, TBT </w:t>
            </w:r>
          </w:p>
        </w:tc>
        <w:tc>
          <w:tcPr>
            <w:tcW w:w="2126" w:type="dxa"/>
            <w:tcBorders>
              <w:top w:val="nil"/>
              <w:bottom w:val="nil"/>
            </w:tcBorders>
          </w:tcPr>
          <w:p>
            <w:pPr>
              <w:autoSpaceDE w:val="0"/>
              <w:autoSpaceDN w:val="0"/>
              <w:adjustRightInd w:val="0"/>
              <w:spacing w:before="40" w:after="40"/>
              <w:jc w:val="left"/>
              <w:rPr>
                <w:rFonts w:eastAsia="Times New Roman"/>
                <w:noProof/>
                <w:sz w:val="20"/>
                <w:szCs w:val="20"/>
              </w:rPr>
            </w:pPr>
            <w:r>
              <w:rPr>
                <w:noProof/>
                <w:sz w:val="20"/>
              </w:rPr>
              <w:t>Sviluppare le capacità necessarie per rispettare gli accordi commerciali.</w:t>
            </w:r>
          </w:p>
        </w:tc>
        <w:tc>
          <w:tcPr>
            <w:tcW w:w="2268"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Conclusione del protocollo SPS dell'EAC</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Attuazione del protocollo e delle misure SPS dell'EAC da parte di tutti gli Stati partner dell'EAC.</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Istituzione dei sistemi di identificazione, registrazione e tracciabilità dei prodotti agricoli.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 quota degli scambi intraregionali dell'EAC fino a raggiungere il 30%.</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Operatività del protocollo SPS dell'EAC.</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della quota degli scambi intraregionali dell'EAC fino a raggiungere il 50%. </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Istituzione di centri di eccellenza SPS per la sicurezza alimentare e per la salute di animali e piante.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 quota degli scambi intraregionali dell'EAC fino a raggiungere l'80%.</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Aumento della sicurezza alimentare, degli animali e delle piante medianti sistemi di allarme efficaci (in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della quota degli scambi intraregionali dell'EAC (in %). </w:t>
            </w:r>
          </w:p>
        </w:tc>
      </w:tr>
      <w:tr>
        <w:tc>
          <w:tcPr>
            <w:tcW w:w="2269" w:type="dxa"/>
            <w:tcBorders>
              <w:top w:val="nil"/>
              <w:left w:val="single" w:sz="24" w:space="0" w:color="000000"/>
              <w:bottom w:val="single" w:sz="4" w:space="0" w:color="000000"/>
            </w:tcBorders>
            <w:shd w:val="clear" w:color="auto" w:fill="auto"/>
          </w:tcPr>
          <w:p>
            <w:pPr>
              <w:autoSpaceDE w:val="0"/>
              <w:autoSpaceDN w:val="0"/>
              <w:adjustRightInd w:val="0"/>
              <w:spacing w:before="40" w:after="40"/>
              <w:jc w:val="left"/>
              <w:rPr>
                <w:rFonts w:eastAsia="Times New Roman"/>
                <w:noProof/>
                <w:sz w:val="20"/>
                <w:szCs w:val="20"/>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268" w:type="dxa"/>
            <w:tcBorders>
              <w:top w:val="single" w:sz="4" w:space="0" w:color="auto"/>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rPr>
              <w:t>1 500 norme dell'EAC armonizzate sulla base di parametri internazionali (su 2 500).</w:t>
            </w:r>
          </w:p>
        </w:tc>
        <w:tc>
          <w:tcPr>
            <w:tcW w:w="2126"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1 000 norme armonizzate.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Partecipazione dell'EAC agli organismi di normazione.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Sviluppo del sistema di regolamentazione tecnica dell'EAC.</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Istituzione di comitati congiunti di sorveglianza sugli ostacoli tecnici agli scambi entro due anni dall'attuazione dell'APE.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Sviluppo delle capacità relative alle infrastrutture materiali e immateriali relative a TBT e SPS, compresi: tracciabilità, ispezione, accreditamento, analisi dei rischi, norme e certificazione.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Armonizzazione e notifica dei regolamenti tecnici dell'EAC.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Scambio di informazioni.</w:t>
            </w:r>
          </w:p>
        </w:tc>
        <w:tc>
          <w:tcPr>
            <w:tcW w:w="2182"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Adozione di norme internazionali.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Certificazione di sistemi e prodotti.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Trasferimento di tecnologie.</w:t>
            </w:r>
          </w:p>
          <w:p>
            <w:pPr>
              <w:autoSpaceDE w:val="0"/>
              <w:autoSpaceDN w:val="0"/>
              <w:adjustRightInd w:val="0"/>
              <w:spacing w:before="40" w:after="40"/>
              <w:ind w:left="196"/>
              <w:jc w:val="left"/>
              <w:rPr>
                <w:rFonts w:eastAsia="Times New Roman"/>
                <w:noProof/>
                <w:sz w:val="20"/>
                <w:szCs w:val="20"/>
              </w:rPr>
            </w:pPr>
          </w:p>
        </w:tc>
        <w:tc>
          <w:tcPr>
            <w:tcW w:w="2183"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Accreditamento delle istituzioni di valutazione della conformità. </w:t>
            </w:r>
          </w:p>
        </w:tc>
        <w:tc>
          <w:tcPr>
            <w:tcW w:w="2551" w:type="dxa"/>
            <w:tcBorders>
              <w:top w:val="single" w:sz="4" w:space="0" w:color="auto"/>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Numero di ostacoli tecnici ridotti.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Prove e certificati di mutuo riconoscimento.</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Maggiore diffusione di informazioni mediante il portale dell'EAC. </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Dogane e agevolazione degli scambi commerciali</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Armonizzazione e attuazione della legislazione e delle procedure in materia doganale.</w:t>
            </w:r>
          </w:p>
        </w:tc>
        <w:tc>
          <w:tcPr>
            <w:tcW w:w="2268"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Adozione di una legge sulla gestione doganale nell'EAC.</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Tutti gli Stati partner dell'EAC sono membri dell'OMD.</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Avvio di attività di sviluppo delle capacità riguardanti i processi, i sistemi e le infrastrutture immateriali in materia doganale.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Riduzione dei tempi di espletamento delle procedure per le navi (da 11-14 giorni nel 2011 a 6 giorni nel 2017).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Riduzione a 4 giorni del tempo medio di sosta dei container carichi importati. </w:t>
            </w:r>
          </w:p>
        </w:tc>
        <w:tc>
          <w:tcPr>
            <w:tcW w:w="2182"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Armonizzazione dei processi e delle procedure doganali.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Istituzione di uno sportello unico ai posti di frontiera</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Riduzione a 3 giorni dei tempi per l'espletamento delle procedure per le navi.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Riduzione a 2 giorni del tempo medio di sosta dei container carichi importati.</w:t>
            </w:r>
          </w:p>
          <w:p>
            <w:pPr>
              <w:autoSpaceDE w:val="0"/>
              <w:autoSpaceDN w:val="0"/>
              <w:adjustRightInd w:val="0"/>
              <w:spacing w:before="40" w:after="40"/>
              <w:ind w:left="196"/>
              <w:jc w:val="left"/>
              <w:rPr>
                <w:rFonts w:eastAsia="Times New Roman"/>
                <w:noProof/>
                <w:sz w:val="20"/>
                <w:szCs w:val="20"/>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Riduzione a un giorno dei tempi di espletamento delle procedure presso i valichi di frontiera. </w:t>
            </w:r>
          </w:p>
          <w:p>
            <w:pPr>
              <w:autoSpaceDE w:val="0"/>
              <w:autoSpaceDN w:val="0"/>
              <w:adjustRightInd w:val="0"/>
              <w:spacing w:before="40" w:after="40"/>
              <w:ind w:left="196"/>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Riduzione a un giorno del tempo medio di sosta dei container carichi importati.</w:t>
            </w:r>
          </w:p>
          <w:p>
            <w:pPr>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Aumento del numero dei contenitori caricati/scaricati all'ora.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Ridurre i tempi per l'espletamento delle procedure per le navi.</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Piena armonizzazione e attuazione della legislazione e delle procedure doganali.</w:t>
            </w: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u w:val="single"/>
              </w:rPr>
              <w:t>COSTI DI ADEGUAMENTO ALL'APE</w:t>
            </w:r>
          </w:p>
        </w:tc>
      </w:tr>
      <w:tr>
        <w:tc>
          <w:tcPr>
            <w:tcW w:w="2269" w:type="dxa"/>
            <w:tcBorders>
              <w:top w:val="nil"/>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 xml:space="preserve">Misure di adeguamento all'APE </w:t>
            </w: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rPr>
              <w:t>Affrontare le sfide reali e potenziali di adeguamento all'APE derivanti dall'attuazione del medesimo.</w:t>
            </w:r>
          </w:p>
        </w:tc>
        <w:tc>
          <w:tcPr>
            <w:tcW w:w="2268" w:type="dxa"/>
            <w:tcBorders>
              <w:top w:val="nil"/>
              <w:bottom w:val="single" w:sz="4" w:space="0" w:color="000000"/>
            </w:tcBorders>
          </w:tcPr>
          <w:p>
            <w:pPr>
              <w:shd w:val="clear" w:color="auto" w:fill="FFFFFF"/>
              <w:spacing w:before="40" w:after="40"/>
              <w:jc w:val="left"/>
              <w:rPr>
                <w:rFonts w:eastAsia="Times New Roman"/>
                <w:noProof/>
                <w:sz w:val="20"/>
                <w:szCs w:val="20"/>
              </w:rPr>
            </w:pPr>
            <w:r>
              <w:rPr>
                <w:noProof/>
                <w:sz w:val="20"/>
              </w:rPr>
              <w:t>Assenza di un fondo di adeguamento all'APE.</w:t>
            </w: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Istituzione di un fondo di adeguamento all'APE per coprire in via transitoria la potenziale riduzione delle entrate pubbliche derivante dalla soppressione o dalla notevole riduzione dei dazi doganali.</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Avvio dello studio sulla valutazione di potenziali perdite di entrate pubbliche.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Compensazione delle perdite concordate.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Avvio della valutazione della compensazione per i NFIC.</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Avvio della valutazione della compensazione per le perdite di proventi derivanti dalle esportazioni nell'EAC.</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Rafforzamento della capacità di assicurare la stabilità macroeconomica.</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Importo dei fondi di adeguamento erogati per coprire le perdite di entrate pubbliche.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Conformità a indicatori macroeconomici (crescita del PIL superiore al 7%, sostenibilità del disavanzo di bilancio e dei tassi di inflazione).</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Mobilitazione delle risorse</w:t>
            </w:r>
          </w:p>
        </w:tc>
        <w:tc>
          <w:tcPr>
            <w:tcW w:w="2126" w:type="dxa"/>
            <w:tcBorders>
              <w:top w:val="single" w:sz="4" w:space="0" w:color="000000"/>
              <w:bottom w:val="single" w:sz="24" w:space="0" w:color="000000"/>
            </w:tcBorders>
          </w:tcPr>
          <w:p>
            <w:pPr>
              <w:widowControl w:val="0"/>
              <w:tabs>
                <w:tab w:val="left" w:pos="220"/>
                <w:tab w:val="left" w:pos="720"/>
              </w:tabs>
              <w:autoSpaceDE w:val="0"/>
              <w:autoSpaceDN w:val="0"/>
              <w:adjustRightInd w:val="0"/>
              <w:spacing w:before="0" w:after="240"/>
              <w:contextualSpacing/>
              <w:jc w:val="left"/>
              <w:rPr>
                <w:rFonts w:eastAsia="Times New Roman"/>
                <w:bCs/>
                <w:noProof/>
                <w:kern w:val="32"/>
                <w:sz w:val="20"/>
                <w:szCs w:val="20"/>
              </w:rPr>
            </w:pPr>
            <w:r>
              <w:rPr>
                <w:noProof/>
                <w:sz w:val="20"/>
              </w:rPr>
              <w:t xml:space="preserve"> Mobilitare i finanziamenti per l'integrazione regionale e per le strategie di sviluppo dell'APE a titolo individuale e congiunto.</w:t>
            </w:r>
          </w:p>
        </w:tc>
        <w:tc>
          <w:tcPr>
            <w:tcW w:w="2268" w:type="dxa"/>
            <w:tcBorders>
              <w:top w:val="single" w:sz="4" w:space="0" w:color="000000"/>
              <w:bottom w:val="single" w:sz="24" w:space="0" w:color="000000"/>
            </w:tcBorders>
          </w:tcPr>
          <w:p>
            <w:pPr>
              <w:tabs>
                <w:tab w:val="left" w:pos="993"/>
              </w:tabs>
              <w:spacing w:before="0" w:after="0"/>
              <w:jc w:val="left"/>
              <w:rPr>
                <w:rFonts w:eastAsia="Times New Roman"/>
                <w:noProof/>
                <w:sz w:val="20"/>
                <w:szCs w:val="20"/>
              </w:rPr>
            </w:pPr>
            <w:r>
              <w:rPr>
                <w:noProof/>
                <w:sz w:val="20"/>
              </w:rPr>
              <w:t xml:space="preserve">Contributi del FES, degli Stati membri dell'UE, di altri partner per lo sviluppo, del settore privato e degli Stati partner dell'EAC. </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Istituzione del fondo APE dell'EAC.</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Mobilitazione dei fondi a titolo individuale e congiunto.</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Realizzazione degli studi di fattibilità.</w:t>
            </w:r>
          </w:p>
        </w:tc>
        <w:tc>
          <w:tcPr>
            <w:tcW w:w="2182" w:type="dxa"/>
            <w:tcBorders>
              <w:top w:val="single" w:sz="4" w:space="0" w:color="000000"/>
              <w:bottom w:val="single" w:sz="24" w:space="0" w:color="000000"/>
            </w:tcBorders>
          </w:tcPr>
          <w:p>
            <w:pPr>
              <w:tabs>
                <w:tab w:val="left" w:pos="66"/>
              </w:tabs>
              <w:autoSpaceDE w:val="0"/>
              <w:autoSpaceDN w:val="0"/>
              <w:adjustRightInd w:val="0"/>
              <w:spacing w:before="40" w:after="40"/>
              <w:jc w:val="left"/>
              <w:rPr>
                <w:rFonts w:eastAsia="Times New Roman"/>
                <w:noProof/>
                <w:sz w:val="20"/>
                <w:szCs w:val="20"/>
              </w:rPr>
            </w:pPr>
            <w:r>
              <w:rPr>
                <w:noProof/>
                <w:sz w:val="20"/>
              </w:rPr>
              <w:t xml:space="preserve">Finanziamento e realizzazione dei progetti di sviluppo APE dell'EAC (contenuti nella matrice di sviluppo dell'APE). </w:t>
            </w:r>
          </w:p>
          <w:p>
            <w:pPr>
              <w:autoSpaceDE w:val="0"/>
              <w:autoSpaceDN w:val="0"/>
              <w:adjustRightInd w:val="0"/>
              <w:spacing w:before="40" w:after="40"/>
              <w:jc w:val="left"/>
              <w:rPr>
                <w:rFonts w:eastAsia="Times New Roman"/>
                <w:noProof/>
                <w:sz w:val="20"/>
                <w:szCs w:val="20"/>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Sviluppo delle infrastrutture connesse al commercio.</w:t>
            </w: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Importo delle risorse finanziarie impegnate dagli Stati partner dell'EAC, dall'UE, dagli Stati membri dell'UE, da altri partner per lo sviluppo e dal settore privato.</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Importo delle risorse utilizzate.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Numero di progetti e programmi attuati. </w:t>
            </w:r>
          </w:p>
        </w:tc>
      </w:tr>
    </w:tbl>
    <w:p>
      <w:pPr>
        <w:spacing w:before="0" w:after="0"/>
        <w:jc w:val="left"/>
        <w:rPr>
          <w:rFonts w:eastAsia="Times New Roman"/>
          <w:noProof/>
          <w:szCs w:val="24"/>
          <w:u w:val="single"/>
        </w:rPr>
      </w:pPr>
    </w:p>
    <w:p>
      <w:pPr>
        <w:spacing w:before="0" w:after="0"/>
        <w:jc w:val="center"/>
        <w:outlineLvl w:val="0"/>
        <w:rPr>
          <w:rFonts w:eastAsia="Times New Roman"/>
          <w:noProof/>
          <w:szCs w:val="24"/>
        </w:rPr>
      </w:pPr>
      <w:r>
        <w:rPr>
          <w:noProof/>
        </w:rPr>
        <w:t>Indice delle abbreviazioni utilizzate negli allegati III(a) e III(b)</w:t>
      </w:r>
    </w:p>
    <w:tbl>
      <w:tblPr>
        <w:tblStyle w:val="TableGrid"/>
        <w:tblW w:w="0" w:type="auto"/>
        <w:tblLook w:val="04A0" w:firstRow="1" w:lastRow="0" w:firstColumn="1" w:lastColumn="0" w:noHBand="0" w:noVBand="1"/>
      </w:tblPr>
      <w:tblGrid>
        <w:gridCol w:w="3510"/>
        <w:gridCol w:w="11278"/>
      </w:tblGrid>
      <w:tr>
        <w:tc>
          <w:tcPr>
            <w:tcW w:w="3510" w:type="dxa"/>
          </w:tcPr>
          <w:p>
            <w:pPr>
              <w:spacing w:before="0" w:after="0"/>
              <w:jc w:val="center"/>
              <w:outlineLvl w:val="0"/>
              <w:rPr>
                <w:noProof/>
                <w:sz w:val="20"/>
              </w:rPr>
            </w:pPr>
            <w:r>
              <w:rPr>
                <w:noProof/>
                <w:sz w:val="20"/>
              </w:rPr>
              <w:t>Abbreviazione</w:t>
            </w:r>
          </w:p>
        </w:tc>
        <w:tc>
          <w:tcPr>
            <w:tcW w:w="11278" w:type="dxa"/>
          </w:tcPr>
          <w:p>
            <w:pPr>
              <w:spacing w:before="0" w:after="0"/>
              <w:jc w:val="right"/>
              <w:outlineLvl w:val="0"/>
              <w:rPr>
                <w:noProof/>
                <w:sz w:val="20"/>
              </w:rPr>
            </w:pPr>
          </w:p>
        </w:tc>
      </w:tr>
      <w:tr>
        <w:trPr>
          <w:trHeight w:hRule="exact" w:val="340"/>
        </w:trPr>
        <w:tc>
          <w:tcPr>
            <w:tcW w:w="3510" w:type="dxa"/>
            <w:hideMark/>
          </w:tcPr>
          <w:p>
            <w:pPr>
              <w:jc w:val="center"/>
              <w:rPr>
                <w:noProof/>
                <w:sz w:val="20"/>
              </w:rPr>
            </w:pPr>
            <w:r>
              <w:rPr>
                <w:noProof/>
                <w:sz w:val="20"/>
              </w:rPr>
              <w:t>WB</w:t>
            </w:r>
          </w:p>
        </w:tc>
        <w:tc>
          <w:tcPr>
            <w:tcW w:w="11278" w:type="dxa"/>
            <w:hideMark/>
          </w:tcPr>
          <w:p>
            <w:pPr>
              <w:jc w:val="center"/>
              <w:rPr>
                <w:noProof/>
                <w:sz w:val="20"/>
              </w:rPr>
            </w:pPr>
            <w:r>
              <w:rPr>
                <w:noProof/>
                <w:sz w:val="20"/>
              </w:rPr>
              <w:t>Banca mondiale</w:t>
            </w:r>
          </w:p>
        </w:tc>
      </w:tr>
      <w:tr>
        <w:trPr>
          <w:trHeight w:hRule="exact" w:val="340"/>
        </w:trPr>
        <w:tc>
          <w:tcPr>
            <w:tcW w:w="3510" w:type="dxa"/>
            <w:hideMark/>
          </w:tcPr>
          <w:p>
            <w:pPr>
              <w:jc w:val="center"/>
              <w:rPr>
                <w:noProof/>
                <w:sz w:val="20"/>
              </w:rPr>
            </w:pPr>
            <w:r>
              <w:rPr>
                <w:noProof/>
                <w:sz w:val="20"/>
              </w:rPr>
              <w:t>TMEA</w:t>
            </w:r>
          </w:p>
        </w:tc>
        <w:tc>
          <w:tcPr>
            <w:tcW w:w="11278" w:type="dxa"/>
            <w:hideMark/>
          </w:tcPr>
          <w:p>
            <w:pPr>
              <w:jc w:val="center"/>
              <w:rPr>
                <w:noProof/>
                <w:sz w:val="20"/>
              </w:rPr>
            </w:pPr>
            <w:r>
              <w:rPr>
                <w:noProof/>
                <w:sz w:val="20"/>
              </w:rPr>
              <w:t>TradeMark East Africa</w:t>
            </w:r>
          </w:p>
        </w:tc>
      </w:tr>
      <w:tr>
        <w:trPr>
          <w:trHeight w:hRule="exact" w:val="340"/>
        </w:trPr>
        <w:tc>
          <w:tcPr>
            <w:tcW w:w="3510" w:type="dxa"/>
            <w:hideMark/>
          </w:tcPr>
          <w:p>
            <w:pPr>
              <w:jc w:val="center"/>
              <w:rPr>
                <w:noProof/>
                <w:sz w:val="20"/>
              </w:rPr>
            </w:pPr>
            <w:r>
              <w:rPr>
                <w:noProof/>
                <w:sz w:val="20"/>
              </w:rPr>
              <w:t>GoR</w:t>
            </w:r>
          </w:p>
        </w:tc>
        <w:tc>
          <w:tcPr>
            <w:tcW w:w="11278" w:type="dxa"/>
            <w:hideMark/>
          </w:tcPr>
          <w:p>
            <w:pPr>
              <w:jc w:val="center"/>
              <w:rPr>
                <w:noProof/>
                <w:sz w:val="20"/>
              </w:rPr>
            </w:pPr>
            <w:r>
              <w:rPr>
                <w:noProof/>
                <w:sz w:val="20"/>
              </w:rPr>
              <w:t>Governo del Ruanda</w:t>
            </w:r>
          </w:p>
        </w:tc>
      </w:tr>
      <w:tr>
        <w:trPr>
          <w:trHeight w:hRule="exact" w:val="340"/>
        </w:trPr>
        <w:tc>
          <w:tcPr>
            <w:tcW w:w="3510" w:type="dxa"/>
            <w:hideMark/>
          </w:tcPr>
          <w:p>
            <w:pPr>
              <w:jc w:val="center"/>
              <w:rPr>
                <w:noProof/>
                <w:sz w:val="20"/>
              </w:rPr>
            </w:pPr>
            <w:r>
              <w:rPr>
                <w:noProof/>
                <w:sz w:val="20"/>
              </w:rPr>
              <w:t>ToR</w:t>
            </w:r>
          </w:p>
        </w:tc>
        <w:tc>
          <w:tcPr>
            <w:tcW w:w="11278" w:type="dxa"/>
            <w:hideMark/>
          </w:tcPr>
          <w:p>
            <w:pPr>
              <w:jc w:val="center"/>
              <w:rPr>
                <w:noProof/>
                <w:sz w:val="20"/>
              </w:rPr>
            </w:pPr>
            <w:r>
              <w:rPr>
                <w:noProof/>
                <w:sz w:val="20"/>
              </w:rPr>
              <w:t>Capitolato d'oneri</w:t>
            </w:r>
          </w:p>
        </w:tc>
      </w:tr>
      <w:tr>
        <w:trPr>
          <w:trHeight w:hRule="exact" w:val="340"/>
        </w:trPr>
        <w:tc>
          <w:tcPr>
            <w:tcW w:w="3510" w:type="dxa"/>
            <w:hideMark/>
          </w:tcPr>
          <w:p>
            <w:pPr>
              <w:jc w:val="center"/>
              <w:rPr>
                <w:noProof/>
                <w:sz w:val="20"/>
              </w:rPr>
            </w:pPr>
            <w:r>
              <w:rPr>
                <w:noProof/>
                <w:sz w:val="20"/>
              </w:rPr>
              <w:t>BAD</w:t>
            </w:r>
          </w:p>
        </w:tc>
        <w:tc>
          <w:tcPr>
            <w:tcW w:w="11278" w:type="dxa"/>
            <w:hideMark/>
          </w:tcPr>
          <w:p>
            <w:pPr>
              <w:jc w:val="center"/>
              <w:rPr>
                <w:noProof/>
                <w:sz w:val="20"/>
              </w:rPr>
            </w:pPr>
            <w:r>
              <w:rPr>
                <w:noProof/>
                <w:sz w:val="20"/>
              </w:rPr>
              <w:t>Banque Africaine de Développement (Banca africana di sviluppo)</w:t>
            </w:r>
          </w:p>
        </w:tc>
      </w:tr>
      <w:tr>
        <w:trPr>
          <w:trHeight w:hRule="exact" w:val="340"/>
        </w:trPr>
        <w:tc>
          <w:tcPr>
            <w:tcW w:w="3510" w:type="dxa"/>
            <w:hideMark/>
          </w:tcPr>
          <w:p>
            <w:pPr>
              <w:jc w:val="center"/>
              <w:rPr>
                <w:noProof/>
                <w:sz w:val="20"/>
              </w:rPr>
            </w:pPr>
            <w:r>
              <w:rPr>
                <w:noProof/>
                <w:sz w:val="20"/>
              </w:rPr>
              <w:t>AfDB</w:t>
            </w:r>
          </w:p>
        </w:tc>
        <w:tc>
          <w:tcPr>
            <w:tcW w:w="11278" w:type="dxa"/>
            <w:hideMark/>
          </w:tcPr>
          <w:p>
            <w:pPr>
              <w:jc w:val="center"/>
              <w:rPr>
                <w:noProof/>
                <w:sz w:val="20"/>
              </w:rPr>
            </w:pPr>
            <w:r>
              <w:rPr>
                <w:noProof/>
                <w:sz w:val="20"/>
              </w:rPr>
              <w:t>African Development Bank (Banca africana di sviluppo)</w:t>
            </w:r>
          </w:p>
        </w:tc>
      </w:tr>
      <w:tr>
        <w:trPr>
          <w:trHeight w:hRule="exact" w:val="340"/>
        </w:trPr>
        <w:tc>
          <w:tcPr>
            <w:tcW w:w="3510" w:type="dxa"/>
            <w:hideMark/>
          </w:tcPr>
          <w:p>
            <w:pPr>
              <w:jc w:val="center"/>
              <w:rPr>
                <w:noProof/>
                <w:sz w:val="20"/>
              </w:rPr>
            </w:pPr>
            <w:r>
              <w:rPr>
                <w:noProof/>
                <w:sz w:val="20"/>
              </w:rPr>
              <w:t>BNSF</w:t>
            </w:r>
          </w:p>
        </w:tc>
        <w:tc>
          <w:tcPr>
            <w:tcW w:w="11278" w:type="dxa"/>
            <w:hideMark/>
          </w:tcPr>
          <w:p>
            <w:pPr>
              <w:jc w:val="center"/>
              <w:rPr>
                <w:noProof/>
                <w:sz w:val="20"/>
                <w:lang w:val="en-GB"/>
              </w:rPr>
            </w:pPr>
            <w:r>
              <w:rPr>
                <w:noProof/>
                <w:sz w:val="20"/>
                <w:lang w:val="en-GB"/>
              </w:rPr>
              <w:t>BNSF Railway (già Burlington Northern and Santa Fe Railway)</w:t>
            </w:r>
          </w:p>
        </w:tc>
      </w:tr>
      <w:tr>
        <w:trPr>
          <w:trHeight w:hRule="exact" w:val="340"/>
        </w:trPr>
        <w:tc>
          <w:tcPr>
            <w:tcW w:w="3510" w:type="dxa"/>
            <w:hideMark/>
          </w:tcPr>
          <w:p>
            <w:pPr>
              <w:jc w:val="center"/>
              <w:rPr>
                <w:noProof/>
                <w:sz w:val="20"/>
              </w:rPr>
            </w:pPr>
            <w:r>
              <w:rPr>
                <w:noProof/>
                <w:sz w:val="20"/>
              </w:rPr>
              <w:t>USTDA</w:t>
            </w:r>
          </w:p>
        </w:tc>
        <w:tc>
          <w:tcPr>
            <w:tcW w:w="11278" w:type="dxa"/>
            <w:hideMark/>
          </w:tcPr>
          <w:p>
            <w:pPr>
              <w:jc w:val="center"/>
              <w:rPr>
                <w:noProof/>
                <w:sz w:val="20"/>
              </w:rPr>
            </w:pPr>
            <w:r>
              <w:rPr>
                <w:noProof/>
                <w:sz w:val="20"/>
              </w:rPr>
              <w:t>US Trade and Development Agency (Agenzia statunitense per il commercio e lo sviluppo)</w:t>
            </w:r>
          </w:p>
        </w:tc>
      </w:tr>
      <w:tr>
        <w:trPr>
          <w:trHeight w:hRule="exact" w:val="340"/>
        </w:trPr>
        <w:tc>
          <w:tcPr>
            <w:tcW w:w="3510" w:type="dxa"/>
            <w:hideMark/>
          </w:tcPr>
          <w:p>
            <w:pPr>
              <w:jc w:val="center"/>
              <w:rPr>
                <w:noProof/>
                <w:sz w:val="20"/>
              </w:rPr>
            </w:pPr>
            <w:r>
              <w:rPr>
                <w:noProof/>
                <w:sz w:val="20"/>
              </w:rPr>
              <w:t>CPSC</w:t>
            </w:r>
          </w:p>
        </w:tc>
        <w:tc>
          <w:tcPr>
            <w:tcW w:w="11278" w:type="dxa"/>
            <w:hideMark/>
          </w:tcPr>
          <w:p>
            <w:pPr>
              <w:jc w:val="center"/>
              <w:rPr>
                <w:noProof/>
                <w:sz w:val="20"/>
              </w:rPr>
            </w:pPr>
            <w:r>
              <w:rPr>
                <w:noProof/>
                <w:sz w:val="20"/>
              </w:rPr>
              <w:t>Canadian Pacific Consulting Services</w:t>
            </w:r>
          </w:p>
        </w:tc>
      </w:tr>
      <w:tr>
        <w:trPr>
          <w:trHeight w:hRule="exact" w:val="340"/>
        </w:trPr>
        <w:tc>
          <w:tcPr>
            <w:tcW w:w="3510" w:type="dxa"/>
            <w:hideMark/>
          </w:tcPr>
          <w:p>
            <w:pPr>
              <w:jc w:val="center"/>
              <w:rPr>
                <w:noProof/>
                <w:sz w:val="20"/>
              </w:rPr>
            </w:pPr>
            <w:r>
              <w:rPr>
                <w:noProof/>
                <w:sz w:val="20"/>
              </w:rPr>
              <w:t>EoI</w:t>
            </w:r>
          </w:p>
        </w:tc>
        <w:tc>
          <w:tcPr>
            <w:tcW w:w="11278" w:type="dxa"/>
            <w:hideMark/>
          </w:tcPr>
          <w:p>
            <w:pPr>
              <w:jc w:val="center"/>
              <w:rPr>
                <w:noProof/>
                <w:sz w:val="20"/>
              </w:rPr>
            </w:pPr>
            <w:r>
              <w:rPr>
                <w:noProof/>
                <w:sz w:val="20"/>
              </w:rPr>
              <w:t>Invito a manifestare interesse</w:t>
            </w:r>
          </w:p>
        </w:tc>
      </w:tr>
      <w:tr>
        <w:trPr>
          <w:trHeight w:hRule="exact" w:val="340"/>
        </w:trPr>
        <w:tc>
          <w:tcPr>
            <w:tcW w:w="3510" w:type="dxa"/>
            <w:hideMark/>
          </w:tcPr>
          <w:p>
            <w:pPr>
              <w:jc w:val="center"/>
              <w:rPr>
                <w:noProof/>
                <w:sz w:val="20"/>
              </w:rPr>
            </w:pPr>
            <w:r>
              <w:rPr>
                <w:noProof/>
                <w:sz w:val="20"/>
              </w:rPr>
              <w:t>Tz</w:t>
            </w:r>
          </w:p>
        </w:tc>
        <w:tc>
          <w:tcPr>
            <w:tcW w:w="11278" w:type="dxa"/>
            <w:hideMark/>
          </w:tcPr>
          <w:p>
            <w:pPr>
              <w:jc w:val="center"/>
              <w:rPr>
                <w:noProof/>
                <w:sz w:val="20"/>
              </w:rPr>
            </w:pPr>
            <w:r>
              <w:rPr>
                <w:noProof/>
                <w:sz w:val="20"/>
              </w:rPr>
              <w:t>Tanzania</w:t>
            </w:r>
          </w:p>
        </w:tc>
      </w:tr>
      <w:tr>
        <w:trPr>
          <w:trHeight w:hRule="exact" w:val="340"/>
        </w:trPr>
        <w:tc>
          <w:tcPr>
            <w:tcW w:w="3510" w:type="dxa"/>
            <w:hideMark/>
          </w:tcPr>
          <w:p>
            <w:pPr>
              <w:jc w:val="center"/>
              <w:rPr>
                <w:noProof/>
                <w:sz w:val="20"/>
              </w:rPr>
            </w:pPr>
            <w:r>
              <w:rPr>
                <w:noProof/>
                <w:sz w:val="20"/>
              </w:rPr>
              <w:t>GOT/GoT</w:t>
            </w:r>
          </w:p>
        </w:tc>
        <w:tc>
          <w:tcPr>
            <w:tcW w:w="11278" w:type="dxa"/>
            <w:hideMark/>
          </w:tcPr>
          <w:p>
            <w:pPr>
              <w:jc w:val="center"/>
              <w:rPr>
                <w:noProof/>
                <w:sz w:val="20"/>
              </w:rPr>
            </w:pPr>
            <w:r>
              <w:rPr>
                <w:noProof/>
                <w:sz w:val="20"/>
              </w:rPr>
              <w:t>Governo della Tanzania</w:t>
            </w:r>
          </w:p>
        </w:tc>
      </w:tr>
      <w:tr>
        <w:trPr>
          <w:trHeight w:hRule="exact" w:val="340"/>
        </w:trPr>
        <w:tc>
          <w:tcPr>
            <w:tcW w:w="3510" w:type="dxa"/>
            <w:hideMark/>
          </w:tcPr>
          <w:p>
            <w:pPr>
              <w:jc w:val="center"/>
              <w:rPr>
                <w:noProof/>
                <w:sz w:val="20"/>
              </w:rPr>
            </w:pPr>
            <w:r>
              <w:rPr>
                <w:noProof/>
                <w:sz w:val="20"/>
              </w:rPr>
              <w:t>JICA</w:t>
            </w:r>
          </w:p>
        </w:tc>
        <w:tc>
          <w:tcPr>
            <w:tcW w:w="11278" w:type="dxa"/>
            <w:hideMark/>
          </w:tcPr>
          <w:p>
            <w:pPr>
              <w:jc w:val="center"/>
              <w:rPr>
                <w:noProof/>
                <w:sz w:val="20"/>
              </w:rPr>
            </w:pPr>
            <w:r>
              <w:rPr>
                <w:noProof/>
                <w:sz w:val="20"/>
              </w:rPr>
              <w:t>Japan International Cooperation Agency (Agenzia giapponese per la cooperazione internazionale)</w:t>
            </w:r>
          </w:p>
        </w:tc>
      </w:tr>
      <w:tr>
        <w:trPr>
          <w:trHeight w:hRule="exact" w:val="340"/>
        </w:trPr>
        <w:tc>
          <w:tcPr>
            <w:tcW w:w="3510" w:type="dxa"/>
            <w:hideMark/>
          </w:tcPr>
          <w:p>
            <w:pPr>
              <w:jc w:val="center"/>
              <w:rPr>
                <w:noProof/>
                <w:sz w:val="20"/>
              </w:rPr>
            </w:pPr>
            <w:r>
              <w:rPr>
                <w:noProof/>
                <w:sz w:val="20"/>
              </w:rPr>
              <w:t>NEPAD-IPPF</w:t>
            </w:r>
          </w:p>
        </w:tc>
        <w:tc>
          <w:tcPr>
            <w:tcW w:w="11278" w:type="dxa"/>
            <w:hideMark/>
          </w:tcPr>
          <w:p>
            <w:pPr>
              <w:jc w:val="center"/>
              <w:rPr>
                <w:noProof/>
                <w:sz w:val="20"/>
              </w:rPr>
            </w:pPr>
            <w:r>
              <w:rPr>
                <w:noProof/>
                <w:sz w:val="20"/>
              </w:rPr>
              <w:t>New Partnership for Africa's Development – Infrastructure Project Preparation Facility (Nuovo partenariato per lo sviluppo dell'Africa - Strumento per finanziare la preparazione di progetti infrastrutturali)</w:t>
            </w:r>
          </w:p>
        </w:tc>
      </w:tr>
      <w:tr>
        <w:trPr>
          <w:trHeight w:hRule="exact" w:val="340"/>
        </w:trPr>
        <w:tc>
          <w:tcPr>
            <w:tcW w:w="3510" w:type="dxa"/>
            <w:hideMark/>
          </w:tcPr>
          <w:p>
            <w:pPr>
              <w:jc w:val="center"/>
              <w:rPr>
                <w:noProof/>
                <w:sz w:val="20"/>
              </w:rPr>
            </w:pPr>
            <w:r>
              <w:rPr>
                <w:noProof/>
                <w:sz w:val="20"/>
              </w:rPr>
              <w:t>CSI</w:t>
            </w:r>
          </w:p>
        </w:tc>
        <w:tc>
          <w:tcPr>
            <w:tcW w:w="11278" w:type="dxa"/>
            <w:hideMark/>
          </w:tcPr>
          <w:p>
            <w:pPr>
              <w:jc w:val="center"/>
              <w:rPr>
                <w:noProof/>
                <w:sz w:val="20"/>
              </w:rPr>
            </w:pPr>
            <w:r>
              <w:rPr>
                <w:noProof/>
                <w:sz w:val="20"/>
              </w:rPr>
              <w:t>Centro per lo sviluppo delle imprese</w:t>
            </w:r>
          </w:p>
        </w:tc>
      </w:tr>
      <w:tr>
        <w:trPr>
          <w:trHeight w:hRule="exact" w:val="340"/>
        </w:trPr>
        <w:tc>
          <w:tcPr>
            <w:tcW w:w="3510" w:type="dxa"/>
            <w:hideMark/>
          </w:tcPr>
          <w:p>
            <w:pPr>
              <w:jc w:val="center"/>
              <w:rPr>
                <w:noProof/>
                <w:sz w:val="20"/>
              </w:rPr>
            </w:pPr>
            <w:r>
              <w:rPr>
                <w:noProof/>
                <w:sz w:val="20"/>
              </w:rPr>
              <w:t>CTA</w:t>
            </w:r>
          </w:p>
        </w:tc>
        <w:tc>
          <w:tcPr>
            <w:tcW w:w="11278" w:type="dxa"/>
            <w:hideMark/>
          </w:tcPr>
          <w:p>
            <w:pPr>
              <w:jc w:val="center"/>
              <w:rPr>
                <w:noProof/>
                <w:sz w:val="20"/>
              </w:rPr>
            </w:pPr>
            <w:r>
              <w:rPr>
                <w:noProof/>
                <w:sz w:val="20"/>
              </w:rPr>
              <w:t>Centro tecnico per la cooperazione agricola e rurale</w:t>
            </w:r>
          </w:p>
        </w:tc>
      </w:tr>
      <w:tr>
        <w:trPr>
          <w:trHeight w:hRule="exact" w:val="340"/>
        </w:trPr>
        <w:tc>
          <w:tcPr>
            <w:tcW w:w="3510" w:type="dxa"/>
            <w:hideMark/>
          </w:tcPr>
          <w:p>
            <w:pPr>
              <w:jc w:val="center"/>
              <w:rPr>
                <w:noProof/>
                <w:sz w:val="20"/>
              </w:rPr>
            </w:pPr>
            <w:r>
              <w:rPr>
                <w:noProof/>
                <w:sz w:val="20"/>
              </w:rPr>
              <w:t>NFIC</w:t>
            </w:r>
          </w:p>
        </w:tc>
        <w:tc>
          <w:tcPr>
            <w:tcW w:w="11278" w:type="dxa"/>
            <w:hideMark/>
          </w:tcPr>
          <w:p>
            <w:pPr>
              <w:jc w:val="center"/>
              <w:rPr>
                <w:noProof/>
                <w:sz w:val="20"/>
              </w:rPr>
            </w:pPr>
            <w:r>
              <w:rPr>
                <w:noProof/>
                <w:sz w:val="20"/>
              </w:rPr>
              <w:t>Paesi importatori netti di prodotti alimentari</w:t>
            </w:r>
          </w:p>
        </w:tc>
      </w:tr>
      <w:tr>
        <w:trPr>
          <w:trHeight w:hRule="exact" w:val="340"/>
        </w:trPr>
        <w:tc>
          <w:tcPr>
            <w:tcW w:w="3510" w:type="dxa"/>
          </w:tcPr>
          <w:p>
            <w:pPr>
              <w:jc w:val="center"/>
              <w:rPr>
                <w:noProof/>
                <w:sz w:val="20"/>
              </w:rPr>
            </w:pPr>
            <w:r>
              <w:rPr>
                <w:noProof/>
                <w:sz w:val="20"/>
              </w:rPr>
              <w:t>TPA</w:t>
            </w:r>
          </w:p>
        </w:tc>
        <w:tc>
          <w:tcPr>
            <w:tcW w:w="11278" w:type="dxa"/>
          </w:tcPr>
          <w:p>
            <w:pPr>
              <w:jc w:val="center"/>
              <w:rPr>
                <w:noProof/>
                <w:sz w:val="20"/>
              </w:rPr>
            </w:pPr>
            <w:r>
              <w:rPr>
                <w:noProof/>
                <w:sz w:val="20"/>
              </w:rPr>
              <w:t>Autorità portuale della Tanzania</w:t>
            </w:r>
          </w:p>
        </w:tc>
      </w:tr>
      <w:tr>
        <w:trPr>
          <w:trHeight w:hRule="exact" w:val="340"/>
        </w:trPr>
        <w:tc>
          <w:tcPr>
            <w:tcW w:w="3510" w:type="dxa"/>
          </w:tcPr>
          <w:p>
            <w:pPr>
              <w:jc w:val="center"/>
              <w:rPr>
                <w:noProof/>
                <w:sz w:val="20"/>
              </w:rPr>
            </w:pPr>
            <w:r>
              <w:rPr>
                <w:noProof/>
                <w:sz w:val="20"/>
              </w:rPr>
              <w:t>HLI</w:t>
            </w:r>
          </w:p>
        </w:tc>
        <w:tc>
          <w:tcPr>
            <w:tcW w:w="11278" w:type="dxa"/>
          </w:tcPr>
          <w:p>
            <w:pPr>
              <w:jc w:val="center"/>
              <w:rPr>
                <w:noProof/>
                <w:sz w:val="20"/>
              </w:rPr>
            </w:pPr>
            <w:r>
              <w:rPr>
                <w:noProof/>
                <w:sz w:val="20"/>
              </w:rPr>
              <w:t>Istituti di istruzione superiore</w:t>
            </w:r>
          </w:p>
        </w:tc>
      </w:tr>
    </w:tbl>
    <w:p>
      <w:pPr>
        <w:spacing w:before="0" w:after="0"/>
        <w:jc w:val="right"/>
        <w:outlineLvl w:val="0"/>
        <w:rPr>
          <w:rFonts w:eastAsia="Times New Roman"/>
          <w:noProof/>
          <w:szCs w:val="24"/>
        </w:rPr>
        <w:sectPr>
          <w:footnotePr>
            <w:numRestart w:val="eachPage"/>
          </w:footnotePr>
          <w:endnotePr>
            <w:numFmt w:val="decimal"/>
          </w:endnotePr>
          <w:pgSz w:w="16840" w:h="11907" w:orient="landscape" w:code="9"/>
          <w:pgMar w:top="1134" w:right="1134" w:bottom="1134" w:left="1134" w:header="1134" w:footer="1134" w:gutter="0"/>
          <w:cols w:space="720"/>
          <w:docGrid w:linePitch="326"/>
        </w:sectPr>
      </w:pPr>
      <w:r>
        <w:rPr>
          <w:noProof/>
        </w:rPr>
        <w:t xml:space="preserve"> </w:t>
      </w:r>
    </w:p>
    <w:p>
      <w:pPr>
        <w:spacing w:before="0" w:after="0"/>
        <w:jc w:val="left"/>
        <w:rPr>
          <w:rFonts w:eastAsia="Times New Roman"/>
          <w:noProof/>
          <w:sz w:val="2"/>
          <w:szCs w:val="2"/>
        </w:rPr>
      </w:pPr>
    </w:p>
    <w:p>
      <w:pPr>
        <w:keepNext/>
        <w:spacing w:before="360" w:after="0"/>
        <w:jc w:val="center"/>
        <w:outlineLvl w:val="0"/>
        <w:rPr>
          <w:rFonts w:eastAsia="Times New Roman" w:cs="Arial"/>
          <w:b/>
          <w:bCs/>
          <w:smallCaps/>
          <w:noProof/>
          <w:szCs w:val="20"/>
        </w:rPr>
      </w:pPr>
      <w:r>
        <w:rPr>
          <w:b/>
          <w:smallCaps/>
          <w:noProof/>
        </w:rPr>
        <w:t>ALLEGATO IV</w:t>
      </w:r>
    </w:p>
    <w:p>
      <w:pPr>
        <w:keepNext/>
        <w:spacing w:before="360" w:after="360"/>
        <w:jc w:val="center"/>
        <w:outlineLvl w:val="0"/>
        <w:rPr>
          <w:rFonts w:eastAsia="Arial"/>
          <w:b/>
          <w:noProof/>
          <w:szCs w:val="24"/>
        </w:rPr>
      </w:pPr>
      <w:r>
        <w:rPr>
          <w:b/>
          <w:noProof/>
        </w:rPr>
        <w:t>DICHARAZIONE COMUNE RELATIVA AI PAESI CHE HANNO ISTITUITO UN'UNIONE DOGANALE CON L'UNIONE EUROPEA</w:t>
      </w:r>
    </w:p>
    <w:p>
      <w:pPr>
        <w:rPr>
          <w:rFonts w:eastAsia="Times New Roman"/>
          <w:noProof/>
        </w:rPr>
      </w:pPr>
      <w:r>
        <w:rPr>
          <w:noProof/>
        </w:rPr>
        <w:t xml:space="preserve">L'UE ricorda l'obbligo degli Stati che hanno istituito un'unione doganale con l'UE di allineare il proprio regime commerciale a quello dell'UE e l'obbligo per alcuni di essi di concludere accordi preferenziali con i paesi che hanno accordi preferenziali con l'UE. </w:t>
      </w:r>
    </w:p>
    <w:p>
      <w:pPr>
        <w:rPr>
          <w:rFonts w:eastAsia="Times New Roman"/>
          <w:noProof/>
        </w:rPr>
      </w:pPr>
      <w:r>
        <w:rPr>
          <w:noProof/>
        </w:rPr>
        <w:t xml:space="preserve">In tale contesto le Parti rilevano che gli Stati partner dell'EAC avvieranno negoziati con gli Stati che: </w:t>
      </w:r>
    </w:p>
    <w:p>
      <w:pPr>
        <w:pStyle w:val="Point0"/>
        <w:rPr>
          <w:rFonts w:eastAsia="Times New Roman"/>
          <w:noProof/>
        </w:rPr>
      </w:pPr>
      <w:r>
        <w:rPr>
          <w:noProof/>
        </w:rPr>
        <w:t>a)</w:t>
      </w:r>
      <w:r>
        <w:rPr>
          <w:noProof/>
        </w:rPr>
        <w:tab/>
        <w:t xml:space="preserve">hanno istituito un'unione doganale con l'UE; e </w:t>
      </w:r>
    </w:p>
    <w:p>
      <w:pPr>
        <w:pStyle w:val="Point0"/>
        <w:rPr>
          <w:rFonts w:eastAsia="Times New Roman"/>
          <w:noProof/>
        </w:rPr>
      </w:pPr>
      <w:r>
        <w:rPr>
          <w:noProof/>
        </w:rPr>
        <w:t>b)</w:t>
      </w:r>
      <w:r>
        <w:rPr>
          <w:noProof/>
        </w:rPr>
        <w:tab/>
        <w:t xml:space="preserve">i cui prodotti non beneficiano di concessioni tariffarie nell'ambito del presente accordo, </w:t>
      </w:r>
    </w:p>
    <w:p>
      <w:pPr>
        <w:rPr>
          <w:rFonts w:eastAsia="Times New Roman"/>
          <w:noProof/>
        </w:rPr>
      </w:pPr>
      <w:r>
        <w:rPr>
          <w:noProof/>
        </w:rPr>
        <w:t xml:space="preserve">al fine di concludere un accordo bilaterale che istituisca una zona di libero scambio in conformità all'articolo XXIV del GATT. </w:t>
      </w:r>
    </w:p>
    <w:p>
      <w:pPr>
        <w:rPr>
          <w:noProof/>
        </w:rPr>
      </w:pPr>
      <w:r>
        <w:rPr>
          <w:noProof/>
        </w:rPr>
        <w:t>Gli Stati partner dell'EAC convengono di negoziare tale accordo bilaterale in futuro.</w:t>
      </w:r>
      <w:r>
        <w:rPr>
          <w:rStyle w:val="CommentReference"/>
          <w:noProof/>
        </w:rPr>
        <w:t xml:space="preserve"> </w:t>
      </w:r>
    </w:p>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D2579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DD7FBB"/>
    <w:multiLevelType w:val="hybridMultilevel"/>
    <w:tmpl w:val="8850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B4B22D5"/>
    <w:multiLevelType w:val="hybridMultilevel"/>
    <w:tmpl w:val="1292D57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0010DF"/>
    <w:multiLevelType w:val="hybridMultilevel"/>
    <w:tmpl w:val="CDD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BF169F"/>
    <w:multiLevelType w:val="hybridMultilevel"/>
    <w:tmpl w:val="10864AB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96E7323"/>
    <w:multiLevelType w:val="hybridMultilevel"/>
    <w:tmpl w:val="9780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8000C"/>
    <w:multiLevelType w:val="multilevel"/>
    <w:tmpl w:val="9236CECE"/>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3">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5">
    <w:nsid w:val="7C483669"/>
    <w:multiLevelType w:val="hybridMultilevel"/>
    <w:tmpl w:val="BF6C470A"/>
    <w:lvl w:ilvl="0" w:tplc="080C0001">
      <w:start w:val="1"/>
      <w:numFmt w:val="bullet"/>
      <w:lvlText w:val=""/>
      <w:lvlJc w:val="left"/>
      <w:pPr>
        <w:ind w:left="720" w:hanging="360"/>
      </w:pPr>
      <w:rPr>
        <w:rFonts w:ascii="Symbol" w:hAnsi="Symbol"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8">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6"/>
  </w:num>
  <w:num w:numId="5">
    <w:abstractNumId w:val="18"/>
  </w:num>
  <w:num w:numId="6">
    <w:abstractNumId w:val="44"/>
  </w:num>
  <w:num w:numId="7">
    <w:abstractNumId w:val="9"/>
  </w:num>
  <w:num w:numId="8">
    <w:abstractNumId w:val="25"/>
  </w:num>
  <w:num w:numId="9">
    <w:abstractNumId w:val="17"/>
  </w:num>
  <w:num w:numId="10">
    <w:abstractNumId w:val="20"/>
  </w:num>
  <w:num w:numId="11">
    <w:abstractNumId w:val="40"/>
  </w:num>
  <w:num w:numId="12">
    <w:abstractNumId w:val="15"/>
  </w:num>
  <w:num w:numId="13">
    <w:abstractNumId w:val="5"/>
  </w:num>
  <w:num w:numId="14">
    <w:abstractNumId w:val="27"/>
  </w:num>
  <w:num w:numId="15">
    <w:abstractNumId w:val="39"/>
  </w:num>
  <w:num w:numId="16">
    <w:abstractNumId w:val="6"/>
  </w:num>
  <w:num w:numId="17">
    <w:abstractNumId w:val="19"/>
  </w:num>
  <w:num w:numId="18">
    <w:abstractNumId w:val="48"/>
  </w:num>
  <w:num w:numId="19">
    <w:abstractNumId w:val="22"/>
  </w:num>
  <w:num w:numId="20">
    <w:abstractNumId w:val="34"/>
  </w:num>
  <w:num w:numId="21">
    <w:abstractNumId w:val="29"/>
  </w:num>
  <w:num w:numId="22">
    <w:abstractNumId w:val="42"/>
  </w:num>
  <w:num w:numId="23">
    <w:abstractNumId w:val="47"/>
  </w:num>
  <w:num w:numId="24">
    <w:abstractNumId w:val="43"/>
  </w:num>
  <w:num w:numId="25">
    <w:abstractNumId w:val="11"/>
  </w:num>
  <w:num w:numId="26">
    <w:abstractNumId w:val="4"/>
  </w:num>
  <w:num w:numId="27">
    <w:abstractNumId w:val="3"/>
  </w:num>
  <w:num w:numId="28">
    <w:abstractNumId w:val="33"/>
  </w:num>
  <w:num w:numId="29">
    <w:abstractNumId w:val="45"/>
  </w:num>
  <w:num w:numId="30">
    <w:abstractNumId w:val="41"/>
  </w:num>
  <w:num w:numId="31">
    <w:abstractNumId w:val="38"/>
  </w:num>
  <w:num w:numId="32">
    <w:abstractNumId w:val="21"/>
  </w:num>
  <w:num w:numId="33">
    <w:abstractNumId w:val="12"/>
  </w:num>
  <w:num w:numId="34">
    <w:abstractNumId w:val="36"/>
  </w:num>
  <w:num w:numId="35">
    <w:abstractNumId w:val="8"/>
  </w:num>
  <w:num w:numId="36">
    <w:abstractNumId w:val="32"/>
  </w:num>
  <w:num w:numId="37">
    <w:abstractNumId w:val="23"/>
  </w:num>
  <w:num w:numId="38">
    <w:abstractNumId w:val="37"/>
  </w:num>
  <w:num w:numId="39">
    <w:abstractNumId w:val="14"/>
  </w:num>
  <w:num w:numId="40">
    <w:abstractNumId w:val="24"/>
  </w:num>
  <w:num w:numId="41">
    <w:abstractNumId w:val="10"/>
  </w:num>
  <w:num w:numId="42">
    <w:abstractNumId w:val="35"/>
  </w:num>
  <w:num w:numId="43">
    <w:abstractNumId w:val="7"/>
  </w:num>
  <w:num w:numId="44">
    <w:abstractNumId w:val="26"/>
  </w:num>
  <w:num w:numId="45">
    <w:abstractNumId w:val="30"/>
  </w:num>
  <w:num w:numId="46">
    <w:abstractNumId w:val="31"/>
  </w:num>
  <w:num w:numId="47">
    <w:abstractNumId w:val="13"/>
  </w:num>
  <w:num w:numId="48">
    <w:abstractNumId w:val="28"/>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31: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lla"/>
    <w:docVar w:name="LW_ACCOMPAGNANT.CP" w:val="della"/>
    <w:docVar w:name="LW_ANNEX_NBR_FIRST" w:val="4"/>
    <w:docVar w:name="LW_ANNEX_NBR_LAST" w:val="4"/>
    <w:docVar w:name="LW_CONFIDENCE" w:val=" "/>
    <w:docVar w:name="LW_CONST_RESTREINT_UE" w:val="RESTREINT UE/EU RESTRICTED"/>
    <w:docVar w:name="LW_CORRIGENDUM" w:val="&lt;UNUSED&gt;"/>
    <w:docVar w:name="LW_COVERPAGE_GUID" w:val="CD881255C92B45F0A54089E2145F3BF3"/>
    <w:docVar w:name="LW_CROSSREFERENCE" w:val="&lt;UNUSED&gt;"/>
    <w:docVar w:name="LW_DocType" w:val="ANNEX"/>
    <w:docVar w:name="LW_EMISSION" w:val="11.2.2016"/>
    <w:docVar w:name="LW_EMISSION_ISODATE" w:val="2016-02-11"/>
    <w:docVar w:name="LW_EMISSION_LOCATION" w:val="BRX"/>
    <w:docVar w:name="LW_EMISSION_PREFIX" w:val="Bruxelles, "/>
    <w:docVar w:name="LW_EMISSION_SUFFIX" w:val=" "/>
    <w:docVar w:name="LW_ID_DOCSTRUCTURE" w:val="COM/ANNEX"/>
    <w:docVar w:name="LW_ID_DOCTYPE" w:val="SG-017"/>
    <w:docVar w:name="LW_LANGUE" w:val="IT"/>
    <w:docVar w:name="LW_MARKING" w:val="&lt;UNUSED&gt;"/>
    <w:docVar w:name="LW_NOM.INST" w:val="COMMISSIONE EUROPEA"/>
    <w:docVar w:name="LW_NOM.INST_JOINTDOC" w:val="&lt;EMPTY&gt;"/>
    <w:docVar w:name="LW_OBJETACTEPRINCIPAL" w:val="relativa alla conclusione dell'accordo di partenariato economico (APE) tra gli Stati partner della Comunità dell'Africa orientale (EAC), da una parte, e l'Unione europea e i suoi Stati membri, dall'altra"/>
    <w:docVar w:name="LW_OBJETACTEPRINCIPAL.CP" w:val="relativa alla conclusione dell'accordo di partenariato economico (APE) tra gli Stati partner della Comunità dell'Africa orientale (EAC), da una parte, e l'Unione europea e i suoi Stati membri, dall'altra"/>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LLEGATO"/>
    <w:docVar w:name="LW_TYPE.DOC.CP" w:val="ALLEGATO"/>
    <w:docVar w:name="LW_TYPEACTEPRINCIPAL" w:val="proposta di decisione del Consiglio"/>
    <w:docVar w:name="LW_TYPEACTEPRINCIPAL.CP" w:val="proposta di decisione del Consigli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it-IT" w:eastAsia="it-IT"/>
    </w:rPr>
  </w:style>
  <w:style w:type="character" w:customStyle="1" w:styleId="Heading6Char">
    <w:name w:val="Heading 6 Char"/>
    <w:basedOn w:val="DefaultParagraphFont"/>
    <w:link w:val="Heading6"/>
    <w:rPr>
      <w:rFonts w:ascii="Arial" w:eastAsia="Times New Roman" w:hAnsi="Arial" w:cs="Times New Roman"/>
      <w:i/>
      <w:szCs w:val="20"/>
      <w:lang w:val="it-IT" w:eastAsia="it-IT"/>
    </w:rPr>
  </w:style>
  <w:style w:type="character" w:customStyle="1" w:styleId="Heading7Char">
    <w:name w:val="Heading 7 Char"/>
    <w:basedOn w:val="DefaultParagraphFont"/>
    <w:link w:val="Heading7"/>
    <w:rPr>
      <w:rFonts w:ascii="Arial" w:eastAsia="Times New Roman" w:hAnsi="Arial" w:cs="Times New Roman"/>
      <w:sz w:val="20"/>
      <w:szCs w:val="20"/>
      <w:lang w:val="it-IT" w:eastAsia="it-IT"/>
    </w:rPr>
  </w:style>
  <w:style w:type="character" w:customStyle="1" w:styleId="Heading8Char">
    <w:name w:val="Heading 8 Char"/>
    <w:basedOn w:val="DefaultParagraphFont"/>
    <w:link w:val="Heading8"/>
    <w:rPr>
      <w:rFonts w:ascii="Arial" w:eastAsia="Times New Roman" w:hAnsi="Arial" w:cs="Times New Roman"/>
      <w:i/>
      <w:sz w:val="20"/>
      <w:szCs w:val="20"/>
      <w:lang w:val="it-IT" w:eastAsia="it-IT"/>
    </w:rPr>
  </w:style>
  <w:style w:type="character" w:customStyle="1" w:styleId="Heading9Char">
    <w:name w:val="Heading 9 Char"/>
    <w:basedOn w:val="DefaultParagraphFont"/>
    <w:link w:val="Heading9"/>
    <w:rPr>
      <w:rFonts w:ascii="Arial" w:eastAsia="Times New Roman" w:hAnsi="Arial" w:cs="Times New Roman"/>
      <w:i/>
      <w:sz w:val="18"/>
      <w:szCs w:val="20"/>
      <w:lang w:val="it-IT" w:eastAsia="it-I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it-IT" w:eastAsia="it-IT"/>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it-IT" w:eastAsia="it-IT"/>
    </w:rPr>
  </w:style>
  <w:style w:type="character" w:customStyle="1" w:styleId="TitrearticleChar">
    <w:name w:val="Titre article Char"/>
    <w:rPr>
      <w:rFonts w:ascii="Times New Roman" w:hAnsi="Times New Roman" w:cs="Times New Roman"/>
      <w:i/>
      <w:sz w:val="24"/>
      <w:lang w:val="it-IT"/>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it-IT"/>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it-IT"/>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it-IT"/>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it-IT"/>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it-IT"/>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it-IT"/>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it-IT"/>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it-IT"/>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it-IT"/>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it-IT"/>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it-IT"/>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it-IT"/>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it-IT"/>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it-IT"/>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it-IT"/>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it-IT"/>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it-IT"/>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it-IT" w:eastAsia="it-IT"/>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it-IT" w:eastAsia="it-IT" w:bidi="it-IT"/>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it-IT" w:eastAsia="it-IT"/>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it-IT" w:eastAsia="it-IT"/>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it-IT" w:eastAsia="it-IT"/>
    </w:rPr>
  </w:style>
  <w:style w:type="character" w:customStyle="1" w:styleId="En-tteoupieddepageArial">
    <w:name w:val="En-tête ou pied de page + Arial"/>
    <w:aliases w:val="5.5 pt"/>
    <w:uiPriority w:val="99"/>
    <w:rPr>
      <w:rFonts w:ascii="Arial" w:hAnsi="Arial" w:cs="Arial"/>
      <w:sz w:val="11"/>
      <w:szCs w:val="11"/>
      <w:shd w:val="clear" w:color="auto" w:fill="FFFFFF"/>
      <w:lang w:val="it-IT" w:eastAsia="it-IT"/>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it-IT" w:eastAsia="it-IT"/>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it-IT" w:eastAsia="it-IT"/>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it-IT" w:eastAsia="it-IT"/>
    </w:rPr>
  </w:style>
  <w:style w:type="character" w:customStyle="1" w:styleId="Heading6Char">
    <w:name w:val="Heading 6 Char"/>
    <w:basedOn w:val="DefaultParagraphFont"/>
    <w:link w:val="Heading6"/>
    <w:rPr>
      <w:rFonts w:ascii="Arial" w:eastAsia="Times New Roman" w:hAnsi="Arial" w:cs="Times New Roman"/>
      <w:i/>
      <w:szCs w:val="20"/>
      <w:lang w:val="it-IT" w:eastAsia="it-IT"/>
    </w:rPr>
  </w:style>
  <w:style w:type="character" w:customStyle="1" w:styleId="Heading7Char">
    <w:name w:val="Heading 7 Char"/>
    <w:basedOn w:val="DefaultParagraphFont"/>
    <w:link w:val="Heading7"/>
    <w:rPr>
      <w:rFonts w:ascii="Arial" w:eastAsia="Times New Roman" w:hAnsi="Arial" w:cs="Times New Roman"/>
      <w:sz w:val="20"/>
      <w:szCs w:val="20"/>
      <w:lang w:val="it-IT" w:eastAsia="it-IT"/>
    </w:rPr>
  </w:style>
  <w:style w:type="character" w:customStyle="1" w:styleId="Heading8Char">
    <w:name w:val="Heading 8 Char"/>
    <w:basedOn w:val="DefaultParagraphFont"/>
    <w:link w:val="Heading8"/>
    <w:rPr>
      <w:rFonts w:ascii="Arial" w:eastAsia="Times New Roman" w:hAnsi="Arial" w:cs="Times New Roman"/>
      <w:i/>
      <w:sz w:val="20"/>
      <w:szCs w:val="20"/>
      <w:lang w:val="it-IT" w:eastAsia="it-IT"/>
    </w:rPr>
  </w:style>
  <w:style w:type="character" w:customStyle="1" w:styleId="Heading9Char">
    <w:name w:val="Heading 9 Char"/>
    <w:basedOn w:val="DefaultParagraphFont"/>
    <w:link w:val="Heading9"/>
    <w:rPr>
      <w:rFonts w:ascii="Arial" w:eastAsia="Times New Roman" w:hAnsi="Arial" w:cs="Times New Roman"/>
      <w:i/>
      <w:sz w:val="18"/>
      <w:szCs w:val="20"/>
      <w:lang w:val="it-IT" w:eastAsia="it-I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it-IT" w:eastAsia="it-IT"/>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it-IT" w:eastAsia="it-IT"/>
    </w:rPr>
  </w:style>
  <w:style w:type="character" w:customStyle="1" w:styleId="TitrearticleChar">
    <w:name w:val="Titre article Char"/>
    <w:rPr>
      <w:rFonts w:ascii="Times New Roman" w:hAnsi="Times New Roman" w:cs="Times New Roman"/>
      <w:i/>
      <w:sz w:val="24"/>
      <w:lang w:val="it-IT"/>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it-IT"/>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it-IT"/>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it-IT"/>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it-IT"/>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it-IT"/>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it-IT"/>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it-IT"/>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it-IT"/>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it-IT"/>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it-IT"/>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it-IT"/>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it-IT"/>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it-IT"/>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it-IT"/>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it-IT"/>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it-IT"/>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it-IT"/>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it-IT" w:eastAsia="it-IT"/>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it-IT" w:eastAsia="it-IT" w:bidi="it-IT"/>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it-IT" w:eastAsia="it-IT"/>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it-IT" w:eastAsia="it-IT"/>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it-IT" w:eastAsia="it-IT"/>
    </w:rPr>
  </w:style>
  <w:style w:type="character" w:customStyle="1" w:styleId="En-tteoupieddepageArial">
    <w:name w:val="En-tête ou pied de page + Arial"/>
    <w:aliases w:val="5.5 pt"/>
    <w:uiPriority w:val="99"/>
    <w:rPr>
      <w:rFonts w:ascii="Arial" w:hAnsi="Arial" w:cs="Arial"/>
      <w:sz w:val="11"/>
      <w:szCs w:val="11"/>
      <w:shd w:val="clear" w:color="auto" w:fill="FFFFFF"/>
      <w:lang w:val="it-IT" w:eastAsia="it-IT"/>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it-IT" w:eastAsia="it-IT"/>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it-IT" w:eastAsia="it-IT"/>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A7F6-2C56-4B51-A11F-5E6CE27C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8825</Words>
  <Characters>51098</Characters>
  <Application>Microsoft Office Word</Application>
  <DocSecurity>0</DocSecurity>
  <Lines>4645</Lines>
  <Paragraphs>1361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6</cp:revision>
  <dcterms:created xsi:type="dcterms:W3CDTF">2016-02-03T11:58:00Z</dcterms:created>
  <dcterms:modified xsi:type="dcterms:W3CDTF">2016-02-11T10:31:00Z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4</vt:lpwstr>
  </property>
  <property fmtid="{D5CDD505-2E9C-101B-9397-08002B2CF9AE}" pid="8" name="Last annex">
    <vt:lpwstr>4</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